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19E" w:rsidRPr="007025FF" w:rsidRDefault="00F1597F">
      <w:pPr>
        <w:spacing w:line="360" w:lineRule="auto"/>
        <w:jc w:val="both"/>
        <w:rPr>
          <w:rFonts w:ascii="Palatino Linotype" w:eastAsia="Palatino Linotype" w:hAnsi="Palatino Linotype" w:cs="Palatino Linotype"/>
          <w:sz w:val="22"/>
          <w:szCs w:val="22"/>
        </w:rPr>
      </w:pPr>
      <w:bookmarkStart w:id="0" w:name="_GoBack"/>
      <w:bookmarkEnd w:id="0"/>
      <w:r w:rsidRPr="007025FF">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doce de noviembre de dos mil veinticinco.  </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Visto</w:t>
      </w:r>
      <w:r w:rsidRPr="007025FF">
        <w:rPr>
          <w:rFonts w:ascii="Palatino Linotype" w:eastAsia="Palatino Linotype" w:hAnsi="Palatino Linotype" w:cs="Palatino Linotype"/>
          <w:sz w:val="22"/>
          <w:szCs w:val="22"/>
        </w:rPr>
        <w:t xml:space="preserve"> el expediente relativo al recurso de revisión </w:t>
      </w:r>
      <w:r w:rsidRPr="007025FF">
        <w:rPr>
          <w:rFonts w:ascii="Palatino Linotype" w:eastAsia="Palatino Linotype" w:hAnsi="Palatino Linotype" w:cs="Palatino Linotype"/>
          <w:b/>
          <w:bCs/>
          <w:sz w:val="22"/>
          <w:szCs w:val="22"/>
        </w:rPr>
        <w:t>10539/INFOEM/IP/RR/2025</w:t>
      </w:r>
      <w:r w:rsidRPr="007025FF">
        <w:rPr>
          <w:rFonts w:ascii="Palatino Linotype" w:eastAsia="Palatino Linotype" w:hAnsi="Palatino Linotype" w:cs="Palatino Linotype"/>
          <w:sz w:val="22"/>
          <w:szCs w:val="22"/>
        </w:rPr>
        <w:t xml:space="preserve">, interpuesto por </w:t>
      </w:r>
      <w:r w:rsidRPr="007025FF">
        <w:rPr>
          <w:rFonts w:ascii="Palatino Linotype" w:eastAsia="Palatino Linotype" w:hAnsi="Palatino Linotype" w:cs="Palatino Linotype"/>
          <w:b/>
          <w:bCs/>
          <w:sz w:val="22"/>
          <w:szCs w:val="22"/>
        </w:rPr>
        <w:t xml:space="preserve">una persona usuaria del Sistema de Acceso a la Información Mexiquense </w:t>
      </w:r>
      <w:r w:rsidRPr="007025FF">
        <w:rPr>
          <w:rFonts w:ascii="Palatino Linotype" w:eastAsia="Palatino Linotype" w:hAnsi="Palatino Linotype" w:cs="Palatino Linotype"/>
          <w:sz w:val="22"/>
          <w:szCs w:val="22"/>
        </w:rPr>
        <w:t>en lo sucesivo se le denominará la parte</w:t>
      </w:r>
      <w:r w:rsidRPr="007025FF">
        <w:rPr>
          <w:rFonts w:ascii="Palatino Linotype" w:eastAsia="Palatino Linotype" w:hAnsi="Palatino Linotype" w:cs="Palatino Linotype"/>
          <w:b/>
          <w:bCs/>
          <w:sz w:val="22"/>
          <w:szCs w:val="22"/>
        </w:rPr>
        <w:t xml:space="preserve"> RECURRENTE</w:t>
      </w:r>
      <w:r w:rsidRPr="007025FF">
        <w:rPr>
          <w:rFonts w:ascii="Palatino Linotype" w:eastAsia="Palatino Linotype" w:hAnsi="Palatino Linotype" w:cs="Palatino Linotype"/>
          <w:sz w:val="22"/>
          <w:szCs w:val="22"/>
        </w:rPr>
        <w:t>, en contra de la respuesta a su solicitud de información con número de folio</w:t>
      </w:r>
      <w:r w:rsidRPr="007025FF">
        <w:rPr>
          <w:rFonts w:ascii="Palatino Linotype" w:eastAsia="Palatino Linotype" w:hAnsi="Palatino Linotype" w:cs="Palatino Linotype"/>
          <w:b/>
          <w:bCs/>
          <w:sz w:val="22"/>
          <w:szCs w:val="22"/>
        </w:rPr>
        <w:t xml:space="preserve"> 00007/OASTENANGO/IP/2025</w:t>
      </w:r>
      <w:r w:rsidRPr="007025FF">
        <w:rPr>
          <w:rFonts w:ascii="Palatino Linotype" w:eastAsia="Palatino Linotype" w:hAnsi="Palatino Linotype" w:cs="Palatino Linotype"/>
          <w:sz w:val="22"/>
          <w:szCs w:val="22"/>
        </w:rPr>
        <w:t xml:space="preserve">, por parte del </w:t>
      </w:r>
      <w:r w:rsidRPr="007025FF">
        <w:rPr>
          <w:rFonts w:ascii="Palatino Linotype" w:eastAsia="Palatino Linotype" w:hAnsi="Palatino Linotype" w:cs="Palatino Linotype"/>
          <w:b/>
          <w:bCs/>
          <w:sz w:val="22"/>
          <w:szCs w:val="22"/>
        </w:rPr>
        <w:t xml:space="preserve">Organismo Público Descentralizado para la Prestación de Los Servicios de Agua Potable Alcantarillado y Saneamiento de Tenango del Valle Estado de México </w:t>
      </w:r>
      <w:r w:rsidRPr="007025FF">
        <w:rPr>
          <w:rFonts w:ascii="Palatino Linotype" w:eastAsia="Palatino Linotype" w:hAnsi="Palatino Linotype" w:cs="Palatino Linotype"/>
          <w:sz w:val="22"/>
          <w:szCs w:val="22"/>
        </w:rPr>
        <w:t xml:space="preserve">en lo sucesivo el </w:t>
      </w:r>
      <w:r w:rsidRPr="007025FF">
        <w:rPr>
          <w:rFonts w:ascii="Palatino Linotype" w:eastAsia="Palatino Linotype" w:hAnsi="Palatino Linotype" w:cs="Palatino Linotype"/>
          <w:b/>
          <w:bCs/>
          <w:sz w:val="22"/>
          <w:szCs w:val="22"/>
        </w:rPr>
        <w:t>SUJETO OBLIGADO</w:t>
      </w:r>
      <w:r w:rsidRPr="007025FF">
        <w:rPr>
          <w:rFonts w:ascii="Palatino Linotype" w:eastAsia="Palatino Linotype" w:hAnsi="Palatino Linotype" w:cs="Palatino Linotype"/>
          <w:sz w:val="22"/>
          <w:szCs w:val="22"/>
        </w:rPr>
        <w:t>;</w:t>
      </w:r>
      <w:r w:rsidRPr="007025FF">
        <w:rPr>
          <w:rFonts w:ascii="Palatino Linotype" w:eastAsia="Palatino Linotype" w:hAnsi="Palatino Linotype" w:cs="Palatino Linotype"/>
          <w:b/>
          <w:bCs/>
          <w:sz w:val="22"/>
          <w:szCs w:val="22"/>
        </w:rPr>
        <w:t xml:space="preserve"> </w:t>
      </w:r>
      <w:r w:rsidRPr="007025FF">
        <w:rPr>
          <w:rFonts w:ascii="Palatino Linotype" w:eastAsia="Palatino Linotype" w:hAnsi="Palatino Linotype" w:cs="Palatino Linotype"/>
          <w:sz w:val="22"/>
          <w:szCs w:val="22"/>
        </w:rPr>
        <w:t>se procede a dictar la presente resolución, con base en los siguientes:</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numPr>
          <w:ilvl w:val="0"/>
          <w:numId w:val="3"/>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bCs/>
          <w:sz w:val="22"/>
          <w:szCs w:val="22"/>
        </w:rPr>
      </w:pPr>
      <w:r w:rsidRPr="007025FF">
        <w:rPr>
          <w:rFonts w:ascii="Palatino Linotype" w:eastAsia="Palatino Linotype" w:hAnsi="Palatino Linotype" w:cs="Palatino Linotype"/>
          <w:b/>
          <w:bCs/>
          <w:sz w:val="22"/>
          <w:szCs w:val="22"/>
        </w:rPr>
        <w:t>A N T E C E D E N T E S:</w:t>
      </w:r>
    </w:p>
    <w:p w:rsidR="00DA319E" w:rsidRPr="007025FF" w:rsidRDefault="00DA319E">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rsidR="00DA319E" w:rsidRPr="007025FF" w:rsidRDefault="00F1597F">
      <w:pPr>
        <w:numPr>
          <w:ilvl w:val="1"/>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b/>
          <w:bCs/>
          <w:sz w:val="22"/>
          <w:szCs w:val="22"/>
        </w:rPr>
      </w:pPr>
      <w:r w:rsidRPr="007025FF">
        <w:rPr>
          <w:rFonts w:ascii="Palatino Linotype" w:eastAsia="Palatino Linotype" w:hAnsi="Palatino Linotype" w:cs="Palatino Linotype"/>
          <w:b/>
          <w:bCs/>
          <w:sz w:val="22"/>
          <w:szCs w:val="22"/>
        </w:rPr>
        <w:t xml:space="preserve">Solicitud de acceso a la información. </w:t>
      </w:r>
      <w:r w:rsidRPr="007025FF">
        <w:rPr>
          <w:rFonts w:ascii="Palatino Linotype" w:eastAsia="Palatino Linotype" w:hAnsi="Palatino Linotype" w:cs="Palatino Linotype"/>
          <w:sz w:val="22"/>
          <w:szCs w:val="22"/>
        </w:rPr>
        <w:t xml:space="preserve">Con fecha </w:t>
      </w:r>
      <w:r w:rsidRPr="007025FF">
        <w:rPr>
          <w:rFonts w:ascii="Palatino Linotype" w:eastAsia="Palatino Linotype" w:hAnsi="Palatino Linotype" w:cs="Palatino Linotype"/>
          <w:b/>
          <w:bCs/>
          <w:sz w:val="22"/>
          <w:szCs w:val="22"/>
        </w:rPr>
        <w:t>quince de agosto de dos mil veinticinco</w:t>
      </w:r>
      <w:r w:rsidRPr="007025FF">
        <w:rPr>
          <w:rFonts w:ascii="Palatino Linotype" w:eastAsia="Palatino Linotype" w:hAnsi="Palatino Linotype" w:cs="Palatino Linotype"/>
          <w:sz w:val="22"/>
          <w:szCs w:val="22"/>
        </w:rPr>
        <w:t xml:space="preserve">, la parte </w:t>
      </w:r>
      <w:r w:rsidRPr="007025FF">
        <w:rPr>
          <w:rFonts w:ascii="Palatino Linotype" w:eastAsia="Palatino Linotype" w:hAnsi="Palatino Linotype" w:cs="Palatino Linotype"/>
          <w:b/>
          <w:bCs/>
          <w:sz w:val="22"/>
          <w:szCs w:val="22"/>
        </w:rPr>
        <w:t>RECURRENTE</w:t>
      </w:r>
      <w:r w:rsidRPr="007025FF">
        <w:rPr>
          <w:rFonts w:ascii="Palatino Linotype" w:eastAsia="Palatino Linotype" w:hAnsi="Palatino Linotype" w:cs="Palatino Linotype"/>
          <w:sz w:val="22"/>
          <w:szCs w:val="22"/>
        </w:rPr>
        <w:t xml:space="preserve"> formuló solicitud de acceso a información pública al </w:t>
      </w:r>
      <w:r w:rsidRPr="007025FF">
        <w:rPr>
          <w:rFonts w:ascii="Palatino Linotype" w:eastAsia="Palatino Linotype" w:hAnsi="Palatino Linotype" w:cs="Palatino Linotype"/>
          <w:b/>
          <w:bCs/>
          <w:sz w:val="22"/>
          <w:szCs w:val="22"/>
        </w:rPr>
        <w:t>SUJETO OBLIGADO</w:t>
      </w:r>
      <w:r w:rsidRPr="007025FF">
        <w:rPr>
          <w:rFonts w:ascii="Palatino Linotype" w:eastAsia="Palatino Linotype" w:hAnsi="Palatino Linotype" w:cs="Palatino Linotype"/>
          <w:sz w:val="22"/>
          <w:szCs w:val="22"/>
        </w:rPr>
        <w:t xml:space="preserve"> a través del Sistema de Acceso a la Información Mexiquense, en adelante </w:t>
      </w:r>
      <w:r w:rsidRPr="007025FF">
        <w:rPr>
          <w:rFonts w:ascii="Palatino Linotype" w:eastAsia="Palatino Linotype" w:hAnsi="Palatino Linotype" w:cs="Palatino Linotype"/>
          <w:b/>
          <w:bCs/>
          <w:sz w:val="22"/>
          <w:szCs w:val="22"/>
        </w:rPr>
        <w:t>SAIMEX</w:t>
      </w:r>
      <w:r w:rsidRPr="007025FF">
        <w:rPr>
          <w:rFonts w:ascii="Palatino Linotype" w:eastAsia="Palatino Linotype" w:hAnsi="Palatino Linotype" w:cs="Palatino Linotype"/>
          <w:sz w:val="22"/>
          <w:szCs w:val="22"/>
        </w:rPr>
        <w:t>, requiriéndole lo siguiente:</w:t>
      </w:r>
    </w:p>
    <w:p w:rsidR="00DA319E" w:rsidRPr="007025FF" w:rsidRDefault="00DA319E">
      <w:p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p>
    <w:p w:rsidR="00DA319E" w:rsidRPr="007025FF" w:rsidRDefault="00F1597F">
      <w:pPr>
        <w:spacing w:line="276" w:lineRule="auto"/>
        <w:ind w:left="851" w:right="616"/>
        <w:jc w:val="both"/>
        <w:rPr>
          <w:rFonts w:ascii="Palatino Linotype" w:eastAsia="Palatino Linotype" w:hAnsi="Palatino Linotype" w:cs="Palatino Linotype"/>
          <w:b/>
          <w:bCs/>
          <w:i/>
          <w:iCs/>
          <w:sz w:val="22"/>
          <w:szCs w:val="22"/>
          <w:u w:val="single"/>
        </w:rPr>
      </w:pPr>
      <w:r w:rsidRPr="007025FF">
        <w:rPr>
          <w:rFonts w:ascii="Palatino Linotype" w:eastAsia="Palatino Linotype" w:hAnsi="Palatino Linotype" w:cs="Palatino Linotype"/>
          <w:i/>
          <w:iCs/>
          <w:sz w:val="22"/>
          <w:szCs w:val="22"/>
        </w:rPr>
        <w:t>“Solicito los certificados de competencia laboral de los servidores públicos del OPADAPAS de Tenango del Valle obligados a contar con el.”</w:t>
      </w:r>
    </w:p>
    <w:p w:rsidR="00DA319E" w:rsidRPr="007025FF" w:rsidRDefault="00DA319E">
      <w:pPr>
        <w:spacing w:line="360" w:lineRule="auto"/>
        <w:ind w:left="709" w:right="900"/>
        <w:jc w:val="both"/>
        <w:rPr>
          <w:rFonts w:ascii="Palatino Linotype" w:eastAsia="Palatino Linotype" w:hAnsi="Palatino Linotype" w:cs="Palatino Linotype"/>
          <w:b/>
          <w:bCs/>
          <w:i/>
          <w:iCs/>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lastRenderedPageBreak/>
        <w:t xml:space="preserve">Modalidad elegida para la entrega de la información: </w:t>
      </w:r>
      <w:r w:rsidRPr="007025FF">
        <w:rPr>
          <w:rFonts w:ascii="Palatino Linotype" w:eastAsia="Palatino Linotype" w:hAnsi="Palatino Linotype" w:cs="Palatino Linotype"/>
          <w:sz w:val="22"/>
          <w:szCs w:val="22"/>
        </w:rPr>
        <w:t>a través del Sistema de Acceso a la Información Mexiquense.</w:t>
      </w:r>
    </w:p>
    <w:p w:rsidR="00DA319E" w:rsidRPr="007025FF" w:rsidRDefault="00DA319E">
      <w:pPr>
        <w:pBdr>
          <w:top w:val="nil"/>
          <w:left w:val="nil"/>
          <w:bottom w:val="nil"/>
          <w:right w:val="nil"/>
          <w:between w:val="nil"/>
        </w:pBdr>
        <w:spacing w:line="276" w:lineRule="auto"/>
        <w:ind w:right="616"/>
        <w:jc w:val="both"/>
        <w:rPr>
          <w:rFonts w:ascii="Palatino Linotype" w:eastAsia="Palatino Linotype" w:hAnsi="Palatino Linotype" w:cs="Palatino Linotype"/>
          <w:i/>
          <w:iCs/>
          <w:sz w:val="22"/>
          <w:szCs w:val="22"/>
        </w:rPr>
      </w:pPr>
    </w:p>
    <w:p w:rsidR="00DA319E" w:rsidRPr="007025FF" w:rsidRDefault="00F1597F">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 xml:space="preserve">Respuesta. </w:t>
      </w:r>
      <w:r w:rsidRPr="007025FF">
        <w:rPr>
          <w:rFonts w:ascii="Palatino Linotype" w:eastAsia="Palatino Linotype" w:hAnsi="Palatino Linotype" w:cs="Palatino Linotype"/>
          <w:sz w:val="22"/>
          <w:szCs w:val="22"/>
        </w:rPr>
        <w:t xml:space="preserve">Con fecha </w:t>
      </w:r>
      <w:r w:rsidRPr="007025FF">
        <w:rPr>
          <w:rFonts w:ascii="Palatino Linotype" w:eastAsia="Palatino Linotype" w:hAnsi="Palatino Linotype" w:cs="Palatino Linotype"/>
          <w:b/>
          <w:bCs/>
          <w:sz w:val="22"/>
          <w:szCs w:val="22"/>
        </w:rPr>
        <w:t>cuatro de septiembre de dos mil veinticinco</w:t>
      </w:r>
      <w:r w:rsidRPr="007025FF">
        <w:rPr>
          <w:rFonts w:ascii="Palatino Linotype" w:eastAsia="Palatino Linotype" w:hAnsi="Palatino Linotype" w:cs="Palatino Linotype"/>
          <w:sz w:val="22"/>
          <w:szCs w:val="22"/>
        </w:rPr>
        <w:t xml:space="preserve">, el </w:t>
      </w:r>
      <w:r w:rsidRPr="007025FF">
        <w:rPr>
          <w:rFonts w:ascii="Palatino Linotype" w:eastAsia="Palatino Linotype" w:hAnsi="Palatino Linotype" w:cs="Palatino Linotype"/>
          <w:b/>
          <w:bCs/>
          <w:sz w:val="22"/>
          <w:szCs w:val="22"/>
        </w:rPr>
        <w:t>SUJETO OBLIGADO</w:t>
      </w:r>
      <w:r w:rsidRPr="007025FF">
        <w:rPr>
          <w:rFonts w:ascii="Palatino Linotype" w:eastAsia="Palatino Linotype" w:hAnsi="Palatino Linotype" w:cs="Palatino Linotype"/>
          <w:sz w:val="22"/>
          <w:szCs w:val="22"/>
        </w:rPr>
        <w:t xml:space="preserve"> envió su respuesta a la solicitud de acceso a la información a través del SAIMEX, la cual es de conocimiento de las partes. </w:t>
      </w:r>
    </w:p>
    <w:p w:rsidR="00DA319E" w:rsidRPr="007025FF" w:rsidRDefault="00DA319E">
      <w:pPr>
        <w:pBdr>
          <w:top w:val="nil"/>
          <w:left w:val="nil"/>
          <w:bottom w:val="nil"/>
          <w:right w:val="nil"/>
          <w:between w:val="nil"/>
        </w:pBdr>
        <w:spacing w:line="276" w:lineRule="auto"/>
        <w:ind w:left="927" w:right="616"/>
        <w:jc w:val="both"/>
        <w:rPr>
          <w:rFonts w:ascii="Palatino Linotype" w:eastAsia="Palatino Linotype" w:hAnsi="Palatino Linotype" w:cs="Palatino Linotype"/>
          <w:sz w:val="22"/>
          <w:szCs w:val="22"/>
        </w:rPr>
      </w:pPr>
      <w:bookmarkStart w:id="1" w:name="_heading=h.3znysh7" w:colFirst="0" w:colLast="0"/>
      <w:bookmarkEnd w:id="1"/>
    </w:p>
    <w:p w:rsidR="00DA319E" w:rsidRPr="007025FF" w:rsidRDefault="00F1597F">
      <w:pPr>
        <w:numPr>
          <w:ilvl w:val="0"/>
          <w:numId w:val="5"/>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 xml:space="preserve">Interposición del recurso de revisión. </w:t>
      </w:r>
      <w:r w:rsidRPr="007025FF">
        <w:rPr>
          <w:rFonts w:ascii="Palatino Linotype" w:eastAsia="Palatino Linotype" w:hAnsi="Palatino Linotype" w:cs="Palatino Linotype"/>
          <w:sz w:val="22"/>
          <w:szCs w:val="22"/>
        </w:rPr>
        <w:t xml:space="preserve">Inconforme con la respuesta del </w:t>
      </w:r>
      <w:r w:rsidRPr="007025FF">
        <w:rPr>
          <w:rFonts w:ascii="Palatino Linotype" w:eastAsia="Palatino Linotype" w:hAnsi="Palatino Linotype" w:cs="Palatino Linotype"/>
          <w:b/>
          <w:bCs/>
          <w:sz w:val="22"/>
          <w:szCs w:val="22"/>
        </w:rPr>
        <w:t>SUJETO OBLIGADO, la parte RECURRENTE</w:t>
      </w:r>
      <w:r w:rsidRPr="007025FF">
        <w:rPr>
          <w:rFonts w:ascii="Palatino Linotype" w:eastAsia="Palatino Linotype" w:hAnsi="Palatino Linotype" w:cs="Palatino Linotype"/>
          <w:sz w:val="22"/>
          <w:szCs w:val="22"/>
        </w:rPr>
        <w:t xml:space="preserve"> interpuso recurso de revisión a través del SAIMEX en fecha </w:t>
      </w:r>
      <w:r w:rsidRPr="007025FF">
        <w:rPr>
          <w:rFonts w:ascii="Palatino Linotype" w:eastAsia="Palatino Linotype" w:hAnsi="Palatino Linotype" w:cs="Palatino Linotype"/>
          <w:b/>
          <w:bCs/>
          <w:sz w:val="22"/>
          <w:szCs w:val="22"/>
        </w:rPr>
        <w:t>ocho de septiembre de dos mil veinticinco</w:t>
      </w:r>
      <w:r w:rsidRPr="007025FF">
        <w:rPr>
          <w:rFonts w:ascii="Palatino Linotype" w:eastAsia="Palatino Linotype" w:hAnsi="Palatino Linotype" w:cs="Palatino Linotype"/>
          <w:sz w:val="22"/>
          <w:szCs w:val="22"/>
        </w:rPr>
        <w:t>, a través del cual expresó lo siguiente:</w:t>
      </w:r>
    </w:p>
    <w:p w:rsidR="00DA319E" w:rsidRPr="007025FF" w:rsidRDefault="00DA319E">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rsidR="00DA319E" w:rsidRPr="007025FF" w:rsidRDefault="00F1597F">
      <w:pPr>
        <w:spacing w:line="276" w:lineRule="auto"/>
        <w:ind w:left="851" w:right="616"/>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b/>
          <w:bCs/>
          <w:sz w:val="22"/>
          <w:szCs w:val="22"/>
        </w:rPr>
        <w:t xml:space="preserve">Acto impugnado. </w:t>
      </w:r>
      <w:r w:rsidRPr="007025FF">
        <w:rPr>
          <w:rFonts w:ascii="Palatino Linotype" w:eastAsia="Palatino Linotype" w:hAnsi="Palatino Linotype" w:cs="Palatino Linotype"/>
          <w:i/>
          <w:iCs/>
          <w:sz w:val="22"/>
          <w:szCs w:val="22"/>
        </w:rPr>
        <w:t xml:space="preserve">“La respuesta a mi solicitud de información pública”. </w:t>
      </w:r>
    </w:p>
    <w:p w:rsidR="00DA319E" w:rsidRPr="007025FF" w:rsidRDefault="00DA319E">
      <w:pPr>
        <w:spacing w:line="276" w:lineRule="auto"/>
        <w:ind w:left="851" w:right="616"/>
        <w:rPr>
          <w:rFonts w:ascii="Palatino Linotype" w:eastAsia="Palatino Linotype" w:hAnsi="Palatino Linotype" w:cs="Palatino Linotype"/>
          <w:sz w:val="22"/>
          <w:szCs w:val="22"/>
        </w:rPr>
      </w:pPr>
    </w:p>
    <w:p w:rsidR="00DA319E" w:rsidRPr="007025FF" w:rsidRDefault="00F1597F">
      <w:pPr>
        <w:pBdr>
          <w:top w:val="nil"/>
          <w:left w:val="nil"/>
          <w:bottom w:val="nil"/>
          <w:right w:val="nil"/>
          <w:between w:val="nil"/>
        </w:pBdr>
        <w:spacing w:line="276" w:lineRule="auto"/>
        <w:ind w:left="851" w:right="616"/>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b/>
          <w:bCs/>
          <w:sz w:val="22"/>
          <w:szCs w:val="22"/>
        </w:rPr>
        <w:t xml:space="preserve">Motivos de inconformidad. </w:t>
      </w:r>
      <w:r w:rsidRPr="007025FF">
        <w:rPr>
          <w:rFonts w:ascii="Palatino Linotype" w:eastAsia="Palatino Linotype" w:hAnsi="Palatino Linotype" w:cs="Palatino Linotype"/>
          <w:i/>
          <w:iCs/>
          <w:sz w:val="22"/>
          <w:szCs w:val="22"/>
        </w:rPr>
        <w:t xml:space="preserve">“El </w:t>
      </w:r>
      <w:r w:rsidRPr="007025FF">
        <w:rPr>
          <w:rFonts w:ascii="Palatino Linotype" w:eastAsia="Palatino Linotype" w:hAnsi="Palatino Linotype" w:cs="Palatino Linotype"/>
          <w:b/>
          <w:bCs/>
          <w:i/>
          <w:iCs/>
          <w:sz w:val="22"/>
          <w:szCs w:val="22"/>
          <w:u w:val="single"/>
        </w:rPr>
        <w:t>cedtificado de competencia laboral del Director General del OPDAPAS de Tenango del Valle que entregan NO sirve para acreditar competencias laborales para desempeñar el cargo de Director de OPDAPAS</w:t>
      </w:r>
      <w:r w:rsidRPr="007025FF">
        <w:rPr>
          <w:rFonts w:ascii="Palatino Linotype" w:eastAsia="Palatino Linotype" w:hAnsi="Palatino Linotype" w:cs="Palatino Linotype"/>
          <w:i/>
          <w:iCs/>
          <w:sz w:val="22"/>
          <w:szCs w:val="22"/>
        </w:rPr>
        <w:t xml:space="preserve">”. </w:t>
      </w:r>
    </w:p>
    <w:p w:rsidR="00DA319E" w:rsidRPr="007025FF" w:rsidRDefault="00DA319E">
      <w:pPr>
        <w:pBdr>
          <w:top w:val="nil"/>
          <w:left w:val="nil"/>
          <w:bottom w:val="nil"/>
          <w:right w:val="nil"/>
          <w:between w:val="nil"/>
        </w:pBdr>
        <w:spacing w:line="276" w:lineRule="auto"/>
        <w:ind w:right="616"/>
        <w:jc w:val="both"/>
        <w:rPr>
          <w:rFonts w:ascii="Palatino Linotype" w:eastAsia="Palatino Linotype" w:hAnsi="Palatino Linotype" w:cs="Palatino Linotype"/>
          <w:sz w:val="22"/>
          <w:szCs w:val="22"/>
        </w:rPr>
      </w:pPr>
    </w:p>
    <w:p w:rsidR="00DA319E" w:rsidRPr="007025FF" w:rsidRDefault="00F1597F">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 xml:space="preserve">Turno. </w:t>
      </w:r>
      <w:r w:rsidRPr="007025F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7025FF">
        <w:rPr>
          <w:rFonts w:ascii="Palatino Linotype" w:eastAsia="Palatino Linotype" w:hAnsi="Palatino Linotype" w:cs="Palatino Linotype"/>
          <w:b/>
          <w:bCs/>
          <w:sz w:val="22"/>
          <w:szCs w:val="22"/>
        </w:rPr>
        <w:t>10539/INFOEM/IP/RR/2025</w:t>
      </w:r>
      <w:r w:rsidRPr="007025FF">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7025FF">
        <w:rPr>
          <w:rFonts w:ascii="Palatino Linotype" w:eastAsia="Palatino Linotype" w:hAnsi="Palatino Linotype" w:cs="Palatino Linotype"/>
          <w:b/>
          <w:bCs/>
          <w:sz w:val="22"/>
          <w:szCs w:val="22"/>
        </w:rPr>
        <w:t>Guadalupe Ramírez Peña</w:t>
      </w:r>
      <w:r w:rsidRPr="007025FF">
        <w:rPr>
          <w:rFonts w:ascii="Palatino Linotype" w:eastAsia="Palatino Linotype" w:hAnsi="Palatino Linotype" w:cs="Palatino Linotype"/>
          <w:sz w:val="22"/>
          <w:szCs w:val="22"/>
        </w:rPr>
        <w:t>, para su análisis, estudio, elaboración del proyecto y presentación ante el Pleno de este Instituto.</w:t>
      </w:r>
    </w:p>
    <w:p w:rsidR="00DA319E" w:rsidRPr="007025FF" w:rsidRDefault="00DA319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DA319E" w:rsidRPr="007025FF" w:rsidRDefault="00F1597F">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2" w:name="_heading=h.gjdgxs" w:colFirst="0" w:colLast="0"/>
      <w:bookmarkEnd w:id="2"/>
      <w:r w:rsidRPr="007025FF">
        <w:rPr>
          <w:rFonts w:ascii="Palatino Linotype" w:eastAsia="Palatino Linotype" w:hAnsi="Palatino Linotype" w:cs="Palatino Linotype"/>
          <w:b/>
          <w:bCs/>
          <w:sz w:val="22"/>
          <w:szCs w:val="22"/>
        </w:rPr>
        <w:lastRenderedPageBreak/>
        <w:t xml:space="preserve">Admisión del recurso de revisión: </w:t>
      </w:r>
      <w:r w:rsidRPr="007025FF">
        <w:rPr>
          <w:rFonts w:ascii="Palatino Linotype" w:eastAsia="Palatino Linotype" w:hAnsi="Palatino Linotype" w:cs="Palatino Linotype"/>
          <w:sz w:val="22"/>
          <w:szCs w:val="22"/>
        </w:rPr>
        <w:t xml:space="preserve">En fecha </w:t>
      </w:r>
      <w:r w:rsidRPr="007025FF">
        <w:rPr>
          <w:rFonts w:ascii="Palatino Linotype" w:eastAsia="Palatino Linotype" w:hAnsi="Palatino Linotype" w:cs="Palatino Linotype"/>
          <w:b/>
          <w:bCs/>
          <w:sz w:val="22"/>
          <w:szCs w:val="22"/>
        </w:rPr>
        <w:t>once de septiembre de dos mil veinticinco</w:t>
      </w:r>
      <w:r w:rsidRPr="007025FF">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7025FF">
        <w:rPr>
          <w:rFonts w:ascii="Palatino Linotype" w:eastAsia="Palatino Linotype" w:hAnsi="Palatino Linotype" w:cs="Palatino Linotype"/>
          <w:b/>
          <w:bCs/>
          <w:sz w:val="22"/>
          <w:szCs w:val="22"/>
        </w:rPr>
        <w:t>SUJETO OBLIGADO</w:t>
      </w:r>
      <w:r w:rsidRPr="007025FF">
        <w:rPr>
          <w:rFonts w:ascii="Palatino Linotype" w:eastAsia="Palatino Linotype" w:hAnsi="Palatino Linotype" w:cs="Palatino Linotype"/>
          <w:sz w:val="22"/>
          <w:szCs w:val="22"/>
        </w:rPr>
        <w:t xml:space="preserve"> presentara su informe justificado.</w:t>
      </w:r>
    </w:p>
    <w:p w:rsidR="00DA319E" w:rsidRPr="007025FF" w:rsidRDefault="00DA319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DA319E" w:rsidRPr="007025FF" w:rsidRDefault="00F1597F">
      <w:pPr>
        <w:numPr>
          <w:ilvl w:val="0"/>
          <w:numId w:val="5"/>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Manifestaciones.</w:t>
      </w:r>
      <w:r w:rsidRPr="007025FF">
        <w:rPr>
          <w:rFonts w:ascii="Palatino Linotype" w:eastAsia="Palatino Linotype" w:hAnsi="Palatino Linotype" w:cs="Palatino Linotype"/>
          <w:sz w:val="22"/>
          <w:szCs w:val="22"/>
        </w:rPr>
        <w:t xml:space="preserve"> En fecha </w:t>
      </w:r>
      <w:r w:rsidRPr="007025FF">
        <w:rPr>
          <w:rFonts w:ascii="Palatino Linotype" w:eastAsia="Palatino Linotype" w:hAnsi="Palatino Linotype" w:cs="Palatino Linotype"/>
          <w:b/>
          <w:bCs/>
          <w:sz w:val="22"/>
          <w:szCs w:val="22"/>
        </w:rPr>
        <w:t>diecinueve de septiembre de dos mil veinticinco</w:t>
      </w:r>
      <w:r w:rsidRPr="007025FF">
        <w:rPr>
          <w:rFonts w:ascii="Palatino Linotype" w:eastAsia="Palatino Linotype" w:hAnsi="Palatino Linotype" w:cs="Palatino Linotype"/>
          <w:sz w:val="22"/>
          <w:szCs w:val="22"/>
        </w:rPr>
        <w:t xml:space="preserve">, el </w:t>
      </w:r>
      <w:r w:rsidRPr="007025FF">
        <w:rPr>
          <w:rFonts w:ascii="Palatino Linotype" w:eastAsia="Palatino Linotype" w:hAnsi="Palatino Linotype" w:cs="Palatino Linotype"/>
          <w:b/>
          <w:bCs/>
          <w:sz w:val="22"/>
          <w:szCs w:val="22"/>
        </w:rPr>
        <w:t xml:space="preserve">SUJETO OBLIGADO </w:t>
      </w:r>
      <w:r w:rsidRPr="007025FF">
        <w:rPr>
          <w:rFonts w:ascii="Palatino Linotype" w:eastAsia="Palatino Linotype" w:hAnsi="Palatino Linotype" w:cs="Palatino Linotype"/>
          <w:sz w:val="22"/>
          <w:szCs w:val="22"/>
        </w:rPr>
        <w:t xml:space="preserve">rindió su informe justificado, mediante el cual ratificó su respuesta inicial, el cual se hizo del conocimiento de la parte Recurrente el </w:t>
      </w:r>
      <w:r w:rsidRPr="007025FF">
        <w:rPr>
          <w:rFonts w:ascii="Palatino Linotype" w:eastAsia="Palatino Linotype" w:hAnsi="Palatino Linotype" w:cs="Palatino Linotype"/>
          <w:b/>
          <w:bCs/>
          <w:sz w:val="22"/>
          <w:szCs w:val="22"/>
        </w:rPr>
        <w:t xml:space="preserve">veintitrés de octubre de dos mil veinticinco. </w:t>
      </w:r>
    </w:p>
    <w:p w:rsidR="00DA319E" w:rsidRPr="007025FF" w:rsidRDefault="00DA319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DA319E" w:rsidRPr="007025FF" w:rsidRDefault="00F1597F">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La parte Recurrente fue omisa en rendir manifestaciones. </w:t>
      </w:r>
    </w:p>
    <w:p w:rsidR="00DA319E" w:rsidRPr="007025FF" w:rsidRDefault="00DA319E">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rsidR="00DA319E" w:rsidRPr="007025FF" w:rsidRDefault="00F1597F">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Ampliación del plazo.</w:t>
      </w:r>
      <w:r w:rsidRPr="007025FF">
        <w:rPr>
          <w:rFonts w:ascii="Palatino Linotype" w:eastAsia="Palatino Linotype" w:hAnsi="Palatino Linotype" w:cs="Palatino Linotype"/>
          <w:sz w:val="22"/>
          <w:szCs w:val="22"/>
        </w:rPr>
        <w:t xml:space="preserve"> En fecha </w:t>
      </w:r>
      <w:r w:rsidRPr="007025FF">
        <w:rPr>
          <w:rFonts w:ascii="Palatino Linotype" w:eastAsia="Palatino Linotype" w:hAnsi="Palatino Linotype" w:cs="Palatino Linotype"/>
          <w:b/>
          <w:bCs/>
          <w:sz w:val="22"/>
          <w:szCs w:val="22"/>
        </w:rPr>
        <w:t>veintitrés de octubre de dos mil veinticinco</w:t>
      </w:r>
      <w:r w:rsidRPr="007025FF">
        <w:rPr>
          <w:rFonts w:ascii="Palatino Linotype" w:eastAsia="Palatino Linotype" w:hAnsi="Palatino Linotype" w:cs="Palatino Linotype"/>
          <w:sz w:val="22"/>
          <w:szCs w:val="22"/>
        </w:rPr>
        <w:t>, con fundamento en el artículo 181, párrafo tercero de la Ley de Transparencia y Acceso a la Información Pública del Estado de México y Municipios, se acordó la ampliación del plazo para su resolución.</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 xml:space="preserve">Cierre de instrucción. </w:t>
      </w:r>
      <w:r w:rsidRPr="007025FF">
        <w:rPr>
          <w:rFonts w:ascii="Palatino Linotype" w:eastAsia="Palatino Linotype" w:hAnsi="Palatino Linotype" w:cs="Palatino Linotype"/>
          <w:sz w:val="22"/>
          <w:szCs w:val="22"/>
        </w:rPr>
        <w:t xml:space="preserve">El </w:t>
      </w:r>
      <w:r w:rsidRPr="007025FF">
        <w:rPr>
          <w:rFonts w:ascii="Palatino Linotype" w:eastAsia="Palatino Linotype" w:hAnsi="Palatino Linotype" w:cs="Palatino Linotype"/>
          <w:b/>
          <w:bCs/>
          <w:sz w:val="22"/>
          <w:szCs w:val="22"/>
        </w:rPr>
        <w:t>diez de noviembre de dos mil veinticinco</w:t>
      </w:r>
      <w:r w:rsidRPr="007025F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rsidR="00DA319E" w:rsidRPr="007025FF" w:rsidRDefault="00DA319E">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numPr>
          <w:ilvl w:val="0"/>
          <w:numId w:val="3"/>
        </w:num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bookmarkStart w:id="3" w:name="_heading=h.30j0zll" w:colFirst="0" w:colLast="0"/>
      <w:bookmarkEnd w:id="3"/>
      <w:r w:rsidRPr="007025FF">
        <w:rPr>
          <w:rFonts w:ascii="Palatino Linotype" w:eastAsia="Palatino Linotype" w:hAnsi="Palatino Linotype" w:cs="Palatino Linotype"/>
          <w:b/>
          <w:bCs/>
          <w:sz w:val="22"/>
          <w:szCs w:val="22"/>
        </w:rPr>
        <w:t>C O N S I D E R A N D O:</w:t>
      </w:r>
    </w:p>
    <w:p w:rsidR="00DA319E" w:rsidRPr="007025FF" w:rsidRDefault="00DA319E">
      <w:p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p>
    <w:p w:rsidR="00DA319E" w:rsidRPr="007025FF" w:rsidRDefault="00F1597F">
      <w:pPr>
        <w:spacing w:line="360" w:lineRule="auto"/>
        <w:ind w:right="49"/>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Primero. Competencia.</w:t>
      </w:r>
      <w:r w:rsidRPr="007025F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DA319E" w:rsidRPr="007025FF" w:rsidRDefault="00DA319E">
      <w:pPr>
        <w:spacing w:line="360" w:lineRule="auto"/>
        <w:jc w:val="both"/>
        <w:rPr>
          <w:rFonts w:ascii="Palatino Linotype" w:eastAsia="Palatino Linotype" w:hAnsi="Palatino Linotype" w:cs="Palatino Linotype"/>
          <w:b/>
          <w:bCs/>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Segundo. Oportunidad y Procedibilidad del Recurso de Revisión</w:t>
      </w:r>
      <w:r w:rsidRPr="007025F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DA319E" w:rsidRPr="007025FF" w:rsidRDefault="00F1597F">
      <w:pPr>
        <w:spacing w:line="360" w:lineRule="auto"/>
        <w:ind w:right="49"/>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7025FF">
        <w:rPr>
          <w:rFonts w:ascii="Palatino Linotype" w:eastAsia="Palatino Linotype" w:hAnsi="Palatino Linotype" w:cs="Palatino Linotype"/>
          <w:b/>
          <w:bCs/>
          <w:sz w:val="22"/>
          <w:szCs w:val="22"/>
        </w:rPr>
        <w:t>SUJETO OBLIGADO</w:t>
      </w:r>
      <w:r w:rsidRPr="007025FF">
        <w:rPr>
          <w:rFonts w:ascii="Palatino Linotype" w:eastAsia="Palatino Linotype" w:hAnsi="Palatino Linotype" w:cs="Palatino Linotype"/>
          <w:sz w:val="22"/>
          <w:szCs w:val="22"/>
        </w:rPr>
        <w:t xml:space="preserve"> proporcionó su respuesta a la solicitud de información el </w:t>
      </w:r>
      <w:r w:rsidRPr="007025FF">
        <w:rPr>
          <w:rFonts w:ascii="Palatino Linotype" w:eastAsia="Palatino Linotype" w:hAnsi="Palatino Linotype" w:cs="Palatino Linotype"/>
          <w:b/>
          <w:bCs/>
          <w:sz w:val="22"/>
          <w:szCs w:val="22"/>
        </w:rPr>
        <w:t>cuatro de septiembre de dos mil veinticinco</w:t>
      </w:r>
      <w:r w:rsidRPr="007025FF">
        <w:rPr>
          <w:rFonts w:ascii="Palatino Linotype" w:eastAsia="Palatino Linotype" w:hAnsi="Palatino Linotype" w:cs="Palatino Linotype"/>
          <w:sz w:val="22"/>
          <w:szCs w:val="22"/>
        </w:rPr>
        <w:t xml:space="preserve">, y la parte </w:t>
      </w:r>
      <w:r w:rsidRPr="007025FF">
        <w:rPr>
          <w:rFonts w:ascii="Palatino Linotype" w:eastAsia="Palatino Linotype" w:hAnsi="Palatino Linotype" w:cs="Palatino Linotype"/>
          <w:b/>
          <w:bCs/>
          <w:sz w:val="22"/>
          <w:szCs w:val="22"/>
        </w:rPr>
        <w:t>RECURRENTE</w:t>
      </w:r>
      <w:r w:rsidRPr="007025FF">
        <w:rPr>
          <w:rFonts w:ascii="Palatino Linotype" w:eastAsia="Palatino Linotype" w:hAnsi="Palatino Linotype" w:cs="Palatino Linotype"/>
          <w:sz w:val="22"/>
          <w:szCs w:val="22"/>
        </w:rPr>
        <w:t xml:space="preserve"> presentó su recurso de revisión el </w:t>
      </w:r>
      <w:r w:rsidRPr="007025FF">
        <w:rPr>
          <w:rFonts w:ascii="Palatino Linotype" w:eastAsia="Palatino Linotype" w:hAnsi="Palatino Linotype" w:cs="Palatino Linotype"/>
          <w:b/>
          <w:bCs/>
          <w:sz w:val="22"/>
          <w:szCs w:val="22"/>
        </w:rPr>
        <w:t>ocho de septiembre de dos mil veinticinco</w:t>
      </w:r>
      <w:r w:rsidRPr="007025FF">
        <w:rPr>
          <w:rFonts w:ascii="Palatino Linotype" w:eastAsia="Palatino Linotype" w:hAnsi="Palatino Linotype" w:cs="Palatino Linotype"/>
          <w:sz w:val="22"/>
          <w:szCs w:val="22"/>
        </w:rPr>
        <w:t>;</w:t>
      </w:r>
      <w:r w:rsidRPr="007025FF">
        <w:rPr>
          <w:rFonts w:ascii="Palatino Linotype" w:eastAsia="Palatino Linotype" w:hAnsi="Palatino Linotype" w:cs="Palatino Linotype"/>
          <w:b/>
          <w:bCs/>
          <w:sz w:val="22"/>
          <w:szCs w:val="22"/>
        </w:rPr>
        <w:t xml:space="preserve"> </w:t>
      </w:r>
      <w:r w:rsidRPr="007025FF">
        <w:rPr>
          <w:rFonts w:ascii="Palatino Linotype" w:eastAsia="Palatino Linotype" w:hAnsi="Palatino Linotype" w:cs="Palatino Linotype"/>
          <w:sz w:val="22"/>
          <w:szCs w:val="22"/>
        </w:rPr>
        <w:t xml:space="preserve">esto es el segundo día hábil en que tuvo conocimiento de la respuesta. </w:t>
      </w:r>
    </w:p>
    <w:p w:rsidR="00DA319E" w:rsidRPr="007025FF" w:rsidRDefault="00DA319E">
      <w:pPr>
        <w:spacing w:line="360" w:lineRule="auto"/>
        <w:ind w:right="49"/>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b/>
          <w:bCs/>
          <w:sz w:val="22"/>
          <w:szCs w:val="22"/>
        </w:rPr>
      </w:pPr>
      <w:r w:rsidRPr="007025FF">
        <w:rPr>
          <w:rFonts w:ascii="Palatino Linotype" w:eastAsia="Palatino Linotype" w:hAnsi="Palatino Linotype" w:cs="Palatino Linotype"/>
          <w:sz w:val="22"/>
          <w:szCs w:val="22"/>
        </w:rPr>
        <w:t xml:space="preserve">De acuerdo con 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7025FF">
        <w:rPr>
          <w:rFonts w:ascii="Palatino Linotype" w:eastAsia="Palatino Linotype" w:hAnsi="Palatino Linotype" w:cs="Palatino Linotype"/>
          <w:b/>
          <w:bCs/>
          <w:sz w:val="22"/>
          <w:szCs w:val="22"/>
        </w:rPr>
        <w:t>EL SAIMEX.</w:t>
      </w:r>
    </w:p>
    <w:p w:rsidR="00DA319E" w:rsidRPr="007025FF" w:rsidRDefault="00DA319E">
      <w:pPr>
        <w:spacing w:line="360" w:lineRule="auto"/>
        <w:jc w:val="both"/>
        <w:rPr>
          <w:rFonts w:ascii="Palatino Linotype" w:eastAsia="Palatino Linotype" w:hAnsi="Palatino Linotype" w:cs="Palatino Linotype"/>
          <w:b/>
          <w:bCs/>
          <w:sz w:val="22"/>
          <w:szCs w:val="22"/>
        </w:rPr>
      </w:pPr>
    </w:p>
    <w:p w:rsidR="00DA319E" w:rsidRPr="007025FF" w:rsidRDefault="00F1597F">
      <w:pPr>
        <w:spacing w:line="360" w:lineRule="auto"/>
        <w:jc w:val="both"/>
        <w:rPr>
          <w:rFonts w:ascii="Palatino Linotype" w:eastAsia="Palatino Linotype" w:hAnsi="Palatino Linotype" w:cs="Palatino Linotype"/>
        </w:rPr>
      </w:pPr>
      <w:bookmarkStart w:id="4" w:name="_heading=h.60i0tmp73shx" w:colFirst="0" w:colLast="0"/>
      <w:bookmarkEnd w:id="4"/>
      <w:r w:rsidRPr="007025FF">
        <w:rPr>
          <w:rFonts w:ascii="Palatino Linotype" w:eastAsia="Palatino Linotype" w:hAnsi="Palatino Linotype" w:cs="Palatino Linotype"/>
        </w:rPr>
        <w:t xml:space="preserve">A efecto de sustentar lo anterior, es de suma importancia mencionar que si bien la persona solicitante </w:t>
      </w:r>
      <w:r w:rsidRPr="007025FF">
        <w:rPr>
          <w:rFonts w:ascii="Palatino Linotype" w:eastAsia="Palatino Linotype" w:hAnsi="Palatino Linotype" w:cs="Palatino Linotype"/>
          <w:b/>
          <w:bCs/>
        </w:rPr>
        <w:t xml:space="preserve">no proporcionó un nombre, </w:t>
      </w:r>
      <w:r w:rsidRPr="007025FF">
        <w:rPr>
          <w:rFonts w:ascii="Palatino Linotype" w:eastAsia="Palatino Linotype" w:hAnsi="Palatino Linotype" w:cs="Palatino Linotype"/>
        </w:rPr>
        <w:t>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DA319E" w:rsidRPr="007025FF" w:rsidRDefault="00DA319E">
      <w:pPr>
        <w:spacing w:line="360" w:lineRule="auto"/>
        <w:jc w:val="both"/>
        <w:rPr>
          <w:rFonts w:ascii="Palatino Linotype" w:eastAsia="Palatino Linotype" w:hAnsi="Palatino Linotype" w:cs="Palatino Linotype"/>
        </w:rPr>
      </w:pPr>
    </w:p>
    <w:p w:rsidR="00DA319E" w:rsidRPr="007025FF" w:rsidRDefault="00F1597F">
      <w:pPr>
        <w:ind w:left="851" w:right="902"/>
        <w:jc w:val="both"/>
        <w:rPr>
          <w:rFonts w:ascii="Palatino Linotype" w:eastAsia="Palatino Linotype" w:hAnsi="Palatino Linotype" w:cs="Palatino Linotype"/>
          <w:i/>
          <w:iCs/>
        </w:rPr>
      </w:pPr>
      <w:r w:rsidRPr="007025FF">
        <w:rPr>
          <w:rFonts w:ascii="Palatino Linotype" w:eastAsia="Palatino Linotype" w:hAnsi="Palatino Linotype" w:cs="Palatino Linotype"/>
          <w:i/>
          <w:iCs/>
        </w:rPr>
        <w:t>"</w:t>
      </w:r>
      <w:r w:rsidRPr="007025FF">
        <w:rPr>
          <w:rFonts w:ascii="Palatino Linotype" w:eastAsia="Palatino Linotype" w:hAnsi="Palatino Linotype" w:cs="Palatino Linotype"/>
          <w:b/>
          <w:bCs/>
          <w:i/>
          <w:iCs/>
        </w:rPr>
        <w:t>Las solicitudes anónimas,</w:t>
      </w:r>
      <w:r w:rsidRPr="007025FF">
        <w:rPr>
          <w:rFonts w:ascii="Palatino Linotype" w:eastAsia="Palatino Linotype" w:hAnsi="Palatino Linotype" w:cs="Palatino Linotype"/>
          <w:i/>
          <w:iCs/>
        </w:rPr>
        <w:t xml:space="preserve"> con nombre incompleto o seudónimo</w:t>
      </w:r>
      <w:r w:rsidRPr="007025FF">
        <w:rPr>
          <w:rFonts w:ascii="Palatino Linotype" w:eastAsia="Palatino Linotype" w:hAnsi="Palatino Linotype" w:cs="Palatino Linotype"/>
          <w:b/>
          <w:bCs/>
          <w:i/>
          <w:iCs/>
        </w:rPr>
        <w:t xml:space="preserve"> serán procedentes para su trámite por parte del sujeto obligado ante quien se presente</w:t>
      </w:r>
      <w:r w:rsidRPr="007025FF">
        <w:rPr>
          <w:rFonts w:ascii="Palatino Linotype" w:eastAsia="Palatino Linotype" w:hAnsi="Palatino Linotype" w:cs="Palatino Linotype"/>
          <w:i/>
          <w:iCs/>
        </w:rPr>
        <w:t>. No podrá requerirse información adicional con motivo del nombre proporcionado por el solicitante."</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sz w:val="22"/>
          <w:szCs w:val="22"/>
        </w:rPr>
        <w:t xml:space="preserve">Asimismo, resulta necesario referir que, del análisis al medio de impugnación, no se advierte que se haya actualizado alguna causal de procedencia prevista en el artículo 179 de la Ley de Transparencia de la Entidad. </w:t>
      </w:r>
    </w:p>
    <w:p w:rsidR="00DA319E" w:rsidRPr="007025FF" w:rsidRDefault="00DA319E">
      <w:pPr>
        <w:spacing w:line="360" w:lineRule="auto"/>
        <w:ind w:left="567" w:right="616"/>
        <w:jc w:val="both"/>
        <w:rPr>
          <w:rFonts w:ascii="Palatino Linotype" w:eastAsia="Palatino Linotype" w:hAnsi="Palatino Linotype" w:cs="Palatino Linotype"/>
          <w:i/>
          <w:iCs/>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Tercero. Análisis de las causales de improcedencia y sobreseimiento del recurso de revisión.</w:t>
      </w:r>
      <w:r w:rsidRPr="007025FF">
        <w:rPr>
          <w:sz w:val="22"/>
          <w:szCs w:val="22"/>
        </w:rPr>
        <w:t xml:space="preserve"> </w:t>
      </w:r>
      <w:r w:rsidRPr="007025FF">
        <w:rPr>
          <w:rFonts w:ascii="Palatino Linotype" w:eastAsia="Palatino Linotype" w:hAnsi="Palatino Linotype" w:cs="Palatino Linotype"/>
          <w:sz w:val="22"/>
          <w:szCs w:val="22"/>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DA319E" w:rsidRPr="007025FF" w:rsidRDefault="00DA319E">
      <w:pPr>
        <w:spacing w:line="360" w:lineRule="auto"/>
        <w:jc w:val="both"/>
        <w:rPr>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rsidR="00DA319E" w:rsidRPr="007025FF" w:rsidRDefault="00F1597F">
      <w:pPr>
        <w:spacing w:line="360" w:lineRule="auto"/>
        <w:ind w:right="51"/>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De manera preliminar en el caso concreto conviene analizar si se actualiza alguna de las causales de sobreseimiento del recurso de revisión.</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Dicho esto, es de recordar que la parte Recurrente requirió los certificados de competencia laboral de los servidores públicos del OPDAPAS de Tenango del Valle obligados a contar con él. </w:t>
      </w:r>
    </w:p>
    <w:p w:rsidR="00DA319E" w:rsidRPr="007025FF" w:rsidRDefault="00DA319E">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rsidR="00DA319E" w:rsidRPr="007025FF" w:rsidRDefault="00F1597F">
      <w:pPr>
        <w:spacing w:line="360" w:lineRule="auto"/>
        <w:ind w:right="49"/>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sz w:val="22"/>
          <w:szCs w:val="22"/>
        </w:rPr>
        <w:t>En respuesta, el Sujeto Obligado adjuntó a su respuesta los archivos que se describen a continuación:</w:t>
      </w:r>
    </w:p>
    <w:p w:rsidR="00DA319E" w:rsidRPr="007025FF" w:rsidRDefault="00DA319E">
      <w:pPr>
        <w:spacing w:line="360" w:lineRule="auto"/>
        <w:ind w:right="616"/>
        <w:jc w:val="both"/>
        <w:rPr>
          <w:rFonts w:ascii="Palatino Linotype" w:eastAsia="Palatino Linotype" w:hAnsi="Palatino Linotype" w:cs="Palatino Linotype"/>
          <w:sz w:val="22"/>
          <w:szCs w:val="22"/>
        </w:rPr>
      </w:pPr>
    </w:p>
    <w:p w:rsidR="00DA319E" w:rsidRPr="007025FF" w:rsidRDefault="00F1597F">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sz w:val="22"/>
          <w:szCs w:val="22"/>
        </w:rPr>
        <w:t>Oficio de fecha veintiocho de agosto de dos mil veinticinco, signado por la Subdirectora de Administración y Finanzas mediante el cual informa que se envía los certificados de competencia laboral de los titulares de área del Organismo Público Descentralizado para la prestación de los servicios de agua potable, alcantarillado y saneamiento.</w:t>
      </w:r>
    </w:p>
    <w:p w:rsidR="00DA319E" w:rsidRPr="007025FF" w:rsidRDefault="00F1597F">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sz w:val="22"/>
          <w:szCs w:val="22"/>
        </w:rPr>
        <w:t xml:space="preserve">Cuadro de Clasificación. </w:t>
      </w:r>
    </w:p>
    <w:p w:rsidR="00DA319E" w:rsidRPr="007025FF" w:rsidRDefault="00F1597F">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sz w:val="22"/>
          <w:szCs w:val="22"/>
        </w:rPr>
        <w:t xml:space="preserve">Certificados de competencia laboral en versión pública. </w:t>
      </w:r>
    </w:p>
    <w:p w:rsidR="00DA319E" w:rsidRPr="007025FF" w:rsidRDefault="00F1597F">
      <w:pPr>
        <w:numPr>
          <w:ilvl w:val="0"/>
          <w:numId w:val="4"/>
        </w:numPr>
        <w:pBdr>
          <w:top w:val="nil"/>
          <w:left w:val="nil"/>
          <w:bottom w:val="nil"/>
          <w:right w:val="nil"/>
          <w:between w:val="nil"/>
        </w:pBdr>
        <w:spacing w:line="360" w:lineRule="auto"/>
        <w:ind w:right="616"/>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sz w:val="22"/>
          <w:szCs w:val="22"/>
        </w:rPr>
        <w:t xml:space="preserve">Oficio de fecha cuatro de septiembre de dos mil veinticinco, signado por el titular de la unidad de transparencia, mediante el cual refiere que se envía la respuesta. </w:t>
      </w:r>
    </w:p>
    <w:p w:rsidR="00DA319E" w:rsidRPr="007025FF" w:rsidRDefault="00DA319E">
      <w:pPr>
        <w:pBdr>
          <w:top w:val="nil"/>
          <w:left w:val="nil"/>
          <w:bottom w:val="nil"/>
          <w:right w:val="nil"/>
          <w:between w:val="nil"/>
        </w:pBdr>
        <w:spacing w:line="276" w:lineRule="auto"/>
        <w:ind w:left="720" w:right="616"/>
        <w:jc w:val="both"/>
        <w:rPr>
          <w:rFonts w:ascii="Palatino Linotype" w:eastAsia="Palatino Linotype" w:hAnsi="Palatino Linotype" w:cs="Palatino Linotype"/>
          <w:i/>
          <w:iCs/>
          <w:sz w:val="22"/>
          <w:szCs w:val="22"/>
        </w:rPr>
      </w:pPr>
    </w:p>
    <w:p w:rsidR="00DA319E" w:rsidRPr="007025FF" w:rsidRDefault="00F1597F">
      <w:pPr>
        <w:spacing w:line="360" w:lineRule="auto"/>
        <w:ind w:right="-93"/>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Derivado de ello, la parte Recurrente se inconformó arguyendo que el certificado de competencia laboral del Director General del OPDAPAS de Tenango del Valle que entregan </w:t>
      </w:r>
      <w:r w:rsidRPr="007025FF">
        <w:rPr>
          <w:rFonts w:ascii="Palatino Linotype" w:eastAsia="Palatino Linotype" w:hAnsi="Palatino Linotype" w:cs="Palatino Linotype"/>
          <w:b/>
          <w:bCs/>
          <w:sz w:val="22"/>
          <w:szCs w:val="22"/>
          <w:u w:val="single"/>
        </w:rPr>
        <w:t>no sirve para acreditar competencias laborales</w:t>
      </w:r>
      <w:r w:rsidRPr="007025FF">
        <w:rPr>
          <w:rFonts w:ascii="Palatino Linotype" w:eastAsia="Palatino Linotype" w:hAnsi="Palatino Linotype" w:cs="Palatino Linotype"/>
          <w:sz w:val="22"/>
          <w:szCs w:val="22"/>
        </w:rPr>
        <w:t xml:space="preserve"> para desempeñar el cargo de Director de OPDAPAS</w:t>
      </w:r>
    </w:p>
    <w:p w:rsidR="00DA319E" w:rsidRPr="007025FF" w:rsidRDefault="00DA319E">
      <w:pPr>
        <w:spacing w:line="360" w:lineRule="auto"/>
        <w:ind w:right="-93"/>
        <w:jc w:val="both"/>
        <w:rPr>
          <w:rFonts w:ascii="Palatino Linotype" w:eastAsia="Palatino Linotype" w:hAnsi="Palatino Linotype" w:cs="Palatino Linotype"/>
          <w:sz w:val="22"/>
          <w:szCs w:val="22"/>
        </w:rPr>
      </w:pPr>
    </w:p>
    <w:p w:rsidR="00DA319E" w:rsidRPr="007025FF" w:rsidRDefault="00F1597F">
      <w:pPr>
        <w:spacing w:line="360" w:lineRule="auto"/>
        <w:ind w:right="-93"/>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En atención a ello, el Sujeto Obligado mediante informe justificado, refirió que no existe disposición legal alguna que obligue a los titulares de los Organismos Operadores de Agua a contar con una certificación de competencia laboral para el desempeño de su cargo, asimismo, se aclara que la Certificación EC0075 avala la competencia laboral para la Administración de los servidores públicos municipales está alineada con el Sector 22, Rama 2221 y Clase 222111 del Sistema de Clasificación Industrial de América del Norte. </w:t>
      </w:r>
    </w:p>
    <w:p w:rsidR="00DA319E" w:rsidRPr="007025FF" w:rsidRDefault="00DA319E">
      <w:pPr>
        <w:spacing w:line="360" w:lineRule="auto"/>
        <w:ind w:right="-93"/>
        <w:jc w:val="both"/>
        <w:rPr>
          <w:rFonts w:ascii="Palatino Linotype" w:eastAsia="Palatino Linotype" w:hAnsi="Palatino Linotype" w:cs="Palatino Linotype"/>
          <w:sz w:val="22"/>
          <w:szCs w:val="22"/>
        </w:rPr>
      </w:pPr>
    </w:p>
    <w:p w:rsidR="00DA319E" w:rsidRPr="007025FF" w:rsidRDefault="00F1597F">
      <w:pPr>
        <w:spacing w:line="360" w:lineRule="auto"/>
        <w:ind w:right="49"/>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De lo anterior, no pasa inadvertido para este Organismo Garante que, toda vez que los motivos de inconformidad aducidos en el recurso de revisión, no versan sobre la totalidad de la información proporcionada por el Sujeto Obligado, pues la parte Recurrente se inconformó de manera expresa arguyendo lo siguiente: </w:t>
      </w:r>
      <w:r w:rsidRPr="007025FF">
        <w:rPr>
          <w:rFonts w:ascii="Palatino Linotype" w:eastAsia="Palatino Linotype" w:hAnsi="Palatino Linotype" w:cs="Palatino Linotype"/>
          <w:i/>
          <w:iCs/>
          <w:sz w:val="22"/>
          <w:szCs w:val="22"/>
        </w:rPr>
        <w:t xml:space="preserve">“El cedtificado de competencia laboral del Director General del OPDAPAS de Tenango del Valle que entregan NO sirve para acreditar competencias laborales para desempeñar el cargo de Director de OPDAPAS” (sic) </w:t>
      </w:r>
      <w:r w:rsidRPr="007025FF">
        <w:rPr>
          <w:rFonts w:ascii="Palatino Linotype" w:eastAsia="Palatino Linotype" w:hAnsi="Palatino Linotype" w:cs="Palatino Linotype"/>
          <w:sz w:val="22"/>
          <w:szCs w:val="22"/>
        </w:rPr>
        <w:t>se colige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Sujeto Obligado, satisface la solicitud presentada.</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Lo anterior es así, debido a que cuando la parte Recurrente impugna la respuesta del Sujeto Obligado,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ind w:left="567" w:right="616"/>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b/>
          <w:bCs/>
          <w:i/>
          <w:iCs/>
          <w:sz w:val="22"/>
          <w:szCs w:val="22"/>
        </w:rPr>
        <w:t xml:space="preserve">“REVISIÓN EN AMPARO. LOS RESOLUTIVOS NO COMBATIDOS DEBEN DECLARARSE FIRMES. </w:t>
      </w:r>
      <w:r w:rsidRPr="007025FF">
        <w:rPr>
          <w:rFonts w:ascii="Palatino Linotype" w:eastAsia="Palatino Linotype" w:hAnsi="Palatino Linotype" w:cs="Palatino Linotype"/>
          <w:i/>
          <w:iCs/>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Consecuentemente, se insiste, ante la falta de impugnación eficaz, la respuesta entregada debe declararse consentida por persona solicitante.</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Lo anterior se sustenta con lo plasmado en el criterio 01/20 emitido por el Instituto Nacional de Transparencia, Acceso a la Información, y Protección de Datos Personales, INAI, que lleva por rubro y texto los siguientes: </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pBdr>
          <w:top w:val="nil"/>
          <w:left w:val="nil"/>
          <w:bottom w:val="nil"/>
          <w:right w:val="nil"/>
          <w:between w:val="nil"/>
        </w:pBdr>
        <w:spacing w:line="276" w:lineRule="auto"/>
        <w:ind w:left="567" w:right="902"/>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i/>
          <w:iCs/>
          <w:sz w:val="22"/>
          <w:szCs w:val="22"/>
        </w:rPr>
        <w:t>“</w:t>
      </w:r>
      <w:r w:rsidRPr="007025FF">
        <w:rPr>
          <w:rFonts w:ascii="Palatino Linotype" w:eastAsia="Palatino Linotype" w:hAnsi="Palatino Linotype" w:cs="Palatino Linotype"/>
          <w:b/>
          <w:bCs/>
          <w:i/>
          <w:iCs/>
          <w:sz w:val="22"/>
          <w:szCs w:val="22"/>
        </w:rPr>
        <w:t xml:space="preserve">Actos consentidos tácitamente. Improcedencia de su análisis. </w:t>
      </w:r>
      <w:r w:rsidRPr="007025FF">
        <w:rPr>
          <w:rFonts w:ascii="Palatino Linotype" w:eastAsia="Palatino Linotype" w:hAnsi="Palatino Linotype" w:cs="Palatino Linotype"/>
          <w:i/>
          <w:iCs/>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DA319E" w:rsidRPr="007025FF" w:rsidRDefault="00DA319E">
      <w:pPr>
        <w:pBdr>
          <w:top w:val="nil"/>
          <w:left w:val="nil"/>
          <w:bottom w:val="nil"/>
          <w:right w:val="nil"/>
          <w:between w:val="nil"/>
        </w:pBdr>
        <w:spacing w:line="360" w:lineRule="auto"/>
        <w:ind w:left="567" w:right="902"/>
        <w:jc w:val="both"/>
        <w:rPr>
          <w:rFonts w:ascii="Palatino Linotype" w:eastAsia="Palatino Linotype" w:hAnsi="Palatino Linotype" w:cs="Palatino Linotype"/>
          <w:i/>
          <w:iCs/>
          <w:sz w:val="20"/>
          <w:szCs w:val="20"/>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rsidR="00DA319E" w:rsidRPr="007025FF" w:rsidRDefault="00DA319E">
      <w:pPr>
        <w:spacing w:line="360" w:lineRule="auto"/>
        <w:ind w:left="851" w:right="900"/>
        <w:jc w:val="both"/>
        <w:rPr>
          <w:rFonts w:ascii="Palatino Linotype" w:eastAsia="Palatino Linotype" w:hAnsi="Palatino Linotype" w:cs="Palatino Linotype"/>
          <w:b/>
          <w:bCs/>
          <w:i/>
          <w:iCs/>
          <w:smallCaps/>
          <w:sz w:val="22"/>
          <w:szCs w:val="22"/>
        </w:rPr>
      </w:pPr>
    </w:p>
    <w:p w:rsidR="00DA319E" w:rsidRPr="007025FF" w:rsidRDefault="00F1597F">
      <w:pPr>
        <w:tabs>
          <w:tab w:val="left" w:pos="851"/>
          <w:tab w:val="left" w:pos="1276"/>
        </w:tabs>
        <w:ind w:left="567" w:right="709"/>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i/>
          <w:iCs/>
          <w:smallCaps/>
          <w:sz w:val="22"/>
          <w:szCs w:val="22"/>
        </w:rPr>
        <w:t xml:space="preserve">“ACTOS CONSENTIDOS. SON LOS QUE NO SE IMPUGNAN MEDIANTE EL RECURSO IDÓNEO. </w:t>
      </w:r>
      <w:r w:rsidRPr="007025FF">
        <w:rPr>
          <w:rFonts w:ascii="Palatino Linotype" w:eastAsia="Palatino Linotype" w:hAnsi="Palatino Linotype" w:cs="Palatino Linotype"/>
          <w:i/>
          <w:iCs/>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DA319E" w:rsidRPr="007025FF" w:rsidRDefault="00DA319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rsidR="00DA319E" w:rsidRPr="007025FF" w:rsidRDefault="00F1597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Dicho lo anterior, se procede a contextualizar la información requerida, por lo que, de acuerdo con el Consejo Nacional de Normalización y Certificación de Competencias, el </w:t>
      </w:r>
      <w:r w:rsidRPr="007025FF">
        <w:rPr>
          <w:rFonts w:ascii="Palatino Linotype" w:eastAsia="Palatino Linotype" w:hAnsi="Palatino Linotype" w:cs="Palatino Linotype"/>
          <w:i/>
          <w:iCs/>
          <w:sz w:val="22"/>
          <w:szCs w:val="22"/>
        </w:rPr>
        <w:t>Certificado de Competencia</w:t>
      </w:r>
      <w:r w:rsidRPr="007025FF">
        <w:rPr>
          <w:rFonts w:ascii="Palatino Linotype" w:eastAsia="Palatino Linotype" w:hAnsi="Palatino Linotype" w:cs="Palatino Linotype"/>
          <w:sz w:val="22"/>
          <w:szCs w:val="22"/>
        </w:rPr>
        <w:t xml:space="preserve"> es un documento oficial donde se acredita a una persona como competente de acuerdo con lo establecido en un Estándar de Competencia, es decir, este documento asegura que una persona cuenta con un dominio respecto a una materia específica. </w:t>
      </w:r>
    </w:p>
    <w:p w:rsidR="00DA319E" w:rsidRPr="007025FF" w:rsidRDefault="00DA319E">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rsidR="00DA319E" w:rsidRPr="007025FF" w:rsidRDefault="00F1597F">
      <w:pPr>
        <w:spacing w:line="360" w:lineRule="auto"/>
        <w:ind w:right="51"/>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sz w:val="22"/>
          <w:szCs w:val="22"/>
        </w:rPr>
        <w:t xml:space="preserve">Ahora bien, en lo que respecta al asunto que ahora nos ocupa, no escapa de la óptica de este Órgano Garante que vía recurso de revisión la parte </w:t>
      </w:r>
      <w:r w:rsidRPr="007025FF">
        <w:rPr>
          <w:rFonts w:ascii="Palatino Linotype" w:eastAsia="Palatino Linotype" w:hAnsi="Palatino Linotype" w:cs="Palatino Linotype"/>
          <w:b/>
          <w:bCs/>
          <w:sz w:val="22"/>
          <w:szCs w:val="22"/>
        </w:rPr>
        <w:t xml:space="preserve">Recurrente </w:t>
      </w:r>
      <w:r w:rsidRPr="007025FF">
        <w:rPr>
          <w:rFonts w:ascii="Palatino Linotype" w:eastAsia="Palatino Linotype" w:hAnsi="Palatino Linotype" w:cs="Palatino Linotype"/>
          <w:sz w:val="22"/>
          <w:szCs w:val="22"/>
        </w:rPr>
        <w:t xml:space="preserve">manifestó lo </w:t>
      </w:r>
      <w:r w:rsidRPr="007025FF">
        <w:rPr>
          <w:rFonts w:ascii="Palatino Linotype" w:eastAsia="Palatino Linotype" w:hAnsi="Palatino Linotype" w:cs="Palatino Linotype"/>
          <w:i/>
          <w:iCs/>
          <w:sz w:val="22"/>
          <w:szCs w:val="22"/>
        </w:rPr>
        <w:t xml:space="preserve">siguiente “El cedtificado de competencia laboral del Director General del OPDAPAS de Tenango del Valle que entregan </w:t>
      </w:r>
      <w:r w:rsidRPr="007025FF">
        <w:rPr>
          <w:rFonts w:ascii="Palatino Linotype" w:eastAsia="Palatino Linotype" w:hAnsi="Palatino Linotype" w:cs="Palatino Linotype"/>
          <w:b/>
          <w:bCs/>
          <w:i/>
          <w:iCs/>
          <w:sz w:val="22"/>
          <w:szCs w:val="22"/>
          <w:u w:val="single"/>
        </w:rPr>
        <w:t>NO sirve para acreditar competencias laborales para desempeñar el cargo de Director de OPDAPAS</w:t>
      </w:r>
      <w:r w:rsidRPr="007025FF">
        <w:rPr>
          <w:rFonts w:ascii="Palatino Linotype" w:eastAsia="Palatino Linotype" w:hAnsi="Palatino Linotype" w:cs="Palatino Linotype"/>
          <w:i/>
          <w:iCs/>
          <w:sz w:val="22"/>
          <w:szCs w:val="22"/>
        </w:rPr>
        <w:t xml:space="preserve">”. </w:t>
      </w:r>
    </w:p>
    <w:p w:rsidR="00DA319E" w:rsidRPr="007025FF" w:rsidRDefault="00DA319E">
      <w:pPr>
        <w:pBdr>
          <w:top w:val="nil"/>
          <w:left w:val="nil"/>
          <w:bottom w:val="nil"/>
          <w:right w:val="nil"/>
          <w:between w:val="nil"/>
        </w:pBdr>
        <w:spacing w:line="360" w:lineRule="auto"/>
        <w:ind w:right="-150"/>
        <w:jc w:val="both"/>
        <w:rPr>
          <w:sz w:val="22"/>
          <w:szCs w:val="22"/>
        </w:rPr>
      </w:pPr>
    </w:p>
    <w:p w:rsidR="00DA319E" w:rsidRPr="007025FF" w:rsidRDefault="00F1597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En este tenor, es posible determinar que para el caso que nos ocupa, los argumentos formulados como motivos o razones de inconformidad son tendientes a dudar de la veracidad de la información que el Sujeto Obligado puso a disposición de la parte Recurrente.</w:t>
      </w:r>
    </w:p>
    <w:p w:rsidR="00DA319E" w:rsidRPr="007025FF" w:rsidRDefault="00DA319E">
      <w:pPr>
        <w:spacing w:line="360" w:lineRule="auto"/>
        <w:ind w:right="96"/>
        <w:jc w:val="both"/>
        <w:rPr>
          <w:sz w:val="22"/>
          <w:szCs w:val="22"/>
        </w:rPr>
      </w:pPr>
    </w:p>
    <w:p w:rsidR="00DA319E" w:rsidRPr="007025FF" w:rsidRDefault="00F1597F">
      <w:pPr>
        <w:spacing w:line="360" w:lineRule="auto"/>
        <w:ind w:right="96"/>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Por ello, en virtud de los argumentos expuestos con anterioridad así como del análisis realizado a las constancias que obran en el expediente electrónico del SAIMEX, se determina sobreseer el presente recurso de revisión por actualizarse la causal de sobreseimiento prevista en la fracción IV del artículo 192 de la Ley de Transparencia y Acceso a la Información Pública del Estado de México y Municipios en su correlación con la causal de improcedencia contemplada en la fracción V del artículo 191 del ordenamiento legal en cita, los que se transcriben a continuación, para un mejor entendimiento:</w:t>
      </w:r>
    </w:p>
    <w:p w:rsidR="00DA319E" w:rsidRPr="007025FF" w:rsidRDefault="00DA319E">
      <w:pPr>
        <w:spacing w:line="360" w:lineRule="auto"/>
        <w:ind w:right="96"/>
        <w:jc w:val="both"/>
        <w:rPr>
          <w:rFonts w:ascii="Palatino Linotype" w:eastAsia="Palatino Linotype" w:hAnsi="Palatino Linotype" w:cs="Palatino Linotype"/>
          <w:sz w:val="22"/>
          <w:szCs w:val="22"/>
        </w:rPr>
      </w:pPr>
    </w:p>
    <w:p w:rsidR="00DA319E" w:rsidRPr="007025FF" w:rsidRDefault="00F1597F">
      <w:pPr>
        <w:tabs>
          <w:tab w:val="left" w:pos="7938"/>
        </w:tabs>
        <w:spacing w:line="276" w:lineRule="auto"/>
        <w:ind w:left="567" w:right="902"/>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i/>
          <w:iCs/>
          <w:sz w:val="22"/>
          <w:szCs w:val="22"/>
        </w:rPr>
        <w:t>“</w:t>
      </w:r>
      <w:r w:rsidRPr="007025FF">
        <w:rPr>
          <w:rFonts w:ascii="Palatino Linotype" w:eastAsia="Palatino Linotype" w:hAnsi="Palatino Linotype" w:cs="Palatino Linotype"/>
          <w:b/>
          <w:bCs/>
          <w:i/>
          <w:iCs/>
          <w:sz w:val="22"/>
          <w:szCs w:val="22"/>
        </w:rPr>
        <w:t>Artículo 191</w:t>
      </w:r>
      <w:r w:rsidRPr="007025FF">
        <w:rPr>
          <w:rFonts w:ascii="Palatino Linotype" w:eastAsia="Palatino Linotype" w:hAnsi="Palatino Linotype" w:cs="Palatino Linotype"/>
          <w:i/>
          <w:iCs/>
          <w:sz w:val="22"/>
          <w:szCs w:val="22"/>
        </w:rPr>
        <w:t xml:space="preserve">. </w:t>
      </w:r>
      <w:r w:rsidRPr="007025FF">
        <w:rPr>
          <w:rFonts w:ascii="Palatino Linotype" w:eastAsia="Palatino Linotype" w:hAnsi="Palatino Linotype" w:cs="Palatino Linotype"/>
          <w:b/>
          <w:bCs/>
          <w:i/>
          <w:iCs/>
          <w:sz w:val="22"/>
          <w:szCs w:val="22"/>
        </w:rPr>
        <w:t>El recurso</w:t>
      </w:r>
      <w:r w:rsidRPr="007025FF">
        <w:rPr>
          <w:rFonts w:ascii="Palatino Linotype" w:eastAsia="Palatino Linotype" w:hAnsi="Palatino Linotype" w:cs="Palatino Linotype"/>
          <w:i/>
          <w:iCs/>
          <w:sz w:val="22"/>
          <w:szCs w:val="22"/>
        </w:rPr>
        <w:t xml:space="preserve"> </w:t>
      </w:r>
      <w:r w:rsidRPr="007025FF">
        <w:rPr>
          <w:rFonts w:ascii="Palatino Linotype" w:eastAsia="Palatino Linotype" w:hAnsi="Palatino Linotype" w:cs="Palatino Linotype"/>
          <w:b/>
          <w:bCs/>
          <w:i/>
          <w:iCs/>
          <w:sz w:val="22"/>
          <w:szCs w:val="22"/>
        </w:rPr>
        <w:t xml:space="preserve">será </w:t>
      </w:r>
      <w:r w:rsidRPr="007025FF">
        <w:rPr>
          <w:rFonts w:ascii="Palatino Linotype" w:eastAsia="Palatino Linotype" w:hAnsi="Palatino Linotype" w:cs="Palatino Linotype"/>
          <w:i/>
          <w:iCs/>
          <w:sz w:val="22"/>
          <w:szCs w:val="22"/>
        </w:rPr>
        <w:t xml:space="preserve">desechado por </w:t>
      </w:r>
      <w:r w:rsidRPr="007025FF">
        <w:rPr>
          <w:rFonts w:ascii="Palatino Linotype" w:eastAsia="Palatino Linotype" w:hAnsi="Palatino Linotype" w:cs="Palatino Linotype"/>
          <w:b/>
          <w:bCs/>
          <w:i/>
          <w:iCs/>
          <w:sz w:val="22"/>
          <w:szCs w:val="22"/>
        </w:rPr>
        <w:t>improcedente cuando</w:t>
      </w:r>
      <w:r w:rsidRPr="007025FF">
        <w:rPr>
          <w:rFonts w:ascii="Palatino Linotype" w:eastAsia="Palatino Linotype" w:hAnsi="Palatino Linotype" w:cs="Palatino Linotype"/>
          <w:i/>
          <w:iCs/>
          <w:sz w:val="22"/>
          <w:szCs w:val="22"/>
        </w:rPr>
        <w:t>:</w:t>
      </w:r>
    </w:p>
    <w:p w:rsidR="00DA319E" w:rsidRPr="007025FF" w:rsidRDefault="00F1597F">
      <w:pPr>
        <w:tabs>
          <w:tab w:val="left" w:pos="7938"/>
        </w:tabs>
        <w:spacing w:line="276" w:lineRule="auto"/>
        <w:ind w:left="567" w:right="902"/>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i/>
          <w:iCs/>
          <w:sz w:val="22"/>
          <w:szCs w:val="22"/>
        </w:rPr>
        <w:t>…</w:t>
      </w:r>
    </w:p>
    <w:p w:rsidR="00DA319E" w:rsidRPr="007025FF" w:rsidRDefault="00F1597F">
      <w:pPr>
        <w:tabs>
          <w:tab w:val="left" w:pos="7938"/>
        </w:tabs>
        <w:spacing w:line="276" w:lineRule="auto"/>
        <w:ind w:left="567" w:right="902"/>
        <w:jc w:val="both"/>
        <w:rPr>
          <w:rFonts w:ascii="Palatino Linotype" w:eastAsia="Palatino Linotype" w:hAnsi="Palatino Linotype" w:cs="Palatino Linotype"/>
          <w:b/>
          <w:bCs/>
          <w:i/>
          <w:iCs/>
          <w:sz w:val="22"/>
          <w:szCs w:val="22"/>
        </w:rPr>
      </w:pPr>
      <w:r w:rsidRPr="007025FF">
        <w:rPr>
          <w:rFonts w:ascii="Palatino Linotype" w:eastAsia="Palatino Linotype" w:hAnsi="Palatino Linotype" w:cs="Palatino Linotype"/>
          <w:i/>
          <w:iCs/>
          <w:sz w:val="22"/>
          <w:szCs w:val="22"/>
        </w:rPr>
        <w:t>V</w:t>
      </w:r>
      <w:r w:rsidRPr="007025FF">
        <w:rPr>
          <w:rFonts w:ascii="Palatino Linotype" w:eastAsia="Palatino Linotype" w:hAnsi="Palatino Linotype" w:cs="Palatino Linotype"/>
          <w:b/>
          <w:bCs/>
          <w:i/>
          <w:iCs/>
          <w:sz w:val="22"/>
          <w:szCs w:val="22"/>
        </w:rPr>
        <w:t>.</w:t>
      </w:r>
      <w:r w:rsidRPr="007025FF">
        <w:rPr>
          <w:rFonts w:ascii="Palatino Linotype" w:eastAsia="Palatino Linotype" w:hAnsi="Palatino Linotype" w:cs="Palatino Linotype"/>
          <w:i/>
          <w:iCs/>
          <w:sz w:val="22"/>
          <w:szCs w:val="22"/>
        </w:rPr>
        <w:t xml:space="preserve"> Se impugne la veracidad de la información proporcionada;</w:t>
      </w:r>
      <w:r w:rsidRPr="007025FF">
        <w:rPr>
          <w:rFonts w:ascii="Palatino Linotype" w:eastAsia="Palatino Linotype" w:hAnsi="Palatino Linotype" w:cs="Palatino Linotype"/>
          <w:b/>
          <w:bCs/>
          <w:i/>
          <w:iCs/>
          <w:sz w:val="22"/>
          <w:szCs w:val="22"/>
        </w:rPr>
        <w:t xml:space="preserve"> </w:t>
      </w:r>
    </w:p>
    <w:p w:rsidR="00DA319E" w:rsidRPr="007025FF" w:rsidRDefault="00F1597F">
      <w:pPr>
        <w:tabs>
          <w:tab w:val="left" w:pos="7938"/>
        </w:tabs>
        <w:spacing w:line="276" w:lineRule="auto"/>
        <w:ind w:left="567" w:right="902"/>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i/>
          <w:iCs/>
          <w:sz w:val="22"/>
          <w:szCs w:val="22"/>
        </w:rPr>
        <w:t>…</w:t>
      </w:r>
    </w:p>
    <w:p w:rsidR="00DA319E" w:rsidRPr="007025FF" w:rsidRDefault="00DA319E">
      <w:pPr>
        <w:tabs>
          <w:tab w:val="left" w:pos="7938"/>
        </w:tabs>
        <w:spacing w:line="276" w:lineRule="auto"/>
        <w:ind w:left="567" w:right="902"/>
        <w:jc w:val="both"/>
        <w:rPr>
          <w:rFonts w:ascii="Palatino Linotype" w:eastAsia="Palatino Linotype" w:hAnsi="Palatino Linotype" w:cs="Palatino Linotype"/>
          <w:i/>
          <w:iCs/>
          <w:sz w:val="22"/>
          <w:szCs w:val="22"/>
        </w:rPr>
      </w:pPr>
    </w:p>
    <w:p w:rsidR="00DA319E" w:rsidRPr="007025FF" w:rsidRDefault="00F1597F">
      <w:pPr>
        <w:tabs>
          <w:tab w:val="left" w:pos="7938"/>
        </w:tabs>
        <w:spacing w:line="276" w:lineRule="auto"/>
        <w:ind w:left="567" w:right="902"/>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b/>
          <w:bCs/>
          <w:i/>
          <w:iCs/>
          <w:sz w:val="22"/>
          <w:szCs w:val="22"/>
        </w:rPr>
        <w:t>Artículo 192.</w:t>
      </w:r>
      <w:r w:rsidRPr="007025FF">
        <w:rPr>
          <w:rFonts w:ascii="Palatino Linotype" w:eastAsia="Palatino Linotype" w:hAnsi="Palatino Linotype" w:cs="Palatino Linotype"/>
          <w:i/>
          <w:iCs/>
          <w:sz w:val="22"/>
          <w:szCs w:val="22"/>
        </w:rPr>
        <w:t xml:space="preserve"> El recurso será sobreseído, en todo o en parte, cuando una vez admitido, se actualicen alguno de los siguientes supuestos:</w:t>
      </w:r>
    </w:p>
    <w:p w:rsidR="00DA319E" w:rsidRPr="007025FF" w:rsidRDefault="00F1597F">
      <w:pPr>
        <w:tabs>
          <w:tab w:val="left" w:pos="7938"/>
        </w:tabs>
        <w:spacing w:line="276" w:lineRule="auto"/>
        <w:ind w:left="567" w:right="902"/>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i/>
          <w:iCs/>
          <w:sz w:val="22"/>
          <w:szCs w:val="22"/>
        </w:rPr>
        <w:t>…</w:t>
      </w:r>
    </w:p>
    <w:p w:rsidR="00DA319E" w:rsidRPr="007025FF" w:rsidRDefault="00F1597F">
      <w:pPr>
        <w:tabs>
          <w:tab w:val="left" w:pos="7938"/>
        </w:tabs>
        <w:spacing w:line="276" w:lineRule="auto"/>
        <w:ind w:left="567" w:right="902"/>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b/>
          <w:bCs/>
          <w:i/>
          <w:iCs/>
          <w:sz w:val="22"/>
          <w:szCs w:val="22"/>
        </w:rPr>
        <w:t>IV</w:t>
      </w:r>
      <w:r w:rsidRPr="007025FF">
        <w:rPr>
          <w:rFonts w:ascii="Palatino Linotype" w:eastAsia="Palatino Linotype" w:hAnsi="Palatino Linotype" w:cs="Palatino Linotype"/>
          <w:i/>
          <w:iCs/>
          <w:sz w:val="22"/>
          <w:szCs w:val="22"/>
        </w:rPr>
        <w:t xml:space="preserve">. Admitido el recurso de revisión, </w:t>
      </w:r>
      <w:r w:rsidRPr="007025FF">
        <w:rPr>
          <w:rFonts w:ascii="Palatino Linotype" w:eastAsia="Palatino Linotype" w:hAnsi="Palatino Linotype" w:cs="Palatino Linotype"/>
          <w:b/>
          <w:bCs/>
          <w:i/>
          <w:iCs/>
          <w:sz w:val="22"/>
          <w:szCs w:val="22"/>
        </w:rPr>
        <w:t>aparezca alguna causal de improcedencia</w:t>
      </w:r>
      <w:r w:rsidRPr="007025FF">
        <w:rPr>
          <w:rFonts w:ascii="Palatino Linotype" w:eastAsia="Palatino Linotype" w:hAnsi="Palatino Linotype" w:cs="Palatino Linotype"/>
          <w:i/>
          <w:iCs/>
          <w:sz w:val="22"/>
          <w:szCs w:val="22"/>
        </w:rPr>
        <w:t xml:space="preserve"> en los términos de la presente Ley. “</w:t>
      </w: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Siendo el </w:t>
      </w:r>
      <w:r w:rsidRPr="007025FF">
        <w:rPr>
          <w:rFonts w:ascii="Palatino Linotype" w:eastAsia="Palatino Linotype" w:hAnsi="Palatino Linotype" w:cs="Palatino Linotype"/>
          <w:i/>
          <w:iCs/>
          <w:sz w:val="22"/>
          <w:szCs w:val="22"/>
        </w:rPr>
        <w:t>sobreseimiento</w:t>
      </w:r>
      <w:r w:rsidRPr="007025FF">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consisten en dar por concluido el recurso administrativo sin entrar al estudio de fondo del asunto de que se trate; lo anterior con apoyo en el criterio del Poder Judicial de la Federación con rubro:</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276" w:lineRule="auto"/>
        <w:ind w:left="567" w:right="902"/>
        <w:jc w:val="both"/>
        <w:rPr>
          <w:rFonts w:ascii="Palatino Linotype" w:eastAsia="Palatino Linotype" w:hAnsi="Palatino Linotype" w:cs="Palatino Linotype"/>
          <w:b/>
          <w:bCs/>
          <w:i/>
          <w:iCs/>
          <w:sz w:val="22"/>
          <w:szCs w:val="22"/>
        </w:rPr>
      </w:pPr>
      <w:r w:rsidRPr="007025FF">
        <w:rPr>
          <w:rFonts w:ascii="Palatino Linotype" w:eastAsia="Palatino Linotype" w:hAnsi="Palatino Linotype" w:cs="Palatino Linotype"/>
          <w:i/>
          <w:iCs/>
          <w:sz w:val="22"/>
          <w:szCs w:val="22"/>
        </w:rPr>
        <w:t>“</w:t>
      </w:r>
      <w:r w:rsidRPr="007025FF">
        <w:rPr>
          <w:rFonts w:ascii="Palatino Linotype" w:eastAsia="Palatino Linotype" w:hAnsi="Palatino Linotype" w:cs="Palatino Linotype"/>
          <w:b/>
          <w:bCs/>
          <w:i/>
          <w:iCs/>
          <w:sz w:val="22"/>
          <w:szCs w:val="22"/>
        </w:rPr>
        <w:t>SOBRESEIMIENTO, NO PERMITE ENTRAR AL ESTUDIO DE LAS CUESTIONES DE FONDO</w:t>
      </w:r>
    </w:p>
    <w:p w:rsidR="00DA319E" w:rsidRPr="007025FF" w:rsidRDefault="00F1597F">
      <w:pPr>
        <w:spacing w:line="276" w:lineRule="auto"/>
        <w:ind w:left="567" w:right="902"/>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i/>
          <w:iCs/>
          <w:sz w:val="22"/>
          <w:szCs w:val="22"/>
        </w:rPr>
        <w:t>Localización: 213609. II.2o.183 K. Tribunales Colegiados de Circuito. Octava Época. Semanario Judicial de la Federación. Tomo XIII, Febrero de 1994, Pág. 420</w:t>
      </w:r>
    </w:p>
    <w:p w:rsidR="00DA319E" w:rsidRPr="007025FF" w:rsidRDefault="00F1597F">
      <w:pPr>
        <w:spacing w:line="276" w:lineRule="auto"/>
        <w:ind w:left="567" w:right="902"/>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i/>
          <w:iCs/>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rsidR="00DA319E" w:rsidRPr="007025FF" w:rsidRDefault="00DA319E">
      <w:pPr>
        <w:spacing w:line="276" w:lineRule="auto"/>
        <w:ind w:left="567" w:right="902"/>
        <w:jc w:val="both"/>
        <w:rPr>
          <w:rFonts w:ascii="Palatino Linotype" w:eastAsia="Palatino Linotype" w:hAnsi="Palatino Linotype" w:cs="Palatino Linotype"/>
          <w:i/>
          <w:iCs/>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Cabe destacar que la decisión de este Organismo Colegiado de sobreseer el recurso de revisión no implica una limitación o negación a la justicia, según lo ha establecido el Poder Judicial Federal, en el criterio que es aplicable por analogía, con rubro:</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276" w:lineRule="auto"/>
        <w:ind w:left="567" w:right="567"/>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b/>
          <w:bCs/>
          <w:i/>
          <w:iCs/>
          <w:sz w:val="22"/>
          <w:szCs w:val="22"/>
        </w:rPr>
        <w:t xml:space="preserve">“DESECHAMIENTO O SOBRESEIMIENTO EN EL JUICIO DE AMPARO. NO IMPLICA DENEGACIÓN DE JUSTICIA NI GENERA INSEGURIDAD JURÍDICA” </w:t>
      </w:r>
      <w:r w:rsidRPr="007025FF">
        <w:rPr>
          <w:rFonts w:ascii="Palatino Linotype" w:eastAsia="Palatino Linotype" w:hAnsi="Palatino Linotype" w:cs="Palatino Linotype"/>
          <w:i/>
          <w:iCs/>
          <w:sz w:val="22"/>
          <w:szCs w:val="22"/>
        </w:rPr>
        <w:t xml:space="preserve">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rsidR="00DA319E" w:rsidRPr="007025FF" w:rsidRDefault="00DA319E">
      <w:pPr>
        <w:spacing w:line="276" w:lineRule="auto"/>
        <w:ind w:left="567" w:right="567"/>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Finalmente, no pasa desapercibido referir que, en respuesta, el Sujeto Obligado remitió un Certificado de Competencia Laboral expedido por el Consejo Nacional de Normalización y Certificación de Competencias Laborales para el Estándar de Competencia “Administración de los servicios públicos municipales”, asimismo, refirió mediante informe justificado que, no existe disposición legal alguna que obligue a los titulares de los organismos operadores de agua de contar con una certificación de competencia laboral para el desempeño de su cargo.</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En ese sentido, se considera que, el Sujeto Obligado hizo entrega de la información que obra en sus archivos, aunado a que, tal como lo refirió el Organismo Público Descentralizado, no existe obligación por parte del servidor público para que cuente con una determinada certificación de competencia laboral. </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ind w:right="49"/>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Robustece lo anterior, el Criterio orientador 31/10 de aplicación análoga para este Organismo Garante, emitido por el entonces Instituto Nacional de Transparencia, Acceso a la Información y Protección de Datos Personales, que establece lo siguiente: </w:t>
      </w:r>
    </w:p>
    <w:p w:rsidR="00DA319E" w:rsidRPr="007025FF" w:rsidRDefault="00F1597F">
      <w:pPr>
        <w:spacing w:line="276" w:lineRule="auto"/>
        <w:ind w:left="567" w:right="843"/>
        <w:jc w:val="both"/>
        <w:rPr>
          <w:rFonts w:ascii="Palatino Linotype" w:eastAsia="Palatino Linotype" w:hAnsi="Palatino Linotype" w:cs="Palatino Linotype"/>
          <w:i/>
          <w:iCs/>
          <w:sz w:val="22"/>
          <w:szCs w:val="22"/>
        </w:rPr>
      </w:pPr>
      <w:r w:rsidRPr="007025FF">
        <w:rPr>
          <w:rFonts w:ascii="Palatino Linotype" w:eastAsia="Palatino Linotype" w:hAnsi="Palatino Linotype" w:cs="Palatino Linotype"/>
          <w:b/>
          <w:bCs/>
          <w:i/>
          <w:iCs/>
          <w:sz w:val="22"/>
          <w:szCs w:val="22"/>
        </w:rPr>
        <w:t xml:space="preserve">El Instituto Federal de Acceso a la Información y Protección de Datos no cuenta con facultades para pronunciarse respecto de la veracidad de los documentos proporcionados por los sujetos obligados. </w:t>
      </w:r>
      <w:r w:rsidRPr="007025FF">
        <w:rPr>
          <w:rFonts w:ascii="Palatino Linotype" w:eastAsia="Palatino Linotype" w:hAnsi="Palatino Linotype" w:cs="Palatino Linotype"/>
          <w:i/>
          <w:iCs/>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DA319E" w:rsidRPr="007025FF" w:rsidRDefault="00DA319E">
      <w:pPr>
        <w:spacing w:line="360" w:lineRule="auto"/>
        <w:ind w:right="49"/>
        <w:jc w:val="both"/>
        <w:rPr>
          <w:rFonts w:ascii="Palatino Linotype" w:eastAsia="Palatino Linotype" w:hAnsi="Palatino Linotype" w:cs="Palatino Linotype"/>
          <w:sz w:val="22"/>
          <w:szCs w:val="22"/>
        </w:rPr>
      </w:pPr>
    </w:p>
    <w:p w:rsidR="00DA319E" w:rsidRPr="007025FF" w:rsidRDefault="00F1597F">
      <w:pPr>
        <w:tabs>
          <w:tab w:val="left" w:pos="360"/>
        </w:tabs>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 xml:space="preserve">De lo expuesto y, toda vez que este organismo Garante carece de facultades para dudar de la veracidad en relación a la información proporcionada, en consecuencia, los requerimientos de la hoy parte Recurrente, se tienen por atendidos. </w:t>
      </w:r>
    </w:p>
    <w:p w:rsidR="00DA319E" w:rsidRPr="007025FF" w:rsidRDefault="00DA319E">
      <w:pPr>
        <w:tabs>
          <w:tab w:val="left" w:pos="360"/>
        </w:tabs>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bookmarkStart w:id="5" w:name="_heading=h.7lrj7js2vrl5" w:colFirst="0" w:colLast="0"/>
      <w:bookmarkEnd w:id="5"/>
      <w:r w:rsidRPr="007025FF">
        <w:rPr>
          <w:rFonts w:ascii="Palatino Linotype" w:eastAsia="Palatino Linotype" w:hAnsi="Palatino Linotype" w:cs="Palatino Linotype"/>
          <w:sz w:val="22"/>
          <w:szCs w:val="22"/>
        </w:rPr>
        <w:t xml:space="preserve">Asimismo, se destaca que el Sujeto Obligado sólo puede proporcionar la información que obra en sus archivos, lo que a </w:t>
      </w:r>
      <w:r w:rsidRPr="007025FF">
        <w:rPr>
          <w:rFonts w:ascii="Palatino Linotype" w:eastAsia="Palatino Linotype" w:hAnsi="Palatino Linotype" w:cs="Palatino Linotype"/>
          <w:i/>
          <w:iCs/>
          <w:sz w:val="22"/>
          <w:szCs w:val="22"/>
        </w:rPr>
        <w:t xml:space="preserve">contrario sensu </w:t>
      </w:r>
      <w:r w:rsidRPr="007025FF">
        <w:rPr>
          <w:rFonts w:ascii="Palatino Linotype" w:eastAsia="Palatino Linotype" w:hAnsi="Palatino Linotype" w:cs="Palatino Linotype"/>
          <w:sz w:val="22"/>
          <w:szCs w:val="22"/>
        </w:rPr>
        <w:t>significa que no se está obligado a proporcionar lo que no obre en los mismos, esto, de conformidad con lo que señala el artículo 12 de la Ley de Transparencia y Acceso a la Información Pública del Estado de México.</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sz w:val="22"/>
          <w:szCs w:val="22"/>
        </w:rPr>
        <w:t>Así, con fundamento en lo prescrito en los artículos 5 párrafos trigésimo noveno, cuadragésimo y cuadragésimo tercero fracciones IV y V de la Constitución Política del Estado Libre y Soberano de México; 2, fracción II; 29, 36 fracciones I y II; 176, 178, 181, 185, fracción I, 186, fracción I, así como 188 de la Ley de Transparencia y Acceso a la Información Pública del Estado de México y Municipios, este Pleno:</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numPr>
          <w:ilvl w:val="0"/>
          <w:numId w:val="2"/>
        </w:num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7025FF">
        <w:rPr>
          <w:rFonts w:ascii="Palatino Linotype" w:eastAsia="Palatino Linotype" w:hAnsi="Palatino Linotype" w:cs="Palatino Linotype"/>
          <w:b/>
          <w:bCs/>
          <w:sz w:val="22"/>
          <w:szCs w:val="22"/>
        </w:rPr>
        <w:t>R E S U E L V E:</w:t>
      </w:r>
    </w:p>
    <w:p w:rsidR="00DA319E" w:rsidRPr="007025FF" w:rsidRDefault="00DA319E">
      <w:pPr>
        <w:spacing w:line="360" w:lineRule="auto"/>
        <w:jc w:val="both"/>
        <w:rPr>
          <w:rFonts w:ascii="Palatino Linotype" w:eastAsia="Palatino Linotype" w:hAnsi="Palatino Linotype" w:cs="Palatino Linotype"/>
          <w:b/>
          <w:bCs/>
          <w:sz w:val="22"/>
          <w:szCs w:val="22"/>
        </w:rPr>
      </w:pPr>
    </w:p>
    <w:p w:rsidR="00DA319E" w:rsidRPr="007025FF" w:rsidRDefault="00F1597F">
      <w:pPr>
        <w:tabs>
          <w:tab w:val="left" w:pos="7936"/>
        </w:tabs>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 xml:space="preserve">Primero. </w:t>
      </w:r>
      <w:r w:rsidRPr="007025FF">
        <w:rPr>
          <w:rFonts w:ascii="Palatino Linotype" w:eastAsia="Palatino Linotype" w:hAnsi="Palatino Linotype" w:cs="Palatino Linotype"/>
          <w:sz w:val="22"/>
          <w:szCs w:val="22"/>
        </w:rPr>
        <w:t>Se</w:t>
      </w:r>
      <w:r w:rsidRPr="007025FF">
        <w:rPr>
          <w:rFonts w:ascii="Palatino Linotype" w:eastAsia="Palatino Linotype" w:hAnsi="Palatino Linotype" w:cs="Palatino Linotype"/>
          <w:b/>
          <w:bCs/>
          <w:sz w:val="22"/>
          <w:szCs w:val="22"/>
        </w:rPr>
        <w:t xml:space="preserve"> Sobresee </w:t>
      </w:r>
      <w:r w:rsidRPr="007025FF">
        <w:rPr>
          <w:rFonts w:ascii="Palatino Linotype" w:eastAsia="Palatino Linotype" w:hAnsi="Palatino Linotype" w:cs="Palatino Linotype"/>
          <w:sz w:val="22"/>
          <w:szCs w:val="22"/>
        </w:rPr>
        <w:t xml:space="preserve">el recurso de revisión número </w:t>
      </w:r>
      <w:r w:rsidRPr="007025FF">
        <w:rPr>
          <w:rFonts w:ascii="Palatino Linotype" w:eastAsia="Palatino Linotype" w:hAnsi="Palatino Linotype" w:cs="Palatino Linotype"/>
          <w:b/>
          <w:bCs/>
          <w:sz w:val="22"/>
          <w:szCs w:val="22"/>
        </w:rPr>
        <w:t xml:space="preserve">10539/INFOEM/IP/RR/2025, </w:t>
      </w:r>
      <w:r w:rsidRPr="007025FF">
        <w:rPr>
          <w:rFonts w:ascii="Palatino Linotype" w:eastAsia="Palatino Linotype" w:hAnsi="Palatino Linotype" w:cs="Palatino Linotype"/>
          <w:sz w:val="22"/>
          <w:szCs w:val="22"/>
        </w:rPr>
        <w:t xml:space="preserve">porque una vez admitido se actualizó la causal de improcedencia prevista en artículo 192 fracción IV, en relación con la fracción V del artículo 191, de la Ley de Transparencia y Acceso a la Información Pública del Estado de México y Municipios, en términos del </w:t>
      </w:r>
      <w:r w:rsidRPr="007025FF">
        <w:rPr>
          <w:rFonts w:ascii="Palatino Linotype" w:eastAsia="Palatino Linotype" w:hAnsi="Palatino Linotype" w:cs="Palatino Linotype"/>
          <w:b/>
          <w:bCs/>
          <w:sz w:val="22"/>
          <w:szCs w:val="22"/>
        </w:rPr>
        <w:t xml:space="preserve">Considerando Tercero </w:t>
      </w:r>
      <w:r w:rsidRPr="007025FF">
        <w:rPr>
          <w:rFonts w:ascii="Palatino Linotype" w:eastAsia="Palatino Linotype" w:hAnsi="Palatino Linotype" w:cs="Palatino Linotype"/>
          <w:sz w:val="22"/>
          <w:szCs w:val="22"/>
        </w:rPr>
        <w:t>de la presente resolución.</w:t>
      </w:r>
    </w:p>
    <w:p w:rsidR="00DA319E" w:rsidRPr="007025FF" w:rsidRDefault="00DA319E">
      <w:pPr>
        <w:tabs>
          <w:tab w:val="left" w:pos="7936"/>
        </w:tabs>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 xml:space="preserve">Segundo. </w:t>
      </w:r>
      <w:r w:rsidRPr="007025FF">
        <w:rPr>
          <w:rFonts w:ascii="Palatino Linotype" w:eastAsia="Palatino Linotype" w:hAnsi="Palatino Linotype" w:cs="Palatino Linotype"/>
          <w:sz w:val="22"/>
          <w:szCs w:val="22"/>
        </w:rPr>
        <w:t>Notifíquese al Titular de la Unidad de Transparencia, vía Sistema de Acceso a la Información Mexiquense (SAIMEX)</w:t>
      </w:r>
      <w:r w:rsidRPr="007025FF">
        <w:rPr>
          <w:rFonts w:ascii="Palatino Linotype" w:eastAsia="Palatino Linotype" w:hAnsi="Palatino Linotype" w:cs="Palatino Linotype"/>
          <w:b/>
          <w:bCs/>
          <w:sz w:val="22"/>
          <w:szCs w:val="22"/>
        </w:rPr>
        <w:t>,</w:t>
      </w:r>
      <w:r w:rsidRPr="007025FF">
        <w:rPr>
          <w:rFonts w:ascii="Palatino Linotype" w:eastAsia="Palatino Linotype" w:hAnsi="Palatino Linotype" w:cs="Palatino Linotype"/>
          <w:sz w:val="22"/>
          <w:szCs w:val="22"/>
        </w:rPr>
        <w:t xml:space="preserve"> para su conocimiento.</w:t>
      </w:r>
    </w:p>
    <w:p w:rsidR="00DA319E" w:rsidRPr="007025FF" w:rsidRDefault="00DA319E">
      <w:pPr>
        <w:spacing w:line="360" w:lineRule="auto"/>
        <w:jc w:val="both"/>
        <w:rPr>
          <w:rFonts w:ascii="Palatino Linotype" w:eastAsia="Palatino Linotype" w:hAnsi="Palatino Linotype" w:cs="Palatino Linotype"/>
          <w:sz w:val="22"/>
          <w:szCs w:val="22"/>
        </w:rPr>
      </w:pPr>
    </w:p>
    <w:p w:rsidR="00DA319E" w:rsidRPr="007025FF" w:rsidRDefault="00F1597F">
      <w:pPr>
        <w:spacing w:line="360" w:lineRule="auto"/>
        <w:jc w:val="both"/>
        <w:rPr>
          <w:rFonts w:ascii="Palatino Linotype" w:eastAsia="Palatino Linotype" w:hAnsi="Palatino Linotype" w:cs="Palatino Linotype"/>
          <w:sz w:val="22"/>
          <w:szCs w:val="22"/>
        </w:rPr>
      </w:pPr>
      <w:r w:rsidRPr="007025FF">
        <w:rPr>
          <w:rFonts w:ascii="Palatino Linotype" w:eastAsia="Palatino Linotype" w:hAnsi="Palatino Linotype" w:cs="Palatino Linotype"/>
          <w:b/>
          <w:bCs/>
          <w:sz w:val="22"/>
          <w:szCs w:val="22"/>
        </w:rPr>
        <w:t xml:space="preserve">Tercero. </w:t>
      </w:r>
      <w:r w:rsidRPr="007025FF">
        <w:rPr>
          <w:rFonts w:ascii="Palatino Linotype" w:eastAsia="Palatino Linotype" w:hAnsi="Palatino Linotype" w:cs="Palatino Linotype"/>
          <w:sz w:val="22"/>
          <w:szCs w:val="22"/>
        </w:rPr>
        <w:t xml:space="preserve">Notifíquese vía Sistema de Acceso a la Información Mexiquense (SAIMEX), la presente resolución a la parte </w:t>
      </w:r>
      <w:r w:rsidRPr="007025FF">
        <w:rPr>
          <w:rFonts w:ascii="Palatino Linotype" w:eastAsia="Palatino Linotype" w:hAnsi="Palatino Linotype" w:cs="Palatino Linotype"/>
          <w:b/>
          <w:bCs/>
          <w:sz w:val="22"/>
          <w:szCs w:val="22"/>
        </w:rPr>
        <w:t>Recurrente,</w:t>
      </w:r>
      <w:r w:rsidRPr="007025FF">
        <w:rPr>
          <w:rFonts w:ascii="Palatino Linotype" w:eastAsia="Palatino Linotype" w:hAnsi="Palatino Linotype" w:cs="Palatino Linotype"/>
          <w:sz w:val="22"/>
          <w:szCs w:val="22"/>
        </w:rPr>
        <w:t xml:space="preserve"> así como, que de conformidad con lo establecido en el artículo 196 de la Ley de Transparencia y Acceso a la Información Pública del Estado de México y Municipios, podrá impugnarla vía </w:t>
      </w:r>
      <w:r w:rsidRPr="007025FF">
        <w:rPr>
          <w:rFonts w:ascii="Palatino Linotype" w:eastAsia="Palatino Linotype" w:hAnsi="Palatino Linotype" w:cs="Palatino Linotype"/>
          <w:b/>
          <w:bCs/>
          <w:sz w:val="22"/>
          <w:szCs w:val="22"/>
        </w:rPr>
        <w:t>Juicio de Amparo</w:t>
      </w:r>
      <w:r w:rsidRPr="007025FF">
        <w:rPr>
          <w:rFonts w:ascii="Palatino Linotype" w:eastAsia="Palatino Linotype" w:hAnsi="Palatino Linotype" w:cs="Palatino Linotype"/>
          <w:sz w:val="22"/>
          <w:szCs w:val="22"/>
        </w:rPr>
        <w:t xml:space="preserve"> en los términos de las leyes aplicables.</w:t>
      </w:r>
    </w:p>
    <w:p w:rsidR="00212FED" w:rsidRPr="007025FF" w:rsidRDefault="00212FED">
      <w:pPr>
        <w:spacing w:line="360" w:lineRule="auto"/>
        <w:jc w:val="both"/>
        <w:rPr>
          <w:rFonts w:ascii="Palatino Linotype" w:eastAsia="Palatino Linotype" w:hAnsi="Palatino Linotype" w:cs="Palatino Linotype"/>
          <w:sz w:val="22"/>
          <w:szCs w:val="22"/>
        </w:rPr>
      </w:pPr>
    </w:p>
    <w:p w:rsidR="00212FED" w:rsidRPr="007025FF" w:rsidRDefault="00212FED">
      <w:pPr>
        <w:spacing w:line="360" w:lineRule="auto"/>
        <w:jc w:val="both"/>
        <w:rPr>
          <w:rFonts w:ascii="Palatino Linotype" w:eastAsia="Palatino Linotype" w:hAnsi="Palatino Linotype" w:cs="Palatino Linotype"/>
          <w:sz w:val="22"/>
          <w:szCs w:val="22"/>
        </w:rPr>
      </w:pPr>
    </w:p>
    <w:p w:rsidR="00DA319E" w:rsidRPr="007025FF" w:rsidRDefault="00DA319E">
      <w:pPr>
        <w:spacing w:line="360" w:lineRule="auto"/>
        <w:ind w:right="49"/>
        <w:jc w:val="both"/>
        <w:rPr>
          <w:rFonts w:ascii="Palatino Linotype" w:eastAsia="Palatino Linotype" w:hAnsi="Palatino Linotype" w:cs="Palatino Linotype"/>
          <w:sz w:val="22"/>
          <w:szCs w:val="22"/>
        </w:rPr>
      </w:pPr>
    </w:p>
    <w:p w:rsidR="00DA319E" w:rsidRPr="00212FED" w:rsidRDefault="00F1597F">
      <w:pPr>
        <w:spacing w:line="360" w:lineRule="auto"/>
        <w:jc w:val="both"/>
        <w:rPr>
          <w:rFonts w:ascii="Palatino Linotype" w:eastAsia="Palatino Linotype" w:hAnsi="Palatino Linotype" w:cs="Palatino Linotype"/>
          <w:sz w:val="22"/>
          <w:szCs w:val="22"/>
        </w:rPr>
        <w:sectPr w:rsidR="00DA319E" w:rsidRPr="00212FED">
          <w:headerReference w:type="default" r:id="rId8"/>
          <w:footerReference w:type="default" r:id="rId9"/>
          <w:headerReference w:type="first" r:id="rId10"/>
          <w:footerReference w:type="first" r:id="rId11"/>
          <w:pgSz w:w="12240" w:h="15840"/>
          <w:pgMar w:top="2041" w:right="1701" w:bottom="1701" w:left="1701" w:header="709" w:footer="709" w:gutter="0"/>
          <w:pgNumType w:start="1"/>
          <w:cols w:space="720"/>
          <w:titlePg/>
        </w:sectPr>
      </w:pPr>
      <w:bookmarkStart w:id="6" w:name="_heading=h.lgjxm1j32xie" w:colFirst="0" w:colLast="0"/>
      <w:bookmarkEnd w:id="6"/>
      <w:r w:rsidRPr="007025F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r w:rsidRPr="00212FED">
        <w:rPr>
          <w:rFonts w:ascii="Palatino Linotype" w:eastAsia="Palatino Linotype" w:hAnsi="Palatino Linotype" w:cs="Palatino Linotype"/>
          <w:sz w:val="22"/>
          <w:szCs w:val="22"/>
        </w:rPr>
        <w:t xml:space="preserve">                              </w:t>
      </w:r>
    </w:p>
    <w:p w:rsidR="00DA319E" w:rsidRPr="00212FED" w:rsidRDefault="00DA319E">
      <w:pPr>
        <w:spacing w:line="360" w:lineRule="auto"/>
        <w:jc w:val="both"/>
        <w:rPr>
          <w:rFonts w:ascii="Palatino Linotype" w:eastAsia="Palatino Linotype" w:hAnsi="Palatino Linotype" w:cs="Palatino Linotype"/>
          <w:sz w:val="22"/>
          <w:szCs w:val="22"/>
        </w:rPr>
      </w:pPr>
    </w:p>
    <w:sectPr w:rsidR="00DA319E" w:rsidRPr="00212FED">
      <w:headerReference w:type="first" r:id="rId12"/>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0F7E" w:rsidRDefault="00F00F7E">
      <w:r>
        <w:separator/>
      </w:r>
    </w:p>
  </w:endnote>
  <w:endnote w:type="continuationSeparator" w:id="0">
    <w:p w:rsidR="00F00F7E" w:rsidRDefault="00F00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6A60DA97-F8D6-4E32-8A63-B81985DBFAD9}"/>
    <w:embedBold r:id="rId2" w:fontKey="{E85705C5-050A-4C6A-865E-11A7C114CC4C}"/>
    <w:embedItalic r:id="rId3" w:fontKey="{803976C9-CF62-4A0F-94CC-A51ED183FEFF}"/>
    <w:embedBoldItalic r:id="rId4" w:fontKey="{73ACBE87-0ED4-42DB-BE55-D27DB7F5ED68}"/>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embedRegular r:id="rId5" w:fontKey="{EAA6EC22-7DEF-4946-9E55-D4B9132FDCC8}"/>
  </w:font>
  <w:font w:name="Calibri">
    <w:panose1 w:val="020F0502020204030204"/>
    <w:charset w:val="00"/>
    <w:family w:val="swiss"/>
    <w:pitch w:val="variable"/>
    <w:sig w:usb0="E4002EFF" w:usb1="C200247B" w:usb2="00000009" w:usb3="00000000" w:csb0="000001FF" w:csb1="00000000"/>
    <w:embedRegular r:id="rId6" w:fontKey="{D5856DEC-0D13-42FE-A6FD-4C270CF52912}"/>
    <w:embedItalic r:id="rId7" w:fontKey="{01A5CC39-9D13-440C-82B0-2D8B0F36EE85}"/>
  </w:font>
  <w:font w:name="Segoe UI">
    <w:panose1 w:val="020B0502040204020203"/>
    <w:charset w:val="00"/>
    <w:family w:val="swiss"/>
    <w:pitch w:val="variable"/>
    <w:sig w:usb0="E4002EFF" w:usb1="C000E47F" w:usb2="00000009" w:usb3="00000000" w:csb0="000001FF" w:csb1="00000000"/>
    <w:embedRegular r:id="rId8" w:fontKey="{ED16B0E6-F753-42A7-A0BE-78BBB1E5B9A4}"/>
  </w:font>
  <w:font w:name="Helvetica">
    <w:panose1 w:val="020B0504020202020204"/>
    <w:charset w:val="00"/>
    <w:family w:val="swiss"/>
    <w:notTrueType/>
    <w:pitch w:val="variable"/>
    <w:sig w:usb0="00000003" w:usb1="00000000" w:usb2="00000000" w:usb3="00000000" w:csb0="00000001" w:csb1="00000000"/>
    <w:embedRegular r:id="rId9" w:fontKey="{456CB328-C4A4-4DD7-BE18-BDF74063B9C9}"/>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5ABFB544-7CF1-41C6-B2C9-93EF16A0266E}"/>
  </w:font>
  <w:font w:name="Calibri Light">
    <w:panose1 w:val="020F0302020204030204"/>
    <w:charset w:val="00"/>
    <w:family w:val="swiss"/>
    <w:pitch w:val="variable"/>
    <w:sig w:usb0="E4002EFF" w:usb1="C200247B" w:usb2="00000009" w:usb3="00000000" w:csb0="000001FF" w:csb1="00000000"/>
    <w:embedRegular r:id="rId11" w:fontKey="{49FA4896-005D-46BA-8647-2FA825979142}"/>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9E" w:rsidRDefault="00F1597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93A3F">
      <w:rPr>
        <w:rFonts w:ascii="Arial" w:eastAsia="Arial" w:hAnsi="Arial" w:cs="Arial"/>
        <w:b/>
        <w:bCs/>
        <w:noProof/>
        <w:color w:val="000000"/>
        <w:sz w:val="20"/>
        <w:szCs w:val="20"/>
      </w:rPr>
      <w:t>16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93A3F">
      <w:rPr>
        <w:rFonts w:ascii="Arial" w:eastAsia="Arial" w:hAnsi="Arial" w:cs="Arial"/>
        <w:b/>
        <w:bCs/>
        <w:noProof/>
        <w:color w:val="000000"/>
        <w:sz w:val="20"/>
        <w:szCs w:val="20"/>
      </w:rPr>
      <w:t>17</w:t>
    </w:r>
    <w:r>
      <w:rPr>
        <w:rFonts w:ascii="Arial" w:eastAsia="Arial" w:hAnsi="Arial" w:cs="Arial"/>
        <w:b/>
        <w:bCs/>
        <w:color w:val="000000"/>
        <w:sz w:val="20"/>
        <w:szCs w:val="20"/>
      </w:rPr>
      <w:fldChar w:fldCharType="end"/>
    </w:r>
  </w:p>
  <w:p w:rsidR="00DA319E" w:rsidRDefault="00DA319E">
    <w:pPr>
      <w:pBdr>
        <w:top w:val="nil"/>
        <w:left w:val="nil"/>
        <w:bottom w:val="nil"/>
        <w:right w:val="nil"/>
        <w:between w:val="nil"/>
      </w:pBdr>
      <w:tabs>
        <w:tab w:val="center" w:pos="4252"/>
        <w:tab w:val="right" w:pos="8504"/>
      </w:tabs>
      <w:rPr>
        <w:color w:val="000000"/>
      </w:rPr>
    </w:pPr>
  </w:p>
  <w:p w:rsidR="00DA319E" w:rsidRDefault="00DA319E">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9E" w:rsidRDefault="00F1597F">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E93A3F">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E93A3F">
      <w:rPr>
        <w:rFonts w:ascii="Arial" w:eastAsia="Arial" w:hAnsi="Arial" w:cs="Arial"/>
        <w:b/>
        <w:bCs/>
        <w:noProof/>
        <w:color w:val="000000"/>
        <w:sz w:val="20"/>
        <w:szCs w:val="20"/>
      </w:rPr>
      <w:t>17</w:t>
    </w:r>
    <w:r>
      <w:rPr>
        <w:rFonts w:ascii="Arial" w:eastAsia="Arial" w:hAnsi="Arial" w:cs="Arial"/>
        <w:b/>
        <w:bCs/>
        <w:color w:val="000000"/>
        <w:sz w:val="20"/>
        <w:szCs w:val="20"/>
      </w:rPr>
      <w:fldChar w:fldCharType="end"/>
    </w:r>
  </w:p>
  <w:p w:rsidR="00DA319E" w:rsidRDefault="00DA319E">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0F7E" w:rsidRDefault="00F00F7E">
      <w:r>
        <w:separator/>
      </w:r>
    </w:p>
  </w:footnote>
  <w:footnote w:type="continuationSeparator" w:id="0">
    <w:p w:rsidR="00F00F7E" w:rsidRDefault="00F00F7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9E" w:rsidRDefault="00F1597F">
    <w:pPr>
      <w:widowControl w:val="0"/>
      <w:pBdr>
        <w:top w:val="nil"/>
        <w:left w:val="nil"/>
        <w:bottom w:val="nil"/>
        <w:right w:val="nil"/>
        <w:between w:val="nil"/>
      </w:pBdr>
      <w:spacing w:line="276" w:lineRule="auto"/>
      <w:rPr>
        <w:rFonts w:ascii="Calibri" w:eastAsia="Calibri" w:hAnsi="Calibri" w:cs="Calibri"/>
        <w:color w:val="000000"/>
      </w:rPr>
    </w:pPr>
    <w:r>
      <w:rPr>
        <w:noProof/>
        <w:lang w:val="es-MX"/>
      </w:rPr>
      <w:drawing>
        <wp:anchor distT="0" distB="0" distL="0" distR="0" simplePos="0" relativeHeight="251658240" behindDoc="1" locked="0" layoutInCell="1" hidden="0" allowOverlap="1">
          <wp:simplePos x="0" y="0"/>
          <wp:positionH relativeFrom="column">
            <wp:posOffset>-638172</wp:posOffset>
          </wp:positionH>
          <wp:positionV relativeFrom="paragraph">
            <wp:posOffset>-450211</wp:posOffset>
          </wp:positionV>
          <wp:extent cx="7809876" cy="10165823"/>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811" w:type="dxa"/>
      <w:tblInd w:w="3261" w:type="dxa"/>
      <w:tblLayout w:type="fixed"/>
      <w:tblLook w:val="0400" w:firstRow="0" w:lastRow="0" w:firstColumn="0" w:lastColumn="0" w:noHBand="0" w:noVBand="1"/>
    </w:tblPr>
    <w:tblGrid>
      <w:gridCol w:w="2551"/>
      <w:gridCol w:w="3260"/>
    </w:tblGrid>
    <w:tr w:rsidR="00DA319E">
      <w:tc>
        <w:tcPr>
          <w:tcW w:w="2551" w:type="dxa"/>
          <w:vAlign w:val="center"/>
        </w:tcPr>
        <w:p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260" w:type="dxa"/>
          <w:vAlign w:val="center"/>
        </w:tcPr>
        <w:p w:rsidR="00DA319E" w:rsidRDefault="00F1597F">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10539/INFOEM/IP/RR/2025</w:t>
          </w:r>
        </w:p>
      </w:tc>
    </w:tr>
    <w:tr w:rsidR="00DA319E">
      <w:trPr>
        <w:trHeight w:val="228"/>
      </w:trPr>
      <w:tc>
        <w:tcPr>
          <w:tcW w:w="2551" w:type="dxa"/>
          <w:vAlign w:val="center"/>
        </w:tcPr>
        <w:p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p w:rsidR="00DA319E" w:rsidRDefault="00DA319E">
          <w:pPr>
            <w:rPr>
              <w:rFonts w:ascii="Palatino Linotype" w:eastAsia="Palatino Linotype" w:hAnsi="Palatino Linotype" w:cs="Palatino Linotype"/>
              <w:b/>
              <w:bCs/>
              <w:sz w:val="22"/>
              <w:szCs w:val="22"/>
            </w:rPr>
          </w:pPr>
        </w:p>
        <w:p w:rsidR="00DA319E" w:rsidRDefault="00DA319E">
          <w:pPr>
            <w:rPr>
              <w:rFonts w:ascii="Palatino Linotype" w:eastAsia="Palatino Linotype" w:hAnsi="Palatino Linotype" w:cs="Palatino Linotype"/>
              <w:b/>
              <w:bCs/>
              <w:sz w:val="22"/>
              <w:szCs w:val="22"/>
            </w:rPr>
          </w:pPr>
        </w:p>
        <w:p w:rsidR="00DA319E" w:rsidRDefault="00DA319E">
          <w:pPr>
            <w:rPr>
              <w:rFonts w:ascii="Palatino Linotype" w:eastAsia="Palatino Linotype" w:hAnsi="Palatino Linotype" w:cs="Palatino Linotype"/>
              <w:b/>
              <w:bCs/>
              <w:sz w:val="22"/>
              <w:szCs w:val="22"/>
            </w:rPr>
          </w:pPr>
        </w:p>
        <w:p w:rsidR="00DA319E" w:rsidRDefault="00DA319E">
          <w:pPr>
            <w:rPr>
              <w:rFonts w:ascii="Palatino Linotype" w:eastAsia="Palatino Linotype" w:hAnsi="Palatino Linotype" w:cs="Palatino Linotype"/>
              <w:b/>
              <w:bCs/>
              <w:sz w:val="22"/>
              <w:szCs w:val="22"/>
            </w:rPr>
          </w:pPr>
        </w:p>
        <w:p w:rsidR="00DA319E" w:rsidRDefault="00DA319E">
          <w:pPr>
            <w:rPr>
              <w:rFonts w:ascii="Palatino Linotype" w:eastAsia="Palatino Linotype" w:hAnsi="Palatino Linotype" w:cs="Palatino Linotype"/>
              <w:b/>
              <w:bCs/>
              <w:sz w:val="22"/>
              <w:szCs w:val="22"/>
            </w:rPr>
          </w:pPr>
        </w:p>
      </w:tc>
      <w:tc>
        <w:tcPr>
          <w:tcW w:w="3260" w:type="dxa"/>
          <w:vAlign w:val="center"/>
        </w:tcPr>
        <w:p w:rsidR="00DA319E" w:rsidRDefault="00F1597F">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Organismo Público Descentralizado para la Prestación de Los Servicios de Agua Potable Alcantarillado y Saneamiento de Tenango del Valle Estado de México</w:t>
          </w:r>
        </w:p>
      </w:tc>
    </w:tr>
    <w:tr w:rsidR="00DA319E">
      <w:tc>
        <w:tcPr>
          <w:tcW w:w="2551" w:type="dxa"/>
          <w:vAlign w:val="center"/>
        </w:tcPr>
        <w:p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260" w:type="dxa"/>
          <w:vAlign w:val="center"/>
        </w:tcPr>
        <w:p w:rsidR="00DA319E" w:rsidRDefault="00F1597F">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DA319E" w:rsidRDefault="00F1597F">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9E" w:rsidRDefault="00F1597F">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rPr>
      <w:drawing>
        <wp:anchor distT="0" distB="0" distL="0" distR="0" simplePos="0" relativeHeight="251659264" behindDoc="1" locked="0" layoutInCell="1" hidden="0" allowOverlap="1">
          <wp:simplePos x="0" y="0"/>
          <wp:positionH relativeFrom="column">
            <wp:posOffset>-798189</wp:posOffset>
          </wp:positionH>
          <wp:positionV relativeFrom="paragraph">
            <wp:posOffset>-399410</wp:posOffset>
          </wp:positionV>
          <wp:extent cx="7809876" cy="10165823"/>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7"/>
      <w:tblW w:w="5670" w:type="dxa"/>
      <w:tblInd w:w="3119" w:type="dxa"/>
      <w:tblLayout w:type="fixed"/>
      <w:tblLook w:val="0400" w:firstRow="0" w:lastRow="0" w:firstColumn="0" w:lastColumn="0" w:noHBand="0" w:noVBand="1"/>
    </w:tblPr>
    <w:tblGrid>
      <w:gridCol w:w="2551"/>
      <w:gridCol w:w="3119"/>
    </w:tblGrid>
    <w:tr w:rsidR="00DA319E">
      <w:tc>
        <w:tcPr>
          <w:tcW w:w="2551" w:type="dxa"/>
          <w:vAlign w:val="center"/>
        </w:tcPr>
        <w:p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119" w:type="dxa"/>
          <w:vAlign w:val="center"/>
        </w:tcPr>
        <w:p w:rsidR="00DA319E" w:rsidRDefault="00F1597F">
          <w:pPr>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10539/INFOEM/IP/RR/2025</w:t>
          </w:r>
        </w:p>
      </w:tc>
    </w:tr>
    <w:tr w:rsidR="00DA319E">
      <w:tc>
        <w:tcPr>
          <w:tcW w:w="2551" w:type="dxa"/>
          <w:vAlign w:val="center"/>
        </w:tcPr>
        <w:p w:rsidR="00DA319E" w:rsidRDefault="00F1597F">
          <w:pPr>
            <w:ind w:left="35" w:hanging="35"/>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119" w:type="dxa"/>
          <w:vAlign w:val="center"/>
        </w:tcPr>
        <w:p w:rsidR="00DA319E" w:rsidRDefault="00DA319E">
          <w:pPr>
            <w:ind w:right="-533"/>
            <w:jc w:val="both"/>
            <w:rPr>
              <w:rFonts w:ascii="Palatino Linotype" w:eastAsia="Palatino Linotype" w:hAnsi="Palatino Linotype" w:cs="Palatino Linotype"/>
              <w:b/>
              <w:bCs/>
              <w:sz w:val="22"/>
              <w:szCs w:val="22"/>
            </w:rPr>
          </w:pPr>
        </w:p>
      </w:tc>
    </w:tr>
    <w:tr w:rsidR="00DA319E">
      <w:trPr>
        <w:trHeight w:val="228"/>
      </w:trPr>
      <w:tc>
        <w:tcPr>
          <w:tcW w:w="2551" w:type="dxa"/>
          <w:vAlign w:val="center"/>
        </w:tcPr>
        <w:p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p w:rsidR="00DA319E" w:rsidRDefault="00DA319E">
          <w:pPr>
            <w:rPr>
              <w:rFonts w:ascii="Palatino Linotype" w:eastAsia="Palatino Linotype" w:hAnsi="Palatino Linotype" w:cs="Palatino Linotype"/>
              <w:b/>
              <w:bCs/>
              <w:sz w:val="22"/>
              <w:szCs w:val="22"/>
            </w:rPr>
          </w:pPr>
        </w:p>
        <w:p w:rsidR="00DA319E" w:rsidRDefault="00DA319E">
          <w:pPr>
            <w:rPr>
              <w:rFonts w:ascii="Palatino Linotype" w:eastAsia="Palatino Linotype" w:hAnsi="Palatino Linotype" w:cs="Palatino Linotype"/>
              <w:b/>
              <w:bCs/>
              <w:sz w:val="22"/>
              <w:szCs w:val="22"/>
            </w:rPr>
          </w:pPr>
        </w:p>
        <w:p w:rsidR="00DA319E" w:rsidRDefault="00DA319E">
          <w:pPr>
            <w:rPr>
              <w:rFonts w:ascii="Palatino Linotype" w:eastAsia="Palatino Linotype" w:hAnsi="Palatino Linotype" w:cs="Palatino Linotype"/>
              <w:b/>
              <w:bCs/>
              <w:sz w:val="22"/>
              <w:szCs w:val="22"/>
            </w:rPr>
          </w:pPr>
        </w:p>
        <w:p w:rsidR="00DA319E" w:rsidRDefault="00DA319E">
          <w:pPr>
            <w:rPr>
              <w:rFonts w:ascii="Palatino Linotype" w:eastAsia="Palatino Linotype" w:hAnsi="Palatino Linotype" w:cs="Palatino Linotype"/>
              <w:b/>
              <w:bCs/>
              <w:sz w:val="22"/>
              <w:szCs w:val="22"/>
            </w:rPr>
          </w:pPr>
        </w:p>
        <w:p w:rsidR="00DA319E" w:rsidRDefault="00DA319E">
          <w:pPr>
            <w:rPr>
              <w:rFonts w:ascii="Palatino Linotype" w:eastAsia="Palatino Linotype" w:hAnsi="Palatino Linotype" w:cs="Palatino Linotype"/>
              <w:b/>
              <w:bCs/>
              <w:sz w:val="22"/>
              <w:szCs w:val="22"/>
            </w:rPr>
          </w:pPr>
        </w:p>
        <w:p w:rsidR="00DA319E" w:rsidRDefault="00DA319E">
          <w:pPr>
            <w:rPr>
              <w:rFonts w:ascii="Palatino Linotype" w:eastAsia="Palatino Linotype" w:hAnsi="Palatino Linotype" w:cs="Palatino Linotype"/>
              <w:b/>
              <w:bCs/>
              <w:sz w:val="22"/>
              <w:szCs w:val="22"/>
            </w:rPr>
          </w:pPr>
        </w:p>
      </w:tc>
      <w:tc>
        <w:tcPr>
          <w:tcW w:w="3119" w:type="dxa"/>
          <w:vAlign w:val="center"/>
        </w:tcPr>
        <w:p w:rsidR="00DA319E" w:rsidRDefault="00F1597F">
          <w:pPr>
            <w:ind w:right="27"/>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Organismo Público Descentralizado para la Prestación de Los Servicios de Agua Potable Alcantarillado y Saneamiento de Tenango del Valle Estado de México</w:t>
          </w:r>
        </w:p>
      </w:tc>
    </w:tr>
    <w:tr w:rsidR="00DA319E">
      <w:tc>
        <w:tcPr>
          <w:tcW w:w="2551" w:type="dxa"/>
          <w:vAlign w:val="center"/>
        </w:tcPr>
        <w:p w:rsidR="00DA319E" w:rsidRDefault="00F1597F">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119" w:type="dxa"/>
          <w:vAlign w:val="center"/>
        </w:tcPr>
        <w:p w:rsidR="00DA319E" w:rsidRDefault="00F1597F">
          <w:pPr>
            <w:ind w:right="-533"/>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rsidR="00DA319E" w:rsidRDefault="00DA319E">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319E" w:rsidRDefault="00DA319E">
    <w:pPr>
      <w:pBdr>
        <w:top w:val="nil"/>
        <w:left w:val="nil"/>
        <w:bottom w:val="nil"/>
        <w:right w:val="nil"/>
        <w:between w:val="nil"/>
      </w:pBdr>
      <w:tabs>
        <w:tab w:val="center" w:pos="4252"/>
        <w:tab w:val="right" w:pos="8504"/>
      </w:tabs>
      <w:jc w:val="both"/>
      <w:rPr>
        <w:rFonts w:ascii="Calibri" w:eastAsia="Calibri" w:hAnsi="Calibri" w:cs="Calibri"/>
        <w:color w:val="000000"/>
      </w:rPr>
    </w:pPr>
  </w:p>
  <w:p w:rsidR="00DA319E" w:rsidRDefault="00DA319E">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DF341FB"/>
    <w:multiLevelType w:val="multilevel"/>
    <w:tmpl w:val="013E24D8"/>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58D83016"/>
    <w:multiLevelType w:val="multilevel"/>
    <w:tmpl w:val="FDD2E81A"/>
    <w:lvl w:ilvl="0">
      <w:start w:val="7"/>
      <w:numFmt w:val="decimal"/>
      <w:lvlText w:val="%1."/>
      <w:lvlJc w:val="left"/>
      <w:pPr>
        <w:ind w:left="720" w:hanging="360"/>
      </w:pPr>
      <w:rPr>
        <w:b/>
        <w:bCs/>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0B5597C"/>
    <w:multiLevelType w:val="multilevel"/>
    <w:tmpl w:val="64A8FACA"/>
    <w:lvl w:ilvl="0">
      <w:start w:val="1"/>
      <w:numFmt w:val="decimal"/>
      <w:lvlText w:val="%1."/>
      <w:lvlJc w:val="left"/>
      <w:pPr>
        <w:ind w:left="720" w:hanging="360"/>
      </w:pPr>
      <w:rPr>
        <w:b/>
        <w:bCs/>
        <w:sz w:val="24"/>
        <w:szCs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025C7A"/>
    <w:multiLevelType w:val="multilevel"/>
    <w:tmpl w:val="1C066D1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1453DD9"/>
    <w:multiLevelType w:val="multilevel"/>
    <w:tmpl w:val="E43ECC6C"/>
    <w:lvl w:ilvl="0">
      <w:start w:val="6"/>
      <w:numFmt w:val="bullet"/>
      <w:pStyle w:val="Listaconvietas3"/>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19E"/>
    <w:rsid w:val="00212FED"/>
    <w:rsid w:val="007025FF"/>
    <w:rsid w:val="00DA319E"/>
    <w:rsid w:val="00E93A3F"/>
    <w:rsid w:val="00F00F7E"/>
    <w:rsid w:val="00F159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0F7C23-DB00-437A-AC3C-D2751821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outlineLvl w:val="2"/>
    </w:pPr>
    <w:rPr>
      <w:b/>
      <w:bCs/>
      <w:sz w:val="27"/>
      <w:szCs w:val="27"/>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rPr>
  </w:style>
  <w:style w:type="character" w:customStyle="1" w:styleId="Ttulo3Car">
    <w:name w:val="Título 3 Car"/>
    <w:basedOn w:val="Fuentedeprrafopredeter"/>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rPr>
  </w:style>
  <w:style w:type="paragraph" w:styleId="Listaconvietas">
    <w:name w:val="List Bullet"/>
    <w:basedOn w:val="Normal"/>
    <w:uiPriority w:val="99"/>
    <w:unhideWhenUsed/>
    <w:rsid w:val="00E6231A"/>
    <w:pPr>
      <w:tabs>
        <w:tab w:val="num" w:pos="720"/>
      </w:tabs>
      <w:ind w:left="720" w:hanging="720"/>
      <w:contextualSpacing/>
    </w:pPr>
    <w:rPr>
      <w:lang w:val="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2"/>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08" w:type="dxa"/>
        <w:right w:w="108" w:type="dxa"/>
      </w:tblCellMar>
    </w:tblPr>
  </w:style>
  <w:style w:type="table" w:customStyle="1" w:styleId="af4">
    <w:basedOn w:val="TableNormal1"/>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6">
    <w:basedOn w:val="TableNormal0"/>
    <w:tblPr>
      <w:tblStyleRowBandSize w:val="1"/>
      <w:tblStyleColBandSize w:val="1"/>
      <w:tblCellMar>
        <w:left w:w="115" w:type="dxa"/>
        <w:right w:w="115" w:type="dxa"/>
      </w:tblCellMar>
    </w:tblPr>
  </w:style>
  <w:style w:type="table" w:customStyle="1" w:styleId="af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1uKFmeSqSLmf21k68ReNid+SqA==">CgMxLjAyCWguM3pueXNoNzIIaC5namRneHMyCWguMzBqMHpsbDIOaC42MGkwdG1wNzNzaHgyDmguN2xyajdqczJ2cmw1Mg5oLmxnanhtMWozMnhpZTgAciExa045QlhGcFJfeUtya3ExeXN2SmFkWG9VNjZqM0d5Z1k=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3602</Words>
  <Characters>19813</Characters>
  <Application>Microsoft Office Word</Application>
  <DocSecurity>0</DocSecurity>
  <Lines>165</Lines>
  <Paragraphs>46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2025-11-14T19:13:00Z</cp:lastPrinted>
  <dcterms:created xsi:type="dcterms:W3CDTF">2025-12-11T16:31:00Z</dcterms:created>
  <dcterms:modified xsi:type="dcterms:W3CDTF">2025-12-11T16:31:00Z</dcterms:modified>
</cp:coreProperties>
</file>