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4BFC" w:rsidRDefault="002E4BFC">
      <w:pPr>
        <w:widowControl w:val="0"/>
        <w:pBdr>
          <w:top w:val="nil"/>
          <w:left w:val="nil"/>
          <w:bottom w:val="nil"/>
          <w:right w:val="nil"/>
          <w:between w:val="nil"/>
        </w:pBdr>
        <w:spacing w:after="0" w:line="276" w:lineRule="auto"/>
        <w:jc w:val="left"/>
      </w:pPr>
    </w:p>
    <w:p w:rsidR="002E4BFC" w:rsidRDefault="002E4BFC">
      <w:pPr>
        <w:spacing w:after="0" w:line="360" w:lineRule="auto"/>
      </w:pPr>
    </w:p>
    <w:p w:rsidR="002E4BFC" w:rsidRPr="007528AD" w:rsidRDefault="00BC3826">
      <w:pPr>
        <w:keepNext/>
        <w:keepLines/>
        <w:pBdr>
          <w:top w:val="nil"/>
          <w:left w:val="nil"/>
          <w:bottom w:val="nil"/>
          <w:right w:val="nil"/>
          <w:between w:val="nil"/>
        </w:pBdr>
        <w:spacing w:after="0" w:line="360" w:lineRule="auto"/>
        <w:jc w:val="center"/>
        <w:rPr>
          <w:color w:val="000000"/>
        </w:rPr>
      </w:pPr>
      <w:r w:rsidRPr="007528AD">
        <w:rPr>
          <w:color w:val="000000"/>
        </w:rPr>
        <w:t>RESOLUCIÓN DEL RECURSO DE REVISIÓN 0061/INFOEM/IP/RR/2025</w:t>
      </w:r>
    </w:p>
    <w:sdt>
      <w:sdtPr>
        <w:id w:val="879521292"/>
        <w:docPartObj>
          <w:docPartGallery w:val="Table of Contents"/>
          <w:docPartUnique/>
        </w:docPartObj>
      </w:sdtPr>
      <w:sdtEndPr/>
      <w:sdtContent>
        <w:p w:rsidR="002E4BFC" w:rsidRPr="007528AD" w:rsidRDefault="00BC3826">
          <w:pPr>
            <w:pBdr>
              <w:top w:val="nil"/>
              <w:left w:val="nil"/>
              <w:bottom w:val="nil"/>
              <w:right w:val="nil"/>
              <w:between w:val="nil"/>
            </w:pBdr>
            <w:tabs>
              <w:tab w:val="right" w:pos="9072"/>
            </w:tabs>
            <w:spacing w:after="0" w:line="360" w:lineRule="auto"/>
            <w:rPr>
              <w:color w:val="000000"/>
            </w:rPr>
          </w:pPr>
          <w:r w:rsidRPr="007528AD">
            <w:fldChar w:fldCharType="begin"/>
          </w:r>
          <w:r w:rsidRPr="007528AD">
            <w:instrText xml:space="preserve"> TOC \h \u \z \t "Heading 1,1,Heading 2,2,Heading 3,3,"</w:instrText>
          </w:r>
          <w:r w:rsidRPr="007528AD">
            <w:fldChar w:fldCharType="separate"/>
          </w:r>
          <w:hyperlink w:anchor="_heading=h.gjdgxs">
            <w:r w:rsidRPr="007528AD">
              <w:rPr>
                <w:color w:val="000000"/>
              </w:rPr>
              <w:t>A N T E C E D E N T E S:</w:t>
            </w:r>
            <w:r w:rsidRPr="007528AD">
              <w:rPr>
                <w:color w:val="000000"/>
              </w:rPr>
              <w:tab/>
              <w:t>2</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30j0zll">
            <w:r w:rsidR="00BC3826" w:rsidRPr="007528AD">
              <w:rPr>
                <w:color w:val="000000"/>
              </w:rPr>
              <w:t>I. Presentación de la solicitud de información.</w:t>
            </w:r>
            <w:r w:rsidR="00BC3826" w:rsidRPr="007528AD">
              <w:rPr>
                <w:color w:val="000000"/>
              </w:rPr>
              <w:tab/>
              <w:t>2</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1fob9te">
            <w:r w:rsidR="00BC3826" w:rsidRPr="007528AD">
              <w:rPr>
                <w:color w:val="000000"/>
              </w:rPr>
              <w:t>II. Respuesta del Sujeto Obligado.</w:t>
            </w:r>
            <w:r w:rsidR="00BC3826" w:rsidRPr="007528AD">
              <w:rPr>
                <w:color w:val="000000"/>
              </w:rPr>
              <w:tab/>
              <w:t>3</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3znysh7">
            <w:r w:rsidR="00BC3826" w:rsidRPr="007528AD">
              <w:rPr>
                <w:color w:val="000000"/>
              </w:rPr>
              <w:t>III. Interposición del Recurso de Revisión.</w:t>
            </w:r>
            <w:r w:rsidR="00BC3826" w:rsidRPr="007528AD">
              <w:rPr>
                <w:color w:val="000000"/>
              </w:rPr>
              <w:tab/>
              <w:t>4</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2et92p0">
            <w:r w:rsidR="00BC3826" w:rsidRPr="007528AD">
              <w:rPr>
                <w:color w:val="000000"/>
              </w:rPr>
              <w:t>IV. Trámite del Recurso de Revisión ante este Instituto.</w:t>
            </w:r>
            <w:r w:rsidR="00BC3826" w:rsidRPr="007528AD">
              <w:rPr>
                <w:color w:val="000000"/>
              </w:rPr>
              <w:tab/>
              <w:t>5</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tyjcwt">
            <w:r w:rsidR="00BC3826" w:rsidRPr="007528AD">
              <w:rPr>
                <w:color w:val="000000"/>
              </w:rPr>
              <w:t>a) Turno del Medio de Impugnación.</w:t>
            </w:r>
            <w:r w:rsidR="00BC3826" w:rsidRPr="007528AD">
              <w:rPr>
                <w:color w:val="000000"/>
              </w:rPr>
              <w:tab/>
              <w:t>5</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3dy6vkm">
            <w:r w:rsidR="00BC3826" w:rsidRPr="007528AD">
              <w:rPr>
                <w:color w:val="000000"/>
              </w:rPr>
              <w:t>b) Admisión del Recurso de Revisión.</w:t>
            </w:r>
            <w:r w:rsidR="00BC3826" w:rsidRPr="007528AD">
              <w:rPr>
                <w:color w:val="000000"/>
              </w:rPr>
              <w:tab/>
              <w:t>5</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1t3h5sf">
            <w:r w:rsidR="00BC3826" w:rsidRPr="007528AD">
              <w:rPr>
                <w:color w:val="000000"/>
              </w:rPr>
              <w:t>c) Informe Justificado.</w:t>
            </w:r>
            <w:r w:rsidR="00BC3826" w:rsidRPr="007528AD">
              <w:rPr>
                <w:color w:val="000000"/>
              </w:rPr>
              <w:tab/>
              <w:t>6</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4d34og8">
            <w:r w:rsidR="00BC3826" w:rsidRPr="007528AD">
              <w:rPr>
                <w:color w:val="000000"/>
              </w:rPr>
              <w:t>e) Cierre de instrucción.</w:t>
            </w:r>
            <w:r w:rsidR="00BC3826" w:rsidRPr="007528AD">
              <w:rPr>
                <w:color w:val="000000"/>
              </w:rPr>
              <w:tab/>
              <w:t>7</w:t>
            </w:r>
          </w:hyperlink>
        </w:p>
        <w:p w:rsidR="002E4BFC" w:rsidRPr="007528AD" w:rsidRDefault="00D81C9A">
          <w:pPr>
            <w:pBdr>
              <w:top w:val="nil"/>
              <w:left w:val="nil"/>
              <w:bottom w:val="nil"/>
              <w:right w:val="nil"/>
              <w:between w:val="nil"/>
            </w:pBdr>
            <w:tabs>
              <w:tab w:val="right" w:pos="9072"/>
            </w:tabs>
            <w:spacing w:after="0" w:line="360" w:lineRule="auto"/>
            <w:rPr>
              <w:color w:val="000000"/>
            </w:rPr>
          </w:pPr>
          <w:hyperlink w:anchor="_heading=h.2s8eyo1">
            <w:r w:rsidR="00BC3826" w:rsidRPr="007528AD">
              <w:rPr>
                <w:color w:val="000000"/>
              </w:rPr>
              <w:t>CONSIDERANDOS:</w:t>
            </w:r>
            <w:r w:rsidR="00BC3826" w:rsidRPr="007528AD">
              <w:rPr>
                <w:color w:val="000000"/>
              </w:rPr>
              <w:tab/>
              <w:t>8</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17dp8vu">
            <w:r w:rsidR="00BC3826" w:rsidRPr="007528AD">
              <w:rPr>
                <w:color w:val="000000"/>
              </w:rPr>
              <w:t>PRIMERO. Competencia.</w:t>
            </w:r>
            <w:r w:rsidR="00BC3826" w:rsidRPr="007528AD">
              <w:rPr>
                <w:color w:val="000000"/>
              </w:rPr>
              <w:tab/>
              <w:t>8</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3rdcrjn">
            <w:r w:rsidR="00BC3826" w:rsidRPr="007528AD">
              <w:rPr>
                <w:color w:val="000000"/>
              </w:rPr>
              <w:t>SEGUNDO. Causales de improcedencia y sobreseimiento.</w:t>
            </w:r>
            <w:r w:rsidR="00BC3826" w:rsidRPr="007528AD">
              <w:rPr>
                <w:color w:val="000000"/>
              </w:rPr>
              <w:tab/>
              <w:t>9</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26in1rg">
            <w:r w:rsidR="00BC3826" w:rsidRPr="007528AD">
              <w:rPr>
                <w:color w:val="000000"/>
              </w:rPr>
              <w:t>TERCERO. Determinación de la Controversia.</w:t>
            </w:r>
            <w:r w:rsidR="00BC3826" w:rsidRPr="007528AD">
              <w:rPr>
                <w:color w:val="000000"/>
              </w:rPr>
              <w:tab/>
              <w:t>10</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lnxbz9">
            <w:r w:rsidR="00BC3826" w:rsidRPr="007528AD">
              <w:rPr>
                <w:color w:val="000000"/>
              </w:rPr>
              <w:t>CUARTO. Marco normativo aplicable en materia de transparencia y acceso a la información pública.</w:t>
            </w:r>
            <w:r w:rsidR="00BC3826" w:rsidRPr="007528AD">
              <w:rPr>
                <w:color w:val="000000"/>
              </w:rPr>
              <w:tab/>
              <w:t>13</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35nkun2">
            <w:r w:rsidR="00BC3826" w:rsidRPr="007528AD">
              <w:rPr>
                <w:color w:val="000000"/>
              </w:rPr>
              <w:t>QUINTO. Estudio de Fondo.</w:t>
            </w:r>
            <w:r w:rsidR="00BC3826" w:rsidRPr="007528AD">
              <w:rPr>
                <w:color w:val="000000"/>
              </w:rPr>
              <w:tab/>
              <w:t>14</w:t>
            </w:r>
          </w:hyperlink>
        </w:p>
        <w:p w:rsidR="002E4BFC" w:rsidRPr="007528AD" w:rsidRDefault="00D81C9A">
          <w:pPr>
            <w:pBdr>
              <w:top w:val="nil"/>
              <w:left w:val="nil"/>
              <w:bottom w:val="nil"/>
              <w:right w:val="nil"/>
              <w:between w:val="nil"/>
            </w:pBdr>
            <w:tabs>
              <w:tab w:val="right" w:pos="9111"/>
            </w:tabs>
            <w:spacing w:after="0" w:line="360" w:lineRule="auto"/>
            <w:ind w:left="200"/>
            <w:jc w:val="left"/>
            <w:rPr>
              <w:color w:val="000000"/>
            </w:rPr>
          </w:pPr>
          <w:hyperlink w:anchor="_heading=h.2jxsxqh">
            <w:r w:rsidR="00BC3826" w:rsidRPr="007528AD">
              <w:rPr>
                <w:color w:val="000000"/>
              </w:rPr>
              <w:t>SEXTO. Decisión</w:t>
            </w:r>
            <w:r w:rsidR="00BC3826" w:rsidRPr="007528AD">
              <w:rPr>
                <w:color w:val="000000"/>
              </w:rPr>
              <w:tab/>
              <w:t>38</w:t>
            </w:r>
          </w:hyperlink>
        </w:p>
        <w:p w:rsidR="002E4BFC" w:rsidRPr="007528AD" w:rsidRDefault="00D81C9A">
          <w:pPr>
            <w:pBdr>
              <w:top w:val="nil"/>
              <w:left w:val="nil"/>
              <w:bottom w:val="nil"/>
              <w:right w:val="nil"/>
              <w:between w:val="nil"/>
            </w:pBdr>
            <w:tabs>
              <w:tab w:val="right" w:pos="9072"/>
            </w:tabs>
            <w:spacing w:after="0" w:line="360" w:lineRule="auto"/>
            <w:rPr>
              <w:color w:val="000000"/>
            </w:rPr>
          </w:pPr>
          <w:hyperlink w:anchor="_heading=h.z337ya">
            <w:r w:rsidR="00BC3826" w:rsidRPr="007528AD">
              <w:rPr>
                <w:color w:val="000000"/>
              </w:rPr>
              <w:t>R E S U E L V E</w:t>
            </w:r>
            <w:r w:rsidR="00BC3826" w:rsidRPr="007528AD">
              <w:rPr>
                <w:color w:val="000000"/>
              </w:rPr>
              <w:tab/>
              <w:t>39</w:t>
            </w:r>
          </w:hyperlink>
        </w:p>
        <w:p w:rsidR="002E4BFC" w:rsidRPr="007528AD" w:rsidRDefault="00BC3826">
          <w:pPr>
            <w:spacing w:after="0" w:line="360" w:lineRule="auto"/>
            <w:jc w:val="left"/>
          </w:pPr>
          <w:r w:rsidRPr="007528AD">
            <w:fldChar w:fldCharType="end"/>
          </w:r>
        </w:p>
      </w:sdtContent>
    </w:sdt>
    <w:p w:rsidR="002E4BFC" w:rsidRPr="007528AD" w:rsidRDefault="002E4BFC">
      <w:pPr>
        <w:spacing w:after="0" w:line="360" w:lineRule="auto"/>
      </w:pPr>
    </w:p>
    <w:p w:rsidR="002E4BFC" w:rsidRPr="007528AD" w:rsidRDefault="002E4BFC">
      <w:pPr>
        <w:spacing w:after="0" w:line="360" w:lineRule="auto"/>
      </w:pPr>
    </w:p>
    <w:p w:rsidR="002E4BFC" w:rsidRPr="007528AD" w:rsidRDefault="002E4BFC">
      <w:pPr>
        <w:spacing w:after="0" w:line="360" w:lineRule="auto"/>
      </w:pPr>
    </w:p>
    <w:p w:rsidR="002E4BFC" w:rsidRPr="007528AD" w:rsidRDefault="002E4BFC">
      <w:pPr>
        <w:spacing w:after="0" w:line="360" w:lineRule="auto"/>
      </w:pPr>
    </w:p>
    <w:p w:rsidR="002E4BFC" w:rsidRPr="007528AD" w:rsidRDefault="00BC3826">
      <w:pPr>
        <w:spacing w:after="0" w:line="360" w:lineRule="auto"/>
      </w:pPr>
      <w:r w:rsidRPr="007528AD">
        <w:t>Resolución del Pleno del Instituto de Transparencia, Acceso a la Información Pública y Protección de Datos Personales del Estado de México y Municipios, con domicilio en Metepec, Estado de México, de fecha seis de febrero de dos mil veinticinco.</w:t>
      </w:r>
    </w:p>
    <w:p w:rsidR="002E4BFC" w:rsidRPr="007528AD" w:rsidRDefault="002E4BFC">
      <w:pPr>
        <w:spacing w:after="0" w:line="360" w:lineRule="auto"/>
      </w:pPr>
    </w:p>
    <w:p w:rsidR="002E4BFC" w:rsidRPr="007528AD" w:rsidRDefault="00BC3826">
      <w:pPr>
        <w:spacing w:after="0" w:line="360" w:lineRule="auto"/>
      </w:pPr>
      <w:r w:rsidRPr="007528AD">
        <w:rPr>
          <w:b/>
        </w:rPr>
        <w:t xml:space="preserve">VISTO </w:t>
      </w:r>
      <w:r w:rsidRPr="007528AD">
        <w:t xml:space="preserve">el expediente conformado con motivo del Recurso de Revisión </w:t>
      </w:r>
      <w:r w:rsidRPr="004E6F68">
        <w:rPr>
          <w:b/>
        </w:rPr>
        <w:t>00061/INFOEM/IP/RR/2025</w:t>
      </w:r>
      <w:r w:rsidRPr="007528AD">
        <w:t xml:space="preserve">, interpuesto por el Recurrente o Particular, en contra de la respuesta del Sujeto Obligado, </w:t>
      </w:r>
      <w:r w:rsidRPr="004E6F68">
        <w:rPr>
          <w:b/>
        </w:rPr>
        <w:t xml:space="preserve">Asociación de Personal Administrativo del </w:t>
      </w:r>
      <w:proofErr w:type="spellStart"/>
      <w:r w:rsidRPr="004E6F68">
        <w:rPr>
          <w:b/>
        </w:rPr>
        <w:t>CEC</w:t>
      </w:r>
      <w:bookmarkStart w:id="0" w:name="_GoBack"/>
      <w:bookmarkEnd w:id="0"/>
      <w:r w:rsidRPr="004E6F68">
        <w:rPr>
          <w:b/>
        </w:rPr>
        <w:t>yTEM</w:t>
      </w:r>
      <w:proofErr w:type="spellEnd"/>
      <w:r w:rsidRPr="007528AD">
        <w:t>, a la solicitud de información con número 00027/APACECYTEM/IP/2024, se emite la presente Resolución, con base en los Antecedentes y Considerandos que se exponen a continuación:</w:t>
      </w:r>
    </w:p>
    <w:p w:rsidR="002E4BFC" w:rsidRPr="007528AD" w:rsidRDefault="002E4BFC">
      <w:pPr>
        <w:tabs>
          <w:tab w:val="left" w:pos="6735"/>
        </w:tabs>
        <w:spacing w:after="0" w:line="360" w:lineRule="auto"/>
      </w:pPr>
    </w:p>
    <w:p w:rsidR="002E4BFC" w:rsidRPr="007528AD" w:rsidRDefault="001B4BFE">
      <w:pPr>
        <w:pStyle w:val="Ttulo1"/>
        <w:spacing w:before="0" w:line="360" w:lineRule="auto"/>
        <w:jc w:val="center"/>
        <w:rPr>
          <w:rFonts w:ascii="Palatino Linotype" w:eastAsia="Palatino Linotype" w:hAnsi="Palatino Linotype" w:cs="Palatino Linotype"/>
          <w:b/>
          <w:color w:val="000000"/>
          <w:sz w:val="22"/>
          <w:szCs w:val="22"/>
        </w:rPr>
      </w:pPr>
      <w:bookmarkStart w:id="1" w:name="_heading=h.gjdgxs" w:colFirst="0" w:colLast="0"/>
      <w:bookmarkEnd w:id="1"/>
      <w:r w:rsidRPr="007528AD">
        <w:rPr>
          <w:rFonts w:ascii="Palatino Linotype" w:eastAsia="Palatino Linotype" w:hAnsi="Palatino Linotype" w:cs="Palatino Linotype"/>
          <w:b/>
          <w:color w:val="000000"/>
          <w:sz w:val="22"/>
          <w:szCs w:val="22"/>
        </w:rPr>
        <w:t>A N T E C E D E N T E S</w:t>
      </w:r>
    </w:p>
    <w:p w:rsidR="002E4BFC" w:rsidRPr="007528AD" w:rsidRDefault="002E4BFC">
      <w:pPr>
        <w:spacing w:after="0" w:line="360" w:lineRule="auto"/>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2" w:name="_heading=h.30j0zll" w:colFirst="0" w:colLast="0"/>
      <w:bookmarkEnd w:id="2"/>
      <w:r w:rsidRPr="007528AD">
        <w:rPr>
          <w:rFonts w:ascii="Palatino Linotype" w:eastAsia="Palatino Linotype" w:hAnsi="Palatino Linotype" w:cs="Palatino Linotype"/>
          <w:b/>
          <w:color w:val="000000"/>
          <w:sz w:val="22"/>
          <w:szCs w:val="22"/>
        </w:rPr>
        <w:t xml:space="preserve">I. Presentación </w:t>
      </w:r>
      <w:r w:rsidR="001B4BFE" w:rsidRPr="007528AD">
        <w:rPr>
          <w:rFonts w:ascii="Palatino Linotype" w:eastAsia="Palatino Linotype" w:hAnsi="Palatino Linotype" w:cs="Palatino Linotype"/>
          <w:b/>
          <w:color w:val="000000"/>
          <w:sz w:val="22"/>
          <w:szCs w:val="22"/>
        </w:rPr>
        <w:t>de la solicitud de información</w:t>
      </w:r>
    </w:p>
    <w:p w:rsidR="002E4BFC" w:rsidRPr="007528AD" w:rsidRDefault="002E4BFC">
      <w:pPr>
        <w:pBdr>
          <w:top w:val="nil"/>
          <w:left w:val="nil"/>
          <w:bottom w:val="nil"/>
          <w:right w:val="nil"/>
          <w:between w:val="nil"/>
        </w:pBdr>
        <w:tabs>
          <w:tab w:val="left" w:pos="567"/>
        </w:tabs>
        <w:spacing w:after="0" w:line="360" w:lineRule="auto"/>
        <w:rPr>
          <w:color w:val="000000"/>
        </w:rPr>
      </w:pPr>
    </w:p>
    <w:p w:rsidR="002E4BFC" w:rsidRPr="007528AD" w:rsidRDefault="00BC3826">
      <w:pPr>
        <w:spacing w:after="0" w:line="360" w:lineRule="auto"/>
      </w:pPr>
      <w:r w:rsidRPr="007528AD">
        <w:t xml:space="preserve">Con fecha dos de diciembre de dos mil veinticuatro, el Particular presentó una solicitud de acceso a la información pública, a través del Sistema de Acceso a la Información Mexiquense (SAIMEX), ante la Asociación de Personal Administrativo del </w:t>
      </w:r>
      <w:proofErr w:type="spellStart"/>
      <w:r w:rsidRPr="007528AD">
        <w:t>CECyTEM</w:t>
      </w:r>
      <w:proofErr w:type="spellEnd"/>
      <w:r w:rsidRPr="007528AD">
        <w:t>, mediante la cual requirió:</w:t>
      </w:r>
    </w:p>
    <w:p w:rsidR="002E4BFC" w:rsidRPr="007528AD" w:rsidRDefault="002E4BFC">
      <w:pPr>
        <w:spacing w:after="0" w:line="360" w:lineRule="auto"/>
      </w:pPr>
    </w:p>
    <w:p w:rsidR="002E4BFC" w:rsidRPr="007528AD" w:rsidRDefault="00BC3826">
      <w:pPr>
        <w:tabs>
          <w:tab w:val="left" w:pos="4667"/>
        </w:tabs>
        <w:spacing w:after="0" w:line="360" w:lineRule="auto"/>
        <w:ind w:left="567" w:right="567"/>
        <w:rPr>
          <w:b/>
          <w:i/>
          <w:sz w:val="20"/>
          <w:szCs w:val="20"/>
        </w:rPr>
      </w:pPr>
      <w:r w:rsidRPr="007528AD">
        <w:rPr>
          <w:b/>
          <w:i/>
          <w:sz w:val="20"/>
          <w:szCs w:val="20"/>
        </w:rPr>
        <w:t>“DESCRIPCIÓN CLARA Y PRECISA DE LA INFORMACIÓN SOLICITADA</w:t>
      </w:r>
    </w:p>
    <w:p w:rsidR="002E4BFC" w:rsidRPr="007528AD" w:rsidRDefault="00BC3826">
      <w:pPr>
        <w:tabs>
          <w:tab w:val="left" w:pos="4667"/>
        </w:tabs>
        <w:spacing w:after="0" w:line="360" w:lineRule="auto"/>
        <w:ind w:left="567" w:right="567"/>
        <w:rPr>
          <w:i/>
          <w:sz w:val="20"/>
          <w:szCs w:val="20"/>
        </w:rPr>
      </w:pPr>
      <w:r w:rsidRPr="007528AD">
        <w:rPr>
          <w:i/>
          <w:sz w:val="20"/>
          <w:szCs w:val="20"/>
        </w:rPr>
        <w:t xml:space="preserve">1.- Solicito los estatus del aspa </w:t>
      </w:r>
      <w:proofErr w:type="spellStart"/>
      <w:r w:rsidRPr="007528AD">
        <w:rPr>
          <w:i/>
          <w:sz w:val="20"/>
          <w:szCs w:val="20"/>
        </w:rPr>
        <w:t>cecytem</w:t>
      </w:r>
      <w:proofErr w:type="spellEnd"/>
      <w:r w:rsidRPr="007528AD">
        <w:rPr>
          <w:i/>
          <w:sz w:val="20"/>
          <w:szCs w:val="20"/>
        </w:rPr>
        <w:t xml:space="preserve"> completos, cualquier actualización o </w:t>
      </w:r>
      <w:proofErr w:type="spellStart"/>
      <w:r w:rsidRPr="007528AD">
        <w:rPr>
          <w:i/>
          <w:sz w:val="20"/>
          <w:szCs w:val="20"/>
        </w:rPr>
        <w:t>ademdum</w:t>
      </w:r>
      <w:proofErr w:type="spellEnd"/>
      <w:r w:rsidRPr="007528AD">
        <w:rPr>
          <w:i/>
          <w:sz w:val="20"/>
          <w:szCs w:val="20"/>
        </w:rPr>
        <w:t xml:space="preserve"> posterior </w:t>
      </w:r>
      <w:proofErr w:type="spellStart"/>
      <w:r w:rsidRPr="007528AD">
        <w:rPr>
          <w:i/>
          <w:sz w:val="20"/>
          <w:szCs w:val="20"/>
        </w:rPr>
        <w:t>al</w:t>
      </w:r>
      <w:proofErr w:type="spellEnd"/>
      <w:r w:rsidRPr="007528AD">
        <w:rPr>
          <w:i/>
          <w:sz w:val="20"/>
          <w:szCs w:val="20"/>
        </w:rPr>
        <w:t xml:space="preserve"> los estatutos actuales. 2.- solicito los lineamientos o normativas aplicables a las elecciones de presidente del </w:t>
      </w:r>
      <w:proofErr w:type="spellStart"/>
      <w:r w:rsidRPr="007528AD">
        <w:rPr>
          <w:i/>
          <w:sz w:val="20"/>
          <w:szCs w:val="20"/>
        </w:rPr>
        <w:t>aspac</w:t>
      </w:r>
      <w:proofErr w:type="spellEnd"/>
      <w:r w:rsidRPr="007528AD">
        <w:rPr>
          <w:i/>
          <w:sz w:val="20"/>
          <w:szCs w:val="20"/>
        </w:rPr>
        <w:t xml:space="preserve"> o períodos electorales. 3.- último informe de gestión de la presidente 4.- quiero saber cuántas cuentas tiene la asociación y cuánto dinero tienen cada una. 5.- </w:t>
      </w:r>
      <w:proofErr w:type="gramStart"/>
      <w:r w:rsidRPr="007528AD">
        <w:rPr>
          <w:i/>
          <w:sz w:val="20"/>
          <w:szCs w:val="20"/>
        </w:rPr>
        <w:t>quiero</w:t>
      </w:r>
      <w:proofErr w:type="gramEnd"/>
      <w:r w:rsidRPr="007528AD">
        <w:rPr>
          <w:i/>
          <w:sz w:val="20"/>
          <w:szCs w:val="20"/>
        </w:rPr>
        <w:t xml:space="preserve"> saber qué bienes son propiedad del </w:t>
      </w:r>
      <w:proofErr w:type="spellStart"/>
      <w:r w:rsidRPr="007528AD">
        <w:rPr>
          <w:i/>
          <w:sz w:val="20"/>
          <w:szCs w:val="20"/>
        </w:rPr>
        <w:t>aspac</w:t>
      </w:r>
      <w:proofErr w:type="spellEnd"/>
      <w:r w:rsidRPr="007528AD">
        <w:rPr>
          <w:i/>
          <w:sz w:val="20"/>
          <w:szCs w:val="20"/>
        </w:rPr>
        <w:t>” (Sic)</w:t>
      </w:r>
    </w:p>
    <w:p w:rsidR="002E4BFC" w:rsidRPr="007528AD" w:rsidRDefault="002E4BFC">
      <w:pPr>
        <w:tabs>
          <w:tab w:val="left" w:pos="4667"/>
        </w:tabs>
        <w:spacing w:after="0" w:line="360" w:lineRule="auto"/>
        <w:ind w:left="567" w:right="567"/>
        <w:rPr>
          <w:i/>
          <w:sz w:val="20"/>
          <w:szCs w:val="20"/>
        </w:rPr>
      </w:pPr>
    </w:p>
    <w:p w:rsidR="002E4BFC" w:rsidRPr="007528AD" w:rsidRDefault="00BC3826">
      <w:pPr>
        <w:tabs>
          <w:tab w:val="left" w:pos="4667"/>
        </w:tabs>
        <w:spacing w:after="0" w:line="360" w:lineRule="auto"/>
        <w:ind w:left="567" w:right="567"/>
        <w:rPr>
          <w:b/>
          <w:i/>
          <w:color w:val="000000"/>
          <w:sz w:val="20"/>
          <w:szCs w:val="20"/>
        </w:rPr>
      </w:pPr>
      <w:r w:rsidRPr="007528AD">
        <w:rPr>
          <w:b/>
          <w:i/>
          <w:color w:val="000000"/>
          <w:sz w:val="20"/>
          <w:szCs w:val="20"/>
        </w:rPr>
        <w:t xml:space="preserve">“Modalidad de Entrega: </w:t>
      </w:r>
    </w:p>
    <w:p w:rsidR="002E4BFC" w:rsidRPr="007528AD" w:rsidRDefault="00BC3826">
      <w:pPr>
        <w:tabs>
          <w:tab w:val="left" w:pos="567"/>
        </w:tabs>
        <w:spacing w:after="0" w:line="360" w:lineRule="auto"/>
        <w:ind w:left="567" w:right="567"/>
        <w:rPr>
          <w:i/>
          <w:color w:val="000000"/>
          <w:sz w:val="20"/>
          <w:szCs w:val="20"/>
        </w:rPr>
      </w:pPr>
      <w:r w:rsidRPr="007528AD">
        <w:rPr>
          <w:b/>
          <w:i/>
          <w:color w:val="000000"/>
          <w:sz w:val="20"/>
          <w:szCs w:val="20"/>
        </w:rPr>
        <w:t xml:space="preserve"> </w:t>
      </w:r>
      <w:r w:rsidRPr="007528AD">
        <w:rPr>
          <w:i/>
          <w:color w:val="000000"/>
          <w:sz w:val="20"/>
          <w:szCs w:val="20"/>
        </w:rPr>
        <w:t>A través de SAIMEX.”</w:t>
      </w:r>
    </w:p>
    <w:p w:rsidR="002E4BFC" w:rsidRPr="007528AD" w:rsidRDefault="002E4BFC">
      <w:pPr>
        <w:tabs>
          <w:tab w:val="left" w:pos="567"/>
        </w:tabs>
        <w:spacing w:after="0" w:line="360" w:lineRule="auto"/>
        <w:ind w:left="567" w:right="567"/>
        <w:rPr>
          <w:i/>
          <w:color w:val="000000"/>
          <w:sz w:val="20"/>
          <w:szCs w:val="20"/>
        </w:rPr>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3" w:name="_heading=h.1fob9te" w:colFirst="0" w:colLast="0"/>
      <w:bookmarkEnd w:id="3"/>
      <w:r w:rsidRPr="007528AD">
        <w:rPr>
          <w:rFonts w:ascii="Palatino Linotype" w:eastAsia="Palatino Linotype" w:hAnsi="Palatino Linotype" w:cs="Palatino Linotype"/>
          <w:b/>
          <w:color w:val="000000"/>
          <w:sz w:val="22"/>
          <w:szCs w:val="22"/>
        </w:rPr>
        <w:t>II</w:t>
      </w:r>
      <w:r w:rsidR="001B4BFE" w:rsidRPr="007528AD">
        <w:rPr>
          <w:rFonts w:ascii="Palatino Linotype" w:eastAsia="Palatino Linotype" w:hAnsi="Palatino Linotype" w:cs="Palatino Linotype"/>
          <w:b/>
          <w:color w:val="000000"/>
          <w:sz w:val="22"/>
          <w:szCs w:val="22"/>
        </w:rPr>
        <w:t>. Respuesta del Sujeto Obligado</w:t>
      </w:r>
    </w:p>
    <w:p w:rsidR="002E4BFC" w:rsidRPr="007528AD" w:rsidRDefault="002E4BFC">
      <w:pPr>
        <w:spacing w:after="0" w:line="360" w:lineRule="auto"/>
      </w:pPr>
    </w:p>
    <w:p w:rsidR="002E4BFC" w:rsidRPr="007528AD" w:rsidRDefault="00BC3826">
      <w:pPr>
        <w:spacing w:after="0" w:line="360" w:lineRule="auto"/>
      </w:pPr>
      <w:r w:rsidRPr="007528AD">
        <w:t>Con fecha ocho de enero de dos mil veinticinco, el</w:t>
      </w:r>
      <w:r w:rsidRPr="007528AD">
        <w:rPr>
          <w:b/>
        </w:rPr>
        <w:t xml:space="preserve"> </w:t>
      </w:r>
      <w:r w:rsidRPr="007528AD">
        <w:t xml:space="preserve">Sujeto Obligado dio respuesta a la solicitud de acceso a la información a través del Sistema de Acceso a la Información Mexiquense (SAIMEX), a través de un oficio sin número, suscrito por la Titular de la Unidad de Transparencia y dirigido al Solicitante, en los siguientes términos: </w:t>
      </w:r>
    </w:p>
    <w:p w:rsidR="002E4BFC" w:rsidRPr="007528AD" w:rsidRDefault="002E4BFC">
      <w:pPr>
        <w:spacing w:after="0" w:line="360" w:lineRule="auto"/>
      </w:pPr>
    </w:p>
    <w:p w:rsidR="002E4BFC" w:rsidRPr="007528AD" w:rsidRDefault="00BC3826">
      <w:pPr>
        <w:spacing w:after="0" w:line="360" w:lineRule="auto"/>
        <w:ind w:left="567" w:right="567"/>
        <w:rPr>
          <w:i/>
          <w:sz w:val="20"/>
          <w:szCs w:val="20"/>
        </w:rPr>
      </w:pPr>
      <w:r w:rsidRPr="007528AD">
        <w:rPr>
          <w:i/>
          <w:sz w:val="20"/>
          <w:szCs w:val="20"/>
        </w:rPr>
        <w:t>“…</w:t>
      </w:r>
    </w:p>
    <w:p w:rsidR="002E4BFC" w:rsidRPr="007528AD" w:rsidRDefault="00BC3826">
      <w:pPr>
        <w:spacing w:after="0" w:line="360" w:lineRule="auto"/>
        <w:ind w:left="567" w:right="567"/>
        <w:rPr>
          <w:i/>
          <w:sz w:val="20"/>
          <w:szCs w:val="20"/>
        </w:rPr>
      </w:pPr>
      <w:r w:rsidRPr="007528AD">
        <w:rPr>
          <w:i/>
          <w:sz w:val="20"/>
          <w:szCs w:val="20"/>
        </w:rPr>
        <w:t xml:space="preserve">A fin de garantizar el derecho fundamental de acceso a la información pública del interesado, tal como se establece en los artículos 4, 7, 15, 24 y 102 de la Ley de Transparencia y Acceso a la Información Pública del Estado de México, así mismo con la finalidad de atender la solicitud del particular oportunamente, informo a Usted, que: </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i/>
          <w:sz w:val="20"/>
          <w:szCs w:val="20"/>
        </w:rPr>
      </w:pPr>
      <w:r w:rsidRPr="007528AD">
        <w:rPr>
          <w:i/>
          <w:sz w:val="20"/>
          <w:szCs w:val="20"/>
        </w:rPr>
        <w:t>1.- Se comparten por medio del siguiente link los Estatutos de la Asociación de Personal Administrativo del Colegio de Estudios Científicos y Tecnológicos del Estado de México, vigentes a la fecha.</w:t>
      </w:r>
    </w:p>
    <w:p w:rsidR="002E4BFC" w:rsidRPr="007528AD" w:rsidRDefault="00BC3826">
      <w:pPr>
        <w:spacing w:after="0" w:line="360" w:lineRule="auto"/>
        <w:ind w:left="567" w:right="567"/>
        <w:rPr>
          <w:i/>
          <w:sz w:val="20"/>
          <w:szCs w:val="20"/>
        </w:rPr>
      </w:pPr>
      <w:r w:rsidRPr="007528AD">
        <w:rPr>
          <w:i/>
          <w:sz w:val="20"/>
          <w:szCs w:val="20"/>
        </w:rPr>
        <w:t xml:space="preserve"> </w:t>
      </w:r>
      <w:hyperlink r:id="rId8" w:anchor="/info-fraccion/259/349/1">
        <w:r w:rsidRPr="007528AD">
          <w:rPr>
            <w:i/>
            <w:color w:val="0563C1"/>
            <w:sz w:val="20"/>
            <w:szCs w:val="20"/>
            <w:u w:val="single"/>
          </w:rPr>
          <w:t>https://infoem2.ipomex.org.mx/ipomex/#/info-fraccion/259/349/1</w:t>
        </w:r>
      </w:hyperlink>
      <w:r w:rsidRPr="007528AD">
        <w:rPr>
          <w:i/>
          <w:sz w:val="20"/>
          <w:szCs w:val="20"/>
        </w:rPr>
        <w:t xml:space="preserve"> </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i/>
          <w:sz w:val="20"/>
          <w:szCs w:val="20"/>
        </w:rPr>
      </w:pPr>
      <w:r w:rsidRPr="007528AD">
        <w:rPr>
          <w:i/>
          <w:sz w:val="20"/>
          <w:szCs w:val="20"/>
        </w:rPr>
        <w:t xml:space="preserve">2.- Referente a la norma aplicable para el tema de elecciones, se fundamenta en los Estatutos de la Asociación de Personal Administrativo del Colegio de Estudios Científicos y Tecnológicos del Estado de México, vigentes a la fecha. </w:t>
      </w:r>
    </w:p>
    <w:p w:rsidR="002E4BFC" w:rsidRPr="007528AD" w:rsidRDefault="00BC3826">
      <w:pPr>
        <w:spacing w:after="0" w:line="360" w:lineRule="auto"/>
        <w:ind w:left="567" w:right="567"/>
        <w:rPr>
          <w:i/>
          <w:sz w:val="20"/>
          <w:szCs w:val="20"/>
        </w:rPr>
      </w:pPr>
      <w:r w:rsidRPr="007528AD">
        <w:rPr>
          <w:i/>
          <w:sz w:val="20"/>
          <w:szCs w:val="20"/>
        </w:rPr>
        <w:t xml:space="preserve">Se comparte link de consulta. </w:t>
      </w:r>
    </w:p>
    <w:p w:rsidR="002E4BFC" w:rsidRPr="007528AD" w:rsidRDefault="00D81C9A">
      <w:pPr>
        <w:spacing w:after="0" w:line="360" w:lineRule="auto"/>
        <w:ind w:left="567" w:right="567"/>
        <w:rPr>
          <w:i/>
          <w:sz w:val="20"/>
          <w:szCs w:val="20"/>
        </w:rPr>
      </w:pPr>
      <w:hyperlink r:id="rId9" w:anchor="/info-fraccion/259/349/1">
        <w:r w:rsidR="00BC3826" w:rsidRPr="007528AD">
          <w:rPr>
            <w:i/>
            <w:color w:val="0563C1"/>
            <w:sz w:val="20"/>
            <w:szCs w:val="20"/>
            <w:u w:val="single"/>
          </w:rPr>
          <w:t>https://infoem2.ipomex.org.mx/ipomex/#/info-fraccion/259/349/1</w:t>
        </w:r>
      </w:hyperlink>
      <w:r w:rsidR="00BC3826" w:rsidRPr="007528AD">
        <w:rPr>
          <w:i/>
          <w:sz w:val="20"/>
          <w:szCs w:val="20"/>
        </w:rPr>
        <w:t xml:space="preserve"> </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i/>
          <w:sz w:val="20"/>
          <w:szCs w:val="20"/>
        </w:rPr>
      </w:pPr>
      <w:r w:rsidRPr="007528AD">
        <w:rPr>
          <w:i/>
          <w:sz w:val="20"/>
          <w:szCs w:val="20"/>
        </w:rPr>
        <w:lastRenderedPageBreak/>
        <w:t xml:space="preserve">3.- El informe lo podrá visualizar en el siguiente link </w:t>
      </w:r>
    </w:p>
    <w:p w:rsidR="002E4BFC" w:rsidRPr="007528AD" w:rsidRDefault="00D81C9A">
      <w:pPr>
        <w:spacing w:after="0" w:line="360" w:lineRule="auto"/>
        <w:ind w:left="567" w:right="567"/>
        <w:rPr>
          <w:i/>
          <w:sz w:val="20"/>
          <w:szCs w:val="20"/>
        </w:rPr>
      </w:pPr>
      <w:hyperlink r:id="rId10" w:anchor="/info-fraccion/46/349/1">
        <w:r w:rsidR="00BC3826" w:rsidRPr="007528AD">
          <w:rPr>
            <w:i/>
            <w:color w:val="0563C1"/>
            <w:sz w:val="20"/>
            <w:szCs w:val="20"/>
            <w:u w:val="single"/>
          </w:rPr>
          <w:t>https://infoem2.ipomex.org.mx/ipomex/#/info-fraccion/46/349/1</w:t>
        </w:r>
      </w:hyperlink>
      <w:r w:rsidR="00BC3826" w:rsidRPr="007528AD">
        <w:rPr>
          <w:i/>
          <w:sz w:val="20"/>
          <w:szCs w:val="20"/>
        </w:rPr>
        <w:t xml:space="preserve"> </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i/>
          <w:sz w:val="20"/>
          <w:szCs w:val="20"/>
        </w:rPr>
      </w:pPr>
      <w:r w:rsidRPr="007528AD">
        <w:rPr>
          <w:i/>
          <w:sz w:val="20"/>
          <w:szCs w:val="20"/>
        </w:rPr>
        <w:t>4.- La Asociación de Personal Administrativo del Colegio de Estudios Científicos y Tecnológicos del Estado de México, maneja una cuenta y por lo que respecta a cuánto dinero tiene cada una, le informo de manera respetuosa que dicha información no es considerada como publica ya que los montos derivan de las aportaciones de las cuotas sindicales del personal afiliado a esta Representación sindical, lo anterior con fundamento en la Constitución Política de los Estados Unidos Mexicanos, Tratados Internacionales, Ley Federal del Trabajo, Ley del Trabajo de los Servidores Públicos del Estado y Municipios y demás normatividad aplicable.</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i/>
          <w:sz w:val="20"/>
          <w:szCs w:val="20"/>
        </w:rPr>
      </w:pPr>
      <w:r w:rsidRPr="007528AD">
        <w:rPr>
          <w:i/>
          <w:sz w:val="20"/>
          <w:szCs w:val="20"/>
        </w:rPr>
        <w:t xml:space="preserve"> Así mismo se le hace del conocimiento que al proporcionarle dicha información se pondría en riesgo la seguridad de las personas que manejan dicha cuenta. Lo anterior tomando en consideración el criterio 09/17 emitido por el Instituto Nacional de Acceso a la información (INAI), referente a que las cuotas sindicales no están sujetas al escrutinio público. </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i/>
          <w:sz w:val="20"/>
          <w:szCs w:val="20"/>
        </w:rPr>
      </w:pPr>
      <w:r w:rsidRPr="007528AD">
        <w:rPr>
          <w:i/>
          <w:sz w:val="20"/>
          <w:szCs w:val="20"/>
        </w:rPr>
        <w:t xml:space="preserve">5.- Referente a los bienes que son propiedad del ASPAC, se sufragan de las cuotas sindicales RECURSOS PRIVADOS, estas no derivan directamente del Erario Público, sino del haber patrimonial de los integrantes de la Asociación, toda vez que son descontados del salario que perciben por su trabajo. En consecuencia, sólo los miembros de esta asociación pueden solicitar la información relativa a las cuotas sindicales, por lo que ésta solo podrá ser entregada a quien tenga ese carácter. </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i/>
          <w:sz w:val="20"/>
          <w:szCs w:val="20"/>
        </w:rPr>
      </w:pPr>
      <w:r w:rsidRPr="007528AD">
        <w:rPr>
          <w:i/>
          <w:sz w:val="20"/>
          <w:szCs w:val="20"/>
        </w:rPr>
        <w:t xml:space="preserve">Lo anterior tomando en consideración el criterio 09/17 emitido por el Instituto Nacional de Acceso a la información (INAI), referente a que las cuotas sindicales no están sujetas al escrutinio público. </w:t>
      </w:r>
    </w:p>
    <w:p w:rsidR="002E4BFC" w:rsidRPr="007528AD" w:rsidRDefault="00BC3826">
      <w:pPr>
        <w:spacing w:after="0" w:line="360" w:lineRule="auto"/>
        <w:ind w:left="567" w:right="567"/>
        <w:rPr>
          <w:i/>
          <w:sz w:val="20"/>
          <w:szCs w:val="20"/>
        </w:rPr>
      </w:pPr>
      <w:r w:rsidRPr="007528AD">
        <w:rPr>
          <w:i/>
          <w:sz w:val="20"/>
          <w:szCs w:val="20"/>
        </w:rPr>
        <w:t>…”</w:t>
      </w:r>
    </w:p>
    <w:p w:rsidR="002E4BFC" w:rsidRPr="007528AD" w:rsidRDefault="002E4BFC">
      <w:pPr>
        <w:spacing w:after="0" w:line="360" w:lineRule="auto"/>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4" w:name="_heading=h.3znysh7" w:colFirst="0" w:colLast="0"/>
      <w:bookmarkEnd w:id="4"/>
      <w:r w:rsidRPr="007528AD">
        <w:rPr>
          <w:rFonts w:ascii="Palatino Linotype" w:eastAsia="Palatino Linotype" w:hAnsi="Palatino Linotype" w:cs="Palatino Linotype"/>
          <w:b/>
          <w:color w:val="000000"/>
          <w:sz w:val="22"/>
          <w:szCs w:val="22"/>
        </w:rPr>
        <w:t>III. Interpo</w:t>
      </w:r>
      <w:r w:rsidR="007528AD" w:rsidRPr="007528AD">
        <w:rPr>
          <w:rFonts w:ascii="Palatino Linotype" w:eastAsia="Palatino Linotype" w:hAnsi="Palatino Linotype" w:cs="Palatino Linotype"/>
          <w:b/>
          <w:color w:val="000000"/>
          <w:sz w:val="22"/>
          <w:szCs w:val="22"/>
        </w:rPr>
        <w:t>sición del Recurso de Revisión</w:t>
      </w:r>
    </w:p>
    <w:p w:rsidR="002E4BFC" w:rsidRPr="007528AD" w:rsidRDefault="002E4BFC">
      <w:pPr>
        <w:spacing w:after="0" w:line="360" w:lineRule="auto"/>
        <w:rPr>
          <w:b/>
        </w:rPr>
      </w:pPr>
    </w:p>
    <w:p w:rsidR="002E4BFC" w:rsidRPr="007528AD" w:rsidRDefault="00BC3826">
      <w:pPr>
        <w:spacing w:after="0" w:line="360" w:lineRule="auto"/>
        <w:rPr>
          <w:b/>
        </w:rPr>
      </w:pPr>
      <w:r w:rsidRPr="007528AD">
        <w:lastRenderedPageBreak/>
        <w:t>Con fecha trece de enero de dos mil veinticinco, se recibió en este Instituto, a través del Sistema de Acceso a la Información Mexiquense (SAIMEX), Recurso de Revisión interpuesto por la parte Recurrente, en contra de la respuesta por el Sujeto Obligado</w:t>
      </w:r>
      <w:r w:rsidRPr="007528AD">
        <w:rPr>
          <w:b/>
        </w:rPr>
        <w:t xml:space="preserve"> (ya que si bien, se registró </w:t>
      </w:r>
      <w:r w:rsidRPr="007528AD">
        <w:t>el nueve de enero del mismo año, también lo es, que fue inhábil, por lo que, se tuvo por recibido, el día hábil siguiente);</w:t>
      </w:r>
      <w:r w:rsidRPr="007528AD">
        <w:rPr>
          <w:b/>
        </w:rPr>
        <w:t xml:space="preserve"> </w:t>
      </w:r>
      <w:r w:rsidRPr="007528AD">
        <w:t>en los siguientes términos:</w:t>
      </w:r>
    </w:p>
    <w:p w:rsidR="002E4BFC" w:rsidRPr="007528AD" w:rsidRDefault="002E4BFC">
      <w:pPr>
        <w:spacing w:after="0" w:line="360" w:lineRule="auto"/>
      </w:pPr>
    </w:p>
    <w:p w:rsidR="002E4BFC" w:rsidRPr="007528AD" w:rsidRDefault="00BC3826">
      <w:pPr>
        <w:tabs>
          <w:tab w:val="left" w:pos="4667"/>
        </w:tabs>
        <w:spacing w:after="0" w:line="360" w:lineRule="auto"/>
        <w:ind w:left="567" w:right="567"/>
        <w:rPr>
          <w:i/>
          <w:sz w:val="20"/>
          <w:szCs w:val="20"/>
        </w:rPr>
      </w:pPr>
      <w:r w:rsidRPr="007528AD">
        <w:rPr>
          <w:b/>
          <w:i/>
          <w:sz w:val="20"/>
          <w:szCs w:val="20"/>
        </w:rPr>
        <w:t>“ACTO IMPUGNADO</w:t>
      </w:r>
    </w:p>
    <w:p w:rsidR="002E4BFC" w:rsidRPr="007528AD" w:rsidRDefault="00BC3826">
      <w:pPr>
        <w:spacing w:after="0" w:line="360" w:lineRule="auto"/>
        <w:ind w:left="567" w:right="567"/>
        <w:rPr>
          <w:i/>
          <w:sz w:val="20"/>
          <w:szCs w:val="20"/>
        </w:rPr>
      </w:pPr>
      <w:r w:rsidRPr="007528AD">
        <w:rPr>
          <w:i/>
          <w:sz w:val="20"/>
          <w:szCs w:val="20"/>
        </w:rPr>
        <w:t xml:space="preserve">No se me indica en qué parte de los estatutos encuentro la información solicitada, las cuentas y patrimonio si son públicas ya que no solo se conforman por las aportaciones de los trabajadores sino también de dinero que le da el </w:t>
      </w:r>
      <w:proofErr w:type="spellStart"/>
      <w:r w:rsidRPr="007528AD">
        <w:rPr>
          <w:i/>
          <w:sz w:val="20"/>
          <w:szCs w:val="20"/>
        </w:rPr>
        <w:t>cecytem</w:t>
      </w:r>
      <w:proofErr w:type="spellEnd"/>
      <w:r w:rsidRPr="007528AD">
        <w:rPr>
          <w:i/>
          <w:sz w:val="20"/>
          <w:szCs w:val="20"/>
        </w:rPr>
        <w:t xml:space="preserve"> para atender diversas prestaciones.” (Sic.)</w:t>
      </w:r>
    </w:p>
    <w:p w:rsidR="002E4BFC" w:rsidRPr="007528AD" w:rsidRDefault="002E4BFC">
      <w:pPr>
        <w:spacing w:after="0" w:line="360" w:lineRule="auto"/>
        <w:ind w:left="567" w:right="567"/>
        <w:rPr>
          <w:i/>
          <w:sz w:val="20"/>
          <w:szCs w:val="20"/>
        </w:rPr>
      </w:pPr>
    </w:p>
    <w:p w:rsidR="002E4BFC" w:rsidRPr="007528AD" w:rsidRDefault="00BC3826">
      <w:pPr>
        <w:spacing w:after="0" w:line="360" w:lineRule="auto"/>
        <w:ind w:left="567" w:right="567"/>
        <w:rPr>
          <w:b/>
          <w:i/>
          <w:sz w:val="20"/>
          <w:szCs w:val="20"/>
        </w:rPr>
      </w:pPr>
      <w:r w:rsidRPr="007528AD">
        <w:rPr>
          <w:b/>
          <w:i/>
          <w:sz w:val="20"/>
          <w:szCs w:val="20"/>
        </w:rPr>
        <w:t>“RAZONES O MOTIVOS DE LA INCONFORMIDAD</w:t>
      </w:r>
    </w:p>
    <w:p w:rsidR="002E4BFC" w:rsidRPr="007528AD" w:rsidRDefault="00BC3826">
      <w:pPr>
        <w:spacing w:after="0" w:line="360" w:lineRule="auto"/>
        <w:ind w:left="567" w:right="567"/>
        <w:rPr>
          <w:i/>
          <w:sz w:val="20"/>
          <w:szCs w:val="20"/>
        </w:rPr>
      </w:pPr>
      <w:r w:rsidRPr="007528AD">
        <w:rPr>
          <w:i/>
          <w:sz w:val="20"/>
          <w:szCs w:val="20"/>
        </w:rPr>
        <w:t>Están intentando hacer tiempo para no entregar la información” (Sic.)</w:t>
      </w:r>
    </w:p>
    <w:p w:rsidR="002E4BFC" w:rsidRPr="007528AD" w:rsidRDefault="002E4BFC">
      <w:pPr>
        <w:spacing w:after="0" w:line="360" w:lineRule="auto"/>
        <w:ind w:left="567" w:right="567"/>
        <w:rPr>
          <w:i/>
          <w:sz w:val="20"/>
          <w:szCs w:val="20"/>
        </w:rPr>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5" w:name="_heading=h.2et92p0" w:colFirst="0" w:colLast="0"/>
      <w:bookmarkEnd w:id="5"/>
      <w:r w:rsidRPr="007528AD">
        <w:rPr>
          <w:rFonts w:ascii="Palatino Linotype" w:eastAsia="Palatino Linotype" w:hAnsi="Palatino Linotype" w:cs="Palatino Linotype"/>
          <w:b/>
          <w:color w:val="000000"/>
          <w:sz w:val="22"/>
          <w:szCs w:val="22"/>
        </w:rPr>
        <w:t>IV. Trámite del Recurso de Revisión ante este Instituto.</w:t>
      </w:r>
    </w:p>
    <w:p w:rsidR="002E4BFC" w:rsidRPr="007528AD" w:rsidRDefault="002E4BFC">
      <w:pPr>
        <w:spacing w:after="0" w:line="360" w:lineRule="auto"/>
        <w:rPr>
          <w:b/>
        </w:rPr>
      </w:pPr>
    </w:p>
    <w:p w:rsidR="002E4BFC" w:rsidRPr="007528AD" w:rsidRDefault="00BC3826">
      <w:pPr>
        <w:spacing w:after="0" w:line="360" w:lineRule="auto"/>
      </w:pPr>
      <w:bookmarkStart w:id="6" w:name="_heading=h.tyjcwt" w:colFirst="0" w:colLast="0"/>
      <w:bookmarkEnd w:id="6"/>
      <w:r w:rsidRPr="007528AD">
        <w:rPr>
          <w:b/>
          <w:color w:val="000000"/>
        </w:rPr>
        <w:t>a) Turno del Medio de Impugnación.</w:t>
      </w:r>
      <w:r w:rsidRPr="007528AD">
        <w:rPr>
          <w:b/>
        </w:rPr>
        <w:t xml:space="preserve"> </w:t>
      </w:r>
      <w:r w:rsidRPr="007528AD">
        <w:t xml:space="preserve">El nueve de enero de dos mil veinticinco, el Sistema de Acceso a la Información Mexiquense (SAIMEX), asignó el número de expediente </w:t>
      </w:r>
      <w:r w:rsidRPr="007528AD">
        <w:rPr>
          <w:b/>
        </w:rPr>
        <w:t>00061/INFOEM/IP/RR/2025</w:t>
      </w:r>
      <w:r w:rsidRPr="007528AD">
        <w:t>, al medio de impugnación que nos ocupa, con base en el sistema aprobado por el Pleno de este Órgano Garante y lo turnó al Comisionado Ponente Luis Gustavo Parra Noriega, para los efectos del artículo 185, fracción I de la Ley de Transparencia y Acceso a la Información Pública del Estado de México y Municipios.</w:t>
      </w:r>
    </w:p>
    <w:p w:rsidR="002E4BFC" w:rsidRPr="007528AD" w:rsidRDefault="002E4BFC">
      <w:pPr>
        <w:spacing w:after="0" w:line="360" w:lineRule="auto"/>
      </w:pPr>
    </w:p>
    <w:p w:rsidR="002E4BFC" w:rsidRPr="007528AD" w:rsidRDefault="00BC3826">
      <w:pPr>
        <w:spacing w:after="0" w:line="360" w:lineRule="auto"/>
      </w:pPr>
      <w:bookmarkStart w:id="7" w:name="_heading=h.3dy6vkm" w:colFirst="0" w:colLast="0"/>
      <w:bookmarkEnd w:id="7"/>
      <w:r w:rsidRPr="007528AD">
        <w:rPr>
          <w:b/>
          <w:color w:val="000000"/>
        </w:rPr>
        <w:t>b) Admisión del Recurso de Revisión.</w:t>
      </w:r>
      <w:r w:rsidRPr="007528AD">
        <w:rPr>
          <w:b/>
        </w:rPr>
        <w:t xml:space="preserve"> </w:t>
      </w:r>
      <w:r w:rsidRPr="007528AD">
        <w:t xml:space="preserve">El quince de enero de dos mil veinticinco, se acordó la admisión del Recurso de Revisión interpuesto por el Recurrente en contra del Sujeto Obligado, en términos del artículo 185, fracciones I y II de la Ley de Transparencia y Acceso a la </w:t>
      </w:r>
      <w:r w:rsidRPr="007528AD">
        <w:lastRenderedPageBreak/>
        <w:t xml:space="preserve">Información Pública del Estado de México y Municipios, el cual fue notificado a las partes el mismo día, a través del Sistema de Acceso a la Información Mexiquense (SAIMEX), en el que se les otorgó un plazo de siete días hábiles posteriores a la misma, para que manifestaran lo que a su derecho conviniera y formularan alegatos. </w:t>
      </w:r>
    </w:p>
    <w:p w:rsidR="002E4BFC" w:rsidRPr="007528AD" w:rsidRDefault="002E4BFC">
      <w:pPr>
        <w:spacing w:after="0" w:line="360" w:lineRule="auto"/>
        <w:rPr>
          <w:b/>
        </w:rPr>
      </w:pPr>
    </w:p>
    <w:p w:rsidR="002E4BFC" w:rsidRPr="007528AD" w:rsidRDefault="00BC3826">
      <w:pPr>
        <w:spacing w:after="0" w:line="360" w:lineRule="auto"/>
        <w:rPr>
          <w:color w:val="000000"/>
        </w:rPr>
      </w:pPr>
      <w:bookmarkStart w:id="8" w:name="_heading=h.1t3h5sf" w:colFirst="0" w:colLast="0"/>
      <w:bookmarkEnd w:id="8"/>
      <w:r w:rsidRPr="007528AD">
        <w:rPr>
          <w:b/>
          <w:color w:val="000000"/>
        </w:rPr>
        <w:t>c) Informe Justificado.</w:t>
      </w:r>
      <w:r w:rsidRPr="007528AD">
        <w:rPr>
          <w:b/>
        </w:rPr>
        <w:t xml:space="preserve"> </w:t>
      </w:r>
      <w:r w:rsidRPr="007528AD">
        <w:rPr>
          <w:color w:val="000000"/>
        </w:rPr>
        <w:t xml:space="preserve">El diecisiete de enero de dos mil veinticinco, se recibió, a través de Sistema de Acceso a la Información Mexiquense (SAIMEX), el Informe Justificado del Sujeto Obligado, mediante oficio sin número, del quince de enero de dos mil veinticinco, suscrito por el Titular de la Unidad de Transparencia, por medio del cual ratificó su respuesta y solicitó sobreseer el presente Recurso de Revisión de conformidad con las siguientes consideraciones: </w:t>
      </w:r>
    </w:p>
    <w:p w:rsidR="002E4BFC" w:rsidRPr="007528AD" w:rsidRDefault="002E4BFC">
      <w:pPr>
        <w:spacing w:after="0" w:line="360" w:lineRule="auto"/>
        <w:ind w:right="567"/>
        <w:rPr>
          <w:i/>
          <w:color w:val="000000"/>
          <w:sz w:val="20"/>
          <w:szCs w:val="20"/>
        </w:rPr>
      </w:pPr>
    </w:p>
    <w:p w:rsidR="002E4BFC" w:rsidRPr="007528AD" w:rsidRDefault="00BC3826">
      <w:pPr>
        <w:spacing w:after="0" w:line="360" w:lineRule="auto"/>
        <w:ind w:left="567" w:right="567"/>
        <w:rPr>
          <w:i/>
          <w:color w:val="000000"/>
          <w:sz w:val="20"/>
          <w:szCs w:val="20"/>
        </w:rPr>
      </w:pPr>
      <w:r w:rsidRPr="007528AD">
        <w:rPr>
          <w:i/>
          <w:color w:val="000000"/>
          <w:sz w:val="20"/>
          <w:szCs w:val="20"/>
        </w:rPr>
        <w:t>“…</w:t>
      </w:r>
    </w:p>
    <w:p w:rsidR="002E4BFC" w:rsidRPr="007528AD" w:rsidRDefault="00BC3826">
      <w:pPr>
        <w:spacing w:after="0" w:line="360" w:lineRule="auto"/>
        <w:ind w:left="567" w:right="567"/>
        <w:rPr>
          <w:b/>
          <w:i/>
          <w:color w:val="000000"/>
          <w:sz w:val="20"/>
          <w:szCs w:val="20"/>
        </w:rPr>
      </w:pPr>
      <w:r w:rsidRPr="007528AD">
        <w:rPr>
          <w:i/>
          <w:color w:val="000000"/>
          <w:sz w:val="20"/>
          <w:szCs w:val="20"/>
        </w:rPr>
        <w:t>En lo que respecta a su recurso de revisión precisamente en lo referente a los argumentos en los que menciona que</w:t>
      </w:r>
      <w:r w:rsidRPr="007528AD">
        <w:rPr>
          <w:b/>
          <w:i/>
          <w:color w:val="000000"/>
          <w:sz w:val="20"/>
          <w:szCs w:val="20"/>
        </w:rPr>
        <w:t xml:space="preserve"> No se me Indica en que parte de los estatutos encuentro la información solicitada, cuentas y patrimonio si son públicas ya que no solo se conforman por las aportaciones de los trabajadores sino también de dinero que le da el </w:t>
      </w:r>
      <w:proofErr w:type="spellStart"/>
      <w:r w:rsidRPr="007528AD">
        <w:rPr>
          <w:b/>
          <w:i/>
          <w:color w:val="000000"/>
          <w:sz w:val="20"/>
          <w:szCs w:val="20"/>
        </w:rPr>
        <w:t>cecytem</w:t>
      </w:r>
      <w:proofErr w:type="spellEnd"/>
      <w:r w:rsidRPr="007528AD">
        <w:rPr>
          <w:b/>
          <w:i/>
          <w:color w:val="000000"/>
          <w:sz w:val="20"/>
          <w:szCs w:val="20"/>
        </w:rPr>
        <w:t xml:space="preserve"> para atender diversas prestaciones, </w:t>
      </w:r>
      <w:r w:rsidRPr="007528AD">
        <w:rPr>
          <w:i/>
          <w:color w:val="000000"/>
          <w:sz w:val="20"/>
          <w:szCs w:val="20"/>
        </w:rPr>
        <w:t>se entregaron los estatutos vigentes mediante link que fue lo que solicito el recurrente y no como ahora lo solicita en que parte de los estatutos encuentra la información, así mismo le informo que los recursos que otorga el Colegio de Estudios Científicos y Tecnológicos del Estado de México (</w:t>
      </w:r>
      <w:proofErr w:type="spellStart"/>
      <w:r w:rsidRPr="007528AD">
        <w:rPr>
          <w:i/>
          <w:color w:val="000000"/>
          <w:sz w:val="20"/>
          <w:szCs w:val="20"/>
        </w:rPr>
        <w:t>CECyTEM</w:t>
      </w:r>
      <w:proofErr w:type="spellEnd"/>
      <w:r w:rsidRPr="007528AD">
        <w:rPr>
          <w:i/>
          <w:color w:val="000000"/>
          <w:sz w:val="20"/>
          <w:szCs w:val="20"/>
        </w:rPr>
        <w:t xml:space="preserve">), se encuentran establecidos en el Contrato Colectivo de Trabajo de Personal Administrativo del </w:t>
      </w:r>
      <w:proofErr w:type="spellStart"/>
      <w:r w:rsidRPr="007528AD">
        <w:rPr>
          <w:i/>
          <w:color w:val="000000"/>
          <w:sz w:val="20"/>
          <w:szCs w:val="20"/>
        </w:rPr>
        <w:t>CECyTEM</w:t>
      </w:r>
      <w:proofErr w:type="spellEnd"/>
      <w:r w:rsidRPr="007528AD">
        <w:rPr>
          <w:i/>
          <w:color w:val="000000"/>
          <w:sz w:val="20"/>
          <w:szCs w:val="20"/>
        </w:rPr>
        <w:t xml:space="preserve">, el cual se podrá consultar en el siguiente link </w:t>
      </w:r>
      <w:hyperlink r:id="rId11" w:anchor="/info-fraccion/263/349/12">
        <w:r w:rsidRPr="007528AD">
          <w:rPr>
            <w:i/>
            <w:color w:val="0563C1"/>
            <w:sz w:val="20"/>
            <w:szCs w:val="20"/>
            <w:u w:val="single"/>
          </w:rPr>
          <w:t>https://infoem2.ipomex.org.mx/ipomex/#/info-fraccion/263/349/12</w:t>
        </w:r>
      </w:hyperlink>
      <w:r w:rsidRPr="007528AD">
        <w:rPr>
          <w:i/>
          <w:color w:val="000000"/>
          <w:sz w:val="20"/>
          <w:szCs w:val="20"/>
        </w:rPr>
        <w:t xml:space="preserve"> y verificar los montos que corresponden a cada prestación haciendo la aclaración que la mayoría de las cláusulas del Contrato el Colegio es quien otorga los recursos al personal administrativo afiliado a esta Representación Sindical y dentro del mismo instrumento no existe cláusula (recurso público), que permita adquirir bienes patrimonio de la Asociación, es importante aclarar que estos se obtienen de recursos privados que emanan de cuotas sindicales no son recursos públicos.</w:t>
      </w:r>
    </w:p>
    <w:p w:rsidR="002E4BFC" w:rsidRPr="007528AD" w:rsidRDefault="002E4BFC">
      <w:pPr>
        <w:spacing w:after="0" w:line="360" w:lineRule="auto"/>
        <w:ind w:left="567" w:right="567"/>
        <w:rPr>
          <w:b/>
          <w:i/>
          <w:color w:val="000000"/>
          <w:sz w:val="20"/>
          <w:szCs w:val="20"/>
        </w:rPr>
      </w:pPr>
    </w:p>
    <w:p w:rsidR="002E4BFC" w:rsidRPr="007528AD" w:rsidRDefault="00BC3826">
      <w:pPr>
        <w:spacing w:after="0" w:line="360" w:lineRule="auto"/>
        <w:ind w:left="567" w:right="567"/>
        <w:rPr>
          <w:i/>
          <w:color w:val="000000"/>
          <w:sz w:val="20"/>
          <w:szCs w:val="20"/>
        </w:rPr>
      </w:pPr>
      <w:r w:rsidRPr="007528AD">
        <w:rPr>
          <w:i/>
          <w:color w:val="000000"/>
          <w:sz w:val="20"/>
          <w:szCs w:val="20"/>
        </w:rPr>
        <w:t>Por lo que hace a la cantidad existente en la cuenta que maneja esta representación me permito reiterarle que dicha información es única y exclusivamente para los agremiados por ser una cuenta que deviene de las cuotas sindicales que son aportadas del sueldo de cada socio, ya que de lo contrario se pondría en riesgo la vida y la seguridad de las personas por la divulgación que pueda causar un serio perjuicio, no es ocioso recordar que los Sindicatos, como tal, no desempeñan actividades en alguno de los tres órdenes de gobierno, por lo que, no pueden, por definición realizar actos que puedan reputarse como públicos y oficiales, al guardar la característica de ser privados tal y como lo establece:</w:t>
      </w:r>
    </w:p>
    <w:p w:rsidR="002E4BFC" w:rsidRPr="007528AD" w:rsidRDefault="00BC3826">
      <w:pPr>
        <w:spacing w:after="0" w:line="360" w:lineRule="auto"/>
        <w:ind w:left="567" w:right="567"/>
        <w:rPr>
          <w:i/>
          <w:color w:val="000000"/>
          <w:sz w:val="20"/>
          <w:szCs w:val="20"/>
        </w:rPr>
      </w:pPr>
      <w:r w:rsidRPr="007528AD">
        <w:rPr>
          <w:i/>
          <w:color w:val="000000"/>
          <w:sz w:val="20"/>
          <w:szCs w:val="20"/>
        </w:rPr>
        <w:t>…</w:t>
      </w:r>
    </w:p>
    <w:p w:rsidR="002E4BFC" w:rsidRPr="007528AD" w:rsidRDefault="00BC3826">
      <w:pPr>
        <w:spacing w:after="0" w:line="360" w:lineRule="auto"/>
        <w:ind w:left="567" w:right="567"/>
        <w:rPr>
          <w:i/>
          <w:color w:val="000000"/>
          <w:sz w:val="20"/>
          <w:szCs w:val="20"/>
        </w:rPr>
      </w:pPr>
      <w:r w:rsidRPr="007528AD">
        <w:rPr>
          <w:i/>
          <w:color w:val="000000"/>
          <w:sz w:val="20"/>
          <w:szCs w:val="20"/>
        </w:rPr>
        <w:t>De lo anterior se colige que la información de un sindicato, que se encuentra sujeta a rendición de cuentas, es aquélla que dé cuenta del ejercicio y uso de recursos públicos presupuestados y, por lo tanto, no será de escrutinio, aquella que refiera a datos propios del sindicato o de sus agremiados, cuya difusión pudiera afectar su libertad sindical y privacidad, como persona jurídica de derecho social, así como de aquella que refiera a su administración y actividades.</w:t>
      </w:r>
    </w:p>
    <w:p w:rsidR="002E4BFC" w:rsidRPr="007528AD" w:rsidRDefault="00BC3826">
      <w:pPr>
        <w:spacing w:after="0" w:line="360" w:lineRule="auto"/>
        <w:ind w:left="567" w:right="567"/>
        <w:rPr>
          <w:i/>
          <w:color w:val="000000"/>
          <w:sz w:val="20"/>
          <w:szCs w:val="20"/>
        </w:rPr>
      </w:pPr>
      <w:r w:rsidRPr="007528AD">
        <w:rPr>
          <w:i/>
          <w:color w:val="000000"/>
          <w:sz w:val="20"/>
          <w:szCs w:val="20"/>
        </w:rPr>
        <w:t>…</w:t>
      </w:r>
    </w:p>
    <w:p w:rsidR="002E4BFC" w:rsidRPr="007528AD" w:rsidRDefault="00BC3826">
      <w:pPr>
        <w:spacing w:after="0" w:line="360" w:lineRule="auto"/>
        <w:ind w:left="567" w:right="567"/>
        <w:rPr>
          <w:i/>
          <w:color w:val="000000"/>
          <w:sz w:val="20"/>
          <w:szCs w:val="20"/>
        </w:rPr>
      </w:pPr>
      <w:r w:rsidRPr="007528AD">
        <w:rPr>
          <w:i/>
          <w:color w:val="000000"/>
          <w:sz w:val="20"/>
          <w:szCs w:val="20"/>
        </w:rPr>
        <w:t>Precepto legal con el cual podemos concluir que, los sindicatos son integrados por trabajadores o patrones, para mejoramiento y defensa de sus derechos, es decir que, constituyen una persona jurídica colectiva que no depende estructural u operativamente de una dependencia pública para su funcionamiento. La Asociación de Personal Administrativo del CECYTEM, tiene por objeto el estudio, mejoramiento y defensa de los intereses comunes del personal administrativo que la integran, pugnando por elevar las condiciones de vida de los mismos.</w:t>
      </w:r>
    </w:p>
    <w:p w:rsidR="002E4BFC" w:rsidRPr="007528AD" w:rsidRDefault="00BC3826">
      <w:pPr>
        <w:spacing w:after="0" w:line="360" w:lineRule="auto"/>
        <w:ind w:left="567" w:right="567"/>
        <w:rPr>
          <w:i/>
          <w:color w:val="000000"/>
          <w:sz w:val="20"/>
          <w:szCs w:val="20"/>
        </w:rPr>
      </w:pPr>
      <w:r w:rsidRPr="007528AD">
        <w:rPr>
          <w:i/>
          <w:color w:val="000000"/>
          <w:sz w:val="20"/>
          <w:szCs w:val="20"/>
        </w:rPr>
        <w:t xml:space="preserve">…” </w:t>
      </w:r>
    </w:p>
    <w:p w:rsidR="002E4BFC" w:rsidRPr="007528AD" w:rsidRDefault="002E4BFC">
      <w:pPr>
        <w:spacing w:after="0" w:line="360" w:lineRule="auto"/>
        <w:rPr>
          <w:b/>
          <w:color w:val="000000"/>
        </w:rPr>
      </w:pPr>
    </w:p>
    <w:p w:rsidR="002E4BFC" w:rsidRPr="007528AD" w:rsidRDefault="00BC3826">
      <w:pPr>
        <w:spacing w:after="0" w:line="360" w:lineRule="auto"/>
        <w:rPr>
          <w:b/>
          <w:color w:val="000000"/>
        </w:rPr>
      </w:pPr>
      <w:r w:rsidRPr="007528AD">
        <w:rPr>
          <w:b/>
          <w:color w:val="000000"/>
        </w:rPr>
        <w:t xml:space="preserve">d) Vista del Informe Justificado. </w:t>
      </w:r>
      <w:r w:rsidRPr="007528AD">
        <w:rPr>
          <w:color w:val="000000"/>
        </w:rPr>
        <w:t xml:space="preserve">El veintiuno de enero de dos mil veinticinco, se dictó acuerdo por medio del cual se puso a la vista del Recurrente el Informe Justificado entregado por el Sujeto Obligado, el cual fue notificado a las partes, el mismo día, a través del Sistema de Acceso a la Información Mexiquense (SAIMEX). </w:t>
      </w:r>
      <w:r w:rsidRPr="007528AD">
        <w:rPr>
          <w:b/>
          <w:color w:val="000000"/>
        </w:rPr>
        <w:t>Cabe señalar que el Particular fue omiso en realizar manifestación alguna.</w:t>
      </w:r>
    </w:p>
    <w:p w:rsidR="002E4BFC" w:rsidRPr="007528AD" w:rsidRDefault="002E4BFC">
      <w:pPr>
        <w:spacing w:after="0" w:line="360" w:lineRule="auto"/>
        <w:rPr>
          <w:b/>
        </w:rPr>
      </w:pPr>
    </w:p>
    <w:p w:rsidR="002E4BFC" w:rsidRPr="007528AD" w:rsidRDefault="00BC3826">
      <w:pPr>
        <w:spacing w:after="0" w:line="360" w:lineRule="auto"/>
      </w:pPr>
      <w:bookmarkStart w:id="9" w:name="_heading=h.4d34og8" w:colFirst="0" w:colLast="0"/>
      <w:bookmarkEnd w:id="9"/>
      <w:r w:rsidRPr="007528AD">
        <w:rPr>
          <w:b/>
          <w:color w:val="000000"/>
        </w:rPr>
        <w:t>e) Cierre de instrucción.</w:t>
      </w:r>
      <w:r w:rsidRPr="007528AD">
        <w:t xml:space="preserve">  El cuatro de febrero de dos mil veinticinco, al no existir diligencias pendientes por desahogar, se emitió el acuerdo por medio del cual se declaró cerrada la instrucción y se determinó pasar el expediente a resolución, en términos de lo dispuesto en los artículos 185, fracciones VI y VIII de la Ley de Transparencia y Acceso a la Información Pública del Estado de México y Municipios, mismo que fue notificado a las partes, a través del Sistema de Acceso a la Información Mexiquense (SAIMEX), el mismo día. </w:t>
      </w:r>
    </w:p>
    <w:p w:rsidR="002E4BFC" w:rsidRPr="007528AD" w:rsidRDefault="002E4BFC">
      <w:pPr>
        <w:spacing w:after="0" w:line="360" w:lineRule="auto"/>
        <w:rPr>
          <w:b/>
        </w:rPr>
      </w:pPr>
    </w:p>
    <w:p w:rsidR="002E4BFC" w:rsidRPr="007528AD" w:rsidRDefault="00BC3826">
      <w:pPr>
        <w:spacing w:after="0" w:line="360" w:lineRule="auto"/>
        <w:rPr>
          <w:b/>
        </w:rPr>
      </w:pPr>
      <w:r w:rsidRPr="007528AD">
        <w:t xml:space="preserve">En razón de que fue debidamente sustanciado el expediente electrónico y no existe diligencia pendiente de desahogo, se emite la resolución que conforme a Derecho proceda, de acuerdo a los siguientes: </w:t>
      </w:r>
    </w:p>
    <w:p w:rsidR="002E4BFC" w:rsidRPr="007528AD" w:rsidRDefault="002E4BFC">
      <w:pPr>
        <w:spacing w:after="0" w:line="360" w:lineRule="auto"/>
      </w:pPr>
    </w:p>
    <w:p w:rsidR="002E4BFC" w:rsidRPr="007528AD" w:rsidRDefault="007528AD">
      <w:pPr>
        <w:pStyle w:val="Ttulo1"/>
        <w:spacing w:before="0" w:line="360" w:lineRule="auto"/>
        <w:jc w:val="center"/>
        <w:rPr>
          <w:rFonts w:ascii="Palatino Linotype" w:eastAsia="Palatino Linotype" w:hAnsi="Palatino Linotype" w:cs="Palatino Linotype"/>
          <w:b/>
          <w:color w:val="000000"/>
          <w:sz w:val="22"/>
          <w:szCs w:val="22"/>
        </w:rPr>
      </w:pPr>
      <w:bookmarkStart w:id="10" w:name="_heading=h.2s8eyo1" w:colFirst="0" w:colLast="0"/>
      <w:bookmarkEnd w:id="10"/>
      <w:r w:rsidRPr="007528AD">
        <w:rPr>
          <w:rFonts w:ascii="Palatino Linotype" w:eastAsia="Palatino Linotype" w:hAnsi="Palatino Linotype" w:cs="Palatino Linotype"/>
          <w:b/>
          <w:color w:val="000000"/>
          <w:sz w:val="22"/>
          <w:szCs w:val="22"/>
        </w:rPr>
        <w:t>CONSIDERANDOS</w:t>
      </w:r>
    </w:p>
    <w:p w:rsidR="002E4BFC" w:rsidRPr="007528AD" w:rsidRDefault="002E4BFC">
      <w:pPr>
        <w:spacing w:after="0" w:line="360" w:lineRule="auto"/>
        <w:rPr>
          <w:b/>
        </w:rPr>
      </w:pPr>
    </w:p>
    <w:p w:rsidR="002E4BFC" w:rsidRPr="007528AD" w:rsidRDefault="007528AD">
      <w:pPr>
        <w:pStyle w:val="Ttulo2"/>
        <w:spacing w:before="0" w:line="360" w:lineRule="auto"/>
        <w:rPr>
          <w:rFonts w:ascii="Palatino Linotype" w:eastAsia="Palatino Linotype" w:hAnsi="Palatino Linotype" w:cs="Palatino Linotype"/>
          <w:b/>
          <w:color w:val="000000"/>
          <w:sz w:val="22"/>
          <w:szCs w:val="22"/>
        </w:rPr>
      </w:pPr>
      <w:bookmarkStart w:id="11" w:name="_heading=h.17dp8vu" w:colFirst="0" w:colLast="0"/>
      <w:bookmarkEnd w:id="11"/>
      <w:r w:rsidRPr="007528AD">
        <w:rPr>
          <w:rFonts w:ascii="Palatino Linotype" w:eastAsia="Palatino Linotype" w:hAnsi="Palatino Linotype" w:cs="Palatino Linotype"/>
          <w:b/>
          <w:color w:val="000000"/>
          <w:sz w:val="22"/>
          <w:szCs w:val="22"/>
        </w:rPr>
        <w:t>PRIMERO. Competencia</w:t>
      </w:r>
    </w:p>
    <w:p w:rsidR="002E4BFC" w:rsidRPr="007528AD" w:rsidRDefault="002E4BFC">
      <w:pPr>
        <w:spacing w:after="0" w:line="360" w:lineRule="auto"/>
        <w:rPr>
          <w:b/>
        </w:rPr>
      </w:pPr>
    </w:p>
    <w:p w:rsidR="002E4BFC" w:rsidRPr="007528AD" w:rsidRDefault="00BC3826">
      <w:pPr>
        <w:spacing w:after="0" w:line="360" w:lineRule="auto"/>
      </w:pPr>
      <w:r w:rsidRPr="007528AD">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5°, párrafos trigésimo segundo, trigésimo tercero y trigésimo cuarto,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w:t>
      </w:r>
      <w:r w:rsidRPr="007528AD">
        <w:lastRenderedPageBreak/>
        <w:t>Transparencia, Acceso a la Información Pública y Protección de Datos Personales del Estado de México y Municipios.</w:t>
      </w:r>
    </w:p>
    <w:p w:rsidR="002E4BFC" w:rsidRPr="007528AD" w:rsidRDefault="002E4BFC">
      <w:pPr>
        <w:spacing w:after="0" w:line="360" w:lineRule="auto"/>
        <w:rPr>
          <w:b/>
        </w:rPr>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12" w:name="_heading=h.3rdcrjn" w:colFirst="0" w:colLast="0"/>
      <w:bookmarkEnd w:id="12"/>
      <w:r w:rsidRPr="007528AD">
        <w:rPr>
          <w:rFonts w:ascii="Palatino Linotype" w:eastAsia="Palatino Linotype" w:hAnsi="Palatino Linotype" w:cs="Palatino Linotype"/>
          <w:b/>
          <w:color w:val="000000"/>
          <w:sz w:val="22"/>
          <w:szCs w:val="22"/>
        </w:rPr>
        <w:t>SEGUNDO. Causales de</w:t>
      </w:r>
      <w:r w:rsidR="007528AD" w:rsidRPr="007528AD">
        <w:rPr>
          <w:rFonts w:ascii="Palatino Linotype" w:eastAsia="Palatino Linotype" w:hAnsi="Palatino Linotype" w:cs="Palatino Linotype"/>
          <w:b/>
          <w:color w:val="000000"/>
          <w:sz w:val="22"/>
          <w:szCs w:val="22"/>
        </w:rPr>
        <w:t xml:space="preserve"> improcedencia y sobreseimiento</w:t>
      </w:r>
    </w:p>
    <w:p w:rsidR="002E4BFC" w:rsidRPr="007528AD" w:rsidRDefault="002E4BFC">
      <w:pPr>
        <w:spacing w:after="0" w:line="360" w:lineRule="auto"/>
        <w:rPr>
          <w:b/>
        </w:rPr>
      </w:pPr>
    </w:p>
    <w:p w:rsidR="002E4BFC" w:rsidRPr="007528AD" w:rsidRDefault="00BC3826">
      <w:pPr>
        <w:spacing w:after="0" w:line="360" w:lineRule="auto"/>
      </w:pPr>
      <w:r w:rsidRPr="007528AD">
        <w:t xml:space="preserve">De las constancias que forma parte del Recurso de Revisión que se analiza, se advierte que previo al estudio del fondo de la </w:t>
      </w:r>
      <w:proofErr w:type="spellStart"/>
      <w:r w:rsidRPr="007528AD">
        <w:rPr>
          <w:i/>
        </w:rPr>
        <w:t>litis</w:t>
      </w:r>
      <w:proofErr w:type="spellEnd"/>
      <w:r w:rsidRPr="007528AD">
        <w:t>, es necesario estudiar las causales de improcedencia y sobreseimiento que se adviertan, para determinar lo que en Derecho proceda.</w:t>
      </w:r>
    </w:p>
    <w:p w:rsidR="002E4BFC" w:rsidRPr="007528AD" w:rsidRDefault="002E4BFC">
      <w:pPr>
        <w:spacing w:after="0" w:line="360" w:lineRule="auto"/>
      </w:pPr>
    </w:p>
    <w:p w:rsidR="002E4BFC" w:rsidRPr="007528AD" w:rsidRDefault="00BC3826">
      <w:pPr>
        <w:spacing w:after="0" w:line="360" w:lineRule="auto"/>
      </w:pPr>
      <w:r w:rsidRPr="007528AD">
        <w:rPr>
          <w:b/>
        </w:rPr>
        <w:t>Cau</w:t>
      </w:r>
      <w:r w:rsidR="007528AD" w:rsidRPr="007528AD">
        <w:rPr>
          <w:b/>
        </w:rPr>
        <w:t>sales de improcedencia</w:t>
      </w:r>
    </w:p>
    <w:p w:rsidR="002E4BFC" w:rsidRPr="007528AD" w:rsidRDefault="002E4BFC">
      <w:pPr>
        <w:spacing w:after="0" w:line="360" w:lineRule="auto"/>
      </w:pPr>
    </w:p>
    <w:p w:rsidR="002E4BFC" w:rsidRPr="007528AD" w:rsidRDefault="00BC3826">
      <w:pPr>
        <w:spacing w:after="0" w:line="360" w:lineRule="auto"/>
      </w:pPr>
      <w:r w:rsidRPr="007528AD">
        <w:t>Este Instituto realiza el estudio oficioso de las causales de improcedencia, por tratarse de una cuestión de orden público y de estudio preferente (acorde con el Criterio orientador en la Tesis de Jurisprudencia “IMPROCEDENCIA.” (Semanario Judicial de la Federación, Quinta Época, 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rsidR="002E4BFC" w:rsidRPr="007528AD" w:rsidRDefault="002E4BFC">
      <w:pPr>
        <w:spacing w:after="0" w:line="360" w:lineRule="auto"/>
      </w:pPr>
    </w:p>
    <w:p w:rsidR="002E4BFC" w:rsidRPr="007528AD" w:rsidRDefault="00BC3826">
      <w:pPr>
        <w:spacing w:after="0" w:line="360" w:lineRule="auto"/>
      </w:pPr>
      <w:r w:rsidRPr="007528AD">
        <w:t>En el presente caso, </w:t>
      </w:r>
      <w:r w:rsidRPr="007528AD">
        <w:rPr>
          <w:b/>
        </w:rPr>
        <w:t>no se actualiza alguna de las causales de improcedencia</w:t>
      </w:r>
      <w:r w:rsidRPr="007528AD">
        <w:t xml:space="preserve"> establecidas en el ordenamiento jurídico previamente señalado, toda vez que: el recurso fue presentado dentro del plazo establecido en el artículo 178 de la Ley la materia; además, que este Instituto no tiene conocimiento de que se encuentre en trámite algún medio de defensa presentado por la Recurrente ante otra instancia; no existió prevención alguna; la veracidad de la respuesta no </w:t>
      </w:r>
      <w:r w:rsidRPr="007528AD">
        <w:lastRenderedPageBreak/>
        <w:t>formó parte del agravio; ni se realizó una ampliación a los alcances del requerimiento informativo.</w:t>
      </w:r>
    </w:p>
    <w:p w:rsidR="002E4BFC" w:rsidRPr="007528AD" w:rsidRDefault="002E4BFC">
      <w:pPr>
        <w:spacing w:after="0" w:line="360" w:lineRule="auto"/>
      </w:pPr>
    </w:p>
    <w:p w:rsidR="002E4BFC" w:rsidRPr="007528AD" w:rsidRDefault="00BC3826">
      <w:pPr>
        <w:spacing w:after="0" w:line="360" w:lineRule="auto"/>
      </w:pPr>
      <w:r w:rsidRPr="007528AD">
        <w:t xml:space="preserve">Asimismo, se actualiza la causal de procedencia del Recurso de Revisión señalada en el artículo 179, fracción V, de la Ley de Transparencia y Acceso a la Información Pública del Estado de México y Municipios, pues la Recurrente se inconformó con la entrega de información incompleta. </w:t>
      </w:r>
    </w:p>
    <w:p w:rsidR="002E4BFC" w:rsidRPr="007528AD" w:rsidRDefault="002E4BFC">
      <w:pPr>
        <w:spacing w:after="0" w:line="360" w:lineRule="auto"/>
      </w:pPr>
    </w:p>
    <w:p w:rsidR="002E4BFC" w:rsidRPr="007528AD" w:rsidRDefault="00BC3826">
      <w:pPr>
        <w:spacing w:after="0" w:line="360" w:lineRule="auto"/>
      </w:pPr>
      <w:r w:rsidRPr="007528AD">
        <w:rPr>
          <w:b/>
        </w:rPr>
        <w:t>Causales de sobreseimiento.</w:t>
      </w:r>
    </w:p>
    <w:p w:rsidR="002E4BFC" w:rsidRPr="007528AD" w:rsidRDefault="00BC3826">
      <w:pPr>
        <w:spacing w:after="0" w:line="360" w:lineRule="auto"/>
      </w:pPr>
      <w:r w:rsidRPr="007528AD">
        <w:t> </w:t>
      </w:r>
    </w:p>
    <w:p w:rsidR="002E4BFC" w:rsidRPr="007528AD" w:rsidRDefault="00BC3826">
      <w:pPr>
        <w:spacing w:after="0" w:line="360" w:lineRule="auto"/>
      </w:pPr>
      <w:r w:rsidRPr="007528AD">
        <w:t>Por ser de previo y especial pronunciamiento, este Instituto analiza si se actualiza alguna causal de sobreseimiento.</w:t>
      </w:r>
    </w:p>
    <w:p w:rsidR="002E4BFC" w:rsidRPr="007528AD" w:rsidRDefault="002E4BFC">
      <w:pPr>
        <w:spacing w:after="0" w:line="360" w:lineRule="auto"/>
      </w:pPr>
    </w:p>
    <w:p w:rsidR="002E4BFC" w:rsidRPr="007528AD" w:rsidRDefault="00BC3826">
      <w:pPr>
        <w:spacing w:after="0" w:line="360" w:lineRule="auto"/>
      </w:pPr>
      <w:r w:rsidRPr="007528AD">
        <w:t>El artículo 192 de la Ley Transparencia y Acceso a la Información Pública del Estado de México y Municipios, señala las causales por las cuales se puede sobreseer en todo o en parte, el Recurso de Revisión; así, del análisis realizado por este Instituto, se advierte que no se actualiza algún supuesto de sobreseimiento; lo anterior, en virtud de que no hay constancias en el expediente en que se actúa, de que el Recurrente se haya desistido del recurso, haya fallecido, sobreviniera alguna causal de improcedencia, que el Sujeto Obligado hubiese modificado o revocado el acto impugnado o bien, haya quedado sin materia.</w:t>
      </w:r>
    </w:p>
    <w:p w:rsidR="002E4BFC" w:rsidRPr="007528AD" w:rsidRDefault="002E4BFC">
      <w:pPr>
        <w:spacing w:after="0" w:line="360" w:lineRule="auto"/>
      </w:pPr>
    </w:p>
    <w:p w:rsidR="002E4BFC" w:rsidRPr="007528AD" w:rsidRDefault="00BC3826">
      <w:pPr>
        <w:spacing w:after="0" w:line="360" w:lineRule="auto"/>
      </w:pPr>
      <w:r w:rsidRPr="007528AD">
        <w:t>Por tales motivos, se considera procedente entrar al fondo del presente asunto.</w:t>
      </w:r>
    </w:p>
    <w:p w:rsidR="002E4BFC" w:rsidRPr="007528AD" w:rsidRDefault="002E4BFC">
      <w:pPr>
        <w:spacing w:after="0" w:line="360" w:lineRule="auto"/>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13" w:name="_heading=h.26in1rg" w:colFirst="0" w:colLast="0"/>
      <w:bookmarkEnd w:id="13"/>
      <w:r w:rsidRPr="007528AD">
        <w:rPr>
          <w:rFonts w:ascii="Palatino Linotype" w:eastAsia="Palatino Linotype" w:hAnsi="Palatino Linotype" w:cs="Palatino Linotype"/>
          <w:b/>
          <w:color w:val="000000"/>
          <w:sz w:val="22"/>
          <w:szCs w:val="22"/>
        </w:rPr>
        <w:t>TERCERO. De</w:t>
      </w:r>
      <w:r w:rsidR="007528AD" w:rsidRPr="007528AD">
        <w:rPr>
          <w:rFonts w:ascii="Palatino Linotype" w:eastAsia="Palatino Linotype" w:hAnsi="Palatino Linotype" w:cs="Palatino Linotype"/>
          <w:b/>
          <w:color w:val="000000"/>
          <w:sz w:val="22"/>
          <w:szCs w:val="22"/>
        </w:rPr>
        <w:t>terminación de la Controversia</w:t>
      </w:r>
    </w:p>
    <w:p w:rsidR="002E4BFC" w:rsidRPr="007528AD" w:rsidRDefault="002E4BFC">
      <w:pPr>
        <w:spacing w:after="0" w:line="360" w:lineRule="auto"/>
      </w:pPr>
    </w:p>
    <w:p w:rsidR="002E4BFC" w:rsidRPr="007528AD" w:rsidRDefault="00BC3826">
      <w:pPr>
        <w:tabs>
          <w:tab w:val="left" w:pos="4962"/>
        </w:tabs>
        <w:spacing w:after="0" w:line="360" w:lineRule="auto"/>
      </w:pPr>
      <w:r w:rsidRPr="007528AD">
        <w:lastRenderedPageBreak/>
        <w:t>Con el objeto de ilustrar la controversia planteada, resulta conveniente precisar que, una vez realizado el estudio de las constancias que integran el expediente en que se actúa, resulta necesario realizar un cuadro, con la solicitud de información, la respuesta entregada, los agravios realizados y las manifestaciones proporcionadas, conforme a lo siguiente:</w:t>
      </w:r>
    </w:p>
    <w:p w:rsidR="002E4BFC" w:rsidRPr="007528AD" w:rsidRDefault="002E4BFC">
      <w:pPr>
        <w:tabs>
          <w:tab w:val="left" w:pos="4962"/>
        </w:tabs>
        <w:spacing w:after="0" w:line="360" w:lineRule="auto"/>
      </w:pPr>
    </w:p>
    <w:tbl>
      <w:tblPr>
        <w:tblStyle w:val="a"/>
        <w:tblW w:w="911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77"/>
        <w:gridCol w:w="2278"/>
        <w:gridCol w:w="2278"/>
        <w:gridCol w:w="2278"/>
      </w:tblGrid>
      <w:tr w:rsidR="002E4BFC" w:rsidRPr="007528AD">
        <w:tc>
          <w:tcPr>
            <w:tcW w:w="2277" w:type="dxa"/>
            <w:shd w:val="clear" w:color="auto" w:fill="BFBFBF"/>
          </w:tcPr>
          <w:p w:rsidR="002E4BFC" w:rsidRPr="007528AD" w:rsidRDefault="00BC3826">
            <w:pPr>
              <w:tabs>
                <w:tab w:val="left" w:pos="4962"/>
              </w:tabs>
              <w:spacing w:line="360" w:lineRule="auto"/>
              <w:jc w:val="center"/>
              <w:rPr>
                <w:b/>
                <w:sz w:val="18"/>
                <w:szCs w:val="18"/>
              </w:rPr>
            </w:pPr>
            <w:r w:rsidRPr="007528AD">
              <w:rPr>
                <w:b/>
                <w:sz w:val="18"/>
                <w:szCs w:val="18"/>
              </w:rPr>
              <w:t>Solicitud</w:t>
            </w:r>
          </w:p>
        </w:tc>
        <w:tc>
          <w:tcPr>
            <w:tcW w:w="2278" w:type="dxa"/>
            <w:shd w:val="clear" w:color="auto" w:fill="BFBFBF"/>
          </w:tcPr>
          <w:p w:rsidR="002E4BFC" w:rsidRPr="007528AD" w:rsidRDefault="00BC3826">
            <w:pPr>
              <w:tabs>
                <w:tab w:val="left" w:pos="4962"/>
              </w:tabs>
              <w:spacing w:line="360" w:lineRule="auto"/>
              <w:jc w:val="center"/>
              <w:rPr>
                <w:b/>
                <w:sz w:val="18"/>
                <w:szCs w:val="18"/>
              </w:rPr>
            </w:pPr>
            <w:r w:rsidRPr="007528AD">
              <w:rPr>
                <w:b/>
                <w:sz w:val="18"/>
                <w:szCs w:val="18"/>
              </w:rPr>
              <w:t>Respuesta</w:t>
            </w:r>
          </w:p>
        </w:tc>
        <w:tc>
          <w:tcPr>
            <w:tcW w:w="2278" w:type="dxa"/>
            <w:shd w:val="clear" w:color="auto" w:fill="BFBFBF"/>
          </w:tcPr>
          <w:p w:rsidR="002E4BFC" w:rsidRPr="007528AD" w:rsidRDefault="00BC3826">
            <w:pPr>
              <w:tabs>
                <w:tab w:val="left" w:pos="4962"/>
              </w:tabs>
              <w:spacing w:line="360" w:lineRule="auto"/>
              <w:jc w:val="center"/>
              <w:rPr>
                <w:b/>
                <w:sz w:val="18"/>
                <w:szCs w:val="18"/>
              </w:rPr>
            </w:pPr>
            <w:r w:rsidRPr="007528AD">
              <w:rPr>
                <w:b/>
                <w:sz w:val="18"/>
                <w:szCs w:val="18"/>
              </w:rPr>
              <w:t>Agravios</w:t>
            </w:r>
          </w:p>
        </w:tc>
        <w:tc>
          <w:tcPr>
            <w:tcW w:w="2278" w:type="dxa"/>
            <w:shd w:val="clear" w:color="auto" w:fill="BFBFBF"/>
          </w:tcPr>
          <w:p w:rsidR="002E4BFC" w:rsidRPr="007528AD" w:rsidRDefault="00BC3826">
            <w:pPr>
              <w:tabs>
                <w:tab w:val="left" w:pos="4962"/>
              </w:tabs>
              <w:spacing w:line="360" w:lineRule="auto"/>
              <w:jc w:val="center"/>
              <w:rPr>
                <w:b/>
                <w:sz w:val="18"/>
                <w:szCs w:val="18"/>
              </w:rPr>
            </w:pPr>
            <w:r w:rsidRPr="007528AD">
              <w:rPr>
                <w:b/>
                <w:sz w:val="18"/>
                <w:szCs w:val="18"/>
              </w:rPr>
              <w:t>Informe Justificado</w:t>
            </w:r>
          </w:p>
        </w:tc>
      </w:tr>
      <w:tr w:rsidR="002E4BFC" w:rsidRPr="007528AD">
        <w:tc>
          <w:tcPr>
            <w:tcW w:w="2277" w:type="dxa"/>
          </w:tcPr>
          <w:p w:rsidR="002E4BFC" w:rsidRPr="007528AD" w:rsidRDefault="00BC3826">
            <w:pPr>
              <w:tabs>
                <w:tab w:val="left" w:pos="4962"/>
              </w:tabs>
              <w:spacing w:line="360" w:lineRule="auto"/>
              <w:rPr>
                <w:sz w:val="18"/>
                <w:szCs w:val="18"/>
              </w:rPr>
            </w:pPr>
            <w:r w:rsidRPr="007528AD">
              <w:rPr>
                <w:sz w:val="18"/>
                <w:szCs w:val="18"/>
              </w:rPr>
              <w:t xml:space="preserve">1.- Estatutos completos, con actualizaciones y </w:t>
            </w:r>
            <w:proofErr w:type="spellStart"/>
            <w:r w:rsidRPr="007528AD">
              <w:rPr>
                <w:sz w:val="18"/>
                <w:szCs w:val="18"/>
              </w:rPr>
              <w:t>adendum</w:t>
            </w:r>
            <w:proofErr w:type="spellEnd"/>
            <w:r w:rsidRPr="007528AD">
              <w:rPr>
                <w:sz w:val="18"/>
                <w:szCs w:val="18"/>
              </w:rPr>
              <w:t>.</w:t>
            </w:r>
          </w:p>
        </w:tc>
        <w:tc>
          <w:tcPr>
            <w:tcW w:w="2278" w:type="dxa"/>
            <w:vMerge w:val="restart"/>
          </w:tcPr>
          <w:p w:rsidR="002E4BFC" w:rsidRPr="007528AD" w:rsidRDefault="00BC3826">
            <w:pPr>
              <w:tabs>
                <w:tab w:val="left" w:pos="4962"/>
              </w:tabs>
              <w:spacing w:line="360" w:lineRule="auto"/>
              <w:rPr>
                <w:sz w:val="18"/>
                <w:szCs w:val="18"/>
              </w:rPr>
            </w:pPr>
            <w:r w:rsidRPr="007528AD">
              <w:rPr>
                <w:sz w:val="18"/>
                <w:szCs w:val="18"/>
              </w:rPr>
              <w:t xml:space="preserve">Proporcionó un </w:t>
            </w:r>
            <w:proofErr w:type="spellStart"/>
            <w:proofErr w:type="gramStart"/>
            <w:r w:rsidRPr="007528AD">
              <w:rPr>
                <w:sz w:val="18"/>
                <w:szCs w:val="18"/>
              </w:rPr>
              <w:t>vinculo</w:t>
            </w:r>
            <w:proofErr w:type="spellEnd"/>
            <w:proofErr w:type="gramEnd"/>
            <w:r w:rsidRPr="007528AD">
              <w:rPr>
                <w:sz w:val="18"/>
                <w:szCs w:val="18"/>
              </w:rPr>
              <w:t xml:space="preserve"> electrónico, donde se localizaban los Estatutos de la Asociación de Personal Administrativo del Colegio de Estudios Científicos y Tecnológicos vigentes.</w:t>
            </w:r>
          </w:p>
        </w:tc>
        <w:tc>
          <w:tcPr>
            <w:tcW w:w="2278" w:type="dxa"/>
          </w:tcPr>
          <w:p w:rsidR="002E4BFC" w:rsidRPr="007528AD" w:rsidRDefault="00BC3826">
            <w:pPr>
              <w:tabs>
                <w:tab w:val="left" w:pos="4962"/>
              </w:tabs>
              <w:spacing w:line="360" w:lineRule="auto"/>
              <w:jc w:val="center"/>
              <w:rPr>
                <w:sz w:val="18"/>
                <w:szCs w:val="18"/>
              </w:rPr>
            </w:pPr>
            <w:r w:rsidRPr="007528AD">
              <w:rPr>
                <w:sz w:val="18"/>
                <w:szCs w:val="18"/>
              </w:rPr>
              <w:t>No emitió agravio</w:t>
            </w:r>
          </w:p>
        </w:tc>
        <w:tc>
          <w:tcPr>
            <w:tcW w:w="2278" w:type="dxa"/>
          </w:tcPr>
          <w:p w:rsidR="002E4BFC" w:rsidRPr="007528AD" w:rsidRDefault="00BC3826">
            <w:pPr>
              <w:tabs>
                <w:tab w:val="left" w:pos="4962"/>
              </w:tabs>
              <w:spacing w:line="360" w:lineRule="auto"/>
              <w:jc w:val="center"/>
              <w:rPr>
                <w:sz w:val="18"/>
                <w:szCs w:val="18"/>
              </w:rPr>
            </w:pPr>
            <w:r w:rsidRPr="007528AD">
              <w:rPr>
                <w:sz w:val="18"/>
                <w:szCs w:val="18"/>
              </w:rPr>
              <w:t>No emitió pronunciamiento</w:t>
            </w:r>
          </w:p>
        </w:tc>
      </w:tr>
      <w:tr w:rsidR="002E4BFC" w:rsidRPr="007528AD">
        <w:tc>
          <w:tcPr>
            <w:tcW w:w="2277" w:type="dxa"/>
          </w:tcPr>
          <w:p w:rsidR="002E4BFC" w:rsidRPr="007528AD" w:rsidRDefault="00BC3826">
            <w:pPr>
              <w:tabs>
                <w:tab w:val="left" w:pos="4962"/>
              </w:tabs>
              <w:spacing w:line="360" w:lineRule="auto"/>
              <w:rPr>
                <w:sz w:val="18"/>
                <w:szCs w:val="18"/>
              </w:rPr>
            </w:pPr>
            <w:r w:rsidRPr="007528AD">
              <w:rPr>
                <w:sz w:val="18"/>
                <w:szCs w:val="18"/>
              </w:rPr>
              <w:t>2.- Lineamientos o normativas aplicables a las elecciones del Presidente o periodos electorales.</w:t>
            </w:r>
          </w:p>
        </w:tc>
        <w:tc>
          <w:tcPr>
            <w:tcW w:w="2278" w:type="dxa"/>
            <w:vMerge/>
          </w:tcPr>
          <w:p w:rsidR="002E4BFC" w:rsidRPr="007528AD" w:rsidRDefault="002E4BFC">
            <w:pPr>
              <w:widowControl w:val="0"/>
              <w:pBdr>
                <w:top w:val="nil"/>
                <w:left w:val="nil"/>
                <w:bottom w:val="nil"/>
                <w:right w:val="nil"/>
                <w:between w:val="nil"/>
              </w:pBdr>
              <w:spacing w:line="276" w:lineRule="auto"/>
              <w:jc w:val="left"/>
              <w:rPr>
                <w:sz w:val="18"/>
                <w:szCs w:val="18"/>
              </w:rPr>
            </w:pPr>
          </w:p>
        </w:tc>
        <w:tc>
          <w:tcPr>
            <w:tcW w:w="2278" w:type="dxa"/>
          </w:tcPr>
          <w:p w:rsidR="002E4BFC" w:rsidRPr="007528AD" w:rsidRDefault="00BC3826">
            <w:pPr>
              <w:tabs>
                <w:tab w:val="left" w:pos="4962"/>
              </w:tabs>
              <w:spacing w:line="360" w:lineRule="auto"/>
              <w:rPr>
                <w:sz w:val="18"/>
                <w:szCs w:val="18"/>
              </w:rPr>
            </w:pPr>
            <w:r w:rsidRPr="007528AD">
              <w:rPr>
                <w:sz w:val="18"/>
                <w:szCs w:val="18"/>
              </w:rPr>
              <w:t>Se inconformó con relación a que no le indicaron en que parte de los Estatutos se localizaba la información.</w:t>
            </w:r>
          </w:p>
        </w:tc>
        <w:tc>
          <w:tcPr>
            <w:tcW w:w="2278" w:type="dxa"/>
          </w:tcPr>
          <w:p w:rsidR="002E4BFC" w:rsidRPr="007528AD" w:rsidRDefault="00BC3826">
            <w:pPr>
              <w:tabs>
                <w:tab w:val="left" w:pos="4962"/>
              </w:tabs>
              <w:spacing w:line="360" w:lineRule="auto"/>
              <w:jc w:val="center"/>
              <w:rPr>
                <w:sz w:val="18"/>
                <w:szCs w:val="18"/>
              </w:rPr>
            </w:pPr>
            <w:r w:rsidRPr="007528AD">
              <w:rPr>
                <w:sz w:val="18"/>
                <w:szCs w:val="18"/>
              </w:rPr>
              <w:t>Ratificó su respuesta</w:t>
            </w:r>
          </w:p>
        </w:tc>
      </w:tr>
      <w:tr w:rsidR="002E4BFC" w:rsidRPr="007528AD">
        <w:tc>
          <w:tcPr>
            <w:tcW w:w="2277" w:type="dxa"/>
          </w:tcPr>
          <w:p w:rsidR="002E4BFC" w:rsidRPr="007528AD" w:rsidRDefault="00BC3826">
            <w:pPr>
              <w:tabs>
                <w:tab w:val="left" w:pos="4962"/>
              </w:tabs>
              <w:spacing w:line="360" w:lineRule="auto"/>
              <w:rPr>
                <w:sz w:val="18"/>
                <w:szCs w:val="18"/>
              </w:rPr>
            </w:pPr>
            <w:r w:rsidRPr="007528AD">
              <w:rPr>
                <w:sz w:val="18"/>
                <w:szCs w:val="18"/>
              </w:rPr>
              <w:t>3.- Último Informe de Gestión del Presidente.</w:t>
            </w:r>
          </w:p>
        </w:tc>
        <w:tc>
          <w:tcPr>
            <w:tcW w:w="2278" w:type="dxa"/>
          </w:tcPr>
          <w:p w:rsidR="002E4BFC" w:rsidRPr="007528AD" w:rsidRDefault="00BC3826">
            <w:pPr>
              <w:tabs>
                <w:tab w:val="left" w:pos="4962"/>
              </w:tabs>
              <w:spacing w:line="360" w:lineRule="auto"/>
              <w:rPr>
                <w:sz w:val="18"/>
                <w:szCs w:val="18"/>
              </w:rPr>
            </w:pPr>
            <w:r w:rsidRPr="007528AD">
              <w:rPr>
                <w:sz w:val="18"/>
                <w:szCs w:val="18"/>
              </w:rPr>
              <w:t>Proporcionó un vínculo electrónico, en formato abierto.</w:t>
            </w:r>
          </w:p>
        </w:tc>
        <w:tc>
          <w:tcPr>
            <w:tcW w:w="2278" w:type="dxa"/>
          </w:tcPr>
          <w:p w:rsidR="002E4BFC" w:rsidRPr="007528AD" w:rsidRDefault="00BC3826">
            <w:pPr>
              <w:tabs>
                <w:tab w:val="left" w:pos="4962"/>
              </w:tabs>
              <w:spacing w:line="360" w:lineRule="auto"/>
              <w:jc w:val="center"/>
              <w:rPr>
                <w:sz w:val="18"/>
                <w:szCs w:val="18"/>
              </w:rPr>
            </w:pPr>
            <w:r w:rsidRPr="007528AD">
              <w:rPr>
                <w:sz w:val="18"/>
                <w:szCs w:val="18"/>
              </w:rPr>
              <w:t>No emitió agravió.</w:t>
            </w:r>
          </w:p>
        </w:tc>
        <w:tc>
          <w:tcPr>
            <w:tcW w:w="2278" w:type="dxa"/>
          </w:tcPr>
          <w:p w:rsidR="002E4BFC" w:rsidRPr="007528AD" w:rsidRDefault="00BC3826">
            <w:pPr>
              <w:tabs>
                <w:tab w:val="left" w:pos="4962"/>
              </w:tabs>
              <w:spacing w:line="360" w:lineRule="auto"/>
              <w:jc w:val="center"/>
              <w:rPr>
                <w:sz w:val="18"/>
                <w:szCs w:val="18"/>
              </w:rPr>
            </w:pPr>
            <w:r w:rsidRPr="007528AD">
              <w:rPr>
                <w:sz w:val="18"/>
                <w:szCs w:val="18"/>
              </w:rPr>
              <w:t>No emitió pronunciamiento</w:t>
            </w:r>
          </w:p>
        </w:tc>
      </w:tr>
      <w:tr w:rsidR="002E4BFC" w:rsidRPr="007528AD">
        <w:tc>
          <w:tcPr>
            <w:tcW w:w="2277" w:type="dxa"/>
          </w:tcPr>
          <w:p w:rsidR="002E4BFC" w:rsidRPr="007528AD" w:rsidRDefault="00BC3826">
            <w:pPr>
              <w:tabs>
                <w:tab w:val="left" w:pos="4962"/>
              </w:tabs>
              <w:spacing w:line="360" w:lineRule="auto"/>
              <w:rPr>
                <w:sz w:val="18"/>
                <w:szCs w:val="18"/>
              </w:rPr>
            </w:pPr>
            <w:r w:rsidRPr="007528AD">
              <w:rPr>
                <w:sz w:val="18"/>
                <w:szCs w:val="18"/>
              </w:rPr>
              <w:t>4.- Número de cuentas bancarias tenía el Sindicato y cuando dinero tiene cada una.</w:t>
            </w:r>
          </w:p>
        </w:tc>
        <w:tc>
          <w:tcPr>
            <w:tcW w:w="2278" w:type="dxa"/>
          </w:tcPr>
          <w:p w:rsidR="002E4BFC" w:rsidRPr="007528AD" w:rsidRDefault="00BC3826">
            <w:pPr>
              <w:tabs>
                <w:tab w:val="left" w:pos="4962"/>
              </w:tabs>
              <w:spacing w:line="360" w:lineRule="auto"/>
              <w:rPr>
                <w:sz w:val="18"/>
                <w:szCs w:val="18"/>
              </w:rPr>
            </w:pPr>
            <w:r w:rsidRPr="007528AD">
              <w:rPr>
                <w:sz w:val="18"/>
                <w:szCs w:val="18"/>
              </w:rPr>
              <w:t>Precisó que únicamente contaba con una cuenta bancaria y el monto total no era considerado información pública, dado que derivaban de las aportaciones sindicales.</w:t>
            </w:r>
          </w:p>
        </w:tc>
        <w:tc>
          <w:tcPr>
            <w:tcW w:w="2278" w:type="dxa"/>
          </w:tcPr>
          <w:p w:rsidR="002E4BFC" w:rsidRPr="007528AD" w:rsidRDefault="00BC3826">
            <w:pPr>
              <w:tabs>
                <w:tab w:val="left" w:pos="4962"/>
              </w:tabs>
              <w:spacing w:line="360" w:lineRule="auto"/>
              <w:rPr>
                <w:sz w:val="18"/>
                <w:szCs w:val="18"/>
              </w:rPr>
            </w:pPr>
            <w:r w:rsidRPr="007528AD">
              <w:rPr>
                <w:sz w:val="18"/>
                <w:szCs w:val="18"/>
              </w:rPr>
              <w:t>Se inconformó de la falta de entrega del monto que tenía la cuenta bancaria.</w:t>
            </w:r>
          </w:p>
        </w:tc>
        <w:tc>
          <w:tcPr>
            <w:tcW w:w="2278" w:type="dxa"/>
            <w:vMerge w:val="restart"/>
          </w:tcPr>
          <w:p w:rsidR="002E4BFC" w:rsidRPr="007528AD" w:rsidRDefault="00BC3826">
            <w:pPr>
              <w:tabs>
                <w:tab w:val="left" w:pos="4962"/>
              </w:tabs>
              <w:spacing w:line="360" w:lineRule="auto"/>
              <w:rPr>
                <w:sz w:val="18"/>
                <w:szCs w:val="18"/>
              </w:rPr>
            </w:pPr>
            <w:r w:rsidRPr="007528AD">
              <w:rPr>
                <w:sz w:val="18"/>
                <w:szCs w:val="18"/>
              </w:rPr>
              <w:t xml:space="preserve">El Sujeto Obligado ratificó su respuesta y precisó que el Contrato Colectivo de Trabajo del Personal Administrativo del </w:t>
            </w:r>
            <w:proofErr w:type="spellStart"/>
            <w:r w:rsidRPr="007528AD">
              <w:rPr>
                <w:sz w:val="18"/>
                <w:szCs w:val="18"/>
              </w:rPr>
              <w:t>CECyTEM</w:t>
            </w:r>
            <w:proofErr w:type="spellEnd"/>
            <w:r w:rsidRPr="007528AD">
              <w:rPr>
                <w:sz w:val="18"/>
                <w:szCs w:val="18"/>
              </w:rPr>
              <w:t xml:space="preserve">, no preveía ninguna </w:t>
            </w:r>
            <w:proofErr w:type="spellStart"/>
            <w:r w:rsidRPr="007528AD">
              <w:rPr>
                <w:sz w:val="18"/>
                <w:szCs w:val="18"/>
              </w:rPr>
              <w:t>clausula</w:t>
            </w:r>
            <w:proofErr w:type="spellEnd"/>
            <w:r w:rsidRPr="007528AD">
              <w:rPr>
                <w:sz w:val="18"/>
                <w:szCs w:val="18"/>
              </w:rPr>
              <w:t xml:space="preserve"> para que la entrega de recursos para la compra de bienes. </w:t>
            </w:r>
          </w:p>
        </w:tc>
      </w:tr>
      <w:tr w:rsidR="002E4BFC" w:rsidRPr="007528AD">
        <w:tc>
          <w:tcPr>
            <w:tcW w:w="2277" w:type="dxa"/>
          </w:tcPr>
          <w:p w:rsidR="002E4BFC" w:rsidRPr="007528AD" w:rsidRDefault="00BC3826">
            <w:pPr>
              <w:tabs>
                <w:tab w:val="left" w:pos="4962"/>
              </w:tabs>
              <w:spacing w:line="360" w:lineRule="auto"/>
              <w:rPr>
                <w:sz w:val="18"/>
                <w:szCs w:val="18"/>
              </w:rPr>
            </w:pPr>
            <w:r w:rsidRPr="007528AD">
              <w:rPr>
                <w:sz w:val="18"/>
                <w:szCs w:val="18"/>
              </w:rPr>
              <w:t>5.- Bienes con los que contaba.</w:t>
            </w:r>
          </w:p>
        </w:tc>
        <w:tc>
          <w:tcPr>
            <w:tcW w:w="2278" w:type="dxa"/>
          </w:tcPr>
          <w:p w:rsidR="002E4BFC" w:rsidRPr="007528AD" w:rsidRDefault="00BC3826">
            <w:pPr>
              <w:tabs>
                <w:tab w:val="left" w:pos="4962"/>
              </w:tabs>
              <w:spacing w:line="360" w:lineRule="auto"/>
              <w:rPr>
                <w:sz w:val="18"/>
                <w:szCs w:val="18"/>
              </w:rPr>
            </w:pPr>
            <w:r w:rsidRPr="007528AD">
              <w:rPr>
                <w:sz w:val="18"/>
                <w:szCs w:val="18"/>
              </w:rPr>
              <w:t xml:space="preserve">Señaló que los bienes se sufragaban de las cuotas sindicales, por lo que, únicamente estos podían solicitar la información. </w:t>
            </w:r>
          </w:p>
        </w:tc>
        <w:tc>
          <w:tcPr>
            <w:tcW w:w="2278" w:type="dxa"/>
          </w:tcPr>
          <w:p w:rsidR="002E4BFC" w:rsidRPr="007528AD" w:rsidRDefault="00BC3826">
            <w:pPr>
              <w:tabs>
                <w:tab w:val="left" w:pos="4962"/>
              </w:tabs>
              <w:spacing w:line="360" w:lineRule="auto"/>
              <w:rPr>
                <w:sz w:val="18"/>
                <w:szCs w:val="18"/>
              </w:rPr>
            </w:pPr>
            <w:r w:rsidRPr="007528AD">
              <w:rPr>
                <w:sz w:val="18"/>
                <w:szCs w:val="18"/>
              </w:rPr>
              <w:t>Se inconformó de la falta de entrega de los bienes, al señalar que el patrimonio del gremio también se conformaba de recursos públicos.</w:t>
            </w:r>
          </w:p>
        </w:tc>
        <w:tc>
          <w:tcPr>
            <w:tcW w:w="2278" w:type="dxa"/>
            <w:vMerge/>
          </w:tcPr>
          <w:p w:rsidR="002E4BFC" w:rsidRPr="007528AD" w:rsidRDefault="002E4BFC">
            <w:pPr>
              <w:widowControl w:val="0"/>
              <w:pBdr>
                <w:top w:val="nil"/>
                <w:left w:val="nil"/>
                <w:bottom w:val="nil"/>
                <w:right w:val="nil"/>
                <w:between w:val="nil"/>
              </w:pBdr>
              <w:spacing w:line="276" w:lineRule="auto"/>
              <w:jc w:val="left"/>
              <w:rPr>
                <w:sz w:val="18"/>
                <w:szCs w:val="18"/>
              </w:rPr>
            </w:pPr>
          </w:p>
        </w:tc>
      </w:tr>
    </w:tbl>
    <w:p w:rsidR="002E4BFC" w:rsidRPr="007528AD" w:rsidRDefault="002E4BFC">
      <w:pPr>
        <w:tabs>
          <w:tab w:val="left" w:pos="4962"/>
        </w:tabs>
        <w:spacing w:after="0" w:line="360" w:lineRule="auto"/>
      </w:pPr>
    </w:p>
    <w:p w:rsidR="002E4BFC" w:rsidRPr="007528AD" w:rsidRDefault="00BC3826">
      <w:pPr>
        <w:spacing w:after="0" w:line="360" w:lineRule="auto"/>
        <w:rPr>
          <w:b/>
          <w:color w:val="000000"/>
        </w:rPr>
      </w:pPr>
      <w:r w:rsidRPr="007528AD">
        <w:t xml:space="preserve">De lo anterior, se logra vislumbrar que el Particular se inconformó de la entrega de información incompleta respecto a los puntos 2, 4 y 5, lo cual actualiza la causal de procedencia establecida en el artículo 179, fracción V, de la Ley de Transparencia y Acceso a la Información Pública del Estado de México y Municipios; también se advierte que el Solicitante no se inconformó de la información proporcionada en los puntos 1 y 2, </w:t>
      </w:r>
      <w:r w:rsidRPr="007528AD">
        <w:rPr>
          <w:color w:val="000000"/>
        </w:rPr>
        <w:t>por lo que, no se hará pronunciamiento alguno, respecto a dicha información, de conformidad con el artículo 195 de la Ley de Transparencia y Acceso a la Información Pública del Estado de México y Municipios, con relación con el diverso 195, fracción IV, de Código de Procedimientos Administrativos del Estado de México, que establece que será improcedente el recurso contra </w:t>
      </w:r>
      <w:r w:rsidRPr="007528AD">
        <w:rPr>
          <w:b/>
          <w:color w:val="000000"/>
        </w:rPr>
        <w:t>los actos que se hayan consentido tácitamente,</w:t>
      </w:r>
      <w:r w:rsidRPr="007528AD">
        <w:rPr>
          <w:color w:val="000000"/>
        </w:rPr>
        <w:t> entendiéndose por estos cuando el agravio no se haya promovido en el plazo señalado para el efecto.</w:t>
      </w:r>
    </w:p>
    <w:p w:rsidR="002E4BFC" w:rsidRPr="007528AD" w:rsidRDefault="00BC3826">
      <w:pPr>
        <w:spacing w:after="0" w:line="360" w:lineRule="auto"/>
        <w:rPr>
          <w:color w:val="000000"/>
        </w:rPr>
      </w:pPr>
      <w:r w:rsidRPr="007528AD">
        <w:rPr>
          <w:color w:val="000000"/>
        </w:rPr>
        <w:t>De la misma manera resulta aplicable el criterio sostenido por el Poder Judicial de la Federación de rubro </w:t>
      </w:r>
      <w:r w:rsidRPr="007528AD">
        <w:rPr>
          <w:b/>
          <w:color w:val="000000"/>
        </w:rPr>
        <w:t>ACTOS CONSENTIDOS TÁCITAMENTE</w:t>
      </w:r>
      <w:r w:rsidRPr="007528AD">
        <w:rPr>
          <w:color w:val="000000"/>
        </w:rPr>
        <w:t>, Tesis VI.2o. J/21, emitida en la novena época, por el Segundo Tribunal Colegiado del Sexto Circuito, publicada en la Gaceta del Semanario Judicial de la Federación en agosto de 1995, página 291, número de registro 204707, del que se desprende que cuando no se reclaman los actos de autoridad en la vía y plazos establecidos en la Ley, se presume que el Particular está conforme con los mismos.</w:t>
      </w:r>
    </w:p>
    <w:p w:rsidR="002E4BFC" w:rsidRPr="007528AD" w:rsidRDefault="00BC3826">
      <w:pPr>
        <w:spacing w:after="0" w:line="360" w:lineRule="auto"/>
        <w:rPr>
          <w:color w:val="000000"/>
        </w:rPr>
      </w:pPr>
      <w:r w:rsidRPr="007528AD">
        <w:rPr>
          <w:color w:val="000000"/>
        </w:rPr>
        <w:t> </w:t>
      </w:r>
    </w:p>
    <w:p w:rsidR="002E4BFC" w:rsidRPr="007528AD" w:rsidRDefault="00BC3826">
      <w:pPr>
        <w:spacing w:after="0" w:line="360" w:lineRule="auto"/>
        <w:rPr>
          <w:color w:val="000000"/>
        </w:rPr>
      </w:pPr>
      <w:r w:rsidRPr="007528AD">
        <w:rPr>
          <w:color w:val="000000"/>
        </w:rPr>
        <w:t xml:space="preserve">Conforme a lo previo, en el caso de que el Solicitante no haya manifestado su inconformidad en contra del acto en su totalidad o en cualquiera de sus partes, se tendrá por consentido al no haber realizado argumento alguno que formulara un agravio en su contra, por lo que, en la especie, se válida la respuesta respecto de los puntos no controvertidos y se arriba a la conclusión de que estos quedaron firmes. </w:t>
      </w:r>
    </w:p>
    <w:p w:rsidR="002E4BFC" w:rsidRPr="007528AD" w:rsidRDefault="002E4BFC">
      <w:pPr>
        <w:spacing w:after="0" w:line="360" w:lineRule="auto"/>
        <w:rPr>
          <w:color w:val="000000"/>
        </w:rPr>
      </w:pPr>
    </w:p>
    <w:p w:rsidR="002E4BFC" w:rsidRPr="007528AD" w:rsidRDefault="00BC3826">
      <w:pPr>
        <w:tabs>
          <w:tab w:val="left" w:pos="4962"/>
        </w:tabs>
        <w:spacing w:after="0" w:line="360" w:lineRule="auto"/>
      </w:pPr>
      <w:r w:rsidRPr="007528AD">
        <w:rPr>
          <w:color w:val="000000"/>
        </w:rPr>
        <w:lastRenderedPageBreak/>
        <w:t xml:space="preserve">Asimismo, resulta relevante traer a colación el Criterio de Interpretación, de la Segunda Época, con número de registro SO/001/2020, emitido por el Instituto Nacional de Transparencia, Acceso a la Información y Protección de Datos Personales, que precisa que es improcedente entrar al análisis de las partes de la respuesta del Sujeto Obligado que no fueron impugnadas por </w:t>
      </w:r>
      <w:r w:rsidRPr="007528AD">
        <w:t>la persona</w:t>
      </w:r>
      <w:r w:rsidRPr="007528AD">
        <w:rPr>
          <w:color w:val="000000"/>
        </w:rPr>
        <w:t xml:space="preserve"> Recurrente; por lo que, en el presente caso, se tiene por consentida la información proporcionada para atender los puntos 1 y 3 y  únicamente se entrará al análisis de los puntos relativos 2, 4 y 5.</w:t>
      </w:r>
    </w:p>
    <w:p w:rsidR="002E4BFC" w:rsidRPr="007528AD" w:rsidRDefault="002E4BFC">
      <w:pPr>
        <w:tabs>
          <w:tab w:val="left" w:pos="4962"/>
        </w:tabs>
        <w:spacing w:after="0" w:line="360" w:lineRule="auto"/>
      </w:pPr>
    </w:p>
    <w:p w:rsidR="002E4BFC" w:rsidRPr="007528AD" w:rsidRDefault="00BC3826">
      <w:pPr>
        <w:tabs>
          <w:tab w:val="left" w:pos="4962"/>
        </w:tabs>
        <w:spacing w:after="0" w:line="360" w:lineRule="auto"/>
      </w:pPr>
      <w:r w:rsidRPr="007528AD">
        <w:t>Lo anterior, se desprende de las documentales que obran en el expediente de referencia, materia de la presente Resolución, consistentes en: la solicitud de acceso a la información; la respuesta del Sujeto Obligado, el escrito recursal y el informe con justificación del Sujeto Obligado; instrumentales que se toman en cuenta a efecto de resolver el presente medio de impugnación, conforme a lo dispuesto por el artículo 185, fracción IV, de la Ley de Transparencia y Acceso a la Información Pública del Estado de México y Municipios.</w:t>
      </w:r>
    </w:p>
    <w:p w:rsidR="002E4BFC" w:rsidRPr="007528AD" w:rsidRDefault="002E4BFC">
      <w:pPr>
        <w:tabs>
          <w:tab w:val="left" w:pos="4962"/>
        </w:tabs>
        <w:spacing w:after="0" w:line="360" w:lineRule="auto"/>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14" w:name="_heading=h.lnxbz9" w:colFirst="0" w:colLast="0"/>
      <w:bookmarkEnd w:id="14"/>
      <w:r w:rsidRPr="007528AD">
        <w:rPr>
          <w:rFonts w:ascii="Palatino Linotype" w:eastAsia="Palatino Linotype" w:hAnsi="Palatino Linotype" w:cs="Palatino Linotype"/>
          <w:b/>
          <w:color w:val="000000"/>
          <w:sz w:val="22"/>
          <w:szCs w:val="22"/>
        </w:rPr>
        <w:t xml:space="preserve">CUARTO. Marco normativo aplicable en materia de transparencia y </w:t>
      </w:r>
      <w:r w:rsidR="007528AD" w:rsidRPr="007528AD">
        <w:rPr>
          <w:rFonts w:ascii="Palatino Linotype" w:eastAsia="Palatino Linotype" w:hAnsi="Palatino Linotype" w:cs="Palatino Linotype"/>
          <w:b/>
          <w:color w:val="000000"/>
          <w:sz w:val="22"/>
          <w:szCs w:val="22"/>
        </w:rPr>
        <w:t>acceso a la información pública</w:t>
      </w:r>
    </w:p>
    <w:p w:rsidR="002E4BFC" w:rsidRPr="007528AD" w:rsidRDefault="002E4BFC">
      <w:pPr>
        <w:spacing w:after="0" w:line="360" w:lineRule="auto"/>
        <w:rPr>
          <w:b/>
        </w:rPr>
      </w:pPr>
    </w:p>
    <w:p w:rsidR="002E4BFC" w:rsidRPr="007528AD" w:rsidRDefault="00BC3826">
      <w:pPr>
        <w:spacing w:after="0" w:line="360" w:lineRule="auto"/>
      </w:pPr>
      <w:r w:rsidRPr="007528AD">
        <w:t>El artículo 6°, Apartado A), fracción I de la Constitución Política de los Estados Unidos Mexicanos, establece que toda la información en posesión de cualquier autoridad, es pública y sólo podrá ser reservada temporalmente por razones de interés público.</w:t>
      </w:r>
    </w:p>
    <w:p w:rsidR="002E4BFC" w:rsidRPr="007528AD" w:rsidRDefault="002E4BFC">
      <w:pPr>
        <w:widowControl w:val="0"/>
        <w:spacing w:after="0" w:line="360" w:lineRule="auto"/>
      </w:pPr>
    </w:p>
    <w:p w:rsidR="002E4BFC" w:rsidRPr="007528AD" w:rsidRDefault="00BC3826">
      <w:pPr>
        <w:widowControl w:val="0"/>
        <w:spacing w:after="0" w:line="360" w:lineRule="auto"/>
      </w:pPr>
      <w:r w:rsidRPr="007528AD">
        <w:t>La Ley General de Transparencia y Acceso a la Información Pública, dispone en su artículo 70, la información que se considera corresponde a las Obligaciones de Transparencia, la cual debe estar disponible para cualquier persona de manera permanente y actualizada.</w:t>
      </w:r>
    </w:p>
    <w:p w:rsidR="002E4BFC" w:rsidRPr="007528AD" w:rsidRDefault="002E4BFC">
      <w:pPr>
        <w:widowControl w:val="0"/>
        <w:spacing w:after="0" w:line="360" w:lineRule="auto"/>
      </w:pPr>
    </w:p>
    <w:p w:rsidR="002E4BFC" w:rsidRPr="007528AD" w:rsidRDefault="00BC3826">
      <w:pPr>
        <w:spacing w:after="0" w:line="360" w:lineRule="auto"/>
      </w:pPr>
      <w:r w:rsidRPr="007528AD">
        <w:lastRenderedPageBreak/>
        <w:t>Por su parte, en materia local, el artículo 5°, fracción I de la Constitución Política del Estado Libre y Soberano de México, es coincidente con la Constitución Política de los Estados Unidos Mexicanos,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rsidR="002E4BFC" w:rsidRPr="007528AD" w:rsidRDefault="002E4BFC">
      <w:pPr>
        <w:widowControl w:val="0"/>
        <w:spacing w:after="0" w:line="360" w:lineRule="auto"/>
      </w:pPr>
    </w:p>
    <w:p w:rsidR="002E4BFC" w:rsidRPr="007528AD" w:rsidRDefault="00BC3826">
      <w:pPr>
        <w:widowControl w:val="0"/>
        <w:spacing w:after="0" w:line="360" w:lineRule="auto"/>
      </w:pPr>
      <w:r w:rsidRPr="007528AD">
        <w:t>Por su parte, la Ley de Transparencia y Acceso a la Información Pública del Estado de México y Municipios (Reglamentaria del artículo 5° de la Constitución Local), establece lo siguiente:</w:t>
      </w:r>
    </w:p>
    <w:p w:rsidR="002E4BFC" w:rsidRPr="007528AD" w:rsidRDefault="002E4BFC">
      <w:pPr>
        <w:widowControl w:val="0"/>
        <w:spacing w:after="0" w:line="360" w:lineRule="auto"/>
      </w:pPr>
    </w:p>
    <w:p w:rsidR="002E4BFC" w:rsidRPr="007528AD" w:rsidRDefault="00BC3826">
      <w:pPr>
        <w:widowControl w:val="0"/>
        <w:spacing w:after="0" w:line="360" w:lineRule="auto"/>
      </w:pPr>
      <w:r w:rsidRPr="007528AD">
        <w:t>El artículo 12, que, quienes generen, recopilen, administren, manejen, procesen, archiven o conserven información pública serán responsables de la misma.</w:t>
      </w:r>
    </w:p>
    <w:p w:rsidR="002E4BFC" w:rsidRPr="007528AD" w:rsidRDefault="002E4BFC">
      <w:pPr>
        <w:widowControl w:val="0"/>
        <w:spacing w:after="0" w:line="360" w:lineRule="auto"/>
      </w:pPr>
    </w:p>
    <w:p w:rsidR="002E4BFC" w:rsidRPr="007528AD" w:rsidRDefault="00BC3826">
      <w:pPr>
        <w:widowControl w:val="0"/>
        <w:spacing w:after="0" w:line="360" w:lineRule="auto"/>
      </w:pPr>
      <w:r w:rsidRPr="007528AD">
        <w:t>El artículo 18, que, los Sujetos Obligados deberán documentar todo acto que derive del ejercicio de sus facultades, competencias o funciones, considerando desde su origen la eventual publicidad y reutilización de la información que generen.</w:t>
      </w:r>
    </w:p>
    <w:p w:rsidR="002E4BFC" w:rsidRPr="007528AD" w:rsidRDefault="002E4BFC">
      <w:pPr>
        <w:widowControl w:val="0"/>
        <w:spacing w:after="0" w:line="360" w:lineRule="auto"/>
      </w:pPr>
    </w:p>
    <w:p w:rsidR="002E4BFC" w:rsidRPr="007528AD" w:rsidRDefault="00BC3826">
      <w:pPr>
        <w:spacing w:after="0" w:line="360" w:lineRule="auto"/>
      </w:pPr>
      <w:r w:rsidRPr="007528AD">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rsidR="002E4BFC" w:rsidRPr="007528AD" w:rsidRDefault="002E4BFC">
      <w:pPr>
        <w:widowControl w:val="0"/>
        <w:spacing w:after="0" w:line="360" w:lineRule="auto"/>
      </w:pPr>
    </w:p>
    <w:p w:rsidR="002E4BFC" w:rsidRPr="007528AD" w:rsidRDefault="007528AD">
      <w:pPr>
        <w:pStyle w:val="Ttulo2"/>
        <w:spacing w:before="0" w:line="360" w:lineRule="auto"/>
        <w:rPr>
          <w:rFonts w:ascii="Palatino Linotype" w:eastAsia="Palatino Linotype" w:hAnsi="Palatino Linotype" w:cs="Palatino Linotype"/>
          <w:b/>
          <w:color w:val="000000"/>
          <w:sz w:val="22"/>
          <w:szCs w:val="22"/>
        </w:rPr>
      </w:pPr>
      <w:bookmarkStart w:id="15" w:name="_heading=h.35nkun2" w:colFirst="0" w:colLast="0"/>
      <w:bookmarkEnd w:id="15"/>
      <w:r w:rsidRPr="007528AD">
        <w:rPr>
          <w:rFonts w:ascii="Palatino Linotype" w:eastAsia="Palatino Linotype" w:hAnsi="Palatino Linotype" w:cs="Palatino Linotype"/>
          <w:b/>
          <w:color w:val="000000"/>
          <w:sz w:val="22"/>
          <w:szCs w:val="22"/>
        </w:rPr>
        <w:t>QUINTO. Estudio de Fondo</w:t>
      </w:r>
    </w:p>
    <w:p w:rsidR="002E4BFC" w:rsidRPr="007528AD" w:rsidRDefault="002E4BFC">
      <w:pPr>
        <w:spacing w:after="0" w:line="360" w:lineRule="auto"/>
      </w:pPr>
    </w:p>
    <w:p w:rsidR="002E4BFC" w:rsidRPr="007528AD" w:rsidRDefault="00BC3826">
      <w:pPr>
        <w:widowControl w:val="0"/>
        <w:spacing w:after="0" w:line="360" w:lineRule="auto"/>
        <w:rPr>
          <w:color w:val="000000"/>
        </w:rPr>
      </w:pPr>
      <w:r w:rsidRPr="007528AD">
        <w:rPr>
          <w:color w:val="000000"/>
        </w:rPr>
        <w:t xml:space="preserve">Expuestas las posturas de las partes, se procede al análisis del agravio hecho valer por el Recurrente, concerniente a la entrega de información que no corresponde con lo solicitado, para lo cual, es necesario analizar la naturaleza del Sujeto Obligado. </w:t>
      </w:r>
    </w:p>
    <w:p w:rsidR="002E4BFC" w:rsidRPr="007528AD" w:rsidRDefault="002E4BFC">
      <w:pPr>
        <w:widowControl w:val="0"/>
        <w:spacing w:after="0" w:line="360" w:lineRule="auto"/>
        <w:rPr>
          <w:color w:val="000000"/>
        </w:rPr>
      </w:pPr>
    </w:p>
    <w:p w:rsidR="002E4BFC" w:rsidRPr="007528AD" w:rsidRDefault="00BC3826">
      <w:pPr>
        <w:spacing w:after="0" w:line="360" w:lineRule="auto"/>
        <w:rPr>
          <w:color w:val="000000"/>
        </w:rPr>
      </w:pPr>
      <w:r w:rsidRPr="007528AD">
        <w:rPr>
          <w:color w:val="000000"/>
        </w:rPr>
        <w:t>En principio, resulta necesario precisar la naturaleza jurídica de los sindicatos; al respecto, el artículo 123, apartado A, fracción XVI y apartado B, fracción X, de la Constitución Política de los Estados Unidos Mexicanos, establece que los trabajadores tendrán el derecho de asociarse para la defensa de sus intereses comunes, a través de la formación de sindicatos.</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De la misma manera, el artículo 23, punto 4, de la Declaración Universal de Derechos Humanos, determina que toda persona tiene derecho a fundar sindicatos y </w:t>
      </w:r>
      <w:r w:rsidRPr="007528AD">
        <w:rPr>
          <w:b/>
          <w:color w:val="000000"/>
        </w:rPr>
        <w:t xml:space="preserve">a sindicarse para la defensa de sus intereses. </w:t>
      </w:r>
      <w:r w:rsidRPr="007528AD">
        <w:rPr>
          <w:color w:val="000000"/>
        </w:rPr>
        <w:t xml:space="preserve">Por su parte, el denominado “Pacto de San José” (Convención Americana sobre Derechos Humanos), en su artículo 16, punto 1, indica que toda persona tiene derecho a </w:t>
      </w:r>
      <w:r w:rsidRPr="007528AD">
        <w:rPr>
          <w:b/>
          <w:color w:val="000000"/>
        </w:rPr>
        <w:t>asociarse libremente con fines laborales y sociales.</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ese orden de ideas, conforme a los artículos 356 de la Ley Federal del Trabajo y 138 de la Ley de Trabajo de los Servidores Públicos del Estado de México y Municipios, un Sindicato </w:t>
      </w:r>
      <w:r w:rsidRPr="007528AD">
        <w:rPr>
          <w:b/>
          <w:color w:val="000000"/>
        </w:rPr>
        <w:t>es una asociación de servidores públicos generales, constituida para el estudio, mejoramiento y defensa de sus intereses comunes.</w:t>
      </w:r>
      <w:r w:rsidRPr="007528AD">
        <w:rPr>
          <w:color w:val="000000"/>
        </w:rPr>
        <w:t xml:space="preserve"> </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ese  sentido, según </w:t>
      </w:r>
      <w:proofErr w:type="spellStart"/>
      <w:r w:rsidRPr="007528AD">
        <w:rPr>
          <w:color w:val="000000"/>
        </w:rPr>
        <w:t>Kurczyn</w:t>
      </w:r>
      <w:proofErr w:type="spellEnd"/>
      <w:r w:rsidRPr="007528AD">
        <w:rPr>
          <w:color w:val="000000"/>
        </w:rPr>
        <w:t xml:space="preserve">, Patricia (2016), Revista latinoamericana de derecho social, número 22 (consultada el veintiuno de abril de dos mil veintidós, en la liga electrónica </w:t>
      </w:r>
      <w:hyperlink r:id="rId12">
        <w:r w:rsidRPr="007528AD">
          <w:rPr>
            <w:color w:val="0000FF"/>
            <w:u w:val="single"/>
          </w:rPr>
          <w:t>http://www.scielo.org.mx/scielo.php?script=sci_arttext&amp;pid=S1870-46702016000100010</w:t>
        </w:r>
      </w:hyperlink>
      <w:r w:rsidRPr="007528AD">
        <w:rPr>
          <w:color w:val="000000"/>
        </w:rPr>
        <w:t>) los Sindicatos son asociaciones de trabajadores, por lo que, no son sociedades o asociaciones civiles, ni mercantiles, sino exclusivamente laborales cuyo registro se lleva ante las autoridades laborales correspondientes, a nivel Federal o Local.</w:t>
      </w:r>
    </w:p>
    <w:p w:rsidR="002E4BFC" w:rsidRPr="007528AD" w:rsidRDefault="002E4BFC">
      <w:pPr>
        <w:spacing w:after="0" w:line="360" w:lineRule="auto"/>
        <w:rPr>
          <w:color w:val="000000"/>
        </w:rPr>
      </w:pPr>
    </w:p>
    <w:p w:rsidR="002E4BFC" w:rsidRPr="007528AD" w:rsidRDefault="00BC3826">
      <w:pPr>
        <w:spacing w:after="0" w:line="360" w:lineRule="auto"/>
        <w:rPr>
          <w:b/>
          <w:color w:val="000000"/>
        </w:rPr>
      </w:pPr>
      <w:r w:rsidRPr="007528AD">
        <w:rPr>
          <w:color w:val="000000"/>
        </w:rPr>
        <w:t xml:space="preserve">En ese orden de ideas, los Sindicatos </w:t>
      </w:r>
      <w:r w:rsidRPr="007528AD">
        <w:rPr>
          <w:b/>
          <w:color w:val="000000"/>
        </w:rPr>
        <w:t>son personas jurídico colectivas, de derecho social</w:t>
      </w:r>
      <w:r w:rsidRPr="007528AD">
        <w:rPr>
          <w:color w:val="000000"/>
        </w:rPr>
        <w:t xml:space="preserve">, que no se constituyen mediante actos públicos, ni con fe notarial, </w:t>
      </w:r>
      <w:r w:rsidRPr="007528AD">
        <w:rPr>
          <w:b/>
          <w:color w:val="000000"/>
        </w:rPr>
        <w:t>sino que se crean</w:t>
      </w:r>
      <w:r w:rsidRPr="007528AD">
        <w:rPr>
          <w:color w:val="000000"/>
        </w:rPr>
        <w:t xml:space="preserve">, en ejercicio del </w:t>
      </w:r>
      <w:r w:rsidRPr="007528AD">
        <w:rPr>
          <w:color w:val="000000"/>
        </w:rPr>
        <w:lastRenderedPageBreak/>
        <w:t xml:space="preserve">derecho de asociación, que es </w:t>
      </w:r>
      <w:r w:rsidRPr="007528AD">
        <w:rPr>
          <w:b/>
          <w:color w:val="000000"/>
        </w:rPr>
        <w:t xml:space="preserve">libre y voluntaria; </w:t>
      </w:r>
      <w:r w:rsidRPr="007528AD">
        <w:rPr>
          <w:color w:val="000000"/>
        </w:rPr>
        <w:t xml:space="preserve"> por lo que, se puede colegir </w:t>
      </w:r>
      <w:r w:rsidRPr="007528AD">
        <w:rPr>
          <w:b/>
          <w:color w:val="000000"/>
        </w:rPr>
        <w:t>que son un agrupamiento de trabajadores subordinados a un patrón o empleador público, cuya finalidad es la defensa de sus intereses como prestadores de trabajo remunerado, cuya representación colectiva les permite enfrentarse a sus empleadores.</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Así, se concluye que todos los sindicatos al ser un medio para proteger y mejorar los intereses de los trabajadores frente a sus patrones, en el presente caso de servidores públicos, son agrupaciones que tienen una naturaleza jurídica especial, derivada del derecho laboral y social; lo anterior, toda vez que, se constituyen por voluntad de los trabajadores y la legislación en materia laboral determina los requisitos para su conformación, creación y operación. De lo anterior, destaca que persiguen un fin particular que es la defensa de los derechos laborales de quienes integren el sindicato, no así, de un interés público, </w:t>
      </w:r>
      <w:r w:rsidRPr="007528AD">
        <w:rPr>
          <w:b/>
          <w:color w:val="000000"/>
        </w:rPr>
        <w:t>que tenga beneficio o afectación a la sociedad en general.</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Ahora bien, el artículo 6° de la Constitución Política de los Estados Unidos Mexicanos en Materia de Transparencia, mismo que quedó de la siguiente manera:</w:t>
      </w:r>
    </w:p>
    <w:p w:rsidR="002E4BFC" w:rsidRPr="007528AD" w:rsidRDefault="002E4BFC">
      <w:pPr>
        <w:spacing w:after="0" w:line="360" w:lineRule="auto"/>
        <w:rPr>
          <w:color w:val="000000"/>
        </w:rPr>
      </w:pPr>
    </w:p>
    <w:p w:rsidR="002E4BFC" w:rsidRPr="007528AD" w:rsidRDefault="00BC3826">
      <w:pPr>
        <w:spacing w:after="0" w:line="360" w:lineRule="auto"/>
        <w:ind w:left="567" w:right="567"/>
        <w:rPr>
          <w:i/>
          <w:color w:val="000000"/>
          <w:sz w:val="20"/>
          <w:szCs w:val="20"/>
        </w:rPr>
      </w:pPr>
      <w:r w:rsidRPr="007528AD">
        <w:rPr>
          <w:b/>
          <w:i/>
          <w:color w:val="000000"/>
          <w:sz w:val="20"/>
          <w:szCs w:val="20"/>
        </w:rPr>
        <w:t xml:space="preserve">“Artículo 6o. </w:t>
      </w:r>
      <w:r w:rsidRPr="007528AD">
        <w:rPr>
          <w:i/>
          <w:color w:val="000000"/>
          <w:sz w:val="20"/>
          <w:szCs w:val="20"/>
        </w:rPr>
        <w:t>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w:t>
      </w:r>
    </w:p>
    <w:p w:rsidR="002E4BFC" w:rsidRPr="007528AD" w:rsidRDefault="00BC3826">
      <w:pPr>
        <w:spacing w:after="0" w:line="360" w:lineRule="auto"/>
        <w:ind w:left="567" w:right="567"/>
        <w:rPr>
          <w:i/>
          <w:color w:val="000000"/>
          <w:sz w:val="20"/>
          <w:szCs w:val="20"/>
        </w:rPr>
      </w:pPr>
      <w:r w:rsidRPr="007528AD">
        <w:rPr>
          <w:i/>
          <w:color w:val="000000"/>
          <w:sz w:val="20"/>
          <w:szCs w:val="20"/>
        </w:rPr>
        <w:t>…</w:t>
      </w:r>
    </w:p>
    <w:p w:rsidR="002E4BFC" w:rsidRPr="007528AD" w:rsidRDefault="00BC3826">
      <w:pPr>
        <w:spacing w:after="0" w:line="360" w:lineRule="auto"/>
        <w:ind w:left="567" w:right="567"/>
        <w:rPr>
          <w:i/>
          <w:color w:val="000000"/>
          <w:sz w:val="20"/>
          <w:szCs w:val="20"/>
        </w:rPr>
      </w:pPr>
      <w:r w:rsidRPr="007528AD">
        <w:rPr>
          <w:i/>
          <w:color w:val="000000"/>
          <w:sz w:val="20"/>
          <w:szCs w:val="20"/>
        </w:rPr>
        <w:t>Para efectos de lo dispuesto en el presente artículo se observará lo siguiente:</w:t>
      </w:r>
    </w:p>
    <w:p w:rsidR="002E4BFC" w:rsidRPr="007528AD" w:rsidRDefault="002E4BFC">
      <w:pPr>
        <w:spacing w:after="0" w:line="360" w:lineRule="auto"/>
        <w:ind w:left="567" w:right="567"/>
        <w:rPr>
          <w:i/>
          <w:color w:val="000000"/>
          <w:sz w:val="20"/>
          <w:szCs w:val="20"/>
        </w:rPr>
      </w:pPr>
    </w:p>
    <w:p w:rsidR="002E4BFC" w:rsidRPr="007528AD" w:rsidRDefault="00BC3826">
      <w:pPr>
        <w:spacing w:after="0" w:line="360" w:lineRule="auto"/>
        <w:ind w:left="567" w:right="567"/>
        <w:rPr>
          <w:i/>
          <w:color w:val="000000"/>
          <w:sz w:val="20"/>
          <w:szCs w:val="20"/>
        </w:rPr>
      </w:pPr>
      <w:r w:rsidRPr="007528AD">
        <w:rPr>
          <w:b/>
          <w:i/>
          <w:color w:val="000000"/>
          <w:sz w:val="20"/>
          <w:szCs w:val="20"/>
        </w:rPr>
        <w:t xml:space="preserve">A. </w:t>
      </w:r>
      <w:r w:rsidRPr="007528AD">
        <w:rPr>
          <w:i/>
          <w:color w:val="000000"/>
          <w:sz w:val="20"/>
          <w:szCs w:val="20"/>
        </w:rPr>
        <w:t xml:space="preserve">Para el ejercicio del derecho de acceso a la información, la Federación y las entidades federativas, en el ámbito de sus respectivas competencias, se regirán por los siguientes principios y bases: </w:t>
      </w:r>
    </w:p>
    <w:p w:rsidR="002E4BFC" w:rsidRPr="007528AD" w:rsidRDefault="002E4BFC">
      <w:pPr>
        <w:spacing w:after="0" w:line="360" w:lineRule="auto"/>
        <w:ind w:left="567" w:right="567"/>
        <w:rPr>
          <w:i/>
          <w:color w:val="000000"/>
          <w:sz w:val="20"/>
          <w:szCs w:val="20"/>
        </w:rPr>
      </w:pPr>
    </w:p>
    <w:p w:rsidR="002E4BFC" w:rsidRPr="007528AD" w:rsidRDefault="00BC3826">
      <w:pPr>
        <w:spacing w:after="0" w:line="360" w:lineRule="auto"/>
        <w:ind w:left="567" w:right="567"/>
        <w:rPr>
          <w:i/>
          <w:color w:val="000000"/>
          <w:sz w:val="20"/>
          <w:szCs w:val="20"/>
        </w:rPr>
      </w:pPr>
      <w:r w:rsidRPr="007528AD">
        <w:rPr>
          <w:i/>
          <w:color w:val="000000"/>
          <w:sz w:val="20"/>
          <w:szCs w:val="20"/>
        </w:rPr>
        <w:lastRenderedPageBreak/>
        <w:t xml:space="preserve">I. Toda la información en posesión de cualquier autoridad, entidad, órgano y organismo de los Poderes Ejecutivo, Legislativo y Judicial, órganos autónomos, partidos políticos, fideicomisos y fondos públicos, </w:t>
      </w:r>
      <w:r w:rsidRPr="007528AD">
        <w:rPr>
          <w:b/>
          <w:i/>
          <w:color w:val="000000"/>
          <w:sz w:val="20"/>
          <w:szCs w:val="20"/>
          <w:u w:val="single"/>
        </w:rPr>
        <w:t>así como de cualquier persona física, moral o sindicato que reciba y ejerza recursos públicos o realice actos de autoridad</w:t>
      </w:r>
      <w:r w:rsidRPr="007528AD">
        <w:rPr>
          <w:i/>
          <w:color w:val="000000"/>
          <w:sz w:val="20"/>
          <w:szCs w:val="20"/>
        </w:rPr>
        <w:t xml:space="preserve"> en el ámbito federal, estatal y municipal, es pública y sólo podrá ser reservada temporalmente por razones de interés público y seguridad nacional,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rsidR="002E4BFC" w:rsidRPr="007528AD" w:rsidRDefault="00BC3826">
      <w:pPr>
        <w:spacing w:after="0" w:line="360" w:lineRule="auto"/>
        <w:ind w:left="567" w:right="567"/>
        <w:rPr>
          <w:i/>
          <w:color w:val="000000"/>
          <w:sz w:val="20"/>
          <w:szCs w:val="20"/>
        </w:rPr>
      </w:pPr>
      <w:r w:rsidRPr="007528AD">
        <w:rPr>
          <w:i/>
          <w:color w:val="000000"/>
          <w:sz w:val="20"/>
          <w:szCs w:val="20"/>
        </w:rPr>
        <w:t xml:space="preserve">…” </w:t>
      </w:r>
    </w:p>
    <w:p w:rsidR="002E4BFC" w:rsidRPr="007528AD" w:rsidRDefault="002E4BFC">
      <w:pPr>
        <w:spacing w:after="0" w:line="360" w:lineRule="auto"/>
        <w:rPr>
          <w:color w:val="000000"/>
        </w:rPr>
      </w:pPr>
    </w:p>
    <w:p w:rsidR="002E4BFC" w:rsidRPr="007528AD" w:rsidRDefault="00BC3826">
      <w:pPr>
        <w:spacing w:after="0" w:line="360" w:lineRule="auto"/>
        <w:rPr>
          <w:b/>
          <w:color w:val="000000"/>
        </w:rPr>
      </w:pPr>
      <w:r w:rsidRPr="007528AD">
        <w:rPr>
          <w:color w:val="000000"/>
        </w:rPr>
        <w:t xml:space="preserve">Asimismo, la Ley General de Transparencia y Acceso a la Información Pública, establece en su artículo 23, que son sujetos obligados a transparentar y permitir el acceso a su información, así como a proteger los datos personales que obren en su poder, además de las instituciones públicas, cualquier persona física, moral o </w:t>
      </w:r>
      <w:r w:rsidRPr="007528AD">
        <w:rPr>
          <w:b/>
          <w:color w:val="000000"/>
        </w:rPr>
        <w:t>sindicato que reciba y ejerza recursos públicos o realice actos de autoridad en los ámbitos federal, estatal y municipal.</w:t>
      </w:r>
    </w:p>
    <w:p w:rsidR="002E4BFC" w:rsidRPr="007528AD" w:rsidRDefault="002E4BFC">
      <w:pPr>
        <w:spacing w:after="0" w:line="360" w:lineRule="auto"/>
        <w:rPr>
          <w:b/>
          <w:color w:val="000000"/>
        </w:rPr>
      </w:pPr>
    </w:p>
    <w:p w:rsidR="002E4BFC" w:rsidRPr="007528AD" w:rsidRDefault="00BC3826">
      <w:pPr>
        <w:spacing w:after="0" w:line="360" w:lineRule="auto"/>
        <w:rPr>
          <w:color w:val="000000"/>
        </w:rPr>
      </w:pPr>
      <w:r w:rsidRPr="007528AD">
        <w:rPr>
          <w:color w:val="000000"/>
        </w:rPr>
        <w:t xml:space="preserve">En congruencia, con la Ley General antes citada, el artículo 3°, fracción XLI, de la Ley de Transparencia y Acceso a la Información Pública del Estado de México y Municipios, establece </w:t>
      </w:r>
    </w:p>
    <w:p w:rsidR="002E4BFC" w:rsidRPr="007528AD" w:rsidRDefault="00BC3826">
      <w:pPr>
        <w:spacing w:after="0" w:line="360" w:lineRule="auto"/>
        <w:rPr>
          <w:color w:val="000000"/>
        </w:rPr>
      </w:pPr>
      <w:proofErr w:type="gramStart"/>
      <w:r w:rsidRPr="007528AD">
        <w:rPr>
          <w:color w:val="000000"/>
        </w:rPr>
        <w:t>que</w:t>
      </w:r>
      <w:proofErr w:type="gramEnd"/>
      <w:r w:rsidRPr="007528AD">
        <w:rPr>
          <w:color w:val="000000"/>
        </w:rPr>
        <w:t xml:space="preserve"> los Sujetos Obligados de las Leyes de Transparencia, son instituciones públicas, partidos políticos, fideicomisos y fondos públicos, o bien cualquier persona física, moral o sindicato que reciba y ejerza recursos públicos o realice actos de autoridad en los ámbitos federal, estatal y municipal.</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ese contexto, según Islas, Jorge (2016), en la “Ley General de Transparencia y Acceso a la Información Pública Comentada” (p. 107 y 108), refirió la nueva ley estableció dos tipos de entes sujetos a las Leyes de Transparencia, en los cuales impera el espíritu de que por el hecho </w:t>
      </w:r>
      <w:r w:rsidRPr="007528AD">
        <w:rPr>
          <w:color w:val="000000"/>
        </w:rPr>
        <w:lastRenderedPageBreak/>
        <w:t>de recibir o ejercer recursos públicos tienen la obligación de hacer dicho ejercicio una práctica transparente, cada uno de estos con ciertas particularidades, a saber:</w:t>
      </w:r>
    </w:p>
    <w:p w:rsidR="002E4BFC" w:rsidRPr="007528AD" w:rsidRDefault="002E4BFC">
      <w:pPr>
        <w:spacing w:after="0" w:line="360" w:lineRule="auto"/>
        <w:rPr>
          <w:color w:val="000000"/>
        </w:rPr>
      </w:pPr>
    </w:p>
    <w:p w:rsidR="002E4BFC" w:rsidRPr="007528AD" w:rsidRDefault="00BC3826">
      <w:pPr>
        <w:numPr>
          <w:ilvl w:val="0"/>
          <w:numId w:val="2"/>
        </w:numPr>
        <w:spacing w:after="0" w:line="360" w:lineRule="auto"/>
        <w:rPr>
          <w:b/>
          <w:color w:val="000000"/>
        </w:rPr>
      </w:pPr>
      <w:r w:rsidRPr="007528AD">
        <w:rPr>
          <w:b/>
          <w:color w:val="000000"/>
        </w:rPr>
        <w:t xml:space="preserve">Los Sujetos Obligados: </w:t>
      </w:r>
      <w:r w:rsidRPr="007528AD">
        <w:rPr>
          <w:color w:val="000000"/>
        </w:rPr>
        <w:t>Son los que tienen de manera imperativa el ejercicio de la transparencia, como las instituciones públicas de los tres niveles de gobierno, Federal, estatal y municipal; por lo que tienen que generar toda una estructura de las Unidades de Transparencia establecidas en la normatividad aplicable.</w:t>
      </w:r>
    </w:p>
    <w:p w:rsidR="002E4BFC" w:rsidRPr="007528AD" w:rsidRDefault="002E4BFC">
      <w:pPr>
        <w:spacing w:after="0" w:line="360" w:lineRule="auto"/>
        <w:rPr>
          <w:color w:val="000000"/>
        </w:rPr>
      </w:pPr>
    </w:p>
    <w:p w:rsidR="002E4BFC" w:rsidRPr="007528AD" w:rsidRDefault="00BC3826">
      <w:pPr>
        <w:numPr>
          <w:ilvl w:val="0"/>
          <w:numId w:val="2"/>
        </w:numPr>
        <w:spacing w:after="0" w:line="360" w:lineRule="auto"/>
        <w:rPr>
          <w:b/>
          <w:color w:val="000000"/>
        </w:rPr>
      </w:pPr>
      <w:r w:rsidRPr="007528AD">
        <w:rPr>
          <w:b/>
          <w:color w:val="000000"/>
        </w:rPr>
        <w:t xml:space="preserve">Los Sujetos Regulados: </w:t>
      </w:r>
      <w:r w:rsidRPr="007528AD">
        <w:rPr>
          <w:color w:val="000000"/>
        </w:rPr>
        <w:t xml:space="preserve">Son aquellos que deben permitir el acceso </w:t>
      </w:r>
      <w:r w:rsidRPr="007528AD">
        <w:rPr>
          <w:b/>
          <w:color w:val="000000"/>
          <w:u w:val="single"/>
        </w:rPr>
        <w:t>a parte de su información</w:t>
      </w:r>
      <w:r w:rsidRPr="007528AD">
        <w:rPr>
          <w:color w:val="000000"/>
        </w:rPr>
        <w:t xml:space="preserve">; esto es, que su obligación implica permitir el acceso a la documentación que generen y </w:t>
      </w:r>
      <w:r w:rsidRPr="007528AD">
        <w:rPr>
          <w:b/>
          <w:color w:val="000000"/>
        </w:rPr>
        <w:t>que tenga el carácter de ser pública</w:t>
      </w:r>
      <w:r w:rsidRPr="007528AD">
        <w:rPr>
          <w:color w:val="000000"/>
        </w:rPr>
        <w:t xml:space="preserve">, entre los que destacan los </w:t>
      </w:r>
      <w:r w:rsidRPr="007528AD">
        <w:rPr>
          <w:b/>
          <w:color w:val="000000"/>
        </w:rPr>
        <w:t>sindicatos,</w:t>
      </w:r>
      <w:r w:rsidRPr="007528AD">
        <w:rPr>
          <w:color w:val="000000"/>
        </w:rPr>
        <w:t xml:space="preserve"> los partidos políticos e incluso las personas físicas y jurídico colectivas.</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Conforme a lo anterior, se puede colegir que los Sindicatos al ser </w:t>
      </w:r>
      <w:r w:rsidRPr="007528AD">
        <w:rPr>
          <w:b/>
          <w:color w:val="000000"/>
        </w:rPr>
        <w:t>Sujetos Regulados</w:t>
      </w:r>
      <w:r w:rsidRPr="007528AD">
        <w:rPr>
          <w:color w:val="000000"/>
        </w:rPr>
        <w:t xml:space="preserve"> de las Leyes de Transparencia, son Sujetos Obligados </w:t>
      </w:r>
      <w:r w:rsidRPr="007528AD">
        <w:rPr>
          <w:b/>
          <w:color w:val="000000"/>
          <w:u w:val="single"/>
        </w:rPr>
        <w:t>especiales</w:t>
      </w:r>
      <w:r w:rsidRPr="007528AD">
        <w:rPr>
          <w:color w:val="000000"/>
        </w:rPr>
        <w:t xml:space="preserve"> que únicamente se encuentran constreñidos a </w:t>
      </w:r>
      <w:r w:rsidRPr="007528AD">
        <w:rPr>
          <w:b/>
          <w:color w:val="000000"/>
        </w:rPr>
        <w:t>transparentar la información que tenga el carácter de pública</w:t>
      </w:r>
      <w:r w:rsidRPr="007528AD">
        <w:rPr>
          <w:color w:val="000000"/>
        </w:rPr>
        <w:t xml:space="preserve">; es decir, que sea de escrutinio público, como puede ser, aquella que </w:t>
      </w:r>
      <w:r w:rsidRPr="007528AD">
        <w:rPr>
          <w:b/>
          <w:color w:val="000000"/>
        </w:rPr>
        <w:t>dé cuenta del ejercicio de recursos públicos o la realización de actos de autoridad.</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ese contexto, el artículo 4° de la Ley General de Transparencia y Acceso a la Información Pública (análogo al artículo 4° de la Ley de Transparencia y Acceso a la Información Pública del Estado de México y Municipios), establece que </w:t>
      </w:r>
      <w:r w:rsidRPr="007528AD">
        <w:rPr>
          <w:b/>
          <w:color w:val="000000"/>
        </w:rPr>
        <w:t>toda la información generada, obtenida, adquirida, transformada o en posesión de los sujetos obligados, es pública</w:t>
      </w:r>
      <w:r w:rsidRPr="007528AD">
        <w:rPr>
          <w:color w:val="000000"/>
        </w:rPr>
        <w:t xml:space="preserve"> </w:t>
      </w:r>
      <w:r w:rsidRPr="007528AD">
        <w:rPr>
          <w:b/>
          <w:color w:val="000000"/>
        </w:rPr>
        <w:t>y accesible</w:t>
      </w:r>
      <w:r w:rsidRPr="007528AD">
        <w:rPr>
          <w:color w:val="000000"/>
        </w:rPr>
        <w:t xml:space="preserve"> a cualquier persona, en los términos y condiciones que se establezcan dichos instrumentos regulatorios.</w:t>
      </w:r>
    </w:p>
    <w:p w:rsidR="002E4BFC" w:rsidRPr="007528AD" w:rsidRDefault="002E4BFC">
      <w:pPr>
        <w:spacing w:after="0" w:line="360" w:lineRule="auto"/>
        <w:rPr>
          <w:color w:val="000000"/>
        </w:rPr>
      </w:pPr>
    </w:p>
    <w:p w:rsidR="002E4BFC" w:rsidRPr="007528AD" w:rsidRDefault="00BC3826">
      <w:pPr>
        <w:spacing w:after="0" w:line="360" w:lineRule="auto"/>
        <w:rPr>
          <w:b/>
          <w:color w:val="000000"/>
        </w:rPr>
      </w:pPr>
      <w:r w:rsidRPr="007528AD">
        <w:rPr>
          <w:color w:val="000000"/>
        </w:rPr>
        <w:lastRenderedPageBreak/>
        <w:t xml:space="preserve">En ese orden de ideas, es necesario precisar que los Sindicatos, </w:t>
      </w:r>
      <w:r w:rsidRPr="007528AD">
        <w:rPr>
          <w:i/>
          <w:color w:val="000000"/>
        </w:rPr>
        <w:t>per se</w:t>
      </w:r>
      <w:r w:rsidRPr="007528AD">
        <w:rPr>
          <w:color w:val="000000"/>
        </w:rPr>
        <w:t xml:space="preserve">, no desempeñan actividades en alguno de los tres órdenes de gobierno, por lo que, </w:t>
      </w:r>
      <w:r w:rsidRPr="007528AD">
        <w:rPr>
          <w:b/>
          <w:color w:val="000000"/>
        </w:rPr>
        <w:t>no pueden, por definición realizar actos que puedan reputarse como públicos y oficiales</w:t>
      </w:r>
      <w:r w:rsidRPr="007528AD">
        <w:rPr>
          <w:color w:val="000000"/>
        </w:rPr>
        <w:t xml:space="preserve">, al guardar la característica de ser privados; no obstante, en el caso de que hayan sido realizados o bien, la actividad haya sido cubierta </w:t>
      </w:r>
      <w:r w:rsidRPr="007528AD">
        <w:rPr>
          <w:b/>
          <w:color w:val="000000"/>
        </w:rPr>
        <w:t>con recursos públicos, generan una responsabilidad de rendición de cuentas y por lo tanto, el acto debe ser considerado de escrutinio público, al involucrar ejercicio de recursos públicos, situación que sí es de interés público y general.</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Por otra parte, según Otero, Filiberto (2017), en la “Teoría General del Derecho de la Información y el nuevo modelo en México” (p. 37 y 38), precisó que el </w:t>
      </w:r>
      <w:r w:rsidRPr="007528AD">
        <w:rPr>
          <w:b/>
          <w:color w:val="000000"/>
        </w:rPr>
        <w:t xml:space="preserve">acto de autoridad, es la acción u omisión unilateral, imperativa y coercible, </w:t>
      </w:r>
      <w:r w:rsidRPr="007528AD">
        <w:rPr>
          <w:color w:val="000000"/>
        </w:rPr>
        <w:t xml:space="preserve">como consecuencia de una relación de supra-subordinación, susceptible de afectar la esfera jurídica de los administrados. </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De la misma manera, García, Adriana (2019), en el “Diccionario de Transparencia y Acceso a la Información Pública” (p. 50 y 51), refiere que el acto de autoridad que realicen las personas físicas, morales o sindicatos, debe contar necesariamente de una relación de supra a subordinación, cuyas características son la unilateralidad, la </w:t>
      </w:r>
      <w:proofErr w:type="spellStart"/>
      <w:r w:rsidRPr="007528AD">
        <w:rPr>
          <w:color w:val="000000"/>
        </w:rPr>
        <w:t>imperatividad</w:t>
      </w:r>
      <w:proofErr w:type="spellEnd"/>
      <w:r w:rsidRPr="007528AD">
        <w:rPr>
          <w:color w:val="000000"/>
        </w:rPr>
        <w:t xml:space="preserve"> y la coercitividad.</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Así, el acto de autoridad, se entiende cualquier hecho negativo o positivo realizado por un ente, consistente en una decisión, ejecución o ambas, que produzcan una afectación en situaciones jurídicas o fácticas dadas y que se impongan de manera imperativa; por lo que, los sindicatos, si bien, </w:t>
      </w:r>
      <w:r w:rsidRPr="007528AD">
        <w:rPr>
          <w:color w:val="000000"/>
          <w:u w:val="single"/>
        </w:rPr>
        <w:t>en principio no pueden realizar ese tipo de actos</w:t>
      </w:r>
      <w:r w:rsidRPr="007528AD">
        <w:rPr>
          <w:color w:val="000000"/>
        </w:rPr>
        <w:t xml:space="preserve">, también lo es, que alguno de sus agremiados puede participar en una Comisión Mixta y que </w:t>
      </w:r>
      <w:r w:rsidRPr="007528AD">
        <w:rPr>
          <w:b/>
          <w:color w:val="000000"/>
        </w:rPr>
        <w:t>las decisiones tomadas en dicho órgano sean actos de autoridad,</w:t>
      </w:r>
      <w:r w:rsidRPr="007528AD">
        <w:rPr>
          <w:color w:val="000000"/>
        </w:rPr>
        <w:t xml:space="preserve"> por lo que se volverá información susceptible a transparentarse, dado que su participación trasciende en la determinación tomada en dicha comisión.</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Conforme a lo señalado, se puede concluir que los documentos que den cuenta de </w:t>
      </w:r>
      <w:r w:rsidRPr="007528AD">
        <w:rPr>
          <w:b/>
          <w:color w:val="000000"/>
        </w:rPr>
        <w:t xml:space="preserve">la recepción y ejercicio de recursos públicos o bien de la realización de actos de autoridad, </w:t>
      </w:r>
      <w:r w:rsidRPr="007528AD">
        <w:rPr>
          <w:color w:val="000000"/>
        </w:rPr>
        <w:t xml:space="preserve">en posesión de los sindicatos, </w:t>
      </w:r>
      <w:r w:rsidRPr="007528AD">
        <w:rPr>
          <w:b/>
          <w:color w:val="000000"/>
        </w:rPr>
        <w:t>es pública</w:t>
      </w:r>
      <w:r w:rsidRPr="007528AD">
        <w:rPr>
          <w:color w:val="000000"/>
        </w:rPr>
        <w:t xml:space="preserve">; en razón de ello, la información que tenga el Sindicato Único de Trabajadores de los Poderes, Municipios e Instituciones Descentralizadas del Estado de México, que contengan esta característica es materia de las Leyes de transparencia; sin embargo, aquella que </w:t>
      </w:r>
      <w:r w:rsidRPr="007528AD">
        <w:rPr>
          <w:b/>
          <w:color w:val="000000"/>
        </w:rPr>
        <w:t xml:space="preserve">obre en poder de dicha organización, la cual provenga de recursos privados y se destine a la vida interna de la misma, </w:t>
      </w:r>
      <w:r w:rsidRPr="007528AD">
        <w:rPr>
          <w:color w:val="000000"/>
        </w:rPr>
        <w:t>no está sujeta al escrutinio público en términos de la Ley de Transparencia, al no existir interés público de acceder a la misma, ya que no tiene una afectación fuera de sus agremiados.</w:t>
      </w:r>
    </w:p>
    <w:p w:rsidR="002E4BFC" w:rsidRPr="007528AD" w:rsidRDefault="00BC3826">
      <w:pPr>
        <w:spacing w:after="0" w:line="360" w:lineRule="auto"/>
        <w:rPr>
          <w:color w:val="000000"/>
        </w:rPr>
      </w:pPr>
      <w:r w:rsidRPr="007528AD">
        <w:rPr>
          <w:color w:val="000000"/>
        </w:rPr>
        <w:t>Lo anterior, toma sustento con el Convenio Internacional del Trabajo Número 87, relativo a la libertad sindical y a la protección del derecho de sindicación, que en sus artículos 3° y 8°, establece lo siguiente:</w:t>
      </w:r>
    </w:p>
    <w:p w:rsidR="002E4BFC" w:rsidRPr="007528AD" w:rsidRDefault="002E4BFC">
      <w:pPr>
        <w:spacing w:after="0" w:line="360" w:lineRule="auto"/>
        <w:rPr>
          <w:color w:val="000000"/>
        </w:rPr>
      </w:pPr>
    </w:p>
    <w:p w:rsidR="002E4BFC" w:rsidRPr="007528AD" w:rsidRDefault="00BC3826">
      <w:pPr>
        <w:spacing w:after="0" w:line="360" w:lineRule="auto"/>
        <w:ind w:left="567" w:right="567"/>
        <w:rPr>
          <w:b/>
          <w:i/>
          <w:color w:val="000000"/>
          <w:sz w:val="20"/>
          <w:szCs w:val="20"/>
        </w:rPr>
      </w:pPr>
      <w:r w:rsidRPr="007528AD">
        <w:rPr>
          <w:b/>
          <w:i/>
          <w:color w:val="000000"/>
          <w:sz w:val="20"/>
          <w:szCs w:val="20"/>
        </w:rPr>
        <w:t>“Artículo 3</w:t>
      </w:r>
    </w:p>
    <w:p w:rsidR="002E4BFC" w:rsidRPr="007528AD" w:rsidRDefault="00BC3826">
      <w:pPr>
        <w:spacing w:after="0" w:line="360" w:lineRule="auto"/>
        <w:ind w:left="567" w:right="567"/>
        <w:rPr>
          <w:i/>
          <w:color w:val="000000"/>
          <w:sz w:val="20"/>
          <w:szCs w:val="20"/>
        </w:rPr>
      </w:pPr>
      <w:r w:rsidRPr="007528AD">
        <w:rPr>
          <w:i/>
          <w:color w:val="000000"/>
          <w:sz w:val="20"/>
          <w:szCs w:val="20"/>
        </w:rPr>
        <w:t>1. Las organizaciones de trabajadores y de empleadores tienen el derecho de redactar sus estatutos y reglamentos administrativos, el de elegir libremente sus representantes, el de organizar su administración y sus actividades y el de formular su programa de acción.</w:t>
      </w:r>
    </w:p>
    <w:p w:rsidR="002E4BFC" w:rsidRPr="007528AD" w:rsidRDefault="002E4BFC">
      <w:pPr>
        <w:spacing w:after="0" w:line="360" w:lineRule="auto"/>
        <w:ind w:left="567" w:right="567"/>
        <w:rPr>
          <w:i/>
          <w:color w:val="000000"/>
          <w:sz w:val="20"/>
          <w:szCs w:val="20"/>
        </w:rPr>
      </w:pPr>
    </w:p>
    <w:p w:rsidR="002E4BFC" w:rsidRPr="007528AD" w:rsidRDefault="00BC3826">
      <w:pPr>
        <w:spacing w:after="0" w:line="360" w:lineRule="auto"/>
        <w:ind w:left="567" w:right="567"/>
        <w:rPr>
          <w:i/>
          <w:color w:val="000000"/>
          <w:sz w:val="20"/>
          <w:szCs w:val="20"/>
        </w:rPr>
      </w:pPr>
      <w:r w:rsidRPr="007528AD">
        <w:rPr>
          <w:i/>
          <w:color w:val="000000"/>
          <w:sz w:val="20"/>
          <w:szCs w:val="20"/>
        </w:rPr>
        <w:t>2. Las autoridades públicas deberán abstenerse de toda intervención que tienda a limitar este derecho o a entorpecer su ejercicio legal.</w:t>
      </w:r>
    </w:p>
    <w:p w:rsidR="002E4BFC" w:rsidRPr="007528AD" w:rsidRDefault="00BC3826">
      <w:pPr>
        <w:spacing w:after="0" w:line="360" w:lineRule="auto"/>
        <w:ind w:left="567" w:right="567"/>
        <w:rPr>
          <w:i/>
          <w:color w:val="000000"/>
          <w:sz w:val="20"/>
          <w:szCs w:val="20"/>
        </w:rPr>
      </w:pPr>
      <w:r w:rsidRPr="007528AD">
        <w:rPr>
          <w:i/>
          <w:color w:val="000000"/>
          <w:sz w:val="20"/>
          <w:szCs w:val="20"/>
        </w:rPr>
        <w:t>…</w:t>
      </w:r>
    </w:p>
    <w:p w:rsidR="002E4BFC" w:rsidRPr="007528AD" w:rsidRDefault="00BC3826">
      <w:pPr>
        <w:spacing w:after="0" w:line="360" w:lineRule="auto"/>
        <w:ind w:left="567" w:right="567"/>
        <w:rPr>
          <w:b/>
          <w:i/>
          <w:color w:val="000000"/>
          <w:sz w:val="20"/>
          <w:szCs w:val="20"/>
        </w:rPr>
      </w:pPr>
      <w:r w:rsidRPr="007528AD">
        <w:rPr>
          <w:b/>
          <w:i/>
          <w:color w:val="000000"/>
          <w:sz w:val="20"/>
          <w:szCs w:val="20"/>
        </w:rPr>
        <w:t>Artículo 8</w:t>
      </w:r>
    </w:p>
    <w:p w:rsidR="002E4BFC" w:rsidRPr="007528AD" w:rsidRDefault="00BC3826">
      <w:pPr>
        <w:spacing w:after="0" w:line="360" w:lineRule="auto"/>
        <w:ind w:left="567" w:right="567"/>
        <w:rPr>
          <w:i/>
          <w:color w:val="000000"/>
          <w:sz w:val="20"/>
          <w:szCs w:val="20"/>
        </w:rPr>
      </w:pPr>
      <w:r w:rsidRPr="007528AD">
        <w:rPr>
          <w:i/>
          <w:color w:val="000000"/>
          <w:sz w:val="20"/>
          <w:szCs w:val="20"/>
        </w:rPr>
        <w:t>1. Al ejercer los derechos que se le reconocer en el presente Convenio, los trabajadores, los empleadores y sus organizaciones respectivas están obligados, lo mismo que las demás personas o las colectividades organizadas, a respetar la legalidad.</w:t>
      </w:r>
    </w:p>
    <w:p w:rsidR="002E4BFC" w:rsidRPr="007528AD" w:rsidRDefault="002E4BFC">
      <w:pPr>
        <w:spacing w:after="0" w:line="360" w:lineRule="auto"/>
        <w:ind w:left="567" w:right="567"/>
        <w:rPr>
          <w:i/>
          <w:color w:val="000000"/>
          <w:sz w:val="20"/>
          <w:szCs w:val="20"/>
        </w:rPr>
      </w:pPr>
    </w:p>
    <w:p w:rsidR="002E4BFC" w:rsidRPr="007528AD" w:rsidRDefault="00BC3826">
      <w:pPr>
        <w:spacing w:after="0" w:line="360" w:lineRule="auto"/>
        <w:ind w:left="567" w:right="567"/>
        <w:rPr>
          <w:i/>
          <w:color w:val="000000"/>
          <w:sz w:val="20"/>
          <w:szCs w:val="20"/>
        </w:rPr>
      </w:pPr>
      <w:r w:rsidRPr="007528AD">
        <w:rPr>
          <w:i/>
          <w:color w:val="000000"/>
          <w:sz w:val="20"/>
          <w:szCs w:val="20"/>
        </w:rPr>
        <w:lastRenderedPageBreak/>
        <w:t>2. La legislación nacional no menoscabará, ni será aplicada de suerte que menoscabe las garantías previstas por el presente Convenio.</w:t>
      </w:r>
    </w:p>
    <w:p w:rsidR="002E4BFC" w:rsidRPr="007528AD" w:rsidRDefault="00BC3826">
      <w:pPr>
        <w:spacing w:after="0" w:line="360" w:lineRule="auto"/>
        <w:ind w:left="567" w:right="567"/>
        <w:rPr>
          <w:i/>
          <w:color w:val="000000"/>
          <w:sz w:val="20"/>
          <w:szCs w:val="20"/>
        </w:rPr>
      </w:pPr>
      <w:r w:rsidRPr="007528AD">
        <w:rPr>
          <w:i/>
          <w:color w:val="000000"/>
          <w:sz w:val="20"/>
          <w:szCs w:val="20"/>
        </w:rPr>
        <w:t>…”</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Dichas disposiciones, contienen la obligación de las autoridades públicas de abstenerse de realizar alguna intervención, que limite o entorpezca el ejercicio de su asociación sindical, por lo que, la legislación nacional no podrá menoscabar las garantías previstas por el Convenio.  Además, resulta necesario, traer a colación la Jurisprudencia número PC.I.A. J/2 A (10a.), publicada en el Semanario Judicial de la Federación y su Gaceta, en el Libro 21, Tomo II, en agosto de dos mil quince, que establece lo siguiente:</w:t>
      </w:r>
    </w:p>
    <w:p w:rsidR="002E4BFC" w:rsidRPr="007528AD" w:rsidRDefault="002E4BFC">
      <w:pPr>
        <w:spacing w:after="0" w:line="360" w:lineRule="auto"/>
        <w:rPr>
          <w:color w:val="000000"/>
        </w:rPr>
      </w:pPr>
    </w:p>
    <w:p w:rsidR="002E4BFC" w:rsidRPr="007528AD" w:rsidRDefault="00BC3826">
      <w:pPr>
        <w:spacing w:after="0" w:line="360" w:lineRule="auto"/>
        <w:ind w:left="567" w:right="567"/>
        <w:rPr>
          <w:i/>
          <w:color w:val="000000"/>
          <w:sz w:val="20"/>
          <w:szCs w:val="20"/>
        </w:rPr>
      </w:pPr>
      <w:r w:rsidRPr="007528AD">
        <w:rPr>
          <w:b/>
          <w:i/>
          <w:color w:val="000000"/>
          <w:sz w:val="20"/>
          <w:szCs w:val="20"/>
        </w:rPr>
        <w:t xml:space="preserve">“INFORMACIÓN PÚBLICA. TIENE ESE CARÁCTER LA QUE SE ENCUENTRA EN POSESIÓN DE PETRÓLEOS MEXICANOS Y SUS ORGANISMOS SUBSIDIARIOS RELATIVA A LOS RECURSOS PÚBLICOS ENTREGADOS AL SINDICATO DE TRABAJADORES PETROLEROS DE LA REPÚBLICA MEXICANA POR CONCEPTO DE PRESTACIONES LABORALES CONTRACTUALES A FAVOR DE SUS TRABAJADORES. </w:t>
      </w:r>
      <w:r w:rsidRPr="007528AD">
        <w:rPr>
          <w:i/>
          <w:color w:val="000000"/>
          <w:sz w:val="20"/>
          <w:szCs w:val="20"/>
        </w:rPr>
        <w:t xml:space="preserve">Petróleos Mexicanos y sus organismos subsidiarios (Pemex-Exploración y Producción; Pemex-Refinación; Pemex-Gas y Petroquímica Básica; y Pemex-Petroquímica), constituyen entidades que, conforme a la Ley Federal de Transparencia y Acceso a la Información Pública Gubernamental, están obligadas a proporcionar a los terceros que lo soliciten aquella información que sea pública y de interés general, como es la relativa a los montos y las personas a quienes entreguen, por cualquier motivo, recursos públicos, pues implica la ejecución del presupuesto que les haya sido asignado, respecto del cual, el Director General de ese organismo descentralizado debe rendir cuentas, así como los informes que dichas personas les entreguen sobre el uso y destino de aquéllos; así, </w:t>
      </w:r>
      <w:r w:rsidRPr="007528AD">
        <w:rPr>
          <w:b/>
          <w:i/>
          <w:color w:val="000000"/>
          <w:sz w:val="20"/>
          <w:szCs w:val="20"/>
        </w:rPr>
        <w:t xml:space="preserve">los recursos públicos que esos entes entregan al Sindicato de Trabajadores Petroleros de la República Mexicana por concepto de prestaciones laborales contractuales a favor de sus trabajadores, constituyen información pública que puede darse a conocer a los terceros que la soliciten, habida cuenta </w:t>
      </w:r>
      <w:r w:rsidRPr="007528AD">
        <w:rPr>
          <w:b/>
          <w:i/>
          <w:color w:val="000000"/>
          <w:sz w:val="20"/>
          <w:szCs w:val="20"/>
        </w:rPr>
        <w:lastRenderedPageBreak/>
        <w:t>de que se encuentra directamente vinculada con el patrimonio de los trabajadores aludidos, relativa al pago de prestaciones de índole laboral con recursos públicos presupuestados, respecto de los cuales existe la obligación de rendir cuentas, y no se refiere a datos propios del sindicato o de sus agremiados cuya difusión pudiera afectar su libertad y privacidad como persona jurídica de derecho social, en la medida en que no se refiere a su administración y actividades, o a las cuotas que sus trabajadores afiliados le aportan para el logro de los intereses gremiales.”</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Conforme a la citada Jurisprudencia, se desprende que la información que está sujeta a rendición de cuentas, es aquella que dé cuenta del ejercicio y uso de recursos públicos presupuestados y hayan sido entregados a algún Sindicato y por lo tanto, </w:t>
      </w:r>
      <w:r w:rsidRPr="007528AD">
        <w:rPr>
          <w:b/>
          <w:color w:val="000000"/>
        </w:rPr>
        <w:t xml:space="preserve">no será de escrutinio, aquella que refiera datos propios del sindicato o de sus agremiados, cuya difusión pudiera afectar su libertad sindical y privacidad, como persona jurídica de derecho social, así como de aquella que refiera a su administración y actividades o bien las cuotas sindicales. </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Así, se puede concluir que la única información de los sindicatos, que es materia de acceso a información pública, es aquella que documente </w:t>
      </w:r>
      <w:r w:rsidRPr="007528AD">
        <w:rPr>
          <w:b/>
          <w:color w:val="000000"/>
        </w:rPr>
        <w:t>la recepción, uso y ejercicio de recursos públicos o bien, la realización de actos en su calidad de autoridades y no la que provenga de capital privado y se destine a su vida interna.</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ese contexto, si bien constitucionalmente, se le otorga la calidad de sujetos obligados a los </w:t>
      </w:r>
      <w:r w:rsidRPr="007528AD">
        <w:rPr>
          <w:b/>
          <w:color w:val="000000"/>
        </w:rPr>
        <w:t xml:space="preserve">sindicatos que reciben y ejercen recursos públicos o realizan actos de autoridad, </w:t>
      </w:r>
      <w:r w:rsidRPr="007528AD">
        <w:rPr>
          <w:color w:val="000000"/>
        </w:rPr>
        <w:t xml:space="preserve">como el </w:t>
      </w:r>
      <w:r w:rsidRPr="007528AD">
        <w:rPr>
          <w:b/>
          <w:color w:val="000000"/>
        </w:rPr>
        <w:t>Sindicato Único de Trabajadores de los Poderes, Municipios e Instituciones Descentralizadas del Estado de México</w:t>
      </w:r>
      <w:r w:rsidRPr="007528AD">
        <w:rPr>
          <w:color w:val="000000"/>
        </w:rPr>
        <w:t xml:space="preserve">, también lo es que, en atención a la naturaleza jurídica de este tipo de entes, dichas disposiciones deben interpretarse de manera armónica con lo </w:t>
      </w:r>
      <w:r w:rsidRPr="007528AD">
        <w:rPr>
          <w:color w:val="000000"/>
        </w:rPr>
        <w:lastRenderedPageBreak/>
        <w:t>establecido en el Convenio 87 de la Organización Internacional del Trabajo, mismo que es de observancia obligatoria para el Estado Mexicano.</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Al respecto, según Delgado, Eduardo (2016), “Transparencia Sindical en la Ley Federal del Trabajo y en la Ley General de Transparencia y Acceso a la Información Pública” (consultada el veintiuno de abril de dos mil veintidós, en la liga electrónica </w:t>
      </w:r>
      <w:hyperlink r:id="rId13">
        <w:r w:rsidRPr="007528AD">
          <w:rPr>
            <w:color w:val="0000FF"/>
            <w:u w:val="single"/>
          </w:rPr>
          <w:t>http://www.scielo.org.mx/pdf/rlds/n23/1870-4670-rlds-23-00179.pdf</w:t>
        </w:r>
      </w:hyperlink>
      <w:r w:rsidRPr="007528AD">
        <w:rPr>
          <w:color w:val="000000"/>
        </w:rPr>
        <w:t>), los sindicatos cuentan con dos tipos de tipos de transparencia, conforme a lo siguiente:</w:t>
      </w:r>
    </w:p>
    <w:p w:rsidR="002E4BFC" w:rsidRPr="007528AD" w:rsidRDefault="002E4BFC">
      <w:pPr>
        <w:spacing w:after="0" w:line="360" w:lineRule="auto"/>
        <w:rPr>
          <w:color w:val="000000"/>
        </w:rPr>
      </w:pPr>
    </w:p>
    <w:p w:rsidR="002E4BFC" w:rsidRPr="007528AD" w:rsidRDefault="00BC3826">
      <w:pPr>
        <w:numPr>
          <w:ilvl w:val="0"/>
          <w:numId w:val="3"/>
        </w:numPr>
        <w:spacing w:after="0" w:line="360" w:lineRule="auto"/>
        <w:rPr>
          <w:color w:val="000000"/>
        </w:rPr>
      </w:pPr>
      <w:r w:rsidRPr="007528AD">
        <w:rPr>
          <w:b/>
          <w:color w:val="000000"/>
        </w:rPr>
        <w:t xml:space="preserve">Externa: </w:t>
      </w:r>
      <w:r w:rsidRPr="007528AD">
        <w:rPr>
          <w:color w:val="000000"/>
        </w:rPr>
        <w:t>Corresponde aquella información dirigida al público, en general, sin necesidad de ser afiliado al sindicato, la cual se conforma de dos formas:</w:t>
      </w:r>
    </w:p>
    <w:p w:rsidR="002E4BFC" w:rsidRPr="007528AD" w:rsidRDefault="002E4BFC">
      <w:pPr>
        <w:spacing w:after="0" w:line="360" w:lineRule="auto"/>
        <w:rPr>
          <w:color w:val="000000"/>
        </w:rPr>
      </w:pPr>
    </w:p>
    <w:p w:rsidR="002E4BFC" w:rsidRPr="007528AD" w:rsidRDefault="00BC3826">
      <w:pPr>
        <w:numPr>
          <w:ilvl w:val="0"/>
          <w:numId w:val="4"/>
        </w:numPr>
        <w:spacing w:after="0" w:line="360" w:lineRule="auto"/>
        <w:rPr>
          <w:b/>
          <w:color w:val="000000"/>
        </w:rPr>
      </w:pPr>
      <w:r w:rsidRPr="007528AD">
        <w:rPr>
          <w:b/>
          <w:color w:val="000000"/>
        </w:rPr>
        <w:t xml:space="preserve">La establecida en la Ley Federal de Trabajo: </w:t>
      </w:r>
      <w:r w:rsidRPr="007528AD">
        <w:rPr>
          <w:color w:val="000000"/>
        </w:rPr>
        <w:t>Que corresponde a la información que dé cuenta del correcto registro sindical ante las autoridades laborales, así como la información sobre dichos registros, entre la cual, se encuentra la siguiente:</w:t>
      </w:r>
    </w:p>
    <w:p w:rsidR="002E4BFC" w:rsidRPr="007528AD" w:rsidRDefault="002E4BFC">
      <w:pPr>
        <w:spacing w:after="0" w:line="360" w:lineRule="auto"/>
        <w:rPr>
          <w:b/>
          <w:color w:val="000000"/>
        </w:rPr>
      </w:pPr>
    </w:p>
    <w:p w:rsidR="002E4BFC" w:rsidRPr="007528AD" w:rsidRDefault="00BC3826">
      <w:pPr>
        <w:numPr>
          <w:ilvl w:val="0"/>
          <w:numId w:val="5"/>
        </w:numPr>
        <w:spacing w:after="0" w:line="360" w:lineRule="auto"/>
        <w:rPr>
          <w:b/>
          <w:color w:val="000000"/>
        </w:rPr>
      </w:pPr>
      <w:r w:rsidRPr="007528AD">
        <w:rPr>
          <w:color w:val="000000"/>
        </w:rPr>
        <w:t>La versión pública de los expedientes de registros sindicales; así como de los Estatutos.</w:t>
      </w:r>
    </w:p>
    <w:p w:rsidR="002E4BFC" w:rsidRPr="007528AD" w:rsidRDefault="002E4BFC">
      <w:pPr>
        <w:spacing w:after="0" w:line="360" w:lineRule="auto"/>
        <w:rPr>
          <w:b/>
          <w:color w:val="000000"/>
        </w:rPr>
      </w:pPr>
    </w:p>
    <w:p w:rsidR="002E4BFC" w:rsidRPr="007528AD" w:rsidRDefault="00BC3826">
      <w:pPr>
        <w:numPr>
          <w:ilvl w:val="0"/>
          <w:numId w:val="5"/>
        </w:numPr>
        <w:spacing w:after="0" w:line="360" w:lineRule="auto"/>
        <w:rPr>
          <w:b/>
          <w:color w:val="000000"/>
        </w:rPr>
      </w:pPr>
      <w:r w:rsidRPr="007528AD">
        <w:rPr>
          <w:color w:val="000000"/>
        </w:rPr>
        <w:t>Información del gremio, como lo es su domicilio, número de registro, nombre, integrantes del Comité Ejecutivo, fecha de vigencia del Comité Ejecutivo, número de socios, central obrera a la que pertenecen.</w:t>
      </w:r>
    </w:p>
    <w:p w:rsidR="002E4BFC" w:rsidRPr="007528AD" w:rsidRDefault="002E4BFC">
      <w:pPr>
        <w:spacing w:after="0" w:line="360" w:lineRule="auto"/>
        <w:rPr>
          <w:b/>
          <w:color w:val="000000"/>
        </w:rPr>
      </w:pPr>
    </w:p>
    <w:p w:rsidR="002E4BFC" w:rsidRPr="007528AD" w:rsidRDefault="00BC3826">
      <w:pPr>
        <w:numPr>
          <w:ilvl w:val="0"/>
          <w:numId w:val="4"/>
        </w:numPr>
        <w:spacing w:after="0" w:line="360" w:lineRule="auto"/>
        <w:rPr>
          <w:b/>
          <w:color w:val="000000"/>
        </w:rPr>
      </w:pPr>
      <w:r w:rsidRPr="007528AD">
        <w:rPr>
          <w:b/>
          <w:color w:val="000000"/>
        </w:rPr>
        <w:t xml:space="preserve">La establecida en la Ley General de Transparencia y Acceso a la Información Pública: </w:t>
      </w:r>
      <w:r w:rsidRPr="007528AD">
        <w:rPr>
          <w:color w:val="000000"/>
        </w:rPr>
        <w:t xml:space="preserve">Las obligaciones de transparencia, establecidas en el artículo 78 y 79 de </w:t>
      </w:r>
      <w:r w:rsidRPr="007528AD">
        <w:rPr>
          <w:color w:val="000000"/>
        </w:rPr>
        <w:lastRenderedPageBreak/>
        <w:t>dicho ordenamiento jurídico, así como, de aquella que dé cuenta de la recepción y ejercicio de recursos públicos o bien, de actos de autoridad.</w:t>
      </w:r>
    </w:p>
    <w:p w:rsidR="002E4BFC" w:rsidRPr="007528AD" w:rsidRDefault="002E4BFC">
      <w:pPr>
        <w:spacing w:after="0" w:line="360" w:lineRule="auto"/>
        <w:rPr>
          <w:color w:val="000000"/>
        </w:rPr>
      </w:pPr>
    </w:p>
    <w:p w:rsidR="002E4BFC" w:rsidRPr="007528AD" w:rsidRDefault="00BC3826">
      <w:pPr>
        <w:numPr>
          <w:ilvl w:val="0"/>
          <w:numId w:val="3"/>
        </w:numPr>
        <w:spacing w:after="0" w:line="360" w:lineRule="auto"/>
        <w:rPr>
          <w:color w:val="000000"/>
        </w:rPr>
      </w:pPr>
      <w:r w:rsidRPr="007528AD">
        <w:rPr>
          <w:b/>
          <w:color w:val="000000"/>
        </w:rPr>
        <w:t xml:space="preserve">Interna: </w:t>
      </w:r>
      <w:r w:rsidRPr="007528AD">
        <w:rPr>
          <w:color w:val="000000"/>
        </w:rPr>
        <w:t xml:space="preserve">Es la transparencia que el sindicato debe de rendir a sus afiliados, esto es, respecto a los ingresos por cuotas sindicales y los bienes que conforme el patrimonio del gremio, así como el destino que se le brinda a estos, </w:t>
      </w:r>
      <w:r w:rsidRPr="007528AD">
        <w:rPr>
          <w:b/>
          <w:color w:val="000000"/>
        </w:rPr>
        <w:t>así como, de la administración de la persona jurídico colectiva de derecho social.</w:t>
      </w:r>
    </w:p>
    <w:p w:rsidR="002E4BFC" w:rsidRPr="007528AD" w:rsidRDefault="002E4BFC">
      <w:pPr>
        <w:spacing w:after="0" w:line="360" w:lineRule="auto"/>
        <w:rPr>
          <w:color w:val="000000"/>
        </w:rPr>
      </w:pPr>
      <w:bookmarkStart w:id="16" w:name="_heading=h.1ksv4uv" w:colFirst="0" w:colLast="0"/>
      <w:bookmarkEnd w:id="16"/>
    </w:p>
    <w:p w:rsidR="002E4BFC" w:rsidRPr="007528AD" w:rsidRDefault="00BC3826">
      <w:pPr>
        <w:spacing w:after="0" w:line="360" w:lineRule="auto"/>
        <w:rPr>
          <w:color w:val="000000"/>
        </w:rPr>
      </w:pPr>
      <w:r w:rsidRPr="007528AD">
        <w:rPr>
          <w:color w:val="000000"/>
        </w:rPr>
        <w:t>Por lo anterior, se puede concluir que hay dos tipos de transparencia sindical:</w:t>
      </w:r>
    </w:p>
    <w:p w:rsidR="002E4BFC" w:rsidRPr="007528AD" w:rsidRDefault="00BC3826">
      <w:pPr>
        <w:numPr>
          <w:ilvl w:val="0"/>
          <w:numId w:val="6"/>
        </w:numPr>
        <w:spacing w:after="0" w:line="360" w:lineRule="auto"/>
        <w:rPr>
          <w:b/>
          <w:color w:val="000000"/>
        </w:rPr>
      </w:pPr>
      <w:r w:rsidRPr="007528AD">
        <w:rPr>
          <w:b/>
          <w:color w:val="000000"/>
        </w:rPr>
        <w:t>Externa:</w:t>
      </w:r>
      <w:r w:rsidRPr="007528AD">
        <w:rPr>
          <w:color w:val="000000"/>
        </w:rPr>
        <w:t xml:space="preserve"> aquella que esté sujeta a las Leyes de Transparencia y por lo tanto es de escrutinio público; esto es, la recepción y ejercicio de recursos públicos, la realización de actos de autoridad o las obligaciones de transparencia establecidas en la normatividad aplicable.</w:t>
      </w:r>
    </w:p>
    <w:p w:rsidR="002E4BFC" w:rsidRPr="007528AD" w:rsidRDefault="002E4BFC">
      <w:pPr>
        <w:spacing w:after="0" w:line="360" w:lineRule="auto"/>
        <w:rPr>
          <w:b/>
          <w:color w:val="000000"/>
        </w:rPr>
      </w:pPr>
    </w:p>
    <w:p w:rsidR="002E4BFC" w:rsidRPr="007528AD" w:rsidRDefault="00BC3826">
      <w:pPr>
        <w:numPr>
          <w:ilvl w:val="0"/>
          <w:numId w:val="6"/>
        </w:numPr>
        <w:spacing w:after="0" w:line="360" w:lineRule="auto"/>
        <w:rPr>
          <w:b/>
          <w:color w:val="000000"/>
        </w:rPr>
      </w:pPr>
      <w:r w:rsidRPr="007528AD">
        <w:rPr>
          <w:b/>
          <w:color w:val="000000"/>
        </w:rPr>
        <w:t xml:space="preserve">Interna: </w:t>
      </w:r>
      <w:r w:rsidRPr="007528AD">
        <w:rPr>
          <w:color w:val="000000"/>
        </w:rPr>
        <w:t xml:space="preserve">corresponde a aquella información que el Sindicato debe rendir únicamente a sus agremiados; por ejemplo, el ingreso y ejercicio de los recursos obtenidos de cuotas sindicales, bienes de su patrimonio, incluso </w:t>
      </w:r>
      <w:r w:rsidRPr="007528AD">
        <w:rPr>
          <w:b/>
          <w:color w:val="000000"/>
        </w:rPr>
        <w:t>la entrada y salida de afiliados o bien la administración del mismo.</w:t>
      </w:r>
    </w:p>
    <w:p w:rsidR="002E4BFC" w:rsidRPr="007528AD" w:rsidRDefault="002E4BFC">
      <w:pPr>
        <w:spacing w:after="0" w:line="360" w:lineRule="auto"/>
        <w:rPr>
          <w:color w:val="000000"/>
        </w:rPr>
      </w:pPr>
    </w:p>
    <w:p w:rsidR="002E4BFC" w:rsidRPr="007528AD" w:rsidRDefault="00BC3826">
      <w:pPr>
        <w:spacing w:after="0" w:line="360" w:lineRule="auto"/>
        <w:rPr>
          <w:color w:val="000000"/>
          <w:u w:val="single"/>
        </w:rPr>
      </w:pPr>
      <w:r w:rsidRPr="007528AD">
        <w:rPr>
          <w:color w:val="000000"/>
        </w:rPr>
        <w:t xml:space="preserve">Así, la única información que es susceptible a escrutinio público, es aquella que corresponde a la </w:t>
      </w:r>
      <w:r w:rsidRPr="007528AD">
        <w:rPr>
          <w:b/>
          <w:color w:val="000000"/>
        </w:rPr>
        <w:t>transparencia sindical externa</w:t>
      </w:r>
      <w:r w:rsidRPr="007528AD">
        <w:rPr>
          <w:color w:val="000000"/>
        </w:rPr>
        <w:t xml:space="preserve">; así, para determinar si la información que obra en los archivos de los Sindicatos, está sujeta a transparencia, </w:t>
      </w:r>
      <w:r w:rsidRPr="007528AD">
        <w:rPr>
          <w:b/>
          <w:color w:val="000000"/>
        </w:rPr>
        <w:t>primero</w:t>
      </w:r>
      <w:r w:rsidRPr="007528AD">
        <w:rPr>
          <w:color w:val="000000"/>
        </w:rPr>
        <w:t xml:space="preserve"> </w:t>
      </w:r>
      <w:r w:rsidRPr="007528AD">
        <w:rPr>
          <w:b/>
          <w:color w:val="000000"/>
        </w:rPr>
        <w:t>se deberá analizar la naturaleza de la misma</w:t>
      </w:r>
      <w:r w:rsidRPr="007528AD">
        <w:rPr>
          <w:color w:val="000000"/>
        </w:rPr>
        <w:t xml:space="preserve">, con la finalidad de garantizar el derecho de acceso a la información, </w:t>
      </w:r>
      <w:r w:rsidRPr="007528AD">
        <w:rPr>
          <w:color w:val="000000"/>
          <w:u w:val="single"/>
        </w:rPr>
        <w:t>sin que ello implique trastocar la libertad y autonomía sindical.</w:t>
      </w:r>
    </w:p>
    <w:p w:rsidR="002E4BFC" w:rsidRPr="007528AD" w:rsidRDefault="002E4BFC">
      <w:pPr>
        <w:spacing w:after="0" w:line="360" w:lineRule="auto"/>
        <w:rPr>
          <w:color w:val="000000"/>
        </w:rPr>
      </w:pPr>
    </w:p>
    <w:p w:rsidR="002E4BFC" w:rsidRPr="007528AD" w:rsidRDefault="00BC3826">
      <w:pPr>
        <w:spacing w:after="0" w:line="360" w:lineRule="auto"/>
        <w:rPr>
          <w:b/>
          <w:color w:val="000000"/>
        </w:rPr>
      </w:pPr>
      <w:r w:rsidRPr="007528AD">
        <w:rPr>
          <w:color w:val="000000"/>
        </w:rPr>
        <w:lastRenderedPageBreak/>
        <w:t xml:space="preserve">Es decir, aquella documentación que obra en los archivos de los sindicatos y que esté relacionada con su vida, organización interna o recursos privados, </w:t>
      </w:r>
      <w:r w:rsidRPr="007528AD">
        <w:rPr>
          <w:b/>
          <w:color w:val="000000"/>
        </w:rPr>
        <w:t xml:space="preserve">no deberá estar sujeta al escrutinio público, pues implicaría una intromisión y vulneración a su derecho de vida sindical; </w:t>
      </w:r>
      <w:r w:rsidRPr="007528AD">
        <w:rPr>
          <w:color w:val="000000"/>
        </w:rPr>
        <w:t xml:space="preserve">por lo cual, cuando la información se relacione con el uso o ejercicio de recursos públicos o actos de autoridad, como pudiera ser la participación de un afiliado, en representación del sindicato, en una comisión mixta, deberá ser proporcionada, al ser materia de las Leyes de transparencia y favorecer la rendición de cuentas, </w:t>
      </w:r>
      <w:r w:rsidRPr="007528AD">
        <w:rPr>
          <w:b/>
          <w:color w:val="000000"/>
        </w:rPr>
        <w:t>pues</w:t>
      </w:r>
      <w:r w:rsidRPr="007528AD">
        <w:rPr>
          <w:color w:val="000000"/>
        </w:rPr>
        <w:t xml:space="preserve"> </w:t>
      </w:r>
      <w:r w:rsidRPr="007528AD">
        <w:rPr>
          <w:b/>
          <w:color w:val="000000"/>
        </w:rPr>
        <w:t>la publicidad de este tipo de información contribuye a la democratización del Estado de México, por un lado y por el otro, garantiza plenamente el derecho a la libertad sindical.</w:t>
      </w:r>
    </w:p>
    <w:p w:rsidR="002E4BFC" w:rsidRPr="007528AD" w:rsidRDefault="002E4BFC">
      <w:pPr>
        <w:spacing w:after="0" w:line="360" w:lineRule="auto"/>
        <w:rPr>
          <w:b/>
          <w:color w:val="000000"/>
        </w:rPr>
      </w:pPr>
    </w:p>
    <w:p w:rsidR="002E4BFC" w:rsidRPr="007528AD" w:rsidRDefault="00BC3826">
      <w:pPr>
        <w:spacing w:after="0" w:line="360" w:lineRule="auto"/>
        <w:rPr>
          <w:color w:val="000000"/>
        </w:rPr>
      </w:pPr>
      <w:r w:rsidRPr="007528AD">
        <w:rPr>
          <w:color w:val="000000"/>
        </w:rPr>
        <w:t>Una vez establecido lo anterior, resulta necesario analizar si la Asociación del Personal Administrativo del Colegio de Estudios Científicos y Tecnológicos del Estado de México, es sujeto a la Ley de Transparencia y Acceso a la Información Pública del Estado de México y Municipios; para lo cual, en principio resulta necesario traer a colación, el Directorio de Sujetos Obligados publicado en la página oficial de este Instituto, el cual precisa lo siguiente:</w:t>
      </w:r>
    </w:p>
    <w:p w:rsidR="002E4BFC" w:rsidRPr="007528AD" w:rsidRDefault="002E4BFC">
      <w:pPr>
        <w:spacing w:after="0" w:line="360" w:lineRule="auto"/>
        <w:rPr>
          <w:color w:val="000000"/>
        </w:rPr>
      </w:pPr>
    </w:p>
    <w:p w:rsidR="002E4BFC" w:rsidRPr="007528AD" w:rsidRDefault="00BC3826">
      <w:pPr>
        <w:spacing w:after="0" w:line="360" w:lineRule="auto"/>
        <w:jc w:val="center"/>
        <w:rPr>
          <w:color w:val="000000"/>
        </w:rPr>
      </w:pPr>
      <w:r w:rsidRPr="007528AD">
        <w:rPr>
          <w:noProof/>
          <w:color w:val="000000"/>
        </w:rPr>
        <w:lastRenderedPageBreak/>
        <w:drawing>
          <wp:inline distT="0" distB="0" distL="0" distR="0">
            <wp:extent cx="4736022" cy="3559891"/>
            <wp:effectExtent l="0" t="0" r="0" b="0"/>
            <wp:docPr id="1608178964" name="image3.png" descr="Interfaz de usuario gráfica, Aplicación&#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3.png" descr="Interfaz de usuario gráfica, Aplicación&#10;&#10;Descripción generada automáticamente"/>
                    <pic:cNvPicPr preferRelativeResize="0"/>
                  </pic:nvPicPr>
                  <pic:blipFill>
                    <a:blip r:embed="rId14"/>
                    <a:srcRect/>
                    <a:stretch>
                      <a:fillRect/>
                    </a:stretch>
                  </pic:blipFill>
                  <pic:spPr>
                    <a:xfrm>
                      <a:off x="0" y="0"/>
                      <a:ext cx="4736022" cy="3559891"/>
                    </a:xfrm>
                    <a:prstGeom prst="rect">
                      <a:avLst/>
                    </a:prstGeom>
                    <a:ln/>
                  </pic:spPr>
                </pic:pic>
              </a:graphicData>
            </a:graphic>
          </wp:inline>
        </w:drawing>
      </w:r>
    </w:p>
    <w:p w:rsidR="002E4BFC" w:rsidRPr="007528AD" w:rsidRDefault="002E4BFC">
      <w:pPr>
        <w:spacing w:after="0" w:line="360" w:lineRule="auto"/>
        <w:jc w:val="center"/>
        <w:rPr>
          <w:color w:val="000000"/>
        </w:rPr>
      </w:pPr>
    </w:p>
    <w:p w:rsidR="002E4BFC" w:rsidRPr="007528AD" w:rsidRDefault="00BC3826">
      <w:pPr>
        <w:spacing w:after="0" w:line="360" w:lineRule="auto"/>
        <w:rPr>
          <w:color w:val="000000"/>
        </w:rPr>
      </w:pPr>
      <w:r w:rsidRPr="007528AD">
        <w:rPr>
          <w:color w:val="000000"/>
        </w:rPr>
        <w:t xml:space="preserve">Como se logra observar, la Asociación de Personal Administrativo del </w:t>
      </w:r>
      <w:proofErr w:type="spellStart"/>
      <w:r w:rsidRPr="007528AD">
        <w:rPr>
          <w:color w:val="000000"/>
        </w:rPr>
        <w:t>CECyTEM</w:t>
      </w:r>
      <w:proofErr w:type="spellEnd"/>
      <w:r w:rsidRPr="007528AD">
        <w:rPr>
          <w:color w:val="000000"/>
        </w:rPr>
        <w:t>, es un Sujeto Obligado del Estado de México que se encuentra constreñido a cumplir con las Leyes de Transparencia.</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Lo anterior cobra relevancia con el Contrato Colectivo de Trabajo vigente, celebrado entre el Colegio de Estudios Científicos y Tecnológicos del Estado de México y la Asociación del Personal Administrativo del Colegio de Estudios Científicos y Tecnológicos del Estado de México, que establece a través de diversas cláusulas que el Colegio de Estudios Científicos y Tecnológicos del Estado de México debe otorgar al Sujeto Obligado diversos montos, por diferentes conceptos, tales como: adquisición de prótesis, lentes, aparatos ortopédicos, dentales o auditivos para el personal administrativo; para el apoyo para gastos de organización de eventos culturales, sociales, deportivos y actividades recreativas; para la entrega de despensa </w:t>
      </w:r>
      <w:r w:rsidRPr="007528AD">
        <w:rPr>
          <w:color w:val="000000"/>
        </w:rPr>
        <w:lastRenderedPageBreak/>
        <w:t>de fin de año; y, para la organización del evento de fin de año del Personal Administrativo Sindicalizado.</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De tales circunstancias, se concluye que el Ente Recurrido, es un Sujeto Obligado que debe cumplir con la Ley de Transparencia y Acceso a la Información Pública del Estado de México y Municipios; por lo que, se procede analizar se la información peticionada es materia de </w:t>
      </w:r>
      <w:r w:rsidRPr="007528AD">
        <w:rPr>
          <w:b/>
          <w:color w:val="000000"/>
        </w:rPr>
        <w:t xml:space="preserve">transparencia interna o externa, es decir, de escrutinio público o no, </w:t>
      </w:r>
      <w:r w:rsidRPr="007528AD">
        <w:rPr>
          <w:color w:val="000000"/>
        </w:rPr>
        <w:t>para lo cual, es de precisar que la pretensión del Recurrente es obtener lo siguiente:</w:t>
      </w:r>
    </w:p>
    <w:p w:rsidR="002E4BFC" w:rsidRPr="007528AD" w:rsidRDefault="002E4BFC">
      <w:pPr>
        <w:spacing w:after="0" w:line="360" w:lineRule="auto"/>
        <w:rPr>
          <w:color w:val="000000"/>
        </w:rPr>
      </w:pPr>
    </w:p>
    <w:p w:rsidR="002E4BFC" w:rsidRPr="007528AD" w:rsidRDefault="00BC3826">
      <w:pPr>
        <w:numPr>
          <w:ilvl w:val="0"/>
          <w:numId w:val="7"/>
        </w:numPr>
        <w:pBdr>
          <w:top w:val="nil"/>
          <w:left w:val="nil"/>
          <w:bottom w:val="nil"/>
          <w:right w:val="nil"/>
          <w:between w:val="nil"/>
        </w:pBdr>
        <w:tabs>
          <w:tab w:val="left" w:pos="4962"/>
        </w:tabs>
        <w:spacing w:after="0" w:line="360" w:lineRule="auto"/>
        <w:rPr>
          <w:color w:val="000000"/>
        </w:rPr>
      </w:pPr>
      <w:r w:rsidRPr="007528AD">
        <w:rPr>
          <w:color w:val="000000"/>
        </w:rPr>
        <w:t xml:space="preserve">Documento que contenga el procedimiento para la elección del Presidente de la Asociación de Personal Administrativo del </w:t>
      </w:r>
      <w:proofErr w:type="spellStart"/>
      <w:r w:rsidRPr="007528AD">
        <w:rPr>
          <w:color w:val="000000"/>
        </w:rPr>
        <w:t>CECyTEM</w:t>
      </w:r>
      <w:proofErr w:type="spellEnd"/>
      <w:r w:rsidRPr="007528AD">
        <w:rPr>
          <w:color w:val="000000"/>
        </w:rPr>
        <w:t xml:space="preserve">, así como, los periodos electorales; </w:t>
      </w:r>
    </w:p>
    <w:p w:rsidR="002E4BFC" w:rsidRPr="007528AD" w:rsidRDefault="00BC3826">
      <w:pPr>
        <w:numPr>
          <w:ilvl w:val="0"/>
          <w:numId w:val="7"/>
        </w:numPr>
        <w:pBdr>
          <w:top w:val="nil"/>
          <w:left w:val="nil"/>
          <w:bottom w:val="nil"/>
          <w:right w:val="nil"/>
          <w:between w:val="nil"/>
        </w:pBdr>
        <w:tabs>
          <w:tab w:val="left" w:pos="4962"/>
        </w:tabs>
        <w:spacing w:after="0" w:line="360" w:lineRule="auto"/>
        <w:jc w:val="left"/>
        <w:rPr>
          <w:color w:val="000000"/>
        </w:rPr>
      </w:pPr>
      <w:r w:rsidRPr="007528AD">
        <w:rPr>
          <w:color w:val="000000"/>
        </w:rPr>
        <w:t>Número de cuentas bancarias del gremio y el monto total, y</w:t>
      </w:r>
    </w:p>
    <w:p w:rsidR="002E4BFC" w:rsidRPr="007528AD" w:rsidRDefault="00BC3826">
      <w:pPr>
        <w:numPr>
          <w:ilvl w:val="0"/>
          <w:numId w:val="7"/>
        </w:numPr>
        <w:pBdr>
          <w:top w:val="nil"/>
          <w:left w:val="nil"/>
          <w:bottom w:val="nil"/>
          <w:right w:val="nil"/>
          <w:between w:val="nil"/>
        </w:pBdr>
        <w:tabs>
          <w:tab w:val="left" w:pos="4962"/>
        </w:tabs>
        <w:spacing w:after="0" w:line="360" w:lineRule="auto"/>
        <w:jc w:val="left"/>
        <w:rPr>
          <w:color w:val="000000"/>
        </w:rPr>
      </w:pPr>
      <w:r w:rsidRPr="007528AD">
        <w:rPr>
          <w:color w:val="000000"/>
        </w:rPr>
        <w:t xml:space="preserve">Bienes con los que contaba el Sindicato. </w:t>
      </w:r>
    </w:p>
    <w:p w:rsidR="002E4BFC" w:rsidRPr="007528AD" w:rsidRDefault="002E4BFC">
      <w:pPr>
        <w:spacing w:after="0" w:line="360" w:lineRule="auto"/>
        <w:rPr>
          <w:color w:val="000000"/>
        </w:rPr>
      </w:pPr>
    </w:p>
    <w:p w:rsidR="002E4BFC" w:rsidRPr="007528AD" w:rsidRDefault="00BC3826">
      <w:pPr>
        <w:spacing w:after="0" w:line="360" w:lineRule="auto"/>
        <w:rPr>
          <w:b/>
          <w:color w:val="000000"/>
        </w:rPr>
      </w:pPr>
      <w:r w:rsidRPr="007528AD">
        <w:rPr>
          <w:b/>
          <w:color w:val="000000"/>
        </w:rPr>
        <w:t>Elección del Presidente y periodo electoral</w:t>
      </w:r>
    </w:p>
    <w:p w:rsidR="002E4BFC" w:rsidRPr="007528AD" w:rsidRDefault="002E4BFC">
      <w:pPr>
        <w:spacing w:after="0" w:line="360" w:lineRule="auto"/>
        <w:rPr>
          <w:b/>
          <w:color w:val="000000"/>
        </w:rPr>
      </w:pPr>
    </w:p>
    <w:p w:rsidR="002E4BFC" w:rsidRPr="007528AD" w:rsidRDefault="00BC3826">
      <w:pPr>
        <w:spacing w:after="0" w:line="360" w:lineRule="auto"/>
        <w:rPr>
          <w:color w:val="000000"/>
        </w:rPr>
      </w:pPr>
      <w:r w:rsidRPr="007528AD">
        <w:rPr>
          <w:color w:val="000000"/>
        </w:rPr>
        <w:t xml:space="preserve">Sobre el tema, los artículos 357 Bis, fracción I, y 359, de la Ley Federal del Trabajo, con relación al 148 de la Ley del Trabajo de los Servidores Públicos del Estado y Municipios, establecen que los sindicatos tienen derecho a redactar sus estatutos y reglamentos, así como, elegir libremente a sus representantes, organizar su administración, sus </w:t>
      </w:r>
      <w:proofErr w:type="spellStart"/>
      <w:r w:rsidRPr="007528AD">
        <w:rPr>
          <w:color w:val="000000"/>
        </w:rPr>
        <w:t>activades</w:t>
      </w:r>
      <w:proofErr w:type="spellEnd"/>
      <w:r w:rsidRPr="007528AD">
        <w:rPr>
          <w:color w:val="000000"/>
        </w:rPr>
        <w:t xml:space="preserve"> y formular el programa de acción.</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ese contexto, los diversos 371, fracción IX, de la Ley Federal del Trabajo y 149, fracción VIII, de la Ley del Trabajo de los Servidores Públicos del Estado y Municipios, precisan que los </w:t>
      </w:r>
      <w:r w:rsidRPr="007528AD">
        <w:rPr>
          <w:color w:val="000000"/>
        </w:rPr>
        <w:lastRenderedPageBreak/>
        <w:t>estatutos sindicales deberán contener, entre otras cosas, el procedimiento para elegir la directiva, número de sus miembros y periodo de duración de la directiva.</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En ese orden de ideas, el artículo 79, fracción VI, de la Ley General de Transparencia y Acceso a la Información Pública y el 102, fracción VI, de la Ley de Transparencia y Acceso a la Información Pública del Estado de México y Municipio, precisan que los Sindicatos deben publicar los Estatutos; lo cual se robustece, con las Tablas de Aplicabilidad de las Obligaciones de Transparencia del Gremio, que establecen que debe publicar dicha información.</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Ahora bien, el artículo 16 de los Estatutos de la Asociación de Personal Administrativo del Colegio de Estudios Científicos y Tecnológicos del Estado de México, precisa que el Comité Ejecutivo del Gremio será la Directiva del mismo, y estará integrado entre otros por un Presidente.</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Conforme a lo anterior, se logra vislumbrar que, en el presente caso, la información requerida por el Solicitante, se trata de transparencia externa, de escrutinio público, pues corresponde a la elección de la directiva y el periodo de esta, la cual forma parte de los Estatutos y se trata de una obligación de Transparencia; por lo que, en el presente caso, la pretensión del ahora Recurrente es obtener el documento donde conste el procedimiento para elegir al Presidente del Comité Ejecutivo y el periodo de duración en el cargo.</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Ahora bien, el Sujeto Obligado en respuesta, señaló que la información se localizaba en los Estatutos del Gremio y proporcionó un enlace, en formato abierto, de cuya revisión se logra vislumbrar que remite al Portal de Información Pública de Oficio Mexiquense del Ente Recurrido, que contiene el vínculo de acceso al documento referido, tal como se muestra a continuación:</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noProof/>
          <w:color w:val="000000"/>
        </w:rPr>
        <w:drawing>
          <wp:inline distT="0" distB="0" distL="0" distR="0">
            <wp:extent cx="5791835" cy="1511300"/>
            <wp:effectExtent l="0" t="0" r="0" b="0"/>
            <wp:docPr id="160817896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5"/>
                    <a:srcRect/>
                    <a:stretch>
                      <a:fillRect/>
                    </a:stretch>
                  </pic:blipFill>
                  <pic:spPr>
                    <a:xfrm>
                      <a:off x="0" y="0"/>
                      <a:ext cx="5791835" cy="1511300"/>
                    </a:xfrm>
                    <a:prstGeom prst="rect">
                      <a:avLst/>
                    </a:prstGeom>
                    <a:ln/>
                  </pic:spPr>
                </pic:pic>
              </a:graphicData>
            </a:graphic>
          </wp:inline>
        </w:drawing>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En ese contexto, este Instituto accedió a la liga localizada en el registro, la cual remite a los Estatutos de la Asociación de Personal Administrativo del Colegio de Estudios Científicos y Tecnológicos del Estado de México y Municipios, tal como se muestra a continuación:</w:t>
      </w:r>
    </w:p>
    <w:p w:rsidR="002E4BFC" w:rsidRPr="007528AD" w:rsidRDefault="002E4BFC">
      <w:pPr>
        <w:spacing w:after="0" w:line="360" w:lineRule="auto"/>
        <w:rPr>
          <w:color w:val="000000"/>
        </w:rPr>
      </w:pPr>
    </w:p>
    <w:p w:rsidR="002E4BFC" w:rsidRPr="007528AD" w:rsidRDefault="00BC3826">
      <w:pPr>
        <w:spacing w:after="0" w:line="360" w:lineRule="auto"/>
        <w:jc w:val="center"/>
        <w:rPr>
          <w:color w:val="000000"/>
        </w:rPr>
      </w:pPr>
      <w:r w:rsidRPr="007528AD">
        <w:rPr>
          <w:noProof/>
          <w:color w:val="000000"/>
        </w:rPr>
        <w:drawing>
          <wp:inline distT="0" distB="0" distL="0" distR="0">
            <wp:extent cx="3461886" cy="1800590"/>
            <wp:effectExtent l="0" t="0" r="0" b="0"/>
            <wp:docPr id="160817896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6"/>
                    <a:srcRect/>
                    <a:stretch>
                      <a:fillRect/>
                    </a:stretch>
                  </pic:blipFill>
                  <pic:spPr>
                    <a:xfrm>
                      <a:off x="0" y="0"/>
                      <a:ext cx="3461886" cy="1800590"/>
                    </a:xfrm>
                    <a:prstGeom prst="rect">
                      <a:avLst/>
                    </a:prstGeom>
                    <a:ln/>
                  </pic:spPr>
                </pic:pic>
              </a:graphicData>
            </a:graphic>
          </wp:inline>
        </w:drawing>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En ese contexto, se revisaron los artículos que conforman a dicha documental, y se localizó que, en el 16, contiene la duración de los miembros que conforman al Comité Ejecutivo, así como, el procedimiento para su elección, el cual es el siguiente:</w:t>
      </w:r>
    </w:p>
    <w:p w:rsidR="002E4BFC" w:rsidRPr="007528AD" w:rsidRDefault="002E4BFC">
      <w:pPr>
        <w:spacing w:after="0" w:line="360" w:lineRule="auto"/>
        <w:rPr>
          <w:color w:val="000000"/>
        </w:rPr>
      </w:pPr>
    </w:p>
    <w:p w:rsidR="002E4BFC" w:rsidRPr="007528AD" w:rsidRDefault="00BC3826">
      <w:pPr>
        <w:numPr>
          <w:ilvl w:val="0"/>
          <w:numId w:val="3"/>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t>La duración del Comité Ejecutivo es de seis años, y</w:t>
      </w:r>
    </w:p>
    <w:p w:rsidR="002E4BFC" w:rsidRPr="007528AD" w:rsidRDefault="00BC3826">
      <w:pPr>
        <w:numPr>
          <w:ilvl w:val="0"/>
          <w:numId w:val="3"/>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lastRenderedPageBreak/>
        <w:t>La elección del Comité Ejecutivo será en la celebración de la Asamblea de la Asociación, bajo los siguientes términos:</w:t>
      </w:r>
    </w:p>
    <w:p w:rsidR="002E4BFC" w:rsidRPr="007528AD" w:rsidRDefault="002E4BFC">
      <w:pPr>
        <w:pBdr>
          <w:top w:val="nil"/>
          <w:left w:val="nil"/>
          <w:bottom w:val="nil"/>
          <w:right w:val="nil"/>
          <w:between w:val="nil"/>
        </w:pBdr>
        <w:spacing w:after="0" w:line="360" w:lineRule="auto"/>
        <w:ind w:left="720"/>
        <w:rPr>
          <w:color w:val="000000"/>
        </w:rPr>
      </w:pPr>
    </w:p>
    <w:p w:rsidR="002E4BFC" w:rsidRPr="007528AD" w:rsidRDefault="00BC3826">
      <w:pPr>
        <w:numPr>
          <w:ilvl w:val="0"/>
          <w:numId w:val="8"/>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t>Se convocará a la asamblea con antelación de diez días hábiles, por lo menos, en la que se hará saber que podrán registrarse planillas hasta tres días antes de la fecha establecida; además que estas deberán estar respaldadas por un mínimo del 20% de los miembros de la Asociación.</w:t>
      </w:r>
    </w:p>
    <w:p w:rsidR="002E4BFC" w:rsidRPr="007528AD" w:rsidRDefault="00BC3826">
      <w:pPr>
        <w:numPr>
          <w:ilvl w:val="0"/>
          <w:numId w:val="8"/>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t>El Presidente, Vicepresidente y Secretario en funciones, expedirán la constancia de registro de cada planilla;</w:t>
      </w:r>
    </w:p>
    <w:p w:rsidR="002E4BFC" w:rsidRPr="007528AD" w:rsidRDefault="00BC3826">
      <w:pPr>
        <w:numPr>
          <w:ilvl w:val="0"/>
          <w:numId w:val="8"/>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t>En atención a las planillas, se emitirán las cédulas de votación, que contendrán los nombres de las personas elegibles;</w:t>
      </w:r>
    </w:p>
    <w:p w:rsidR="002E4BFC" w:rsidRPr="007528AD" w:rsidRDefault="00BC3826">
      <w:pPr>
        <w:numPr>
          <w:ilvl w:val="0"/>
          <w:numId w:val="8"/>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t>En la Asamblea se designará la mesa de debates, los cuáles se encargarán de la lista de asistencia, verificación de identidad y entrega de las cédulas de votación.</w:t>
      </w:r>
    </w:p>
    <w:p w:rsidR="002E4BFC" w:rsidRPr="007528AD" w:rsidRDefault="00BC3826">
      <w:pPr>
        <w:numPr>
          <w:ilvl w:val="0"/>
          <w:numId w:val="8"/>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t>La votación será directa y secreta; por lo que, una vez efectuada la mesa de debates declara cerrada la votación, cancelará las cédulas no utilizadas y hará el recuento de los votos, con presencia de los representantes de las planillas.</w:t>
      </w:r>
    </w:p>
    <w:p w:rsidR="002E4BFC" w:rsidRPr="007528AD" w:rsidRDefault="00BC3826">
      <w:pPr>
        <w:numPr>
          <w:ilvl w:val="0"/>
          <w:numId w:val="8"/>
        </w:numPr>
        <w:pBdr>
          <w:top w:val="nil"/>
          <w:left w:val="nil"/>
          <w:bottom w:val="nil"/>
          <w:right w:val="nil"/>
          <w:between w:val="nil"/>
        </w:pBdr>
        <w:spacing w:after="0" w:line="360" w:lineRule="auto"/>
        <w:rPr>
          <w:rFonts w:ascii="Century Gothic" w:eastAsia="Century Gothic" w:hAnsi="Century Gothic" w:cs="Century Gothic"/>
          <w:color w:val="000000"/>
        </w:rPr>
      </w:pPr>
      <w:r w:rsidRPr="007528AD">
        <w:rPr>
          <w:color w:val="000000"/>
        </w:rPr>
        <w:t>El Presidente de la Mesa de Debates, dará el resultado, procederá a la toma de posesión, aceptación y protesta de los cargos respectivos.</w:t>
      </w:r>
      <w:r w:rsidRPr="007528AD">
        <w:rPr>
          <w:rFonts w:ascii="Century Gothic" w:eastAsia="Century Gothic" w:hAnsi="Century Gothic" w:cs="Century Gothic"/>
          <w:color w:val="000000"/>
        </w:rPr>
        <w:t xml:space="preserve">  </w:t>
      </w:r>
    </w:p>
    <w:p w:rsidR="002E4BFC" w:rsidRPr="007528AD" w:rsidRDefault="002E4BFC">
      <w:pPr>
        <w:spacing w:after="0" w:line="360" w:lineRule="auto"/>
        <w:rPr>
          <w:color w:val="000000"/>
        </w:rPr>
      </w:pPr>
    </w:p>
    <w:p w:rsidR="002E4BFC" w:rsidRPr="007528AD" w:rsidRDefault="002E4BFC">
      <w:pPr>
        <w:spacing w:after="0" w:line="360" w:lineRule="auto"/>
        <w:rPr>
          <w:color w:val="000000"/>
        </w:rPr>
      </w:pPr>
    </w:p>
    <w:p w:rsidR="002E4BFC" w:rsidRPr="007528AD" w:rsidRDefault="002E4BFC">
      <w:pPr>
        <w:spacing w:after="0" w:line="360" w:lineRule="auto"/>
        <w:rPr>
          <w:color w:val="000000"/>
        </w:rPr>
      </w:pP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Conforme a lo anterior, se logra vislumbrar que los Estatutos del Gremio, es el documento que da cuenta de lo peticionado, pues dentro de su articulado se localiza la información requerida, es decir, el procedimiento para elegir al Presidente (proceso de elección del Comité Ejecutivo) y el tiempo de duración en los cargos.</w:t>
      </w:r>
    </w:p>
    <w:p w:rsidR="002E4BFC" w:rsidRPr="007528AD" w:rsidRDefault="002E4BFC">
      <w:pPr>
        <w:spacing w:after="0" w:line="360" w:lineRule="auto"/>
        <w:rPr>
          <w:color w:val="000000"/>
        </w:rPr>
      </w:pPr>
    </w:p>
    <w:p w:rsidR="002E4BFC" w:rsidRPr="007528AD" w:rsidRDefault="00BC3826">
      <w:pPr>
        <w:spacing w:after="0" w:line="360" w:lineRule="auto"/>
      </w:pPr>
      <w:r w:rsidRPr="007528AD">
        <w:rPr>
          <w:color w:val="000000"/>
        </w:rPr>
        <w:t xml:space="preserve">Ahora bien, es necesario señalar que el Particular se inconformó de que no le dijeron de manera específica en que parte de los Estatutos se localizaba lo peticionado; sobre dicha situación, </w:t>
      </w:r>
      <w:r w:rsidRPr="007528AD">
        <w:t xml:space="preserve">el artículo 12 de la Ley de Transparencia y Acceso a la Información Pública del Estado de México y Municipios, precisa que los sujetos obligados sólo están constreñidos a proporcionar la información pública que obre en sus archivos, en el estado en que esta se encuentre; por lo que, la entrega no comprende el procesamiento de la misma, ni presentarla conforme al interés del solicitante, además, que tampoco deberá generarla, resumirla, efectuar cálculos o practicar investigaciones. </w:t>
      </w:r>
    </w:p>
    <w:p w:rsidR="002E4BFC" w:rsidRPr="007528AD" w:rsidRDefault="002E4BFC">
      <w:pPr>
        <w:spacing w:after="0" w:line="360" w:lineRule="auto"/>
        <w:ind w:right="-93"/>
      </w:pPr>
    </w:p>
    <w:p w:rsidR="002E4BFC" w:rsidRPr="007528AD" w:rsidRDefault="00BC3826">
      <w:pPr>
        <w:spacing w:after="0" w:line="360" w:lineRule="auto"/>
      </w:pPr>
      <w:r w:rsidRPr="007528AD">
        <w:t xml:space="preserve">De esta manera, el derecho de acceso a la información pública se satisface en aquellos casos en que se entregue el soporte documental en el que conste la información solicitada, sin necesidad de elaborar documentos ad hoc; lo cual, toma sustento en el artículo 160 de la Ley de Transparencia y Acceso a la Información Pública del Estado de México y Municipios, el cual refiere que los sujetos obligados deberán entregar la información que obre en sus archivos. </w:t>
      </w:r>
    </w:p>
    <w:p w:rsidR="002E4BFC" w:rsidRPr="007528AD" w:rsidRDefault="002E4BFC">
      <w:pPr>
        <w:spacing w:after="0" w:line="360" w:lineRule="auto"/>
      </w:pPr>
    </w:p>
    <w:p w:rsidR="002E4BFC" w:rsidRPr="007528AD" w:rsidRDefault="00BC3826">
      <w:pPr>
        <w:spacing w:after="0" w:line="360" w:lineRule="auto"/>
      </w:pPr>
      <w:r w:rsidRPr="007528AD">
        <w:t>Robustece lo anterior el Criterio de Interpretación, con clave de control SO/013/2017, de la Segunda Época, emitido por el Instituto Nacional de Transparencia, Acceso a la Información y Protección de Datos Personales, que a continuación se cita:</w:t>
      </w:r>
    </w:p>
    <w:p w:rsidR="002E4BFC" w:rsidRPr="007528AD" w:rsidRDefault="002E4BFC">
      <w:pPr>
        <w:spacing w:after="0" w:line="360" w:lineRule="auto"/>
      </w:pPr>
    </w:p>
    <w:p w:rsidR="002E4BFC" w:rsidRPr="007528AD" w:rsidRDefault="00BC3826">
      <w:pPr>
        <w:spacing w:after="0" w:line="360" w:lineRule="auto"/>
        <w:ind w:left="567" w:right="567"/>
        <w:rPr>
          <w:i/>
          <w:sz w:val="20"/>
          <w:szCs w:val="20"/>
        </w:rPr>
      </w:pPr>
      <w:r w:rsidRPr="007528AD">
        <w:rPr>
          <w:b/>
          <w:i/>
          <w:sz w:val="20"/>
          <w:szCs w:val="20"/>
        </w:rPr>
        <w:t xml:space="preserve">“No existe obligación de elaborar documentos ad hoc para atender las solicitudes de acceso a la información. </w:t>
      </w:r>
      <w:r w:rsidRPr="007528AD">
        <w:rPr>
          <w:i/>
          <w:sz w:val="20"/>
          <w:szCs w:val="20"/>
        </w:rPr>
        <w:t xml:space="preserve">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w:t>
      </w:r>
      <w:r w:rsidRPr="007528AD">
        <w:rPr>
          <w:i/>
          <w:sz w:val="20"/>
          <w:szCs w:val="20"/>
        </w:rPr>
        <w:lastRenderedPageBreak/>
        <w:t>lo anterior, los sujetos obligados deben garantizar el derecho de acceso a la información del particular, proporcionando la información con la que cuentan en el formato en que la misma obre en sus archivos; sin necesidad de elaborar documentos ad hoc para atenderlas solicitudes de información.”</w:t>
      </w:r>
    </w:p>
    <w:p w:rsidR="002E4BFC" w:rsidRPr="007528AD" w:rsidRDefault="002E4BFC">
      <w:pPr>
        <w:spacing w:after="0" w:line="360" w:lineRule="auto"/>
        <w:ind w:right="-93"/>
      </w:pPr>
    </w:p>
    <w:p w:rsidR="002E4BFC" w:rsidRPr="007528AD" w:rsidRDefault="00BC3826">
      <w:pPr>
        <w:spacing w:after="0" w:line="360" w:lineRule="auto"/>
        <w:ind w:right="-93"/>
      </w:pPr>
      <w:r w:rsidRPr="007528AD">
        <w:t>De tales circunstancias, se concluye que los sujetos obligados únicamente se encuentran constreñidos a proporcionar los documentos que den cuenta de la información solicitada, como obren en sus archivos, sin tener que elaborarlos o resumirlos a las necesidades del Recurrente.</w:t>
      </w:r>
    </w:p>
    <w:p w:rsidR="002E4BFC" w:rsidRPr="007528AD" w:rsidRDefault="002E4BFC">
      <w:pPr>
        <w:spacing w:after="0" w:line="360" w:lineRule="auto"/>
        <w:ind w:right="-93"/>
      </w:pPr>
    </w:p>
    <w:p w:rsidR="002E4BFC" w:rsidRPr="007528AD" w:rsidRDefault="00BC3826">
      <w:pPr>
        <w:spacing w:after="0" w:line="360" w:lineRule="auto"/>
        <w:ind w:right="-93"/>
      </w:pPr>
      <w:r w:rsidRPr="007528AD">
        <w:t>En otras palabras, los Sujetos Obligados cumplen con el derecho de acceso a la información, al proporcionar los documentos donde conste la información peticionada; lo cual aconteció, pues como ya se refirió en párrafos anteriores, dio acceso a sus Estatutos, en el cual se localiza el procedimiento para elección del Comité Ejecutivo y su duración; además que, en el presente caso, no resulta complejo la localización de lo solicitado, pues basta con verificar el nombre de los Capítulos que conforman el documento, para poder identificar donde se localiza lo peticionado, a saber, el Capítulo IV “De la Directiva”, cuyo primer artículo contiene dicha información.</w:t>
      </w:r>
    </w:p>
    <w:p w:rsidR="002E4BFC" w:rsidRPr="007528AD" w:rsidRDefault="002E4BFC">
      <w:pPr>
        <w:spacing w:after="0" w:line="360" w:lineRule="auto"/>
        <w:ind w:right="-93"/>
      </w:pPr>
    </w:p>
    <w:p w:rsidR="002E4BFC" w:rsidRPr="007528AD" w:rsidRDefault="00BC3826">
      <w:pPr>
        <w:spacing w:after="0" w:line="360" w:lineRule="auto"/>
        <w:ind w:right="-93"/>
      </w:pPr>
      <w:r w:rsidRPr="007528AD">
        <w:t>En ese contexto, el Gremio desde respuesta dio acceso al documento que daba cuenta de lo peticionado, tal y como obraba en sus archivos; y si bien, no indicó de manera específica el artículo donde se encontraba la información, lo cierto es que no existe ninguna dificultad para localizar lo peticionado en el Estatuto, aunado a que como se señaló en párrafos anteriores, el Ente Recurrido, no está obligado hacer resúmenes, ni procesamiento de documentos; por lo que, en el presente caso, se tiene por atendido el requerimiento de información.</w:t>
      </w:r>
    </w:p>
    <w:p w:rsidR="002E4BFC" w:rsidRPr="007528AD" w:rsidRDefault="002E4BFC">
      <w:pPr>
        <w:spacing w:after="0" w:line="360" w:lineRule="auto"/>
        <w:rPr>
          <w:color w:val="000000"/>
        </w:rPr>
      </w:pPr>
    </w:p>
    <w:p w:rsidR="002E4BFC" w:rsidRPr="007528AD" w:rsidRDefault="00BC3826">
      <w:pPr>
        <w:spacing w:after="0" w:line="360" w:lineRule="auto"/>
        <w:rPr>
          <w:b/>
          <w:color w:val="000000"/>
        </w:rPr>
      </w:pPr>
      <w:r w:rsidRPr="007528AD">
        <w:rPr>
          <w:b/>
        </w:rPr>
        <w:t>Número de cuentas bancarias con los que contaba del gremio y el monto total</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lastRenderedPageBreak/>
        <w:t>Sobre dicha información, el artículo 28 de los Estatutos de la Asociación de Personal Administrativo del Colegio de Estudios Científicos y Tecnológicos del Estado de México y Municipios, establecen una cuota ordinaria mensual, del salario que perciba el afiliado; la cual deberá ser descontada por la institución educativa y entregada directamente a la Asociación; mismas que serán utilizadas para los gastos ordinarios de sostenimiento de la Asociación y los fines que determine la Asamblea.</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Por otra parte, tal como se mencionó en párrafos anteriores, el Contrato Colectivo de Trabajo, precisa que el Colegio le entregará al gremio, durante un ejercicio fiscal, diversos recursos públicos, para la adquisición de aparatos relacionados con la salud y la organización de eventos; lo cual, se robustece con el Portal de Información Pública de Oficio Mexiquense 4.0, el cual precisa que el Gremio recibe recursos públicos del Colegio, para la obtención de prótesis, lentes, aparatos ortopédicos, dentales o auditivos para sus afiliados, tal como se muestra a continuación:</w:t>
      </w:r>
    </w:p>
    <w:p w:rsidR="002E4BFC" w:rsidRPr="007528AD" w:rsidRDefault="002E4BFC">
      <w:pPr>
        <w:spacing w:after="0" w:line="360" w:lineRule="auto"/>
        <w:rPr>
          <w:color w:val="000000"/>
        </w:rPr>
      </w:pPr>
    </w:p>
    <w:p w:rsidR="002E4BFC" w:rsidRPr="007528AD" w:rsidRDefault="00BC3826">
      <w:pPr>
        <w:spacing w:after="0" w:line="360" w:lineRule="auto"/>
        <w:jc w:val="center"/>
        <w:rPr>
          <w:color w:val="000000"/>
        </w:rPr>
      </w:pPr>
      <w:r w:rsidRPr="007528AD">
        <w:rPr>
          <w:noProof/>
          <w:color w:val="000000"/>
        </w:rPr>
        <w:drawing>
          <wp:inline distT="0" distB="0" distL="0" distR="0">
            <wp:extent cx="4042422" cy="2156166"/>
            <wp:effectExtent l="0" t="0" r="0" b="0"/>
            <wp:docPr id="1608178968"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7"/>
                    <a:srcRect/>
                    <a:stretch>
                      <a:fillRect/>
                    </a:stretch>
                  </pic:blipFill>
                  <pic:spPr>
                    <a:xfrm>
                      <a:off x="0" y="0"/>
                      <a:ext cx="4042422" cy="2156166"/>
                    </a:xfrm>
                    <a:prstGeom prst="rect">
                      <a:avLst/>
                    </a:prstGeom>
                    <a:ln/>
                  </pic:spPr>
                </pic:pic>
              </a:graphicData>
            </a:graphic>
          </wp:inline>
        </w:drawing>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Conforme a lo anterior, se logra vislumbrar que el patrimonio del Sindicato, se conforma, por una parte, de recursos públicos proporcionados por el Colegio de Estudios Científicos y </w:t>
      </w:r>
      <w:r w:rsidRPr="007528AD">
        <w:rPr>
          <w:color w:val="000000"/>
        </w:rPr>
        <w:lastRenderedPageBreak/>
        <w:t>Tecnológicos del Estado de México y, por otra parte, de recursos privados, las cuotas sindicales pagadas con recursos de los afiliados.</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En ese sentido, como ya se refirió en párrafos anteriores, los Sindicatos únicamente se encuentran obligados a transparentar los recursos públicos que reciben, tal como lo establece la fracción IV, del artículo 79 de la Ley General de Transparencia y del 102 de la Ley Local de Transparencia; sin embargo, los recursos privados que recibe, es decir, las cuotas sindicales no son de escrutinio público, tal como lo establece el Criterio de Interpretación, con clave de control SO/009/2017, emitido por el Instituto Nacional de Transparencia, Acceso a la Información y Protección de Datos Personales.</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otras palabras, la recepción y uso de recursos públicos, se trata de transparencia sindical externa y se puede entregar mediante el derecho de acceso a la información pública; mientras que los recursos privados, se trata de transparencia sindical interna, por lo que, no le es aplicable dicha prerrogativa y únicamente se puede acceder si es afiliado al gremio. </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Ahora bien, el Sujeto Obligado señaló que el Sindicato únicamente tenía una sola cuenta bancaria para su funcionamiento, por lo que, en esta se albergan tanto los recursos públicos (en caso de que a la fecha de la solicitud existieran), como los privados; además, que el monto total, corresponde al patrimonio con el que contaba el Sujeto Obligado a una fecha determinada.</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Sobre tal circunstancia, es de señalar que dar a conocer el monto total de la cuenta bancaria, daría a conocer parte del patrimonio del Sindicado con el que contaba a determinada fecha, información que corresponde a transparencia sindical interna, es decir, que únicamente es de escrutinio para sus afiliados, pues se trata de los recursos en general con los que contaba el </w:t>
      </w:r>
      <w:r w:rsidRPr="007528AD">
        <w:rPr>
          <w:color w:val="000000"/>
        </w:rPr>
        <w:lastRenderedPageBreak/>
        <w:t>Gremio para su funcionamiento y para cumplir con su objetivo, como una organización social en beneficio de los trabajadores afiliados a este.</w:t>
      </w:r>
    </w:p>
    <w:p w:rsidR="002E4BFC" w:rsidRPr="007528AD" w:rsidRDefault="002E4BFC">
      <w:pPr>
        <w:spacing w:after="0" w:line="360" w:lineRule="auto"/>
        <w:rPr>
          <w:color w:val="000000"/>
        </w:rPr>
      </w:pPr>
    </w:p>
    <w:p w:rsidR="002E4BFC" w:rsidRPr="007528AD" w:rsidRDefault="00BC3826">
      <w:pPr>
        <w:spacing w:after="0" w:line="360" w:lineRule="auto"/>
        <w:rPr>
          <w:b/>
        </w:rPr>
      </w:pPr>
      <w:r w:rsidRPr="007528AD">
        <w:t xml:space="preserve">Por otra parte, de la revisión de las obligaciones de transparencia, establecidas en los artículos 92, 99 y 102 de la Ley de Transparencia y Acceso a la Información Pública del Estado de México y Municipios, que corresponde cumplir a los sindicatos, </w:t>
      </w:r>
      <w:r w:rsidRPr="007528AD">
        <w:rPr>
          <w:b/>
        </w:rPr>
        <w:t xml:space="preserve">no se logró advertir que el Sujeto Obligado tenga el deber de publicar los recursos con los que contaba para su funcionamiento, </w:t>
      </w:r>
      <w:r w:rsidRPr="007528AD">
        <w:t>pues la única información a transparentar son los recursos públicos que recibe.</w:t>
      </w:r>
    </w:p>
    <w:p w:rsidR="002E4BFC" w:rsidRPr="007528AD" w:rsidRDefault="002E4BFC">
      <w:pPr>
        <w:spacing w:after="0" w:line="360" w:lineRule="auto"/>
        <w:rPr>
          <w:b/>
        </w:rPr>
      </w:pPr>
    </w:p>
    <w:p w:rsidR="002E4BFC" w:rsidRPr="007528AD" w:rsidRDefault="00BC3826">
      <w:pPr>
        <w:spacing w:after="0" w:line="360" w:lineRule="auto"/>
      </w:pPr>
      <w:r w:rsidRPr="007528AD">
        <w:t xml:space="preserve">Así, el monto global de la cuenta bancaria con la que contaba el Sindicato, es materia de </w:t>
      </w:r>
      <w:r w:rsidRPr="007528AD">
        <w:rPr>
          <w:b/>
        </w:rPr>
        <w:t>transparencia sindical interna;</w:t>
      </w:r>
      <w:r w:rsidRPr="007528AD">
        <w:t xml:space="preserve"> es decir, únicamente accesible a los miembros del Gremio y, en caso de alguna irregularidad, sus propios Estatutos establecen el procedimiento a seguir y las sanciones correspondientes, ya que este tipo de circunstancias negativas afecta exclusivamente a los propios agremiados, por lo que, no resulta procedente ordenar su entrega, al ser información que no es de escrutinio público y, por lo tanto, no le aplica las Leyes de Transparencia.</w:t>
      </w:r>
    </w:p>
    <w:p w:rsidR="002E4BFC" w:rsidRPr="007528AD" w:rsidRDefault="002E4BFC">
      <w:pPr>
        <w:spacing w:after="0" w:line="360" w:lineRule="auto"/>
        <w:rPr>
          <w:b/>
          <w:color w:val="000000"/>
        </w:rPr>
      </w:pPr>
    </w:p>
    <w:p w:rsidR="002E4BFC" w:rsidRPr="007528AD" w:rsidRDefault="00BC3826">
      <w:pPr>
        <w:tabs>
          <w:tab w:val="left" w:pos="4962"/>
        </w:tabs>
        <w:spacing w:after="0" w:line="360" w:lineRule="auto"/>
        <w:rPr>
          <w:b/>
        </w:rPr>
      </w:pPr>
      <w:r w:rsidRPr="007528AD">
        <w:rPr>
          <w:b/>
        </w:rPr>
        <w:t>Bienes co</w:t>
      </w:r>
      <w:r w:rsidR="007528AD" w:rsidRPr="007528AD">
        <w:rPr>
          <w:b/>
        </w:rPr>
        <w:t>n los que contaba el Sindicato</w:t>
      </w:r>
    </w:p>
    <w:p w:rsidR="002E4BFC" w:rsidRPr="007528AD" w:rsidRDefault="002E4BFC">
      <w:pPr>
        <w:spacing w:after="0" w:line="360" w:lineRule="auto"/>
        <w:rPr>
          <w:b/>
          <w:color w:val="000000"/>
        </w:rPr>
      </w:pPr>
    </w:p>
    <w:p w:rsidR="002E4BFC" w:rsidRPr="007528AD" w:rsidRDefault="00BC3826">
      <w:pPr>
        <w:spacing w:after="0" w:line="360" w:lineRule="auto"/>
        <w:rPr>
          <w:color w:val="000000"/>
        </w:rPr>
      </w:pPr>
      <w:r w:rsidRPr="007528AD">
        <w:rPr>
          <w:color w:val="000000"/>
        </w:rPr>
        <w:t>Sobre el tema, el Sujeto Obligado, tanto en respuesta, como Informe Justificado, señaló que los bienes con los que contaba el Gremio, se adquirían con las cuotas sindicales y no del erario público; por lo cual, la información no era de escrutinio público y únicamente era accesible para el personal afiliado.</w:t>
      </w:r>
    </w:p>
    <w:p w:rsidR="002E4BFC" w:rsidRPr="007528AD" w:rsidRDefault="002E4BFC">
      <w:pPr>
        <w:spacing w:after="0" w:line="360" w:lineRule="auto"/>
        <w:rPr>
          <w:color w:val="000000"/>
        </w:rPr>
      </w:pP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lastRenderedPageBreak/>
        <w:t xml:space="preserve">En ese contexto, resulta necesario reiterar que tal como lo señaló el Sujeto Obligado, los bienes adquiridos con recursos privados, no son accesibles mediante el derecho de acceso a la información pública, al tratarse de transparencia sindical interna; no obstante, conforme a la fracción IV, del artículo 79 de la Ley General de Transparencia y del 102 de la Ley Local de Transparencia, con relación con los </w:t>
      </w:r>
      <w:r w:rsidRPr="007528AD">
        <w:t xml:space="preserve">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el Sindicato al ser sujeto a las Leyes de Transparencia, deben publicar y dar a conocer los bienes adquiridos con Recursos Públicos, o bien, aquellos donados por el </w:t>
      </w:r>
      <w:r w:rsidRPr="007528AD">
        <w:rPr>
          <w:color w:val="000000"/>
        </w:rPr>
        <w:t>Colegio de Estudios Científicos y Tecnológicos del Estado de México.</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En ese orden de ideas, este Instituto revisó el Portal de Información Pública de Oficio Mexiquense 3.0 y 4.0, en específico la fracción IV B “Relación de bienes muebles”, del artículo 102, y se </w:t>
      </w:r>
      <w:proofErr w:type="spellStart"/>
      <w:r w:rsidRPr="007528AD">
        <w:rPr>
          <w:color w:val="000000"/>
        </w:rPr>
        <w:t>logro</w:t>
      </w:r>
      <w:proofErr w:type="spellEnd"/>
      <w:r w:rsidRPr="007528AD">
        <w:rPr>
          <w:color w:val="000000"/>
        </w:rPr>
        <w:t xml:space="preserve"> vislumbrar que el Gremio tiene diversos registros, durante los años que ha sido Sujeto Regulado por las Leyes de Transparencia, tal como se muestra a continuación:</w:t>
      </w:r>
    </w:p>
    <w:p w:rsidR="002E4BFC" w:rsidRPr="007528AD" w:rsidRDefault="002E4BFC">
      <w:pPr>
        <w:spacing w:after="0" w:line="360" w:lineRule="auto"/>
        <w:rPr>
          <w:color w:val="000000"/>
        </w:rPr>
      </w:pPr>
    </w:p>
    <w:p w:rsidR="002E4BFC" w:rsidRPr="007528AD" w:rsidRDefault="00BC3826">
      <w:pPr>
        <w:spacing w:after="0" w:line="360" w:lineRule="auto"/>
        <w:jc w:val="center"/>
        <w:rPr>
          <w:color w:val="000000"/>
        </w:rPr>
      </w:pPr>
      <w:r w:rsidRPr="007528AD">
        <w:rPr>
          <w:noProof/>
          <w:color w:val="000000"/>
        </w:rPr>
        <w:drawing>
          <wp:inline distT="0" distB="0" distL="0" distR="0">
            <wp:extent cx="3105583" cy="1314633"/>
            <wp:effectExtent l="0" t="0" r="0" b="0"/>
            <wp:docPr id="160817896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8"/>
                    <a:srcRect/>
                    <a:stretch>
                      <a:fillRect/>
                    </a:stretch>
                  </pic:blipFill>
                  <pic:spPr>
                    <a:xfrm>
                      <a:off x="0" y="0"/>
                      <a:ext cx="3105583" cy="1314633"/>
                    </a:xfrm>
                    <a:prstGeom prst="rect">
                      <a:avLst/>
                    </a:prstGeom>
                    <a:ln/>
                  </pic:spPr>
                </pic:pic>
              </a:graphicData>
            </a:graphic>
          </wp:inline>
        </w:drawing>
      </w:r>
    </w:p>
    <w:p w:rsidR="002E4BFC" w:rsidRPr="007528AD" w:rsidRDefault="002E4BFC">
      <w:pPr>
        <w:spacing w:after="0" w:line="360" w:lineRule="auto"/>
        <w:rPr>
          <w:color w:val="000000"/>
        </w:rPr>
      </w:pPr>
    </w:p>
    <w:p w:rsidR="002E4BFC" w:rsidRPr="007528AD" w:rsidRDefault="002E4BFC">
      <w:pPr>
        <w:spacing w:after="0" w:line="360" w:lineRule="auto"/>
        <w:rPr>
          <w:color w:val="000000"/>
        </w:rPr>
      </w:pPr>
    </w:p>
    <w:p w:rsidR="002E4BFC" w:rsidRPr="007528AD" w:rsidRDefault="00BC3826">
      <w:pPr>
        <w:spacing w:after="0" w:line="360" w:lineRule="auto"/>
        <w:jc w:val="center"/>
        <w:rPr>
          <w:b/>
          <w:color w:val="000000"/>
        </w:rPr>
      </w:pPr>
      <w:r w:rsidRPr="007528AD">
        <w:rPr>
          <w:b/>
          <w:noProof/>
          <w:color w:val="000000"/>
        </w:rPr>
        <w:lastRenderedPageBreak/>
        <w:drawing>
          <wp:inline distT="0" distB="0" distL="0" distR="0">
            <wp:extent cx="3772433" cy="3856110"/>
            <wp:effectExtent l="0" t="0" r="0" b="0"/>
            <wp:docPr id="160817897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9"/>
                    <a:srcRect/>
                    <a:stretch>
                      <a:fillRect/>
                    </a:stretch>
                  </pic:blipFill>
                  <pic:spPr>
                    <a:xfrm>
                      <a:off x="0" y="0"/>
                      <a:ext cx="3772433" cy="3856110"/>
                    </a:xfrm>
                    <a:prstGeom prst="rect">
                      <a:avLst/>
                    </a:prstGeom>
                    <a:ln/>
                  </pic:spPr>
                </pic:pic>
              </a:graphicData>
            </a:graphic>
          </wp:inline>
        </w:drawing>
      </w:r>
    </w:p>
    <w:p w:rsidR="002E4BFC" w:rsidRPr="007528AD" w:rsidRDefault="002E4BFC">
      <w:pPr>
        <w:spacing w:after="0" w:line="360" w:lineRule="auto"/>
        <w:jc w:val="center"/>
        <w:rPr>
          <w:b/>
          <w:color w:val="000000"/>
        </w:rPr>
      </w:pPr>
    </w:p>
    <w:p w:rsidR="002E4BFC" w:rsidRPr="007528AD" w:rsidRDefault="00BC3826">
      <w:pPr>
        <w:spacing w:after="0" w:line="360" w:lineRule="auto"/>
        <w:jc w:val="center"/>
        <w:rPr>
          <w:b/>
          <w:color w:val="000000"/>
        </w:rPr>
      </w:pPr>
      <w:r w:rsidRPr="007528AD">
        <w:rPr>
          <w:b/>
          <w:noProof/>
          <w:color w:val="000000"/>
        </w:rPr>
        <w:drawing>
          <wp:inline distT="0" distB="0" distL="0" distR="0">
            <wp:extent cx="4592403" cy="1523927"/>
            <wp:effectExtent l="0" t="0" r="0" b="0"/>
            <wp:docPr id="160817896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0"/>
                    <a:srcRect b="54050"/>
                    <a:stretch>
                      <a:fillRect/>
                    </a:stretch>
                  </pic:blipFill>
                  <pic:spPr>
                    <a:xfrm>
                      <a:off x="0" y="0"/>
                      <a:ext cx="4592403" cy="1523927"/>
                    </a:xfrm>
                    <a:prstGeom prst="rect">
                      <a:avLst/>
                    </a:prstGeom>
                    <a:ln/>
                  </pic:spPr>
                </pic:pic>
              </a:graphicData>
            </a:graphic>
          </wp:inline>
        </w:drawing>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Conforme a lo anterior, se logra vislumbrar que, si bien señaló que los bienes eran adquiridos con recursos propios, lo cierto es que ha adquirido bienes con recursos públicos, tan es así, que los publica en el Portal de Información Pública de Oficio Mexiquense; por lo que, si bien el Gremio de manera correcta no </w:t>
      </w:r>
      <w:proofErr w:type="spellStart"/>
      <w:r w:rsidRPr="007528AD">
        <w:rPr>
          <w:color w:val="000000"/>
        </w:rPr>
        <w:t>esta</w:t>
      </w:r>
      <w:proofErr w:type="spellEnd"/>
      <w:r w:rsidRPr="007528AD">
        <w:rPr>
          <w:color w:val="000000"/>
        </w:rPr>
        <w:t xml:space="preserve"> obligado a proporcionar los bienes adquiridos con recursos </w:t>
      </w:r>
      <w:r w:rsidRPr="007528AD">
        <w:rPr>
          <w:color w:val="000000"/>
        </w:rPr>
        <w:lastRenderedPageBreak/>
        <w:t>propios, al no ser de escrutinio público, lo cierto es que estaba en posibilidades de proporcionar aquellos derivados de recursos públicos, como son los publicados.</w:t>
      </w:r>
    </w:p>
    <w:p w:rsidR="002E4BFC" w:rsidRPr="007528AD" w:rsidRDefault="002E4BFC">
      <w:pPr>
        <w:spacing w:after="0" w:line="360" w:lineRule="auto"/>
        <w:rPr>
          <w:color w:val="000000"/>
        </w:rPr>
      </w:pPr>
    </w:p>
    <w:p w:rsidR="002E4BFC" w:rsidRPr="007528AD" w:rsidRDefault="00BC3826">
      <w:pPr>
        <w:spacing w:after="0" w:line="360" w:lineRule="auto"/>
        <w:rPr>
          <w:b/>
          <w:color w:val="000000"/>
        </w:rPr>
      </w:pPr>
      <w:r w:rsidRPr="007528AD">
        <w:rPr>
          <w:color w:val="000000"/>
        </w:rPr>
        <w:t xml:space="preserve">Por tal circunstancia, se considera que parta atender el requerimiento de información, el Sujeto Obligado deberá realizar una búsqueda exhaustiva y razonable en los archivos de la Tesorería (pues conforme al artículo 23 de los Estatutos del Sindicato, se encarga de administrar los bienes), con el fin de que proporcione los bienes con los que contaba el Gremio, al dos de diciembre de dos mil veinticuatro, adquiridos con recursos públicos o donados por el Colegio de Estudios Científicos y Tecnológicos del Estado de México, con el fin de dar cumplimiento a los artículos 12, 160 y 162 de la Ley de Transparencia y Acceso a la Información Pública del Estado de México y Municipios. </w:t>
      </w:r>
      <w:r w:rsidRPr="007528AD">
        <w:rPr>
          <w:b/>
          <w:color w:val="000000"/>
        </w:rPr>
        <w:t>Cabe señalar que para el caso de que la información sea la publicada en el Portal de Información Pública de Oficio Mexiquense, podrá proporcionar la liga electrónica en formato abierto, así como el proceso para acceder a la misma, para atender el requerimiento.</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bookmarkStart w:id="17" w:name="_heading=h.44sinio" w:colFirst="0" w:colLast="0"/>
      <w:bookmarkEnd w:id="17"/>
      <w:r w:rsidRPr="007528AD">
        <w:rPr>
          <w:color w:val="000000"/>
        </w:rPr>
        <w:t>No pasa desapercibido para este Instituto que los documentos que den cuenta de lo solicitado, pudieran contener datos confidenciales; al respecto, conforme al artículo 3°, fracción XLV, relacionado con el 137, ambos de la Ley de Transparencia y Acceso a la Información Pública del Estado de México y Municipios, cuando un documento contenga información pública y reservada o confidencial, la Unidad de Transparencia para efectos de atender al requerimiento informativo, deberá elaborar una versión Pública en la que se testen las partes o secciones clasificadas, indicando su contenido de manera genérica y fundando y motivando su clasificación. Para tal situación, el Sujeto Obligado deberá seguir el procedimiento establecido en el artículo 168 de dicho ordenamiento jurídico.</w:t>
      </w:r>
    </w:p>
    <w:p w:rsidR="002E4BFC" w:rsidRPr="007528AD" w:rsidRDefault="002E4BFC">
      <w:pPr>
        <w:spacing w:after="0" w:line="360" w:lineRule="auto"/>
        <w:rPr>
          <w:color w:val="000000"/>
        </w:rPr>
      </w:pPr>
    </w:p>
    <w:p w:rsidR="002E4BFC" w:rsidRPr="007528AD" w:rsidRDefault="002E4BFC">
      <w:pPr>
        <w:spacing w:after="0" w:line="360" w:lineRule="auto"/>
        <w:rPr>
          <w:color w:val="000000"/>
        </w:rPr>
      </w:pP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color w:val="000000"/>
        </w:rPr>
        <w:t xml:space="preserve">Conforme a lo anterior, se considera que el agravio es </w:t>
      </w:r>
      <w:r w:rsidRPr="007528AD">
        <w:rPr>
          <w:b/>
          <w:color w:val="000000"/>
        </w:rPr>
        <w:t>PARCIALMENTE FUNDADO,</w:t>
      </w:r>
      <w:r w:rsidRPr="007528AD">
        <w:rPr>
          <w:color w:val="000000"/>
        </w:rPr>
        <w:t xml:space="preserve"> pues si bien entregó parte de la información solicitada y que otra no es de escrutinio público, lo cierto es que omitió proporcionar los bienes adquiridos con recursos públicos.</w:t>
      </w:r>
    </w:p>
    <w:p w:rsidR="002E4BFC" w:rsidRPr="007528AD" w:rsidRDefault="002E4BFC">
      <w:pPr>
        <w:spacing w:after="0" w:line="360" w:lineRule="auto"/>
        <w:rPr>
          <w:color w:val="000000"/>
        </w:rPr>
      </w:pPr>
    </w:p>
    <w:p w:rsidR="002E4BFC" w:rsidRPr="007528AD" w:rsidRDefault="00BC3826">
      <w:pPr>
        <w:pStyle w:val="Ttulo2"/>
        <w:spacing w:before="0" w:line="360" w:lineRule="auto"/>
        <w:rPr>
          <w:rFonts w:ascii="Palatino Linotype" w:eastAsia="Palatino Linotype" w:hAnsi="Palatino Linotype" w:cs="Palatino Linotype"/>
          <w:b/>
          <w:color w:val="000000"/>
          <w:sz w:val="22"/>
          <w:szCs w:val="22"/>
        </w:rPr>
      </w:pPr>
      <w:bookmarkStart w:id="18" w:name="_heading=h.2jxsxqh" w:colFirst="0" w:colLast="0"/>
      <w:bookmarkEnd w:id="18"/>
      <w:r w:rsidRPr="007528AD">
        <w:rPr>
          <w:rFonts w:ascii="Palatino Linotype" w:eastAsia="Palatino Linotype" w:hAnsi="Palatino Linotype" w:cs="Palatino Linotype"/>
          <w:b/>
          <w:color w:val="000000"/>
          <w:sz w:val="22"/>
          <w:szCs w:val="22"/>
        </w:rPr>
        <w:t>SEXTO. Decisión</w:t>
      </w:r>
    </w:p>
    <w:p w:rsidR="002E4BFC" w:rsidRPr="007528AD" w:rsidRDefault="002E4BFC">
      <w:pPr>
        <w:spacing w:after="0" w:line="360" w:lineRule="auto"/>
        <w:rPr>
          <w:b/>
          <w:color w:val="000000"/>
        </w:rPr>
      </w:pPr>
    </w:p>
    <w:p w:rsidR="002E4BFC" w:rsidRPr="007528AD" w:rsidRDefault="00BC3826">
      <w:pPr>
        <w:spacing w:after="0" w:line="360" w:lineRule="auto"/>
      </w:pPr>
      <w:r w:rsidRPr="007528AD">
        <w:t xml:space="preserve">Con fundamento en el artículo 186, fracción III, de la Ley de Transparencia y Acceso a la Información Pública del Estado de México y Municipios, este Instituto considera procedente </w:t>
      </w:r>
      <w:r w:rsidRPr="007528AD">
        <w:rPr>
          <w:b/>
        </w:rPr>
        <w:t xml:space="preserve">MODIFICAR </w:t>
      </w:r>
      <w:r w:rsidRPr="007528AD">
        <w:t>la respuesta otorgada, a efecto de que proporcione la información solicitada faltante.</w:t>
      </w:r>
    </w:p>
    <w:p w:rsidR="002E4BFC" w:rsidRPr="007528AD" w:rsidRDefault="002E4BFC">
      <w:pPr>
        <w:tabs>
          <w:tab w:val="left" w:pos="4962"/>
        </w:tabs>
        <w:spacing w:after="0" w:line="360" w:lineRule="auto"/>
        <w:rPr>
          <w:color w:val="000000"/>
          <w:sz w:val="20"/>
          <w:szCs w:val="20"/>
        </w:rPr>
      </w:pPr>
    </w:p>
    <w:p w:rsidR="002E4BFC" w:rsidRPr="007528AD" w:rsidRDefault="00BC3826">
      <w:pPr>
        <w:spacing w:after="0" w:line="360" w:lineRule="auto"/>
        <w:rPr>
          <w:b/>
          <w:color w:val="000000"/>
        </w:rPr>
      </w:pPr>
      <w:r w:rsidRPr="007528AD">
        <w:rPr>
          <w:b/>
          <w:color w:val="000000"/>
        </w:rPr>
        <w:t>Términos de la Resolución p</w:t>
      </w:r>
      <w:r w:rsidR="007528AD" w:rsidRPr="007528AD">
        <w:rPr>
          <w:b/>
          <w:color w:val="000000"/>
        </w:rPr>
        <w:t>ara conocimiento del Particular</w:t>
      </w:r>
    </w:p>
    <w:p w:rsidR="002E4BFC" w:rsidRPr="007528AD" w:rsidRDefault="002E4BFC">
      <w:pPr>
        <w:spacing w:after="0" w:line="360" w:lineRule="auto"/>
        <w:rPr>
          <w:b/>
          <w:color w:val="000000"/>
        </w:rPr>
      </w:pPr>
    </w:p>
    <w:p w:rsidR="002E4BFC" w:rsidRPr="007528AD" w:rsidRDefault="00BC3826">
      <w:pPr>
        <w:spacing w:after="0" w:line="360" w:lineRule="auto"/>
        <w:rPr>
          <w:color w:val="000000"/>
        </w:rPr>
      </w:pPr>
      <w:r w:rsidRPr="007528AD">
        <w:rPr>
          <w:color w:val="000000"/>
        </w:rPr>
        <w:t>Se le hace del conocimiento al Particular, que, en el presente caso, se le parcialmente la razón pues el Sujeto Obligado entregó parte de la información solicitada y otra no es de escrutinio público, no obstante, omitió entregar los bienes adquiridos con recursos públicos o que hayan sido donados por parte del Colegio, por lo que, deberá entregarle lo faltante.</w:t>
      </w:r>
    </w:p>
    <w:p w:rsidR="002E4BFC" w:rsidRPr="007528AD" w:rsidRDefault="002E4BFC">
      <w:pPr>
        <w:spacing w:after="0" w:line="360" w:lineRule="auto"/>
        <w:rPr>
          <w:color w:val="000000"/>
        </w:rPr>
      </w:pPr>
    </w:p>
    <w:p w:rsidR="002E4BFC" w:rsidRPr="007528AD" w:rsidRDefault="00BC3826">
      <w:pPr>
        <w:widowControl w:val="0"/>
        <w:spacing w:after="0" w:line="360" w:lineRule="auto"/>
        <w:rPr>
          <w:color w:val="000000"/>
        </w:rPr>
      </w:pPr>
      <w:r w:rsidRPr="007528AD">
        <w:rPr>
          <w:color w:val="000000"/>
        </w:rPr>
        <w:t>Finalmente, se le informa que la labor de este Instituto de Transparencia, Acceso a la Información Pública y Protección de Datos Personales del Estado de México y Municipios, es, por una parte, apoyar a la población para acceder a la información pública y, por otra parte, es garantizar la protección de los datos personales.</w:t>
      </w:r>
    </w:p>
    <w:p w:rsidR="002E4BFC" w:rsidRPr="007528AD" w:rsidRDefault="002E4BFC">
      <w:pPr>
        <w:widowControl w:val="0"/>
        <w:spacing w:after="0" w:line="360" w:lineRule="auto"/>
        <w:rPr>
          <w:color w:val="000000"/>
        </w:rPr>
      </w:pPr>
    </w:p>
    <w:p w:rsidR="002E4BFC" w:rsidRPr="007528AD" w:rsidRDefault="00BC3826">
      <w:pPr>
        <w:spacing w:after="0" w:line="360" w:lineRule="auto"/>
        <w:rPr>
          <w:color w:val="000000"/>
        </w:rPr>
      </w:pPr>
      <w:r w:rsidRPr="007528AD">
        <w:rPr>
          <w:color w:val="000000"/>
        </w:rPr>
        <w:t>Por lo expuesto y fundado, este Pleno:</w:t>
      </w:r>
    </w:p>
    <w:p w:rsidR="002E4BFC" w:rsidRPr="007528AD" w:rsidRDefault="002E4BFC">
      <w:pPr>
        <w:spacing w:after="0" w:line="360" w:lineRule="auto"/>
        <w:jc w:val="center"/>
        <w:rPr>
          <w:b/>
          <w:color w:val="000000"/>
        </w:rPr>
      </w:pPr>
    </w:p>
    <w:p w:rsidR="002E4BFC" w:rsidRPr="007528AD" w:rsidRDefault="002E4BFC">
      <w:pPr>
        <w:spacing w:after="0" w:line="360" w:lineRule="auto"/>
        <w:jc w:val="center"/>
        <w:rPr>
          <w:b/>
          <w:color w:val="000000"/>
        </w:rPr>
      </w:pPr>
    </w:p>
    <w:p w:rsidR="002E4BFC" w:rsidRPr="007528AD" w:rsidRDefault="002E4BFC">
      <w:pPr>
        <w:spacing w:after="0" w:line="360" w:lineRule="auto"/>
        <w:jc w:val="center"/>
        <w:rPr>
          <w:b/>
          <w:color w:val="000000"/>
        </w:rPr>
      </w:pPr>
    </w:p>
    <w:p w:rsidR="002E4BFC" w:rsidRPr="007528AD" w:rsidRDefault="00BC3826">
      <w:pPr>
        <w:pStyle w:val="Ttulo1"/>
        <w:spacing w:before="0" w:line="360" w:lineRule="auto"/>
        <w:jc w:val="center"/>
        <w:rPr>
          <w:rFonts w:ascii="Palatino Linotype" w:eastAsia="Palatino Linotype" w:hAnsi="Palatino Linotype" w:cs="Palatino Linotype"/>
          <w:b/>
          <w:color w:val="000000"/>
          <w:sz w:val="22"/>
          <w:szCs w:val="22"/>
        </w:rPr>
      </w:pPr>
      <w:bookmarkStart w:id="19" w:name="_heading=h.z337ya" w:colFirst="0" w:colLast="0"/>
      <w:bookmarkEnd w:id="19"/>
      <w:r w:rsidRPr="007528AD">
        <w:rPr>
          <w:rFonts w:ascii="Palatino Linotype" w:eastAsia="Palatino Linotype" w:hAnsi="Palatino Linotype" w:cs="Palatino Linotype"/>
          <w:b/>
          <w:color w:val="000000"/>
          <w:sz w:val="22"/>
          <w:szCs w:val="22"/>
        </w:rPr>
        <w:t>R E S U E L V E</w:t>
      </w:r>
    </w:p>
    <w:p w:rsidR="002E4BFC" w:rsidRPr="007528AD" w:rsidRDefault="002E4BFC">
      <w:pPr>
        <w:spacing w:after="0" w:line="360" w:lineRule="auto"/>
        <w:rPr>
          <w:color w:val="000000"/>
        </w:rPr>
      </w:pPr>
    </w:p>
    <w:p w:rsidR="002E4BFC" w:rsidRPr="007528AD" w:rsidRDefault="00BC3826">
      <w:pPr>
        <w:spacing w:after="0" w:line="360" w:lineRule="auto"/>
      </w:pPr>
      <w:r w:rsidRPr="007528AD">
        <w:rPr>
          <w:b/>
          <w:color w:val="000000"/>
        </w:rPr>
        <w:t xml:space="preserve">PRIMERO. </w:t>
      </w:r>
      <w:r w:rsidRPr="007528AD">
        <w:t xml:space="preserve">Se </w:t>
      </w:r>
      <w:r w:rsidRPr="007528AD">
        <w:rPr>
          <w:b/>
        </w:rPr>
        <w:t>MODIFICA</w:t>
      </w:r>
      <w:r w:rsidRPr="007528AD">
        <w:t xml:space="preserve"> la respuesta entregada por la Asociación de Personal Administrativo del </w:t>
      </w:r>
      <w:proofErr w:type="spellStart"/>
      <w:r w:rsidRPr="007528AD">
        <w:t>CECyTEM</w:t>
      </w:r>
      <w:proofErr w:type="spellEnd"/>
      <w:r w:rsidRPr="007528AD">
        <w:t xml:space="preserve">, a la solicitud de información </w:t>
      </w:r>
      <w:r w:rsidRPr="007528AD">
        <w:rPr>
          <w:color w:val="000000"/>
        </w:rPr>
        <w:t>00027/APACECYTEM/IP/2024</w:t>
      </w:r>
      <w:r w:rsidRPr="007528AD">
        <w:t xml:space="preserve">, por resultar </w:t>
      </w:r>
      <w:r w:rsidRPr="007528AD">
        <w:rPr>
          <w:b/>
        </w:rPr>
        <w:t>PARCIALMENTE</w:t>
      </w:r>
      <w:r w:rsidRPr="007528AD">
        <w:t xml:space="preserve"> </w:t>
      </w:r>
      <w:r w:rsidRPr="007528AD">
        <w:rPr>
          <w:b/>
        </w:rPr>
        <w:t>FUNDADAS</w:t>
      </w:r>
      <w:r w:rsidRPr="007528AD">
        <w:t xml:space="preserve"> las razones o motivos de inconformidad hechos valer por el Particular, en términos de los considerandos QUINTO y SEXTO de la presente Resolución.</w:t>
      </w:r>
    </w:p>
    <w:p w:rsidR="002E4BFC" w:rsidRPr="007528AD" w:rsidRDefault="002E4BFC">
      <w:pPr>
        <w:spacing w:after="0" w:line="360" w:lineRule="auto"/>
        <w:rPr>
          <w:b/>
          <w:color w:val="000000"/>
        </w:rPr>
      </w:pPr>
    </w:p>
    <w:p w:rsidR="002E4BFC" w:rsidRPr="007528AD" w:rsidRDefault="00BC3826">
      <w:pPr>
        <w:spacing w:after="0" w:line="360" w:lineRule="auto"/>
      </w:pPr>
      <w:r w:rsidRPr="007528AD">
        <w:rPr>
          <w:b/>
          <w:color w:val="000000"/>
        </w:rPr>
        <w:t xml:space="preserve">SEGUNDO. </w:t>
      </w:r>
      <w:r w:rsidRPr="007528AD">
        <w:rPr>
          <w:color w:val="000000"/>
        </w:rPr>
        <w:t xml:space="preserve">Se </w:t>
      </w:r>
      <w:r w:rsidRPr="007528AD">
        <w:rPr>
          <w:b/>
          <w:color w:val="000000"/>
        </w:rPr>
        <w:t xml:space="preserve">ORDENA </w:t>
      </w:r>
      <w:r w:rsidRPr="007528AD">
        <w:rPr>
          <w:color w:val="000000"/>
        </w:rPr>
        <w:t xml:space="preserve">al Ente Recurrido, a efecto de que previa búsqueda exhaustiva y razonable en las unidades administrativas competentes, entregue, a través del Sistema de Acceso a la Información Mexiquense (SAIMEX), en su caso, en versión pública, </w:t>
      </w:r>
      <w:r w:rsidRPr="007528AD">
        <w:t>lo siguiente:</w:t>
      </w:r>
    </w:p>
    <w:p w:rsidR="002E4BFC" w:rsidRPr="007528AD" w:rsidRDefault="002E4BFC">
      <w:pPr>
        <w:spacing w:after="0" w:line="360" w:lineRule="auto"/>
      </w:pPr>
    </w:p>
    <w:p w:rsidR="002E4BFC" w:rsidRPr="007528AD" w:rsidRDefault="00BC3826">
      <w:pPr>
        <w:numPr>
          <w:ilvl w:val="0"/>
          <w:numId w:val="1"/>
        </w:numPr>
        <w:spacing w:after="0" w:line="360" w:lineRule="auto"/>
        <w:rPr>
          <w:color w:val="000000"/>
        </w:rPr>
      </w:pPr>
      <w:r w:rsidRPr="007528AD">
        <w:rPr>
          <w:color w:val="000000"/>
        </w:rPr>
        <w:t>Los bienes con los que contaba, al dos de diciembre de dos mil veinticuatro, adquiridos con recursos públicos o donados por el Colegio de Estudios Científicos y Tecnológicos del Estado de México</w:t>
      </w:r>
    </w:p>
    <w:p w:rsidR="002E4BFC" w:rsidRPr="007528AD" w:rsidRDefault="002E4BFC">
      <w:pPr>
        <w:spacing w:after="0" w:line="360" w:lineRule="auto"/>
        <w:jc w:val="left"/>
        <w:rPr>
          <w:color w:val="000000"/>
        </w:rPr>
      </w:pPr>
    </w:p>
    <w:p w:rsidR="002E4BFC" w:rsidRPr="007528AD" w:rsidRDefault="00BC3826">
      <w:pPr>
        <w:spacing w:after="0" w:line="360" w:lineRule="auto"/>
        <w:rPr>
          <w:color w:val="000000"/>
        </w:rPr>
      </w:pPr>
      <w:r w:rsidRPr="007528AD">
        <w:rPr>
          <w:color w:val="000000"/>
        </w:rPr>
        <w:t>Además, de ser necesario, deberá proporcionar el Acuerdo de Clasificación donde el Comité de Transparencia, confirme la eliminación de los datos o información, en la versión pública, de conformidad con los artículos 49, fracciones II y VIII y 132, fracción II, de la Ley de Transparencia y Acceso a la Información Pública del Estado de México y Municipios.</w:t>
      </w:r>
    </w:p>
    <w:p w:rsidR="002E4BFC" w:rsidRPr="007528AD" w:rsidRDefault="002E4BFC">
      <w:pPr>
        <w:spacing w:after="0" w:line="360" w:lineRule="auto"/>
        <w:ind w:right="-28"/>
        <w:rPr>
          <w:color w:val="000000"/>
        </w:rPr>
      </w:pPr>
    </w:p>
    <w:p w:rsidR="002E4BFC" w:rsidRPr="007528AD" w:rsidRDefault="00BC3826">
      <w:pPr>
        <w:spacing w:after="0" w:line="360" w:lineRule="auto"/>
        <w:ind w:right="-28"/>
        <w:rPr>
          <w:b/>
          <w:color w:val="000000"/>
        </w:rPr>
      </w:pPr>
      <w:r w:rsidRPr="007528AD">
        <w:rPr>
          <w:b/>
          <w:color w:val="000000"/>
        </w:rPr>
        <w:t xml:space="preserve">TERCERO. NOTIFÍQUESE POR SAIMEX </w:t>
      </w:r>
      <w:r w:rsidRPr="007528AD">
        <w:rPr>
          <w:color w:val="000000"/>
        </w:rPr>
        <w:t xml:space="preserve">la presente resolución al Titular de la Unidad de Transparencia del Sujeto Obligado, para que conforme al artículo 186, último párrafo, 189, segundo párrafo, y 194 de la Ley de Transparencia y Acceso a la Información Pública del Estado </w:t>
      </w:r>
      <w:r w:rsidRPr="007528AD">
        <w:rPr>
          <w:color w:val="000000"/>
        </w:rPr>
        <w:lastRenderedPageBreak/>
        <w:t>de México y Municipios; dé cumplimiento a lo ordenado dentro del plazo de diez días hábiles, e informe a este Instituto en un plazo de tres días hábiles siguientes sobre el cumplimiento dado a la presente, se le apercibe que en caso de negarse a cumplir la presente resolución o hacerlo de manera parcial, se le impondrá una medida de apremio de conformidad con lo previsto en los artículos 198, 200, fracción III, 214, 215 y 216 de la Ley referida.</w:t>
      </w:r>
    </w:p>
    <w:p w:rsidR="002E4BFC" w:rsidRPr="007528AD" w:rsidRDefault="002E4BFC">
      <w:pPr>
        <w:spacing w:after="0" w:line="360" w:lineRule="auto"/>
        <w:ind w:right="-28"/>
        <w:rPr>
          <w:color w:val="000000"/>
        </w:rPr>
      </w:pPr>
    </w:p>
    <w:p w:rsidR="002E4BFC" w:rsidRPr="007528AD" w:rsidRDefault="00BC3826">
      <w:pPr>
        <w:spacing w:after="0" w:line="360" w:lineRule="auto"/>
        <w:rPr>
          <w:color w:val="000000"/>
        </w:rPr>
      </w:pPr>
      <w:r w:rsidRPr="007528AD">
        <w:rPr>
          <w:color w:val="000000"/>
        </w:rPr>
        <w:t>De conformidad con el artículo 198 de la Ley de la materia, de considerarlo procedente, el Sujeto Obligado de manera fundada y motivada, podrá solicitar una ampliación de plazo para el cumplimiento de la presente resolución.</w:t>
      </w:r>
    </w:p>
    <w:p w:rsidR="002E4BFC" w:rsidRPr="007528AD" w:rsidRDefault="002E4BFC">
      <w:pPr>
        <w:spacing w:after="0" w:line="360" w:lineRule="auto"/>
        <w:rPr>
          <w:color w:val="000000"/>
        </w:rPr>
      </w:pPr>
    </w:p>
    <w:p w:rsidR="002E4BFC" w:rsidRPr="007528AD" w:rsidRDefault="00BC3826">
      <w:pPr>
        <w:spacing w:after="0" w:line="360" w:lineRule="auto"/>
        <w:rPr>
          <w:color w:val="000000"/>
        </w:rPr>
      </w:pPr>
      <w:r w:rsidRPr="007528AD">
        <w:rPr>
          <w:b/>
          <w:color w:val="000000"/>
        </w:rPr>
        <w:t>CUARTO. NOTIFÍQUESE POR SAIMEX</w:t>
      </w:r>
      <w:r w:rsidRPr="007528AD">
        <w:rPr>
          <w:color w:val="000000"/>
        </w:rPr>
        <w:t xml:space="preserve"> al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rsidR="002E4BFC" w:rsidRPr="007528AD" w:rsidRDefault="002E4BFC">
      <w:pPr>
        <w:spacing w:after="0" w:line="360" w:lineRule="auto"/>
        <w:rPr>
          <w:b/>
          <w:color w:val="000000"/>
        </w:rPr>
      </w:pPr>
    </w:p>
    <w:p w:rsidR="002E4BFC" w:rsidRDefault="00BC3826">
      <w:pPr>
        <w:spacing w:after="0" w:line="360" w:lineRule="auto"/>
        <w:rPr>
          <w:b/>
          <w:color w:val="000000"/>
        </w:rPr>
      </w:pPr>
      <w:r w:rsidRPr="007528AD">
        <w:rPr>
          <w:color w:val="000000"/>
        </w:rPr>
        <w:t>ASÍ LO RESUELVE, POR </w:t>
      </w:r>
      <w:r w:rsidRPr="007528AD">
        <w:rPr>
          <w:b/>
          <w:color w:val="000000"/>
        </w:rPr>
        <w:t>UNANIMIDAD</w:t>
      </w:r>
      <w:r w:rsidRPr="007528AD">
        <w:rPr>
          <w:color w:val="000000"/>
        </w:rPr>
        <w:t>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TERCERA SESIÓN ORDINARIA, CELEBRADA EL VEINTINUEVE DE ENERO DE DOS MIL VEINTICINCO, ANTE EL SECRETARIO TÉCNICO DEL PLENO, ALEXIS TAPIA RAMÍREZ.</w:t>
      </w:r>
    </w:p>
    <w:p w:rsidR="002E4BFC" w:rsidRDefault="002E4BFC">
      <w:pPr>
        <w:spacing w:after="0" w:line="360" w:lineRule="auto"/>
        <w:rPr>
          <w:color w:val="000000"/>
        </w:rPr>
      </w:pPr>
    </w:p>
    <w:p w:rsidR="002E4BFC" w:rsidRDefault="002E4BFC">
      <w:pPr>
        <w:spacing w:after="0" w:line="360" w:lineRule="auto"/>
      </w:pPr>
    </w:p>
    <w:p w:rsidR="002E4BFC" w:rsidRDefault="002E4BFC">
      <w:pPr>
        <w:spacing w:after="0" w:line="360" w:lineRule="auto"/>
      </w:pPr>
    </w:p>
    <w:p w:rsidR="002E4BFC" w:rsidRDefault="002E4BFC">
      <w:pPr>
        <w:spacing w:after="0" w:line="360" w:lineRule="auto"/>
      </w:pPr>
    </w:p>
    <w:p w:rsidR="002E4BFC" w:rsidRDefault="002E4BFC">
      <w:pPr>
        <w:spacing w:after="0" w:line="360" w:lineRule="auto"/>
      </w:pPr>
    </w:p>
    <w:p w:rsidR="002E4BFC" w:rsidRDefault="002E4BFC">
      <w:pPr>
        <w:spacing w:after="0" w:line="360" w:lineRule="auto"/>
      </w:pPr>
    </w:p>
    <w:sectPr w:rsidR="002E4BFC">
      <w:headerReference w:type="even" r:id="rId21"/>
      <w:headerReference w:type="default" r:id="rId22"/>
      <w:footerReference w:type="even" r:id="rId23"/>
      <w:footerReference w:type="default" r:id="rId24"/>
      <w:headerReference w:type="first" r:id="rId25"/>
      <w:footerReference w:type="first" r:id="rId26"/>
      <w:pgSz w:w="12240" w:h="15840"/>
      <w:pgMar w:top="1418" w:right="1418" w:bottom="1134"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1C9A" w:rsidRDefault="00D81C9A">
      <w:pPr>
        <w:spacing w:after="0" w:line="240" w:lineRule="auto"/>
      </w:pPr>
      <w:r>
        <w:separator/>
      </w:r>
    </w:p>
  </w:endnote>
  <w:endnote w:type="continuationSeparator" w:id="0">
    <w:p w:rsidR="00D81C9A" w:rsidRDefault="00D81C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FC" w:rsidRDefault="00BC3826">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sidR="005C1E4B">
      <w:rPr>
        <w:b/>
        <w:color w:val="000000"/>
        <w:sz w:val="24"/>
        <w:szCs w:val="24"/>
      </w:rPr>
      <w:fldChar w:fldCharType="separate"/>
    </w:r>
    <w:r w:rsidR="005C1E4B">
      <w:rPr>
        <w:b/>
        <w:noProof/>
        <w:color w:val="000000"/>
        <w:sz w:val="24"/>
        <w:szCs w:val="24"/>
      </w:rPr>
      <w:t>42</w:t>
    </w:r>
    <w:r>
      <w:rPr>
        <w:b/>
        <w:color w:val="000000"/>
        <w:sz w:val="24"/>
        <w:szCs w:val="24"/>
      </w:rPr>
      <w:fldChar w:fldCharType="end"/>
    </w:r>
  </w:p>
  <w:p w:rsidR="002E4BFC" w:rsidRDefault="002E4BFC">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FC" w:rsidRDefault="00BC3826">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5C1E4B">
      <w:rPr>
        <w:b/>
        <w:noProof/>
        <w:color w:val="000000"/>
        <w:sz w:val="24"/>
        <w:szCs w:val="24"/>
      </w:rPr>
      <w:t>41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5C1E4B">
      <w:rPr>
        <w:b/>
        <w:noProof/>
        <w:color w:val="000000"/>
        <w:sz w:val="24"/>
        <w:szCs w:val="24"/>
      </w:rPr>
      <w:t>42</w:t>
    </w:r>
    <w:r>
      <w:rPr>
        <w:b/>
        <w:color w:val="000000"/>
        <w:sz w:val="24"/>
        <w:szCs w:val="24"/>
      </w:rPr>
      <w:fldChar w:fldCharType="end"/>
    </w:r>
  </w:p>
  <w:p w:rsidR="002E4BFC" w:rsidRDefault="002E4BFC">
    <w:pPr>
      <w:pBdr>
        <w:top w:val="nil"/>
        <w:left w:val="nil"/>
        <w:bottom w:val="nil"/>
        <w:right w:val="nil"/>
        <w:between w:val="nil"/>
      </w:pBdr>
      <w:tabs>
        <w:tab w:val="center" w:pos="4419"/>
        <w:tab w:val="right" w:pos="8838"/>
      </w:tabs>
      <w:spacing w:after="0" w:line="240" w:lineRule="auto"/>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FC" w:rsidRDefault="00BC3826">
    <w:pPr>
      <w:pBdr>
        <w:top w:val="nil"/>
        <w:left w:val="nil"/>
        <w:bottom w:val="nil"/>
        <w:right w:val="nil"/>
        <w:between w:val="nil"/>
      </w:pBdr>
      <w:tabs>
        <w:tab w:val="center" w:pos="4419"/>
        <w:tab w:val="right" w:pos="8838"/>
      </w:tabs>
      <w:spacing w:after="0" w:line="240" w:lineRule="auto"/>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5C1E4B">
      <w:rPr>
        <w:b/>
        <w:noProof/>
        <w:color w:val="000000"/>
        <w:sz w:val="24"/>
        <w:szCs w:val="24"/>
      </w:rPr>
      <w:t>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5C1E4B">
      <w:rPr>
        <w:b/>
        <w:noProof/>
        <w:color w:val="000000"/>
        <w:sz w:val="24"/>
        <w:szCs w:val="24"/>
      </w:rPr>
      <w:t>42</w:t>
    </w:r>
    <w:r>
      <w:rPr>
        <w:b/>
        <w:color w:val="000000"/>
        <w:sz w:val="24"/>
        <w:szCs w:val="24"/>
      </w:rPr>
      <w:fldChar w:fldCharType="end"/>
    </w:r>
  </w:p>
  <w:p w:rsidR="002E4BFC" w:rsidRDefault="00BC3826">
    <w:pPr>
      <w:pBdr>
        <w:top w:val="nil"/>
        <w:left w:val="nil"/>
        <w:bottom w:val="nil"/>
        <w:right w:val="nil"/>
        <w:between w:val="nil"/>
      </w:pBdr>
      <w:tabs>
        <w:tab w:val="center" w:pos="4419"/>
        <w:tab w:val="right" w:pos="8838"/>
        <w:tab w:val="left" w:pos="3945"/>
      </w:tabs>
      <w:spacing w:after="0" w:line="240" w:lineRule="auto"/>
      <w:rPr>
        <w:color w:val="000000"/>
      </w:rPr>
    </w:pPr>
    <w:r>
      <w:rPr>
        <w:color w:val="00000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1C9A" w:rsidRDefault="00D81C9A">
      <w:pPr>
        <w:spacing w:after="0" w:line="240" w:lineRule="auto"/>
      </w:pPr>
      <w:r>
        <w:separator/>
      </w:r>
    </w:p>
  </w:footnote>
  <w:footnote w:type="continuationSeparator" w:id="0">
    <w:p w:rsidR="00D81C9A" w:rsidRDefault="00D81C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FC" w:rsidRDefault="002E4BFC">
    <w:pPr>
      <w:widowControl w:val="0"/>
      <w:pBdr>
        <w:top w:val="nil"/>
        <w:left w:val="nil"/>
        <w:bottom w:val="nil"/>
        <w:right w:val="nil"/>
        <w:between w:val="nil"/>
      </w:pBdr>
      <w:spacing w:after="0" w:line="276" w:lineRule="auto"/>
      <w:jc w:val="left"/>
    </w:pPr>
  </w:p>
  <w:tbl>
    <w:tblPr>
      <w:tblStyle w:val="a0"/>
      <w:tblW w:w="9990" w:type="dxa"/>
      <w:tblInd w:w="0" w:type="dxa"/>
      <w:tblLayout w:type="fixed"/>
      <w:tblLook w:val="0400" w:firstRow="0" w:lastRow="0" w:firstColumn="0" w:lastColumn="0" w:noHBand="0" w:noVBand="1"/>
    </w:tblPr>
    <w:tblGrid>
      <w:gridCol w:w="3260"/>
      <w:gridCol w:w="6730"/>
    </w:tblGrid>
    <w:tr w:rsidR="002E4BFC">
      <w:trPr>
        <w:trHeight w:val="1435"/>
      </w:trPr>
      <w:tc>
        <w:tcPr>
          <w:tcW w:w="0" w:type="auto"/>
        </w:tcPr>
        <w:p w:rsidR="002E4BFC" w:rsidRDefault="002E4BFC">
          <w:pPr>
            <w:pBdr>
              <w:top w:val="nil"/>
              <w:left w:val="nil"/>
              <w:bottom w:val="nil"/>
              <w:right w:val="nil"/>
              <w:between w:val="nil"/>
            </w:pBdr>
            <w:tabs>
              <w:tab w:val="center" w:pos="4419"/>
              <w:tab w:val="right" w:pos="8838"/>
            </w:tabs>
            <w:spacing w:after="0" w:line="240" w:lineRule="auto"/>
            <w:rPr>
              <w:color w:val="000000"/>
            </w:rPr>
          </w:pPr>
        </w:p>
      </w:tc>
      <w:tc>
        <w:tcPr>
          <w:tcW w:w="0" w:type="auto"/>
        </w:tcPr>
        <w:p w:rsidR="002E4BFC" w:rsidRDefault="002E4BFC">
          <w:pPr>
            <w:widowControl w:val="0"/>
            <w:pBdr>
              <w:top w:val="nil"/>
              <w:left w:val="nil"/>
              <w:bottom w:val="nil"/>
              <w:right w:val="nil"/>
              <w:between w:val="nil"/>
            </w:pBdr>
            <w:spacing w:after="0" w:line="276" w:lineRule="auto"/>
            <w:jc w:val="left"/>
            <w:rPr>
              <w:color w:val="000000"/>
            </w:rPr>
          </w:pPr>
        </w:p>
        <w:tbl>
          <w:tblPr>
            <w:tblStyle w:val="a1"/>
            <w:tblW w:w="9220" w:type="dxa"/>
            <w:tblInd w:w="169" w:type="dxa"/>
            <w:tblBorders>
              <w:top w:val="nil"/>
              <w:left w:val="nil"/>
              <w:bottom w:val="nil"/>
              <w:right w:val="nil"/>
              <w:insideH w:val="nil"/>
              <w:insideV w:val="nil"/>
            </w:tblBorders>
            <w:tblLayout w:type="fixed"/>
            <w:tblLook w:val="0400" w:firstRow="0" w:lastRow="0" w:firstColumn="0" w:lastColumn="0" w:noHBand="0" w:noVBand="1"/>
          </w:tblPr>
          <w:tblGrid>
            <w:gridCol w:w="2559"/>
            <w:gridCol w:w="3259"/>
            <w:gridCol w:w="3402"/>
          </w:tblGrid>
          <w:tr w:rsidR="002E4BFC">
            <w:trPr>
              <w:trHeight w:val="144"/>
            </w:trPr>
            <w:tc>
              <w:tcPr>
                <w:tcW w:w="0" w:type="auto"/>
              </w:tcPr>
              <w:p w:rsidR="002E4BFC" w:rsidRDefault="00BC3826">
                <w:pPr>
                  <w:pBdr>
                    <w:top w:val="nil"/>
                    <w:left w:val="nil"/>
                    <w:bottom w:val="nil"/>
                    <w:right w:val="nil"/>
                    <w:between w:val="nil"/>
                  </w:pBdr>
                  <w:tabs>
                    <w:tab w:val="center" w:pos="4419"/>
                    <w:tab w:val="right" w:pos="8838"/>
                  </w:tabs>
                  <w:rPr>
                    <w:b/>
                    <w:color w:val="000000"/>
                  </w:rPr>
                </w:pPr>
                <w:r>
                  <w:rPr>
                    <w:b/>
                    <w:color w:val="000000"/>
                  </w:rPr>
                  <w:t>Recurso de Revisión:</w:t>
                </w:r>
              </w:p>
            </w:tc>
            <w:tc>
              <w:tcPr>
                <w:tcW w:w="0" w:type="auto"/>
              </w:tcPr>
              <w:p w:rsidR="002E4BFC" w:rsidRDefault="00BC3826">
                <w:pPr>
                  <w:pBdr>
                    <w:top w:val="nil"/>
                    <w:left w:val="nil"/>
                    <w:bottom w:val="nil"/>
                    <w:right w:val="nil"/>
                    <w:between w:val="nil"/>
                  </w:pBdr>
                  <w:tabs>
                    <w:tab w:val="center" w:pos="4419"/>
                    <w:tab w:val="right" w:pos="8838"/>
                  </w:tabs>
                  <w:rPr>
                    <w:color w:val="000000"/>
                  </w:rPr>
                </w:pPr>
                <w:r>
                  <w:rPr>
                    <w:color w:val="000000"/>
                  </w:rPr>
                  <w:t>01206/INFOEM/IP/RR/2022</w:t>
                </w:r>
              </w:p>
            </w:tc>
            <w:tc>
              <w:tcPr>
                <w:tcW w:w="0" w:type="auto"/>
              </w:tcPr>
              <w:p w:rsidR="002E4BFC" w:rsidRDefault="002E4BFC">
                <w:pPr>
                  <w:pBdr>
                    <w:top w:val="nil"/>
                    <w:left w:val="nil"/>
                    <w:bottom w:val="nil"/>
                    <w:right w:val="nil"/>
                    <w:between w:val="nil"/>
                  </w:pBdr>
                  <w:tabs>
                    <w:tab w:val="center" w:pos="4419"/>
                    <w:tab w:val="right" w:pos="8838"/>
                  </w:tabs>
                  <w:rPr>
                    <w:color w:val="000000"/>
                  </w:rPr>
                </w:pPr>
              </w:p>
            </w:tc>
          </w:tr>
          <w:tr w:rsidR="002E4BFC">
            <w:trPr>
              <w:trHeight w:val="283"/>
            </w:trPr>
            <w:tc>
              <w:tcPr>
                <w:tcW w:w="0" w:type="auto"/>
              </w:tcPr>
              <w:p w:rsidR="002E4BFC" w:rsidRDefault="00BC3826">
                <w:pPr>
                  <w:pBdr>
                    <w:top w:val="nil"/>
                    <w:left w:val="nil"/>
                    <w:bottom w:val="nil"/>
                    <w:right w:val="nil"/>
                    <w:between w:val="nil"/>
                  </w:pBdr>
                  <w:tabs>
                    <w:tab w:val="center" w:pos="4419"/>
                    <w:tab w:val="right" w:pos="8838"/>
                  </w:tabs>
                  <w:rPr>
                    <w:b/>
                    <w:color w:val="000000"/>
                  </w:rPr>
                </w:pPr>
                <w:r>
                  <w:rPr>
                    <w:b/>
                    <w:color w:val="000000"/>
                  </w:rPr>
                  <w:t>Sujeto Obligado:</w:t>
                </w:r>
              </w:p>
            </w:tc>
            <w:tc>
              <w:tcPr>
                <w:tcW w:w="0" w:type="auto"/>
              </w:tcPr>
              <w:p w:rsidR="002E4BFC" w:rsidRDefault="00BC3826">
                <w:pPr>
                  <w:pBdr>
                    <w:top w:val="nil"/>
                    <w:left w:val="nil"/>
                    <w:bottom w:val="nil"/>
                    <w:right w:val="nil"/>
                    <w:between w:val="nil"/>
                  </w:pBdr>
                  <w:tabs>
                    <w:tab w:val="center" w:pos="4419"/>
                    <w:tab w:val="right" w:pos="8838"/>
                  </w:tabs>
                  <w:rPr>
                    <w:color w:val="000000"/>
                  </w:rPr>
                </w:pPr>
                <w:r>
                  <w:rPr>
                    <w:color w:val="000000"/>
                  </w:rPr>
                  <w:t xml:space="preserve">Ayuntamiento de </w:t>
                </w:r>
                <w:proofErr w:type="spellStart"/>
                <w:r>
                  <w:rPr>
                    <w:color w:val="000000"/>
                  </w:rPr>
                  <w:t>Tezoyuca</w:t>
                </w:r>
                <w:proofErr w:type="spellEnd"/>
              </w:p>
            </w:tc>
            <w:tc>
              <w:tcPr>
                <w:tcW w:w="0" w:type="auto"/>
              </w:tcPr>
              <w:p w:rsidR="002E4BFC" w:rsidRDefault="002E4BFC">
                <w:pPr>
                  <w:pBdr>
                    <w:top w:val="nil"/>
                    <w:left w:val="nil"/>
                    <w:bottom w:val="nil"/>
                    <w:right w:val="nil"/>
                    <w:between w:val="nil"/>
                  </w:pBdr>
                  <w:tabs>
                    <w:tab w:val="center" w:pos="4419"/>
                    <w:tab w:val="right" w:pos="8838"/>
                  </w:tabs>
                  <w:rPr>
                    <w:color w:val="000000"/>
                  </w:rPr>
                </w:pPr>
              </w:p>
            </w:tc>
          </w:tr>
          <w:tr w:rsidR="002E4BFC">
            <w:trPr>
              <w:trHeight w:val="283"/>
            </w:trPr>
            <w:tc>
              <w:tcPr>
                <w:tcW w:w="0" w:type="auto"/>
              </w:tcPr>
              <w:p w:rsidR="002E4BFC" w:rsidRDefault="00BC3826">
                <w:pPr>
                  <w:pBdr>
                    <w:top w:val="nil"/>
                    <w:left w:val="nil"/>
                    <w:bottom w:val="nil"/>
                    <w:right w:val="nil"/>
                    <w:between w:val="nil"/>
                  </w:pBdr>
                  <w:tabs>
                    <w:tab w:val="center" w:pos="4419"/>
                    <w:tab w:val="right" w:pos="8838"/>
                  </w:tabs>
                  <w:rPr>
                    <w:b/>
                    <w:color w:val="000000"/>
                  </w:rPr>
                </w:pPr>
                <w:r>
                  <w:rPr>
                    <w:b/>
                    <w:color w:val="000000"/>
                  </w:rPr>
                  <w:t xml:space="preserve">Comisionado Ponente: </w:t>
                </w:r>
              </w:p>
            </w:tc>
            <w:tc>
              <w:tcPr>
                <w:tcW w:w="0" w:type="auto"/>
              </w:tcPr>
              <w:p w:rsidR="002E4BFC" w:rsidRDefault="00BC3826">
                <w:pPr>
                  <w:pBdr>
                    <w:top w:val="nil"/>
                    <w:left w:val="nil"/>
                    <w:bottom w:val="nil"/>
                    <w:right w:val="nil"/>
                    <w:between w:val="nil"/>
                  </w:pBdr>
                  <w:tabs>
                    <w:tab w:val="center" w:pos="4419"/>
                    <w:tab w:val="right" w:pos="8838"/>
                  </w:tabs>
                  <w:rPr>
                    <w:b/>
                    <w:color w:val="000000"/>
                  </w:rPr>
                </w:pPr>
                <w:r>
                  <w:rPr>
                    <w:color w:val="000000"/>
                  </w:rPr>
                  <w:t>Luis Gustavo Parra Noriega</w:t>
                </w:r>
              </w:p>
            </w:tc>
            <w:tc>
              <w:tcPr>
                <w:tcW w:w="0" w:type="auto"/>
              </w:tcPr>
              <w:p w:rsidR="002E4BFC" w:rsidRDefault="002E4BFC">
                <w:pPr>
                  <w:pBdr>
                    <w:top w:val="nil"/>
                    <w:left w:val="nil"/>
                    <w:bottom w:val="nil"/>
                    <w:right w:val="nil"/>
                    <w:between w:val="nil"/>
                  </w:pBdr>
                  <w:tabs>
                    <w:tab w:val="center" w:pos="4419"/>
                    <w:tab w:val="right" w:pos="8838"/>
                  </w:tabs>
                  <w:rPr>
                    <w:color w:val="000000"/>
                  </w:rPr>
                </w:pPr>
              </w:p>
            </w:tc>
          </w:tr>
        </w:tbl>
        <w:p w:rsidR="002E4BFC" w:rsidRDefault="002E4BFC">
          <w:pPr>
            <w:pBdr>
              <w:top w:val="nil"/>
              <w:left w:val="nil"/>
              <w:bottom w:val="nil"/>
              <w:right w:val="nil"/>
              <w:between w:val="nil"/>
            </w:pBdr>
            <w:tabs>
              <w:tab w:val="center" w:pos="4419"/>
              <w:tab w:val="right" w:pos="8838"/>
            </w:tabs>
            <w:spacing w:after="0" w:line="240" w:lineRule="auto"/>
            <w:rPr>
              <w:b/>
              <w:color w:val="000000"/>
            </w:rPr>
          </w:pPr>
        </w:p>
      </w:tc>
    </w:tr>
  </w:tbl>
  <w:p w:rsidR="002E4BFC" w:rsidRDefault="00D81C9A">
    <w:pPr>
      <w:pBdr>
        <w:top w:val="nil"/>
        <w:left w:val="nil"/>
        <w:bottom w:val="nil"/>
        <w:right w:val="nil"/>
        <w:between w:val="nil"/>
      </w:pBdr>
      <w:tabs>
        <w:tab w:val="center" w:pos="4419"/>
        <w:tab w:val="right" w:pos="8838"/>
      </w:tabs>
      <w:spacing w:after="0" w:line="240" w:lineRule="auto"/>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alt="" style="position:absolute;left:0;text-align:left;margin-left:0;margin-top:0;width:663.5pt;height:12in;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FC" w:rsidRDefault="002E4BFC">
    <w:pPr>
      <w:widowControl w:val="0"/>
      <w:pBdr>
        <w:top w:val="nil"/>
        <w:left w:val="nil"/>
        <w:bottom w:val="nil"/>
        <w:right w:val="nil"/>
        <w:between w:val="nil"/>
      </w:pBdr>
      <w:spacing w:after="0" w:line="276" w:lineRule="auto"/>
      <w:jc w:val="left"/>
      <w:rPr>
        <w:color w:val="000000"/>
      </w:rPr>
    </w:pPr>
  </w:p>
  <w:tbl>
    <w:tblPr>
      <w:tblStyle w:val="a2"/>
      <w:tblW w:w="9707" w:type="dxa"/>
      <w:tblInd w:w="0" w:type="dxa"/>
      <w:tblLayout w:type="fixed"/>
      <w:tblLook w:val="0400" w:firstRow="0" w:lastRow="0" w:firstColumn="0" w:lastColumn="0" w:noHBand="0" w:noVBand="1"/>
    </w:tblPr>
    <w:tblGrid>
      <w:gridCol w:w="2977"/>
      <w:gridCol w:w="6730"/>
    </w:tblGrid>
    <w:tr w:rsidR="002E4BFC">
      <w:trPr>
        <w:trHeight w:val="1435"/>
      </w:trPr>
      <w:tc>
        <w:tcPr>
          <w:tcW w:w="2977" w:type="dxa"/>
        </w:tcPr>
        <w:p w:rsidR="002E4BFC" w:rsidRDefault="002E4BFC">
          <w:pPr>
            <w:tabs>
              <w:tab w:val="right" w:pos="4273"/>
            </w:tabs>
            <w:spacing w:line="256" w:lineRule="auto"/>
            <w:rPr>
              <w:rFonts w:ascii="Garamond" w:eastAsia="Garamond" w:hAnsi="Garamond" w:cs="Garamond"/>
              <w:color w:val="000000"/>
            </w:rPr>
          </w:pPr>
        </w:p>
      </w:tc>
      <w:tc>
        <w:tcPr>
          <w:tcW w:w="6730" w:type="dxa"/>
        </w:tcPr>
        <w:p w:rsidR="002E4BFC" w:rsidRDefault="002E4BFC"/>
        <w:tbl>
          <w:tblPr>
            <w:tblStyle w:val="a3"/>
            <w:tblW w:w="9220"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2559"/>
            <w:gridCol w:w="3259"/>
            <w:gridCol w:w="3402"/>
          </w:tblGrid>
          <w:tr w:rsidR="002E4BFC">
            <w:trPr>
              <w:trHeight w:val="144"/>
            </w:trPr>
            <w:tc>
              <w:tcPr>
                <w:tcW w:w="2559" w:type="dxa"/>
              </w:tcPr>
              <w:p w:rsidR="002E4BFC" w:rsidRDefault="00BC3826">
                <w:pPr>
                  <w:tabs>
                    <w:tab w:val="right" w:pos="8838"/>
                  </w:tabs>
                  <w:ind w:left="-74" w:right="-105"/>
                  <w:rPr>
                    <w:b/>
                  </w:rPr>
                </w:pPr>
                <w:bookmarkStart w:id="20" w:name="_heading=h.3j2qqm3" w:colFirst="0" w:colLast="0"/>
                <w:bookmarkEnd w:id="20"/>
                <w:r>
                  <w:rPr>
                    <w:b/>
                  </w:rPr>
                  <w:t>Recurso de Revisión:</w:t>
                </w:r>
              </w:p>
            </w:tc>
            <w:tc>
              <w:tcPr>
                <w:tcW w:w="3259" w:type="dxa"/>
              </w:tcPr>
              <w:p w:rsidR="002E4BFC" w:rsidRDefault="00BC3826">
                <w:pPr>
                  <w:tabs>
                    <w:tab w:val="right" w:pos="8838"/>
                  </w:tabs>
                  <w:ind w:left="-74" w:right="-105"/>
                </w:pPr>
                <w:r>
                  <w:t>00061/INFOEM/IP/RR/2025</w:t>
                </w:r>
              </w:p>
            </w:tc>
            <w:tc>
              <w:tcPr>
                <w:tcW w:w="3402" w:type="dxa"/>
              </w:tcPr>
              <w:p w:rsidR="002E4BFC" w:rsidRDefault="002E4BFC">
                <w:pPr>
                  <w:tabs>
                    <w:tab w:val="right" w:pos="8838"/>
                  </w:tabs>
                  <w:ind w:left="-74" w:right="-105"/>
                </w:pPr>
              </w:p>
            </w:tc>
          </w:tr>
          <w:tr w:rsidR="002E4BFC">
            <w:trPr>
              <w:trHeight w:val="283"/>
            </w:trPr>
            <w:tc>
              <w:tcPr>
                <w:tcW w:w="2559" w:type="dxa"/>
              </w:tcPr>
              <w:p w:rsidR="002E4BFC" w:rsidRDefault="00BC3826">
                <w:pPr>
                  <w:tabs>
                    <w:tab w:val="right" w:pos="8838"/>
                  </w:tabs>
                  <w:ind w:left="-74" w:right="-105"/>
                  <w:rPr>
                    <w:b/>
                  </w:rPr>
                </w:pPr>
                <w:r>
                  <w:rPr>
                    <w:b/>
                  </w:rPr>
                  <w:t>Sujeto Obligado:</w:t>
                </w:r>
              </w:p>
            </w:tc>
            <w:tc>
              <w:tcPr>
                <w:tcW w:w="3259" w:type="dxa"/>
              </w:tcPr>
              <w:p w:rsidR="002E4BFC" w:rsidRDefault="00BC3826">
                <w:pPr>
                  <w:tabs>
                    <w:tab w:val="left" w:pos="2834"/>
                    <w:tab w:val="right" w:pos="8838"/>
                  </w:tabs>
                  <w:ind w:left="-74" w:right="-105"/>
                </w:pPr>
                <w:r>
                  <w:t xml:space="preserve">Asociación de Personal Administrativo del </w:t>
                </w:r>
                <w:proofErr w:type="spellStart"/>
                <w:r>
                  <w:t>CECyTEM</w:t>
                </w:r>
                <w:proofErr w:type="spellEnd"/>
              </w:p>
            </w:tc>
            <w:tc>
              <w:tcPr>
                <w:tcW w:w="3402" w:type="dxa"/>
              </w:tcPr>
              <w:p w:rsidR="002E4BFC" w:rsidRDefault="002E4BFC">
                <w:pPr>
                  <w:tabs>
                    <w:tab w:val="left" w:pos="2834"/>
                    <w:tab w:val="right" w:pos="8838"/>
                  </w:tabs>
                  <w:ind w:left="-74" w:right="-105"/>
                </w:pPr>
              </w:p>
            </w:tc>
          </w:tr>
          <w:tr w:rsidR="002E4BFC">
            <w:trPr>
              <w:trHeight w:val="283"/>
            </w:trPr>
            <w:tc>
              <w:tcPr>
                <w:tcW w:w="2559" w:type="dxa"/>
              </w:tcPr>
              <w:p w:rsidR="002E4BFC" w:rsidRDefault="00BC3826">
                <w:pPr>
                  <w:tabs>
                    <w:tab w:val="right" w:pos="8838"/>
                  </w:tabs>
                  <w:ind w:left="-74" w:right="-105"/>
                  <w:rPr>
                    <w:b/>
                  </w:rPr>
                </w:pPr>
                <w:r>
                  <w:rPr>
                    <w:b/>
                  </w:rPr>
                  <w:t xml:space="preserve">Comisionado Ponente: </w:t>
                </w:r>
              </w:p>
            </w:tc>
            <w:tc>
              <w:tcPr>
                <w:tcW w:w="3259" w:type="dxa"/>
              </w:tcPr>
              <w:p w:rsidR="002E4BFC" w:rsidRDefault="00BC3826">
                <w:pPr>
                  <w:tabs>
                    <w:tab w:val="right" w:pos="8838"/>
                  </w:tabs>
                  <w:ind w:left="-74" w:right="-105"/>
                  <w:rPr>
                    <w:b/>
                  </w:rPr>
                </w:pPr>
                <w:r>
                  <w:t>Luis Gustavo Parra Noriega</w:t>
                </w:r>
              </w:p>
            </w:tc>
            <w:tc>
              <w:tcPr>
                <w:tcW w:w="3402" w:type="dxa"/>
              </w:tcPr>
              <w:p w:rsidR="002E4BFC" w:rsidRDefault="002E4BFC">
                <w:pPr>
                  <w:tabs>
                    <w:tab w:val="right" w:pos="8838"/>
                  </w:tabs>
                  <w:ind w:left="-74" w:right="-105"/>
                </w:pPr>
              </w:p>
            </w:tc>
          </w:tr>
        </w:tbl>
        <w:p w:rsidR="002E4BFC" w:rsidRDefault="002E4BFC">
          <w:pPr>
            <w:tabs>
              <w:tab w:val="right" w:pos="8838"/>
            </w:tabs>
            <w:spacing w:line="256" w:lineRule="auto"/>
            <w:ind w:left="-28"/>
            <w:rPr>
              <w:rFonts w:ascii="Arial" w:eastAsia="Arial" w:hAnsi="Arial" w:cs="Arial"/>
              <w:b/>
            </w:rPr>
          </w:pPr>
        </w:p>
      </w:tc>
    </w:tr>
  </w:tbl>
  <w:p w:rsidR="002E4BFC" w:rsidRDefault="00D81C9A">
    <w:pPr>
      <w:pBdr>
        <w:top w:val="nil"/>
        <w:left w:val="nil"/>
        <w:bottom w:val="nil"/>
        <w:right w:val="nil"/>
        <w:between w:val="nil"/>
      </w:pBdr>
      <w:tabs>
        <w:tab w:val="center" w:pos="4419"/>
        <w:tab w:val="right" w:pos="8838"/>
      </w:tabs>
      <w:spacing w:after="0" w:line="240" w:lineRule="auto"/>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alt="" style="position:absolute;left:0;text-align:left;margin-left:-64.85pt;margin-top:-125.85pt;width:663.5pt;height:12in;z-index:-251659776;mso-position-horizontal:absolute;mso-position-horizontal-relative:margin;mso-position-vertical:absolute;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BFC" w:rsidRDefault="002E4BFC">
    <w:pPr>
      <w:widowControl w:val="0"/>
      <w:pBdr>
        <w:top w:val="nil"/>
        <w:left w:val="nil"/>
        <w:bottom w:val="nil"/>
        <w:right w:val="nil"/>
        <w:between w:val="nil"/>
      </w:pBdr>
      <w:spacing w:after="0" w:line="276" w:lineRule="auto"/>
      <w:jc w:val="left"/>
      <w:rPr>
        <w:color w:val="000000"/>
      </w:rPr>
    </w:pPr>
  </w:p>
  <w:tbl>
    <w:tblPr>
      <w:tblStyle w:val="a4"/>
      <w:tblW w:w="11446" w:type="dxa"/>
      <w:tblInd w:w="-893" w:type="dxa"/>
      <w:tblLayout w:type="fixed"/>
      <w:tblLook w:val="0400" w:firstRow="0" w:lastRow="0" w:firstColumn="0" w:lastColumn="0" w:noHBand="0" w:noVBand="1"/>
    </w:tblPr>
    <w:tblGrid>
      <w:gridCol w:w="2525"/>
      <w:gridCol w:w="8921"/>
    </w:tblGrid>
    <w:tr w:rsidR="002E4BFC">
      <w:trPr>
        <w:trHeight w:val="1484"/>
      </w:trPr>
      <w:tc>
        <w:tcPr>
          <w:tcW w:w="2525" w:type="dxa"/>
        </w:tcPr>
        <w:p w:rsidR="002E4BFC" w:rsidRDefault="002E4BFC">
          <w:pPr>
            <w:pBdr>
              <w:top w:val="nil"/>
              <w:left w:val="nil"/>
              <w:bottom w:val="nil"/>
              <w:right w:val="nil"/>
              <w:between w:val="nil"/>
            </w:pBdr>
            <w:tabs>
              <w:tab w:val="center" w:pos="4419"/>
              <w:tab w:val="right" w:pos="8838"/>
            </w:tabs>
            <w:spacing w:after="0" w:line="240" w:lineRule="auto"/>
            <w:rPr>
              <w:color w:val="000000"/>
            </w:rPr>
          </w:pPr>
        </w:p>
      </w:tc>
      <w:tc>
        <w:tcPr>
          <w:tcW w:w="8921" w:type="dxa"/>
        </w:tcPr>
        <w:p w:rsidR="002E4BFC" w:rsidRDefault="002E4BFC">
          <w:pPr>
            <w:widowControl w:val="0"/>
            <w:pBdr>
              <w:top w:val="nil"/>
              <w:left w:val="nil"/>
              <w:bottom w:val="nil"/>
              <w:right w:val="nil"/>
              <w:between w:val="nil"/>
            </w:pBdr>
            <w:spacing w:after="0" w:line="276" w:lineRule="auto"/>
            <w:jc w:val="left"/>
            <w:rPr>
              <w:color w:val="000000"/>
            </w:rPr>
          </w:pPr>
        </w:p>
        <w:tbl>
          <w:tblPr>
            <w:tblStyle w:val="a5"/>
            <w:tblW w:w="14882" w:type="dxa"/>
            <w:tblInd w:w="1379" w:type="dxa"/>
            <w:tblBorders>
              <w:top w:val="nil"/>
              <w:left w:val="nil"/>
              <w:bottom w:val="nil"/>
              <w:right w:val="nil"/>
              <w:insideH w:val="nil"/>
              <w:insideV w:val="nil"/>
            </w:tblBorders>
            <w:tblLayout w:type="fixed"/>
            <w:tblLook w:val="0400" w:firstRow="0" w:lastRow="0" w:firstColumn="0" w:lastColumn="0" w:noHBand="0" w:noVBand="1"/>
          </w:tblPr>
          <w:tblGrid>
            <w:gridCol w:w="2636"/>
            <w:gridCol w:w="4168"/>
            <w:gridCol w:w="4039"/>
            <w:gridCol w:w="4039"/>
          </w:tblGrid>
          <w:tr w:rsidR="002E4BFC">
            <w:trPr>
              <w:trHeight w:val="147"/>
            </w:trPr>
            <w:tc>
              <w:tcPr>
                <w:tcW w:w="2636" w:type="dxa"/>
              </w:tcPr>
              <w:p w:rsidR="002E4BFC" w:rsidRDefault="00BC3826">
                <w:pPr>
                  <w:pBdr>
                    <w:top w:val="nil"/>
                    <w:left w:val="nil"/>
                    <w:bottom w:val="nil"/>
                    <w:right w:val="nil"/>
                    <w:between w:val="nil"/>
                  </w:pBdr>
                  <w:tabs>
                    <w:tab w:val="center" w:pos="4419"/>
                    <w:tab w:val="right" w:pos="8838"/>
                  </w:tabs>
                  <w:ind w:left="65" w:hanging="119"/>
                  <w:rPr>
                    <w:b/>
                    <w:color w:val="000000"/>
                  </w:rPr>
                </w:pPr>
                <w:r>
                  <w:rPr>
                    <w:b/>
                    <w:color w:val="000000"/>
                  </w:rPr>
                  <w:t>Recurso de Revisión:</w:t>
                </w:r>
              </w:p>
            </w:tc>
            <w:tc>
              <w:tcPr>
                <w:tcW w:w="4168" w:type="dxa"/>
              </w:tcPr>
              <w:p w:rsidR="002E4BFC" w:rsidRDefault="00BC3826">
                <w:pPr>
                  <w:pBdr>
                    <w:top w:val="nil"/>
                    <w:left w:val="nil"/>
                    <w:bottom w:val="nil"/>
                    <w:right w:val="nil"/>
                    <w:between w:val="nil"/>
                  </w:pBdr>
                  <w:tabs>
                    <w:tab w:val="center" w:pos="4419"/>
                    <w:tab w:val="right" w:pos="8838"/>
                  </w:tabs>
                  <w:ind w:left="-19"/>
                  <w:rPr>
                    <w:color w:val="000000"/>
                  </w:rPr>
                </w:pPr>
                <w:r>
                  <w:rPr>
                    <w:color w:val="000000"/>
                  </w:rPr>
                  <w:t>00061/INFOEM/IP/RR/2025</w:t>
                </w:r>
              </w:p>
            </w:tc>
            <w:tc>
              <w:tcPr>
                <w:tcW w:w="4039" w:type="dxa"/>
              </w:tcPr>
              <w:p w:rsidR="002E4BFC" w:rsidRDefault="002E4BFC">
                <w:pPr>
                  <w:pBdr>
                    <w:top w:val="nil"/>
                    <w:left w:val="nil"/>
                    <w:bottom w:val="nil"/>
                    <w:right w:val="nil"/>
                    <w:between w:val="nil"/>
                  </w:pBdr>
                  <w:tabs>
                    <w:tab w:val="center" w:pos="4419"/>
                    <w:tab w:val="right" w:pos="8838"/>
                  </w:tabs>
                  <w:ind w:right="2358"/>
                  <w:rPr>
                    <w:color w:val="000000"/>
                  </w:rPr>
                </w:pPr>
              </w:p>
            </w:tc>
            <w:tc>
              <w:tcPr>
                <w:tcW w:w="4039" w:type="dxa"/>
              </w:tcPr>
              <w:p w:rsidR="002E4BFC" w:rsidRDefault="002E4BFC">
                <w:pPr>
                  <w:pBdr>
                    <w:top w:val="nil"/>
                    <w:left w:val="nil"/>
                    <w:bottom w:val="nil"/>
                    <w:right w:val="nil"/>
                    <w:between w:val="nil"/>
                  </w:pBdr>
                  <w:tabs>
                    <w:tab w:val="center" w:pos="4419"/>
                    <w:tab w:val="right" w:pos="8838"/>
                  </w:tabs>
                  <w:rPr>
                    <w:color w:val="000000"/>
                  </w:rPr>
                </w:pPr>
              </w:p>
            </w:tc>
          </w:tr>
          <w:tr w:rsidR="002E4BFC">
            <w:trPr>
              <w:trHeight w:val="147"/>
            </w:trPr>
            <w:tc>
              <w:tcPr>
                <w:tcW w:w="2636" w:type="dxa"/>
              </w:tcPr>
              <w:p w:rsidR="002E4BFC" w:rsidRDefault="00BC3826">
                <w:pPr>
                  <w:pBdr>
                    <w:top w:val="nil"/>
                    <w:left w:val="nil"/>
                    <w:bottom w:val="nil"/>
                    <w:right w:val="nil"/>
                    <w:between w:val="nil"/>
                  </w:pBdr>
                  <w:tabs>
                    <w:tab w:val="center" w:pos="4419"/>
                    <w:tab w:val="right" w:pos="8838"/>
                  </w:tabs>
                  <w:ind w:left="65" w:hanging="119"/>
                  <w:rPr>
                    <w:b/>
                    <w:color w:val="000000"/>
                  </w:rPr>
                </w:pPr>
                <w:r>
                  <w:rPr>
                    <w:b/>
                    <w:color w:val="000000"/>
                  </w:rPr>
                  <w:t>Recurrente:</w:t>
                </w:r>
              </w:p>
            </w:tc>
            <w:tc>
              <w:tcPr>
                <w:tcW w:w="4168" w:type="dxa"/>
              </w:tcPr>
              <w:p w:rsidR="002E4BFC" w:rsidRDefault="002E4BFC">
                <w:pPr>
                  <w:pBdr>
                    <w:top w:val="nil"/>
                    <w:left w:val="nil"/>
                    <w:bottom w:val="nil"/>
                    <w:right w:val="nil"/>
                    <w:between w:val="nil"/>
                  </w:pBdr>
                  <w:tabs>
                    <w:tab w:val="center" w:pos="4419"/>
                    <w:tab w:val="right" w:pos="8838"/>
                  </w:tabs>
                  <w:ind w:left="-19"/>
                  <w:rPr>
                    <w:color w:val="000000"/>
                  </w:rPr>
                </w:pPr>
              </w:p>
            </w:tc>
            <w:tc>
              <w:tcPr>
                <w:tcW w:w="4039" w:type="dxa"/>
              </w:tcPr>
              <w:p w:rsidR="002E4BFC" w:rsidRDefault="002E4BFC">
                <w:pPr>
                  <w:pBdr>
                    <w:top w:val="nil"/>
                    <w:left w:val="nil"/>
                    <w:bottom w:val="nil"/>
                    <w:right w:val="nil"/>
                    <w:between w:val="nil"/>
                  </w:pBdr>
                  <w:tabs>
                    <w:tab w:val="center" w:pos="4419"/>
                    <w:tab w:val="right" w:pos="8838"/>
                  </w:tabs>
                  <w:rPr>
                    <w:color w:val="000000"/>
                  </w:rPr>
                </w:pPr>
              </w:p>
            </w:tc>
            <w:tc>
              <w:tcPr>
                <w:tcW w:w="4039" w:type="dxa"/>
              </w:tcPr>
              <w:p w:rsidR="002E4BFC" w:rsidRDefault="002E4BFC">
                <w:pPr>
                  <w:pBdr>
                    <w:top w:val="nil"/>
                    <w:left w:val="nil"/>
                    <w:bottom w:val="nil"/>
                    <w:right w:val="nil"/>
                    <w:between w:val="nil"/>
                  </w:pBdr>
                  <w:tabs>
                    <w:tab w:val="center" w:pos="4419"/>
                    <w:tab w:val="right" w:pos="8838"/>
                  </w:tabs>
                  <w:rPr>
                    <w:color w:val="000000"/>
                  </w:rPr>
                </w:pPr>
              </w:p>
            </w:tc>
          </w:tr>
          <w:tr w:rsidR="002E4BFC">
            <w:trPr>
              <w:trHeight w:val="292"/>
            </w:trPr>
            <w:tc>
              <w:tcPr>
                <w:tcW w:w="2636" w:type="dxa"/>
              </w:tcPr>
              <w:p w:rsidR="002E4BFC" w:rsidRDefault="00BC3826">
                <w:pPr>
                  <w:pBdr>
                    <w:top w:val="nil"/>
                    <w:left w:val="nil"/>
                    <w:bottom w:val="nil"/>
                    <w:right w:val="nil"/>
                    <w:between w:val="nil"/>
                  </w:pBdr>
                  <w:tabs>
                    <w:tab w:val="center" w:pos="4419"/>
                    <w:tab w:val="right" w:pos="8838"/>
                  </w:tabs>
                  <w:ind w:left="65" w:hanging="119"/>
                  <w:rPr>
                    <w:b/>
                    <w:color w:val="000000"/>
                  </w:rPr>
                </w:pPr>
                <w:r>
                  <w:rPr>
                    <w:b/>
                    <w:color w:val="000000"/>
                  </w:rPr>
                  <w:t>Sujeto Obligado:</w:t>
                </w:r>
              </w:p>
            </w:tc>
            <w:tc>
              <w:tcPr>
                <w:tcW w:w="4168" w:type="dxa"/>
              </w:tcPr>
              <w:p w:rsidR="002E4BFC" w:rsidRDefault="00BC3826">
                <w:pPr>
                  <w:pBdr>
                    <w:top w:val="nil"/>
                    <w:left w:val="nil"/>
                    <w:bottom w:val="nil"/>
                    <w:right w:val="nil"/>
                    <w:between w:val="nil"/>
                  </w:pBdr>
                  <w:tabs>
                    <w:tab w:val="center" w:pos="4419"/>
                    <w:tab w:val="right" w:pos="8838"/>
                  </w:tabs>
                  <w:ind w:left="-19" w:right="872"/>
                  <w:rPr>
                    <w:color w:val="000000"/>
                  </w:rPr>
                </w:pPr>
                <w:r>
                  <w:rPr>
                    <w:color w:val="000000"/>
                  </w:rPr>
                  <w:t xml:space="preserve">Asociación de Personal Administrativo del </w:t>
                </w:r>
                <w:proofErr w:type="spellStart"/>
                <w:r>
                  <w:rPr>
                    <w:color w:val="000000"/>
                  </w:rPr>
                  <w:t>CECyTEM</w:t>
                </w:r>
                <w:proofErr w:type="spellEnd"/>
              </w:p>
            </w:tc>
            <w:tc>
              <w:tcPr>
                <w:tcW w:w="4039" w:type="dxa"/>
              </w:tcPr>
              <w:p w:rsidR="002E4BFC" w:rsidRDefault="002E4BFC">
                <w:pPr>
                  <w:pBdr>
                    <w:top w:val="nil"/>
                    <w:left w:val="nil"/>
                    <w:bottom w:val="nil"/>
                    <w:right w:val="nil"/>
                    <w:between w:val="nil"/>
                  </w:pBdr>
                  <w:tabs>
                    <w:tab w:val="center" w:pos="4419"/>
                    <w:tab w:val="right" w:pos="8838"/>
                  </w:tabs>
                  <w:rPr>
                    <w:color w:val="000000"/>
                  </w:rPr>
                </w:pPr>
              </w:p>
            </w:tc>
            <w:tc>
              <w:tcPr>
                <w:tcW w:w="4039" w:type="dxa"/>
              </w:tcPr>
              <w:p w:rsidR="002E4BFC" w:rsidRDefault="002E4BFC">
                <w:pPr>
                  <w:pBdr>
                    <w:top w:val="nil"/>
                    <w:left w:val="nil"/>
                    <w:bottom w:val="nil"/>
                    <w:right w:val="nil"/>
                    <w:between w:val="nil"/>
                  </w:pBdr>
                  <w:tabs>
                    <w:tab w:val="center" w:pos="4419"/>
                    <w:tab w:val="right" w:pos="8838"/>
                  </w:tabs>
                  <w:rPr>
                    <w:color w:val="000000"/>
                  </w:rPr>
                </w:pPr>
              </w:p>
            </w:tc>
          </w:tr>
          <w:tr w:rsidR="002E4BFC">
            <w:trPr>
              <w:trHeight w:val="292"/>
            </w:trPr>
            <w:tc>
              <w:tcPr>
                <w:tcW w:w="2636" w:type="dxa"/>
              </w:tcPr>
              <w:p w:rsidR="002E4BFC" w:rsidRDefault="00BC3826">
                <w:pPr>
                  <w:pBdr>
                    <w:top w:val="nil"/>
                    <w:left w:val="nil"/>
                    <w:bottom w:val="nil"/>
                    <w:right w:val="nil"/>
                    <w:between w:val="nil"/>
                  </w:pBdr>
                  <w:tabs>
                    <w:tab w:val="center" w:pos="4419"/>
                    <w:tab w:val="right" w:pos="8838"/>
                  </w:tabs>
                  <w:ind w:left="65" w:hanging="119"/>
                  <w:rPr>
                    <w:b/>
                    <w:color w:val="000000"/>
                  </w:rPr>
                </w:pPr>
                <w:r>
                  <w:rPr>
                    <w:b/>
                    <w:color w:val="000000"/>
                  </w:rPr>
                  <w:t xml:space="preserve">Comisionado Ponente: </w:t>
                </w:r>
              </w:p>
            </w:tc>
            <w:tc>
              <w:tcPr>
                <w:tcW w:w="4168" w:type="dxa"/>
              </w:tcPr>
              <w:p w:rsidR="002E4BFC" w:rsidRDefault="00BC3826">
                <w:pPr>
                  <w:pBdr>
                    <w:top w:val="nil"/>
                    <w:left w:val="nil"/>
                    <w:bottom w:val="nil"/>
                    <w:right w:val="nil"/>
                    <w:between w:val="nil"/>
                  </w:pBdr>
                  <w:tabs>
                    <w:tab w:val="center" w:pos="4419"/>
                    <w:tab w:val="right" w:pos="8838"/>
                  </w:tabs>
                  <w:ind w:left="-19"/>
                  <w:rPr>
                    <w:b/>
                    <w:color w:val="000000"/>
                  </w:rPr>
                </w:pPr>
                <w:r>
                  <w:rPr>
                    <w:color w:val="000000"/>
                  </w:rPr>
                  <w:t>Luis Gustavo Parra Noriega</w:t>
                </w:r>
              </w:p>
            </w:tc>
            <w:tc>
              <w:tcPr>
                <w:tcW w:w="4039" w:type="dxa"/>
              </w:tcPr>
              <w:p w:rsidR="002E4BFC" w:rsidRDefault="002E4BFC">
                <w:pPr>
                  <w:pBdr>
                    <w:top w:val="nil"/>
                    <w:left w:val="nil"/>
                    <w:bottom w:val="nil"/>
                    <w:right w:val="nil"/>
                    <w:between w:val="nil"/>
                  </w:pBdr>
                  <w:tabs>
                    <w:tab w:val="center" w:pos="4419"/>
                    <w:tab w:val="right" w:pos="8838"/>
                  </w:tabs>
                  <w:rPr>
                    <w:color w:val="000000"/>
                  </w:rPr>
                </w:pPr>
              </w:p>
            </w:tc>
            <w:tc>
              <w:tcPr>
                <w:tcW w:w="4039" w:type="dxa"/>
              </w:tcPr>
              <w:p w:rsidR="002E4BFC" w:rsidRDefault="002E4BFC">
                <w:pPr>
                  <w:pBdr>
                    <w:top w:val="nil"/>
                    <w:left w:val="nil"/>
                    <w:bottom w:val="nil"/>
                    <w:right w:val="nil"/>
                    <w:between w:val="nil"/>
                  </w:pBdr>
                  <w:tabs>
                    <w:tab w:val="center" w:pos="4419"/>
                    <w:tab w:val="right" w:pos="8838"/>
                  </w:tabs>
                  <w:rPr>
                    <w:color w:val="000000"/>
                  </w:rPr>
                </w:pPr>
              </w:p>
            </w:tc>
          </w:tr>
        </w:tbl>
        <w:p w:rsidR="002E4BFC" w:rsidRDefault="002E4BFC">
          <w:pPr>
            <w:pBdr>
              <w:top w:val="nil"/>
              <w:left w:val="nil"/>
              <w:bottom w:val="nil"/>
              <w:right w:val="nil"/>
              <w:between w:val="nil"/>
            </w:pBdr>
            <w:tabs>
              <w:tab w:val="center" w:pos="4419"/>
              <w:tab w:val="right" w:pos="8838"/>
            </w:tabs>
            <w:spacing w:after="0" w:line="240" w:lineRule="auto"/>
            <w:rPr>
              <w:b/>
              <w:color w:val="000000"/>
            </w:rPr>
          </w:pPr>
        </w:p>
      </w:tc>
    </w:tr>
  </w:tbl>
  <w:p w:rsidR="002E4BFC" w:rsidRDefault="00D81C9A">
    <w:pPr>
      <w:pBdr>
        <w:top w:val="nil"/>
        <w:left w:val="nil"/>
        <w:bottom w:val="nil"/>
        <w:right w:val="nil"/>
        <w:between w:val="nil"/>
      </w:pBdr>
      <w:tabs>
        <w:tab w:val="center" w:pos="4419"/>
        <w:tab w:val="right" w:pos="8838"/>
      </w:tabs>
      <w:spacing w:after="0" w:line="240" w:lineRule="auto"/>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 style="position:absolute;left:0;text-align:left;margin-left:-85.05pt;margin-top:-141.75pt;width:663.5pt;height:12in;z-index:-251658752;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C57E5"/>
    <w:multiLevelType w:val="multilevel"/>
    <w:tmpl w:val="755A8E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91404A8"/>
    <w:multiLevelType w:val="multilevel"/>
    <w:tmpl w:val="8556C2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1D76D0E"/>
    <w:multiLevelType w:val="multilevel"/>
    <w:tmpl w:val="F2D6BE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CFC4B4A"/>
    <w:multiLevelType w:val="multilevel"/>
    <w:tmpl w:val="26CA895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60B19DD"/>
    <w:multiLevelType w:val="multilevel"/>
    <w:tmpl w:val="B9BAB44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 w15:restartNumberingAfterBreak="0">
    <w:nsid w:val="5C3A7569"/>
    <w:multiLevelType w:val="multilevel"/>
    <w:tmpl w:val="2108B96C"/>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6" w15:restartNumberingAfterBreak="0">
    <w:nsid w:val="61F717F9"/>
    <w:multiLevelType w:val="multilevel"/>
    <w:tmpl w:val="C908CF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9C028D4"/>
    <w:multiLevelType w:val="multilevel"/>
    <w:tmpl w:val="0DCEE8D2"/>
    <w:lvl w:ilvl="0">
      <w:start w:val="1"/>
      <w:numFmt w:val="lowerLetter"/>
      <w:lvlText w:val="%1)"/>
      <w:lvlJc w:val="left"/>
      <w:pPr>
        <w:ind w:left="1440" w:hanging="360"/>
      </w:pPr>
      <w:rPr>
        <w:rFonts w:ascii="Palatino Linotype" w:eastAsia="Palatino Linotype" w:hAnsi="Palatino Linotype" w:cs="Palatino Linotype"/>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1"/>
  </w:num>
  <w:num w:numId="2">
    <w:abstractNumId w:val="2"/>
  </w:num>
  <w:num w:numId="3">
    <w:abstractNumId w:val="6"/>
  </w:num>
  <w:num w:numId="4">
    <w:abstractNumId w:val="4"/>
  </w:num>
  <w:num w:numId="5">
    <w:abstractNumId w:val="5"/>
  </w:num>
  <w:num w:numId="6">
    <w:abstractNumId w:val="0"/>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4BFC"/>
    <w:rsid w:val="001B4BFE"/>
    <w:rsid w:val="002E4BFC"/>
    <w:rsid w:val="004E6F68"/>
    <w:rsid w:val="005C1E4B"/>
    <w:rsid w:val="007528AD"/>
    <w:rsid w:val="00BC3826"/>
    <w:rsid w:val="00D81C9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94502FC1-743D-4DD4-BA67-9B3FD72AF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alatino Linotype" w:eastAsia="Palatino Linotype" w:hAnsi="Palatino Linotype" w:cs="Palatino Linotype"/>
        <w:sz w:val="22"/>
        <w:szCs w:val="22"/>
        <w:lang w:val="es-MX" w:eastAsia="es-MX"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7D2D"/>
    <w:rPr>
      <w:color w:val="000000" w:themeColor="text1"/>
    </w:rPr>
  </w:style>
  <w:style w:type="paragraph" w:styleId="Ttulo1">
    <w:name w:val="heading 1"/>
    <w:basedOn w:val="Normal"/>
    <w:next w:val="Normal"/>
    <w:link w:val="Ttulo1Car"/>
    <w:uiPriority w:val="9"/>
    <w:qFormat/>
    <w:rsid w:val="00B056A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B056A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styleId="Encabezado">
    <w:name w:val="header"/>
    <w:basedOn w:val="Normal"/>
    <w:link w:val="EncabezadoCar"/>
    <w:uiPriority w:val="99"/>
    <w:unhideWhenUsed/>
    <w:rsid w:val="00066B3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66B31"/>
    <w:rPr>
      <w:rFonts w:ascii="Palatino Linotype" w:hAnsi="Palatino Linotype"/>
      <w:color w:val="000000" w:themeColor="text1"/>
    </w:rPr>
  </w:style>
  <w:style w:type="paragraph" w:styleId="Piedepgina">
    <w:name w:val="footer"/>
    <w:basedOn w:val="Normal"/>
    <w:link w:val="PiedepginaCar"/>
    <w:uiPriority w:val="99"/>
    <w:unhideWhenUsed/>
    <w:rsid w:val="00066B3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66B31"/>
    <w:rPr>
      <w:rFonts w:ascii="Palatino Linotype" w:hAnsi="Palatino Linotype"/>
      <w:color w:val="000000" w:themeColor="text1"/>
    </w:rPr>
  </w:style>
  <w:style w:type="table" w:styleId="Tablaconcuadrcula">
    <w:name w:val="Table Grid"/>
    <w:basedOn w:val="Tablanormal"/>
    <w:uiPriority w:val="59"/>
    <w:rsid w:val="00066B3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066B31"/>
    <w:rPr>
      <w:rFonts w:ascii="Century Gothic" w:eastAsia="Times New Roman" w:hAnsi="Century Gothic" w:cs="Times New Roman"/>
      <w:szCs w:val="24"/>
      <w:lang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66B31"/>
    <w:pPr>
      <w:spacing w:after="0" w:line="240" w:lineRule="auto"/>
      <w:ind w:left="720"/>
      <w:contextualSpacing/>
      <w:jc w:val="left"/>
    </w:pPr>
    <w:rPr>
      <w:rFonts w:ascii="Century Gothic" w:eastAsia="Times New Roman" w:hAnsi="Century Gothic" w:cs="Times New Roman"/>
      <w:color w:val="auto"/>
      <w:szCs w:val="24"/>
      <w:lang w:eastAsia="es-ES"/>
    </w:rPr>
  </w:style>
  <w:style w:type="character" w:styleId="Hipervnculo">
    <w:name w:val="Hyperlink"/>
    <w:aliases w:val="Hipervínculo1,Hipervínculo11,Hipervínculo12,Hipervínculo13,Hipervínculo14,Hipervínculo15"/>
    <w:basedOn w:val="Fuentedeprrafopredeter"/>
    <w:uiPriority w:val="99"/>
    <w:unhideWhenUsed/>
    <w:qFormat/>
    <w:rsid w:val="00066B31"/>
    <w:rPr>
      <w:color w:val="0563C1" w:themeColor="hyperlink"/>
      <w:u w:val="single"/>
    </w:rPr>
  </w:style>
  <w:style w:type="paragraph" w:styleId="NormalWeb">
    <w:name w:val="Normal (Web)"/>
    <w:basedOn w:val="Normal"/>
    <w:uiPriority w:val="99"/>
    <w:unhideWhenUsed/>
    <w:rsid w:val="00C8149E"/>
    <w:pPr>
      <w:spacing w:line="256" w:lineRule="auto"/>
    </w:pPr>
    <w:rPr>
      <w:rFonts w:ascii="Times New Roman" w:hAnsi="Times New Roman" w:cs="Times New Roman"/>
      <w:sz w:val="24"/>
      <w:szCs w:val="24"/>
    </w:rPr>
  </w:style>
  <w:style w:type="character" w:customStyle="1" w:styleId="Mencinsinresolver1">
    <w:name w:val="Mención sin resolver1"/>
    <w:basedOn w:val="Fuentedeprrafopredeter"/>
    <w:uiPriority w:val="99"/>
    <w:semiHidden/>
    <w:unhideWhenUsed/>
    <w:rsid w:val="00A557C8"/>
    <w:rPr>
      <w:color w:val="605E5C"/>
      <w:shd w:val="clear" w:color="auto" w:fill="E1DFDD"/>
    </w:rPr>
  </w:style>
  <w:style w:type="character" w:styleId="Refdecomentario">
    <w:name w:val="annotation reference"/>
    <w:basedOn w:val="Fuentedeprrafopredeter"/>
    <w:uiPriority w:val="99"/>
    <w:semiHidden/>
    <w:unhideWhenUsed/>
    <w:rsid w:val="00B934AD"/>
    <w:rPr>
      <w:sz w:val="16"/>
      <w:szCs w:val="16"/>
    </w:rPr>
  </w:style>
  <w:style w:type="paragraph" w:styleId="Textocomentario">
    <w:name w:val="annotation text"/>
    <w:basedOn w:val="Normal"/>
    <w:link w:val="TextocomentarioCar"/>
    <w:uiPriority w:val="99"/>
    <w:semiHidden/>
    <w:unhideWhenUsed/>
    <w:rsid w:val="00B934A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B934AD"/>
    <w:rPr>
      <w:rFonts w:ascii="Palatino Linotype" w:hAnsi="Palatino Linotype"/>
      <w:color w:val="000000" w:themeColor="text1"/>
      <w:sz w:val="20"/>
      <w:szCs w:val="20"/>
    </w:rPr>
  </w:style>
  <w:style w:type="paragraph" w:styleId="Asuntodelcomentario">
    <w:name w:val="annotation subject"/>
    <w:basedOn w:val="Textocomentario"/>
    <w:next w:val="Textocomentario"/>
    <w:link w:val="AsuntodelcomentarioCar"/>
    <w:uiPriority w:val="99"/>
    <w:semiHidden/>
    <w:unhideWhenUsed/>
    <w:rsid w:val="00B934AD"/>
    <w:rPr>
      <w:b/>
      <w:bCs/>
    </w:rPr>
  </w:style>
  <w:style w:type="character" w:customStyle="1" w:styleId="AsuntodelcomentarioCar">
    <w:name w:val="Asunto del comentario Car"/>
    <w:basedOn w:val="TextocomentarioCar"/>
    <w:link w:val="Asuntodelcomentario"/>
    <w:uiPriority w:val="99"/>
    <w:semiHidden/>
    <w:rsid w:val="00B934AD"/>
    <w:rPr>
      <w:rFonts w:ascii="Palatino Linotype" w:hAnsi="Palatino Linotype"/>
      <w:b/>
      <w:bCs/>
      <w:color w:val="000000" w:themeColor="text1"/>
      <w:sz w:val="20"/>
      <w:szCs w:val="20"/>
    </w:rPr>
  </w:style>
  <w:style w:type="paragraph" w:styleId="Textodeglobo">
    <w:name w:val="Balloon Text"/>
    <w:basedOn w:val="Normal"/>
    <w:link w:val="TextodegloboCar"/>
    <w:uiPriority w:val="99"/>
    <w:semiHidden/>
    <w:unhideWhenUsed/>
    <w:rsid w:val="00B934A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934AD"/>
    <w:rPr>
      <w:rFonts w:ascii="Segoe UI" w:hAnsi="Segoe UI" w:cs="Segoe UI"/>
      <w:color w:val="000000" w:themeColor="text1"/>
      <w:sz w:val="18"/>
      <w:szCs w:val="18"/>
    </w:rPr>
  </w:style>
  <w:style w:type="character" w:customStyle="1" w:styleId="UnresolvedMention">
    <w:name w:val="Unresolved Mention"/>
    <w:basedOn w:val="Fuentedeprrafopredeter"/>
    <w:uiPriority w:val="99"/>
    <w:semiHidden/>
    <w:unhideWhenUsed/>
    <w:rsid w:val="00164211"/>
    <w:rPr>
      <w:color w:val="605E5C"/>
      <w:shd w:val="clear" w:color="auto" w:fill="E1DFDD"/>
    </w:rPr>
  </w:style>
  <w:style w:type="character" w:customStyle="1" w:styleId="Ttulo1Car">
    <w:name w:val="Título 1 Car"/>
    <w:basedOn w:val="Fuentedeprrafopredeter"/>
    <w:link w:val="Ttulo1"/>
    <w:uiPriority w:val="9"/>
    <w:rsid w:val="00B056AE"/>
    <w:rPr>
      <w:rFonts w:asciiTheme="majorHAnsi" w:eastAsiaTheme="majorEastAsia" w:hAnsiTheme="majorHAnsi" w:cstheme="majorBidi"/>
      <w:color w:val="2F5496" w:themeColor="accent1" w:themeShade="BF"/>
      <w:sz w:val="32"/>
      <w:szCs w:val="32"/>
    </w:rPr>
  </w:style>
  <w:style w:type="paragraph" w:styleId="TtulodeTDC">
    <w:name w:val="TOC Heading"/>
    <w:basedOn w:val="Ttulo1"/>
    <w:next w:val="Normal"/>
    <w:uiPriority w:val="39"/>
    <w:unhideWhenUsed/>
    <w:qFormat/>
    <w:rsid w:val="00B056AE"/>
    <w:pPr>
      <w:jc w:val="left"/>
      <w:outlineLvl w:val="9"/>
    </w:pPr>
  </w:style>
  <w:style w:type="paragraph" w:styleId="TDC1">
    <w:name w:val="toc 1"/>
    <w:basedOn w:val="Normal"/>
    <w:next w:val="Normal"/>
    <w:autoRedefine/>
    <w:uiPriority w:val="39"/>
    <w:unhideWhenUsed/>
    <w:rsid w:val="00B056AE"/>
    <w:pPr>
      <w:tabs>
        <w:tab w:val="right" w:leader="dot" w:pos="9072"/>
      </w:tabs>
      <w:spacing w:after="100" w:line="360" w:lineRule="auto"/>
    </w:pPr>
    <w:rPr>
      <w:rFonts w:ascii="Times New Roman" w:eastAsia="Times New Roman" w:hAnsi="Times New Roman" w:cs="Times New Roman"/>
      <w:color w:val="auto"/>
      <w:sz w:val="20"/>
      <w:szCs w:val="20"/>
      <w:lang w:eastAsia="es-ES"/>
    </w:rPr>
  </w:style>
  <w:style w:type="paragraph" w:styleId="TDC2">
    <w:name w:val="toc 2"/>
    <w:basedOn w:val="Normal"/>
    <w:next w:val="Normal"/>
    <w:autoRedefine/>
    <w:uiPriority w:val="39"/>
    <w:unhideWhenUsed/>
    <w:rsid w:val="00B056AE"/>
    <w:pPr>
      <w:spacing w:after="100" w:line="240" w:lineRule="auto"/>
      <w:ind w:left="200"/>
      <w:jc w:val="left"/>
    </w:pPr>
    <w:rPr>
      <w:rFonts w:ascii="Times New Roman" w:eastAsia="Times New Roman" w:hAnsi="Times New Roman" w:cs="Times New Roman"/>
      <w:color w:val="auto"/>
      <w:sz w:val="20"/>
      <w:szCs w:val="20"/>
      <w:lang w:eastAsia="es-ES"/>
    </w:rPr>
  </w:style>
  <w:style w:type="character" w:customStyle="1" w:styleId="Ttulo2Car">
    <w:name w:val="Título 2 Car"/>
    <w:basedOn w:val="Fuentedeprrafopredeter"/>
    <w:link w:val="Ttulo2"/>
    <w:uiPriority w:val="9"/>
    <w:rsid w:val="00B056AE"/>
    <w:rPr>
      <w:rFonts w:asciiTheme="majorHAnsi" w:eastAsiaTheme="majorEastAsia" w:hAnsiTheme="majorHAnsi" w:cstheme="majorBidi"/>
      <w:color w:val="2F5496" w:themeColor="accent1" w:themeShade="BF"/>
      <w:sz w:val="26"/>
      <w:szCs w:val="26"/>
    </w:rPr>
  </w:style>
  <w:style w:type="character" w:styleId="Hipervnculovisitado">
    <w:name w:val="FollowedHyperlink"/>
    <w:basedOn w:val="Fuentedeprrafopredeter"/>
    <w:uiPriority w:val="99"/>
    <w:semiHidden/>
    <w:unhideWhenUsed/>
    <w:rsid w:val="002525E1"/>
    <w:rPr>
      <w:color w:val="954F72" w:themeColor="followedHyperlink"/>
      <w:u w:val="single"/>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pPr>
      <w:spacing w:after="0" w:line="240" w:lineRule="auto"/>
    </w:pPr>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CellMar>
        <w:left w:w="108" w:type="dxa"/>
        <w:right w:w="108"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infoem2.ipomex.org.mx/ipomex/" TargetMode="External"/><Relationship Id="rId13" Type="http://schemas.openxmlformats.org/officeDocument/2006/relationships/hyperlink" Target="http://www.scielo.org.mx/pdf/rlds/n23/1870-4670-rlds-23-00179.pdf" TargetMode="External"/><Relationship Id="rId18" Type="http://schemas.openxmlformats.org/officeDocument/2006/relationships/image" Target="media/image5.png"/><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scielo.org.mx/scielo.php?script=sci_arttext&amp;pid=S1870-46702016000100010" TargetMode="External"/><Relationship Id="rId17" Type="http://schemas.openxmlformats.org/officeDocument/2006/relationships/image" Target="media/image4.png"/><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foem2.ipomex.org.mx/ipomex/"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infoem2.ipomex.org.mx/ipomex/" TargetMode="Externa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https://infoem2.ipomex.org.mx/ipomex/" TargetMode="External"/><Relationship Id="rId14" Type="http://schemas.openxmlformats.org/officeDocument/2006/relationships/image" Target="media/image1.png"/><Relationship Id="rId22" Type="http://schemas.openxmlformats.org/officeDocument/2006/relationships/header" Target="header2.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_rels/header2.xml.rels><?xml version="1.0" encoding="UTF-8" standalone="yes"?>
<Relationships xmlns="http://schemas.openxmlformats.org/package/2006/relationships"><Relationship Id="rId1" Type="http://schemas.openxmlformats.org/officeDocument/2006/relationships/image" Target="media/image8.jpeg"/></Relationships>
</file>

<file path=word/_rels/header3.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HIW1vQQ6t8WdAiEXCdtNHWiRbw==">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4AHIhMVpKR3lFVll3bFVIYS1DeEQtWGxOb204TmJ2blhyXzR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10219</Words>
  <Characters>56209</Characters>
  <Application>Microsoft Office Word</Application>
  <DocSecurity>0</DocSecurity>
  <Lines>468</Lines>
  <Paragraphs>132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66296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PEÑA VARA</dc:creator>
  <cp:lastModifiedBy>USUARIO</cp:lastModifiedBy>
  <cp:revision>3</cp:revision>
  <cp:lastPrinted>2025-02-10T14:43:00Z</cp:lastPrinted>
  <dcterms:created xsi:type="dcterms:W3CDTF">2025-02-10T14:43:00Z</dcterms:created>
  <dcterms:modified xsi:type="dcterms:W3CDTF">2025-02-10T14:43:00Z</dcterms:modified>
</cp:coreProperties>
</file>