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seis de febrero de dos mil veinticinco.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00064/INFOEM/IP/RR/2025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XXXXXX XXXX XXXXXXXX,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00131/TRIECA/IP/2024</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Tribunal Estatal de Conciliación y Arbitraje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11"/>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numPr>
          <w:ilvl w:val="1"/>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veintinueve de noviembre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este conducto le envío un cordial saludo, al mismo tiempo que me permito requerir el expediente SAE/330/2020 (versión pública) con todas las actuaciones del año 2024.”</w:t>
      </w:r>
    </w:p>
    <w:p w:rsidR="00000000" w:rsidDel="00000000" w:rsidP="00000000" w:rsidRDefault="00000000" w:rsidRPr="00000000" w14:paraId="0000000A">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ocho de enero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E">
      <w:pPr>
        <w:tabs>
          <w:tab w:val="left" w:leader="none" w:pos="7371"/>
        </w:tabs>
        <w:spacing w:line="360" w:lineRule="auto"/>
        <w:ind w:left="567" w:right="616" w:firstLine="0"/>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0F">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00131/TRIECA/IP/2024 donde "Por este conducto le envío un cordial saludo, al mismo tiempo que me permito requerir el expediente SAE/330/2020 (versión pública) con todas las actuaciones del año 2024." </w:t>
      </w:r>
      <w:r w:rsidDel="00000000" w:rsidR="00000000" w:rsidRPr="00000000">
        <w:rPr>
          <w:rFonts w:ascii="Palatino Linotype" w:cs="Palatino Linotype" w:eastAsia="Palatino Linotype" w:hAnsi="Palatino Linotype"/>
          <w:b w:val="1"/>
          <w:i w:val="1"/>
          <w:sz w:val="22"/>
          <w:szCs w:val="22"/>
          <w:rtl w:val="0"/>
        </w:rPr>
        <w:t xml:space="preserve">Se solicito a la Sala Auxiliar de Ecatepec dar respuesta sin que al momento se tenga respuats</w:t>
      </w:r>
      <w:r w:rsidDel="00000000" w:rsidR="00000000" w:rsidRPr="00000000">
        <w:rPr>
          <w:rtl w:val="0"/>
        </w:rPr>
      </w:r>
    </w:p>
    <w:p w:rsidR="00000000" w:rsidDel="00000000" w:rsidP="00000000" w:rsidRDefault="00000000" w:rsidRPr="00000000" w14:paraId="00000010">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1">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JORGE RODRIGUEZ GAMA”</w:t>
      </w:r>
    </w:p>
    <w:p w:rsidR="00000000" w:rsidDel="00000000" w:rsidP="00000000" w:rsidRDefault="00000000" w:rsidRPr="00000000" w14:paraId="0000001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adjuntó a su respuesta los archivos electrónicos denominados </w:t>
      </w:r>
      <w:r w:rsidDel="00000000" w:rsidR="00000000" w:rsidRPr="00000000">
        <w:rPr>
          <w:rFonts w:ascii="Palatino Linotype" w:cs="Palatino Linotype" w:eastAsia="Palatino Linotype" w:hAnsi="Palatino Linotype"/>
          <w:b w:val="1"/>
          <w:i w:val="1"/>
          <w:sz w:val="22"/>
          <w:szCs w:val="22"/>
          <w:rtl w:val="0"/>
        </w:rPr>
        <w:t xml:space="preserve">“131saimex.pdf, img20241202_13425426.pdf”</w:t>
      </w:r>
      <w:r w:rsidDel="00000000" w:rsidR="00000000" w:rsidRPr="00000000">
        <w:rPr>
          <w:rFonts w:ascii="Palatino Linotype" w:cs="Palatino Linotype" w:eastAsia="Palatino Linotype" w:hAnsi="Palatino Linotype"/>
          <w:sz w:val="22"/>
          <w:szCs w:val="22"/>
          <w:rtl w:val="0"/>
        </w:rPr>
        <w:t xml:space="preserve">, los cuales contienen: </w:t>
      </w:r>
    </w:p>
    <w:p w:rsidR="00000000" w:rsidDel="00000000" w:rsidP="00000000" w:rsidRDefault="00000000" w:rsidRPr="00000000" w14:paraId="0000001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5">
      <w:pPr>
        <w:numPr>
          <w:ilvl w:val="0"/>
          <w:numId w:val="4"/>
        </w:numPr>
        <w:pBdr>
          <w:top w:space="0" w:sz="0" w:val="nil"/>
          <w:left w:space="0" w:sz="0" w:val="nil"/>
          <w:bottom w:space="0" w:sz="0" w:val="nil"/>
          <w:right w:space="0" w:sz="0" w:val="nil"/>
          <w:between w:space="0" w:sz="0" w:val="nil"/>
        </w:pBdr>
        <w:spacing w:line="360" w:lineRule="auto"/>
        <w:ind w:left="851"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Captura de pantalla del correo electrónico mediante el cual se solicitó al servidor público competente para dar respuesta a la solicitud con folio 00131/TRIECA/IP/2024. </w:t>
      </w:r>
    </w:p>
    <w:p w:rsidR="00000000" w:rsidDel="00000000" w:rsidP="00000000" w:rsidRDefault="00000000" w:rsidRPr="00000000" w14:paraId="00000016">
      <w:pPr>
        <w:numPr>
          <w:ilvl w:val="0"/>
          <w:numId w:val="4"/>
        </w:numPr>
        <w:pBdr>
          <w:top w:space="0" w:sz="0" w:val="nil"/>
          <w:left w:space="0" w:sz="0" w:val="nil"/>
          <w:bottom w:space="0" w:sz="0" w:val="nil"/>
          <w:right w:space="0" w:sz="0" w:val="nil"/>
          <w:between w:space="0" w:sz="0" w:val="nil"/>
        </w:pBdr>
        <w:spacing w:line="360" w:lineRule="auto"/>
        <w:ind w:left="851"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de fecha dos de diciembre de dos mil veinticuatro, signado por el Titular del Comité de Transparencia, mediante el cual solicitó al Presidente de la Sala Auxiliar Ecatepec, la información solicitada en la solicitud de información bajo el folio 00131/TRIECA/IP/2024. </w:t>
      </w:r>
    </w:p>
    <w:p w:rsidR="00000000" w:rsidDel="00000000" w:rsidP="00000000" w:rsidRDefault="00000000" w:rsidRPr="00000000" w14:paraId="00000017">
      <w:pPr>
        <w:numPr>
          <w:ilvl w:val="0"/>
          <w:numId w:val="4"/>
        </w:numPr>
        <w:pBdr>
          <w:top w:space="0" w:sz="0" w:val="nil"/>
          <w:left w:space="0" w:sz="0" w:val="nil"/>
          <w:bottom w:space="0" w:sz="0" w:val="nil"/>
          <w:right w:space="0" w:sz="0" w:val="nil"/>
          <w:between w:space="0" w:sz="0" w:val="nil"/>
        </w:pBdr>
        <w:spacing w:line="360" w:lineRule="auto"/>
        <w:ind w:left="851"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Acuse de solicitud de información pública bajo el folio 00131/TRIECA/IP/2024. </w:t>
      </w:r>
    </w:p>
    <w:p w:rsidR="00000000" w:rsidDel="00000000" w:rsidP="00000000" w:rsidRDefault="00000000" w:rsidRPr="00000000" w14:paraId="0000001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sz w:val="22"/>
          <w:szCs w:val="22"/>
          <w:rtl w:val="0"/>
        </w:rPr>
        <w:t xml:space="preserve">trece de enero de dos mil veinticinco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1A">
      <w:pPr>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i w:val="1"/>
          <w:sz w:val="22"/>
          <w:szCs w:val="22"/>
          <w:rtl w:val="0"/>
        </w:rPr>
        <w:t xml:space="preserve">“Se interpone el recurso de revisión por la falta de respuesta por parte del Tribunal Estatal de Conciliación y Arbitraje.” </w:t>
      </w:r>
    </w:p>
    <w:p w:rsidR="00000000" w:rsidDel="00000000" w:rsidP="00000000" w:rsidRDefault="00000000" w:rsidRPr="00000000" w14:paraId="0000001B">
      <w:pPr>
        <w:spacing w:line="360"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sz w:val="22"/>
          <w:szCs w:val="22"/>
          <w:rtl w:val="0"/>
        </w:rPr>
        <w:t xml:space="preserve">Motivos de inconformidad. </w:t>
      </w:r>
      <w:r w:rsidDel="00000000" w:rsidR="00000000" w:rsidRPr="00000000">
        <w:rPr>
          <w:rFonts w:ascii="Palatino Linotype" w:cs="Palatino Linotype" w:eastAsia="Palatino Linotype" w:hAnsi="Palatino Linotype"/>
          <w:i w:val="1"/>
          <w:sz w:val="22"/>
          <w:szCs w:val="22"/>
          <w:rtl w:val="0"/>
        </w:rPr>
        <w:t xml:space="preserve">“No se entrega la información solicitada. Se menciona entre otras cosas, lo siguiente: "Se solicito a la Sala Auxiliar de Ecatepec dar respuesta sin que al momento se tenga respuats" (sic). En consecuencia, se solicita ordenar la entrega de la información solicitada y aplicar y/o dar visto a los órganos internos de control para que determinen lo procedente al no atender una de las funciones que se tienen como servidores públicos del Estado de México.”</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00064/INFOEM/IP/RR/2025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dieciséis de enero de dos mil veinticinco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se desprende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rindió su informe justificado, del mismo modo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omitió realizar manifestaciones, como se observa a continuación:</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289685"/>
            <wp:effectExtent b="0" l="0" r="0" t="0"/>
            <wp:docPr id="83258485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612130" cy="128968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Requerimiento de Información Adicional.</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veintiocho de enero de dos mil veinticinco</w:t>
      </w:r>
      <w:r w:rsidDel="00000000" w:rsidR="00000000" w:rsidRPr="00000000">
        <w:rPr>
          <w:rFonts w:ascii="Palatino Linotype" w:cs="Palatino Linotype" w:eastAsia="Palatino Linotype" w:hAnsi="Palatino Linotype"/>
          <w:sz w:val="22"/>
          <w:szCs w:val="22"/>
          <w:rtl w:val="0"/>
        </w:rPr>
        <w:t xml:space="preserve">, se envió por correo electrónico un requerimiento de información adicional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cual consistió en lo siguiente:</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Atento a lo anterior, con fundamento en el artículo 14, fracciones I, II, V y XVI del Reglamento Interno del Instituto de Transparencia, Acceso a la Información Pública y Protección de Datos Personales del Estado de México y Municipios, con el objeto de contar con los elementos necesarios para la elaboración del proyecto de resolución correspondiente, se requiere al Sujeto Obligado para que precise lo siguiente:</w:t>
      </w:r>
    </w:p>
    <w:p w:rsidR="00000000" w:rsidDel="00000000" w:rsidP="00000000" w:rsidRDefault="00000000" w:rsidRPr="00000000" w14:paraId="00000028">
      <w:pPr>
        <w:ind w:left="709"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9">
      <w:pPr>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w:t>
        <w:tab/>
        <w:t xml:space="preserve">Manifieste, el estado procesal en el que se encuentra el expediente número SAE/330/2020 al veintinueve de noviembre de dos mil veinticuatro…”</w:t>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8. Atención al requerimiento adicional. E</w:t>
      </w:r>
      <w:r w:rsidDel="00000000" w:rsidR="00000000" w:rsidRPr="00000000">
        <w:rPr>
          <w:rFonts w:ascii="Palatino Linotype" w:cs="Palatino Linotype" w:eastAsia="Palatino Linotype" w:hAnsi="Palatino Linotype"/>
          <w:sz w:val="22"/>
          <w:szCs w:val="22"/>
          <w:rtl w:val="0"/>
        </w:rPr>
        <w:t xml:space="preserv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fue omiso en atender el requerimiento adicional.</w:t>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numPr>
          <w:ilvl w:val="0"/>
          <w:numId w:val="10"/>
        </w:numPr>
        <w:pBdr>
          <w:top w:space="0" w:sz="0" w:val="nil"/>
          <w:left w:space="0" w:sz="0" w:val="nil"/>
          <w:bottom w:space="0" w:sz="0" w:val="nil"/>
          <w:right w:space="0" w:sz="0" w:val="nil"/>
          <w:between w:space="0" w:sz="0" w:val="nil"/>
        </w:pBdr>
        <w:tabs>
          <w:tab w:val="left" w:leader="none" w:pos="426"/>
        </w:tabs>
        <w:spacing w:line="360" w:lineRule="auto"/>
        <w:ind w:left="14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cuatro de febrero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1">
      <w:pPr>
        <w:numPr>
          <w:ilvl w:val="0"/>
          <w:numId w:val="11"/>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4">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ocho de enero de dos mil veinticinco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diez de enero de dos mil veinticuatro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al segundo día hábil siguiente en que tuvo conocimiento de la respuesta. </w:t>
      </w:r>
    </w:p>
    <w:p w:rsidR="00000000" w:rsidDel="00000000" w:rsidP="00000000" w:rsidRDefault="00000000" w:rsidRPr="00000000" w14:paraId="0000003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3A">
      <w:pPr>
        <w:spacing w:line="360" w:lineRule="auto"/>
        <w:jc w:val="both"/>
        <w:rPr>
          <w:rFonts w:ascii="Palatino Linotype" w:cs="Palatino Linotype" w:eastAsia="Palatino Linotype" w:hAnsi="Palatino Linotype"/>
          <w:strike w:val="1"/>
          <w:sz w:val="22"/>
          <w:szCs w:val="22"/>
        </w:rPr>
      </w:pP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a la información solicitada;</w:t>
      </w:r>
    </w:p>
    <w:p w:rsidR="00000000" w:rsidDel="00000000" w:rsidP="00000000" w:rsidRDefault="00000000" w:rsidRPr="00000000" w14:paraId="0000003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0">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rsidR="00000000" w:rsidDel="00000000" w:rsidP="00000000" w:rsidRDefault="00000000" w:rsidRPr="00000000" w14:paraId="0000004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6">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7">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4A">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E">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0">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52">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54">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spacing w:line="360" w:lineRule="auto"/>
        <w:jc w:val="both"/>
        <w:rPr>
          <w:rFonts w:ascii="Palatino Linotype" w:cs="Palatino Linotype" w:eastAsia="Palatino Linotype" w:hAnsi="Palatino Linotype"/>
          <w:sz w:val="22"/>
          <w:szCs w:val="22"/>
        </w:rPr>
      </w:pPr>
      <w:bookmarkStart w:colFirst="0" w:colLast="0" w:name="_heading=h.1fob9te" w:id="3"/>
      <w:bookmarkEnd w:id="3"/>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5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5C">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E">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F">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6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6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2">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3">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6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68">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información consistente en lo siguiente:</w:t>
      </w:r>
    </w:p>
    <w:p w:rsidR="00000000" w:rsidDel="00000000" w:rsidP="00000000" w:rsidRDefault="00000000" w:rsidRPr="00000000" w14:paraId="00000069">
      <w:pPr>
        <w:numPr>
          <w:ilvl w:val="0"/>
          <w:numId w:val="3"/>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Versión Pública del expediente con número de folio SAE/330/2020, con todas las actuaciones del año 2024. </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ind w:left="72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Titular de la Unidad de Transparencia hizo entrega del oficio mediante el cual, solicitó al Presidente de la Sala Auxiliar de Ecatepec dar atención a la solicitud de información que nos ocupa. </w:t>
      </w:r>
    </w:p>
    <w:p w:rsidR="00000000" w:rsidDel="00000000" w:rsidP="00000000" w:rsidRDefault="00000000" w:rsidRPr="00000000" w14:paraId="0000006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Inconforme con la respuesta el hoy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que se analiza en el presente asunto, por medio del cual se inconformó en lo medular por la falta de respuesta. </w:t>
      </w:r>
    </w:p>
    <w:p w:rsidR="00000000" w:rsidDel="00000000" w:rsidP="00000000" w:rsidRDefault="00000000" w:rsidRPr="00000000" w14:paraId="0000006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como, 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realizó manifestaciones, alegatos o pruebas que a su derecho convinieran y por su parte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tampoco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rindió su informe justificado. </w:t>
      </w:r>
    </w:p>
    <w:p w:rsidR="00000000" w:rsidDel="00000000" w:rsidP="00000000" w:rsidRDefault="00000000" w:rsidRPr="00000000" w14:paraId="0000007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precisado lo anterior, y a fin de establecer la competencia con la que cuenta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conocer la información solicitada, conviene señalar que el Tribunal Estatal de Conciliación y Arbitraje es un Órgano Autónomo dotado de plena jurisdicción, que tiene como objetivo conocer y resolver los conflictos laborales individuales y colectivos que se presentan entre los servidores públicos con la Administración Pública Estatal y los Ayuntamientos.</w:t>
      </w:r>
    </w:p>
    <w:p w:rsidR="00000000" w:rsidDel="00000000" w:rsidP="00000000" w:rsidRDefault="00000000" w:rsidRPr="00000000" w14:paraId="0000007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el artículo 123, inciso B de la Constitución Política de los Estados Unidos Mexicanos, prevé las relaciones laborales entre los entes del estado mexicano a sus diversos ordenes jurídicos y los trabajadores al servicio del mismo: </w:t>
      </w:r>
    </w:p>
    <w:p w:rsidR="00000000" w:rsidDel="00000000" w:rsidP="00000000" w:rsidRDefault="00000000" w:rsidRPr="00000000" w14:paraId="0000007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123.</w:t>
      </w:r>
      <w:r w:rsidDel="00000000" w:rsidR="00000000" w:rsidRPr="00000000">
        <w:rPr>
          <w:rFonts w:ascii="Palatino Linotype" w:cs="Palatino Linotype" w:eastAsia="Palatino Linotype" w:hAnsi="Palatino Linotype"/>
          <w:i w:val="1"/>
          <w:sz w:val="22"/>
          <w:szCs w:val="22"/>
          <w:rtl w:val="0"/>
        </w:rPr>
        <w:t xml:space="preserve"> Toda persona tiene derecho al trabajo digno y socialmente útil; al efecto, se promoverán la creación de empleos y la organización social de trabajo, conforme a la ley. </w:t>
      </w:r>
    </w:p>
    <w:p w:rsidR="00000000" w:rsidDel="00000000" w:rsidP="00000000" w:rsidRDefault="00000000" w:rsidRPr="00000000" w14:paraId="0000007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Congreso de la Unión, sin contravenir a las bases siguientes deberá expedir leyes sobre el trabajo, las cuales regirán: </w:t>
      </w:r>
    </w:p>
    <w:p w:rsidR="00000000" w:rsidDel="00000000" w:rsidP="00000000" w:rsidRDefault="00000000" w:rsidRPr="00000000" w14:paraId="0000007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w:t>
      </w:r>
    </w:p>
    <w:p w:rsidR="00000000" w:rsidDel="00000000" w:rsidP="00000000" w:rsidRDefault="00000000" w:rsidRPr="00000000" w14:paraId="0000007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Entre los Poderes de la Unión y sus trabajadores: </w:t>
      </w:r>
    </w:p>
    <w:p w:rsidR="00000000" w:rsidDel="00000000" w:rsidP="00000000" w:rsidRDefault="00000000" w:rsidRPr="00000000" w14:paraId="0000007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7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se trae al estudio la Ley del Trabajo de los Servidores Públicos del Estado y Municipios; la cual de conformidad con su artículo primero, tiene por objeto regular las relaciones de trabajo comprendidas entre los poderes públicos del Estado y los Municipios y sus respectivos servidores públicos; aunado a ello, el artículo 5 de la Ley en mención establece la relación laboral entre los servidores públicos y los Entes gubernamentales, el cual a la letra dispone: </w:t>
      </w:r>
    </w:p>
    <w:p w:rsidR="00000000" w:rsidDel="00000000" w:rsidP="00000000" w:rsidRDefault="00000000" w:rsidRPr="00000000" w14:paraId="0000007D">
      <w:pPr>
        <w:tabs>
          <w:tab w:val="left" w:leader="none" w:pos="8080"/>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7E">
      <w:pPr>
        <w:tabs>
          <w:tab w:val="left" w:leader="none" w:pos="8080"/>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 </w:t>
      </w:r>
      <w:r w:rsidDel="00000000" w:rsidR="00000000" w:rsidRPr="00000000">
        <w:rPr>
          <w:rFonts w:ascii="Palatino Linotype" w:cs="Palatino Linotype" w:eastAsia="Palatino Linotype" w:hAnsi="Palatino Linotype"/>
          <w:i w:val="1"/>
          <w:sz w:val="22"/>
          <w:szCs w:val="22"/>
          <w:rtl w:val="0"/>
        </w:rPr>
        <w:t xml:space="preserve">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000000" w:rsidDel="00000000" w:rsidP="00000000" w:rsidRDefault="00000000" w:rsidRPr="00000000" w14:paraId="0000007F">
      <w:pPr>
        <w:tabs>
          <w:tab w:val="left" w:leader="none" w:pos="8080"/>
        </w:tabs>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Para los efectos de esta ley, las instituciones públicas estarán representadas por sus titulares</w:t>
      </w:r>
      <w:r w:rsidDel="00000000" w:rsidR="00000000" w:rsidRPr="00000000">
        <w:rPr>
          <w:rFonts w:ascii="Palatino Linotype" w:cs="Palatino Linotype" w:eastAsia="Palatino Linotype" w:hAnsi="Palatino Linotype"/>
          <w:sz w:val="22"/>
          <w:szCs w:val="22"/>
          <w:rtl w:val="0"/>
        </w:rPr>
        <w:t xml:space="preserve">. “ </w:t>
      </w:r>
    </w:p>
    <w:p w:rsidR="00000000" w:rsidDel="00000000" w:rsidP="00000000" w:rsidRDefault="00000000" w:rsidRPr="00000000" w14:paraId="0000008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advierte que la relación laboral existe entre los Entes gubernamentales y los servidores públicos, la cual, se entiende establecida mediante nombramiento, formato único de movimiento de personal, contrato o por cualquier otro acto que tenga como consecuencia la prestación personal subordinada del servicio y la percepción de un sueldo. </w:t>
      </w:r>
    </w:p>
    <w:p w:rsidR="00000000" w:rsidDel="00000000" w:rsidP="00000000" w:rsidRDefault="00000000" w:rsidRPr="00000000" w14:paraId="0000008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existen diversos motivos que pueden dar lugar a un conflicto laboral con motivo de la relación existente entre los Entes Gubernamentales y los servidores públicos, los cuales dan lugar a un proceso de índole laboral; así la Ley del Trabajo de los Servidores Públicos del Estado y Municipios, establece a ambas partes como las contraposiciones en un proceso, en términos del artículo 195, que a la letra señala:  </w:t>
      </w:r>
    </w:p>
    <w:p w:rsidR="00000000" w:rsidDel="00000000" w:rsidP="00000000" w:rsidRDefault="00000000" w:rsidRPr="00000000" w14:paraId="0000008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195.-</w:t>
      </w:r>
      <w:r w:rsidDel="00000000" w:rsidR="00000000" w:rsidRPr="00000000">
        <w:rPr>
          <w:rFonts w:ascii="Palatino Linotype" w:cs="Palatino Linotype" w:eastAsia="Palatino Linotype" w:hAnsi="Palatino Linotype"/>
          <w:i w:val="1"/>
          <w:sz w:val="22"/>
          <w:szCs w:val="22"/>
          <w:rtl w:val="0"/>
        </w:rPr>
        <w:t xml:space="preserve"> Son partes en el proceso, </w:t>
      </w:r>
      <w:r w:rsidDel="00000000" w:rsidR="00000000" w:rsidRPr="00000000">
        <w:rPr>
          <w:rFonts w:ascii="Palatino Linotype" w:cs="Palatino Linotype" w:eastAsia="Palatino Linotype" w:hAnsi="Palatino Linotype"/>
          <w:b w:val="1"/>
          <w:i w:val="1"/>
          <w:sz w:val="22"/>
          <w:szCs w:val="22"/>
          <w:rtl w:val="0"/>
        </w:rPr>
        <w:t xml:space="preserve">los servidores públicos, las instituciones públicas o las dependencias, los sindicatos reconocidos ante el Tribunal y, en general, quien acredite tener interés jurídico en el proceso y ejerciten acciones y opongan excepciones.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terceros interesados podrán intervenir en el proceso comprobando su interés jurídico en el mismo o cuando sean llamados por el Tribunal o la Sala, quienes deberán manifestar lo que a su derecho convenga por escrito en el juicio, hasta antes de la celebración de la audiencia de conciliación, depuración procesal, ofrecimiento y admisión de pruebas, apercibiéndolos que para el caso de no hacerlo antes de la etapa referida, se tendrá por perdido su derecho para hacerlo valer con posterioridad y se estará a lo resuelto en el laudo.  </w:t>
      </w:r>
    </w:p>
    <w:p w:rsidR="00000000" w:rsidDel="00000000" w:rsidP="00000000" w:rsidRDefault="00000000" w:rsidRPr="00000000" w14:paraId="0000008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servidores públicos, mayores de 16 y menores de 18 años, tienen capacidad por sí mismos para comparecer a juicio; pero, en caso de no estar asesorados, el Tribunal o las Salas solicitarán la intervención de la Procuraduría de la Defensa del Trabajo. </w:t>
      </w:r>
    </w:p>
    <w:p w:rsidR="00000000" w:rsidDel="00000000" w:rsidP="00000000" w:rsidRDefault="00000000" w:rsidRPr="00000000" w14:paraId="0000008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señalado en el párrafo anterior se aplicará también tratándose del procedimiento promovido por los aspirantes a beneficiarios de algún trabajador fallecido </w:t>
      </w:r>
    </w:p>
    <w:p w:rsidR="00000000" w:rsidDel="00000000" w:rsidP="00000000" w:rsidRDefault="00000000" w:rsidRPr="00000000" w14:paraId="00000089">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8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proceso laboral, inicia con la presentación de la demanda, la cual es promovida por el actor, misma en la que se reclama el cumplimiento de las diversas obligaciones en atención a los derechos laborales que consagra la Ley de la materia; ello de acuerdo con el artículo 226 de la Ley del Trabajo de los Servidores Públicos del Estado y Municipios, que a la letra dispone:</w:t>
      </w:r>
    </w:p>
    <w:p w:rsidR="00000000" w:rsidDel="00000000" w:rsidP="00000000" w:rsidRDefault="00000000" w:rsidRPr="00000000" w14:paraId="0000008C">
      <w:pP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8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226. El procedimiento se iniciará con la presentación del escrito de demanda ante la Oficialía de Partes del Tribunal o la Sala que lo turnará a la Sala</w:t>
      </w:r>
      <w:r w:rsidDel="00000000" w:rsidR="00000000" w:rsidRPr="00000000">
        <w:rPr>
          <w:rFonts w:ascii="Palatino Linotype" w:cs="Palatino Linotype" w:eastAsia="Palatino Linotype" w:hAnsi="Palatino Linotype"/>
          <w:i w:val="1"/>
          <w:sz w:val="22"/>
          <w:szCs w:val="22"/>
          <w:rtl w:val="0"/>
        </w:rPr>
        <w:t xml:space="preserve"> oral o mesa de audiencia según le corresponda el mismo día antes de que concluyan las labores. </w:t>
      </w:r>
    </w:p>
    <w:p w:rsidR="00000000" w:rsidDel="00000000" w:rsidP="00000000" w:rsidRDefault="00000000" w:rsidRPr="00000000" w14:paraId="0000008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la demanda se acompañarán las pruebas de que disponga el actor y los documentos que acrediten la personalidad del representante, en caso de que aquel no pudiera concurrir personalmente.”</w:t>
      </w:r>
    </w:p>
    <w:p w:rsidR="00000000" w:rsidDel="00000000" w:rsidP="00000000" w:rsidRDefault="00000000" w:rsidRPr="00000000" w14:paraId="0000008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9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dicha demanda que inicia el proceso laboral entre los servidores públicos en contra del Estado y los Municipios, se debe presentar ante el Tribunal o la Sala.; al respecto, se tiene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es el órgano que conoce de dichos conflictos laborales, ello en atención a los artículos 184 y 185 de la Ley del Trabajo de los servidores públicos del Estado y Municipios, que a la letra señalan: </w:t>
      </w:r>
    </w:p>
    <w:p w:rsidR="00000000" w:rsidDel="00000000" w:rsidP="00000000" w:rsidRDefault="00000000" w:rsidRPr="00000000" w14:paraId="0000009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3">
      <w:pPr>
        <w:spacing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TITULO SEPTIMO</w:t>
      </w:r>
    </w:p>
    <w:p w:rsidR="00000000" w:rsidDel="00000000" w:rsidP="00000000" w:rsidRDefault="00000000" w:rsidRPr="00000000" w14:paraId="00000094">
      <w:pPr>
        <w:spacing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Del Tribunal Estatal de Conciliación y Arbitraje y del Proceso y Procedimientos</w:t>
      </w:r>
    </w:p>
    <w:p w:rsidR="00000000" w:rsidDel="00000000" w:rsidP="00000000" w:rsidRDefault="00000000" w:rsidRPr="00000000" w14:paraId="00000095">
      <w:pPr>
        <w:spacing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CAPITULO I</w:t>
      </w:r>
    </w:p>
    <w:p w:rsidR="00000000" w:rsidDel="00000000" w:rsidP="00000000" w:rsidRDefault="00000000" w:rsidRPr="00000000" w14:paraId="00000096">
      <w:pPr>
        <w:spacing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Del Tribunal Estatal de Conciliación y Arbitraje</w:t>
      </w:r>
    </w:p>
    <w:p w:rsidR="00000000" w:rsidDel="00000000" w:rsidP="00000000" w:rsidRDefault="00000000" w:rsidRPr="00000000" w14:paraId="0000009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184.-</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Tribunal Estatal de Conciliación y Arbitraje</w:t>
      </w:r>
      <w:r w:rsidDel="00000000" w:rsidR="00000000" w:rsidRPr="00000000">
        <w:rPr>
          <w:rFonts w:ascii="Palatino Linotype" w:cs="Palatino Linotype" w:eastAsia="Palatino Linotype" w:hAnsi="Palatino Linotype"/>
          <w:i w:val="1"/>
          <w:sz w:val="22"/>
          <w:szCs w:val="22"/>
          <w:rtl w:val="0"/>
        </w:rPr>
        <w:t xml:space="preserve"> es un órgano autónomo y dotado de plena jurisdicción, </w:t>
      </w:r>
      <w:r w:rsidDel="00000000" w:rsidR="00000000" w:rsidRPr="00000000">
        <w:rPr>
          <w:rFonts w:ascii="Palatino Linotype" w:cs="Palatino Linotype" w:eastAsia="Palatino Linotype" w:hAnsi="Palatino Linotype"/>
          <w:b w:val="1"/>
          <w:i w:val="1"/>
          <w:sz w:val="22"/>
          <w:szCs w:val="22"/>
          <w:u w:val="single"/>
          <w:rtl w:val="0"/>
        </w:rPr>
        <w:t xml:space="preserve">conocerá y resolverá los conflictos laborales individuales y colectivos que se presenten entre los sujetos de esta ley</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9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185.</w:t>
      </w:r>
      <w:r w:rsidDel="00000000" w:rsidR="00000000" w:rsidRPr="00000000">
        <w:rPr>
          <w:rFonts w:ascii="Palatino Linotype" w:cs="Palatino Linotype" w:eastAsia="Palatino Linotype" w:hAnsi="Palatino Linotype"/>
          <w:i w:val="1"/>
          <w:sz w:val="22"/>
          <w:szCs w:val="22"/>
          <w:rtl w:val="0"/>
        </w:rPr>
        <w:t xml:space="preserve"> El Tribunal será competente para:</w:t>
      </w:r>
    </w:p>
    <w:p w:rsidR="00000000" w:rsidDel="00000000" w:rsidP="00000000" w:rsidRDefault="00000000" w:rsidRPr="00000000" w14:paraId="0000009A">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Conocer y resolver, en conciliación y arbitraje, de los conflictos individuales que se susciten entre las instituciones públicas, dependencias, organismos descentralizados, fideicomisos de carácter Estatal y Municipal, y organismos autónomos que sus leyes de creación así lo determinen y sus servidores públicos que no conozcan las Salas; </w:t>
      </w:r>
    </w:p>
    <w:p w:rsidR="00000000" w:rsidDel="00000000" w:rsidP="00000000" w:rsidRDefault="00000000" w:rsidRPr="00000000" w14:paraId="0000009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Conocer y resolver, en conciliación y arbitraje, los conflictos colectivos que surjan entre las instituciones públicas o dependencias y las organizaciones sindicales; </w:t>
      </w:r>
    </w:p>
    <w:p w:rsidR="00000000" w:rsidDel="00000000" w:rsidP="00000000" w:rsidRDefault="00000000" w:rsidRPr="00000000" w14:paraId="0000009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Conceder el registro de los sindicatos y, en su caso, dictar la cancelación de los mismos;</w:t>
      </w:r>
    </w:p>
    <w:p w:rsidR="00000000" w:rsidDel="00000000" w:rsidP="00000000" w:rsidRDefault="00000000" w:rsidRPr="00000000" w14:paraId="0000009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Conocer y resolver, en conciliación y arbitraje, de los conflictos internos de los sindicatos y de los intersindicales; </w:t>
      </w:r>
    </w:p>
    <w:p w:rsidR="00000000" w:rsidDel="00000000" w:rsidP="00000000" w:rsidRDefault="00000000" w:rsidRPr="00000000" w14:paraId="0000009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Efectuar el registro de las condiciones generales de trabajo, de los estatutos de los sindicatos, así como de aquellos otros documentos que por su naturaleza deban obrar en los registros del Tribunal; y </w:t>
      </w:r>
    </w:p>
    <w:p w:rsidR="00000000" w:rsidDel="00000000" w:rsidP="00000000" w:rsidRDefault="00000000" w:rsidRPr="00000000" w14:paraId="0000009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Llevar los procedimientos para la determinación de dependencia económica de los familiares de los servidores públicos;  </w:t>
      </w:r>
    </w:p>
    <w:p w:rsidR="00000000" w:rsidDel="00000000" w:rsidP="00000000" w:rsidRDefault="00000000" w:rsidRPr="00000000" w14:paraId="000000A0">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VII. Dictar la resolución que ordene la suspensión temporal de su cargo de un servidor público en términos de lo dispuesto por el artículo 209 y 253 de esta ley; y VIII. Conocer de cualquier otro asunto relativo, derivado o directamente vinculado con las relaciones de trabajo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A1">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A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antes expuesto, se advierte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es competente para conocer de los conflictos laborales suscitados entre los servidores públicos y los estados o municipios. </w:t>
      </w:r>
    </w:p>
    <w:p w:rsidR="00000000" w:rsidDel="00000000" w:rsidP="00000000" w:rsidRDefault="00000000" w:rsidRPr="00000000" w14:paraId="000000A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cabe destacar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dentro de su respuesta únicamente hizo entrega del oficio que el Titular de la Unidad de Transparencia giró al Presidente de la Sala Auxiliar de Ecatepec, de fecha dos de diciembre de dos mil veinticuatro, a efecto de que atendiera la solicitud de mérito, sin que de este se obtuviera respuesta. </w:t>
      </w:r>
    </w:p>
    <w:p w:rsidR="00000000" w:rsidDel="00000000" w:rsidP="00000000" w:rsidRDefault="00000000" w:rsidRPr="00000000" w14:paraId="000000A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ello, conviene señalar que el Tribunal Estatal de Conciliación y Arbitraje dentro de su estructura cuenta con Salas Auxiliares, las cuales conocen de determinados Municipios de conformidad con la zona geográfica, al respecto, en la página oficial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muestra lo siguiente:</w:t>
      </w:r>
    </w:p>
    <w:p w:rsidR="00000000" w:rsidDel="00000000" w:rsidP="00000000" w:rsidRDefault="00000000" w:rsidRPr="00000000" w14:paraId="000000A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3368040"/>
            <wp:effectExtent b="0" l="0" r="0" t="0"/>
            <wp:docPr descr="Interfaz de usuario gráfica, Texto, Aplicación, Correo electrónico&#10;&#10;Descripción generada automáticamente" id="832584858" name="image2.png"/>
            <a:graphic>
              <a:graphicData uri="http://schemas.openxmlformats.org/drawingml/2006/picture">
                <pic:pic>
                  <pic:nvPicPr>
                    <pic:cNvPr descr="Interfaz de usuario gráfica, Texto, Aplicación, Correo electrónico&#10;&#10;Descripción generada automáticamente" id="0" name="image2.png"/>
                    <pic:cNvPicPr preferRelativeResize="0"/>
                  </pic:nvPicPr>
                  <pic:blipFill>
                    <a:blip r:embed="rId8"/>
                    <a:srcRect b="0" l="0" r="0" t="0"/>
                    <a:stretch>
                      <a:fillRect/>
                    </a:stretch>
                  </pic:blipFill>
                  <pic:spPr>
                    <a:xfrm>
                      <a:off x="0" y="0"/>
                      <a:ext cx="5612130" cy="336804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advierte de la imagen anterior,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una Sala Auxiliar en Tlalnepantla y una en Ecatepec, que tiene competencia y jurisdicción, sobre los asuntos en materia laboral relacionados con diversos Municipios, como lo son Acolman, Amecameca, Atenco, Atlautla, Axapusco, Ayapango, Chalco, Chiautla, Chicoloapan, Chiconcuac, Chimalhuacán, Cocotitlán, Ecatepec, Ecatzingo, Juchitepec, Ixtapaluca, La Paz, Nezahualcóyotl, Nopaltepec, Otumba, Ozumba, Papalotla, San Martín de Las Pirámides, Tecámac, Temascalapa, Teotihuacán, Tepetlaoxtoc, Tepetlixpa, Texcoco, Tezoyuca, Tlalmanalco, Valle de Chalco Solidaridad. </w:t>
      </w:r>
    </w:p>
    <w:p w:rsidR="00000000" w:rsidDel="00000000" w:rsidP="00000000" w:rsidRDefault="00000000" w:rsidRPr="00000000" w14:paraId="000000A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señalar que este Organismo Garante, advierte que por las siglas del expediente solicitado, este corresponde a la Sala Auxiliar de Ecatepec; por lo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Sala Auxiliar Ecatepec, resulta competente para conocer de la información solicitada. </w:t>
      </w:r>
    </w:p>
    <w:p w:rsidR="00000000" w:rsidDel="00000000" w:rsidP="00000000" w:rsidRDefault="00000000" w:rsidRPr="00000000" w14:paraId="000000A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a efecto de determinar si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cumplió con el procedimiento de búsqueda de la información, se trae al estudio el Reglamento Interior del Tribunal Estatal de Conciliación y Arbitraje, del cual se observa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diversas unidades administrativas, para el ejercicio de sus funciones, entre las cuales se encuentran las siguientes:</w:t>
      </w:r>
    </w:p>
    <w:p w:rsidR="00000000" w:rsidDel="00000000" w:rsidP="00000000" w:rsidRDefault="00000000" w:rsidRPr="00000000" w14:paraId="000000A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7.-</w:t>
      </w:r>
      <w:r w:rsidDel="00000000" w:rsidR="00000000" w:rsidRPr="00000000">
        <w:rPr>
          <w:rFonts w:ascii="Palatino Linotype" w:cs="Palatino Linotype" w:eastAsia="Palatino Linotype" w:hAnsi="Palatino Linotype"/>
          <w:i w:val="1"/>
          <w:sz w:val="22"/>
          <w:szCs w:val="22"/>
          <w:rtl w:val="0"/>
        </w:rPr>
        <w:t xml:space="preserve"> El Tribunal y las Salas contarán con los servidores públicos y unidades administrativas que sean necesarios y que el presupuesto de egresos permita, como son:  </w:t>
      </w:r>
    </w:p>
    <w:p w:rsidR="00000000" w:rsidDel="00000000" w:rsidP="00000000" w:rsidRDefault="00000000" w:rsidRPr="00000000" w14:paraId="000000B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B2">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B</w:t>
      </w:r>
      <w:r w:rsidDel="00000000" w:rsidR="00000000" w:rsidRPr="00000000">
        <w:rPr>
          <w:rFonts w:ascii="Palatino Linotype" w:cs="Palatino Linotype" w:eastAsia="Palatino Linotype" w:hAnsi="Palatino Linotype"/>
          <w:b w:val="1"/>
          <w:i w:val="1"/>
          <w:sz w:val="22"/>
          <w:szCs w:val="22"/>
          <w:rtl w:val="0"/>
        </w:rPr>
        <w:t xml:space="preserve">). PARA LAS SALAS  </w:t>
      </w:r>
    </w:p>
    <w:p w:rsidR="00000000" w:rsidDel="00000000" w:rsidP="00000000" w:rsidRDefault="00000000" w:rsidRPr="00000000" w14:paraId="000000B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Pleno de Sala;  </w:t>
      </w:r>
    </w:p>
    <w:p w:rsidR="00000000" w:rsidDel="00000000" w:rsidP="00000000" w:rsidRDefault="00000000" w:rsidRPr="00000000" w14:paraId="000000B4">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Presidente de Sala;  </w:t>
      </w:r>
    </w:p>
    <w:p w:rsidR="00000000" w:rsidDel="00000000" w:rsidP="00000000" w:rsidRDefault="00000000" w:rsidRPr="00000000" w14:paraId="000000B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Secretarios Auxiliares;  </w:t>
      </w:r>
    </w:p>
    <w:p w:rsidR="00000000" w:rsidDel="00000000" w:rsidP="00000000" w:rsidRDefault="00000000" w:rsidRPr="00000000" w14:paraId="000000B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Secretarios de Acuerdos;  </w:t>
      </w:r>
    </w:p>
    <w:p w:rsidR="00000000" w:rsidDel="00000000" w:rsidP="00000000" w:rsidRDefault="00000000" w:rsidRPr="00000000" w14:paraId="000000B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Actuarios; y  </w:t>
      </w:r>
    </w:p>
    <w:p w:rsidR="00000000" w:rsidDel="00000000" w:rsidP="00000000" w:rsidRDefault="00000000" w:rsidRPr="00000000" w14:paraId="000000B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Conciliadores. </w:t>
      </w:r>
    </w:p>
    <w:p w:rsidR="00000000" w:rsidDel="00000000" w:rsidP="00000000" w:rsidRDefault="00000000" w:rsidRPr="00000000" w14:paraId="000000B9">
      <w:pPr>
        <w:spacing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IV</w:t>
      </w:r>
    </w:p>
    <w:p w:rsidR="00000000" w:rsidDel="00000000" w:rsidP="00000000" w:rsidRDefault="00000000" w:rsidRPr="00000000" w14:paraId="000000BA">
      <w:pPr>
        <w:spacing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DEL FUNCIONAMIENTO DE LAS SALAS AUXILIARES</w:t>
      </w:r>
    </w:p>
    <w:p w:rsidR="00000000" w:rsidDel="00000000" w:rsidP="00000000" w:rsidRDefault="00000000" w:rsidRPr="00000000" w14:paraId="000000BB">
      <w:pPr>
        <w:spacing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SECCIÓN PRIMERA</w:t>
      </w:r>
    </w:p>
    <w:p w:rsidR="00000000" w:rsidDel="00000000" w:rsidP="00000000" w:rsidRDefault="00000000" w:rsidRPr="00000000" w14:paraId="000000BC">
      <w:pPr>
        <w:spacing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DEL PLENO DE LAS SALAS AUXILIARES</w:t>
      </w:r>
    </w:p>
    <w:p w:rsidR="00000000" w:rsidDel="00000000" w:rsidP="00000000" w:rsidRDefault="00000000" w:rsidRPr="00000000" w14:paraId="000000B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38.-</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Pleno de las Salas es el órgano supremo y sus disposiciones son obligatorias</w:t>
      </w:r>
      <w:r w:rsidDel="00000000" w:rsidR="00000000" w:rsidRPr="00000000">
        <w:rPr>
          <w:rFonts w:ascii="Palatino Linotype" w:cs="Palatino Linotype" w:eastAsia="Palatino Linotype" w:hAnsi="Palatino Linotype"/>
          <w:i w:val="1"/>
          <w:sz w:val="22"/>
          <w:szCs w:val="22"/>
          <w:rtl w:val="0"/>
        </w:rPr>
        <w:t xml:space="preserve">, celebrará Sesiones Ordinarias dos veces al mes, para conocer y resolver los asuntos de su competencia e informando de los mismos a los Representantes.</w:t>
      </w:r>
    </w:p>
    <w:p w:rsidR="00000000" w:rsidDel="00000000" w:rsidP="00000000" w:rsidRDefault="00000000" w:rsidRPr="00000000" w14:paraId="000000B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Asimismo, podrán celebrar Sesiones Extraordinarias, en las que se tratarán la elección del Presidente de Sala, y los asuntos que propongan éste o alguno de los Representantes y cuando sea necesario según propuesta que les haga el Presidente del Tribunal.  </w:t>
      </w:r>
    </w:p>
    <w:p w:rsidR="00000000" w:rsidDel="00000000" w:rsidP="00000000" w:rsidRDefault="00000000" w:rsidRPr="00000000" w14:paraId="000000B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39.-</w:t>
      </w:r>
      <w:r w:rsidDel="00000000" w:rsidR="00000000" w:rsidRPr="00000000">
        <w:rPr>
          <w:rFonts w:ascii="Palatino Linotype" w:cs="Palatino Linotype" w:eastAsia="Palatino Linotype" w:hAnsi="Palatino Linotype"/>
          <w:i w:val="1"/>
          <w:sz w:val="22"/>
          <w:szCs w:val="22"/>
          <w:rtl w:val="0"/>
        </w:rPr>
        <w:t xml:space="preserve"> El Pleno de cada una de las Salas, tendrá las facultades y obligaciones siguientes:  </w:t>
      </w:r>
    </w:p>
    <w:p w:rsidR="00000000" w:rsidDel="00000000" w:rsidP="00000000" w:rsidRDefault="00000000" w:rsidRPr="00000000" w14:paraId="000000C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Conocer y resolver los asuntos de su competencia;  </w:t>
      </w:r>
    </w:p>
    <w:p w:rsidR="00000000" w:rsidDel="00000000" w:rsidP="00000000" w:rsidRDefault="00000000" w:rsidRPr="00000000" w14:paraId="000000C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Conocer de las excusas que presente alguno de los Representantes;  </w:t>
      </w:r>
    </w:p>
    <w:p w:rsidR="00000000" w:rsidDel="00000000" w:rsidP="00000000" w:rsidRDefault="00000000" w:rsidRPr="00000000" w14:paraId="000000C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Emitir y firmar las resoluciones en las que se haga necesaria la concurrencia del </w:t>
      </w:r>
    </w:p>
    <w:p w:rsidR="00000000" w:rsidDel="00000000" w:rsidP="00000000" w:rsidRDefault="00000000" w:rsidRPr="00000000" w14:paraId="000000C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Pleno;  </w:t>
      </w:r>
    </w:p>
    <w:p w:rsidR="00000000" w:rsidDel="00000000" w:rsidP="00000000" w:rsidRDefault="00000000" w:rsidRPr="00000000" w14:paraId="000000C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Discutir, aprobar y firmar los laudos que sean sometidos a su consideración; y  </w:t>
      </w:r>
    </w:p>
    <w:p w:rsidR="00000000" w:rsidDel="00000000" w:rsidP="00000000" w:rsidRDefault="00000000" w:rsidRPr="00000000" w14:paraId="000000C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Las demás que les confieran las Leyes. </w:t>
      </w:r>
    </w:p>
    <w:p w:rsidR="00000000" w:rsidDel="00000000" w:rsidP="00000000" w:rsidRDefault="00000000" w:rsidRPr="00000000" w14:paraId="000000C6">
      <w:pPr>
        <w:spacing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SECCIÓN SEGUNDA</w:t>
      </w:r>
    </w:p>
    <w:p w:rsidR="00000000" w:rsidDel="00000000" w:rsidP="00000000" w:rsidRDefault="00000000" w:rsidRPr="00000000" w14:paraId="000000C7">
      <w:pPr>
        <w:spacing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PESIDENTES DE SALAS AUXILIARES</w:t>
      </w:r>
    </w:p>
    <w:p w:rsidR="00000000" w:rsidDel="00000000" w:rsidP="00000000" w:rsidRDefault="00000000" w:rsidRPr="00000000" w14:paraId="000000C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40.-</w:t>
      </w:r>
      <w:r w:rsidDel="00000000" w:rsidR="00000000" w:rsidRPr="00000000">
        <w:rPr>
          <w:rFonts w:ascii="Palatino Linotype" w:cs="Palatino Linotype" w:eastAsia="Palatino Linotype" w:hAnsi="Palatino Linotype"/>
          <w:i w:val="1"/>
          <w:sz w:val="22"/>
          <w:szCs w:val="22"/>
          <w:rtl w:val="0"/>
        </w:rPr>
        <w:t xml:space="preserve"> Los Presidentes de Salas, en el ámbito de su competencia, tendrán las facultades y obligaciones siguientes: </w:t>
      </w:r>
    </w:p>
    <w:p w:rsidR="00000000" w:rsidDel="00000000" w:rsidP="00000000" w:rsidRDefault="00000000" w:rsidRPr="00000000" w14:paraId="000000C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Presidir el Pleno de la Sala y convocar a Sesiones Ordinarias y Sesiones Extraordinarias, formulando el orden del día;  </w:t>
      </w:r>
    </w:p>
    <w:p w:rsidR="00000000" w:rsidDel="00000000" w:rsidP="00000000" w:rsidRDefault="00000000" w:rsidRPr="00000000" w14:paraId="000000C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Ejecutar los laudos emitidos por el Pleno y los convenios celebrados ante la Sala a su cargo,</w:t>
      </w:r>
      <w:r w:rsidDel="00000000" w:rsidR="00000000" w:rsidRPr="00000000">
        <w:rPr>
          <w:rFonts w:ascii="Palatino Linotype" w:cs="Palatino Linotype" w:eastAsia="Palatino Linotype" w:hAnsi="Palatino Linotype"/>
          <w:i w:val="1"/>
          <w:sz w:val="22"/>
          <w:szCs w:val="22"/>
          <w:rtl w:val="0"/>
        </w:rPr>
        <w:t xml:space="preserve"> empleando los medios de apremio que la Ley les autorice;  </w:t>
      </w:r>
    </w:p>
    <w:p w:rsidR="00000000" w:rsidDel="00000000" w:rsidP="00000000" w:rsidRDefault="00000000" w:rsidRPr="00000000" w14:paraId="000000C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w:t>
      </w:r>
      <w:r w:rsidDel="00000000" w:rsidR="00000000" w:rsidRPr="00000000">
        <w:rPr>
          <w:rFonts w:ascii="Palatino Linotype" w:cs="Palatino Linotype" w:eastAsia="Palatino Linotype" w:hAnsi="Palatino Linotype"/>
          <w:b w:val="1"/>
          <w:i w:val="1"/>
          <w:sz w:val="22"/>
          <w:szCs w:val="22"/>
          <w:rtl w:val="0"/>
        </w:rPr>
        <w:t xml:space="preserve">. Revisar los actos de los Actuarios en las ejecuciones de los laudos y los convenios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C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Adscribir a los servidores públicos de la Sala a su cargo, a sus diferentes unidades administrativas, para su mejor funcionamiento, previo acuerdo con el Presidente del Tribunal;  </w:t>
      </w:r>
    </w:p>
    <w:p w:rsidR="00000000" w:rsidDel="00000000" w:rsidP="00000000" w:rsidRDefault="00000000" w:rsidRPr="00000000" w14:paraId="000000C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Cuidar el buen funcionamiento de la Sala a su cargo, así como el orden y disciplina del personal de las mismas, imponiendo las sanciones administrativas que el presente Reglamento establece así como las que la Ley autorice;  </w:t>
      </w:r>
    </w:p>
    <w:p w:rsidR="00000000" w:rsidDel="00000000" w:rsidP="00000000" w:rsidRDefault="00000000" w:rsidRPr="00000000" w14:paraId="000000C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Rendir informe de actividades de los asuntos de la Sala a su cargo, quincenalmente a los Representantes del Pleno y diariamente al Presidente del Tribunal; </w:t>
      </w:r>
    </w:p>
    <w:p w:rsidR="00000000" w:rsidDel="00000000" w:rsidP="00000000" w:rsidRDefault="00000000" w:rsidRPr="00000000" w14:paraId="000000D0">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Vigilar que se engrosen los laudos emitidos, discutidos y aprobados;</w:t>
      </w:r>
    </w:p>
    <w:p w:rsidR="00000000" w:rsidDel="00000000" w:rsidP="00000000" w:rsidRDefault="00000000" w:rsidRPr="00000000" w14:paraId="000000D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Vigilar que los Secretarios de Acuerdos de la Sala prevengan sobre la oscuridad o defecto de la demanda del servidor público en términos de Ley;  </w:t>
      </w:r>
    </w:p>
    <w:p w:rsidR="00000000" w:rsidDel="00000000" w:rsidP="00000000" w:rsidRDefault="00000000" w:rsidRPr="00000000" w14:paraId="000000D2">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Interrogar libremente a las partes, a los testigos y a los peritos que intervengan en el juicio, para el esclarecimiento de la verdad;  </w:t>
      </w:r>
    </w:p>
    <w:p w:rsidR="00000000" w:rsidDel="00000000" w:rsidP="00000000" w:rsidRDefault="00000000" w:rsidRPr="00000000" w14:paraId="000000D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Proveer lo necesario para que los asuntos en trámite, no queden inactivos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D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Cumplimentar los exhortos que le sean turnados por otros Tribunales;  </w:t>
      </w:r>
    </w:p>
    <w:p w:rsidR="00000000" w:rsidDel="00000000" w:rsidP="00000000" w:rsidRDefault="00000000" w:rsidRPr="00000000" w14:paraId="000000D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 Imponer los medios de apremio y correcciones disciplinarias que señala la Ley</w:t>
      </w:r>
      <w:r w:rsidDel="00000000" w:rsidR="00000000" w:rsidRPr="00000000">
        <w:rPr>
          <w:rFonts w:ascii="Palatino Linotype" w:cs="Palatino Linotype" w:eastAsia="Palatino Linotype" w:hAnsi="Palatino Linotype"/>
          <w:i w:val="1"/>
          <w:sz w:val="22"/>
          <w:szCs w:val="22"/>
          <w:rtl w:val="0"/>
        </w:rPr>
        <w:t xml:space="preserve">, para mantener el buen orden y asegurar el cumplimiento de sus resoluciones, y aquellas que por razón de sus facultades tenga que dictar;  </w:t>
      </w:r>
    </w:p>
    <w:p w:rsidR="00000000" w:rsidDel="00000000" w:rsidP="00000000" w:rsidRDefault="00000000" w:rsidRPr="00000000" w14:paraId="000000D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Rendir los informes en los Amparos que se interpongan en contra de los laudos y resoluciones que emita la Sala a su cargo;  </w:t>
      </w:r>
    </w:p>
    <w:p w:rsidR="00000000" w:rsidDel="00000000" w:rsidP="00000000" w:rsidRDefault="00000000" w:rsidRPr="00000000" w14:paraId="000000D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Determinar dentro de los Secretarios Auxiliares adscritos a la Sala a su cargo, quién fungirá como Secretario del Pleno de la misma y;  </w:t>
      </w:r>
    </w:p>
    <w:p w:rsidR="00000000" w:rsidDel="00000000" w:rsidP="00000000" w:rsidRDefault="00000000" w:rsidRPr="00000000" w14:paraId="000000D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Las demás que le confiera la Ley</w:t>
      </w:r>
    </w:p>
    <w:p w:rsidR="00000000" w:rsidDel="00000000" w:rsidP="00000000" w:rsidRDefault="00000000" w:rsidRPr="00000000" w14:paraId="000000D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interpretación a la normatividad citada, se determina que el Tribunal, para su correcto funcionamiento cuenta con salas auxiliares, las cuales contarán con un Pleno; Presidente; Secretarios auxiliares; Secretarios de Acuerdos; Actuarios y Conciliadores. </w:t>
      </w:r>
    </w:p>
    <w:p w:rsidR="00000000" w:rsidDel="00000000" w:rsidP="00000000" w:rsidRDefault="00000000" w:rsidRPr="00000000" w14:paraId="000000D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el Presidente de cada Sala Auxiliar, tiene entre sus atribuciones, entre otras, </w:t>
      </w:r>
      <w:r w:rsidDel="00000000" w:rsidR="00000000" w:rsidRPr="00000000">
        <w:rPr>
          <w:rFonts w:ascii="Palatino Linotype" w:cs="Palatino Linotype" w:eastAsia="Palatino Linotype" w:hAnsi="Palatino Linotype"/>
          <w:b w:val="1"/>
          <w:sz w:val="22"/>
          <w:szCs w:val="22"/>
          <w:rtl w:val="0"/>
        </w:rPr>
        <w:t xml:space="preserve">ejecutar los laudos emitidos por el Pleno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revisar los actos de los Actuarios; interrogar libremente a las partes, </w:t>
      </w:r>
      <w:r w:rsidDel="00000000" w:rsidR="00000000" w:rsidRPr="00000000">
        <w:rPr>
          <w:rFonts w:ascii="Palatino Linotype" w:cs="Palatino Linotype" w:eastAsia="Palatino Linotype" w:hAnsi="Palatino Linotype"/>
          <w:sz w:val="22"/>
          <w:szCs w:val="22"/>
          <w:rtl w:val="0"/>
        </w:rPr>
        <w:t xml:space="preserve">a los testigos y a los peritos que intervengan en el juicio, para el esclarecimiento de la verdad; </w:t>
      </w:r>
      <w:r w:rsidDel="00000000" w:rsidR="00000000" w:rsidRPr="00000000">
        <w:rPr>
          <w:rFonts w:ascii="Palatino Linotype" w:cs="Palatino Linotype" w:eastAsia="Palatino Linotype" w:hAnsi="Palatino Linotype"/>
          <w:b w:val="1"/>
          <w:sz w:val="22"/>
          <w:szCs w:val="22"/>
          <w:rtl w:val="0"/>
        </w:rPr>
        <w:t xml:space="preserve">e imponer los medios de apremio y correcciones disciplinarias para asegurar el cumplimiento de las resoluciones</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D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ello, conviene señalar que el Manual de Procedimientos del Tribunal Estatal de Conciliación y Arbitraje, establece en su numeral 4.4 “Elaboración de Proyectos de Laudo en las Salas Auxiliares”, que un laudo es la resolución emitida por las Salas Auxiliares del Tribunal Estatal de Conciliación y Arbitraje, en la que se realiza un análisis jurídico de lo actuado en el juicio laboral, condenando, absolviendo, o, en su caso, ambos, de las prestaciones reclamadas y acciones ejercidas.</w:t>
      </w:r>
    </w:p>
    <w:p w:rsidR="00000000" w:rsidDel="00000000" w:rsidP="00000000" w:rsidRDefault="00000000" w:rsidRPr="00000000" w14:paraId="000000D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los artículos 242, 242 Bis, 243 y 244 de la Ley del Trabajo de los Servidores Públicos del Estado y Municipios, precisan que, una vez sustanciado el juicio laboral, se cerrará instrucción y se turnará al Auxiliar Dictaminador, para que emita el proyecto de laudo; lo anterior, para que en sesión de la Sala Auxiliar se dicte resolución, que si es aprobada se elevará a categoría de laudo.</w:t>
      </w:r>
    </w:p>
    <w:p w:rsidR="00000000" w:rsidDel="00000000" w:rsidP="00000000" w:rsidRDefault="00000000" w:rsidRPr="00000000" w14:paraId="000000E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los artículo 245, 246 y 249 de la Ley en comento, los laudos se dictarán a verdad sabida y buena fe guardada, apreciando los hechos en conciencia, sin sujetarse a reglas o formulismos sobre estimación de las pruebas, pero expresarán los motivos y fundamentos legales en que se apoyen; por lo que, deben ser claros, precisos y congruentes con la demanda, contestación y demás pretensiones deducidas en el juicio oportunamente; y finalmente, ante dicha determinación no procede recurso alguno.</w:t>
      </w:r>
    </w:p>
    <w:p w:rsidR="00000000" w:rsidDel="00000000" w:rsidP="00000000" w:rsidRDefault="00000000" w:rsidRPr="00000000" w14:paraId="000000E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y de la revisión a las actuaciones que integran el expediente electrónico del Saimex, se advierte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turnó la solicitud al área que cuenta con atribuciones para atender el requerimiento del particular. Siguiendo con ello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00000000" w:rsidDel="00000000" w:rsidP="00000000" w:rsidRDefault="00000000" w:rsidRPr="00000000" w14:paraId="000000E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6">
      <w:pPr>
        <w:numPr>
          <w:ilvl w:val="0"/>
          <w:numId w:val="5"/>
        </w:numP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000000" w:rsidDel="00000000" w:rsidP="00000000" w:rsidRDefault="00000000" w:rsidRPr="00000000" w14:paraId="000000E7">
      <w:pPr>
        <w:numPr>
          <w:ilvl w:val="0"/>
          <w:numId w:val="5"/>
        </w:numP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000000" w:rsidDel="00000000" w:rsidP="00000000" w:rsidRDefault="00000000" w:rsidRPr="00000000" w14:paraId="000000E8">
      <w:pPr>
        <w:numPr>
          <w:ilvl w:val="0"/>
          <w:numId w:val="5"/>
        </w:numP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respuestas a los requerimientos informativos deberán notificarse al interesado en el menor tiempo posible, que no podrá exceder </w:t>
      </w:r>
      <w:r w:rsidDel="00000000" w:rsidR="00000000" w:rsidRPr="00000000">
        <w:rPr>
          <w:rFonts w:ascii="Palatino Linotype" w:cs="Palatino Linotype" w:eastAsia="Palatino Linotype" w:hAnsi="Palatino Linotype"/>
          <w:b w:val="1"/>
          <w:sz w:val="22"/>
          <w:szCs w:val="22"/>
          <w:rtl w:val="0"/>
        </w:rPr>
        <w:t xml:space="preserve">quince días, contados a partir del día siguiente a la presentación de ésta.</w:t>
      </w:r>
      <w:r w:rsidDel="00000000" w:rsidR="00000000" w:rsidRPr="00000000">
        <w:rPr>
          <w:rFonts w:ascii="Palatino Linotype" w:cs="Palatino Linotype" w:eastAsia="Palatino Linotype" w:hAnsi="Palatino Linotype"/>
          <w:sz w:val="22"/>
          <w:szCs w:val="22"/>
          <w:rtl w:val="0"/>
        </w:rPr>
        <w:t xml:space="preserve"> Excepcionalmente, el plazo referido podrá ampliarse por siete días hábiles más, cuando existan razones fundadas y motivadas, a través del Comité de Transparencia;</w:t>
      </w:r>
    </w:p>
    <w:p w:rsidR="00000000" w:rsidDel="00000000" w:rsidP="00000000" w:rsidRDefault="00000000" w:rsidRPr="00000000" w14:paraId="000000E9">
      <w:pPr>
        <w:numPr>
          <w:ilvl w:val="0"/>
          <w:numId w:val="5"/>
        </w:numPr>
        <w:spacing w:line="360" w:lineRule="auto"/>
        <w:ind w:left="720" w:right="49" w:hanging="360"/>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b w:val="1"/>
          <w:sz w:val="22"/>
          <w:szCs w:val="22"/>
          <w:u w:val="single"/>
          <w:rtl w:val="0"/>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00000000" w:rsidDel="00000000" w:rsidP="00000000" w:rsidRDefault="00000000" w:rsidRPr="00000000" w14:paraId="000000EA">
      <w:pPr>
        <w:numPr>
          <w:ilvl w:val="0"/>
          <w:numId w:val="5"/>
        </w:numPr>
        <w:spacing w:line="360" w:lineRule="auto"/>
        <w:ind w:left="72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El acceso se dará en la modalidad de entrega y en su caso, de envío elegido por el solicitante, cuando no pueda entregarse en dicha modalidad, el Sujeto Obligado deberá ofrecer otras; por lo cual, deberá fundamentar y motivar la necesidad de modificar el medio de entrega, y</w:t>
      </w:r>
      <w:r w:rsidDel="00000000" w:rsidR="00000000" w:rsidRPr="00000000">
        <w:rPr>
          <w:rtl w:val="0"/>
        </w:rPr>
      </w:r>
    </w:p>
    <w:p w:rsidR="00000000" w:rsidDel="00000000" w:rsidP="00000000" w:rsidRDefault="00000000" w:rsidRPr="00000000" w14:paraId="000000EB">
      <w:pPr>
        <w:numPr>
          <w:ilvl w:val="0"/>
          <w:numId w:val="5"/>
        </w:numPr>
        <w:spacing w:line="360" w:lineRule="auto"/>
        <w:ind w:left="72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Del="00000000" w:rsidR="00000000" w:rsidRPr="00000000">
        <w:rPr>
          <w:rtl w:val="0"/>
        </w:rPr>
      </w:r>
    </w:p>
    <w:p w:rsidR="00000000" w:rsidDel="00000000" w:rsidP="00000000" w:rsidRDefault="00000000" w:rsidRPr="00000000" w14:paraId="000000E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que, se reitera que la Unidad de Transparencia si bien siguió el procedimiento para atender la solicitud que ahora nos ocupa, esto es, turnó la solicitud de información a la unidad administrativa competente que por sus atribuciones cuenta con la información solicitada, a través del oficio número CT:0091/2024 de fecha dos de diciembre de dos mil veinticuatro, lo cierto es que, dicha unidad administrativa fue omisa en atender el requerimiento de información. </w:t>
      </w:r>
    </w:p>
    <w:p w:rsidR="00000000" w:rsidDel="00000000" w:rsidP="00000000" w:rsidRDefault="00000000" w:rsidRPr="00000000" w14:paraId="000000E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es menester recordar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través del requerimiento adicional realizado por este Organismo Garante, fue omiso en informar el estado procesal en el que se encuentra el expediente con número de folio SAE/330/2020 al veintinueve de noviembre de dos mil veinticuatro, puesto que de la propia solicitud de información no se advierte que dicho expediente se trate de un juicio concluido o si bien este sigue en trámite. </w:t>
      </w:r>
    </w:p>
    <w:p w:rsidR="00000000" w:rsidDel="00000000" w:rsidP="00000000" w:rsidRDefault="00000000" w:rsidRPr="00000000" w14:paraId="000000F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cabe señalar que dicho requerimiento se hizo en atención a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solicitó las actuaciones realizadas en el ejercicio 2024, sin embargo, la solicitud de información fue promovida el veintinueve de noviembre de dos mil veinticuatro, por ende, el derecho de acceso a la información se debe ejercer de la información generada al momento de presentar la solicitud respectiva, es decir del primero de enero al veintinueve de noviembre de dos mil veinticuatro. </w:t>
      </w:r>
    </w:p>
    <w:p w:rsidR="00000000" w:rsidDel="00000000" w:rsidP="00000000" w:rsidRDefault="00000000" w:rsidRPr="00000000" w14:paraId="000000F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consecuencia y derivado de la falta de pronunciamiento del servidor público habilitado competente, el Pleno de este Instituto determina que los agravios hechos valer por la parte Recurrente en su recurso de revisión, devienen fundados y, por ende, resulta procedente revocar 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ordenar la entrega, previa búsqueda exhaustiva y razonable, vía Sistema de Acceso a la Información Mexiquense, en versión pública lo siguiente: </w:t>
      </w:r>
    </w:p>
    <w:p w:rsidR="00000000" w:rsidDel="00000000" w:rsidP="00000000" w:rsidRDefault="00000000" w:rsidRPr="00000000" w14:paraId="000000F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5">
      <w:pPr>
        <w:numPr>
          <w:ilvl w:val="0"/>
          <w:numId w:val="6"/>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caso de que se encuentre concluido, el expediente con número de folio SAE/330/2020 al veintinueve de noviembre de dos mil veinticuatro.</w:t>
      </w:r>
    </w:p>
    <w:p w:rsidR="00000000" w:rsidDel="00000000" w:rsidP="00000000" w:rsidRDefault="00000000" w:rsidRPr="00000000" w14:paraId="000000F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para el caso de que el expediente con número de folio SAE/330/2020 aún se encuentre en trámite, deberá clasificar la información en su totalidad, de conformidad con el artículo 140, fracción VIII, de la Ley de Transparencia y Acceso a la Información Pública del Estado de México y Municipios, homólogo al artículo 113, fracción XI, de la Ley General de Transparencia y Acceso a la Información Pública, el cual establece que será información reservada, aquella que vulnere la conducción de los expedientes judiciales o de los procedimientos administrativos seguidos en forma de juicio, en tanto no hayan causado estado.</w:t>
      </w:r>
    </w:p>
    <w:p w:rsidR="00000000" w:rsidDel="00000000" w:rsidP="00000000" w:rsidRDefault="00000000" w:rsidRPr="00000000" w14:paraId="000000F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el Sujeto Obligado deberá desarrollar una prueba de daño específica, para lo cual, deberá tomar en cuenta lo establecido en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00000000" w:rsidDel="00000000" w:rsidP="00000000" w:rsidRDefault="00000000" w:rsidRPr="00000000" w14:paraId="000000FA">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B">
      <w:pPr>
        <w:numPr>
          <w:ilvl w:val="0"/>
          <w:numId w:val="7"/>
        </w:numPr>
        <w:tabs>
          <w:tab w:val="left" w:leader="none" w:pos="4962"/>
        </w:tabs>
        <w:spacing w:line="360" w:lineRule="auto"/>
        <w:ind w:left="851" w:hanging="43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divulgación de la información representa un riesgo real, demostrable e identificable de perjuicio significativo al interés público o a la seguridad nacional.</w:t>
      </w:r>
    </w:p>
    <w:p w:rsidR="00000000" w:rsidDel="00000000" w:rsidP="00000000" w:rsidRDefault="00000000" w:rsidRPr="00000000" w14:paraId="000000FC">
      <w:pPr>
        <w:numPr>
          <w:ilvl w:val="0"/>
          <w:numId w:val="7"/>
        </w:numPr>
        <w:tabs>
          <w:tab w:val="left" w:leader="none" w:pos="4962"/>
        </w:tabs>
        <w:spacing w:line="360" w:lineRule="auto"/>
        <w:ind w:left="851" w:hanging="43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riesgo de perjuicio supera el interés público general de que se difunda.</w:t>
      </w:r>
    </w:p>
    <w:p w:rsidR="00000000" w:rsidDel="00000000" w:rsidP="00000000" w:rsidRDefault="00000000" w:rsidRPr="00000000" w14:paraId="000000FD">
      <w:pPr>
        <w:numPr>
          <w:ilvl w:val="0"/>
          <w:numId w:val="7"/>
        </w:numPr>
        <w:tabs>
          <w:tab w:val="left" w:leader="none" w:pos="4962"/>
        </w:tabs>
        <w:spacing w:line="360" w:lineRule="auto"/>
        <w:ind w:left="851" w:hanging="43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Que la limitación se adecua al principio de proporcionalidad y representa el medio menos restrictivo disponible para evitar el perjuicio.</w:t>
      </w:r>
    </w:p>
    <w:p w:rsidR="00000000" w:rsidDel="00000000" w:rsidP="00000000" w:rsidRDefault="00000000" w:rsidRPr="00000000" w14:paraId="000000F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otra parte,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rsidR="00000000" w:rsidDel="00000000" w:rsidP="00000000" w:rsidRDefault="00000000" w:rsidRPr="00000000" w14:paraId="0000010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considera que, para el caso de que el expediente con número de folio SAE/330/2020 se encuentren en trámite,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deberá proporcionar el Acuerdo, mediante el cual, el Comité de Transparencia confirme la clasificación de los documentos que conforman el expediente, en términos del artículo 140, fracción VIII, de la Ley de Transparencia y Acceso a la Información Pública del Estado de México y Municipios. </w:t>
      </w:r>
    </w:p>
    <w:p w:rsidR="00000000" w:rsidDel="00000000" w:rsidP="00000000" w:rsidRDefault="00000000" w:rsidRPr="00000000" w14:paraId="000001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3">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Como fue debidamente apuntado, el Sujeto Obligado debe satisfacer la solicitud de acceso a la información; sin embargo, en caso de que la misma contenga datos personales, deberá clasificarlos, observando las formalidades siguientes:</w:t>
      </w:r>
    </w:p>
    <w:p w:rsidR="00000000" w:rsidDel="00000000" w:rsidP="00000000" w:rsidRDefault="00000000" w:rsidRPr="00000000" w14:paraId="000001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5">
      <w:pPr>
        <w:shd w:fill="ffffff" w:val="clea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derecho de acceso a la información pública tiene como limitante el respeto a la intimidad y a la vida privada de las personas, es por 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000000" w:rsidDel="00000000" w:rsidP="00000000" w:rsidRDefault="00000000" w:rsidRPr="00000000" w14:paraId="00000106">
      <w:pPr>
        <w:shd w:fill="ffffff" w:val="clea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7">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00000" w:rsidDel="00000000" w:rsidP="00000000" w:rsidRDefault="00000000" w:rsidRPr="00000000" w14:paraId="00000108">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9">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los artículos 3 fracciones IX, XX, XXI, XXXII y XLV; 6, 49 fracción VIII, 91, 137, 143 Fracción I, de la Ley de Transparencia y Acceso a la Información Pública del Estado de México y Municipios vigente establecen:</w:t>
      </w:r>
    </w:p>
    <w:p w:rsidR="00000000" w:rsidDel="00000000" w:rsidP="00000000" w:rsidRDefault="00000000" w:rsidRPr="00000000" w14:paraId="0000010A">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B">
      <w:pPr>
        <w:shd w:fill="ffffff" w:val="clear"/>
        <w:spacing w:line="276"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 Para los efectos de la presente Ley se entenderá por:</w:t>
      </w:r>
      <w:r w:rsidDel="00000000" w:rsidR="00000000" w:rsidRPr="00000000">
        <w:rPr>
          <w:rtl w:val="0"/>
        </w:rPr>
      </w:r>
    </w:p>
    <w:p w:rsidR="00000000" w:rsidDel="00000000" w:rsidP="00000000" w:rsidRDefault="00000000" w:rsidRPr="00000000" w14:paraId="0000010C">
      <w:pPr>
        <w:shd w:fill="ffffff" w:val="clear"/>
        <w:spacing w:line="276"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0D">
      <w:pPr>
        <w:shd w:fill="ffffff" w:val="clear"/>
        <w:spacing w:line="276"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w:t>
      </w:r>
      <w:r w:rsidDel="00000000" w:rsidR="00000000" w:rsidRPr="00000000">
        <w:rPr>
          <w:rtl w:val="0"/>
        </w:rPr>
      </w:r>
    </w:p>
    <w:p w:rsidR="00000000" w:rsidDel="00000000" w:rsidP="00000000" w:rsidRDefault="00000000" w:rsidRPr="00000000" w14:paraId="0000010E">
      <w:pPr>
        <w:shd w:fill="ffffff" w:val="clea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F">
      <w:pPr>
        <w:shd w:fill="ffffff" w:val="clea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10">
      <w:pPr>
        <w:shd w:fill="ffffff" w:val="clea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11">
      <w:pPr>
        <w:shd w:fill="ffffff" w:val="clea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2">
      <w:pPr>
        <w:shd w:fill="ffffff" w:val="clea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113">
      <w:pPr>
        <w:shd w:fill="ffffff" w:val="clea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4">
      <w:pPr>
        <w:shd w:fill="ffffff" w:val="clear"/>
        <w:spacing w:line="276"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r w:rsidDel="00000000" w:rsidR="00000000" w:rsidRPr="00000000">
        <w:rPr>
          <w:rtl w:val="0"/>
        </w:rPr>
      </w:r>
    </w:p>
    <w:p w:rsidR="00000000" w:rsidDel="00000000" w:rsidP="00000000" w:rsidRDefault="00000000" w:rsidRPr="00000000" w14:paraId="00000115">
      <w:pPr>
        <w:shd w:fill="ffffff" w:val="clear"/>
        <w:spacing w:line="276"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r w:rsidDel="00000000" w:rsidR="00000000" w:rsidRPr="00000000">
        <w:rPr>
          <w:rtl w:val="0"/>
        </w:rPr>
      </w:r>
    </w:p>
    <w:p w:rsidR="00000000" w:rsidDel="00000000" w:rsidP="00000000" w:rsidRDefault="00000000" w:rsidRPr="00000000" w14:paraId="00000116">
      <w:pPr>
        <w:shd w:fill="ffffff" w:val="clea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Los Comités de Transparencia tendrán las siguientes atribuciones:</w:t>
      </w:r>
    </w:p>
    <w:p w:rsidR="00000000" w:rsidDel="00000000" w:rsidP="00000000" w:rsidRDefault="00000000" w:rsidRPr="00000000" w14:paraId="00000117">
      <w:pPr>
        <w:shd w:fill="ffffff" w:val="clea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8">
      <w:pPr>
        <w:shd w:fill="ffffff" w:val="clea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Aprobar, modificar o revocar la clasificación de la información;</w:t>
      </w:r>
    </w:p>
    <w:p w:rsidR="00000000" w:rsidDel="00000000" w:rsidP="00000000" w:rsidRDefault="00000000" w:rsidRPr="00000000" w14:paraId="00000119">
      <w:pPr>
        <w:shd w:fill="ffffff" w:val="clea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A">
      <w:pPr>
        <w:shd w:fill="ffffff" w:val="clea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11B">
      <w:pPr>
        <w:shd w:fill="ffffff" w:val="clea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C">
      <w:pPr>
        <w:shd w:fill="ffffff" w:val="clear"/>
        <w:spacing w:line="276"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1D">
      <w:pPr>
        <w:shd w:fill="ffffff" w:val="clear"/>
        <w:spacing w:line="276"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r w:rsidDel="00000000" w:rsidR="00000000" w:rsidRPr="00000000">
        <w:rPr>
          <w:rtl w:val="0"/>
        </w:rPr>
      </w:r>
    </w:p>
    <w:p w:rsidR="00000000" w:rsidDel="00000000" w:rsidP="00000000" w:rsidRDefault="00000000" w:rsidRPr="00000000" w14:paraId="0000011E">
      <w:pPr>
        <w:shd w:fill="ffffff" w:val="clea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1F">
      <w:pPr>
        <w:shd w:fill="ffffff" w:val="clear"/>
        <w:spacing w:line="360" w:lineRule="auto"/>
        <w:ind w:left="851" w:right="851"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0">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000000" w:rsidDel="00000000" w:rsidP="00000000" w:rsidRDefault="00000000" w:rsidRPr="00000000" w14:paraId="00000121">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2">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estos a personas ajenas a su titular.</w:t>
      </w:r>
    </w:p>
    <w:p w:rsidR="00000000" w:rsidDel="00000000" w:rsidP="00000000" w:rsidRDefault="00000000" w:rsidRPr="00000000" w14:paraId="00000123">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4">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25">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6">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127">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8">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9">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2A">
      <w:pPr>
        <w:spacing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r w:rsidDel="00000000" w:rsidR="00000000" w:rsidRPr="00000000">
        <w:rPr>
          <w:rtl w:val="0"/>
        </w:rPr>
      </w:r>
    </w:p>
    <w:p w:rsidR="00000000" w:rsidDel="00000000" w:rsidP="00000000" w:rsidRDefault="00000000" w:rsidRPr="00000000" w14:paraId="0000012B">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w:t>
      </w:r>
    </w:p>
    <w:p w:rsidR="00000000" w:rsidDel="00000000" w:rsidP="00000000" w:rsidRDefault="00000000" w:rsidRPr="00000000" w14:paraId="0000012C">
      <w:pPr>
        <w:spacing w:line="360"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esta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2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cuyo contenido es de la literalidad siguiente:</w:t>
      </w:r>
    </w:p>
    <w:p w:rsidR="00000000" w:rsidDel="00000000" w:rsidP="00000000" w:rsidRDefault="00000000" w:rsidRPr="00000000" w14:paraId="0000012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0">
      <w:pPr>
        <w:spacing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w:t>
      </w:r>
    </w:p>
    <w:p w:rsidR="00000000" w:rsidDel="00000000" w:rsidP="00000000" w:rsidRDefault="00000000" w:rsidRPr="00000000" w14:paraId="00000131">
      <w:pPr>
        <w:spacing w:line="360" w:lineRule="auto"/>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000000" w:rsidDel="00000000" w:rsidP="00000000" w:rsidRDefault="00000000" w:rsidRPr="00000000" w14:paraId="0000013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artículo 143, fracción I, de la Ley de Transparencia y Acceso a la Información Pública del Estado de México y Municipios, establece que deberá omitirse, eliminarse o suprimirse la información </w:t>
      </w:r>
      <w:r w:rsidDel="00000000" w:rsidR="00000000" w:rsidRPr="00000000">
        <w:rPr>
          <w:rFonts w:ascii="Palatino Linotype" w:cs="Palatino Linotype" w:eastAsia="Palatino Linotype" w:hAnsi="Palatino Linotype"/>
          <w:b w:val="1"/>
          <w:sz w:val="22"/>
          <w:szCs w:val="22"/>
          <w:rtl w:val="0"/>
        </w:rPr>
        <w:t xml:space="preserve">confidencial</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3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000000" w:rsidDel="00000000" w:rsidP="00000000" w:rsidRDefault="00000000" w:rsidRPr="00000000" w14:paraId="000001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cabe recalcar que el documento que contengan diversos datos como Registro Federal de Contribuyentes (RFC), Clave única de Registro de Población (CURP), clave del Instituto de Seguridad Social del Estado de México y Municipios (ISSEMyM) o cualquier otro dato que ponga en riesgo la vida, seguridad y salud de dichas personas, se deberán omitir, por actualizar la causal de clasificación prevista en la fracción I del artículo 143 de la Ley de Transparencia y Acceso a la Información del Estado de México y Municipios, en razón a lo siguiente: </w:t>
      </w:r>
    </w:p>
    <w:p w:rsidR="00000000" w:rsidDel="00000000" w:rsidP="00000000" w:rsidRDefault="00000000" w:rsidRPr="00000000" w14:paraId="0000013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rsidR="00000000" w:rsidDel="00000000" w:rsidP="00000000" w:rsidRDefault="00000000" w:rsidRPr="00000000" w14:paraId="0000013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es aplicable el Criterio 19/17 de la Segunda Época, emitido por el INAI, que dice:</w:t>
      </w:r>
    </w:p>
    <w:p w:rsidR="00000000" w:rsidDel="00000000" w:rsidP="00000000" w:rsidRDefault="00000000" w:rsidRPr="00000000" w14:paraId="0000013D">
      <w:pPr>
        <w:tabs>
          <w:tab w:val="left" w:leader="none" w:pos="7655"/>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Registro Federal de Contribuyentes (RFC) de personas físicas. El RFC es una clave</w:t>
      </w:r>
      <w:r w:rsidDel="00000000" w:rsidR="00000000" w:rsidRPr="00000000">
        <w:rPr>
          <w:rFonts w:ascii="Palatino Linotype" w:cs="Palatino Linotype" w:eastAsia="Palatino Linotype" w:hAnsi="Palatino Linotype"/>
          <w:i w:val="1"/>
          <w:sz w:val="22"/>
          <w:szCs w:val="22"/>
          <w:rtl w:val="0"/>
        </w:rPr>
        <w:t xml:space="preserve"> de carácter fiscal, única e irrepetible, </w:t>
      </w:r>
      <w:r w:rsidDel="00000000" w:rsidR="00000000" w:rsidRPr="00000000">
        <w:rPr>
          <w:rFonts w:ascii="Palatino Linotype" w:cs="Palatino Linotype" w:eastAsia="Palatino Linotype" w:hAnsi="Palatino Linotype"/>
          <w:b w:val="1"/>
          <w:i w:val="1"/>
          <w:sz w:val="22"/>
          <w:szCs w:val="22"/>
          <w:rtl w:val="0"/>
        </w:rPr>
        <w:t xml:space="preserve">que permite identificar al titular, su edad y fecha de nacimiento</w:t>
      </w:r>
      <w:r w:rsidDel="00000000" w:rsidR="00000000" w:rsidRPr="00000000">
        <w:rPr>
          <w:rFonts w:ascii="Palatino Linotype" w:cs="Palatino Linotype" w:eastAsia="Palatino Linotype" w:hAnsi="Palatino Linotype"/>
          <w:i w:val="1"/>
          <w:sz w:val="22"/>
          <w:szCs w:val="22"/>
          <w:rtl w:val="0"/>
        </w:rPr>
        <w:t xml:space="preserve">, por lo que </w:t>
      </w:r>
      <w:r w:rsidDel="00000000" w:rsidR="00000000" w:rsidRPr="00000000">
        <w:rPr>
          <w:rFonts w:ascii="Palatino Linotype" w:cs="Palatino Linotype" w:eastAsia="Palatino Linotype" w:hAnsi="Palatino Linotype"/>
          <w:b w:val="1"/>
          <w:i w:val="1"/>
          <w:sz w:val="22"/>
          <w:szCs w:val="22"/>
          <w:rtl w:val="0"/>
        </w:rPr>
        <w:t xml:space="preserve">es un dato personal de carácter confidencial</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E">
      <w:pPr>
        <w:tabs>
          <w:tab w:val="left" w:leader="none" w:pos="7655"/>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(Énfasis añadido)</w:t>
      </w:r>
      <w:r w:rsidDel="00000000" w:rsidR="00000000" w:rsidRPr="00000000">
        <w:rPr>
          <w:rtl w:val="0"/>
        </w:rPr>
      </w:r>
    </w:p>
    <w:p w:rsidR="00000000" w:rsidDel="00000000" w:rsidP="00000000" w:rsidRDefault="00000000" w:rsidRPr="00000000" w14:paraId="0000013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000000" w:rsidDel="00000000" w:rsidP="00000000" w:rsidRDefault="00000000" w:rsidRPr="00000000" w14:paraId="0000014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 CURP</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000000" w:rsidDel="00000000" w:rsidP="00000000" w:rsidRDefault="00000000" w:rsidRPr="00000000" w14:paraId="0000014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tiene sustento en los artículos 86 y 91 de la Ley General de Población, la cual señala lo siguiente:</w:t>
      </w:r>
    </w:p>
    <w:p w:rsidR="00000000" w:rsidDel="00000000" w:rsidP="00000000" w:rsidRDefault="00000000" w:rsidRPr="00000000" w14:paraId="0000014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86. </w:t>
      </w:r>
      <w:r w:rsidDel="00000000" w:rsidR="00000000" w:rsidRPr="00000000">
        <w:rPr>
          <w:rFonts w:ascii="Palatino Linotype" w:cs="Palatino Linotype" w:eastAsia="Palatino Linotype" w:hAnsi="Palatino Linotype"/>
          <w:i w:val="1"/>
          <w:sz w:val="22"/>
          <w:szCs w:val="22"/>
          <w:rtl w:val="0"/>
        </w:rPr>
        <w:t xml:space="preserve">El Registro Nacional de Población tiene como finalidad registrar a cada una de las personas que integran la población del país, con los datos que permitan certificar y acreditar fehacientemente su identidad.</w:t>
      </w:r>
    </w:p>
    <w:p w:rsidR="00000000" w:rsidDel="00000000" w:rsidP="00000000" w:rsidRDefault="00000000" w:rsidRPr="00000000" w14:paraId="0000014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Al incorporar a una persona en el Registro Nacional de Población</w:t>
      </w:r>
      <w:r w:rsidDel="00000000" w:rsidR="00000000" w:rsidRPr="00000000">
        <w:rPr>
          <w:rFonts w:ascii="Palatino Linotype" w:cs="Palatino Linotype" w:eastAsia="Palatino Linotype" w:hAnsi="Palatino Linotype"/>
          <w:i w:val="1"/>
          <w:sz w:val="22"/>
          <w:szCs w:val="22"/>
          <w:rtl w:val="0"/>
        </w:rPr>
        <w:t xml:space="preserve">, se le asignará una clave </w:t>
      </w:r>
      <w:r w:rsidDel="00000000" w:rsidR="00000000" w:rsidRPr="00000000">
        <w:rPr>
          <w:rFonts w:ascii="Palatino Linotype" w:cs="Palatino Linotype" w:eastAsia="Palatino Linotype" w:hAnsi="Palatino Linotype"/>
          <w:b w:val="1"/>
          <w:i w:val="1"/>
          <w:sz w:val="22"/>
          <w:szCs w:val="22"/>
          <w:rtl w:val="0"/>
        </w:rPr>
        <w:t xml:space="preserve">que se denominará Clave Única de Registro de Población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Esta servirá para</w:t>
      </w:r>
      <w:r w:rsidDel="00000000" w:rsidR="00000000" w:rsidRPr="00000000">
        <w:rPr>
          <w:rFonts w:ascii="Palatino Linotype" w:cs="Palatino Linotype" w:eastAsia="Palatino Linotype" w:hAnsi="Palatino Linotype"/>
          <w:i w:val="1"/>
          <w:sz w:val="22"/>
          <w:szCs w:val="22"/>
          <w:rtl w:val="0"/>
        </w:rPr>
        <w:t xml:space="preserve"> registrarla e </w:t>
      </w:r>
      <w:r w:rsidDel="00000000" w:rsidR="00000000" w:rsidRPr="00000000">
        <w:rPr>
          <w:rFonts w:ascii="Palatino Linotype" w:cs="Palatino Linotype" w:eastAsia="Palatino Linotype" w:hAnsi="Palatino Linotype"/>
          <w:b w:val="1"/>
          <w:i w:val="1"/>
          <w:sz w:val="22"/>
          <w:szCs w:val="22"/>
          <w:rtl w:val="0"/>
        </w:rPr>
        <w:t xml:space="preserve">identificarla en forma individual</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47">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14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rsidR="00000000" w:rsidDel="00000000" w:rsidP="00000000" w:rsidRDefault="00000000" w:rsidRPr="00000000" w14:paraId="000001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el INAI, a través del Criterio 18/17 de la Segunda Época, señala literalmente lo siguiente:</w:t>
      </w:r>
    </w:p>
    <w:p w:rsidR="00000000" w:rsidDel="00000000" w:rsidP="00000000" w:rsidRDefault="00000000" w:rsidRPr="00000000" w14:paraId="0000014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Clave Única de Registro de Población (CURP).</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Clave Única de Registro de Población se integra por datos personales que sólo conciernen al particular titular</w:t>
      </w:r>
      <w:r w:rsidDel="00000000" w:rsidR="00000000" w:rsidRPr="00000000">
        <w:rPr>
          <w:rFonts w:ascii="Palatino Linotype" w:cs="Palatino Linotype" w:eastAsia="Palatino Linotype" w:hAnsi="Palatino Linotype"/>
          <w:i w:val="1"/>
          <w:sz w:val="22"/>
          <w:szCs w:val="22"/>
          <w:rtl w:val="0"/>
        </w:rPr>
        <w:t xml:space="preserve"> de la misma, </w:t>
      </w:r>
      <w:r w:rsidDel="00000000" w:rsidR="00000000" w:rsidRPr="00000000">
        <w:rPr>
          <w:rFonts w:ascii="Palatino Linotype" w:cs="Palatino Linotype" w:eastAsia="Palatino Linotype" w:hAnsi="Palatino Linotype"/>
          <w:b w:val="1"/>
          <w:i w:val="1"/>
          <w:sz w:val="22"/>
          <w:szCs w:val="22"/>
          <w:rtl w:val="0"/>
        </w:rPr>
        <w:t xml:space="preserve">como lo son su nombre, apellidos, fecha de nacimiento, lugar de nacimiento y sexo</w:t>
      </w:r>
      <w:r w:rsidDel="00000000" w:rsidR="00000000" w:rsidRPr="00000000">
        <w:rPr>
          <w:rFonts w:ascii="Palatino Linotype" w:cs="Palatino Linotype" w:eastAsia="Palatino Linotype" w:hAnsi="Palatino Linotype"/>
          <w:i w:val="1"/>
          <w:sz w:val="22"/>
          <w:szCs w:val="22"/>
          <w:rtl w:val="0"/>
        </w:rPr>
        <w:t xml:space="preserve">. Dichos datos, constituyen información que distingue plenamente a una persona física del resto de los habitantes del país, </w:t>
      </w:r>
      <w:r w:rsidDel="00000000" w:rsidR="00000000" w:rsidRPr="00000000">
        <w:rPr>
          <w:rFonts w:ascii="Palatino Linotype" w:cs="Palatino Linotype" w:eastAsia="Palatino Linotype" w:hAnsi="Palatino Linotype"/>
          <w:b w:val="1"/>
          <w:i w:val="1"/>
          <w:sz w:val="22"/>
          <w:szCs w:val="22"/>
          <w:rtl w:val="0"/>
        </w:rPr>
        <w:t xml:space="preserve">por lo que la CURP está considerada como información confidencial</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14C">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14D">
      <w:pPr>
        <w:spacing w:line="360" w:lineRule="auto"/>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00000" w:rsidDel="00000000" w:rsidP="00000000" w:rsidRDefault="00000000" w:rsidRPr="00000000" w14:paraId="0000014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0">
      <w:pPr>
        <w:numPr>
          <w:ilvl w:val="0"/>
          <w:numId w:val="8"/>
        </w:numP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Actor de Juicio laboral (Exservidor público)</w:t>
      </w:r>
    </w:p>
    <w:p w:rsidR="00000000" w:rsidDel="00000000" w:rsidP="00000000" w:rsidRDefault="00000000" w:rsidRPr="00000000" w14:paraId="00000151">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En principio, resulta necesario traer a colación el Criterio de interpretación, con clave de control SO/015/2023, de la Tercera Época, emitido por el Instituto Nacional de Transparencia y Acceso a la Información y Protección de Datos Personales, el cual precisa que el </w:t>
      </w:r>
      <w:r w:rsidDel="00000000" w:rsidR="00000000" w:rsidRPr="00000000">
        <w:rPr>
          <w:rFonts w:ascii="Palatino Linotype" w:cs="Palatino Linotype" w:eastAsia="Palatino Linotype" w:hAnsi="Palatino Linotype"/>
          <w:b w:val="1"/>
          <w:sz w:val="22"/>
          <w:szCs w:val="22"/>
          <w:u w:val="single"/>
          <w:rtl w:val="0"/>
        </w:rPr>
        <w:t xml:space="preserve">nombre de los actores en conflictos laborales</w:t>
      </w:r>
      <w:r w:rsidDel="00000000" w:rsidR="00000000" w:rsidRPr="00000000">
        <w:rPr>
          <w:rFonts w:ascii="Palatino Linotype" w:cs="Palatino Linotype" w:eastAsia="Palatino Linotype" w:hAnsi="Palatino Linotype"/>
          <w:sz w:val="22"/>
          <w:szCs w:val="22"/>
          <w:rtl w:val="0"/>
        </w:rPr>
        <w:t xml:space="preserve">, evidencian un acto de voluntad de quien lo realiza y refleja la posición jurídica en la que se han colocado por decisión propia, con la finalidad de obtener sus pretensiones laborales, las cuales revisten de carácter estrictamente privado; por lo cual, el nombre de los actores de los juicios laborales que se encuentran en trámite o que, en su defecto, concluyeron con la emisión de un laudo desfavorable, se trata de información confidencial;</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sin embargo, </w:t>
      </w:r>
      <w:r w:rsidDel="00000000" w:rsidR="00000000" w:rsidRPr="00000000">
        <w:rPr>
          <w:rFonts w:ascii="Palatino Linotype" w:cs="Palatino Linotype" w:eastAsia="Palatino Linotype" w:hAnsi="Palatino Linotype"/>
          <w:b w:val="1"/>
          <w:sz w:val="22"/>
          <w:szCs w:val="22"/>
          <w:rtl w:val="0"/>
        </w:rPr>
        <w:t xml:space="preserve">procede la entrega de dicho dato, cuando en definitiva se haya condenado a una dependencia o entidad al pago de las prestaciones económicas reclamadas o la reinstalación del servidor público.</w:t>
      </w:r>
    </w:p>
    <w:p w:rsidR="00000000" w:rsidDel="00000000" w:rsidP="00000000" w:rsidRDefault="00000000" w:rsidRPr="00000000" w14:paraId="0000015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3">
      <w:pPr>
        <w:numPr>
          <w:ilvl w:val="0"/>
          <w:numId w:val="8"/>
        </w:numP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Representantes legales del Actor y Sujeto Obligado</w:t>
      </w:r>
    </w:p>
    <w:p w:rsidR="00000000" w:rsidDel="00000000" w:rsidP="00000000" w:rsidRDefault="00000000" w:rsidRPr="00000000" w14:paraId="00000154">
      <w:pP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resulta necesario señalar que un representante legal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 quien actúa en nombre de otra persona y que es reconocido por la ley. Por lo que, el nombre de un representante legal de la parte actora no puede ser público, al tratarse de una tercera persona que no guarda alguna relación con el Sujeto Obligado, ni recibe recursos públicos, pues únicamente actúa en favor de los intereses de su cliente.</w:t>
      </w:r>
    </w:p>
    <w:p w:rsidR="00000000" w:rsidDel="00000000" w:rsidP="00000000" w:rsidRDefault="00000000" w:rsidRPr="00000000" w14:paraId="00000155">
      <w:pPr>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6">
      <w:pP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resulta así en el caso de que el exservidor público, le este pagando a su abogado con recursos privados, por lo que, procedería su clasificación; sin embargo, si se trata de un defensor de oficio, que sea servidor público, esto es que reciba recursos públicos por cumplir sus funciones procederá su entrega.</w:t>
      </w:r>
    </w:p>
    <w:p w:rsidR="00000000" w:rsidDel="00000000" w:rsidP="00000000" w:rsidRDefault="00000000" w:rsidRPr="00000000" w14:paraId="00000157">
      <w:pPr>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8">
      <w:pP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Mientras el nombre del representante legal del Sujeto Obligado, no puede ser objeto de clasificación, en virtud de que la representación persigue la finalidad de dar certeza jurídica a los actos que realiza, en el presente caso, la representación del Ayuntamiento, además, que se trata de un servidor público de dicha dependencia, que mediante su actuar cumple con sus funciones y atribuciones establecidas. En esa tesitura, la representación de las personas se realizará por medio de representantes o apoderados, y en el caso específico de las sociedades mercantiles, dicha representación se otorgará mediante instrumento público.</w:t>
      </w:r>
    </w:p>
    <w:p w:rsidR="00000000" w:rsidDel="00000000" w:rsidP="00000000" w:rsidRDefault="00000000" w:rsidRPr="00000000" w14:paraId="0000015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Ante tales situaciones, </w:t>
      </w:r>
      <w:r w:rsidDel="00000000" w:rsidR="00000000" w:rsidRPr="00000000">
        <w:rPr>
          <w:rFonts w:ascii="Palatino Linotype" w:cs="Palatino Linotype" w:eastAsia="Palatino Linotype" w:hAnsi="Palatino Linotype"/>
          <w:b w:val="1"/>
          <w:sz w:val="22"/>
          <w:szCs w:val="22"/>
          <w:rtl w:val="0"/>
        </w:rPr>
        <w:t xml:space="preserve">el nombre del representante legal de la parte demandada, así como el del representante de la parte actora, para el caso de ser defensor público de oficio, </w:t>
      </w:r>
      <w:r w:rsidDel="00000000" w:rsidR="00000000" w:rsidRPr="00000000">
        <w:rPr>
          <w:rFonts w:ascii="Palatino Linotype" w:cs="Palatino Linotype" w:eastAsia="Palatino Linotype" w:hAnsi="Palatino Linotype"/>
          <w:sz w:val="22"/>
          <w:szCs w:val="22"/>
          <w:u w:val="single"/>
          <w:rtl w:val="0"/>
        </w:rPr>
        <w:t xml:space="preserve">no es susceptible de ser clasificado como confidencial</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mientras que, </w:t>
      </w:r>
      <w:r w:rsidDel="00000000" w:rsidR="00000000" w:rsidRPr="00000000">
        <w:rPr>
          <w:rFonts w:ascii="Palatino Linotype" w:cs="Palatino Linotype" w:eastAsia="Palatino Linotype" w:hAnsi="Palatino Linotype"/>
          <w:sz w:val="22"/>
          <w:szCs w:val="22"/>
          <w:u w:val="single"/>
          <w:rtl w:val="0"/>
        </w:rPr>
        <w:t xml:space="preserve">para el caso de que el representante de la parte actora no sea servidor público,</w:t>
      </w:r>
      <w:r w:rsidDel="00000000" w:rsidR="00000000" w:rsidRPr="00000000">
        <w:rPr>
          <w:rFonts w:ascii="Palatino Linotype" w:cs="Palatino Linotype" w:eastAsia="Palatino Linotype" w:hAnsi="Palatino Linotype"/>
          <w:b w:val="1"/>
          <w:sz w:val="22"/>
          <w:szCs w:val="22"/>
          <w:rtl w:val="0"/>
        </w:rPr>
        <w:t xml:space="preserve"> su nombre es susceptible de clasificación </w:t>
      </w:r>
      <w:r w:rsidDel="00000000" w:rsidR="00000000" w:rsidRPr="00000000">
        <w:rPr>
          <w:rFonts w:ascii="Palatino Linotype" w:cs="Palatino Linotype" w:eastAsia="Palatino Linotype" w:hAnsi="Palatino Linotype"/>
          <w:sz w:val="22"/>
          <w:szCs w:val="22"/>
          <w:rtl w:val="0"/>
        </w:rPr>
        <w:t xml:space="preserve">en términos del artículo 143, fracción I, de la Ley de Transparencia y Acceso a la Información Pública del Estado de México y Municipios, al actuar en carácter particular.</w:t>
      </w:r>
    </w:p>
    <w:p w:rsidR="00000000" w:rsidDel="00000000" w:rsidP="00000000" w:rsidRDefault="00000000" w:rsidRPr="00000000" w14:paraId="0000015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C">
      <w:pPr>
        <w:numPr>
          <w:ilvl w:val="0"/>
          <w:numId w:val="8"/>
        </w:numP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Personas que participan en el juicio laboral, en su carácter particular</w:t>
      </w:r>
    </w:p>
    <w:p w:rsidR="00000000" w:rsidDel="00000000" w:rsidP="00000000" w:rsidRDefault="00000000" w:rsidRPr="00000000" w14:paraId="0000015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cabe señalar que, en el presente caso, se trata de los nombres que participaron en el juicio laboral, pero que no fueron las partes en controversia, actor o demandado, sino que se trata de los testigos o bien, que participaron por alguna otra circunstancia, en beneficio de alguna de las partes, lo cual atañe a la vida privada de estos.</w:t>
      </w:r>
    </w:p>
    <w:p w:rsidR="00000000" w:rsidDel="00000000" w:rsidP="00000000" w:rsidRDefault="00000000" w:rsidRPr="00000000" w14:paraId="0000015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toda vez que proporcionar el nombre de dichas personas, </w:t>
      </w:r>
      <w:r w:rsidDel="00000000" w:rsidR="00000000" w:rsidRPr="00000000">
        <w:rPr>
          <w:rFonts w:ascii="Palatino Linotype" w:cs="Palatino Linotype" w:eastAsia="Palatino Linotype" w:hAnsi="Palatino Linotype"/>
          <w:b w:val="1"/>
          <w:sz w:val="22"/>
          <w:szCs w:val="22"/>
          <w:rtl w:val="0"/>
        </w:rPr>
        <w:t xml:space="preserve">revelaría su decisión personal </w:t>
      </w:r>
      <w:r w:rsidDel="00000000" w:rsidR="00000000" w:rsidRPr="00000000">
        <w:rPr>
          <w:rFonts w:ascii="Palatino Linotype" w:cs="Palatino Linotype" w:eastAsia="Palatino Linotype" w:hAnsi="Palatino Linotype"/>
          <w:sz w:val="22"/>
          <w:szCs w:val="22"/>
          <w:rtl w:val="0"/>
        </w:rPr>
        <w:t xml:space="preserve">de dichos individuos de decidir participar en algún juicio, en el presente caso, laboral, en beneficio de la parte actora o demandada; al respecto, el artículo 12 de la Declaración Universal de los Derechos Humanos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prevé que nadie será objeto de injerencias arbitrarias en su vida privada, su familia, su domicilio o su correspondencia, ni de ataques a su honra o a su reputación. Toda persona tiene derecho a la protección de la ley contra tales injerencias o ataques.</w:t>
      </w:r>
    </w:p>
    <w:p w:rsidR="00000000" w:rsidDel="00000000" w:rsidP="00000000" w:rsidRDefault="00000000" w:rsidRPr="00000000" w14:paraId="0000016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rsidR="00000000" w:rsidDel="00000000" w:rsidP="00000000" w:rsidRDefault="00000000" w:rsidRPr="00000000" w14:paraId="0000016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rsidR="00000000" w:rsidDel="00000000" w:rsidP="00000000" w:rsidRDefault="00000000" w:rsidRPr="00000000" w14:paraId="00000164">
      <w:pPr>
        <w:tabs>
          <w:tab w:val="left" w:leader="none" w:pos="2475"/>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5">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Abona a lo anterior,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rsidR="00000000" w:rsidDel="00000000" w:rsidP="00000000" w:rsidRDefault="00000000" w:rsidRPr="00000000" w14:paraId="0000016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DERECHO A LA VIDA PRIVADA. SU CONTENIDO GENERAL Y LA IMPORTANCIA DE NO DESCONTEXTUALIZAR LAS REFERENCIAS A LA MISMA. </w:t>
      </w:r>
      <w:r w:rsidDel="00000000" w:rsidR="00000000" w:rsidRPr="00000000">
        <w:rPr>
          <w:rFonts w:ascii="Palatino Linotype" w:cs="Palatino Linotype" w:eastAsia="Palatino Linotype" w:hAnsi="Palatino Linotype"/>
          <w:i w:val="1"/>
          <w:sz w:val="22"/>
          <w:szCs w:val="22"/>
          <w:rtl w:val="0"/>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Del="00000000" w:rsidR="00000000" w:rsidRPr="00000000">
        <w:rPr>
          <w:rFonts w:ascii="Palatino Linotype" w:cs="Palatino Linotype" w:eastAsia="Palatino Linotype" w:hAnsi="Palatino Linotype"/>
          <w:b w:val="1"/>
          <w:i w:val="1"/>
          <w:sz w:val="22"/>
          <w:szCs w:val="22"/>
          <w:rtl w:val="0"/>
        </w:rPr>
        <w:t xml:space="preserve">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Del="00000000" w:rsidR="00000000" w:rsidRPr="00000000">
        <w:rPr>
          <w:rFonts w:ascii="Palatino Linotype" w:cs="Palatino Linotype" w:eastAsia="Palatino Linotype" w:hAnsi="Palatino Linotype"/>
          <w:i w:val="1"/>
          <w:sz w:val="22"/>
          <w:szCs w:val="22"/>
          <w:rtl w:val="0"/>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Del="00000000" w:rsidR="00000000" w:rsidRPr="00000000">
        <w:rPr>
          <w:rFonts w:ascii="Palatino Linotype" w:cs="Palatino Linotype" w:eastAsia="Palatino Linotype" w:hAnsi="Palatino Linotype"/>
          <w:b w:val="1"/>
          <w:i w:val="1"/>
          <w:sz w:val="22"/>
          <w:szCs w:val="22"/>
          <w:rtl w:val="0"/>
        </w:rPr>
        <w:t xml:space="preserve">En un sentido amplio, entonces, la protección constitucional de la vida privada implica poder conducir parte de la vida de uno protegido de la mirada y las injerencias de los demás</w:t>
      </w:r>
      <w:r w:rsidDel="00000000" w:rsidR="00000000" w:rsidRPr="00000000">
        <w:rPr>
          <w:rFonts w:ascii="Palatino Linotype" w:cs="Palatino Linotype" w:eastAsia="Palatino Linotype" w:hAnsi="Palatino Linotype"/>
          <w:i w:val="1"/>
          <w:sz w:val="22"/>
          <w:szCs w:val="22"/>
          <w:rtl w:val="0"/>
        </w:rPr>
        <w:t xml:space="preserve">,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rsidR="00000000" w:rsidDel="00000000" w:rsidP="00000000" w:rsidRDefault="00000000" w:rsidRPr="00000000" w14:paraId="00000167">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8">
      <w:pPr>
        <w:spacing w:line="360" w:lineRule="auto"/>
        <w:ind w:right="-9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conformidad con lo señalado, se colige que </w:t>
      </w:r>
      <w:r w:rsidDel="00000000" w:rsidR="00000000" w:rsidRPr="00000000">
        <w:rPr>
          <w:rFonts w:ascii="Palatino Linotype" w:cs="Palatino Linotype" w:eastAsia="Palatino Linotype" w:hAnsi="Palatino Linotype"/>
          <w:b w:val="1"/>
          <w:sz w:val="22"/>
          <w:szCs w:val="22"/>
          <w:rtl w:val="0"/>
        </w:rPr>
        <w:t xml:space="preserve">las actividades que realicen los particulares, dentro del ámbito privado, o dentro de la esfera particular, es información que debe protegerse. </w:t>
      </w:r>
      <w:r w:rsidDel="00000000" w:rsidR="00000000" w:rsidRPr="00000000">
        <w:rPr>
          <w:rFonts w:ascii="Palatino Linotype" w:cs="Palatino Linotype" w:eastAsia="Palatino Linotype" w:hAnsi="Palatino Linotype"/>
          <w:sz w:val="22"/>
          <w:szCs w:val="22"/>
          <w:rtl w:val="0"/>
        </w:rPr>
        <w:t xml:space="preserve">En el presente caso, proporcionar el nombre, vinculado con el hecho de que participó en algún juicio laboral, para acreditar el dicho de alguna de las partes en controversia, iría en contra del derecho a la vida privada, pues daría cuenta de la decisión personal; es decir, un acto de voluntad de dicha persona para actuar en dicho procedimiento, en su carácter particular.</w:t>
      </w:r>
      <w:r w:rsidDel="00000000" w:rsidR="00000000" w:rsidRPr="00000000">
        <w:rPr>
          <w:rtl w:val="0"/>
        </w:rPr>
      </w:r>
    </w:p>
    <w:p w:rsidR="00000000" w:rsidDel="00000000" w:rsidP="00000000" w:rsidRDefault="00000000" w:rsidRPr="00000000" w14:paraId="0000016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w:t>
      </w:r>
    </w:p>
    <w:p w:rsidR="00000000" w:rsidDel="00000000" w:rsidP="00000000" w:rsidRDefault="00000000" w:rsidRPr="00000000" w14:paraId="0000016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C">
      <w:pPr>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“DERECHO A LA PRIVACIDAD O INTIMIDAD. ESTÁ PROTEGIDO POR EL ARTÍCULO 16, PRIMER PÁRRAFO, DE LA CONSTITUCIÓN POLÍTICA DE LOS ESTADOS UNIDOS MEXICANOS. </w:t>
      </w:r>
      <w:r w:rsidDel="00000000" w:rsidR="00000000" w:rsidRPr="00000000">
        <w:rPr>
          <w:rFonts w:ascii="Palatino Linotype" w:cs="Palatino Linotype" w:eastAsia="Palatino Linotype" w:hAnsi="Palatino Linotype"/>
          <w:i w:val="1"/>
          <w:sz w:val="22"/>
          <w:szCs w:val="22"/>
          <w:rtl w:val="0"/>
        </w:rPr>
        <w:t xml:space="preserve">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rsidR="00000000" w:rsidDel="00000000" w:rsidP="00000000" w:rsidRDefault="00000000" w:rsidRPr="00000000" w14:paraId="0000016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dicha tesis aislada,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 </w:t>
      </w:r>
    </w:p>
    <w:p w:rsidR="00000000" w:rsidDel="00000000" w:rsidP="00000000" w:rsidRDefault="00000000" w:rsidRPr="00000000" w14:paraId="0000016F">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70">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Así, en un sentido amplio, dicha garantía puede extenderse a una protección más allá del aseguramiento del domicilio como espacio físico en que se desenvuelve normalmente la privacidad o la intimidad, por lo que en el artículo 16, primer párrafo, constitucional, </w:t>
      </w:r>
      <w:r w:rsidDel="00000000" w:rsidR="00000000" w:rsidRPr="00000000">
        <w:rPr>
          <w:rFonts w:ascii="Palatino Linotype" w:cs="Palatino Linotype" w:eastAsia="Palatino Linotype" w:hAnsi="Palatino Linotype"/>
          <w:b w:val="1"/>
          <w:sz w:val="22"/>
          <w:szCs w:val="22"/>
          <w:rtl w:val="0"/>
        </w:rPr>
        <w:t xml:space="preserve">se da el reconocimiento de un derecho a la privacidad de las personas que implica no ser sujeto de intromisiones o molestias en el ámbito reservado de su vida o intimidad. </w:t>
      </w:r>
    </w:p>
    <w:p w:rsidR="00000000" w:rsidDel="00000000" w:rsidP="00000000" w:rsidRDefault="00000000" w:rsidRPr="00000000" w14:paraId="0000017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caso, proporcionar el nombre de aquellas personas, que en su carácter particular, decidieron participar en un juicio laboral y que no son las partes en controversia, implicaría revelar un aspecto de la vida privada, correspondiente a la decisión personal de ayudar a la parte actora o demandada, a acreditar su dicho o demostrar hechos y por lo tanto, también se afectaría, su intimidad.</w:t>
      </w:r>
    </w:p>
    <w:p w:rsidR="00000000" w:rsidDel="00000000" w:rsidP="00000000" w:rsidRDefault="00000000" w:rsidRPr="00000000" w14:paraId="0000017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tales circunstancias, </w:t>
      </w:r>
      <w:r w:rsidDel="00000000" w:rsidR="00000000" w:rsidRPr="00000000">
        <w:rPr>
          <w:rFonts w:ascii="Palatino Linotype" w:cs="Palatino Linotype" w:eastAsia="Palatino Linotype" w:hAnsi="Palatino Linotype"/>
          <w:b w:val="1"/>
          <w:sz w:val="22"/>
          <w:szCs w:val="22"/>
          <w:rtl w:val="0"/>
        </w:rPr>
        <w:t xml:space="preserve">se estima procedente la clasificación</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del nombre de las personas que participaron en algún juicio laboral, en su carácter de particulares,</w:t>
      </w:r>
      <w:r w:rsidDel="00000000" w:rsidR="00000000" w:rsidRPr="00000000">
        <w:rPr>
          <w:rFonts w:ascii="Palatino Linotype" w:cs="Palatino Linotype" w:eastAsia="Palatino Linotype" w:hAnsi="Palatino Linotype"/>
          <w:sz w:val="22"/>
          <w:szCs w:val="22"/>
          <w:rtl w:val="0"/>
        </w:rPr>
        <w:t xml:space="preserve"> y que no corresponden al actor o demandado, sin embargo, ayudaron alguno de estos, para acreditar su dicho, en términos del artículo 143, fracción I de la Ley de Transparencia y Acceso a la Información Pública del Estado de México y Municipios.</w:t>
      </w:r>
    </w:p>
    <w:p w:rsidR="00000000" w:rsidDel="00000000" w:rsidP="00000000" w:rsidRDefault="00000000" w:rsidRPr="00000000" w14:paraId="0000017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6">
      <w:pPr>
        <w:numPr>
          <w:ilvl w:val="0"/>
          <w:numId w:val="8"/>
        </w:numP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Clave de registro o elector</w:t>
      </w:r>
    </w:p>
    <w:p w:rsidR="00000000" w:rsidDel="00000000" w:rsidP="00000000" w:rsidRDefault="00000000" w:rsidRPr="00000000" w14:paraId="00000177">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este Instituto localizó el Acuerdo del Consejo General del Instituto Federal Electoral, por el que se aprueban diversas disposiciones relativas a la forma y contenido de la Lista nominal de electores residentes en el extranjero, que se utilizará con motivo de la jornada electoral, del primero de julio de dos mil doce, publicado en el Diario Oficial de la Federación el cinco de abril de dos mil doce, en el cual establece que la clave de elector, se conforma por las consonantes iniciales de los apellidos y el nombre del elector, seguido de su fecha de nacimiento (dos dígitos para el año, dos dígitos para el mes, dos dígitos para el día), número de la entidad federativa de nacimiento, letra que identifica el género y una homoclave compuesta de tres dígitos, dando un total de 18 caracteres.</w:t>
      </w:r>
    </w:p>
    <w:p w:rsidR="00000000" w:rsidDel="00000000" w:rsidP="00000000" w:rsidRDefault="00000000" w:rsidRPr="00000000" w14:paraId="00000178">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9">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puede advertir que, con la clave de elector, se podrían obtener indicios o datos completos de una persona, que la podría ser identificada e identificable, pues se podría inferir el nombre de la persona, así como, su fecha y entidad de nacimiento, los cuales son considerados de su vida privada.</w:t>
      </w:r>
    </w:p>
    <w:p w:rsidR="00000000" w:rsidDel="00000000" w:rsidP="00000000" w:rsidRDefault="00000000" w:rsidRPr="00000000" w14:paraId="0000017A">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B">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al ser un dato que hace reconocible a una persona física, resulta procedente su clasificación como información confidencial en términos de lo dispuesto por el artículo 143, fracción I de la Ley de Transparencia y Acceso a la Información Pública del Estado de México y Municipios.</w:t>
      </w:r>
    </w:p>
    <w:p w:rsidR="00000000" w:rsidDel="00000000" w:rsidP="00000000" w:rsidRDefault="00000000" w:rsidRPr="00000000" w14:paraId="0000017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D">
      <w:pPr>
        <w:numPr>
          <w:ilvl w:val="0"/>
          <w:numId w:val="8"/>
        </w:numP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Domicilio Particular</w:t>
      </w:r>
    </w:p>
    <w:p w:rsidR="00000000" w:rsidDel="00000000" w:rsidP="00000000" w:rsidRDefault="00000000" w:rsidRPr="00000000" w14:paraId="0000017E">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000000" w:rsidDel="00000000" w:rsidP="00000000" w:rsidRDefault="00000000" w:rsidRPr="00000000" w14:paraId="0000017F">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0">
      <w:pPr>
        <w:spacing w:line="360" w:lineRule="auto"/>
        <w:ind w:right="-9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la misma manera, lo establece el artículo 29 del Código Civil Federal, al precisar que el domicilio de personas físicas</w:t>
      </w:r>
      <w:r w:rsidDel="00000000" w:rsidR="00000000" w:rsidRPr="00000000">
        <w:rPr>
          <w:rFonts w:ascii="Palatino Linotype" w:cs="Palatino Linotype" w:eastAsia="Palatino Linotype" w:hAnsi="Palatino Linotype"/>
          <w:b w:val="1"/>
          <w:sz w:val="22"/>
          <w:szCs w:val="22"/>
          <w:rtl w:val="0"/>
        </w:rPr>
        <w:t xml:space="preserve">, es el lugar donde residen habitualmente, el lugar del centro principal de sus negocios, donde residan o el lugar donde se encuentren.</w:t>
      </w:r>
    </w:p>
    <w:p w:rsidR="00000000" w:rsidDel="00000000" w:rsidP="00000000" w:rsidRDefault="00000000" w:rsidRPr="00000000" w14:paraId="00000181">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82">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rsidR="00000000" w:rsidDel="00000000" w:rsidP="00000000" w:rsidRDefault="00000000" w:rsidRPr="00000000" w14:paraId="00000183">
      <w:pPr>
        <w:numPr>
          <w:ilvl w:val="0"/>
          <w:numId w:val="8"/>
        </w:numP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Huella dactilar</w:t>
      </w:r>
    </w:p>
    <w:p w:rsidR="00000000" w:rsidDel="00000000" w:rsidP="00000000" w:rsidRDefault="00000000" w:rsidRPr="00000000" w14:paraId="0000018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la huella dactilar es la impresión visible o moldeada que produce el contacto de las crestas papilares de un dedo de la mano sobre una superficie. 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9">
        <w:r w:rsidDel="00000000" w:rsidR="00000000" w:rsidRPr="00000000">
          <w:rPr>
            <w:rFonts w:ascii="Palatino Linotype" w:cs="Palatino Linotype" w:eastAsia="Palatino Linotype" w:hAnsi="Palatino Linotype"/>
            <w:sz w:val="22"/>
            <w:szCs w:val="22"/>
            <w:u w:val="single"/>
            <w:rtl w:val="0"/>
          </w:rPr>
          <w:t xml:space="preserve">https://docplayer.es/5455342-Nuevas-tecnologias-biometricas-instituto-nacional-de-ciencias-penales-procuraduria-general-de-la-republica-version-1-0.html</w:t>
        </w:r>
      </w:hyperlink>
      <w:r w:rsidDel="00000000" w:rsidR="00000000" w:rsidRPr="00000000">
        <w:rPr>
          <w:rFonts w:ascii="Palatino Linotype" w:cs="Palatino Linotype" w:eastAsia="Palatino Linotype" w:hAnsi="Palatino Linotype"/>
          <w:sz w:val="22"/>
          <w:szCs w:val="22"/>
          <w:rtl w:val="0"/>
        </w:rPr>
        <w:t xml:space="preserve">, se indica que existen tres principios fundamentales para la identificación de las huellas dactilares, a saber: </w:t>
      </w:r>
    </w:p>
    <w:p w:rsidR="00000000" w:rsidDel="00000000" w:rsidP="00000000" w:rsidRDefault="00000000" w:rsidRPr="00000000" w14:paraId="0000018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6">
      <w:pPr>
        <w:numPr>
          <w:ilvl w:val="0"/>
          <w:numId w:val="9"/>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Primer principio. La huella es una característica individual. No hay dos huellas con características en las crestas que sean idénticas. </w:t>
      </w:r>
    </w:p>
    <w:p w:rsidR="00000000" w:rsidDel="00000000" w:rsidP="00000000" w:rsidRDefault="00000000" w:rsidRPr="00000000" w14:paraId="00000187">
      <w:pPr>
        <w:numPr>
          <w:ilvl w:val="0"/>
          <w:numId w:val="9"/>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Segundo principio. Una huella permanece sin cambios durante toda la vida de un individuo (sin embargo, puede adquirir cicatrices o cualquier otra deformación que impida su identificación clara). </w:t>
      </w:r>
    </w:p>
    <w:p w:rsidR="00000000" w:rsidDel="00000000" w:rsidP="00000000" w:rsidRDefault="00000000" w:rsidRPr="00000000" w14:paraId="00000188">
      <w:pPr>
        <w:numPr>
          <w:ilvl w:val="0"/>
          <w:numId w:val="9"/>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Tercer principio. Las huellas tienen patrones que se forman con sus crestas, lo que hace posible clasificarlas sistemáticamente para agilizar las búsquedas. </w:t>
      </w:r>
    </w:p>
    <w:p w:rsidR="00000000" w:rsidDel="00000000" w:rsidP="00000000" w:rsidRDefault="00000000" w:rsidRPr="00000000" w14:paraId="0000018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rsidR="00000000" w:rsidDel="00000000" w:rsidP="00000000" w:rsidRDefault="00000000" w:rsidRPr="00000000" w14:paraId="0000018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siguiente Tesis Aislada:</w:t>
      </w:r>
    </w:p>
    <w:p w:rsidR="00000000" w:rsidDel="00000000" w:rsidP="00000000" w:rsidRDefault="00000000" w:rsidRPr="00000000" w14:paraId="0000018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“HUELLA DACTILAR. ES APTA PARA ACREDITAR EL CONSENTIMIENTO EN LA CELEBRACIÓN DE UN CONTRATO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sidDel="00000000" w:rsidR="00000000" w:rsidRPr="00000000">
        <w:rPr>
          <w:rFonts w:ascii="Palatino Linotype" w:cs="Palatino Linotype" w:eastAsia="Palatino Linotype" w:hAnsi="Palatino Linotype"/>
          <w:i w:val="1"/>
          <w:sz w:val="22"/>
          <w:szCs w:val="22"/>
          <w:rtl w:val="0"/>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w:t>
      </w:r>
    </w:p>
    <w:p w:rsidR="00000000" w:rsidDel="00000000" w:rsidP="00000000" w:rsidRDefault="00000000" w:rsidRPr="00000000" w14:paraId="0000018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En la actualidad existen sistemas denominados AFIS por sus siglas en inglés </w:t>
      </w:r>
      <w:r w:rsidDel="00000000" w:rsidR="00000000" w:rsidRPr="00000000">
        <w:rPr>
          <w:rFonts w:ascii="Palatino Linotype" w:cs="Palatino Linotype" w:eastAsia="Palatino Linotype" w:hAnsi="Palatino Linotype"/>
          <w:i w:val="1"/>
          <w:sz w:val="22"/>
          <w:szCs w:val="22"/>
          <w:rtl w:val="0"/>
        </w:rPr>
        <w:t xml:space="preserve">Automated Fingerprint Identification System</w:t>
      </w:r>
      <w:r w:rsidDel="00000000" w:rsidR="00000000" w:rsidRPr="00000000">
        <w:rPr>
          <w:rFonts w:ascii="Palatino Linotype" w:cs="Palatino Linotype" w:eastAsia="Palatino Linotype" w:hAnsi="Palatino Linotype"/>
          <w:sz w:val="22"/>
          <w:szCs w:val="22"/>
          <w:rtl w:val="0"/>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rsidR="00000000" w:rsidDel="00000000" w:rsidP="00000000" w:rsidRDefault="00000000" w:rsidRPr="00000000" w14:paraId="0000019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términos de la calidad de la imagen se debe observar que en la NOM-151-SCFI-2016 publicada en el Diario Oficial de la Federación el 30 de Marzo de 2017,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rsidR="00000000" w:rsidDel="00000000" w:rsidP="00000000" w:rsidRDefault="00000000" w:rsidRPr="00000000" w14:paraId="0000019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rsidR="00000000" w:rsidDel="00000000" w:rsidP="00000000" w:rsidRDefault="00000000" w:rsidRPr="00000000" w14:paraId="0000019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6">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Por lo anterior, la huella dactilar no sólo constituye un dato personal confidencial de carácter biométrico, sino que su tratamiento debe llevarse a cabo a través de medidas de seguridad que garanticen su adecuado tratamiento, por lo que </w:t>
      </w:r>
      <w:r w:rsidDel="00000000" w:rsidR="00000000" w:rsidRPr="00000000">
        <w:rPr>
          <w:rFonts w:ascii="Palatino Linotype" w:cs="Palatino Linotype" w:eastAsia="Palatino Linotype" w:hAnsi="Palatino Linotype"/>
          <w:b w:val="1"/>
          <w:sz w:val="22"/>
          <w:szCs w:val="22"/>
          <w:rtl w:val="0"/>
        </w:rPr>
        <w:t xml:space="preserve">debe ser clasificado como confidencial en términos del artículo 143, fracción I, de la Ley de Transparencia y Acceso a la Información Pública del Estado de México y Municipios.</w:t>
      </w:r>
    </w:p>
    <w:p w:rsidR="00000000" w:rsidDel="00000000" w:rsidP="00000000" w:rsidRDefault="00000000" w:rsidRPr="00000000" w14:paraId="000001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es importante insistir que </w:t>
      </w:r>
      <w:r w:rsidDel="00000000" w:rsidR="00000000" w:rsidRPr="00000000">
        <w:rPr>
          <w:rFonts w:ascii="Palatino Linotype" w:cs="Palatino Linotype" w:eastAsia="Palatino Linotype" w:hAnsi="Palatino Linotype"/>
          <w:b w:val="1"/>
          <w:sz w:val="22"/>
          <w:szCs w:val="22"/>
          <w:rtl w:val="0"/>
        </w:rPr>
        <w:t xml:space="preserve">EL SUJETO OBLIGADO</w:t>
      </w:r>
      <w:r w:rsidDel="00000000" w:rsidR="00000000" w:rsidRPr="00000000">
        <w:rPr>
          <w:rFonts w:ascii="Palatino Linotype" w:cs="Palatino Linotype" w:eastAsia="Palatino Linotype" w:hAnsi="Palatino Linotype"/>
          <w:sz w:val="22"/>
          <w:szCs w:val="22"/>
          <w:rtl w:val="0"/>
        </w:rPr>
        <w:t xml:space="preserve"> deberá seguir el procedimiento legal establecido para su clasificación, esto es, que su Comité de Transparencia emita un Acuerdo de Clasificación que cumpla con las formalidades previstas, antes citadas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00000" w:rsidDel="00000000" w:rsidP="00000000" w:rsidRDefault="00000000" w:rsidRPr="00000000" w14:paraId="0000019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A">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Del="00000000" w:rsidR="00000000" w:rsidRPr="00000000">
        <w:rPr>
          <w:rFonts w:ascii="Palatino Linotype" w:cs="Palatino Linotype" w:eastAsia="Palatino Linotype" w:hAnsi="Palatino Linotype"/>
          <w:b w:val="1"/>
          <w:sz w:val="22"/>
          <w:szCs w:val="22"/>
          <w:u w:val="single"/>
          <w:rtl w:val="0"/>
        </w:rPr>
        <w:t xml:space="preserve">razones, motivos o circunstancias especiales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que lo llevaron a concluir que el caso concreto, se ajustó a los supuestos previstos en la normatividad legal invocada como fundamento, para dichos efectos, debe proceder a su vez a realizar una prueba de daño</w:t>
      </w:r>
      <w:r w:rsidDel="00000000" w:rsidR="00000000" w:rsidRPr="00000000">
        <w:rPr>
          <w:rFonts w:ascii="Palatino Linotype" w:cs="Palatino Linotype" w:eastAsia="Palatino Linotype" w:hAnsi="Palatino Linotype"/>
          <w:sz w:val="22"/>
          <w:szCs w:val="22"/>
          <w:rtl w:val="0"/>
        </w:rPr>
        <w:t xml:space="preserve">,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000000" w:rsidDel="00000000" w:rsidP="00000000" w:rsidRDefault="00000000" w:rsidRPr="00000000" w14:paraId="0000019B">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9D">
      <w:pPr>
        <w:spacing w:line="360" w:lineRule="auto"/>
        <w:ind w:left="567"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19E">
      <w:pPr>
        <w:spacing w:line="360" w:lineRule="auto"/>
        <w:ind w:left="1080" w:firstLine="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9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w:t>
      </w:r>
      <w:r w:rsidDel="00000000" w:rsidR="00000000" w:rsidRPr="00000000">
        <w:rPr>
          <w:rFonts w:ascii="Palatino Linotype" w:cs="Palatino Linotype" w:eastAsia="Palatino Linotype" w:hAnsi="Palatino Linotype"/>
          <w:sz w:val="22"/>
          <w:szCs w:val="22"/>
          <w:rtl w:val="0"/>
        </w:rPr>
        <w:t xml:space="preserve"> Resultan </w:t>
      </w:r>
      <w:r w:rsidDel="00000000" w:rsidR="00000000" w:rsidRPr="00000000">
        <w:rPr>
          <w:rFonts w:ascii="Palatino Linotype" w:cs="Palatino Linotype" w:eastAsia="Palatino Linotype" w:hAnsi="Palatino Linotype"/>
          <w:b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00064/INFOEM/IP/RR/2025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 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REVOCA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A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 </w:t>
      </w:r>
      <w:r w:rsidDel="00000000" w:rsidR="00000000" w:rsidRPr="00000000">
        <w:rPr>
          <w:rFonts w:ascii="Palatino Linotype" w:cs="Palatino Linotype" w:eastAsia="Palatino Linotype" w:hAnsi="Palatino Linotype"/>
          <w:b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en términos del </w:t>
      </w:r>
      <w:r w:rsidDel="00000000" w:rsidR="00000000" w:rsidRPr="00000000">
        <w:rPr>
          <w:rFonts w:ascii="Palatino Linotype" w:cs="Palatino Linotype" w:eastAsia="Palatino Linotype" w:hAnsi="Palatino Linotype"/>
          <w:b w:val="1"/>
          <w:sz w:val="22"/>
          <w:szCs w:val="22"/>
          <w:rtl w:val="0"/>
        </w:rPr>
        <w:t xml:space="preserve">Considerando Cuarto y Quinto</w:t>
      </w:r>
      <w:r w:rsidDel="00000000" w:rsidR="00000000" w:rsidRPr="00000000">
        <w:rPr>
          <w:rFonts w:ascii="Palatino Linotype" w:cs="Palatino Linotype" w:eastAsia="Palatino Linotype" w:hAnsi="Palatino Linotype"/>
          <w:sz w:val="22"/>
          <w:szCs w:val="22"/>
          <w:rtl w:val="0"/>
        </w:rPr>
        <w:t xml:space="preserve">, haga entrega previa búsqueda exhaustiva y razonable, vía Sistema de Acceso a la Información Mexiquense, en versión pública, de lo siguiente: </w:t>
      </w:r>
    </w:p>
    <w:p w:rsidR="00000000" w:rsidDel="00000000" w:rsidP="00000000" w:rsidRDefault="00000000" w:rsidRPr="00000000" w14:paraId="000001A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3">
      <w:pPr>
        <w:numPr>
          <w:ilvl w:val="0"/>
          <w:numId w:val="2"/>
        </w:numPr>
        <w:pBdr>
          <w:top w:space="0" w:sz="0" w:val="nil"/>
          <w:left w:space="0" w:sz="0" w:val="nil"/>
          <w:bottom w:space="0" w:sz="0" w:val="nil"/>
          <w:right w:space="0" w:sz="0" w:val="nil"/>
          <w:between w:space="0" w:sz="0" w:val="nil"/>
        </w:pBdr>
        <w:spacing w:line="276" w:lineRule="auto"/>
        <w:ind w:left="851"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que se encuentre concluido, el expediente con número de folio SAE/330/2020, al veintinueve de noviembre de dos mil veinticuatro. </w:t>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Debiendo acompañar con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mismo que igualmente hará de su conocimiento.</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caso, de que el expediente con número de folio SAE/330/2020 se encuentre en trámite al veintinueve de noviembre de dos mil veinticuatro, deberá emitir el Acuerdo del Comité de Transparencia, en donde de manera fundada y motivada, confirme la clasificación de la información, de conformidad con los artículos 49, fracción II y 132, fracción II de la Ley de Transparencia y Acceso a la Información Pública del Estado de México y Municipios.</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line="276" w:lineRule="auto"/>
        <w:ind w:left="72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A9">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w:t>
      </w:r>
      <w:r w:rsidDel="00000000" w:rsidR="00000000" w:rsidRPr="00000000">
        <w:rPr>
          <w:rFonts w:ascii="Palatino Linotype" w:cs="Palatino Linotype" w:eastAsia="Palatino Linotype" w:hAnsi="Palatino Linotype"/>
          <w:sz w:val="22"/>
          <w:szCs w:val="22"/>
          <w:rtl w:val="0"/>
        </w:rPr>
        <w:t xml:space="preserve">la presente resolución </w:t>
      </w:r>
      <w:r w:rsidDel="00000000" w:rsidR="00000000" w:rsidRPr="00000000">
        <w:rPr>
          <w:rFonts w:ascii="Palatino Linotype" w:cs="Palatino Linotype" w:eastAsia="Palatino Linotype" w:hAnsi="Palatino Linotype"/>
          <w:b w:val="1"/>
          <w:sz w:val="22"/>
          <w:szCs w:val="22"/>
          <w:rtl w:val="0"/>
        </w:rPr>
        <w:t xml:space="preserve">vía SAIMEX </w:t>
      </w:r>
      <w:r w:rsidDel="00000000" w:rsidR="00000000" w:rsidRPr="00000000">
        <w:rPr>
          <w:rFonts w:ascii="Palatino Linotype" w:cs="Palatino Linotype" w:eastAsia="Palatino Linotype" w:hAnsi="Palatino Linotype"/>
          <w:sz w:val="22"/>
          <w:szCs w:val="22"/>
          <w:rtl w:val="0"/>
        </w:rPr>
        <w:t xml:space="preserve">al T</w:t>
      </w:r>
      <w:r w:rsidDel="00000000" w:rsidR="00000000" w:rsidRPr="00000000">
        <w:rPr>
          <w:rFonts w:ascii="Palatino Linotype" w:cs="Palatino Linotype" w:eastAsia="Palatino Linotype" w:hAnsi="Palatino Linotype"/>
          <w:b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A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vía SAIMEX </w:t>
      </w:r>
      <w:r w:rsidDel="00000000" w:rsidR="00000000" w:rsidRPr="00000000">
        <w:rPr>
          <w:rFonts w:ascii="Palatino Linotype" w:cs="Palatino Linotype" w:eastAsia="Palatino Linotype" w:hAnsi="Palatino Linotype"/>
          <w:sz w:val="22"/>
          <w:szCs w:val="22"/>
          <w:rtl w:val="0"/>
        </w:rPr>
        <w:t xml:space="preserve">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1A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w:t>
      </w:r>
      <w:r w:rsidDel="00000000" w:rsidR="00000000" w:rsidRPr="00000000">
        <w:rPr>
          <w:rFonts w:ascii="Palatino Linotype" w:cs="Palatino Linotype" w:eastAsia="Palatino Linotype" w:hAnsi="Palatino Linotype"/>
          <w:sz w:val="22"/>
          <w:szCs w:val="22"/>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A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F">
      <w:pPr>
        <w:spacing w:line="360" w:lineRule="auto"/>
        <w:jc w:val="both"/>
        <w:rPr>
          <w:rFonts w:ascii="Palatino Linotype" w:cs="Palatino Linotype" w:eastAsia="Palatino Linotype" w:hAnsi="Palatino Linotype"/>
          <w:sz w:val="22"/>
          <w:szCs w:val="22"/>
        </w:rPr>
        <w:sectPr>
          <w:headerReference r:id="rId10" w:type="default"/>
          <w:headerReference r:id="rId11" w:type="first"/>
          <w:footerReference r:id="rId12" w:type="default"/>
          <w:footerReference r:id="rId13"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CUARTA SESIÓN ORDINARIA CELEBRADA EL SEIS DE FEBRERO DE DOS MIL VEINTICINCO, ANTE EL SECRETARIO TÉCNICO DEL PLENO ALEXIS TAPIA RAMÍREZ.                              </w:t>
      </w:r>
    </w:p>
    <w:p w:rsidR="00000000" w:rsidDel="00000000" w:rsidP="00000000" w:rsidRDefault="00000000" w:rsidRPr="00000000" w14:paraId="000001B0">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4"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5">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8">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-638173</wp:posOffset>
          </wp:positionH>
          <wp:positionV relativeFrom="paragraph">
            <wp:posOffset>-450213</wp:posOffset>
          </wp:positionV>
          <wp:extent cx="7809876" cy="10165823"/>
          <wp:effectExtent b="0" l="0" r="0" t="0"/>
          <wp:wrapNone/>
          <wp:docPr id="83258485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B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B3">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00064/INFOEM/IP/RR/2025</w:t>
          </w:r>
        </w:p>
      </w:tc>
    </w:tr>
    <w:tr>
      <w:trPr>
        <w:cantSplit w:val="0"/>
        <w:trHeight w:val="228" w:hRule="atLeast"/>
        <w:tblHeader w:val="0"/>
      </w:trPr>
      <w:tc>
        <w:tcPr>
          <w:vAlign w:val="center"/>
        </w:tcPr>
        <w:p w:rsidR="00000000" w:rsidDel="00000000" w:rsidP="00000000" w:rsidRDefault="00000000" w:rsidRPr="00000000" w14:paraId="000001B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B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Tribunal Estatal de Conciliación y Arbitraje</w:t>
          </w:r>
        </w:p>
      </w:tc>
    </w:tr>
    <w:tr>
      <w:trPr>
        <w:cantSplit w:val="0"/>
        <w:tblHeader w:val="0"/>
      </w:trPr>
      <w:tc>
        <w:tcPr>
          <w:vAlign w:val="center"/>
        </w:tcPr>
        <w:p w:rsidR="00000000" w:rsidDel="00000000" w:rsidP="00000000" w:rsidRDefault="00000000" w:rsidRPr="00000000" w14:paraId="000001B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B7">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B8">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9">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-798191</wp:posOffset>
          </wp:positionH>
          <wp:positionV relativeFrom="paragraph">
            <wp:posOffset>-399411</wp:posOffset>
          </wp:positionV>
          <wp:extent cx="7809876" cy="10165823"/>
          <wp:effectExtent b="0" l="0" r="0" t="0"/>
          <wp:wrapNone/>
          <wp:docPr id="83258485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B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BB">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00064/INFOEM/IP/RR/2025</w:t>
          </w:r>
        </w:p>
      </w:tc>
    </w:tr>
    <w:tr>
      <w:trPr>
        <w:cantSplit w:val="0"/>
        <w:tblHeader w:val="0"/>
      </w:trPr>
      <w:tc>
        <w:tcPr>
          <w:vAlign w:val="center"/>
        </w:tcPr>
        <w:p w:rsidR="00000000" w:rsidDel="00000000" w:rsidP="00000000" w:rsidRDefault="00000000" w:rsidRPr="00000000" w14:paraId="000001BC">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BD">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 XXXX XXXXXXXX </w:t>
          </w:r>
        </w:p>
      </w:tc>
    </w:tr>
    <w:tr>
      <w:trPr>
        <w:cantSplit w:val="0"/>
        <w:trHeight w:val="228" w:hRule="atLeast"/>
        <w:tblHeader w:val="0"/>
      </w:trPr>
      <w:tc>
        <w:tcPr>
          <w:vAlign w:val="center"/>
        </w:tcPr>
        <w:p w:rsidR="00000000" w:rsidDel="00000000" w:rsidP="00000000" w:rsidRDefault="00000000" w:rsidRPr="00000000" w14:paraId="000001B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BF">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Tribunal Estatal de Conciliación y Arbitraje</w:t>
          </w:r>
        </w:p>
      </w:tc>
    </w:tr>
    <w:tr>
      <w:trPr>
        <w:cantSplit w:val="0"/>
        <w:tblHeader w:val="0"/>
      </w:trPr>
      <w:tc>
        <w:tcPr>
          <w:vAlign w:val="center"/>
        </w:tcPr>
        <w:p w:rsidR="00000000" w:rsidDel="00000000" w:rsidP="00000000" w:rsidRDefault="00000000" w:rsidRPr="00000000" w14:paraId="000001C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C1">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C2">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3">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3"/>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9"/>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E2631"/>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link w:val="Ttulo3Car"/>
    <w:uiPriority w:val="9"/>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108.0" w:type="dxa"/>
        <w:right w:w="108.0" w:type="dxa"/>
      </w:tblCellMar>
    </w:tblPr>
  </w:style>
  <w:style w:type="table" w:styleId="a0" w:customStyle="1">
    <w:basedOn w:val="TableNormal3"/>
    <w:tblPr>
      <w:tblStyleRowBandSize w:val="1"/>
      <w:tblStyleColBandSize w:val="1"/>
      <w:tblCellMar>
        <w:left w:w="115.0" w:type="dxa"/>
        <w:right w:w="115.0" w:type="dxa"/>
      </w:tblCellMar>
    </w:tblPr>
  </w:style>
  <w:style w:type="table" w:styleId="a1" w:customStyle="1">
    <w:basedOn w:val="TableNormal3"/>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3"/>
    <w:tblPr>
      <w:tblStyleRowBandSize w:val="1"/>
      <w:tblStyleColBandSize w:val="1"/>
      <w:tblCellMar>
        <w:left w:w="108.0" w:type="dxa"/>
        <w:right w:w="108.0" w:type="dxa"/>
      </w:tblCellMar>
    </w:tblPr>
  </w:style>
  <w:style w:type="table" w:styleId="a3" w:customStyle="1">
    <w:basedOn w:val="TableNormal3"/>
    <w:tblPr>
      <w:tblStyleRowBandSize w:val="1"/>
      <w:tblStyleColBandSize w:val="1"/>
      <w:tblCellMar>
        <w:left w:w="108.0" w:type="dxa"/>
        <w:right w:w="108.0" w:type="dxa"/>
      </w:tblCellMar>
    </w:tblPr>
  </w:style>
  <w:style w:type="table" w:styleId="a4" w:customStyle="1">
    <w:basedOn w:val="TableNormal3"/>
    <w:tblPr>
      <w:tblStyleRowBandSize w:val="1"/>
      <w:tblStyleColBandSize w:val="1"/>
      <w:tblCellMar>
        <w:left w:w="108.0" w:type="dxa"/>
        <w:right w:w="108.0" w:type="dxa"/>
      </w:tblCellMar>
    </w:tblPr>
  </w:style>
  <w:style w:type="table" w:styleId="a5" w:customStyle="1">
    <w:basedOn w:val="TableNormal3"/>
    <w:tblPr>
      <w:tblStyleRowBandSize w:val="1"/>
      <w:tblStyleColBandSize w:val="1"/>
      <w:tblCellMar>
        <w:left w:w="108.0" w:type="dxa"/>
        <w:right w:w="108.0" w:type="dxa"/>
      </w:tblCellMar>
    </w:tblPr>
  </w:style>
  <w:style w:type="table" w:styleId="a6" w:customStyle="1">
    <w:basedOn w:val="TableNormal3"/>
    <w:tblPr>
      <w:tblStyleRowBandSize w:val="1"/>
      <w:tblStyleColBandSize w:val="1"/>
      <w:tblCellMar>
        <w:left w:w="108.0" w:type="dxa"/>
        <w:right w:w="108.0" w:type="dxa"/>
      </w:tblCellMar>
    </w:tblPr>
  </w:style>
  <w:style w:type="table" w:styleId="a7" w:customStyle="1">
    <w:basedOn w:val="TableNormal3"/>
    <w:tblPr>
      <w:tblStyleRowBandSize w:val="1"/>
      <w:tblStyleColBandSize w:val="1"/>
      <w:tblCellMar>
        <w:left w:w="108.0" w:type="dxa"/>
        <w:right w:w="108.0" w:type="dxa"/>
      </w:tblCellMar>
    </w:tblPr>
  </w:style>
  <w:style w:type="table" w:styleId="a8" w:customStyle="1">
    <w:basedOn w:val="TableNormal3"/>
    <w:tblPr>
      <w:tblStyleRowBandSize w:val="1"/>
      <w:tblStyleColBandSize w:val="1"/>
      <w:tblCellMar>
        <w:left w:w="108.0" w:type="dxa"/>
        <w:right w:w="108.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15.0" w:type="dxa"/>
        <w:right w:w="1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4"/>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1"/>
    <w:tblPr>
      <w:tblStyleRowBandSize w:val="1"/>
      <w:tblStyleColBandSize w:val="1"/>
      <w:tblCellMar>
        <w:left w:w="115.0" w:type="dxa"/>
        <w:right w:w="115.0" w:type="dxa"/>
      </w:tblCellMar>
    </w:tblPr>
  </w:style>
  <w:style w:type="table" w:styleId="af0" w:customStyle="1">
    <w:basedOn w:val="TableNormal1"/>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table" w:styleId="af1" w:customStyle="1">
    <w:basedOn w:val="TableNormal0"/>
    <w:tblPr>
      <w:tblStyleRowBandSize w:val="1"/>
      <w:tblStyleColBandSize w:val="1"/>
      <w:tblCellMar>
        <w:left w:w="115.0" w:type="dxa"/>
        <w:right w:w="115.0" w:type="dxa"/>
      </w:tblCellMar>
    </w:tblPr>
  </w:style>
  <w:style w:type="table" w:styleId="af2"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player.es/5455342-Nuevas-tecnologias-biometricas-instituto-nacional-de-ciencias-penales-procuraduria-general-de-la-republica-version-1-0.html" TargetMode="External"/><Relationship Id="rId14"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sl2hPWiTlVtlBHPzCtrWx36uig==">CgMxLjAyCWguM3pueXNoNzIIaC5namRneHMyCWguMzBqMHpsbDIJaC4xZm9iOXRlOAByITFJb2xBbV9jUnZ5MWF1OWxIM0tQeWJQcFdHSHhhY3BMWA==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2025-02-24T17:40:00Z</dcterms:created>
  <dc:creator>USER</dc:creator>
</cp:coreProperties>
</file>