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4279758" w14:textId="77777777" w:rsidR="00342378" w:rsidRPr="001759A8" w:rsidRDefault="00342378">
          <w:pPr>
            <w:pStyle w:val="TtuloTDC"/>
            <w:rPr>
              <w:rFonts w:ascii="Palatino Linotype" w:hAnsi="Palatino Linotype"/>
              <w:bCs/>
              <w:color w:val="auto"/>
              <w:sz w:val="22"/>
              <w:szCs w:val="22"/>
            </w:rPr>
          </w:pPr>
          <w:r w:rsidRPr="001759A8">
            <w:rPr>
              <w:rFonts w:ascii="Palatino Linotype" w:hAnsi="Palatino Linotype"/>
              <w:bCs/>
              <w:color w:val="auto"/>
              <w:sz w:val="22"/>
              <w:szCs w:val="22"/>
              <w:lang w:val="es-ES"/>
            </w:rPr>
            <w:t>Contenido</w:t>
          </w:r>
        </w:p>
        <w:p w14:paraId="0DE5E975" w14:textId="77777777" w:rsidR="00CB301F" w:rsidRPr="001759A8" w:rsidRDefault="00342378">
          <w:pPr>
            <w:pStyle w:val="TDC1"/>
            <w:tabs>
              <w:tab w:val="right" w:leader="dot" w:pos="9034"/>
            </w:tabs>
            <w:rPr>
              <w:rFonts w:asciiTheme="minorHAnsi" w:eastAsiaTheme="minorEastAsia" w:hAnsiTheme="minorHAnsi" w:cstheme="minorBidi"/>
              <w:bCs/>
              <w:noProof/>
              <w:sz w:val="22"/>
              <w:szCs w:val="22"/>
              <w:lang w:eastAsia="es-MX"/>
            </w:rPr>
          </w:pPr>
          <w:r w:rsidRPr="001759A8">
            <w:rPr>
              <w:rFonts w:ascii="Palatino Linotype" w:hAnsi="Palatino Linotype"/>
              <w:bCs/>
              <w:sz w:val="22"/>
              <w:szCs w:val="22"/>
              <w:lang w:val="es-ES"/>
            </w:rPr>
            <w:fldChar w:fldCharType="begin"/>
          </w:r>
          <w:r w:rsidRPr="001759A8">
            <w:rPr>
              <w:rFonts w:ascii="Palatino Linotype" w:hAnsi="Palatino Linotype"/>
              <w:bCs/>
              <w:sz w:val="22"/>
              <w:szCs w:val="22"/>
              <w:lang w:val="es-ES"/>
            </w:rPr>
            <w:instrText xml:space="preserve"> TOC \o "1-3" \h \z \u </w:instrText>
          </w:r>
          <w:r w:rsidRPr="001759A8">
            <w:rPr>
              <w:rFonts w:ascii="Palatino Linotype" w:hAnsi="Palatino Linotype"/>
              <w:bCs/>
              <w:sz w:val="22"/>
              <w:szCs w:val="22"/>
              <w:lang w:val="es-ES"/>
            </w:rPr>
            <w:fldChar w:fldCharType="separate"/>
          </w:r>
          <w:hyperlink w:anchor="_Toc199325082" w:history="1">
            <w:r w:rsidR="00CB301F" w:rsidRPr="001759A8">
              <w:rPr>
                <w:rStyle w:val="Hipervnculo"/>
                <w:rFonts w:ascii="Palatino Linotype" w:hAnsi="Palatino Linotype"/>
                <w:bCs/>
                <w:noProof/>
              </w:rPr>
              <w:t>A N T E C E D E N T E S</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_Toc199325082 \h </w:instrText>
            </w:r>
            <w:r w:rsidR="00CB301F" w:rsidRPr="001759A8">
              <w:rPr>
                <w:bCs/>
                <w:noProof/>
                <w:webHidden/>
              </w:rPr>
            </w:r>
            <w:r w:rsidR="00CB301F" w:rsidRPr="001759A8">
              <w:rPr>
                <w:bCs/>
                <w:noProof/>
                <w:webHidden/>
              </w:rPr>
              <w:fldChar w:fldCharType="separate"/>
            </w:r>
            <w:r w:rsidR="00D639C9">
              <w:rPr>
                <w:bCs/>
                <w:noProof/>
                <w:webHidden/>
              </w:rPr>
              <w:t>2</w:t>
            </w:r>
            <w:r w:rsidR="00CB301F" w:rsidRPr="001759A8">
              <w:rPr>
                <w:bCs/>
                <w:noProof/>
                <w:webHidden/>
              </w:rPr>
              <w:fldChar w:fldCharType="end"/>
            </w:r>
          </w:hyperlink>
        </w:p>
        <w:p w14:paraId="4839E2DA"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83" w:history="1">
            <w:r w:rsidR="00CB301F" w:rsidRPr="001759A8">
              <w:rPr>
                <w:rStyle w:val="Hipervnculo"/>
                <w:rFonts w:ascii="Palatino Linotype" w:hAnsi="Palatino Linotype" w:cs="Tahoma"/>
                <w:bCs/>
                <w:noProof/>
              </w:rPr>
              <w:t>I. Presentación de la solicitud de información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_Toc199325083 \h </w:instrText>
            </w:r>
            <w:r w:rsidR="00CB301F" w:rsidRPr="001759A8">
              <w:rPr>
                <w:bCs/>
                <w:noProof/>
                <w:webHidden/>
              </w:rPr>
            </w:r>
            <w:r w:rsidR="00CB301F" w:rsidRPr="001759A8">
              <w:rPr>
                <w:bCs/>
                <w:noProof/>
                <w:webHidden/>
              </w:rPr>
              <w:fldChar w:fldCharType="separate"/>
            </w:r>
            <w:r w:rsidR="00D639C9">
              <w:rPr>
                <w:bCs/>
                <w:noProof/>
                <w:webHidden/>
              </w:rPr>
              <w:t>2</w:t>
            </w:r>
            <w:r w:rsidR="00CB301F" w:rsidRPr="001759A8">
              <w:rPr>
                <w:bCs/>
                <w:noProof/>
                <w:webHidden/>
              </w:rPr>
              <w:fldChar w:fldCharType="end"/>
            </w:r>
          </w:hyperlink>
        </w:p>
        <w:p w14:paraId="6FC0AB9F"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84" w:history="1">
            <w:r w:rsidR="00CB301F" w:rsidRPr="001759A8">
              <w:rPr>
                <w:rStyle w:val="Hipervnculo"/>
                <w:rFonts w:ascii="Palatino Linotype" w:eastAsia="Palatino Linotype" w:hAnsi="Palatino Linotype"/>
                <w:bCs/>
                <w:noProof/>
              </w:rPr>
              <w:t>II. Prórroga</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_Toc199325084 \h </w:instrText>
            </w:r>
            <w:r w:rsidR="00CB301F" w:rsidRPr="001759A8">
              <w:rPr>
                <w:bCs/>
                <w:noProof/>
                <w:webHidden/>
              </w:rPr>
            </w:r>
            <w:r w:rsidR="00CB301F" w:rsidRPr="001759A8">
              <w:rPr>
                <w:bCs/>
                <w:noProof/>
                <w:webHidden/>
              </w:rPr>
              <w:fldChar w:fldCharType="separate"/>
            </w:r>
            <w:r w:rsidR="00D639C9">
              <w:rPr>
                <w:bCs/>
                <w:noProof/>
                <w:webHidden/>
              </w:rPr>
              <w:t>3</w:t>
            </w:r>
            <w:r w:rsidR="00CB301F" w:rsidRPr="001759A8">
              <w:rPr>
                <w:bCs/>
                <w:noProof/>
                <w:webHidden/>
              </w:rPr>
              <w:fldChar w:fldCharType="end"/>
            </w:r>
          </w:hyperlink>
        </w:p>
        <w:p w14:paraId="4D84D837"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85" w:history="1">
            <w:r w:rsidR="00CB301F" w:rsidRPr="001759A8">
              <w:rPr>
                <w:rStyle w:val="Hipervnculo"/>
                <w:rFonts w:ascii="Palatino Linotype" w:hAnsi="Palatino Linotype" w:cs="Tahoma"/>
                <w:bCs/>
                <w:noProof/>
              </w:rPr>
              <w:t>III. Respuesta del Sujeto Obligado</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_Toc199325085 \h </w:instrText>
            </w:r>
            <w:r w:rsidR="00CB301F" w:rsidRPr="001759A8">
              <w:rPr>
                <w:bCs/>
                <w:noProof/>
                <w:webHidden/>
              </w:rPr>
            </w:r>
            <w:r w:rsidR="00CB301F" w:rsidRPr="001759A8">
              <w:rPr>
                <w:bCs/>
                <w:noProof/>
                <w:webHidden/>
              </w:rPr>
              <w:fldChar w:fldCharType="separate"/>
            </w:r>
            <w:r w:rsidR="00D639C9">
              <w:rPr>
                <w:bCs/>
                <w:noProof/>
                <w:webHidden/>
              </w:rPr>
              <w:t>3</w:t>
            </w:r>
            <w:r w:rsidR="00CB301F" w:rsidRPr="001759A8">
              <w:rPr>
                <w:bCs/>
                <w:noProof/>
                <w:webHidden/>
              </w:rPr>
              <w:fldChar w:fldCharType="end"/>
            </w:r>
          </w:hyperlink>
        </w:p>
        <w:p w14:paraId="7C678DB8"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86" w:history="1">
            <w:r w:rsidR="00CB301F" w:rsidRPr="001759A8">
              <w:rPr>
                <w:rStyle w:val="Hipervnculo"/>
                <w:rFonts w:ascii="Palatino Linotype" w:hAnsi="Palatino Linotype" w:cs="Tahoma"/>
                <w:bCs/>
                <w:noProof/>
              </w:rPr>
              <w:t>IV. Interposición del Recurso de Revisión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_Toc199325086 \h </w:instrText>
            </w:r>
            <w:r w:rsidR="00CB301F" w:rsidRPr="001759A8">
              <w:rPr>
                <w:bCs/>
                <w:noProof/>
                <w:webHidden/>
              </w:rPr>
            </w:r>
            <w:r w:rsidR="00CB301F" w:rsidRPr="001759A8">
              <w:rPr>
                <w:bCs/>
                <w:noProof/>
                <w:webHidden/>
              </w:rPr>
              <w:fldChar w:fldCharType="separate"/>
            </w:r>
            <w:r w:rsidR="00D639C9">
              <w:rPr>
                <w:bCs/>
                <w:noProof/>
                <w:webHidden/>
              </w:rPr>
              <w:t>3</w:t>
            </w:r>
            <w:r w:rsidR="00CB301F" w:rsidRPr="001759A8">
              <w:rPr>
                <w:bCs/>
                <w:noProof/>
                <w:webHidden/>
              </w:rPr>
              <w:fldChar w:fldCharType="end"/>
            </w:r>
          </w:hyperlink>
        </w:p>
        <w:p w14:paraId="2BB4C095"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87" w:history="1">
            <w:r w:rsidR="00CB301F" w:rsidRPr="001759A8">
              <w:rPr>
                <w:rStyle w:val="Hipervnculo"/>
                <w:rFonts w:ascii="Palatino Linotype" w:hAnsi="Palatino Linotype"/>
                <w:bCs/>
                <w:noProof/>
              </w:rPr>
              <w:t>V. Trámite del Recurso de Revisión ante el Instituto</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_Toc199325087 \h </w:instrText>
            </w:r>
            <w:r w:rsidR="00CB301F" w:rsidRPr="001759A8">
              <w:rPr>
                <w:bCs/>
                <w:noProof/>
                <w:webHidden/>
              </w:rPr>
            </w:r>
            <w:r w:rsidR="00CB301F" w:rsidRPr="001759A8">
              <w:rPr>
                <w:bCs/>
                <w:noProof/>
                <w:webHidden/>
              </w:rPr>
              <w:fldChar w:fldCharType="separate"/>
            </w:r>
            <w:r w:rsidR="00D639C9">
              <w:rPr>
                <w:bCs/>
                <w:noProof/>
                <w:webHidden/>
              </w:rPr>
              <w:t>4</w:t>
            </w:r>
            <w:r w:rsidR="00CB301F" w:rsidRPr="001759A8">
              <w:rPr>
                <w:bCs/>
                <w:noProof/>
                <w:webHidden/>
              </w:rPr>
              <w:fldChar w:fldCharType="end"/>
            </w:r>
          </w:hyperlink>
        </w:p>
        <w:p w14:paraId="504CEDF8" w14:textId="77777777" w:rsidR="00CB301F" w:rsidRPr="001759A8" w:rsidRDefault="00000000">
          <w:pPr>
            <w:pStyle w:val="TDC3"/>
            <w:tabs>
              <w:tab w:val="right" w:leader="dot" w:pos="9034"/>
            </w:tabs>
            <w:rPr>
              <w:rFonts w:asciiTheme="minorHAnsi" w:eastAsiaTheme="minorEastAsia" w:hAnsiTheme="minorHAnsi" w:cstheme="minorBidi"/>
              <w:bCs/>
              <w:noProof/>
              <w:sz w:val="22"/>
              <w:szCs w:val="22"/>
              <w:lang w:eastAsia="es-MX"/>
            </w:rPr>
          </w:pPr>
          <w:hyperlink w:anchor="_Toc199325088" w:history="1">
            <w:r w:rsidR="00CB301F" w:rsidRPr="001759A8">
              <w:rPr>
                <w:rStyle w:val="Hipervnculo"/>
                <w:rFonts w:ascii="Palatino Linotype" w:hAnsi="Palatino Linotype"/>
                <w:bCs/>
                <w:noProof/>
              </w:rPr>
              <w:t>a) Turno del Recurso de Revisión.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_Toc199325088 \h </w:instrText>
            </w:r>
            <w:r w:rsidR="00CB301F" w:rsidRPr="001759A8">
              <w:rPr>
                <w:bCs/>
                <w:noProof/>
                <w:webHidden/>
              </w:rPr>
            </w:r>
            <w:r w:rsidR="00CB301F" w:rsidRPr="001759A8">
              <w:rPr>
                <w:bCs/>
                <w:noProof/>
                <w:webHidden/>
              </w:rPr>
              <w:fldChar w:fldCharType="separate"/>
            </w:r>
            <w:r w:rsidR="00D639C9">
              <w:rPr>
                <w:bCs/>
                <w:noProof/>
                <w:webHidden/>
              </w:rPr>
              <w:t>4</w:t>
            </w:r>
            <w:r w:rsidR="00CB301F" w:rsidRPr="001759A8">
              <w:rPr>
                <w:bCs/>
                <w:noProof/>
                <w:webHidden/>
              </w:rPr>
              <w:fldChar w:fldCharType="end"/>
            </w:r>
          </w:hyperlink>
        </w:p>
        <w:p w14:paraId="325214C4" w14:textId="77777777" w:rsidR="00CB301F" w:rsidRPr="001759A8" w:rsidRDefault="00000000">
          <w:pPr>
            <w:pStyle w:val="TDC3"/>
            <w:tabs>
              <w:tab w:val="right" w:leader="dot" w:pos="9034"/>
            </w:tabs>
            <w:rPr>
              <w:rFonts w:asciiTheme="minorHAnsi" w:eastAsiaTheme="minorEastAsia" w:hAnsiTheme="minorHAnsi" w:cstheme="minorBidi"/>
              <w:bCs/>
              <w:noProof/>
              <w:sz w:val="22"/>
              <w:szCs w:val="22"/>
              <w:lang w:eastAsia="es-MX"/>
            </w:rPr>
          </w:pPr>
          <w:hyperlink w:anchor="_Toc199325089" w:history="1">
            <w:r w:rsidR="00CB301F" w:rsidRPr="001759A8">
              <w:rPr>
                <w:rStyle w:val="Hipervnculo"/>
                <w:rFonts w:ascii="Palatino Linotype" w:hAnsi="Palatino Linotype"/>
                <w:bCs/>
                <w:noProof/>
              </w:rPr>
              <w:t>b) Admisión del Recurso de Revisión.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_Toc199325089 \h </w:instrText>
            </w:r>
            <w:r w:rsidR="00CB301F" w:rsidRPr="001759A8">
              <w:rPr>
                <w:bCs/>
                <w:noProof/>
                <w:webHidden/>
              </w:rPr>
            </w:r>
            <w:r w:rsidR="00CB301F" w:rsidRPr="001759A8">
              <w:rPr>
                <w:bCs/>
                <w:noProof/>
                <w:webHidden/>
              </w:rPr>
              <w:fldChar w:fldCharType="separate"/>
            </w:r>
            <w:r w:rsidR="00D639C9">
              <w:rPr>
                <w:bCs/>
                <w:noProof/>
                <w:webHidden/>
              </w:rPr>
              <w:t>4</w:t>
            </w:r>
            <w:r w:rsidR="00CB301F" w:rsidRPr="001759A8">
              <w:rPr>
                <w:bCs/>
                <w:noProof/>
                <w:webHidden/>
              </w:rPr>
              <w:fldChar w:fldCharType="end"/>
            </w:r>
          </w:hyperlink>
        </w:p>
        <w:p w14:paraId="11F37C99" w14:textId="77777777" w:rsidR="00CB301F" w:rsidRPr="001759A8" w:rsidRDefault="00000000">
          <w:pPr>
            <w:pStyle w:val="TDC3"/>
            <w:tabs>
              <w:tab w:val="right" w:leader="dot" w:pos="9034"/>
            </w:tabs>
            <w:rPr>
              <w:rFonts w:asciiTheme="minorHAnsi" w:eastAsiaTheme="minorEastAsia" w:hAnsiTheme="minorHAnsi" w:cstheme="minorBidi"/>
              <w:bCs/>
              <w:noProof/>
              <w:sz w:val="22"/>
              <w:szCs w:val="22"/>
              <w:lang w:eastAsia="es-MX"/>
            </w:rPr>
          </w:pPr>
          <w:hyperlink w:anchor="_Toc199325090" w:history="1">
            <w:r w:rsidR="00CB301F" w:rsidRPr="001759A8">
              <w:rPr>
                <w:rStyle w:val="Hipervnculo"/>
                <w:rFonts w:ascii="Palatino Linotype" w:hAnsi="Palatino Linotype"/>
                <w:bCs/>
                <w:noProof/>
              </w:rPr>
              <w:t>c) Informe Justificado.</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_Toc199325090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44FFA172" w14:textId="4E2D993D" w:rsidR="00CB301F" w:rsidRPr="001759A8" w:rsidRDefault="00000000">
          <w:pPr>
            <w:pStyle w:val="TDC3"/>
            <w:tabs>
              <w:tab w:val="right" w:leader="dot" w:pos="9034"/>
            </w:tabs>
            <w:rPr>
              <w:rFonts w:asciiTheme="minorHAnsi" w:eastAsiaTheme="minorEastAsia" w:hAnsiTheme="minorHAnsi" w:cstheme="minorBidi"/>
              <w:bCs/>
              <w:noProof/>
              <w:sz w:val="22"/>
              <w:szCs w:val="22"/>
              <w:lang w:eastAsia="es-MX"/>
            </w:rPr>
          </w:pPr>
          <w:hyperlink w:anchor="_Toc199325091" w:history="1">
            <w:r w:rsidR="00CB301F" w:rsidRPr="001759A8">
              <w:rPr>
                <w:rStyle w:val="Hipervnculo"/>
                <w:rFonts w:ascii="Palatino Linotype" w:hAnsi="Palatino Linotype"/>
                <w:bCs/>
                <w:noProof/>
              </w:rPr>
              <w:t>d)Vista del Informe Justificado.</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_Toc199325091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1DE15E2B" w14:textId="5AB4E7B5" w:rsidR="00CB301F" w:rsidRPr="001759A8" w:rsidRDefault="00000000">
          <w:pPr>
            <w:pStyle w:val="TDC3"/>
            <w:tabs>
              <w:tab w:val="right" w:leader="dot" w:pos="9034"/>
            </w:tabs>
            <w:rPr>
              <w:rFonts w:asciiTheme="minorHAnsi" w:eastAsiaTheme="minorEastAsia" w:hAnsiTheme="minorHAnsi" w:cstheme="minorBidi"/>
              <w:bCs/>
              <w:noProof/>
              <w:sz w:val="22"/>
              <w:szCs w:val="22"/>
              <w:lang w:eastAsia="es-MX"/>
            </w:rPr>
          </w:pPr>
          <w:hyperlink w:anchor="_Toc199325092" w:history="1">
            <w:r w:rsidR="00CB301F" w:rsidRPr="001759A8">
              <w:rPr>
                <w:rStyle w:val="Hipervnculo"/>
                <w:rFonts w:ascii="Palatino Linotype" w:hAnsi="Palatino Linotype"/>
                <w:bCs/>
                <w:noProof/>
              </w:rPr>
              <w:t>f) Cierre de instrucción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_Toc199325092 \h </w:instrText>
            </w:r>
            <w:r w:rsidR="00CB301F" w:rsidRPr="001759A8">
              <w:rPr>
                <w:bCs/>
                <w:noProof/>
                <w:webHidden/>
              </w:rPr>
            </w:r>
            <w:r w:rsidR="00CB301F" w:rsidRPr="001759A8">
              <w:rPr>
                <w:bCs/>
                <w:noProof/>
                <w:webHidden/>
              </w:rPr>
              <w:fldChar w:fldCharType="separate"/>
            </w:r>
            <w:r w:rsidR="00D639C9">
              <w:rPr>
                <w:bCs/>
                <w:noProof/>
                <w:webHidden/>
              </w:rPr>
              <w:t>7</w:t>
            </w:r>
            <w:r w:rsidR="00CB301F" w:rsidRPr="001759A8">
              <w:rPr>
                <w:bCs/>
                <w:noProof/>
                <w:webHidden/>
              </w:rPr>
              <w:fldChar w:fldCharType="end"/>
            </w:r>
          </w:hyperlink>
        </w:p>
        <w:p w14:paraId="69E66399" w14:textId="77777777" w:rsidR="00CB301F" w:rsidRPr="001759A8" w:rsidRDefault="00000000">
          <w:pPr>
            <w:pStyle w:val="TDC1"/>
            <w:tabs>
              <w:tab w:val="right" w:leader="dot" w:pos="9034"/>
            </w:tabs>
            <w:rPr>
              <w:rFonts w:asciiTheme="minorHAnsi" w:eastAsiaTheme="minorEastAsia" w:hAnsiTheme="minorHAnsi" w:cstheme="minorBidi"/>
              <w:bCs/>
              <w:noProof/>
              <w:sz w:val="22"/>
              <w:szCs w:val="22"/>
              <w:lang w:eastAsia="es-MX"/>
            </w:rPr>
          </w:pPr>
          <w:hyperlink w:anchor="_Toc199325093" w:history="1">
            <w:r w:rsidR="00CB301F" w:rsidRPr="001759A8">
              <w:rPr>
                <w:rStyle w:val="Hipervnculo"/>
                <w:rFonts w:ascii="Palatino Linotype" w:hAnsi="Palatino Linotype"/>
                <w:bCs/>
                <w:noProof/>
              </w:rPr>
              <w:t>C O N S I D E R A N D O S</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_Toc199325093 \h </w:instrText>
            </w:r>
            <w:r w:rsidR="00CB301F" w:rsidRPr="001759A8">
              <w:rPr>
                <w:bCs/>
                <w:noProof/>
                <w:webHidden/>
              </w:rPr>
            </w:r>
            <w:r w:rsidR="00CB301F" w:rsidRPr="001759A8">
              <w:rPr>
                <w:bCs/>
                <w:noProof/>
                <w:webHidden/>
              </w:rPr>
              <w:fldChar w:fldCharType="separate"/>
            </w:r>
            <w:r w:rsidR="00D639C9">
              <w:rPr>
                <w:bCs/>
                <w:noProof/>
                <w:webHidden/>
              </w:rPr>
              <w:t>7</w:t>
            </w:r>
            <w:r w:rsidR="00CB301F" w:rsidRPr="001759A8">
              <w:rPr>
                <w:bCs/>
                <w:noProof/>
                <w:webHidden/>
              </w:rPr>
              <w:fldChar w:fldCharType="end"/>
            </w:r>
          </w:hyperlink>
        </w:p>
        <w:p w14:paraId="4687C577"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94" w:history="1">
            <w:r w:rsidR="00CB301F" w:rsidRPr="001759A8">
              <w:rPr>
                <w:rStyle w:val="Hipervnculo"/>
                <w:rFonts w:ascii="Palatino Linotype" w:eastAsia="Calibri" w:hAnsi="Palatino Linotype"/>
                <w:bCs/>
                <w:noProof/>
                <w:lang w:eastAsia="es-MX"/>
              </w:rPr>
              <w:t xml:space="preserve">PRIMERO. </w:t>
            </w:r>
            <w:r w:rsidR="00CB301F" w:rsidRPr="001759A8">
              <w:rPr>
                <w:rStyle w:val="Hipervnculo"/>
                <w:rFonts w:ascii="Palatino Linotype" w:hAnsi="Palatino Linotype"/>
                <w:bCs/>
                <w:noProof/>
              </w:rPr>
              <w:t>Competencia</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_Toc199325094 \h </w:instrText>
            </w:r>
            <w:r w:rsidR="00CB301F" w:rsidRPr="001759A8">
              <w:rPr>
                <w:bCs/>
                <w:noProof/>
                <w:webHidden/>
              </w:rPr>
            </w:r>
            <w:r w:rsidR="00CB301F" w:rsidRPr="001759A8">
              <w:rPr>
                <w:bCs/>
                <w:noProof/>
                <w:webHidden/>
              </w:rPr>
              <w:fldChar w:fldCharType="separate"/>
            </w:r>
            <w:r w:rsidR="00D639C9">
              <w:rPr>
                <w:bCs/>
                <w:noProof/>
                <w:webHidden/>
              </w:rPr>
              <w:t>7</w:t>
            </w:r>
            <w:r w:rsidR="00CB301F" w:rsidRPr="001759A8">
              <w:rPr>
                <w:bCs/>
                <w:noProof/>
                <w:webHidden/>
              </w:rPr>
              <w:fldChar w:fldCharType="end"/>
            </w:r>
          </w:hyperlink>
        </w:p>
        <w:p w14:paraId="61AF3ABF"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95" w:history="1">
            <w:r w:rsidR="00CB301F" w:rsidRPr="001759A8">
              <w:rPr>
                <w:rStyle w:val="Hipervnculo"/>
                <w:rFonts w:ascii="Palatino Linotype" w:eastAsia="Calibri" w:hAnsi="Palatino Linotype"/>
                <w:bCs/>
                <w:noProof/>
                <w:lang w:eastAsia="es-MX"/>
              </w:rPr>
              <w:t>SEGUNDO. Causales de improcedencia</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_Toc199325095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1A6DAD65"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96" w:history="1">
            <w:r w:rsidR="00CB301F" w:rsidRPr="001759A8">
              <w:rPr>
                <w:rStyle w:val="Hipervnculo"/>
                <w:rFonts w:ascii="Palatino Linotype" w:hAnsi="Palatino Linotype"/>
                <w:bCs/>
                <w:noProof/>
                <w:lang w:val="es-ES"/>
              </w:rPr>
              <w:t>TERCERO. Causales de sobreseimiento</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_Toc199325096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7CA1C6C4" w14:textId="77777777" w:rsidR="00CB301F" w:rsidRPr="001759A8" w:rsidRDefault="00000000">
          <w:pPr>
            <w:pStyle w:val="TDC2"/>
            <w:tabs>
              <w:tab w:val="right" w:leader="dot" w:pos="9034"/>
            </w:tabs>
            <w:rPr>
              <w:rFonts w:asciiTheme="minorHAnsi" w:eastAsiaTheme="minorEastAsia" w:hAnsiTheme="minorHAnsi" w:cstheme="minorBidi"/>
              <w:bCs/>
              <w:noProof/>
              <w:sz w:val="22"/>
              <w:szCs w:val="22"/>
              <w:lang w:eastAsia="es-MX"/>
            </w:rPr>
          </w:pPr>
          <w:hyperlink w:anchor="_Toc199325097" w:history="1">
            <w:r w:rsidR="00CB301F" w:rsidRPr="001759A8">
              <w:rPr>
                <w:rStyle w:val="Hipervnculo"/>
                <w:rFonts w:ascii="Palatino Linotype" w:hAnsi="Palatino Linotype"/>
                <w:bCs/>
                <w:noProof/>
                <w:lang w:val="es-ES"/>
              </w:rPr>
              <w:t>CUARTO. Decisión</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_Toc199325097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65534D8E" w14:textId="77777777" w:rsidR="00CB301F" w:rsidRPr="001759A8" w:rsidRDefault="00000000">
          <w:pPr>
            <w:pStyle w:val="TDC1"/>
            <w:tabs>
              <w:tab w:val="right" w:leader="dot" w:pos="9034"/>
            </w:tabs>
            <w:rPr>
              <w:rFonts w:asciiTheme="minorHAnsi" w:eastAsiaTheme="minorEastAsia" w:hAnsiTheme="minorHAnsi" w:cstheme="minorBidi"/>
              <w:bCs/>
              <w:noProof/>
              <w:sz w:val="22"/>
              <w:szCs w:val="22"/>
              <w:lang w:eastAsia="es-MX"/>
            </w:rPr>
          </w:pPr>
          <w:hyperlink w:anchor="_Toc199325098" w:history="1">
            <w:r w:rsidR="00CB301F" w:rsidRPr="001759A8">
              <w:rPr>
                <w:rStyle w:val="Hipervnculo"/>
                <w:rFonts w:ascii="Palatino Linotype" w:eastAsia="Calibri" w:hAnsi="Palatino Linotype"/>
                <w:bCs/>
                <w:noProof/>
                <w:lang w:eastAsia="en-US"/>
              </w:rPr>
              <w:t>R E S U E L V E</w:t>
            </w:r>
            <w:r w:rsidR="00CB301F" w:rsidRPr="001759A8">
              <w:rPr>
                <w:bCs/>
                <w:noProof/>
                <w:webHidden/>
              </w:rPr>
              <w:tab/>
            </w:r>
            <w:r w:rsidR="00CB301F" w:rsidRPr="001759A8">
              <w:rPr>
                <w:bCs/>
                <w:noProof/>
                <w:webHidden/>
              </w:rPr>
              <w:fldChar w:fldCharType="begin"/>
            </w:r>
            <w:r w:rsidR="00CB301F" w:rsidRPr="001759A8">
              <w:rPr>
                <w:bCs/>
                <w:noProof/>
                <w:webHidden/>
              </w:rPr>
              <w:instrText xml:space="preserve"> PAGEREF _Toc199325098 \h </w:instrText>
            </w:r>
            <w:r w:rsidR="00CB301F" w:rsidRPr="001759A8">
              <w:rPr>
                <w:bCs/>
                <w:noProof/>
                <w:webHidden/>
              </w:rPr>
            </w:r>
            <w:r w:rsidR="00CB301F" w:rsidRPr="001759A8">
              <w:rPr>
                <w:bCs/>
                <w:noProof/>
                <w:webHidden/>
              </w:rPr>
              <w:fldChar w:fldCharType="separate"/>
            </w:r>
            <w:r w:rsidR="00D639C9">
              <w:rPr>
                <w:b/>
                <w:noProof/>
                <w:webHidden/>
                <w:lang w:val="es-ES"/>
              </w:rPr>
              <w:t>¡Error! Marcador no definido.</w:t>
            </w:r>
            <w:r w:rsidR="00CB301F" w:rsidRPr="001759A8">
              <w:rPr>
                <w:bCs/>
                <w:noProof/>
                <w:webHidden/>
              </w:rPr>
              <w:fldChar w:fldCharType="end"/>
            </w:r>
          </w:hyperlink>
        </w:p>
        <w:p w14:paraId="47D32045" w14:textId="77777777" w:rsidR="00342378" w:rsidRPr="00CB301F" w:rsidRDefault="00342378">
          <w:r w:rsidRPr="001759A8">
            <w:rPr>
              <w:rFonts w:ascii="Palatino Linotype" w:hAnsi="Palatino Linotype"/>
              <w:bCs/>
              <w:sz w:val="22"/>
              <w:szCs w:val="22"/>
              <w:lang w:val="es-ES"/>
            </w:rPr>
            <w:fldChar w:fldCharType="end"/>
          </w:r>
        </w:p>
      </w:sdtContent>
    </w:sdt>
    <w:p w14:paraId="0989CF30"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06DE08EE"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0F09578C"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74705B77"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1571DA9F"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4BDCB8F0"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DAFAB59"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74D5F36"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3E4A410E" w14:textId="77777777" w:rsidR="00944865" w:rsidRDefault="00944865" w:rsidP="00FF426B">
      <w:pPr>
        <w:spacing w:line="360" w:lineRule="auto"/>
        <w:contextualSpacing/>
        <w:jc w:val="both"/>
        <w:rPr>
          <w:rFonts w:ascii="Palatino Linotype" w:hAnsi="Palatino Linotype" w:cs="Tahoma"/>
          <w:bCs/>
          <w:sz w:val="22"/>
          <w:szCs w:val="22"/>
        </w:rPr>
      </w:pPr>
    </w:p>
    <w:p w14:paraId="41AE96E5" w14:textId="554B67FD"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942F15">
        <w:rPr>
          <w:rFonts w:ascii="Palatino Linotype" w:hAnsi="Palatino Linotype" w:cs="Tahoma"/>
          <w:bCs/>
          <w:sz w:val="22"/>
          <w:szCs w:val="22"/>
        </w:rPr>
        <w:t>veinte</w:t>
      </w:r>
      <w:r w:rsidR="00944865">
        <w:rPr>
          <w:rFonts w:ascii="Palatino Linotype" w:hAnsi="Palatino Linotype" w:cs="Tahoma"/>
          <w:bCs/>
          <w:sz w:val="22"/>
          <w:szCs w:val="22"/>
        </w:rPr>
        <w:t xml:space="preserve"> de noviembre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61DF9CBE" w14:textId="77777777" w:rsidR="00E35DF9" w:rsidRPr="00CB301F" w:rsidRDefault="00E35DF9" w:rsidP="00FF426B">
      <w:pPr>
        <w:spacing w:line="360" w:lineRule="auto"/>
        <w:contextualSpacing/>
        <w:jc w:val="both"/>
        <w:rPr>
          <w:rFonts w:ascii="Palatino Linotype" w:hAnsi="Palatino Linotype" w:cs="Tahoma"/>
          <w:bCs/>
          <w:sz w:val="22"/>
          <w:szCs w:val="22"/>
        </w:rPr>
      </w:pPr>
    </w:p>
    <w:p w14:paraId="5A8CFEC9" w14:textId="61C6D507" w:rsidR="00E35DF9" w:rsidRPr="001759A8" w:rsidRDefault="00E35DF9" w:rsidP="00FF426B">
      <w:pPr>
        <w:spacing w:line="360" w:lineRule="auto"/>
        <w:contextualSpacing/>
        <w:jc w:val="both"/>
        <w:rPr>
          <w:rFonts w:ascii="Palatino Linotype" w:hAnsi="Palatino Linotype" w:cs="Tahoma"/>
          <w:color w:val="0D0D0D" w:themeColor="text1" w:themeTint="F2"/>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42F15" w:rsidRPr="00C66D1A">
        <w:rPr>
          <w:rFonts w:ascii="Palatino Linotype" w:hAnsi="Palatino Linotype" w:cs="Tahoma"/>
          <w:b/>
          <w:color w:val="0D0D0D" w:themeColor="text1" w:themeTint="F2"/>
          <w:sz w:val="22"/>
          <w:szCs w:val="22"/>
        </w:rPr>
        <w:t>12081</w:t>
      </w:r>
      <w:r w:rsidR="0089175F" w:rsidRPr="00C66D1A">
        <w:rPr>
          <w:rFonts w:ascii="Palatino Linotype" w:hAnsi="Palatino Linotype" w:cs="Tahoma"/>
          <w:b/>
          <w:color w:val="0D0D0D" w:themeColor="text1" w:themeTint="F2"/>
          <w:sz w:val="22"/>
          <w:szCs w:val="22"/>
        </w:rPr>
        <w:t>/INFOEM/IP/RR/202</w:t>
      </w:r>
      <w:r w:rsidR="00CD10BF" w:rsidRPr="00C66D1A">
        <w:rPr>
          <w:rFonts w:ascii="Palatino Linotype" w:hAnsi="Palatino Linotype" w:cs="Tahoma"/>
          <w:b/>
          <w:color w:val="0D0D0D" w:themeColor="text1" w:themeTint="F2"/>
          <w:sz w:val="22"/>
          <w:szCs w:val="22"/>
        </w:rPr>
        <w:t>5</w:t>
      </w:r>
      <w:r w:rsidR="0089175F" w:rsidRPr="00030981">
        <w:rPr>
          <w:rFonts w:ascii="Palatino Linotype" w:hAnsi="Palatino Linotype" w:cs="Tahoma"/>
          <w:color w:val="0D0D0D" w:themeColor="text1" w:themeTint="F2"/>
          <w:sz w:val="22"/>
          <w:szCs w:val="22"/>
        </w:rPr>
        <w:t>,</w:t>
      </w:r>
      <w:r w:rsidRPr="00030981">
        <w:rPr>
          <w:rFonts w:ascii="Palatino Linotype" w:hAnsi="Palatino Linotype" w:cs="Tahoma"/>
          <w:color w:val="0D0D0D" w:themeColor="text1" w:themeTint="F2"/>
          <w:sz w:val="22"/>
          <w:szCs w:val="22"/>
        </w:rPr>
        <w:t xml:space="preserve"> interpuesto</w:t>
      </w:r>
      <w:r w:rsidR="00C74F5F" w:rsidRPr="00030981">
        <w:rPr>
          <w:rFonts w:ascii="Palatino Linotype" w:hAnsi="Palatino Linotype" w:cs="Tahoma"/>
          <w:color w:val="0D0D0D" w:themeColor="text1" w:themeTint="F2"/>
          <w:sz w:val="22"/>
          <w:szCs w:val="22"/>
        </w:rPr>
        <w:t xml:space="preserve"> </w:t>
      </w:r>
      <w:r w:rsidR="007E4927" w:rsidRPr="00030981">
        <w:rPr>
          <w:rFonts w:ascii="Palatino Linotype" w:hAnsi="Palatino Linotype" w:cs="Tahoma"/>
          <w:color w:val="0D0D0D" w:themeColor="text1" w:themeTint="F2"/>
          <w:sz w:val="22"/>
          <w:szCs w:val="22"/>
        </w:rPr>
        <w:t>por</w:t>
      </w:r>
      <w:r w:rsidR="001759A8" w:rsidRPr="001759A8">
        <w:rPr>
          <w:rFonts w:ascii="Palatino Linotype" w:eastAsia="Calibri" w:hAnsi="Palatino Linotype" w:cs="Tahoma"/>
          <w:bCs/>
          <w:sz w:val="22"/>
          <w:szCs w:val="22"/>
          <w:lang w:eastAsia="en-US"/>
        </w:rPr>
        <w:t xml:space="preserve"> </w:t>
      </w:r>
      <w:r w:rsidR="00AB0F43" w:rsidRPr="00AB0F43">
        <w:rPr>
          <w:rFonts w:ascii="Palatino Linotype" w:eastAsia="Calibri" w:hAnsi="Palatino Linotype" w:cs="Tahoma"/>
          <w:b/>
          <w:bCs/>
          <w:sz w:val="22"/>
          <w:szCs w:val="22"/>
          <w:highlight w:val="black"/>
          <w:lang w:eastAsia="en-US"/>
        </w:rPr>
        <w:t>XXXXXXXXXXXXXXXXXXXXXXXXXXXXX</w:t>
      </w:r>
      <w:r w:rsidR="001759A8">
        <w:rPr>
          <w:rFonts w:ascii="Palatino Linotype" w:eastAsia="Calibri" w:hAnsi="Palatino Linotype" w:cs="Tahoma"/>
          <w:bCs/>
          <w:sz w:val="22"/>
          <w:szCs w:val="22"/>
          <w:lang w:eastAsia="en-US"/>
        </w:rPr>
        <w:t xml:space="preserve"> en lo sucesivo la persona </w:t>
      </w:r>
      <w:r w:rsidRPr="00030981">
        <w:rPr>
          <w:rFonts w:ascii="Palatino Linotype" w:hAnsi="Palatino Linotype" w:cs="Tahoma"/>
          <w:color w:val="0D0D0D" w:themeColor="text1" w:themeTint="F2"/>
          <w:sz w:val="22"/>
          <w:szCs w:val="22"/>
        </w:rPr>
        <w:t>Recurrente o Particular, en contra de la respuesta del Sujeto Obligado</w:t>
      </w:r>
      <w:r w:rsidRPr="00030981">
        <w:rPr>
          <w:rFonts w:ascii="Palatino Linotype" w:hAnsi="Palatino Linotype"/>
          <w:sz w:val="22"/>
          <w:szCs w:val="22"/>
        </w:rPr>
        <w:t xml:space="preserve"> </w:t>
      </w:r>
      <w:r w:rsidR="00942F15" w:rsidRPr="00C66D1A">
        <w:rPr>
          <w:rFonts w:ascii="Palatino Linotype" w:eastAsia="Calibri" w:hAnsi="Palatino Linotype" w:cs="Tahoma"/>
          <w:b/>
          <w:sz w:val="22"/>
          <w:szCs w:val="22"/>
          <w:lang w:eastAsia="en-US"/>
        </w:rPr>
        <w:t>Sistema Municipal para el Desarrollo Integral de la Familia de Capulhuac</w:t>
      </w:r>
      <w:r w:rsidRPr="00C66D1A">
        <w:rPr>
          <w:rFonts w:ascii="Palatino Linotype" w:hAnsi="Palatino Linotype" w:cs="Tahoma"/>
          <w:b/>
          <w:color w:val="0D0D0D" w:themeColor="text1" w:themeTint="F2"/>
          <w:sz w:val="22"/>
          <w:szCs w:val="22"/>
        </w:rPr>
        <w:t>,</w:t>
      </w:r>
      <w:r w:rsidRPr="00030981">
        <w:rPr>
          <w:rFonts w:ascii="Palatino Linotype" w:hAnsi="Palatino Linotype" w:cs="Tahoma"/>
          <w:color w:val="0D0D0D" w:themeColor="text1" w:themeTint="F2"/>
          <w:sz w:val="22"/>
          <w:szCs w:val="22"/>
        </w:rPr>
        <w:t xml:space="preserve"> se emite la presente Resolución, con base en los Antecedentes y C</w:t>
      </w:r>
      <w:r w:rsidRPr="00030981">
        <w:rPr>
          <w:rFonts w:ascii="Palatino Linotype" w:hAnsi="Palatino Linotype" w:cs="Tahoma"/>
          <w:sz w:val="22"/>
          <w:szCs w:val="22"/>
        </w:rPr>
        <w:t>onsiderandos</w:t>
      </w:r>
      <w:r w:rsidRPr="00CB301F">
        <w:rPr>
          <w:rFonts w:ascii="Palatino Linotype" w:hAnsi="Palatino Linotype" w:cs="Tahoma"/>
          <w:bCs/>
          <w:sz w:val="22"/>
          <w:szCs w:val="22"/>
        </w:rPr>
        <w:t xml:space="preserve"> que a continuación se exponen:</w:t>
      </w:r>
    </w:p>
    <w:p w14:paraId="6E175615"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104E6782" w14:textId="77777777" w:rsidR="00E35DF9" w:rsidRPr="00CB301F" w:rsidRDefault="00E35DF9" w:rsidP="00342378">
      <w:pPr>
        <w:pStyle w:val="Ttulo1"/>
        <w:jc w:val="center"/>
        <w:rPr>
          <w:rFonts w:ascii="Palatino Linotype" w:hAnsi="Palatino Linotype"/>
          <w:b/>
          <w:sz w:val="22"/>
          <w:szCs w:val="22"/>
        </w:rPr>
      </w:pPr>
      <w:bookmarkStart w:id="1" w:name="_Toc199325082"/>
      <w:r w:rsidRPr="00CB301F">
        <w:rPr>
          <w:rFonts w:ascii="Palatino Linotype" w:hAnsi="Palatino Linotype"/>
          <w:b/>
          <w:color w:val="auto"/>
          <w:sz w:val="22"/>
          <w:szCs w:val="22"/>
        </w:rPr>
        <w:t>A N T E C E D E N T E S</w:t>
      </w:r>
      <w:bookmarkEnd w:id="1"/>
    </w:p>
    <w:p w14:paraId="2AE58DB7" w14:textId="77777777" w:rsidR="001E7B8B" w:rsidRPr="00CB301F" w:rsidRDefault="001E7B8B" w:rsidP="00FF426B">
      <w:pPr>
        <w:pStyle w:val="Prrafodelista"/>
        <w:tabs>
          <w:tab w:val="left" w:pos="567"/>
        </w:tabs>
        <w:spacing w:line="360" w:lineRule="auto"/>
        <w:ind w:left="0"/>
        <w:jc w:val="both"/>
        <w:rPr>
          <w:rFonts w:ascii="Palatino Linotype" w:hAnsi="Palatino Linotype" w:cs="Tahoma"/>
          <w:b/>
          <w:szCs w:val="22"/>
        </w:rPr>
      </w:pPr>
    </w:p>
    <w:p w14:paraId="437A74C1" w14:textId="77777777" w:rsidR="00E35DF9" w:rsidRPr="00CB301F" w:rsidRDefault="00E35DF9" w:rsidP="00342378">
      <w:pPr>
        <w:pStyle w:val="Ttulo2"/>
        <w:rPr>
          <w:rFonts w:ascii="Palatino Linotype" w:hAnsi="Palatino Linotype" w:cs="Tahoma"/>
          <w:b/>
          <w:color w:val="auto"/>
          <w:sz w:val="22"/>
          <w:szCs w:val="22"/>
        </w:rPr>
      </w:pPr>
      <w:bookmarkStart w:id="2" w:name="_Toc199325083"/>
      <w:r w:rsidRPr="00CB301F">
        <w:rPr>
          <w:rFonts w:ascii="Palatino Linotype" w:hAnsi="Palatino Linotype" w:cs="Tahoma"/>
          <w:b/>
          <w:color w:val="auto"/>
          <w:sz w:val="22"/>
          <w:szCs w:val="22"/>
        </w:rPr>
        <w:t>I. Presentación de la solicitud de información</w:t>
      </w:r>
      <w:bookmarkEnd w:id="2"/>
    </w:p>
    <w:p w14:paraId="4BDDF0B2" w14:textId="77777777" w:rsidR="00E35DF9" w:rsidRPr="00CB301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1C67BBAD" w14:textId="101E888C" w:rsidR="00E35DF9" w:rsidRPr="00030981"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942F15">
        <w:rPr>
          <w:rFonts w:ascii="Palatino Linotype" w:hAnsi="Palatino Linotype" w:cs="Tahoma"/>
          <w:sz w:val="22"/>
          <w:szCs w:val="22"/>
        </w:rPr>
        <w:t>diez de octubre</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942F15" w:rsidRPr="00030981">
        <w:rPr>
          <w:rFonts w:ascii="Palatino Linotype" w:hAnsi="Palatino Linotype" w:cs="Tahoma"/>
          <w:sz w:val="22"/>
          <w:szCs w:val="22"/>
        </w:rPr>
        <w:t>Sistema Municipal para el Desarrollo Integral de la Familia de Capulhuac</w:t>
      </w:r>
      <w:r w:rsidR="00E35DF9" w:rsidRPr="00030981">
        <w:rPr>
          <w:rFonts w:ascii="Palatino Linotype" w:hAnsi="Palatino Linotype" w:cs="Tahoma"/>
          <w:sz w:val="22"/>
          <w:szCs w:val="22"/>
        </w:rPr>
        <w:t xml:space="preserve">, </w:t>
      </w:r>
      <w:r w:rsidR="003A12F1" w:rsidRPr="00030981">
        <w:rPr>
          <w:rFonts w:ascii="Palatino Linotype" w:hAnsi="Palatino Linotype" w:cs="Tahoma"/>
          <w:sz w:val="22"/>
          <w:szCs w:val="22"/>
        </w:rPr>
        <w:t xml:space="preserve">misma que fue registrada con el número de folio </w:t>
      </w:r>
      <w:bookmarkStart w:id="3" w:name="_Hlk213920059"/>
      <w:r w:rsidR="00942F15" w:rsidRPr="00030981">
        <w:rPr>
          <w:rFonts w:ascii="Palatino Linotype" w:hAnsi="Palatino Linotype" w:cs="Tahoma"/>
          <w:sz w:val="22"/>
          <w:szCs w:val="22"/>
        </w:rPr>
        <w:t>00028/DIFCAPULHUAC/IP/2025</w:t>
      </w:r>
      <w:bookmarkEnd w:id="3"/>
      <w:r w:rsidR="003A12F1" w:rsidRPr="00030981">
        <w:rPr>
          <w:rFonts w:ascii="Palatino Linotype" w:hAnsi="Palatino Linotype" w:cs="Tahoma"/>
          <w:sz w:val="22"/>
          <w:szCs w:val="22"/>
        </w:rPr>
        <w:t xml:space="preserve">, </w:t>
      </w:r>
      <w:r w:rsidR="00E35DF9" w:rsidRPr="00030981">
        <w:rPr>
          <w:rFonts w:ascii="Palatino Linotype" w:hAnsi="Palatino Linotype" w:cs="Tahoma"/>
          <w:sz w:val="22"/>
          <w:szCs w:val="22"/>
        </w:rPr>
        <w:t xml:space="preserve">mediante </w:t>
      </w:r>
      <w:r w:rsidR="0074594A" w:rsidRPr="00030981">
        <w:rPr>
          <w:rFonts w:ascii="Palatino Linotype" w:hAnsi="Palatino Linotype" w:cs="Tahoma"/>
          <w:sz w:val="22"/>
          <w:szCs w:val="22"/>
        </w:rPr>
        <w:t>l</w:t>
      </w:r>
      <w:r w:rsidR="00B50512" w:rsidRPr="00030981">
        <w:rPr>
          <w:rFonts w:ascii="Palatino Linotype" w:hAnsi="Palatino Linotype" w:cs="Tahoma"/>
          <w:sz w:val="22"/>
          <w:szCs w:val="22"/>
        </w:rPr>
        <w:t>a</w:t>
      </w:r>
      <w:r w:rsidR="00E35DF9" w:rsidRPr="00030981">
        <w:rPr>
          <w:rFonts w:ascii="Palatino Linotype" w:hAnsi="Palatino Linotype" w:cs="Tahoma"/>
          <w:sz w:val="22"/>
          <w:szCs w:val="22"/>
        </w:rPr>
        <w:t xml:space="preserve"> cual requirió lo siguiente: </w:t>
      </w:r>
    </w:p>
    <w:p w14:paraId="52979B9C" w14:textId="77777777" w:rsidR="00D807FB" w:rsidRPr="00030981" w:rsidRDefault="00D807FB" w:rsidP="00FF426B">
      <w:pPr>
        <w:tabs>
          <w:tab w:val="left" w:pos="567"/>
        </w:tabs>
        <w:spacing w:line="360" w:lineRule="auto"/>
        <w:contextualSpacing/>
        <w:jc w:val="both"/>
        <w:rPr>
          <w:rFonts w:ascii="Palatino Linotype" w:hAnsi="Palatino Linotype" w:cs="Tahoma"/>
          <w:sz w:val="22"/>
        </w:rPr>
      </w:pPr>
    </w:p>
    <w:p w14:paraId="1D399F9E"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46AD321C" w14:textId="3C218A6E" w:rsidR="000F2B83" w:rsidRPr="00CB301F" w:rsidRDefault="00942F15" w:rsidP="00944865">
      <w:pPr>
        <w:pStyle w:val="Prrafodelista"/>
        <w:tabs>
          <w:tab w:val="left" w:pos="567"/>
        </w:tabs>
        <w:spacing w:line="360" w:lineRule="auto"/>
        <w:ind w:left="567" w:right="539"/>
        <w:jc w:val="both"/>
        <w:rPr>
          <w:rFonts w:ascii="Palatino Linotype" w:hAnsi="Palatino Linotype"/>
          <w:i/>
          <w:iCs/>
          <w:color w:val="000000"/>
          <w:sz w:val="20"/>
          <w:szCs w:val="20"/>
        </w:rPr>
      </w:pPr>
      <w:r w:rsidRPr="00942F15">
        <w:rPr>
          <w:rFonts w:ascii="Palatino Linotype" w:hAnsi="Palatino Linotype"/>
          <w:i/>
          <w:iCs/>
          <w:color w:val="000000"/>
          <w:sz w:val="20"/>
          <w:szCs w:val="20"/>
        </w:rPr>
        <w:t xml:space="preserve">Informe de apoyos alimentarios entregados </w:t>
      </w:r>
      <w:proofErr w:type="spellStart"/>
      <w:r w:rsidRPr="00942F15">
        <w:rPr>
          <w:rFonts w:ascii="Palatino Linotype" w:hAnsi="Palatino Linotype"/>
          <w:i/>
          <w:iCs/>
          <w:color w:val="000000"/>
          <w:sz w:val="20"/>
          <w:szCs w:val="20"/>
        </w:rPr>
        <w:t>mensualmenteINFORMACION</w:t>
      </w:r>
      <w:proofErr w:type="spellEnd"/>
      <w:r w:rsidRPr="00942F15">
        <w:rPr>
          <w:rFonts w:ascii="Palatino Linotype" w:hAnsi="Palatino Linotype"/>
          <w:i/>
          <w:iCs/>
          <w:color w:val="000000"/>
          <w:sz w:val="20"/>
          <w:szCs w:val="20"/>
        </w:rPr>
        <w:t xml:space="preserve"> QUE DEBE PORPORCIONAR LA DIRECTORA DEL DIF INFORMACION QUE DEBE PORPORCIONAR LA DIRECTORA DEL DIF</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7D684179"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3A4AEFA"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lastRenderedPageBreak/>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7FD97592" w14:textId="77777777" w:rsidR="006840A8" w:rsidRPr="00CB301F"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5480708D" w14:textId="77777777" w:rsidR="00681D84" w:rsidRPr="00CB301F" w:rsidRDefault="006840A8" w:rsidP="009B6753">
      <w:pPr>
        <w:pStyle w:val="Ttulo2"/>
        <w:spacing w:before="0"/>
      </w:pPr>
      <w:bookmarkStart w:id="4" w:name="_Toc188441616"/>
      <w:bookmarkStart w:id="5" w:name="_Toc191486747"/>
      <w:bookmarkStart w:id="6" w:name="_Toc199325084"/>
      <w:r w:rsidRPr="00CB301F">
        <w:rPr>
          <w:rFonts w:ascii="Palatino Linotype" w:eastAsia="Palatino Linotype" w:hAnsi="Palatino Linotype"/>
          <w:b/>
          <w:color w:val="auto"/>
          <w:sz w:val="22"/>
          <w:szCs w:val="22"/>
        </w:rPr>
        <w:t xml:space="preserve">II. </w:t>
      </w:r>
      <w:bookmarkStart w:id="7" w:name="_Toc199325085"/>
      <w:bookmarkEnd w:id="4"/>
      <w:bookmarkEnd w:id="5"/>
      <w:bookmarkEnd w:id="6"/>
      <w:r w:rsidR="00681D84" w:rsidRPr="00CB301F">
        <w:rPr>
          <w:rFonts w:ascii="Palatino Linotype" w:hAnsi="Palatino Linotype" w:cs="Tahoma"/>
          <w:b/>
          <w:color w:val="auto"/>
          <w:sz w:val="22"/>
          <w:szCs w:val="22"/>
        </w:rPr>
        <w:t>Respuesta del Sujeto Obligado</w:t>
      </w:r>
      <w:bookmarkEnd w:id="7"/>
    </w:p>
    <w:p w14:paraId="5E6ABDA4"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6AA7C30F" w14:textId="5EE07389" w:rsidR="007401D6" w:rsidRPr="00CB301F" w:rsidRDefault="00BB1F81" w:rsidP="00942F15">
      <w:pPr>
        <w:autoSpaceDE w:val="0"/>
        <w:autoSpaceDN w:val="0"/>
        <w:adjustRightInd w:val="0"/>
        <w:spacing w:line="360" w:lineRule="auto"/>
        <w:contextualSpacing/>
        <w:jc w:val="both"/>
        <w:rPr>
          <w:rFonts w:ascii="Palatino Linotype" w:hAnsi="Palatino Linotype" w:cs="Tahoma"/>
          <w:i/>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942F15">
        <w:rPr>
          <w:rFonts w:ascii="Palatino Linotype" w:hAnsi="Palatino Linotype" w:cs="Tahoma"/>
          <w:sz w:val="22"/>
          <w:szCs w:val="22"/>
        </w:rPr>
        <w:t>quince</w:t>
      </w:r>
      <w:r w:rsidR="00944865">
        <w:rPr>
          <w:rFonts w:ascii="Palatino Linotype" w:hAnsi="Palatino Linotype" w:cs="Tahoma"/>
          <w:sz w:val="22"/>
          <w:szCs w:val="22"/>
        </w:rPr>
        <w:t xml:space="preserve"> de octubre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9C323D" w:rsidRPr="00CB301F">
        <w:rPr>
          <w:rFonts w:ascii="Palatino Linotype" w:hAnsi="Palatino Linotype" w:cs="Tahoma"/>
          <w:sz w:val="22"/>
          <w:szCs w:val="22"/>
        </w:rPr>
        <w:t>l</w:t>
      </w:r>
      <w:r w:rsidR="00E42F9C">
        <w:rPr>
          <w:rFonts w:ascii="Palatino Linotype" w:hAnsi="Palatino Linotype" w:cs="Tahoma"/>
          <w:sz w:val="22"/>
          <w:szCs w:val="22"/>
        </w:rPr>
        <w:t xml:space="preserve">a que </w:t>
      </w:r>
      <w:r w:rsidR="00942F15">
        <w:rPr>
          <w:rFonts w:ascii="Palatino Linotype" w:hAnsi="Palatino Linotype" w:cs="Tahoma"/>
          <w:sz w:val="22"/>
          <w:szCs w:val="22"/>
        </w:rPr>
        <w:t xml:space="preserve">se declaró incompetente para conocer sobre lo solicitado. </w:t>
      </w:r>
    </w:p>
    <w:p w14:paraId="40F2F469" w14:textId="77777777" w:rsidR="00A63146" w:rsidRPr="00CB301F" w:rsidRDefault="00A63146" w:rsidP="007401D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3973171" w14:textId="77777777" w:rsidR="001A412B" w:rsidRPr="00CB301F" w:rsidRDefault="007812D1" w:rsidP="00342378">
      <w:pPr>
        <w:pStyle w:val="Ttulo2"/>
        <w:rPr>
          <w:rFonts w:ascii="Palatino Linotype" w:hAnsi="Palatino Linotype" w:cs="Tahoma"/>
          <w:b/>
          <w:color w:val="auto"/>
          <w:sz w:val="22"/>
          <w:szCs w:val="22"/>
        </w:rPr>
      </w:pPr>
      <w:bookmarkStart w:id="8" w:name="_Toc199325086"/>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8"/>
    </w:p>
    <w:p w14:paraId="1A5098F7" w14:textId="77777777" w:rsidR="00F87649" w:rsidRPr="00CB301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108F833" w14:textId="2D7146F7"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942F15">
        <w:rPr>
          <w:rFonts w:ascii="Palatino Linotype" w:hAnsi="Palatino Linotype" w:cs="Tahoma"/>
          <w:sz w:val="22"/>
          <w:szCs w:val="22"/>
        </w:rPr>
        <w:t>veinte</w:t>
      </w:r>
      <w:r w:rsidR="00A63146">
        <w:rPr>
          <w:rFonts w:ascii="Palatino Linotype" w:hAnsi="Palatino Linotype" w:cs="Tahoma"/>
          <w:sz w:val="22"/>
          <w:szCs w:val="22"/>
        </w:rPr>
        <w:t xml:space="preserve"> de octubre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70268667"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10FF215F"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26AFE80B" w14:textId="6BE3DD41"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9" w:name="_Hlk199244378"/>
      <w:r w:rsidR="00942F15" w:rsidRPr="00942F15">
        <w:rPr>
          <w:rFonts w:ascii="Palatino Linotype" w:hAnsi="Palatino Linotype" w:cs="Tahoma"/>
          <w:bCs/>
          <w:i/>
          <w:szCs w:val="22"/>
        </w:rPr>
        <w:t xml:space="preserve">Por medio del presente ocurso y con fundamento en lo dispuesto por el artículo 6, apartado A, de la Constitución Política de los Estados Unidos Mexicanos, 5, párrafos décimo séptimo, décimo octavo y décimo noveno, de la Constitución Política del Estado Libre y Soberano de México, 1, 2, 3, fracción XLIV, 4, 12, 16, 23, fracción V, 24, fracción XI y último párrafo, 50, 51, 53, fracciones II, IV, V, y VI de la Ley de Transparencia y Acceso a la Información Pública del Estado de México y Municipios, atento y en cumplimiento a la solicitud número 00028/DIFCAPULHUAC/IP/2025, en la cual se solicita lo siguiente: “Informe de apoyos alimentarios entregados </w:t>
      </w:r>
      <w:proofErr w:type="spellStart"/>
      <w:r w:rsidR="00942F15" w:rsidRPr="00942F15">
        <w:rPr>
          <w:rFonts w:ascii="Palatino Linotype" w:hAnsi="Palatino Linotype" w:cs="Tahoma"/>
          <w:bCs/>
          <w:i/>
          <w:szCs w:val="22"/>
        </w:rPr>
        <w:t>mensualmenteINFORMACION</w:t>
      </w:r>
      <w:proofErr w:type="spellEnd"/>
      <w:r w:rsidR="00942F15" w:rsidRPr="00942F15">
        <w:rPr>
          <w:rFonts w:ascii="Palatino Linotype" w:hAnsi="Palatino Linotype" w:cs="Tahoma"/>
          <w:bCs/>
          <w:i/>
          <w:szCs w:val="22"/>
        </w:rPr>
        <w:t xml:space="preserve"> QUE DEBE PORPORCIONAR LA DIRECTORA DEL DIF INFORMACION QUE DEBE PORPORCIONAR LA DIRECTORA DEL DIF” Al respecto me permito manifestar a mi derecho lo siguiente: De conformidad con el articulo 167 párrafo primero de la ley de Transparencia local, que a la letra dice: “LEY DE TRANSPARENCIA Y ACCESO A LA INFORMACIÓN PÚBLICA DEL ESTADO DE MÉXICO Y MUNICIPIOS Artículo 167. Cuando las unidades de transparencia determinen la notoria incompetencia por parte de los sujetos obligados, dentro del ámbito de aplicación, para atender la solicitud de acceso a la información, deberán comunicarlo al </w:t>
      </w:r>
      <w:r w:rsidR="00942F15" w:rsidRPr="00942F15">
        <w:rPr>
          <w:rFonts w:ascii="Palatino Linotype" w:hAnsi="Palatino Linotype" w:cs="Tahoma"/>
          <w:bCs/>
          <w:i/>
          <w:szCs w:val="22"/>
        </w:rPr>
        <w:lastRenderedPageBreak/>
        <w:t>solicitante, dentro de los tres días hábiles posteriores a la recepción de la solicitud y, en su caso orientar al solicitante, el o los sujetos obligados competentes.” Este sujeto obligado se declara incompetente para poder dar respuesta a su petición, derivado de que, no se genera, no se posee y no se administra la información que usted solicita, sin embargo, se le orienta al particular a, ingresar su solicitud al Sistema para el Desarrollo Integral de la Familia del Estado de México, específicamente en la Dirección de Alimentos y Nutrición Familiar del DIFEM, ya que, el DIFEM es el organismo encargado de generar, poseer y administrar dicha información, así también, el DIFEM cuenta con su propia Unidad de Transparencia.</w:t>
      </w:r>
      <w:r w:rsidR="00E55401" w:rsidRPr="00CB301F">
        <w:rPr>
          <w:rFonts w:ascii="Palatino Linotype" w:hAnsi="Palatino Linotype" w:cs="Tahoma"/>
          <w:bCs/>
          <w:i/>
          <w:szCs w:val="22"/>
        </w:rPr>
        <w:t>"</w:t>
      </w:r>
    </w:p>
    <w:bookmarkEnd w:id="9"/>
    <w:p w14:paraId="4565C01E"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6B881BBB"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5F9CD728" w14:textId="06861DAF" w:rsidR="00CE2F19" w:rsidRPr="00CB301F" w:rsidRDefault="00CE2F19" w:rsidP="00CE2F1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10" w:name="_Hlk181699048"/>
      <w:proofErr w:type="spellStart"/>
      <w:r w:rsidR="00942F15" w:rsidRPr="00942F15">
        <w:rPr>
          <w:rFonts w:ascii="Palatino Linotype" w:hAnsi="Palatino Linotype" w:cs="Tahoma"/>
          <w:bCs/>
          <w:i/>
          <w:szCs w:val="24"/>
        </w:rPr>
        <w:t>informacion</w:t>
      </w:r>
      <w:proofErr w:type="spellEnd"/>
      <w:r w:rsidR="00942F15" w:rsidRPr="00942F15">
        <w:rPr>
          <w:rFonts w:ascii="Palatino Linotype" w:hAnsi="Palatino Linotype" w:cs="Tahoma"/>
          <w:bCs/>
          <w:i/>
          <w:szCs w:val="24"/>
        </w:rPr>
        <w:t xml:space="preserve"> que tiene, ya que entregan estos apoyos</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1EF70E0C"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06E2A726" w14:textId="77777777" w:rsidR="009A7587" w:rsidRPr="00CB301F" w:rsidRDefault="009B6753" w:rsidP="00342378">
      <w:pPr>
        <w:pStyle w:val="Ttulo2"/>
        <w:rPr>
          <w:rFonts w:ascii="Palatino Linotype" w:eastAsia="Batang" w:hAnsi="Palatino Linotype" w:cs="Tahoma"/>
          <w:b/>
          <w:bCs/>
          <w:color w:val="auto"/>
          <w:sz w:val="22"/>
          <w:szCs w:val="22"/>
        </w:rPr>
      </w:pPr>
      <w:bookmarkStart w:id="11" w:name="_Toc199325087"/>
      <w:bookmarkEnd w:id="10"/>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11"/>
    </w:p>
    <w:p w14:paraId="4033068A"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008EBCA5" w14:textId="1D33AF90"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2" w:name="_Toc199325088"/>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2"/>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942F15">
        <w:rPr>
          <w:rFonts w:ascii="Palatino Linotype" w:hAnsi="Palatino Linotype" w:cs="Tahoma"/>
          <w:sz w:val="22"/>
          <w:szCs w:val="22"/>
        </w:rPr>
        <w:t>veinte</w:t>
      </w:r>
      <w:r w:rsidR="00A63146">
        <w:rPr>
          <w:rFonts w:ascii="Palatino Linotype" w:hAnsi="Palatino Linotype" w:cs="Tahoma"/>
          <w:sz w:val="22"/>
          <w:szCs w:val="22"/>
        </w:rPr>
        <w:t xml:space="preserve"> de octubre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942F15">
        <w:rPr>
          <w:rFonts w:ascii="Palatino Linotype" w:eastAsia="Batang" w:hAnsi="Palatino Linotype" w:cs="Tahoma"/>
          <w:b/>
          <w:bCs/>
          <w:sz w:val="22"/>
          <w:szCs w:val="22"/>
        </w:rPr>
        <w:t>12081</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7EE7B79E"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1A7C12A7" w14:textId="443638E1"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3" w:name="_Toc199325089"/>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3"/>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942F15">
        <w:rPr>
          <w:rFonts w:ascii="Palatino Linotype" w:hAnsi="Palatino Linotype" w:cs="Tahoma"/>
          <w:bCs/>
          <w:sz w:val="22"/>
          <w:szCs w:val="22"/>
        </w:rPr>
        <w:t>veintitrés</w:t>
      </w:r>
      <w:r w:rsidR="00A63146">
        <w:rPr>
          <w:rFonts w:ascii="Palatino Linotype" w:hAnsi="Palatino Linotype" w:cs="Tahoma"/>
          <w:bCs/>
          <w:sz w:val="22"/>
          <w:szCs w:val="22"/>
        </w:rPr>
        <w:t xml:space="preserve"> de octubre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xml:space="preserve">, en el que se les otorgó un plazo de siete días </w:t>
      </w:r>
      <w:r w:rsidR="001F787A" w:rsidRPr="00CB301F">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24E43F0D"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5FEE22FF" w14:textId="1A2C56A4" w:rsidR="00942F15" w:rsidRDefault="00942F15" w:rsidP="00942F15">
      <w:pPr>
        <w:spacing w:line="360" w:lineRule="auto"/>
        <w:jc w:val="both"/>
        <w:rPr>
          <w:rFonts w:ascii="Palatino Linotype" w:eastAsia="Batang" w:hAnsi="Palatino Linotype" w:cs="Tahoma"/>
          <w:bCs/>
          <w:sz w:val="22"/>
          <w:szCs w:val="22"/>
          <w:lang w:val="es-ES_tradnl"/>
        </w:rPr>
      </w:pPr>
      <w:bookmarkStart w:id="14" w:name="_Toc190261913"/>
      <w:bookmarkStart w:id="15" w:name="_Toc196917717"/>
      <w:bookmarkStart w:id="16" w:name="_Toc205306990"/>
      <w:r w:rsidRPr="000B5B81">
        <w:rPr>
          <w:rFonts w:ascii="Palatino Linotype" w:eastAsia="Batang" w:hAnsi="Palatino Linotype" w:cs="Tahoma"/>
          <w:b/>
          <w:bCs/>
          <w:sz w:val="22"/>
          <w:szCs w:val="22"/>
          <w:lang w:val="es-ES_tradnl"/>
        </w:rPr>
        <w:t xml:space="preserve">c) Informe Justificado. </w:t>
      </w:r>
      <w:r w:rsidRPr="000B5B81">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treinta de octubre </w:t>
      </w:r>
      <w:r w:rsidRPr="00DC0306">
        <w:rPr>
          <w:rFonts w:ascii="Palatino Linotype" w:eastAsia="Batang" w:hAnsi="Palatino Linotype" w:cs="Tahoma"/>
          <w:bCs/>
          <w:sz w:val="22"/>
          <w:szCs w:val="22"/>
          <w:lang w:val="es-ES_tradnl"/>
        </w:rPr>
        <w:t>de dos mil veinti</w:t>
      </w:r>
      <w:r>
        <w:rPr>
          <w:rFonts w:ascii="Palatino Linotype" w:eastAsia="Batang" w:hAnsi="Palatino Linotype" w:cs="Tahoma"/>
          <w:bCs/>
          <w:sz w:val="22"/>
          <w:szCs w:val="22"/>
          <w:lang w:val="es-ES_tradnl"/>
        </w:rPr>
        <w:t>cinco</w:t>
      </w:r>
      <w:r w:rsidRPr="00DC0306">
        <w:rPr>
          <w:rFonts w:ascii="Palatino Linotype" w:eastAsia="Batang" w:hAnsi="Palatino Linotype" w:cs="Tahoma"/>
          <w:bCs/>
          <w:sz w:val="22"/>
          <w:szCs w:val="22"/>
          <w:lang w:val="es-ES_tradnl"/>
        </w:rPr>
        <w:t xml:space="preserve">, a través del SAIMEX, se </w:t>
      </w:r>
      <w:r>
        <w:rPr>
          <w:rFonts w:ascii="Palatino Linotype" w:eastAsia="Batang" w:hAnsi="Palatino Linotype" w:cs="Tahoma"/>
          <w:bCs/>
          <w:sz w:val="22"/>
          <w:szCs w:val="22"/>
          <w:lang w:val="es-ES_tradnl"/>
        </w:rPr>
        <w:t xml:space="preserve">recibió </w:t>
      </w:r>
      <w:r w:rsidRPr="00DC0306">
        <w:rPr>
          <w:rFonts w:ascii="Palatino Linotype" w:eastAsia="Batang" w:hAnsi="Palatino Linotype" w:cs="Tahoma"/>
          <w:bCs/>
          <w:sz w:val="22"/>
          <w:szCs w:val="22"/>
          <w:lang w:val="es-ES_tradnl"/>
        </w:rPr>
        <w:t>en este Instituto</w:t>
      </w:r>
      <w:r>
        <w:rPr>
          <w:rFonts w:ascii="Palatino Linotype" w:eastAsia="Batang" w:hAnsi="Palatino Linotype" w:cs="Tahoma"/>
          <w:bCs/>
          <w:sz w:val="22"/>
          <w:szCs w:val="22"/>
          <w:lang w:val="es-ES_tradnl"/>
        </w:rPr>
        <w:t xml:space="preserve"> e</w:t>
      </w:r>
      <w:r w:rsidRPr="00DC0306">
        <w:rPr>
          <w:rFonts w:ascii="Palatino Linotype" w:eastAsia="Batang" w:hAnsi="Palatino Linotype" w:cs="Tahoma"/>
          <w:bCs/>
          <w:sz w:val="22"/>
          <w:szCs w:val="22"/>
          <w:lang w:val="es-ES_tradnl"/>
        </w:rPr>
        <w:t>l informe justificado por parte del Sujeto Obligado</w:t>
      </w:r>
      <w:r>
        <w:rPr>
          <w:rFonts w:ascii="Palatino Linotype" w:eastAsia="Batang" w:hAnsi="Palatino Linotype" w:cs="Tahoma"/>
          <w:bCs/>
          <w:sz w:val="22"/>
          <w:szCs w:val="22"/>
          <w:lang w:val="es-ES_tradnl"/>
        </w:rPr>
        <w:t>, por medio del cual ratifico su respuesta inicial.</w:t>
      </w:r>
    </w:p>
    <w:p w14:paraId="4DC16C46" w14:textId="77777777" w:rsidR="00942F15" w:rsidRPr="00A917F5" w:rsidRDefault="00942F15" w:rsidP="00942F15">
      <w:pPr>
        <w:spacing w:line="360" w:lineRule="auto"/>
        <w:jc w:val="both"/>
        <w:rPr>
          <w:rFonts w:ascii="Palatino Linotype" w:hAnsi="Palatino Linotype" w:cs="Tahoma"/>
          <w:sz w:val="22"/>
          <w:szCs w:val="22"/>
          <w:lang w:val="es-ES_tradnl"/>
        </w:rPr>
      </w:pPr>
    </w:p>
    <w:p w14:paraId="106398E4" w14:textId="152767FC" w:rsidR="00942F15" w:rsidRDefault="00942F15" w:rsidP="00942F15">
      <w:pPr>
        <w:spacing w:line="360" w:lineRule="auto"/>
        <w:jc w:val="both"/>
        <w:rPr>
          <w:rFonts w:ascii="Palatino Linotype" w:hAnsi="Palatino Linotype" w:cs="Tahoma"/>
          <w:sz w:val="22"/>
          <w:szCs w:val="22"/>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w:t>
      </w:r>
      <w:r>
        <w:rPr>
          <w:rFonts w:ascii="Palatino Linotype" w:hAnsi="Palatino Linotype" w:cs="Tahoma"/>
          <w:sz w:val="22"/>
          <w:szCs w:val="22"/>
        </w:rPr>
        <w:t>l</w:t>
      </w:r>
      <w:r w:rsidRPr="00A36B6A">
        <w:rPr>
          <w:rFonts w:ascii="Palatino Linotype" w:hAnsi="Palatino Linotype" w:cs="Tahoma"/>
          <w:sz w:val="22"/>
          <w:szCs w:val="22"/>
        </w:rPr>
        <w:t xml:space="preserve"> Particular </w:t>
      </w:r>
      <w:r>
        <w:rPr>
          <w:rFonts w:ascii="Palatino Linotype" w:hAnsi="Palatino Linotype" w:cs="Tahoma"/>
          <w:sz w:val="22"/>
          <w:szCs w:val="22"/>
        </w:rPr>
        <w:t>presento sus manifestaciones por SAIMEX el cuatro de noviembre de dos mil veinticinco, en el que señaló lo siguiente:</w:t>
      </w:r>
    </w:p>
    <w:p w14:paraId="57ED260A" w14:textId="77777777" w:rsidR="00942F15" w:rsidRDefault="00942F15" w:rsidP="00942F15">
      <w:pPr>
        <w:spacing w:line="360" w:lineRule="auto"/>
        <w:jc w:val="both"/>
        <w:rPr>
          <w:rFonts w:ascii="Palatino Linotype" w:hAnsi="Palatino Linotype" w:cs="Tahoma"/>
          <w:sz w:val="22"/>
          <w:szCs w:val="22"/>
        </w:rPr>
      </w:pPr>
    </w:p>
    <w:p w14:paraId="3FD924DA" w14:textId="77777777" w:rsidR="00942F15" w:rsidRDefault="00942F15" w:rsidP="00942F15">
      <w:pPr>
        <w:spacing w:line="360" w:lineRule="auto"/>
        <w:ind w:left="567" w:right="539"/>
        <w:jc w:val="both"/>
        <w:rPr>
          <w:rStyle w:val="Ttulo3Car"/>
          <w:rFonts w:ascii="Palatino Linotype" w:hAnsi="Palatino Linotype"/>
          <w:bCs/>
          <w:i/>
          <w:iCs/>
          <w:color w:val="auto"/>
          <w:sz w:val="20"/>
          <w:szCs w:val="20"/>
        </w:rPr>
      </w:pPr>
      <w:r>
        <w:rPr>
          <w:rStyle w:val="Ttulo3Car"/>
          <w:rFonts w:ascii="Palatino Linotype" w:hAnsi="Palatino Linotype"/>
          <w:bCs/>
          <w:i/>
          <w:iCs/>
          <w:color w:val="auto"/>
          <w:sz w:val="20"/>
          <w:szCs w:val="20"/>
        </w:rPr>
        <w:t>“…</w:t>
      </w:r>
    </w:p>
    <w:p w14:paraId="25A348BC" w14:textId="77777777" w:rsidR="00942F15" w:rsidRPr="00942F15" w:rsidRDefault="00942F15" w:rsidP="00942F15">
      <w:pPr>
        <w:spacing w:line="360" w:lineRule="auto"/>
        <w:ind w:left="567" w:right="539"/>
        <w:jc w:val="both"/>
        <w:rPr>
          <w:rFonts w:ascii="Palatino Linotype" w:eastAsiaTheme="majorEastAsia" w:hAnsi="Palatino Linotype" w:cstheme="majorBidi"/>
          <w:b/>
          <w:bCs/>
          <w:i/>
          <w:iCs/>
        </w:rPr>
      </w:pPr>
      <w:r w:rsidRPr="00942F15">
        <w:rPr>
          <w:rFonts w:ascii="Palatino Linotype" w:eastAsiaTheme="majorEastAsia" w:hAnsi="Palatino Linotype" w:cstheme="majorBidi"/>
          <w:b/>
          <w:bCs/>
          <w:i/>
          <w:iCs/>
        </w:rPr>
        <w:t>I. Sobre la negativa injustificada</w:t>
      </w:r>
    </w:p>
    <w:p w14:paraId="042A193C"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La respuesta otorgada por el sujeto obligado resulta </w:t>
      </w:r>
      <w:r w:rsidRPr="00942F15">
        <w:rPr>
          <w:rFonts w:ascii="Palatino Linotype" w:eastAsiaTheme="majorEastAsia" w:hAnsi="Palatino Linotype" w:cstheme="majorBidi"/>
          <w:b/>
          <w:bCs/>
          <w:i/>
          <w:iCs/>
        </w:rPr>
        <w:t>infundada, carente de fundamentación y motivación suficientes</w:t>
      </w:r>
      <w:r w:rsidRPr="00942F15">
        <w:rPr>
          <w:rFonts w:ascii="Palatino Linotype" w:eastAsiaTheme="majorEastAsia" w:hAnsi="Palatino Linotype" w:cstheme="majorBidi"/>
          <w:bCs/>
          <w:i/>
          <w:iCs/>
        </w:rPr>
        <w:t>, en contravención a lo dispuesto por los artículos 6° de la Constitución Política de los Estados Unidos Mexicanos, 2, 4, 6, 8, 12, 13, 14 y 46 de la Ley de Transparencia local.</w:t>
      </w:r>
      <w:r w:rsidRPr="00942F15">
        <w:rPr>
          <w:rFonts w:ascii="Palatino Linotype" w:eastAsiaTheme="majorEastAsia" w:hAnsi="Palatino Linotype" w:cstheme="majorBidi"/>
          <w:bCs/>
          <w:i/>
          <w:iCs/>
        </w:rPr>
        <w:br/>
        <w:t xml:space="preserve">Dicha negativa no expresa de manera clara </w:t>
      </w:r>
      <w:r w:rsidRPr="00942F15">
        <w:rPr>
          <w:rFonts w:ascii="Palatino Linotype" w:eastAsiaTheme="majorEastAsia" w:hAnsi="Palatino Linotype" w:cstheme="majorBidi"/>
          <w:b/>
          <w:bCs/>
          <w:i/>
          <w:iCs/>
        </w:rPr>
        <w:t>cuáles son las razones jurídicas y materiales</w:t>
      </w:r>
      <w:r w:rsidRPr="00942F15">
        <w:rPr>
          <w:rFonts w:ascii="Palatino Linotype" w:eastAsiaTheme="majorEastAsia" w:hAnsi="Palatino Linotype" w:cstheme="majorBidi"/>
          <w:bCs/>
          <w:i/>
          <w:iCs/>
        </w:rPr>
        <w:t xml:space="preserve"> por las cuales se niega la entrega de la información solicitada, ni se justifica con base en alguna </w:t>
      </w:r>
      <w:r w:rsidRPr="00942F15">
        <w:rPr>
          <w:rFonts w:ascii="Palatino Linotype" w:eastAsiaTheme="majorEastAsia" w:hAnsi="Palatino Linotype" w:cstheme="majorBidi"/>
          <w:b/>
          <w:bCs/>
          <w:i/>
          <w:iCs/>
        </w:rPr>
        <w:t>causal de reserva o confidencialidad legalmente prevista</w:t>
      </w:r>
      <w:r w:rsidRPr="00942F15">
        <w:rPr>
          <w:rFonts w:ascii="Palatino Linotype" w:eastAsiaTheme="majorEastAsia" w:hAnsi="Palatino Linotype" w:cstheme="majorBidi"/>
          <w:bCs/>
          <w:i/>
          <w:iCs/>
        </w:rPr>
        <w:t>.</w:t>
      </w:r>
    </w:p>
    <w:p w14:paraId="5E16CA78"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En consecuencia, la omisión del DIF Capulhuac vulnera el principio de </w:t>
      </w:r>
      <w:r w:rsidRPr="00942F15">
        <w:rPr>
          <w:rFonts w:ascii="Palatino Linotype" w:eastAsiaTheme="majorEastAsia" w:hAnsi="Palatino Linotype" w:cstheme="majorBidi"/>
          <w:b/>
          <w:bCs/>
          <w:i/>
          <w:iCs/>
        </w:rPr>
        <w:t>máxima publicidad</w:t>
      </w:r>
      <w:r w:rsidRPr="00942F15">
        <w:rPr>
          <w:rFonts w:ascii="Palatino Linotype" w:eastAsiaTheme="majorEastAsia" w:hAnsi="Palatino Linotype" w:cstheme="majorBidi"/>
          <w:bCs/>
          <w:i/>
          <w:iCs/>
        </w:rPr>
        <w:t xml:space="preserve">, el cual obliga a todas las autoridades y entes públicos a favorecer en todo momento la </w:t>
      </w:r>
      <w:r w:rsidRPr="00942F15">
        <w:rPr>
          <w:rFonts w:ascii="Palatino Linotype" w:eastAsiaTheme="majorEastAsia" w:hAnsi="Palatino Linotype" w:cstheme="majorBidi"/>
          <w:b/>
          <w:bCs/>
          <w:i/>
          <w:iCs/>
        </w:rPr>
        <w:t>divulgación y el acceso a la información</w:t>
      </w:r>
      <w:r w:rsidRPr="00942F15">
        <w:rPr>
          <w:rFonts w:ascii="Palatino Linotype" w:eastAsiaTheme="majorEastAsia" w:hAnsi="Palatino Linotype" w:cstheme="majorBidi"/>
          <w:bCs/>
          <w:i/>
          <w:iCs/>
        </w:rPr>
        <w:t xml:space="preserve"> en posesión de los mismos, restringiéndola únicamente en los casos expresamente previstos por la ley y mediante resolución debidamente fundada y motivada.</w:t>
      </w:r>
    </w:p>
    <w:p w14:paraId="2B6235DC" w14:textId="77777777" w:rsidR="00942F15" w:rsidRPr="00942F15" w:rsidRDefault="00942F15" w:rsidP="00942F15">
      <w:pPr>
        <w:spacing w:line="360" w:lineRule="auto"/>
        <w:ind w:left="567" w:right="539"/>
        <w:jc w:val="both"/>
        <w:rPr>
          <w:rFonts w:ascii="Palatino Linotype" w:eastAsiaTheme="majorEastAsia" w:hAnsi="Palatino Linotype" w:cstheme="majorBidi"/>
          <w:b/>
          <w:bCs/>
          <w:i/>
          <w:iCs/>
        </w:rPr>
      </w:pPr>
      <w:r w:rsidRPr="00942F15">
        <w:rPr>
          <w:rFonts w:ascii="Palatino Linotype" w:eastAsiaTheme="majorEastAsia" w:hAnsi="Palatino Linotype" w:cstheme="majorBidi"/>
          <w:b/>
          <w:bCs/>
          <w:i/>
          <w:iCs/>
        </w:rPr>
        <w:t>II. Sobre la obligación de transparencia y rendición de cuentas</w:t>
      </w:r>
    </w:p>
    <w:p w14:paraId="71B911B6"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El DIF Capulhuac, como organismo público descentralizado de carácter municipal, tiene el deber ineludible de </w:t>
      </w:r>
      <w:r w:rsidRPr="00942F15">
        <w:rPr>
          <w:rFonts w:ascii="Palatino Linotype" w:eastAsiaTheme="majorEastAsia" w:hAnsi="Palatino Linotype" w:cstheme="majorBidi"/>
          <w:b/>
          <w:bCs/>
          <w:i/>
          <w:iCs/>
        </w:rPr>
        <w:t>transparentar la totalidad de su gestión administrativa, financiera y operativa</w:t>
      </w:r>
      <w:r w:rsidRPr="00942F15">
        <w:rPr>
          <w:rFonts w:ascii="Palatino Linotype" w:eastAsiaTheme="majorEastAsia" w:hAnsi="Palatino Linotype" w:cstheme="majorBidi"/>
          <w:bCs/>
          <w:i/>
          <w:iCs/>
        </w:rPr>
        <w:t xml:space="preserve">, por cuanto administra </w:t>
      </w:r>
      <w:r w:rsidRPr="00942F15">
        <w:rPr>
          <w:rFonts w:ascii="Palatino Linotype" w:eastAsiaTheme="majorEastAsia" w:hAnsi="Palatino Linotype" w:cstheme="majorBidi"/>
          <w:b/>
          <w:bCs/>
          <w:i/>
          <w:iCs/>
        </w:rPr>
        <w:t>recursos provenientes del erario público</w:t>
      </w:r>
      <w:r w:rsidRPr="00942F15">
        <w:rPr>
          <w:rFonts w:ascii="Palatino Linotype" w:eastAsiaTheme="majorEastAsia" w:hAnsi="Palatino Linotype" w:cstheme="majorBidi"/>
          <w:bCs/>
          <w:i/>
          <w:iCs/>
        </w:rPr>
        <w:t xml:space="preserve"> y realiza funciones </w:t>
      </w:r>
      <w:r w:rsidRPr="00942F15">
        <w:rPr>
          <w:rFonts w:ascii="Palatino Linotype" w:eastAsiaTheme="majorEastAsia" w:hAnsi="Palatino Linotype" w:cstheme="majorBidi"/>
          <w:bCs/>
          <w:i/>
          <w:iCs/>
        </w:rPr>
        <w:lastRenderedPageBreak/>
        <w:t>de asistencia social que deben ser fiscalizables por la ciudadanía.</w:t>
      </w:r>
      <w:r w:rsidRPr="00942F15">
        <w:rPr>
          <w:rFonts w:ascii="Palatino Linotype" w:eastAsiaTheme="majorEastAsia" w:hAnsi="Palatino Linotype" w:cstheme="majorBidi"/>
          <w:bCs/>
          <w:i/>
          <w:iCs/>
        </w:rPr>
        <w:br/>
        <w:t xml:space="preserve">Por tanto, información relacionada con </w:t>
      </w:r>
      <w:r w:rsidRPr="00942F15">
        <w:rPr>
          <w:rFonts w:ascii="Palatino Linotype" w:eastAsiaTheme="majorEastAsia" w:hAnsi="Palatino Linotype" w:cstheme="majorBidi"/>
          <w:b/>
          <w:bCs/>
          <w:i/>
          <w:iCs/>
        </w:rPr>
        <w:t>nóminas, programas sociales, apoyos otorgados, contratos, adquisiciones, gastos operativos o reportes financieros</w:t>
      </w:r>
      <w:r w:rsidRPr="00942F15">
        <w:rPr>
          <w:rFonts w:ascii="Palatino Linotype" w:eastAsiaTheme="majorEastAsia" w:hAnsi="Palatino Linotype" w:cstheme="majorBidi"/>
          <w:bCs/>
          <w:i/>
          <w:iCs/>
        </w:rPr>
        <w:t xml:space="preserve"> debe tener carácter público, salvo los casos estrictamente excepcionales establecidos en la ley.</w:t>
      </w:r>
    </w:p>
    <w:p w14:paraId="63E95652"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La negativa de proporcionar dichos datos configura un </w:t>
      </w:r>
      <w:r w:rsidRPr="00942F15">
        <w:rPr>
          <w:rFonts w:ascii="Palatino Linotype" w:eastAsiaTheme="majorEastAsia" w:hAnsi="Palatino Linotype" w:cstheme="majorBidi"/>
          <w:b/>
          <w:bCs/>
          <w:i/>
          <w:iCs/>
        </w:rPr>
        <w:t>acto de opacidad institucional</w:t>
      </w:r>
      <w:r w:rsidRPr="00942F15">
        <w:rPr>
          <w:rFonts w:ascii="Palatino Linotype" w:eastAsiaTheme="majorEastAsia" w:hAnsi="Palatino Linotype" w:cstheme="majorBidi"/>
          <w:bCs/>
          <w:i/>
          <w:iCs/>
        </w:rPr>
        <w:t xml:space="preserve"> que impide a la sociedad ejercer su derecho a la rendición de cuentas y al control ciudadano sobre el uso y destino de los recursos públicos.</w:t>
      </w:r>
    </w:p>
    <w:p w14:paraId="09A17483" w14:textId="77777777" w:rsidR="00942F15" w:rsidRPr="00942F15" w:rsidRDefault="00942F15" w:rsidP="00942F15">
      <w:pPr>
        <w:spacing w:line="360" w:lineRule="auto"/>
        <w:ind w:left="567" w:right="539"/>
        <w:jc w:val="both"/>
        <w:rPr>
          <w:rFonts w:ascii="Palatino Linotype" w:eastAsiaTheme="majorEastAsia" w:hAnsi="Palatino Linotype" w:cstheme="majorBidi"/>
          <w:b/>
          <w:bCs/>
          <w:i/>
          <w:iCs/>
        </w:rPr>
      </w:pPr>
      <w:r w:rsidRPr="00942F15">
        <w:rPr>
          <w:rFonts w:ascii="Palatino Linotype" w:eastAsiaTheme="majorEastAsia" w:hAnsi="Palatino Linotype" w:cstheme="majorBidi"/>
          <w:b/>
          <w:bCs/>
          <w:i/>
          <w:iCs/>
        </w:rPr>
        <w:t>III. Sobre la omisión en materia de transparencia activa</w:t>
      </w:r>
    </w:p>
    <w:p w14:paraId="11FF8E93"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Asimismo, la falta de entrega de la información solicitada refleja un </w:t>
      </w:r>
      <w:r w:rsidRPr="00942F15">
        <w:rPr>
          <w:rFonts w:ascii="Palatino Linotype" w:eastAsiaTheme="majorEastAsia" w:hAnsi="Palatino Linotype" w:cstheme="majorBidi"/>
          <w:b/>
          <w:bCs/>
          <w:i/>
          <w:iCs/>
        </w:rPr>
        <w:t>incumplimiento al deber de transparencia activa</w:t>
      </w:r>
      <w:r w:rsidRPr="00942F15">
        <w:rPr>
          <w:rFonts w:ascii="Palatino Linotype" w:eastAsiaTheme="majorEastAsia" w:hAnsi="Palatino Linotype" w:cstheme="majorBidi"/>
          <w:bCs/>
          <w:i/>
          <w:iCs/>
        </w:rPr>
        <w:t>, consistente en mantener publicada, actualizada y disponible la información que debe difundirse de oficio conforme a los lineamientos legales y criterios emitidos por el órgano garante.</w:t>
      </w:r>
    </w:p>
    <w:p w14:paraId="140D4DBC"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La ausencia o desactualización de dicha información en los portales oficiales constituye una </w:t>
      </w:r>
      <w:r w:rsidRPr="00942F15">
        <w:rPr>
          <w:rFonts w:ascii="Palatino Linotype" w:eastAsiaTheme="majorEastAsia" w:hAnsi="Palatino Linotype" w:cstheme="majorBidi"/>
          <w:b/>
          <w:bCs/>
          <w:i/>
          <w:iCs/>
        </w:rPr>
        <w:t>violación al principio de legalidad administrativa</w:t>
      </w:r>
      <w:r w:rsidRPr="00942F15">
        <w:rPr>
          <w:rFonts w:ascii="Palatino Linotype" w:eastAsiaTheme="majorEastAsia" w:hAnsi="Palatino Linotype" w:cstheme="majorBidi"/>
          <w:bCs/>
          <w:i/>
          <w:iCs/>
        </w:rPr>
        <w:t>, pues el sujeto obligado no puede sustraerse de su obligación de informar mediante el silencio, la evasiva o la simple omisión de respuesta.</w:t>
      </w:r>
    </w:p>
    <w:p w14:paraId="5D6BDED7" w14:textId="77777777" w:rsidR="00942F15" w:rsidRPr="00942F15" w:rsidRDefault="00942F15" w:rsidP="00942F15">
      <w:pPr>
        <w:spacing w:line="360" w:lineRule="auto"/>
        <w:ind w:left="567" w:right="539"/>
        <w:jc w:val="both"/>
        <w:rPr>
          <w:rFonts w:ascii="Palatino Linotype" w:eastAsiaTheme="majorEastAsia" w:hAnsi="Palatino Linotype" w:cstheme="majorBidi"/>
          <w:b/>
          <w:bCs/>
          <w:i/>
          <w:iCs/>
        </w:rPr>
      </w:pPr>
      <w:r w:rsidRPr="00942F15">
        <w:rPr>
          <w:rFonts w:ascii="Palatino Linotype" w:eastAsiaTheme="majorEastAsia" w:hAnsi="Palatino Linotype" w:cstheme="majorBidi"/>
          <w:b/>
          <w:bCs/>
          <w:i/>
          <w:iCs/>
        </w:rPr>
        <w:t>IV. Sobre la vulneración del derecho ciudadano</w:t>
      </w:r>
    </w:p>
    <w:p w14:paraId="0E50CB21"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El derecho de acceso a la información pública es de naturaleza </w:t>
      </w:r>
      <w:r w:rsidRPr="00942F15">
        <w:rPr>
          <w:rFonts w:ascii="Palatino Linotype" w:eastAsiaTheme="majorEastAsia" w:hAnsi="Palatino Linotype" w:cstheme="majorBidi"/>
          <w:b/>
          <w:bCs/>
          <w:i/>
          <w:iCs/>
        </w:rPr>
        <w:t>fundamental y universal</w:t>
      </w:r>
      <w:r w:rsidRPr="00942F15">
        <w:rPr>
          <w:rFonts w:ascii="Palatino Linotype" w:eastAsiaTheme="majorEastAsia" w:hAnsi="Palatino Linotype" w:cstheme="majorBidi"/>
          <w:bCs/>
          <w:i/>
          <w:iCs/>
        </w:rPr>
        <w:t xml:space="preserve">, reconocido por el artículo 6° constitucional como una garantía para fortalecer la </w:t>
      </w:r>
      <w:r w:rsidRPr="00942F15">
        <w:rPr>
          <w:rFonts w:ascii="Palatino Linotype" w:eastAsiaTheme="majorEastAsia" w:hAnsi="Palatino Linotype" w:cstheme="majorBidi"/>
          <w:b/>
          <w:bCs/>
          <w:i/>
          <w:iCs/>
        </w:rPr>
        <w:t>participación ciudadana, la transparencia gubernamental y la lucha contra la corrupción</w:t>
      </w:r>
      <w:r w:rsidRPr="00942F15">
        <w:rPr>
          <w:rFonts w:ascii="Palatino Linotype" w:eastAsiaTheme="majorEastAsia" w:hAnsi="Palatino Linotype" w:cstheme="majorBidi"/>
          <w:bCs/>
          <w:i/>
          <w:iCs/>
        </w:rPr>
        <w:t>.</w:t>
      </w:r>
      <w:r w:rsidRPr="00942F15">
        <w:rPr>
          <w:rFonts w:ascii="Palatino Linotype" w:eastAsiaTheme="majorEastAsia" w:hAnsi="Palatino Linotype" w:cstheme="majorBidi"/>
          <w:bCs/>
          <w:i/>
          <w:iCs/>
        </w:rPr>
        <w:br/>
        <w:t xml:space="preserve">Negar información sin una causa legal y justificada equivale a </w:t>
      </w:r>
      <w:r w:rsidRPr="00942F15">
        <w:rPr>
          <w:rFonts w:ascii="Palatino Linotype" w:eastAsiaTheme="majorEastAsia" w:hAnsi="Palatino Linotype" w:cstheme="majorBidi"/>
          <w:b/>
          <w:bCs/>
          <w:i/>
          <w:iCs/>
        </w:rPr>
        <w:t>restringir arbitrariamente un derecho humano</w:t>
      </w:r>
      <w:r w:rsidRPr="00942F15">
        <w:rPr>
          <w:rFonts w:ascii="Palatino Linotype" w:eastAsiaTheme="majorEastAsia" w:hAnsi="Palatino Linotype" w:cstheme="majorBidi"/>
          <w:bCs/>
          <w:i/>
          <w:iCs/>
        </w:rPr>
        <w:t>, lo cual resulta inadmisible en un Estado democrático de derecho.</w:t>
      </w:r>
    </w:p>
    <w:p w14:paraId="4C8D6F7A" w14:textId="77777777" w:rsidR="00942F15" w:rsidRPr="00942F15" w:rsidRDefault="00942F15" w:rsidP="00942F15">
      <w:pPr>
        <w:spacing w:line="360" w:lineRule="auto"/>
        <w:ind w:left="567" w:right="539"/>
        <w:jc w:val="both"/>
        <w:rPr>
          <w:rFonts w:ascii="Palatino Linotype" w:eastAsiaTheme="majorEastAsia" w:hAnsi="Palatino Linotype" w:cstheme="majorBidi"/>
          <w:bCs/>
          <w:i/>
          <w:iCs/>
        </w:rPr>
      </w:pPr>
      <w:r w:rsidRPr="00942F15">
        <w:rPr>
          <w:rFonts w:ascii="Palatino Linotype" w:eastAsiaTheme="majorEastAsia" w:hAnsi="Palatino Linotype" w:cstheme="majorBidi"/>
          <w:bCs/>
          <w:i/>
          <w:iCs/>
        </w:rPr>
        <w:t xml:space="preserve">La actuación del DIF Capulhuac, al negar o evadir la entrega de los datos solicitados, vulnera de manera directa este derecho fundamental, impidiendo al suscrito conocer, evaluar y fiscalizar la actuación de una institución pública municipal que debe conducirse bajo los principios de </w:t>
      </w:r>
      <w:r w:rsidRPr="00942F15">
        <w:rPr>
          <w:rFonts w:ascii="Palatino Linotype" w:eastAsiaTheme="majorEastAsia" w:hAnsi="Palatino Linotype" w:cstheme="majorBidi"/>
          <w:b/>
          <w:bCs/>
          <w:i/>
          <w:iCs/>
        </w:rPr>
        <w:t>honestidad, legalidad y transparencia</w:t>
      </w:r>
      <w:r w:rsidRPr="00942F15">
        <w:rPr>
          <w:rFonts w:ascii="Palatino Linotype" w:eastAsiaTheme="majorEastAsia" w:hAnsi="Palatino Linotype" w:cstheme="majorBidi"/>
          <w:bCs/>
          <w:i/>
          <w:iCs/>
        </w:rPr>
        <w:t>.</w:t>
      </w:r>
    </w:p>
    <w:p w14:paraId="1F5F317C" w14:textId="77777777" w:rsidR="00942F15" w:rsidRDefault="00942F15" w:rsidP="00942F15">
      <w:pPr>
        <w:spacing w:line="360" w:lineRule="auto"/>
        <w:ind w:left="567" w:right="539"/>
        <w:jc w:val="both"/>
        <w:rPr>
          <w:rStyle w:val="Ttulo3Car"/>
          <w:rFonts w:ascii="Palatino Linotype" w:hAnsi="Palatino Linotype"/>
          <w:bCs/>
          <w:i/>
          <w:iCs/>
          <w:color w:val="auto"/>
          <w:sz w:val="20"/>
          <w:szCs w:val="20"/>
        </w:rPr>
      </w:pPr>
      <w:r>
        <w:rPr>
          <w:rStyle w:val="Ttulo3Car"/>
          <w:rFonts w:ascii="Palatino Linotype" w:hAnsi="Palatino Linotype"/>
          <w:bCs/>
          <w:i/>
          <w:iCs/>
          <w:color w:val="auto"/>
          <w:sz w:val="20"/>
          <w:szCs w:val="20"/>
        </w:rPr>
        <w:t>…”</w:t>
      </w:r>
    </w:p>
    <w:p w14:paraId="21FA27BB" w14:textId="77777777" w:rsidR="00942F15" w:rsidRPr="00A917F5" w:rsidRDefault="00942F15" w:rsidP="00942F15">
      <w:pPr>
        <w:spacing w:line="360" w:lineRule="auto"/>
        <w:ind w:left="567" w:right="539"/>
        <w:jc w:val="both"/>
        <w:rPr>
          <w:rStyle w:val="Ttulo3Car"/>
          <w:rFonts w:ascii="Palatino Linotype" w:hAnsi="Palatino Linotype"/>
          <w:bCs/>
          <w:i/>
          <w:iCs/>
          <w:color w:val="auto"/>
          <w:sz w:val="20"/>
          <w:szCs w:val="20"/>
        </w:rPr>
      </w:pPr>
    </w:p>
    <w:bookmarkEnd w:id="14"/>
    <w:bookmarkEnd w:id="15"/>
    <w:bookmarkEnd w:id="16"/>
    <w:p w14:paraId="14D307EE" w14:textId="50E49A58" w:rsidR="00942F15" w:rsidRPr="00DC0306" w:rsidRDefault="00942F15" w:rsidP="00942F15">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d</w:t>
      </w:r>
      <w:r w:rsidRPr="00DC0306">
        <w:rPr>
          <w:rFonts w:ascii="Palatino Linotype" w:hAnsi="Palatino Linotype" w:cs="Tahoma"/>
          <w:b/>
          <w:sz w:val="22"/>
          <w:szCs w:val="22"/>
        </w:rPr>
        <w:t>) Vista del Informe Justificado</w:t>
      </w:r>
      <w:r w:rsidRPr="00DC0306">
        <w:rPr>
          <w:rFonts w:ascii="Palatino Linotype" w:hAnsi="Palatino Linotype" w:cs="Tahoma"/>
          <w:sz w:val="22"/>
          <w:szCs w:val="22"/>
        </w:rPr>
        <w:t xml:space="preserve">. El </w:t>
      </w:r>
      <w:r>
        <w:rPr>
          <w:rFonts w:ascii="Palatino Linotype" w:hAnsi="Palatino Linotype" w:cs="Tahoma"/>
          <w:sz w:val="22"/>
          <w:szCs w:val="22"/>
        </w:rPr>
        <w:t xml:space="preserve">doce de noviembre </w:t>
      </w:r>
      <w:r w:rsidRPr="00DC0306">
        <w:rPr>
          <w:rFonts w:ascii="Palatino Linotype" w:hAnsi="Palatino Linotype" w:cs="Tahoma"/>
          <w:sz w:val="22"/>
          <w:szCs w:val="22"/>
        </w:rPr>
        <w:t>de dos mil veintic</w:t>
      </w:r>
      <w:r>
        <w:rPr>
          <w:rFonts w:ascii="Palatino Linotype" w:hAnsi="Palatino Linotype" w:cs="Tahoma"/>
          <w:sz w:val="22"/>
          <w:szCs w:val="22"/>
        </w:rPr>
        <w:t>inco</w:t>
      </w:r>
      <w:r w:rsidRPr="00DC0306">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w:t>
      </w:r>
    </w:p>
    <w:p w14:paraId="62819ED0" w14:textId="77777777" w:rsidR="00986BFD" w:rsidRPr="00CB301F" w:rsidRDefault="00986BFD" w:rsidP="00986BFD">
      <w:pPr>
        <w:spacing w:line="360" w:lineRule="auto"/>
        <w:jc w:val="both"/>
        <w:rPr>
          <w:rFonts w:ascii="Palatino Linotype" w:hAnsi="Palatino Linotype" w:cs="Tahoma"/>
          <w:b/>
          <w:sz w:val="22"/>
          <w:szCs w:val="24"/>
        </w:rPr>
      </w:pPr>
    </w:p>
    <w:p w14:paraId="21B6719F" w14:textId="4FC216A5" w:rsidR="00ED5DF5" w:rsidRPr="00CB301F" w:rsidRDefault="009B6753" w:rsidP="00FF426B">
      <w:pPr>
        <w:spacing w:line="360" w:lineRule="auto"/>
        <w:jc w:val="both"/>
        <w:rPr>
          <w:rFonts w:ascii="Palatino Linotype" w:hAnsi="Palatino Linotype" w:cs="Tahoma"/>
          <w:sz w:val="22"/>
          <w:szCs w:val="22"/>
        </w:rPr>
      </w:pPr>
      <w:bookmarkStart w:id="17" w:name="_Toc199325092"/>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054A26">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7"/>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942F15">
        <w:rPr>
          <w:rFonts w:ascii="Palatino Linotype" w:hAnsi="Palatino Linotype" w:cs="Tahoma"/>
          <w:sz w:val="22"/>
          <w:szCs w:val="22"/>
        </w:rPr>
        <w:t>diecinueve</w:t>
      </w:r>
      <w:r w:rsidR="00A63146">
        <w:rPr>
          <w:rFonts w:ascii="Palatino Linotype" w:hAnsi="Palatino Linotype" w:cs="Tahoma"/>
          <w:sz w:val="22"/>
          <w:szCs w:val="22"/>
        </w:rPr>
        <w:t xml:space="preserve"> de noviembre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6F31B55A" w14:textId="77777777" w:rsidR="0079675C" w:rsidRPr="00CB301F" w:rsidRDefault="0079675C" w:rsidP="00FF426B">
      <w:pPr>
        <w:spacing w:line="360" w:lineRule="auto"/>
        <w:jc w:val="both"/>
        <w:rPr>
          <w:rFonts w:ascii="Palatino Linotype" w:hAnsi="Palatino Linotype" w:cs="Tahoma"/>
          <w:sz w:val="22"/>
          <w:szCs w:val="22"/>
        </w:rPr>
      </w:pPr>
    </w:p>
    <w:p w14:paraId="610740AB"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6E48CD70" w14:textId="77777777" w:rsidR="001C0C73" w:rsidRPr="00CB301F" w:rsidRDefault="001C0C73" w:rsidP="00FF426B">
      <w:pPr>
        <w:spacing w:line="360" w:lineRule="auto"/>
        <w:contextualSpacing/>
        <w:jc w:val="both"/>
        <w:rPr>
          <w:rFonts w:ascii="Palatino Linotype" w:hAnsi="Palatino Linotype" w:cs="Tahoma"/>
          <w:color w:val="000000"/>
          <w:sz w:val="22"/>
          <w:szCs w:val="22"/>
        </w:rPr>
      </w:pPr>
    </w:p>
    <w:p w14:paraId="79FE4269" w14:textId="77777777" w:rsidR="00EA4E4A" w:rsidRPr="00CB301F" w:rsidRDefault="00EA4E4A" w:rsidP="00342378">
      <w:pPr>
        <w:pStyle w:val="Ttulo1"/>
        <w:jc w:val="center"/>
        <w:rPr>
          <w:rFonts w:ascii="Palatino Linotype" w:hAnsi="Palatino Linotype"/>
          <w:b/>
          <w:color w:val="auto"/>
          <w:sz w:val="22"/>
          <w:szCs w:val="22"/>
        </w:rPr>
      </w:pPr>
      <w:bookmarkStart w:id="18" w:name="_Toc199325093"/>
      <w:r w:rsidRPr="00CB301F">
        <w:rPr>
          <w:rFonts w:ascii="Palatino Linotype" w:hAnsi="Palatino Linotype"/>
          <w:b/>
          <w:color w:val="auto"/>
          <w:sz w:val="22"/>
          <w:szCs w:val="22"/>
        </w:rPr>
        <w:t>C O N S I D E R A N D O S</w:t>
      </w:r>
      <w:bookmarkEnd w:id="18"/>
    </w:p>
    <w:p w14:paraId="2A46B8BF"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762A41F0" w14:textId="77777777" w:rsidR="00EA4E4A" w:rsidRPr="00CB301F" w:rsidRDefault="00EA4E4A" w:rsidP="00342378">
      <w:pPr>
        <w:pStyle w:val="Ttulo2"/>
        <w:rPr>
          <w:rFonts w:ascii="Palatino Linotype" w:hAnsi="Palatino Linotype"/>
          <w:b/>
          <w:sz w:val="22"/>
          <w:szCs w:val="22"/>
        </w:rPr>
      </w:pPr>
      <w:bookmarkStart w:id="19" w:name="_Toc199325094"/>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9"/>
    </w:p>
    <w:p w14:paraId="4E308A20"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087EBEAA" w14:textId="77777777" w:rsidR="003D250F" w:rsidRDefault="003D250F" w:rsidP="003D250F">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w:t>
      </w:r>
      <w:r>
        <w:rPr>
          <w:rFonts w:ascii="Palatino Linotype" w:eastAsia="Calibri" w:hAnsi="Palatino Linotype"/>
          <w:color w:val="000000"/>
          <w:sz w:val="22"/>
          <w:szCs w:val="22"/>
          <w:lang w:eastAsia="en-US"/>
        </w:rPr>
        <w:lastRenderedPageBreak/>
        <w:t>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E79F81C" w14:textId="77777777" w:rsidR="00F66601" w:rsidRDefault="00F66601" w:rsidP="00FF426B">
      <w:pPr>
        <w:spacing w:line="360" w:lineRule="auto"/>
        <w:jc w:val="both"/>
        <w:rPr>
          <w:rFonts w:ascii="Palatino Linotype" w:hAnsi="Palatino Linotype" w:cs="Tahoma"/>
          <w:sz w:val="22"/>
          <w:szCs w:val="22"/>
          <w:shd w:val="clear" w:color="auto" w:fill="FFFFFF"/>
        </w:rPr>
      </w:pPr>
    </w:p>
    <w:p w14:paraId="6830298E" w14:textId="77777777" w:rsidR="00E42F9C" w:rsidRPr="00FB571A" w:rsidRDefault="00E42F9C" w:rsidP="00E42F9C">
      <w:pPr>
        <w:pStyle w:val="Ttulo2"/>
        <w:spacing w:before="0" w:line="360" w:lineRule="auto"/>
        <w:rPr>
          <w:rFonts w:ascii="Palatino Linotype" w:eastAsia="Calibri" w:hAnsi="Palatino Linotype"/>
          <w:b/>
          <w:color w:val="auto"/>
          <w:sz w:val="22"/>
          <w:szCs w:val="22"/>
          <w:lang w:eastAsia="es-MX"/>
        </w:rPr>
      </w:pPr>
      <w:bookmarkStart w:id="20" w:name="_Toc207885537"/>
      <w:r w:rsidRPr="00FB571A">
        <w:rPr>
          <w:rFonts w:ascii="Palatino Linotype" w:eastAsia="Calibri" w:hAnsi="Palatino Linotype"/>
          <w:b/>
          <w:color w:val="auto"/>
          <w:sz w:val="22"/>
          <w:szCs w:val="22"/>
          <w:lang w:eastAsia="es-MX"/>
        </w:rPr>
        <w:t>SEGUNDO. Causales de improcedencia y sobreseimiento</w:t>
      </w:r>
      <w:bookmarkEnd w:id="20"/>
    </w:p>
    <w:p w14:paraId="1AB70F32"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CEA623"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1C876AA"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27D2B9A"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6FE9699" w14:textId="77777777" w:rsidR="00E42F9C" w:rsidRPr="00FB571A" w:rsidRDefault="00E42F9C" w:rsidP="00E42F9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FE45BBF" w14:textId="77777777" w:rsidR="00E42F9C" w:rsidRPr="00FB571A" w:rsidRDefault="00E42F9C" w:rsidP="00E42F9C">
      <w:pPr>
        <w:pStyle w:val="Ttulo3"/>
        <w:spacing w:before="0" w:line="360" w:lineRule="auto"/>
        <w:rPr>
          <w:rFonts w:ascii="Palatino Linotype" w:eastAsia="Calibri" w:hAnsi="Palatino Linotype" w:cs="Arial"/>
          <w:b/>
          <w:color w:val="auto"/>
          <w:sz w:val="22"/>
          <w:szCs w:val="22"/>
          <w:lang w:eastAsia="es-ES_tradnl"/>
        </w:rPr>
      </w:pPr>
      <w:bookmarkStart w:id="21" w:name="_Toc207885538"/>
      <w:r w:rsidRPr="00FB571A">
        <w:rPr>
          <w:rFonts w:ascii="Palatino Linotype" w:eastAsia="Calibri" w:hAnsi="Palatino Linotype" w:cs="Arial"/>
          <w:b/>
          <w:color w:val="auto"/>
          <w:sz w:val="22"/>
          <w:szCs w:val="22"/>
          <w:lang w:eastAsia="es-ES_tradnl"/>
        </w:rPr>
        <w:lastRenderedPageBreak/>
        <w:t>Causales de sobreseimiento</w:t>
      </w:r>
      <w:bookmarkEnd w:id="21"/>
    </w:p>
    <w:p w14:paraId="76A0AB5D"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0CDB0E17"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4AB85335" w14:textId="77777777" w:rsidR="00E42F9C" w:rsidRPr="00FB571A" w:rsidRDefault="00E42F9C" w:rsidP="00E42F9C">
      <w:pPr>
        <w:spacing w:line="360" w:lineRule="auto"/>
        <w:jc w:val="both"/>
        <w:rPr>
          <w:rFonts w:ascii="Palatino Linotype" w:eastAsia="Calibri" w:hAnsi="Palatino Linotype" w:cs="Tahoma"/>
          <w:sz w:val="22"/>
          <w:szCs w:val="22"/>
          <w:lang w:eastAsia="es-ES_tradnl"/>
        </w:rPr>
      </w:pPr>
    </w:p>
    <w:p w14:paraId="1C5D03B4" w14:textId="77777777" w:rsidR="00E42F9C" w:rsidRPr="00FB571A" w:rsidRDefault="00E42F9C" w:rsidP="00E42F9C">
      <w:pPr>
        <w:pStyle w:val="Ttulo2"/>
        <w:spacing w:before="0" w:line="360" w:lineRule="auto"/>
        <w:rPr>
          <w:rFonts w:ascii="Palatino Linotype" w:eastAsia="Calibri" w:hAnsi="Palatino Linotype"/>
          <w:b/>
          <w:color w:val="auto"/>
          <w:sz w:val="22"/>
          <w:lang w:val="es-ES" w:eastAsia="es-ES_tradnl"/>
        </w:rPr>
      </w:pPr>
      <w:bookmarkStart w:id="22" w:name="_Toc207885539"/>
      <w:r w:rsidRPr="00FB571A">
        <w:rPr>
          <w:rFonts w:ascii="Palatino Linotype" w:eastAsia="Calibri" w:hAnsi="Palatino Linotype"/>
          <w:b/>
          <w:color w:val="auto"/>
          <w:sz w:val="22"/>
          <w:lang w:eastAsia="es-ES_tradnl"/>
        </w:rPr>
        <w:t>TERCERO. Determinación de la Controversia</w:t>
      </w:r>
      <w:bookmarkEnd w:id="22"/>
    </w:p>
    <w:p w14:paraId="3763D600" w14:textId="77777777" w:rsidR="00E42F9C" w:rsidRPr="00FB571A" w:rsidRDefault="00E42F9C" w:rsidP="00E42F9C">
      <w:pPr>
        <w:tabs>
          <w:tab w:val="left" w:pos="4962"/>
        </w:tabs>
        <w:spacing w:line="360" w:lineRule="auto"/>
        <w:jc w:val="both"/>
        <w:rPr>
          <w:rFonts w:ascii="Palatino Linotype" w:eastAsia="Calibri" w:hAnsi="Palatino Linotype" w:cs="Tahoma"/>
          <w:b/>
          <w:iCs/>
          <w:sz w:val="22"/>
          <w:szCs w:val="22"/>
          <w:lang w:val="es-ES" w:eastAsia="es-ES_tradnl"/>
        </w:rPr>
      </w:pPr>
    </w:p>
    <w:p w14:paraId="0C158E07" w14:textId="6C859733" w:rsidR="00E42F9C" w:rsidRDefault="00E42F9C" w:rsidP="00E42F9C">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942F15">
        <w:rPr>
          <w:rFonts w:ascii="Palatino Linotype" w:eastAsia="Calibri" w:hAnsi="Palatino Linotype" w:cs="Tahoma"/>
          <w:iCs/>
          <w:sz w:val="22"/>
          <w:szCs w:val="22"/>
          <w:lang w:val="es-ES" w:eastAsia="es-ES_tradnl"/>
        </w:rPr>
        <w:t>Sistema Municipal para el Desarrollo Integral de la Familia de Capulhuac</w:t>
      </w:r>
      <w:r w:rsidRPr="00FB571A">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00942F15">
        <w:rPr>
          <w:rFonts w:ascii="Palatino Linotype" w:eastAsia="Calibri" w:hAnsi="Palatino Linotype" w:cs="Tahoma"/>
          <w:iCs/>
          <w:sz w:val="22"/>
          <w:szCs w:val="22"/>
          <w:lang w:val="es-ES" w:eastAsia="es-ES_tradnl"/>
        </w:rPr>
        <w:t>un informe de apoyos alimentarios entregados</w:t>
      </w:r>
      <w:r>
        <w:rPr>
          <w:rFonts w:ascii="Palatino Linotype" w:eastAsia="Calibri" w:hAnsi="Palatino Linotype" w:cs="Tahoma"/>
          <w:iCs/>
          <w:sz w:val="22"/>
          <w:szCs w:val="22"/>
          <w:lang w:val="es-ES" w:eastAsia="es-ES_tradnl"/>
        </w:rPr>
        <w:t>.</w:t>
      </w:r>
    </w:p>
    <w:p w14:paraId="31F655B8" w14:textId="77777777" w:rsidR="00E42F9C" w:rsidRDefault="00E42F9C" w:rsidP="00E42F9C">
      <w:pPr>
        <w:tabs>
          <w:tab w:val="left" w:pos="4962"/>
        </w:tabs>
        <w:spacing w:line="360" w:lineRule="auto"/>
        <w:jc w:val="both"/>
        <w:rPr>
          <w:rFonts w:ascii="Palatino Linotype" w:eastAsia="Calibri" w:hAnsi="Palatino Linotype" w:cs="Tahoma"/>
          <w:iCs/>
          <w:sz w:val="22"/>
          <w:szCs w:val="22"/>
          <w:lang w:val="es-ES" w:eastAsia="es-ES_tradnl"/>
        </w:rPr>
      </w:pPr>
    </w:p>
    <w:p w14:paraId="52435001" w14:textId="3855D374" w:rsidR="00E42F9C" w:rsidRDefault="00E42F9C" w:rsidP="00E006E2">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En respuesta, el Sujeto Obligado</w:t>
      </w:r>
      <w:r w:rsidR="00E006E2">
        <w:rPr>
          <w:rFonts w:ascii="Palatino Linotype" w:eastAsia="Calibri" w:hAnsi="Palatino Linotype" w:cs="Tahoma"/>
          <w:iCs/>
          <w:sz w:val="22"/>
          <w:szCs w:val="22"/>
          <w:lang w:val="es-ES" w:eastAsia="es-ES_tradnl"/>
        </w:rPr>
        <w:t xml:space="preserve"> a través </w:t>
      </w:r>
      <w:r w:rsidR="00942F15">
        <w:rPr>
          <w:rFonts w:ascii="Palatino Linotype" w:eastAsia="Calibri" w:hAnsi="Palatino Linotype" w:cs="Tahoma"/>
          <w:iCs/>
          <w:sz w:val="22"/>
          <w:szCs w:val="22"/>
          <w:lang w:val="es-ES" w:eastAsia="es-ES_tradnl"/>
        </w:rPr>
        <w:t xml:space="preserve">de la </w:t>
      </w:r>
      <w:r w:rsidR="00E006E2" w:rsidRPr="00E006E2">
        <w:rPr>
          <w:rFonts w:ascii="Palatino Linotype" w:eastAsia="Calibri" w:hAnsi="Palatino Linotype" w:cs="Tahoma"/>
          <w:iCs/>
          <w:sz w:val="22"/>
          <w:szCs w:val="22"/>
          <w:lang w:val="es-ES" w:eastAsia="es-ES_tradnl"/>
        </w:rPr>
        <w:t>Titular de la</w:t>
      </w:r>
      <w:r w:rsidR="00942F15">
        <w:rPr>
          <w:rFonts w:ascii="Palatino Linotype" w:eastAsia="Calibri" w:hAnsi="Palatino Linotype" w:cs="Tahoma"/>
          <w:iCs/>
          <w:sz w:val="22"/>
          <w:szCs w:val="22"/>
          <w:lang w:val="es-ES" w:eastAsia="es-ES_tradnl"/>
        </w:rPr>
        <w:t xml:space="preserve"> Unidad De Transparencia, señaló que no eran competentes para conocer sobre lo solicitado</w:t>
      </w:r>
      <w:r>
        <w:rPr>
          <w:rFonts w:ascii="Palatino Linotype" w:eastAsia="Calibri" w:hAnsi="Palatino Linotype" w:cs="Tahoma"/>
          <w:iCs/>
          <w:sz w:val="22"/>
          <w:szCs w:val="22"/>
          <w:lang w:val="es-ES" w:eastAsia="es-ES_tradnl"/>
        </w:rPr>
        <w:t>; ante</w:t>
      </w:r>
      <w:r>
        <w:rPr>
          <w:rFonts w:ascii="Palatino Linotype" w:hAnsi="Palatino Linotype" w:cs="Tahoma"/>
          <w:sz w:val="22"/>
          <w:szCs w:val="22"/>
        </w:rPr>
        <w:t xml:space="preserve"> tal circunstancia,</w:t>
      </w:r>
      <w:r w:rsidRPr="00FB571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Particular se inconformó al considerar que </w:t>
      </w:r>
      <w:r w:rsidR="00B10539">
        <w:rPr>
          <w:rFonts w:ascii="Palatino Linotype" w:eastAsia="Calibri" w:hAnsi="Palatino Linotype" w:cs="Tahoma"/>
          <w:iCs/>
          <w:sz w:val="22"/>
          <w:szCs w:val="22"/>
          <w:lang w:val="es-ES" w:eastAsia="es-ES_tradnl"/>
        </w:rPr>
        <w:t xml:space="preserve">si debía contar con </w:t>
      </w:r>
      <w:r>
        <w:rPr>
          <w:rFonts w:ascii="Palatino Linotype" w:eastAsia="Calibri" w:hAnsi="Palatino Linotype" w:cs="Tahoma"/>
          <w:iCs/>
          <w:sz w:val="22"/>
          <w:szCs w:val="22"/>
          <w:lang w:val="es-ES" w:eastAsia="es-ES_tradnl"/>
        </w:rPr>
        <w:t xml:space="preserve">la información,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Pr>
          <w:rFonts w:ascii="Palatino Linotype" w:eastAsia="Calibri" w:hAnsi="Palatino Linotype" w:cs="Tahoma"/>
          <w:sz w:val="22"/>
          <w:szCs w:val="22"/>
        </w:rPr>
        <w:t>I</w:t>
      </w:r>
      <w:r w:rsidRPr="00FB571A">
        <w:rPr>
          <w:rFonts w:ascii="Palatino Linotype" w:eastAsia="Calibri" w:hAnsi="Palatino Linotype" w:cs="Tahoma"/>
          <w:sz w:val="22"/>
          <w:szCs w:val="22"/>
        </w:rPr>
        <w:t>, de la Ley de la materia</w:t>
      </w:r>
      <w:r w:rsidRPr="00DB1E8B">
        <w:rPr>
          <w:rFonts w:ascii="Palatino Linotype" w:eastAsia="Calibri" w:hAnsi="Palatino Linotype" w:cs="Tahoma"/>
          <w:bCs/>
          <w:sz w:val="22"/>
          <w:szCs w:val="22"/>
        </w:rPr>
        <w:t>.</w:t>
      </w:r>
      <w:r>
        <w:rPr>
          <w:rFonts w:ascii="Palatino Linotype" w:eastAsia="Calibri" w:hAnsi="Palatino Linotype" w:cs="Tahoma"/>
          <w:bCs/>
          <w:sz w:val="22"/>
          <w:szCs w:val="22"/>
        </w:rPr>
        <w:t xml:space="preserve"> Así, las cosas una vez admitido y notificado a las partes el Medio de Impugnación, el Sujeto Obligado ratificó su respuesta inicial.</w:t>
      </w:r>
    </w:p>
    <w:p w14:paraId="7B61203C" w14:textId="77777777" w:rsidR="00E42F9C" w:rsidRDefault="00E42F9C" w:rsidP="00E42F9C">
      <w:pPr>
        <w:spacing w:line="360" w:lineRule="auto"/>
        <w:ind w:right="-93"/>
        <w:jc w:val="both"/>
        <w:rPr>
          <w:rFonts w:ascii="Palatino Linotype" w:eastAsia="Calibri" w:hAnsi="Palatino Linotype" w:cs="Tahoma"/>
          <w:bCs/>
          <w:sz w:val="22"/>
          <w:szCs w:val="22"/>
          <w:lang w:eastAsia="en-US"/>
        </w:rPr>
      </w:pPr>
    </w:p>
    <w:p w14:paraId="581E90E3"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FB571A">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27A92E4E" w14:textId="77777777" w:rsidR="00E42F9C" w:rsidRPr="00FB571A" w:rsidRDefault="00E42F9C" w:rsidP="00E42F9C">
      <w:pPr>
        <w:tabs>
          <w:tab w:val="left" w:pos="4962"/>
        </w:tabs>
        <w:spacing w:line="360" w:lineRule="auto"/>
        <w:jc w:val="both"/>
        <w:rPr>
          <w:rFonts w:ascii="Palatino Linotype" w:eastAsia="Calibri" w:hAnsi="Palatino Linotype" w:cs="Tahoma"/>
          <w:iCs/>
          <w:sz w:val="22"/>
          <w:szCs w:val="22"/>
          <w:lang w:eastAsia="es-ES_tradnl"/>
        </w:rPr>
      </w:pPr>
    </w:p>
    <w:p w14:paraId="20623803" w14:textId="77777777" w:rsidR="00E42F9C" w:rsidRPr="00FB571A" w:rsidRDefault="00E42F9C" w:rsidP="00E42F9C">
      <w:pPr>
        <w:pStyle w:val="Ttulo2"/>
        <w:spacing w:before="0" w:line="360" w:lineRule="auto"/>
        <w:jc w:val="both"/>
        <w:rPr>
          <w:rFonts w:ascii="Palatino Linotype" w:eastAsia="Calibri" w:hAnsi="Palatino Linotype" w:cs="Arial"/>
          <w:b/>
          <w:color w:val="auto"/>
          <w:sz w:val="22"/>
          <w:lang w:eastAsia="es-ES_tradnl"/>
        </w:rPr>
      </w:pPr>
      <w:bookmarkStart w:id="23" w:name="_Toc207885540"/>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730B7E1D" w14:textId="77777777" w:rsidR="00E42F9C" w:rsidRPr="00FB571A" w:rsidRDefault="00E42F9C" w:rsidP="00E42F9C">
      <w:pPr>
        <w:spacing w:line="360" w:lineRule="auto"/>
        <w:contextualSpacing/>
        <w:jc w:val="both"/>
        <w:rPr>
          <w:rFonts w:ascii="Palatino Linotype" w:hAnsi="Palatino Linotype" w:cs="Tahoma"/>
          <w:sz w:val="22"/>
          <w:szCs w:val="22"/>
        </w:rPr>
      </w:pPr>
    </w:p>
    <w:p w14:paraId="1AF21320" w14:textId="77777777" w:rsidR="00E42F9C" w:rsidRPr="00FB571A" w:rsidRDefault="00E42F9C" w:rsidP="00E42F9C">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3D47E60" w14:textId="77777777" w:rsidR="00E42F9C" w:rsidRPr="00FB571A" w:rsidRDefault="00E42F9C" w:rsidP="00E42F9C">
      <w:pPr>
        <w:spacing w:line="360" w:lineRule="auto"/>
        <w:contextualSpacing/>
        <w:jc w:val="both"/>
        <w:rPr>
          <w:rFonts w:ascii="Palatino Linotype" w:hAnsi="Palatino Linotype" w:cs="Tahoma"/>
          <w:sz w:val="22"/>
          <w:szCs w:val="22"/>
        </w:rPr>
      </w:pPr>
    </w:p>
    <w:p w14:paraId="1A011B38"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7DEDDD" w14:textId="77777777" w:rsidR="00E42F9C" w:rsidRPr="00FB571A" w:rsidRDefault="00E42F9C" w:rsidP="00E42F9C">
      <w:pPr>
        <w:spacing w:line="360" w:lineRule="auto"/>
        <w:jc w:val="both"/>
        <w:rPr>
          <w:rFonts w:ascii="Palatino Linotype" w:hAnsi="Palatino Linotype" w:cs="Tahoma"/>
          <w:sz w:val="22"/>
          <w:szCs w:val="22"/>
        </w:rPr>
      </w:pPr>
    </w:p>
    <w:p w14:paraId="751B0BCD"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9A0B37B" w14:textId="77777777" w:rsidR="00E42F9C" w:rsidRPr="00FB571A" w:rsidRDefault="00E42F9C" w:rsidP="00E42F9C">
      <w:pPr>
        <w:spacing w:line="360" w:lineRule="auto"/>
        <w:jc w:val="both"/>
        <w:rPr>
          <w:rFonts w:ascii="Palatino Linotype" w:hAnsi="Palatino Linotype" w:cs="Tahoma"/>
          <w:sz w:val="22"/>
          <w:szCs w:val="22"/>
        </w:rPr>
      </w:pPr>
    </w:p>
    <w:p w14:paraId="151240D7"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784E32B2" w14:textId="77777777" w:rsidR="00E42F9C" w:rsidRPr="00FB571A" w:rsidRDefault="00E42F9C" w:rsidP="00E42F9C">
      <w:pPr>
        <w:spacing w:line="360" w:lineRule="auto"/>
        <w:jc w:val="both"/>
        <w:rPr>
          <w:rFonts w:ascii="Palatino Linotype" w:hAnsi="Palatino Linotype" w:cs="Tahoma"/>
          <w:sz w:val="22"/>
          <w:szCs w:val="22"/>
        </w:rPr>
      </w:pPr>
    </w:p>
    <w:p w14:paraId="6AFBD883"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AE118C" w14:textId="77777777" w:rsidR="00E42F9C" w:rsidRDefault="00E42F9C" w:rsidP="00E42F9C">
      <w:pPr>
        <w:spacing w:line="360" w:lineRule="auto"/>
        <w:jc w:val="both"/>
        <w:rPr>
          <w:rFonts w:ascii="Palatino Linotype" w:hAnsi="Palatino Linotype" w:cs="Tahoma"/>
          <w:sz w:val="22"/>
          <w:szCs w:val="22"/>
        </w:rPr>
      </w:pPr>
    </w:p>
    <w:p w14:paraId="62E420B8" w14:textId="77777777" w:rsidR="00E42F9C" w:rsidRPr="00FB571A" w:rsidRDefault="00E42F9C" w:rsidP="00E42F9C">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C80C28" w14:textId="77777777" w:rsidR="00E42F9C" w:rsidRPr="00FB571A" w:rsidRDefault="00E42F9C" w:rsidP="00E42F9C">
      <w:pPr>
        <w:spacing w:line="360" w:lineRule="auto"/>
        <w:jc w:val="both"/>
        <w:rPr>
          <w:rFonts w:ascii="Palatino Linotype" w:hAnsi="Palatino Linotype" w:cs="Tahoma"/>
          <w:sz w:val="22"/>
          <w:szCs w:val="22"/>
        </w:rPr>
      </w:pPr>
    </w:p>
    <w:p w14:paraId="69874826" w14:textId="77777777" w:rsidR="00E42F9C" w:rsidRPr="00FB571A" w:rsidRDefault="00E42F9C" w:rsidP="00E42F9C">
      <w:pPr>
        <w:pStyle w:val="Ttulo2"/>
        <w:spacing w:before="0" w:line="360" w:lineRule="auto"/>
        <w:rPr>
          <w:rFonts w:ascii="Palatino Linotype" w:hAnsi="Palatino Linotype"/>
          <w:b/>
          <w:color w:val="auto"/>
          <w:sz w:val="22"/>
          <w:lang w:val="es-ES"/>
        </w:rPr>
      </w:pPr>
      <w:bookmarkStart w:id="24" w:name="_Toc207885541"/>
      <w:r w:rsidRPr="00FB571A">
        <w:rPr>
          <w:rFonts w:ascii="Palatino Linotype" w:eastAsia="Calibri" w:hAnsi="Palatino Linotype"/>
          <w:b/>
          <w:color w:val="auto"/>
          <w:sz w:val="22"/>
          <w:lang w:eastAsia="es-ES_tradnl"/>
        </w:rPr>
        <w:t>QUINTO. Estudio de Fondo</w:t>
      </w:r>
      <w:bookmarkEnd w:id="24"/>
    </w:p>
    <w:p w14:paraId="05E7D00C" w14:textId="429B0626" w:rsidR="00E42F9C" w:rsidRDefault="00E42F9C" w:rsidP="00E42F9C">
      <w:pPr>
        <w:spacing w:line="360" w:lineRule="auto"/>
        <w:ind w:right="-93"/>
        <w:jc w:val="both"/>
        <w:rPr>
          <w:rFonts w:ascii="Palatino Linotype" w:hAnsi="Palatino Linotype" w:cs="Tahoma"/>
          <w:b/>
          <w:sz w:val="22"/>
          <w:szCs w:val="22"/>
          <w:lang w:val="es-ES"/>
        </w:rPr>
      </w:pPr>
    </w:p>
    <w:p w14:paraId="6A03081D" w14:textId="77777777" w:rsidR="0044040A" w:rsidRDefault="0044040A" w:rsidP="0044040A">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Pr>
          <w:rFonts w:ascii="Palatino Linotype" w:hAnsi="Palatino Linotype" w:cs="Tahoma"/>
          <w:sz w:val="22"/>
          <w:szCs w:val="22"/>
        </w:rPr>
        <w:t>so a la información pública.</w:t>
      </w:r>
    </w:p>
    <w:p w14:paraId="115B22C5" w14:textId="77777777" w:rsidR="0044040A" w:rsidRDefault="0044040A" w:rsidP="0044040A">
      <w:pPr>
        <w:spacing w:line="360" w:lineRule="auto"/>
        <w:jc w:val="both"/>
        <w:rPr>
          <w:rFonts w:ascii="Palatino Linotype" w:hAnsi="Palatino Linotype" w:cs="Tahoma"/>
          <w:sz w:val="22"/>
          <w:szCs w:val="22"/>
        </w:rPr>
      </w:pPr>
    </w:p>
    <w:p w14:paraId="58E783AC" w14:textId="77777777" w:rsidR="0044040A" w:rsidRPr="005170EA" w:rsidRDefault="0044040A" w:rsidP="0044040A">
      <w:pPr>
        <w:spacing w:line="360" w:lineRule="auto"/>
        <w:jc w:val="both"/>
        <w:rPr>
          <w:rFonts w:ascii="Palatino Linotype" w:hAnsi="Palatino Linotype" w:cs="Tahoma"/>
          <w:iCs/>
          <w:sz w:val="22"/>
          <w:szCs w:val="22"/>
          <w:lang w:val="es-ES"/>
        </w:rPr>
      </w:pPr>
      <w:r w:rsidRPr="005170EA">
        <w:rPr>
          <w:rFonts w:ascii="Palatino Linotype" w:hAnsi="Palatino Linotype" w:cs="Tahoma"/>
          <w:iCs/>
          <w:sz w:val="22"/>
          <w:szCs w:val="22"/>
          <w:lang w:val="es-ES"/>
        </w:rPr>
        <w:t xml:space="preserve">Al respecto, conforme a la página de la Secretaría de Desarrollo Social, en su apartado Programas Sociales (consultada el </w:t>
      </w:r>
      <w:r>
        <w:rPr>
          <w:rFonts w:ascii="Palatino Linotype" w:hAnsi="Palatino Linotype" w:cs="Tahoma"/>
          <w:iCs/>
          <w:sz w:val="22"/>
          <w:szCs w:val="22"/>
          <w:lang w:val="es-ES"/>
        </w:rPr>
        <w:t>dieciocho de septiembre</w:t>
      </w:r>
      <w:r w:rsidRPr="005170EA">
        <w:rPr>
          <w:rFonts w:ascii="Palatino Linotype" w:hAnsi="Palatino Linotype" w:cs="Tahoma"/>
          <w:iCs/>
          <w:sz w:val="22"/>
          <w:szCs w:val="22"/>
          <w:lang w:val="es-ES"/>
        </w:rPr>
        <w:t xml:space="preserve"> de dos mil veinticinco, a las diez horas, en la liga electrónica </w:t>
      </w:r>
      <w:hyperlink r:id="rId8" w:history="1">
        <w:r w:rsidRPr="005170EA">
          <w:rPr>
            <w:rStyle w:val="Hipervnculo"/>
            <w:rFonts w:ascii="Palatino Linotype" w:hAnsi="Palatino Linotype" w:cs="Tahoma"/>
            <w:iCs/>
            <w:sz w:val="22"/>
            <w:szCs w:val="22"/>
            <w:lang w:val="es-ES"/>
          </w:rPr>
          <w:t>https://bienestar.edomex.gob.mx/programas_sociales</w:t>
        </w:r>
      </w:hyperlink>
      <w:r w:rsidRPr="005170EA">
        <w:rPr>
          <w:rFonts w:ascii="Palatino Linotype" w:hAnsi="Palatino Linotype" w:cs="Tahoma"/>
          <w:iCs/>
          <w:sz w:val="22"/>
          <w:szCs w:val="22"/>
          <w:lang w:val="es-ES"/>
        </w:rPr>
        <w:t>), el Gobierno del Estado de México, tiene como propósito reducir la pobreza, marginación y vulnerabilidad de las personas, por medio de la ejecución de programas sociales que buscan</w:t>
      </w:r>
      <w:r>
        <w:rPr>
          <w:rFonts w:ascii="Palatino Linotype" w:hAnsi="Palatino Linotype" w:cs="Tahoma"/>
          <w:iCs/>
          <w:sz w:val="22"/>
          <w:szCs w:val="22"/>
          <w:lang w:val="es-ES"/>
        </w:rPr>
        <w:t xml:space="preserve"> </w:t>
      </w:r>
      <w:r w:rsidRPr="005170EA">
        <w:rPr>
          <w:rFonts w:ascii="Palatino Linotype" w:hAnsi="Palatino Linotype" w:cs="Tahoma"/>
          <w:iCs/>
          <w:sz w:val="22"/>
          <w:szCs w:val="22"/>
          <w:lang w:val="es-ES"/>
        </w:rPr>
        <w:t xml:space="preserve">reducir la pobreza alimentaria, apoyar a menores en condiciones de pobreza y combatir la marginación en comunidades de la entidad. </w:t>
      </w:r>
    </w:p>
    <w:p w14:paraId="44B350A6" w14:textId="77777777" w:rsidR="0044040A" w:rsidRPr="005170EA" w:rsidRDefault="0044040A" w:rsidP="0044040A">
      <w:pPr>
        <w:spacing w:line="360" w:lineRule="auto"/>
        <w:jc w:val="both"/>
        <w:rPr>
          <w:rFonts w:ascii="Palatino Linotype" w:hAnsi="Palatino Linotype" w:cs="Tahoma"/>
          <w:iCs/>
          <w:sz w:val="22"/>
          <w:szCs w:val="22"/>
          <w:lang w:val="es-ES"/>
        </w:rPr>
      </w:pPr>
    </w:p>
    <w:p w14:paraId="2E29D11D" w14:textId="77777777" w:rsidR="0044040A" w:rsidRPr="005170EA" w:rsidRDefault="0044040A" w:rsidP="0044040A">
      <w:p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Además, los artículos 3°, fracción III y 11 de la Ley de Desarrollo Social del Estado de México, precisan que un programa de desarrollo social, es la acción gubernamental, dirigida a modificar la condición de desigualdad social mediante la entrega de un bien o transferencia de recursos; dichos programas podrán ser para lo siguiente: </w:t>
      </w:r>
    </w:p>
    <w:p w14:paraId="15481317" w14:textId="77777777" w:rsidR="0044040A" w:rsidRPr="005170EA" w:rsidRDefault="0044040A" w:rsidP="0044040A">
      <w:pPr>
        <w:spacing w:line="360" w:lineRule="auto"/>
        <w:jc w:val="both"/>
        <w:rPr>
          <w:rFonts w:ascii="Palatino Linotype" w:hAnsi="Palatino Linotype" w:cs="Tahoma"/>
          <w:iCs/>
          <w:sz w:val="22"/>
          <w:szCs w:val="22"/>
        </w:rPr>
      </w:pPr>
    </w:p>
    <w:p w14:paraId="09110CC3"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lastRenderedPageBreak/>
        <w:t xml:space="preserve">Educación; </w:t>
      </w:r>
    </w:p>
    <w:p w14:paraId="6E23392D"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Salud; </w:t>
      </w:r>
    </w:p>
    <w:p w14:paraId="58557738"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Generación, conservación y capacitación para el trabajo y aumento de competitividad; </w:t>
      </w:r>
    </w:p>
    <w:p w14:paraId="61CB938E"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Alimentación, nutrición y abasto social; </w:t>
      </w:r>
    </w:p>
    <w:p w14:paraId="59E8A439"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Vivienda; </w:t>
      </w:r>
    </w:p>
    <w:p w14:paraId="4CF0FF4A"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Superación de la pobreza, marginación y exclusión, y </w:t>
      </w:r>
    </w:p>
    <w:p w14:paraId="547E98E4" w14:textId="77777777" w:rsidR="0044040A" w:rsidRPr="005170EA" w:rsidRDefault="0044040A" w:rsidP="0044040A">
      <w:pPr>
        <w:numPr>
          <w:ilvl w:val="0"/>
          <w:numId w:val="23"/>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Obras de infraestructura social. </w:t>
      </w:r>
    </w:p>
    <w:p w14:paraId="5047B54C" w14:textId="17BC48F5" w:rsidR="0044040A" w:rsidRDefault="0044040A" w:rsidP="0044040A">
      <w:pPr>
        <w:spacing w:line="360" w:lineRule="auto"/>
        <w:ind w:right="-93"/>
        <w:jc w:val="both"/>
        <w:rPr>
          <w:rFonts w:ascii="Palatino Linotype" w:hAnsi="Palatino Linotype" w:cs="Tahoma"/>
          <w:iCs/>
          <w:sz w:val="22"/>
          <w:szCs w:val="22"/>
          <w:lang w:val="es-ES"/>
        </w:rPr>
      </w:pPr>
    </w:p>
    <w:p w14:paraId="4EF56EC9" w14:textId="77777777" w:rsidR="0044040A" w:rsidRPr="005170EA" w:rsidRDefault="0044040A" w:rsidP="0044040A">
      <w:p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Asimismo, el artículo 92, fracción XIV, de la Ley de Transparencia y Acceso a la Información </w:t>
      </w:r>
    </w:p>
    <w:p w14:paraId="38A802CA" w14:textId="77777777" w:rsidR="0044040A" w:rsidRPr="005170EA" w:rsidRDefault="0044040A" w:rsidP="0044040A">
      <w:p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Pública del Estado de México y Municipios, establece que una obligación de los Sujetos Obligados es poner a disposición del público de manera permanente y actualizada en los respectivos medios electrónicos, la información de los </w:t>
      </w:r>
      <w:r w:rsidRPr="005170EA">
        <w:rPr>
          <w:rFonts w:ascii="Palatino Linotype" w:hAnsi="Palatino Linotype" w:cs="Tahoma"/>
          <w:b/>
          <w:bCs/>
          <w:iCs/>
          <w:sz w:val="22"/>
          <w:szCs w:val="22"/>
        </w:rPr>
        <w:t>programas de subsidios, estímulos y apoyos</w:t>
      </w:r>
      <w:r w:rsidRPr="005170EA">
        <w:rPr>
          <w:rFonts w:ascii="Palatino Linotype" w:hAnsi="Palatino Linotype" w:cs="Tahoma"/>
          <w:iCs/>
          <w:sz w:val="22"/>
          <w:szCs w:val="22"/>
        </w:rPr>
        <w:t>, en el que se deberá informar respecto de los programas de transferencia, de servicios, de infraestructura social y de subsidio, en los que se deberá contener lo siguiente:</w:t>
      </w:r>
    </w:p>
    <w:p w14:paraId="207FDD32" w14:textId="77777777" w:rsidR="0044040A" w:rsidRPr="005170EA" w:rsidRDefault="0044040A" w:rsidP="0044040A">
      <w:pPr>
        <w:spacing w:line="360" w:lineRule="auto"/>
        <w:jc w:val="both"/>
        <w:rPr>
          <w:rFonts w:ascii="Palatino Linotype" w:hAnsi="Palatino Linotype" w:cs="Tahoma"/>
          <w:iCs/>
          <w:sz w:val="22"/>
          <w:szCs w:val="22"/>
        </w:rPr>
      </w:pPr>
    </w:p>
    <w:p w14:paraId="64558A86"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Área;  </w:t>
      </w:r>
    </w:p>
    <w:p w14:paraId="40B01BD5"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Denominación del programa;  </w:t>
      </w:r>
    </w:p>
    <w:p w14:paraId="3F289C76"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Periodo de vigencia;  </w:t>
      </w:r>
    </w:p>
    <w:p w14:paraId="14072BCB"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Diseño, objetivos y alcances;  </w:t>
      </w:r>
    </w:p>
    <w:p w14:paraId="7227C4D0"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Metas físicas;  </w:t>
      </w:r>
    </w:p>
    <w:p w14:paraId="7AB656FF"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Población beneficiada estimada;  </w:t>
      </w:r>
    </w:p>
    <w:p w14:paraId="40346328"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Monto aprobado, modificado y ejercido, así como los calendarios de su programación presupuestal;  </w:t>
      </w:r>
    </w:p>
    <w:p w14:paraId="34CCCC60"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Requisitos y procedimientos de acceso;  </w:t>
      </w:r>
    </w:p>
    <w:p w14:paraId="2FC9465C"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Procedimiento de queja o inconformidad ciudadana; </w:t>
      </w:r>
    </w:p>
    <w:p w14:paraId="579CF5D6"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Mecanismos de exigibilidad;  </w:t>
      </w:r>
    </w:p>
    <w:p w14:paraId="3B8FF858"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lastRenderedPageBreak/>
        <w:t xml:space="preserve">Mecanismos e informes de evaluación y seguimiento de recomendaciones; </w:t>
      </w:r>
    </w:p>
    <w:p w14:paraId="1D372D80"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Indicadores con nombre, definición, método de cálculo, unidad de medida;  dimensión, frecuencia de medición, nombre de las bases de datos utilizadas para su  cálculo;  </w:t>
      </w:r>
    </w:p>
    <w:p w14:paraId="68D93FB2"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Formas de participación social;  </w:t>
      </w:r>
    </w:p>
    <w:p w14:paraId="716D7258"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Articulación con otros programas sociales;  </w:t>
      </w:r>
    </w:p>
    <w:p w14:paraId="0EC87C47" w14:textId="77777777" w:rsidR="0044040A" w:rsidRPr="005170EA" w:rsidRDefault="0044040A" w:rsidP="0044040A">
      <w:pPr>
        <w:numPr>
          <w:ilvl w:val="0"/>
          <w:numId w:val="24"/>
        </w:numPr>
        <w:spacing w:line="360" w:lineRule="auto"/>
        <w:jc w:val="both"/>
        <w:rPr>
          <w:rFonts w:ascii="Palatino Linotype" w:hAnsi="Palatino Linotype" w:cs="Tahoma"/>
          <w:iCs/>
          <w:sz w:val="22"/>
          <w:szCs w:val="22"/>
        </w:rPr>
      </w:pPr>
      <w:r w:rsidRPr="005170EA">
        <w:rPr>
          <w:rFonts w:ascii="Palatino Linotype" w:hAnsi="Palatino Linotype" w:cs="Tahoma"/>
          <w:iCs/>
          <w:sz w:val="22"/>
          <w:szCs w:val="22"/>
        </w:rPr>
        <w:t xml:space="preserve">Vínculo a las reglas de operación o documento equivalente;  </w:t>
      </w:r>
    </w:p>
    <w:p w14:paraId="3C546F42" w14:textId="77777777" w:rsidR="0044040A" w:rsidRPr="0044040A" w:rsidRDefault="0044040A" w:rsidP="0044040A">
      <w:pPr>
        <w:numPr>
          <w:ilvl w:val="0"/>
          <w:numId w:val="24"/>
        </w:numPr>
        <w:spacing w:line="360" w:lineRule="auto"/>
        <w:jc w:val="both"/>
        <w:rPr>
          <w:rFonts w:ascii="Palatino Linotype" w:hAnsi="Palatino Linotype" w:cs="Tahoma"/>
          <w:b/>
          <w:bCs/>
          <w:iCs/>
          <w:sz w:val="22"/>
          <w:szCs w:val="22"/>
        </w:rPr>
      </w:pPr>
      <w:r w:rsidRPr="005170EA">
        <w:rPr>
          <w:rFonts w:ascii="Palatino Linotype" w:hAnsi="Palatino Linotype" w:cs="Tahoma"/>
          <w:iCs/>
          <w:sz w:val="22"/>
          <w:szCs w:val="22"/>
        </w:rPr>
        <w:t xml:space="preserve">Informes periódicos sobre la ejecución y los resultados de las evaluaciones realizadas; </w:t>
      </w:r>
      <w:r w:rsidRPr="0044040A">
        <w:rPr>
          <w:rFonts w:ascii="Palatino Linotype" w:hAnsi="Palatino Linotype" w:cs="Tahoma"/>
          <w:b/>
          <w:bCs/>
          <w:iCs/>
          <w:sz w:val="22"/>
          <w:szCs w:val="22"/>
        </w:rPr>
        <w:t xml:space="preserve">y  </w:t>
      </w:r>
    </w:p>
    <w:p w14:paraId="0E3D0B0D" w14:textId="3ACD60EE" w:rsidR="0044040A" w:rsidRPr="0044040A" w:rsidRDefault="0044040A" w:rsidP="0044040A">
      <w:pPr>
        <w:numPr>
          <w:ilvl w:val="0"/>
          <w:numId w:val="24"/>
        </w:numPr>
        <w:spacing w:line="360" w:lineRule="auto"/>
        <w:jc w:val="both"/>
        <w:rPr>
          <w:rFonts w:ascii="Palatino Linotype" w:hAnsi="Palatino Linotype" w:cs="Tahoma"/>
          <w:b/>
          <w:bCs/>
          <w:iCs/>
          <w:sz w:val="22"/>
          <w:szCs w:val="22"/>
        </w:rPr>
      </w:pPr>
      <w:r w:rsidRPr="0044040A">
        <w:rPr>
          <w:rFonts w:ascii="Palatino Linotype" w:hAnsi="Palatino Linotype" w:cs="Tahoma"/>
          <w:b/>
          <w:bCs/>
          <w:iCs/>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56DD9D8E" w14:textId="77777777" w:rsidR="0044040A" w:rsidRPr="005170EA" w:rsidRDefault="0044040A" w:rsidP="0044040A">
      <w:pPr>
        <w:spacing w:line="360" w:lineRule="auto"/>
        <w:jc w:val="both"/>
        <w:rPr>
          <w:rFonts w:ascii="Palatino Linotype" w:hAnsi="Palatino Linotype" w:cs="Tahoma"/>
          <w:iCs/>
          <w:sz w:val="22"/>
          <w:szCs w:val="22"/>
        </w:rPr>
      </w:pPr>
    </w:p>
    <w:p w14:paraId="51A5C237" w14:textId="2C9278C5" w:rsidR="00A36685" w:rsidRPr="00647E3E" w:rsidRDefault="0044040A" w:rsidP="0044040A">
      <w:pPr>
        <w:spacing w:line="360" w:lineRule="auto"/>
        <w:jc w:val="both"/>
        <w:rPr>
          <w:rFonts w:ascii="Palatino Linotype" w:eastAsia="Calibri" w:hAnsi="Palatino Linotype" w:cs="Tahoma"/>
          <w:iCs/>
          <w:sz w:val="22"/>
          <w:szCs w:val="22"/>
          <w:lang w:eastAsia="es-ES_tradnl"/>
        </w:rPr>
      </w:pPr>
      <w:r w:rsidRPr="005170EA">
        <w:rPr>
          <w:rFonts w:ascii="Palatino Linotype" w:hAnsi="Palatino Linotype" w:cs="Tahoma"/>
          <w:iCs/>
          <w:sz w:val="22"/>
          <w:szCs w:val="22"/>
        </w:rPr>
        <w:t xml:space="preserve">En ese orden de ideas, se logra vislumbrar que la pretensión del ahora Recurrente es obtener </w:t>
      </w:r>
      <w:r>
        <w:rPr>
          <w:rFonts w:ascii="Palatino Linotype" w:hAnsi="Palatino Linotype" w:cs="Tahoma"/>
          <w:iCs/>
          <w:sz w:val="22"/>
          <w:szCs w:val="22"/>
        </w:rPr>
        <w:t xml:space="preserve">información relacionada con apoyos alimentarios, ahora bien, </w:t>
      </w:r>
      <w:r w:rsidR="00C10BE6">
        <w:rPr>
          <w:rFonts w:ascii="Palatino Linotype" w:eastAsia="Calibri" w:hAnsi="Palatino Linotype" w:cs="Tahoma"/>
          <w:bCs/>
          <w:sz w:val="22"/>
          <w:szCs w:val="22"/>
          <w:lang w:eastAsia="en-US"/>
        </w:rPr>
        <w:t xml:space="preserve">en respuesta a través del Titular de la Unidad de Transparencia señaló ser incompetente, </w:t>
      </w:r>
      <w:r w:rsidR="00A36685" w:rsidRPr="00647E3E">
        <w:rPr>
          <w:rFonts w:ascii="Palatino Linotype" w:eastAsia="Calibri" w:hAnsi="Palatino Linotype" w:cs="Tahoma"/>
          <w:iCs/>
          <w:sz w:val="22"/>
          <w:szCs w:val="22"/>
          <w:lang w:eastAsia="es-ES_tradnl"/>
        </w:rPr>
        <w:t xml:space="preserve">por lo que, es oportuno hacer referencia al </w:t>
      </w:r>
      <w:r w:rsidR="00A36685"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00A36685"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F18A8BF" w14:textId="77777777" w:rsidR="00A36685" w:rsidRPr="00647E3E" w:rsidRDefault="00A36685" w:rsidP="00A36685">
      <w:pPr>
        <w:spacing w:line="360" w:lineRule="auto"/>
        <w:jc w:val="both"/>
        <w:rPr>
          <w:rFonts w:ascii="Palatino Linotype" w:eastAsia="Calibri" w:hAnsi="Palatino Linotype" w:cs="Tahoma"/>
          <w:iCs/>
          <w:sz w:val="22"/>
          <w:szCs w:val="22"/>
          <w:lang w:eastAsia="es-ES_tradnl"/>
        </w:rPr>
      </w:pPr>
    </w:p>
    <w:p w14:paraId="02296E2A" w14:textId="3B44E110" w:rsidR="0024395B" w:rsidRDefault="00A36685" w:rsidP="00A36685">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lastRenderedPageBreak/>
        <w:t xml:space="preserve">Así y de lo plasmado en párrafos anteriores, se logra colegir que el Sujeto Obligado </w:t>
      </w:r>
      <w:r w:rsidR="00C10BE6">
        <w:rPr>
          <w:rFonts w:ascii="Palatino Linotype" w:eastAsia="Calibri" w:hAnsi="Palatino Linotype" w:cs="Tahoma"/>
          <w:iCs/>
          <w:sz w:val="22"/>
          <w:szCs w:val="22"/>
          <w:lang w:eastAsia="es-ES_tradnl"/>
        </w:rPr>
        <w:t xml:space="preserve">no </w:t>
      </w:r>
      <w:r w:rsidRPr="00647E3E">
        <w:rPr>
          <w:rFonts w:ascii="Palatino Linotype" w:eastAsia="Calibri" w:hAnsi="Palatino Linotype" w:cs="Tahoma"/>
          <w:iCs/>
          <w:sz w:val="22"/>
          <w:szCs w:val="22"/>
          <w:lang w:eastAsia="es-ES_tradnl"/>
        </w:rPr>
        <w:t xml:space="preserve">cumplió con el procedimiento de búsqueda establecido en el artículo 162 de la Ley de Transparencia y Acceso a la Información Pública del Estado de México y Municipios, toda vez, que </w:t>
      </w:r>
      <w:r w:rsidR="0024395B">
        <w:rPr>
          <w:rFonts w:ascii="Palatino Linotype" w:eastAsia="Calibri" w:hAnsi="Palatino Linotype" w:cs="Tahoma"/>
          <w:iCs/>
          <w:sz w:val="22"/>
          <w:szCs w:val="22"/>
          <w:lang w:eastAsia="es-ES_tradnl"/>
        </w:rPr>
        <w:t xml:space="preserve">no </w:t>
      </w:r>
      <w:r w:rsidRPr="00647E3E">
        <w:rPr>
          <w:rFonts w:ascii="Palatino Linotype" w:eastAsia="Calibri" w:hAnsi="Palatino Linotype" w:cs="Tahoma"/>
          <w:iCs/>
          <w:sz w:val="22"/>
          <w:szCs w:val="22"/>
          <w:lang w:eastAsia="es-ES_tradnl"/>
        </w:rPr>
        <w:t xml:space="preserve">gestionó el requerimiento de información con el área competente </w:t>
      </w:r>
      <w:r w:rsidR="0024395B">
        <w:rPr>
          <w:rFonts w:ascii="Palatino Linotype" w:eastAsia="Calibri" w:hAnsi="Palatino Linotype" w:cs="Tahoma"/>
          <w:iCs/>
          <w:sz w:val="22"/>
          <w:szCs w:val="22"/>
          <w:lang w:eastAsia="es-ES_tradnl"/>
        </w:rPr>
        <w:t>que pudo haber contado con lo solicitado, ya que cuenta con diferentes unidades como se muestra a continuación:</w:t>
      </w:r>
    </w:p>
    <w:p w14:paraId="718C8EC2" w14:textId="77777777" w:rsidR="0024395B" w:rsidRDefault="0024395B" w:rsidP="00A36685">
      <w:pPr>
        <w:spacing w:line="360" w:lineRule="auto"/>
        <w:jc w:val="both"/>
        <w:rPr>
          <w:rFonts w:ascii="Palatino Linotype" w:eastAsia="Calibri" w:hAnsi="Palatino Linotype" w:cs="Tahoma"/>
          <w:iCs/>
          <w:sz w:val="22"/>
          <w:szCs w:val="22"/>
          <w:lang w:eastAsia="es-ES_tradnl"/>
        </w:rPr>
      </w:pPr>
    </w:p>
    <w:p w14:paraId="11D4E06F" w14:textId="20D2E22B" w:rsidR="0024395B" w:rsidRPr="00647E3E" w:rsidRDefault="0024395B" w:rsidP="0024395B">
      <w:pPr>
        <w:spacing w:line="360" w:lineRule="auto"/>
        <w:jc w:val="center"/>
        <w:rPr>
          <w:rFonts w:ascii="Palatino Linotype" w:eastAsia="Calibri" w:hAnsi="Palatino Linotype" w:cs="Tahoma"/>
          <w:iCs/>
          <w:sz w:val="22"/>
          <w:szCs w:val="22"/>
          <w:lang w:eastAsia="es-ES_tradnl"/>
        </w:rPr>
      </w:pPr>
      <w:r w:rsidRPr="0024395B">
        <w:rPr>
          <w:rFonts w:ascii="Palatino Linotype" w:eastAsia="Calibri" w:hAnsi="Palatino Linotype" w:cs="Tahoma"/>
          <w:iCs/>
          <w:noProof/>
          <w:sz w:val="22"/>
          <w:szCs w:val="22"/>
          <w:lang w:eastAsia="es-MX"/>
        </w:rPr>
        <w:drawing>
          <wp:inline distT="0" distB="0" distL="0" distR="0" wp14:anchorId="553B5A12" wp14:editId="723BCC2F">
            <wp:extent cx="4828540" cy="3030918"/>
            <wp:effectExtent l="0" t="0" r="0" b="0"/>
            <wp:docPr id="318265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65631" name=""/>
                    <pic:cNvPicPr/>
                  </pic:nvPicPr>
                  <pic:blipFill>
                    <a:blip r:embed="rId9"/>
                    <a:stretch>
                      <a:fillRect/>
                    </a:stretch>
                  </pic:blipFill>
                  <pic:spPr>
                    <a:xfrm>
                      <a:off x="0" y="0"/>
                      <a:ext cx="4833745" cy="3034185"/>
                    </a:xfrm>
                    <a:prstGeom prst="rect">
                      <a:avLst/>
                    </a:prstGeom>
                  </pic:spPr>
                </pic:pic>
              </a:graphicData>
            </a:graphic>
          </wp:inline>
        </w:drawing>
      </w:r>
    </w:p>
    <w:p w14:paraId="599FA74C" w14:textId="77777777" w:rsidR="00A36685" w:rsidRPr="00647E3E" w:rsidRDefault="00A36685" w:rsidP="00A36685">
      <w:pPr>
        <w:spacing w:line="360" w:lineRule="auto"/>
        <w:jc w:val="both"/>
        <w:rPr>
          <w:rFonts w:ascii="Palatino Linotype" w:eastAsia="Calibri" w:hAnsi="Palatino Linotype" w:cs="Tahoma"/>
          <w:iCs/>
          <w:sz w:val="22"/>
          <w:szCs w:val="22"/>
          <w:lang w:eastAsia="es-ES_tradnl"/>
        </w:rPr>
      </w:pPr>
    </w:p>
    <w:p w14:paraId="742950C7" w14:textId="6FECC28D" w:rsidR="0024395B" w:rsidRDefault="0024395B" w:rsidP="00A3668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se localizó la liga electrónica, </w:t>
      </w:r>
      <w:hyperlink r:id="rId10" w:history="1">
        <w:r w:rsidRPr="00262A9F">
          <w:rPr>
            <w:rStyle w:val="Hipervnculo"/>
            <w:rFonts w:ascii="Palatino Linotype" w:eastAsia="Calibri" w:hAnsi="Palatino Linotype" w:cs="Tahoma"/>
            <w:iCs/>
            <w:sz w:val="22"/>
            <w:szCs w:val="22"/>
            <w:lang w:eastAsia="es-ES_tradnl"/>
          </w:rPr>
          <w:t>https://capulhuac.edomex.gob.mx/dif</w:t>
        </w:r>
      </w:hyperlink>
      <w:r>
        <w:rPr>
          <w:rFonts w:ascii="Palatino Linotype" w:eastAsia="Calibri" w:hAnsi="Palatino Linotype" w:cs="Tahoma"/>
          <w:iCs/>
          <w:sz w:val="22"/>
          <w:szCs w:val="22"/>
          <w:lang w:eastAsia="es-ES_tradnl"/>
        </w:rPr>
        <w:t xml:space="preserve"> en la cual se puede observar los servicios que ofrece el Sujeto Obligado dentro de los que se encuentran los siguientes:</w:t>
      </w:r>
    </w:p>
    <w:p w14:paraId="6F3D10B9" w14:textId="77777777" w:rsidR="0024395B" w:rsidRDefault="0024395B" w:rsidP="00A36685">
      <w:pPr>
        <w:spacing w:line="360" w:lineRule="auto"/>
        <w:ind w:right="-93"/>
        <w:jc w:val="both"/>
        <w:rPr>
          <w:rFonts w:ascii="Palatino Linotype" w:eastAsia="Calibri" w:hAnsi="Palatino Linotype" w:cs="Tahoma"/>
          <w:iCs/>
          <w:sz w:val="22"/>
          <w:szCs w:val="22"/>
          <w:lang w:eastAsia="es-ES_tradnl"/>
        </w:rPr>
      </w:pPr>
    </w:p>
    <w:p w14:paraId="21646F58" w14:textId="77777777" w:rsidR="0024395B" w:rsidRPr="0024395B" w:rsidRDefault="0024395B" w:rsidP="0024395B">
      <w:pPr>
        <w:spacing w:line="360" w:lineRule="auto"/>
        <w:ind w:left="567"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SERVICIOS QUE OFRECE: </w:t>
      </w:r>
    </w:p>
    <w:p w14:paraId="251046EE"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Servicio de orientación psicológica a pacientes de primera vez y subsecuentes.</w:t>
      </w:r>
    </w:p>
    <w:p w14:paraId="7C7DE8A1"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 xml:space="preserve">Atención medica primaria ( Expedición de certificados médicos, Toma de </w:t>
      </w:r>
      <w:proofErr w:type="spellStart"/>
      <w:r w:rsidRPr="0024395B">
        <w:rPr>
          <w:rFonts w:ascii="Palatino Linotype" w:eastAsia="Calibri" w:hAnsi="Palatino Linotype" w:cs="Tahoma"/>
          <w:i/>
          <w:lang w:eastAsia="es-ES_tradnl"/>
        </w:rPr>
        <w:t>glucómetria</w:t>
      </w:r>
      <w:proofErr w:type="spellEnd"/>
      <w:r w:rsidRPr="0024395B">
        <w:rPr>
          <w:rFonts w:ascii="Palatino Linotype" w:eastAsia="Calibri" w:hAnsi="Palatino Linotype" w:cs="Tahoma"/>
          <w:i/>
          <w:lang w:eastAsia="es-ES_tradnl"/>
        </w:rPr>
        <w:t xml:space="preserve">, Toma de presión, </w:t>
      </w:r>
      <w:proofErr w:type="spellStart"/>
      <w:r w:rsidRPr="0024395B">
        <w:rPr>
          <w:rFonts w:ascii="Palatino Linotype" w:eastAsia="Calibri" w:hAnsi="Palatino Linotype" w:cs="Tahoma"/>
          <w:i/>
          <w:lang w:eastAsia="es-ES_tradnl"/>
        </w:rPr>
        <w:t>Somatometria</w:t>
      </w:r>
      <w:proofErr w:type="spellEnd"/>
      <w:r w:rsidRPr="0024395B">
        <w:rPr>
          <w:rFonts w:ascii="Palatino Linotype" w:eastAsia="Calibri" w:hAnsi="Palatino Linotype" w:cs="Tahoma"/>
          <w:i/>
          <w:lang w:eastAsia="es-ES_tradnl"/>
        </w:rPr>
        <w:t>, Curación médica, Papanicolaou, aplicación de inyecciones).</w:t>
      </w:r>
    </w:p>
    <w:p w14:paraId="05527655"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lastRenderedPageBreak/>
        <w:t>Consulta de nutrición.</w:t>
      </w:r>
    </w:p>
    <w:p w14:paraId="47924883"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 xml:space="preserve">Asesoría jurídica (asesoría jurídica a adultos mayores, asesoría jurídica en materia familiar, divorcio voluntario, divorcio </w:t>
      </w:r>
      <w:proofErr w:type="spellStart"/>
      <w:r w:rsidRPr="0024395B">
        <w:rPr>
          <w:rFonts w:ascii="Palatino Linotype" w:eastAsia="Calibri" w:hAnsi="Palatino Linotype" w:cs="Tahoma"/>
          <w:i/>
          <w:lang w:eastAsia="es-ES_tradnl"/>
        </w:rPr>
        <w:t>incausado</w:t>
      </w:r>
      <w:proofErr w:type="spellEnd"/>
      <w:r w:rsidRPr="0024395B">
        <w:rPr>
          <w:rFonts w:ascii="Palatino Linotype" w:eastAsia="Calibri" w:hAnsi="Palatino Linotype" w:cs="Tahoma"/>
          <w:i/>
          <w:lang w:eastAsia="es-ES_tradnl"/>
        </w:rPr>
        <w:t>, rectificación de actas de nacimiento, desconocimiento de paterno, reconocimiento paterno, guarda y custodia judicial, pensión alimentaria, convenios y comparecencias);</w:t>
      </w:r>
    </w:p>
    <w:p w14:paraId="51F494D1"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 xml:space="preserve">Atención odontológica (farmacoterapia, extracción infantil, extracción simple de adulto, extracción de disección, detartraje, profilaxis, resina, sellador, curación, cementación, </w:t>
      </w:r>
      <w:proofErr w:type="spellStart"/>
      <w:r w:rsidRPr="0024395B">
        <w:rPr>
          <w:rFonts w:ascii="Palatino Linotype" w:eastAsia="Calibri" w:hAnsi="Palatino Linotype" w:cs="Tahoma"/>
          <w:i/>
          <w:lang w:eastAsia="es-ES_tradnl"/>
        </w:rPr>
        <w:t>ionomero</w:t>
      </w:r>
      <w:proofErr w:type="spellEnd"/>
      <w:r w:rsidRPr="0024395B">
        <w:rPr>
          <w:rFonts w:ascii="Palatino Linotype" w:eastAsia="Calibri" w:hAnsi="Palatino Linotype" w:cs="Tahoma"/>
          <w:i/>
          <w:lang w:eastAsia="es-ES_tradnl"/>
        </w:rPr>
        <w:t xml:space="preserve">, pulido de restauración, </w:t>
      </w:r>
      <w:proofErr w:type="spellStart"/>
      <w:r w:rsidRPr="0024395B">
        <w:rPr>
          <w:rFonts w:ascii="Palatino Linotype" w:eastAsia="Calibri" w:hAnsi="Palatino Linotype" w:cs="Tahoma"/>
          <w:i/>
          <w:lang w:eastAsia="es-ES_tradnl"/>
        </w:rPr>
        <w:t>pulpotomia</w:t>
      </w:r>
      <w:proofErr w:type="spellEnd"/>
      <w:r w:rsidRPr="0024395B">
        <w:rPr>
          <w:rFonts w:ascii="Palatino Linotype" w:eastAsia="Calibri" w:hAnsi="Palatino Linotype" w:cs="Tahoma"/>
          <w:i/>
          <w:lang w:eastAsia="es-ES_tradnl"/>
        </w:rPr>
        <w:t>, aplicación de flúor).</w:t>
      </w:r>
    </w:p>
    <w:p w14:paraId="2EFDFDDA"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Atención gerontológica al adulto mayor.</w:t>
      </w:r>
    </w:p>
    <w:p w14:paraId="61006B8F"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Atención de quiropráctico.</w:t>
      </w:r>
    </w:p>
    <w:p w14:paraId="682B4535"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Atención de acupuntura.</w:t>
      </w:r>
    </w:p>
    <w:p w14:paraId="5F0AF08C"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Servicio de guardería para hijos de madres y padres trabajadores.</w:t>
      </w:r>
    </w:p>
    <w:p w14:paraId="41BB1316"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Trabajo social (estudios socioeconómicos y visitas domiciliarias).</w:t>
      </w:r>
    </w:p>
    <w:p w14:paraId="40D7FFDE"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b/>
          <w:bCs/>
          <w:i/>
          <w:u w:val="single"/>
          <w:lang w:eastAsia="es-ES_tradnl"/>
        </w:rPr>
      </w:pPr>
      <w:r w:rsidRPr="0024395B">
        <w:rPr>
          <w:rFonts w:ascii="Palatino Linotype" w:eastAsia="Calibri" w:hAnsi="Palatino Linotype" w:cs="Tahoma"/>
          <w:b/>
          <w:bCs/>
          <w:i/>
          <w:u w:val="single"/>
          <w:lang w:eastAsia="es-ES_tradnl"/>
        </w:rPr>
        <w:t>Entrega de desayunos escolares fríos DIFEM</w:t>
      </w:r>
    </w:p>
    <w:p w14:paraId="397FCF6D"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Comedor comunitario</w:t>
      </w:r>
    </w:p>
    <w:p w14:paraId="77455206" w14:textId="77777777" w:rsidR="0024395B" w:rsidRPr="0024395B" w:rsidRDefault="0024395B" w:rsidP="00030981">
      <w:pPr>
        <w:numPr>
          <w:ilvl w:val="0"/>
          <w:numId w:val="22"/>
        </w:numPr>
        <w:spacing w:line="360" w:lineRule="auto"/>
        <w:ind w:left="993" w:right="539"/>
        <w:jc w:val="both"/>
        <w:rPr>
          <w:rFonts w:ascii="Palatino Linotype" w:eastAsia="Calibri" w:hAnsi="Palatino Linotype" w:cs="Tahoma"/>
          <w:i/>
          <w:lang w:eastAsia="es-ES_tradnl"/>
        </w:rPr>
      </w:pPr>
      <w:r w:rsidRPr="0024395B">
        <w:rPr>
          <w:rFonts w:ascii="Palatino Linotype" w:eastAsia="Calibri" w:hAnsi="Palatino Linotype" w:cs="Tahoma"/>
          <w:i/>
          <w:lang w:eastAsia="es-ES_tradnl"/>
        </w:rPr>
        <w:t>Asesoría para la instalación de huertos familiares y escolares DIFEM.</w:t>
      </w:r>
    </w:p>
    <w:p w14:paraId="3968B0AF" w14:textId="2CC673AE" w:rsidR="0024395B" w:rsidRPr="0024395B" w:rsidRDefault="0024395B" w:rsidP="0024395B">
      <w:pPr>
        <w:spacing w:line="360" w:lineRule="auto"/>
        <w:ind w:right="-93"/>
        <w:jc w:val="both"/>
        <w:rPr>
          <w:rFonts w:ascii="Palatino Linotype" w:eastAsia="Calibri" w:hAnsi="Palatino Linotype" w:cs="Tahoma"/>
          <w:iCs/>
          <w:sz w:val="22"/>
          <w:szCs w:val="22"/>
          <w:lang w:eastAsia="es-ES_tradnl"/>
        </w:rPr>
      </w:pPr>
    </w:p>
    <w:p w14:paraId="609AED67" w14:textId="498EF43D" w:rsidR="0024395B" w:rsidRDefault="0024395B" w:rsidP="00A3668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lo anterior, se puede observar que la entrega de desayunos escolares pueden ser proporcionados por el DIFEM, tal como se refirió en respuesta, sin embargo, en la página referida se puede tener acceso al Estado analítico del ejercicio del presupuesto de egresos correspondiente del primero de enero al 30 de septiembre de dos mil veinticuatro, (en especifico en la liga electrónica </w:t>
      </w:r>
      <w:hyperlink r:id="rId11" w:history="1">
        <w:r w:rsidRPr="00262A9F">
          <w:rPr>
            <w:rStyle w:val="Hipervnculo"/>
            <w:rFonts w:ascii="Palatino Linotype" w:eastAsia="Calibri" w:hAnsi="Palatino Linotype" w:cs="Tahoma"/>
            <w:iCs/>
            <w:sz w:val="22"/>
            <w:szCs w:val="22"/>
            <w:lang w:eastAsia="es-ES_tradnl"/>
          </w:rPr>
          <w:t>https://capulhuac.edomex.gob.mx/sites/capulhuac.edomex.gob.mx/files/files/CONAC%20DIF/2024/TERCER%20TRIMESTRE/INFORMACION%20PRESUPUESTARIA/6.%20Estado%20Analitico%20de%20Egresos%20por%20Clasificacion%20Programatica.pdf</w:t>
        </w:r>
      </w:hyperlink>
      <w:r>
        <w:rPr>
          <w:rFonts w:ascii="Palatino Linotype" w:eastAsia="Calibri" w:hAnsi="Palatino Linotype" w:cs="Tahoma"/>
          <w:iCs/>
          <w:sz w:val="22"/>
          <w:szCs w:val="22"/>
          <w:lang w:eastAsia="es-ES_tradnl"/>
        </w:rPr>
        <w:t>) del que se observa que realizó diversas erogaciones en conceptos de alimentación como se muestra a continuación:</w:t>
      </w:r>
    </w:p>
    <w:p w14:paraId="0C8A3266" w14:textId="77777777" w:rsidR="0024395B" w:rsidRDefault="0024395B" w:rsidP="00A36685">
      <w:pPr>
        <w:spacing w:line="360" w:lineRule="auto"/>
        <w:ind w:right="-93"/>
        <w:jc w:val="both"/>
        <w:rPr>
          <w:rFonts w:ascii="Palatino Linotype" w:eastAsia="Calibri" w:hAnsi="Palatino Linotype" w:cs="Tahoma"/>
          <w:iCs/>
          <w:sz w:val="22"/>
          <w:szCs w:val="22"/>
          <w:lang w:eastAsia="es-ES_tradnl"/>
        </w:rPr>
      </w:pPr>
    </w:p>
    <w:p w14:paraId="4C6C1B0E" w14:textId="493E3457" w:rsidR="0024395B" w:rsidRDefault="0024395B" w:rsidP="00A36685">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w:lastRenderedPageBreak/>
        <mc:AlternateContent>
          <mc:Choice Requires="wps">
            <w:drawing>
              <wp:anchor distT="0" distB="0" distL="114300" distR="114300" simplePos="0" relativeHeight="251659264" behindDoc="0" locked="0" layoutInCell="1" allowOverlap="1" wp14:anchorId="726AC844" wp14:editId="56B27539">
                <wp:simplePos x="0" y="0"/>
                <wp:positionH relativeFrom="column">
                  <wp:posOffset>134620</wp:posOffset>
                </wp:positionH>
                <wp:positionV relativeFrom="paragraph">
                  <wp:posOffset>1626870</wp:posOffset>
                </wp:positionV>
                <wp:extent cx="1762125" cy="323850"/>
                <wp:effectExtent l="19050" t="19050" r="28575" b="19050"/>
                <wp:wrapNone/>
                <wp:docPr id="86904155" name="Rectángulo 1"/>
                <wp:cNvGraphicFramePr/>
                <a:graphic xmlns:a="http://schemas.openxmlformats.org/drawingml/2006/main">
                  <a:graphicData uri="http://schemas.microsoft.com/office/word/2010/wordprocessingShape">
                    <wps:wsp>
                      <wps:cNvSpPr/>
                      <wps:spPr>
                        <a:xfrm>
                          <a:off x="0" y="0"/>
                          <a:ext cx="1762125" cy="3238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7C046" id="Rectángulo 1" o:spid="_x0000_s1026" style="position:absolute;margin-left:10.6pt;margin-top:128.1pt;width:138.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" filled="f" strokecolor="red" strokeweight="2.25pt"/>
            </w:pict>
          </mc:Fallback>
        </mc:AlternateContent>
      </w:r>
      <w:r w:rsidRPr="0024395B">
        <w:rPr>
          <w:rFonts w:ascii="Palatino Linotype" w:eastAsia="Calibri" w:hAnsi="Palatino Linotype" w:cs="Tahoma"/>
          <w:iCs/>
          <w:noProof/>
          <w:sz w:val="22"/>
          <w:szCs w:val="22"/>
          <w:lang w:eastAsia="es-MX"/>
        </w:rPr>
        <w:drawing>
          <wp:inline distT="0" distB="0" distL="0" distR="0" wp14:anchorId="6C1A686C" wp14:editId="46F595EA">
            <wp:extent cx="5742940" cy="4230370"/>
            <wp:effectExtent l="0" t="0" r="0" b="0"/>
            <wp:docPr id="360774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74189" name=""/>
                    <pic:cNvPicPr/>
                  </pic:nvPicPr>
                  <pic:blipFill>
                    <a:blip r:embed="rId12"/>
                    <a:stretch>
                      <a:fillRect/>
                    </a:stretch>
                  </pic:blipFill>
                  <pic:spPr>
                    <a:xfrm>
                      <a:off x="0" y="0"/>
                      <a:ext cx="5742940" cy="4230370"/>
                    </a:xfrm>
                    <a:prstGeom prst="rect">
                      <a:avLst/>
                    </a:prstGeom>
                  </pic:spPr>
                </pic:pic>
              </a:graphicData>
            </a:graphic>
          </wp:inline>
        </w:drawing>
      </w:r>
    </w:p>
    <w:p w14:paraId="3818025E" w14:textId="77777777" w:rsidR="0024395B" w:rsidRDefault="0024395B" w:rsidP="00A36685">
      <w:pPr>
        <w:spacing w:line="360" w:lineRule="auto"/>
        <w:ind w:right="-93"/>
        <w:jc w:val="both"/>
        <w:rPr>
          <w:rFonts w:ascii="Palatino Linotype" w:eastAsia="Calibri" w:hAnsi="Palatino Linotype" w:cs="Tahoma"/>
          <w:iCs/>
          <w:sz w:val="22"/>
          <w:szCs w:val="22"/>
          <w:lang w:eastAsia="es-ES_tradnl"/>
        </w:rPr>
      </w:pPr>
    </w:p>
    <w:p w14:paraId="6C45E2D0" w14:textId="6A2938DD" w:rsidR="00DD3740" w:rsidRPr="007F1D2F" w:rsidRDefault="0024395B" w:rsidP="00DD374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lo anterior, no hay certeza de que el Sujeto Obligado haya realiza</w:t>
      </w:r>
      <w:r w:rsidR="00DD3740">
        <w:rPr>
          <w:rFonts w:ascii="Palatino Linotype" w:eastAsia="Calibri" w:hAnsi="Palatino Linotype" w:cs="Tahoma"/>
          <w:iCs/>
          <w:sz w:val="22"/>
          <w:szCs w:val="22"/>
          <w:lang w:eastAsia="es-ES_tradnl"/>
        </w:rPr>
        <w:t xml:space="preserve">do una búsqueda exhaustiva y razonable de la información solicitada, </w:t>
      </w:r>
      <w:r w:rsidR="00DD3740">
        <w:rPr>
          <w:rFonts w:ascii="Palatino Linotype" w:eastAsia="Calibri" w:hAnsi="Palatino Linotype" w:cs="Tahoma"/>
          <w:iCs/>
          <w:sz w:val="22"/>
          <w:szCs w:val="22"/>
          <w:lang w:val="es-ES" w:eastAsia="es-ES_tradnl"/>
        </w:rPr>
        <w:t>así, lo procedente es ordenar los documentos en donde conste la información solicitada por el Particular, ya que como quedo establecido, pudo haber otorgado apoyos alimentarios</w:t>
      </w:r>
      <w:r w:rsidR="00DD3740">
        <w:rPr>
          <w:rFonts w:ascii="Palatino Linotype" w:hAnsi="Palatino Linotype" w:cs="Tahoma"/>
          <w:sz w:val="22"/>
          <w:szCs w:val="24"/>
        </w:rPr>
        <w:t xml:space="preserve">, </w:t>
      </w:r>
      <w:r w:rsidR="00DD3740" w:rsidRPr="00D35EBC">
        <w:rPr>
          <w:rFonts w:ascii="Palatino Linotype" w:hAnsi="Palatino Linotype"/>
          <w:noProof/>
          <w:sz w:val="22"/>
          <w:szCs w:val="22"/>
          <w:lang w:eastAsia="es-MX"/>
        </w:rPr>
        <w:t xml:space="preserve">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w:t>
      </w:r>
      <w:r w:rsidR="00DD3740" w:rsidRPr="00D35EBC">
        <w:rPr>
          <w:rFonts w:ascii="Palatino Linotype" w:hAnsi="Palatino Linotype"/>
          <w:noProof/>
          <w:sz w:val="22"/>
          <w:szCs w:val="22"/>
          <w:lang w:eastAsia="es-MX"/>
        </w:rPr>
        <w:lastRenderedPageBreak/>
        <w:t>además, que tampoco deberá generarla, resumirla, efectuar cálculos o practicar investigaciones.</w:t>
      </w:r>
    </w:p>
    <w:p w14:paraId="501B459D" w14:textId="77777777" w:rsidR="00DD3740" w:rsidRDefault="00DD3740" w:rsidP="00DD3740">
      <w:pPr>
        <w:spacing w:line="360" w:lineRule="auto"/>
        <w:jc w:val="both"/>
        <w:rPr>
          <w:rFonts w:ascii="Palatino Linotype" w:eastAsia="Calibri" w:hAnsi="Palatino Linotype" w:cs="Tahoma"/>
          <w:iCs/>
          <w:sz w:val="22"/>
          <w:szCs w:val="24"/>
          <w:lang w:val="es-ES" w:eastAsia="es-ES_tradnl"/>
        </w:rPr>
      </w:pPr>
    </w:p>
    <w:p w14:paraId="3306D504" w14:textId="550C971C" w:rsidR="00DD3740" w:rsidRDefault="00DD3740" w:rsidP="00DD3740">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4"/>
          <w:lang w:val="es-ES" w:eastAsia="es-ES_tradnl"/>
        </w:rPr>
        <w:t xml:space="preserve">No se pasa por alto que el Particular no estableció temporalidad de la cual requería la información, así resulta aplicable el </w:t>
      </w:r>
      <w:r>
        <w:rPr>
          <w:rFonts w:ascii="Palatino Linotype" w:eastAsia="Calibri" w:hAnsi="Palatino Linotype" w:cs="Tahoma"/>
          <w:iCs/>
          <w:sz w:val="22"/>
          <w:szCs w:val="22"/>
          <w:lang w:val="es-ES" w:eastAsia="es-ES_tradnl"/>
        </w:rPr>
        <w:t>C</w:t>
      </w:r>
      <w:r w:rsidRPr="0069622B">
        <w:rPr>
          <w:rFonts w:ascii="Palatino Linotype" w:eastAsia="Calibri" w:hAnsi="Palatino Linotype" w:cs="Tahoma"/>
          <w:iCs/>
          <w:sz w:val="22"/>
          <w:szCs w:val="22"/>
          <w:lang w:val="es-ES" w:eastAsia="es-ES_tradnl"/>
        </w:rPr>
        <w:t xml:space="preserve">riterio </w:t>
      </w:r>
      <w:r>
        <w:rPr>
          <w:rFonts w:ascii="Palatino Linotype" w:eastAsia="Calibri" w:hAnsi="Palatino Linotype" w:cs="Tahoma"/>
          <w:iCs/>
          <w:sz w:val="22"/>
          <w:szCs w:val="22"/>
          <w:lang w:val="es-ES" w:eastAsia="es-ES_tradnl"/>
        </w:rPr>
        <w:t>O</w:t>
      </w:r>
      <w:r w:rsidRPr="0069622B">
        <w:rPr>
          <w:rFonts w:ascii="Palatino Linotype" w:eastAsia="Calibri" w:hAnsi="Palatino Linotype" w:cs="Tahoma"/>
          <w:iCs/>
          <w:sz w:val="22"/>
          <w:szCs w:val="22"/>
          <w:lang w:val="es-ES" w:eastAsia="es-ES_tradnl"/>
        </w:rPr>
        <w:t>rientador</w:t>
      </w:r>
      <w:r>
        <w:rPr>
          <w:rFonts w:ascii="Palatino Linotype" w:eastAsia="Calibri" w:hAnsi="Palatino Linotype" w:cs="Tahoma"/>
          <w:iCs/>
          <w:sz w:val="22"/>
          <w:szCs w:val="22"/>
          <w:lang w:val="es-ES" w:eastAsia="es-ES_tradnl"/>
        </w:rPr>
        <w:t xml:space="preserve">, con clave de control </w:t>
      </w:r>
      <w:r w:rsidRPr="0069622B">
        <w:rPr>
          <w:rFonts w:ascii="Palatino Linotype" w:eastAsia="Calibri" w:hAnsi="Palatino Linotype" w:cs="Tahoma"/>
          <w:iCs/>
          <w:sz w:val="22"/>
          <w:szCs w:val="22"/>
          <w:lang w:val="es-ES" w:eastAsia="es-ES_tradnl"/>
        </w:rPr>
        <w:t xml:space="preserve">número </w:t>
      </w:r>
      <w:r>
        <w:rPr>
          <w:rFonts w:ascii="Palatino Linotype" w:eastAsia="Calibri" w:hAnsi="Palatino Linotype" w:cs="Tahoma"/>
          <w:iCs/>
          <w:sz w:val="22"/>
          <w:szCs w:val="22"/>
          <w:lang w:val="es-ES" w:eastAsia="es-ES_tradnl"/>
        </w:rPr>
        <w:t>SO/0</w:t>
      </w:r>
      <w:r w:rsidRPr="0069622B">
        <w:rPr>
          <w:rFonts w:ascii="Palatino Linotype" w:eastAsia="Calibri" w:hAnsi="Palatino Linotype" w:cs="Tahoma"/>
          <w:iCs/>
          <w:sz w:val="22"/>
          <w:szCs w:val="22"/>
          <w:lang w:val="es-ES" w:eastAsia="es-ES_tradnl"/>
        </w:rPr>
        <w:t>03/2019</w:t>
      </w:r>
      <w:r>
        <w:rPr>
          <w:rFonts w:ascii="Palatino Linotype" w:eastAsia="Calibri" w:hAnsi="Palatino Linotype" w:cs="Tahoma"/>
          <w:iCs/>
          <w:sz w:val="22"/>
          <w:szCs w:val="22"/>
          <w:lang w:val="es-ES" w:eastAsia="es-ES_tradnl"/>
        </w:rPr>
        <w:t>,</w:t>
      </w:r>
      <w:r w:rsidRPr="0069622B">
        <w:rPr>
          <w:rFonts w:ascii="Palatino Linotype" w:eastAsia="Calibri" w:hAnsi="Palatino Linotype" w:cs="Tahoma"/>
          <w:iCs/>
          <w:sz w:val="22"/>
          <w:szCs w:val="22"/>
          <w:lang w:val="es-ES" w:eastAsia="es-ES_tradnl"/>
        </w:rPr>
        <w:t xml:space="preserve"> expedido por el entonces Instituto Nacional de Transparencia, Acceso a la Información Pública y Protección de Datos Personales el cual señala: </w:t>
      </w:r>
    </w:p>
    <w:p w14:paraId="2826BF8A" w14:textId="77777777" w:rsidR="00DD3740" w:rsidRPr="00585849" w:rsidRDefault="00DD3740" w:rsidP="00DD3740">
      <w:pPr>
        <w:spacing w:line="360" w:lineRule="auto"/>
        <w:contextualSpacing/>
        <w:jc w:val="both"/>
        <w:rPr>
          <w:rFonts w:ascii="Palatino Linotype" w:hAnsi="Palatino Linotype" w:cs="Tahoma"/>
          <w:sz w:val="22"/>
          <w:szCs w:val="22"/>
        </w:rPr>
      </w:pPr>
    </w:p>
    <w:p w14:paraId="718ED6BD" w14:textId="77777777" w:rsidR="00DD3740" w:rsidRDefault="00DD3740" w:rsidP="00DD3740">
      <w:pPr>
        <w:spacing w:line="360" w:lineRule="auto"/>
        <w:ind w:left="567" w:right="539"/>
        <w:jc w:val="both"/>
        <w:rPr>
          <w:rFonts w:ascii="Palatino Linotype" w:eastAsia="Calibri" w:hAnsi="Palatino Linotype" w:cs="Tahoma"/>
          <w:i/>
          <w:lang w:eastAsia="es-ES_tradnl"/>
        </w:rPr>
      </w:pPr>
      <w:r w:rsidRPr="0069622B">
        <w:rPr>
          <w:rFonts w:ascii="Palatino Linotype" w:eastAsia="Calibri" w:hAnsi="Palatino Linotype" w:cs="Tahoma"/>
          <w:b/>
          <w:bCs/>
          <w:i/>
          <w:lang w:eastAsia="es-ES_tradnl"/>
        </w:rPr>
        <w:t xml:space="preserve">Periodo de búsqueda de la información. </w:t>
      </w:r>
      <w:r w:rsidRPr="0069622B">
        <w:rPr>
          <w:rFonts w:ascii="Palatino Linotype" w:eastAsia="Calibri" w:hAnsi="Palatino Linotype" w:cs="Tahoma"/>
          <w:i/>
          <w:lang w:eastAsia="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FD1070D" w14:textId="77777777" w:rsidR="00DD3740" w:rsidRPr="00E42843" w:rsidRDefault="00DD3740" w:rsidP="00DD3740">
      <w:pPr>
        <w:spacing w:line="360" w:lineRule="auto"/>
        <w:ind w:left="567" w:right="539"/>
        <w:jc w:val="both"/>
        <w:rPr>
          <w:rFonts w:ascii="Palatino Linotype" w:eastAsia="Calibri" w:hAnsi="Palatino Linotype" w:cs="Tahoma"/>
          <w:i/>
          <w:lang w:eastAsia="es-ES_tradnl"/>
        </w:rPr>
      </w:pPr>
    </w:p>
    <w:p w14:paraId="610830E6" w14:textId="3F61BDC0" w:rsidR="00DD3740" w:rsidRDefault="00DD3740" w:rsidP="00DD3740">
      <w:pPr>
        <w:tabs>
          <w:tab w:val="left" w:pos="4962"/>
        </w:tabs>
        <w:spacing w:line="360" w:lineRule="auto"/>
        <w:contextualSpacing/>
        <w:jc w:val="both"/>
        <w:rPr>
          <w:rFonts w:ascii="Palatino Linotype" w:hAnsi="Palatino Linotype" w:cs="Tahoma"/>
          <w:sz w:val="22"/>
          <w:szCs w:val="22"/>
        </w:rPr>
      </w:pPr>
      <w:r w:rsidRPr="0069622B">
        <w:rPr>
          <w:rFonts w:ascii="Palatino Linotype" w:hAnsi="Palatino Linotype" w:cs="Tahoma"/>
          <w:sz w:val="22"/>
          <w:szCs w:val="22"/>
        </w:rPr>
        <w:t xml:space="preserve">De esta manera, la búsqueda de la información se debió realizar del </w:t>
      </w:r>
      <w:r>
        <w:rPr>
          <w:rFonts w:ascii="Palatino Linotype" w:hAnsi="Palatino Linotype" w:cs="Tahoma"/>
          <w:sz w:val="22"/>
          <w:szCs w:val="22"/>
        </w:rPr>
        <w:t>diez de octubre</w:t>
      </w:r>
      <w:r w:rsidRPr="0069622B">
        <w:rPr>
          <w:rFonts w:ascii="Palatino Linotype" w:hAnsi="Palatino Linotype" w:cs="Tahoma"/>
          <w:sz w:val="22"/>
          <w:szCs w:val="22"/>
        </w:rPr>
        <w:t xml:space="preserve"> de dos mil veinticuatro al </w:t>
      </w:r>
      <w:r>
        <w:rPr>
          <w:rFonts w:ascii="Palatino Linotype" w:hAnsi="Palatino Linotype" w:cs="Tahoma"/>
          <w:sz w:val="22"/>
          <w:szCs w:val="22"/>
        </w:rPr>
        <w:t xml:space="preserve">diez de octubre </w:t>
      </w:r>
      <w:r w:rsidRPr="0069622B">
        <w:rPr>
          <w:rFonts w:ascii="Palatino Linotype" w:hAnsi="Palatino Linotype" w:cs="Tahoma"/>
          <w:sz w:val="22"/>
          <w:szCs w:val="22"/>
        </w:rPr>
        <w:t>del año en curso</w:t>
      </w:r>
      <w:r>
        <w:rPr>
          <w:rFonts w:ascii="Palatino Linotype" w:hAnsi="Palatino Linotype" w:cs="Tahoma"/>
          <w:sz w:val="22"/>
          <w:szCs w:val="22"/>
        </w:rPr>
        <w:t>.</w:t>
      </w:r>
    </w:p>
    <w:p w14:paraId="3BFCD608" w14:textId="77777777" w:rsidR="00DD3740" w:rsidRDefault="00DD3740" w:rsidP="00DD3740">
      <w:pPr>
        <w:spacing w:line="360" w:lineRule="auto"/>
        <w:jc w:val="both"/>
        <w:rPr>
          <w:rFonts w:ascii="Palatino Linotype" w:eastAsia="Calibri" w:hAnsi="Palatino Linotype" w:cs="Tahoma"/>
          <w:iCs/>
          <w:sz w:val="22"/>
          <w:szCs w:val="24"/>
          <w:lang w:val="es-ES" w:eastAsia="es-ES_tradnl"/>
        </w:rPr>
      </w:pPr>
    </w:p>
    <w:p w14:paraId="259AAA05" w14:textId="79D66B77" w:rsidR="00030981" w:rsidRDefault="00030981" w:rsidP="00DD3740">
      <w:pPr>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Ahora bien, este Instituto localizó en su cuenta oficial de Facebook, que el Sujeto Obligado cuenta con un comedor comunitario, el cual brinda comida a bajo costo; por lo que, en el caso de que no haya entregado apoyos alimentarios a la </w:t>
      </w:r>
      <w:r w:rsidR="005B5983">
        <w:rPr>
          <w:rFonts w:ascii="Palatino Linotype" w:eastAsia="Calibri" w:hAnsi="Palatino Linotype" w:cs="Tahoma"/>
          <w:iCs/>
          <w:sz w:val="22"/>
          <w:szCs w:val="24"/>
          <w:lang w:val="es-ES" w:eastAsia="es-ES_tradnl"/>
        </w:rPr>
        <w:t>población, en todo o parte del periodo solicitado, deberá hacerlo del conocimiento de la parte Recurrente, de manera clara y precisa.</w:t>
      </w:r>
    </w:p>
    <w:p w14:paraId="7A8849B5" w14:textId="77777777" w:rsidR="00030981" w:rsidRDefault="00030981" w:rsidP="00DD3740">
      <w:pPr>
        <w:spacing w:line="360" w:lineRule="auto"/>
        <w:jc w:val="both"/>
        <w:rPr>
          <w:rFonts w:ascii="Palatino Linotype" w:eastAsia="Calibri" w:hAnsi="Palatino Linotype" w:cs="Tahoma"/>
          <w:iCs/>
          <w:sz w:val="22"/>
          <w:szCs w:val="24"/>
          <w:lang w:val="es-ES" w:eastAsia="es-ES_tradnl"/>
        </w:rPr>
      </w:pPr>
    </w:p>
    <w:p w14:paraId="696A6E09" w14:textId="7E525BB1" w:rsidR="0044040A" w:rsidRDefault="0044040A" w:rsidP="00DD3740">
      <w:pPr>
        <w:spacing w:line="360" w:lineRule="auto"/>
        <w:jc w:val="both"/>
        <w:rPr>
          <w:rFonts w:ascii="Palatino Linotype" w:eastAsia="Calibri" w:hAnsi="Palatino Linotype" w:cs="Tahoma"/>
          <w:b/>
          <w:iCs/>
          <w:sz w:val="22"/>
          <w:szCs w:val="24"/>
          <w:lang w:val="es-ES_tradnl" w:eastAsia="es-ES_tradnl"/>
        </w:rPr>
      </w:pPr>
      <w:r>
        <w:rPr>
          <w:rFonts w:ascii="Palatino Linotype" w:eastAsia="Calibri" w:hAnsi="Palatino Linotype" w:cs="Tahoma"/>
          <w:b/>
          <w:iCs/>
          <w:sz w:val="22"/>
          <w:szCs w:val="24"/>
          <w:lang w:val="es-ES_tradnl" w:eastAsia="es-ES_tradnl"/>
        </w:rPr>
        <w:t xml:space="preserve">Versión pública </w:t>
      </w:r>
    </w:p>
    <w:p w14:paraId="3894A28B" w14:textId="392C711C" w:rsidR="0044040A" w:rsidRDefault="0044040A" w:rsidP="00DD3740">
      <w:pPr>
        <w:spacing w:line="360" w:lineRule="auto"/>
        <w:jc w:val="both"/>
        <w:rPr>
          <w:rFonts w:ascii="Palatino Linotype" w:eastAsia="Calibri" w:hAnsi="Palatino Linotype" w:cs="Tahoma"/>
          <w:b/>
          <w:iCs/>
          <w:sz w:val="22"/>
          <w:szCs w:val="24"/>
          <w:lang w:val="es-ES_tradnl" w:eastAsia="es-ES_tradnl"/>
        </w:rPr>
      </w:pPr>
    </w:p>
    <w:p w14:paraId="7758DC4A"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lastRenderedPageBreak/>
        <w:t xml:space="preserve">Al respecto, el artículo 143, fracción I, de la Ley previamente citada, establece que la información privada y los datos personales, concernientes a una persona física o jurídica colectiva identificada o identificable son confidenciales. </w:t>
      </w:r>
    </w:p>
    <w:p w14:paraId="2707F680" w14:textId="77777777" w:rsidR="0044040A" w:rsidRPr="005170EA" w:rsidRDefault="0044040A" w:rsidP="0044040A">
      <w:pPr>
        <w:spacing w:line="360" w:lineRule="auto"/>
        <w:jc w:val="both"/>
        <w:rPr>
          <w:rFonts w:ascii="Palatino Linotype" w:hAnsi="Palatino Linotype" w:cs="Tahoma"/>
          <w:bCs/>
          <w:iCs/>
          <w:sz w:val="22"/>
          <w:szCs w:val="22"/>
        </w:rPr>
      </w:pPr>
    </w:p>
    <w:p w14:paraId="77884A76"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29D9963" w14:textId="77777777" w:rsidR="0044040A" w:rsidRPr="005170EA" w:rsidRDefault="0044040A" w:rsidP="0044040A">
      <w:pPr>
        <w:spacing w:line="360" w:lineRule="auto"/>
        <w:jc w:val="both"/>
        <w:rPr>
          <w:rFonts w:ascii="Palatino Linotype" w:hAnsi="Palatino Linotype" w:cs="Tahoma"/>
          <w:bCs/>
          <w:iCs/>
          <w:sz w:val="22"/>
          <w:szCs w:val="22"/>
        </w:rPr>
      </w:pPr>
    </w:p>
    <w:p w14:paraId="33124302"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En términos de lo expuesto, la documentación y aquellos datos que se consideren confidenciales, serán una limitante del derecho de acceso a la información, siempre y cuando: </w:t>
      </w:r>
    </w:p>
    <w:p w14:paraId="5EA1679C"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7110BB3D" w14:textId="77777777" w:rsidR="0044040A" w:rsidRPr="005170EA" w:rsidRDefault="0044040A" w:rsidP="0044040A">
      <w:pPr>
        <w:numPr>
          <w:ilvl w:val="0"/>
          <w:numId w:val="25"/>
        </w:num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29EBFEC2" w14:textId="77777777" w:rsidR="0044040A" w:rsidRPr="005170EA" w:rsidRDefault="0044040A" w:rsidP="0044040A">
      <w:pPr>
        <w:numPr>
          <w:ilvl w:val="0"/>
          <w:numId w:val="25"/>
        </w:num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Para la difusión de los datos, se requiera el consentimiento del titular.  </w:t>
      </w:r>
    </w:p>
    <w:p w14:paraId="5D992C05"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583AA9F6" w14:textId="53AF7F00"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w:t>
      </w:r>
      <w:r w:rsidR="005B5983" w:rsidRPr="005170EA">
        <w:rPr>
          <w:rFonts w:ascii="Palatino Linotype" w:hAnsi="Palatino Linotype" w:cs="Tahoma"/>
          <w:bCs/>
          <w:iCs/>
          <w:sz w:val="22"/>
          <w:szCs w:val="22"/>
          <w:lang w:val="es-ES"/>
        </w:rPr>
        <w:t>en Posesión</w:t>
      </w:r>
      <w:r w:rsidRPr="005170EA">
        <w:rPr>
          <w:rFonts w:ascii="Palatino Linotype" w:hAnsi="Palatino Linotype" w:cs="Tahoma"/>
          <w:bCs/>
          <w:iCs/>
          <w:sz w:val="22"/>
          <w:szCs w:val="22"/>
          <w:lang w:val="es-ES"/>
        </w:rPr>
        <w:t xml:space="preserve"> de Sujetos Obligados del Estado de México y Municipios, se advierte que son datos personales, la información concerniente a una persona física o jurídico colectiva identificada </w:t>
      </w:r>
    </w:p>
    <w:p w14:paraId="5D971CA8"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lastRenderedPageBreak/>
        <w:t xml:space="preserve">o identificable (cuando su identidad pueda determinarse directa o indirectamente a través de cualquier documento informativo físico o electrónico), establecida en cualquier formato o </w:t>
      </w:r>
    </w:p>
    <w:p w14:paraId="09332E27"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modalidad. Bajo ese contexto, se procede analizar si los datos que conforman el padrón son </w:t>
      </w:r>
    </w:p>
    <w:p w14:paraId="0B7E4ED6"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confidenciales o públicos. </w:t>
      </w:r>
    </w:p>
    <w:p w14:paraId="07A311DB"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15F0B52F" w14:textId="77777777" w:rsidR="0044040A" w:rsidRPr="005170EA" w:rsidRDefault="0044040A" w:rsidP="0044040A">
      <w:pPr>
        <w:numPr>
          <w:ilvl w:val="0"/>
          <w:numId w:val="26"/>
        </w:numPr>
        <w:spacing w:line="360" w:lineRule="auto"/>
        <w:jc w:val="both"/>
        <w:rPr>
          <w:rFonts w:ascii="Palatino Linotype" w:hAnsi="Palatino Linotype" w:cs="Tahoma"/>
          <w:b/>
          <w:iCs/>
          <w:sz w:val="22"/>
          <w:szCs w:val="22"/>
          <w:lang w:val="es-ES"/>
        </w:rPr>
      </w:pPr>
      <w:r w:rsidRPr="005170EA">
        <w:rPr>
          <w:rFonts w:ascii="Palatino Linotype" w:hAnsi="Palatino Linotype" w:cs="Tahoma"/>
          <w:b/>
          <w:iCs/>
          <w:sz w:val="22"/>
          <w:szCs w:val="22"/>
          <w:lang w:val="es-ES"/>
        </w:rPr>
        <w:t xml:space="preserve">Nombre de personas beneficiadas por un programa social  </w:t>
      </w:r>
    </w:p>
    <w:p w14:paraId="4E638F82"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5C855A59"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w:t>
      </w:r>
    </w:p>
    <w:p w14:paraId="02E7E64C"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elemento que hace a una persona física identificada o identificable.</w:t>
      </w:r>
    </w:p>
    <w:p w14:paraId="157A9C8C"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1BD45D69"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En ese contexto, es importante mencionar que si bien es cierto que el nombre de una persona  es atributo de la personalidad, de conformidad con la legislación civil, al tratarse de un dato </w:t>
      </w:r>
    </w:p>
    <w:p w14:paraId="3D10589D"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personal hace identificable a su titular, además la Ley de Transparencia y Acceso a la Información Pública del Estado de México y Municipios ha establecido un régimen de tratándose de los nombres de aquellas personas que son beneficiadas por un programa social, ya que la difusión de dicho dato constituye una obligación de transparencia por parte de los sujetos obligados.</w:t>
      </w:r>
    </w:p>
    <w:p w14:paraId="37246636"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0A720408"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Toma sustento con el artículo 92, fracción XIV, inciso p), de la Ley de la materia, previamente </w:t>
      </w:r>
    </w:p>
    <w:p w14:paraId="53115549"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referidos, el cual establece que los sujetos obligados tienen la obligación de poner a disposición del público y mantener actualizada de acuerdo con sus facultades, atribuciones y funciones, el padrón de beneficiarios de programas de subsidios, estímulos y apoyos, el cual deberá contener entre otros datos el nombre de la persona beneficiada. </w:t>
      </w:r>
    </w:p>
    <w:p w14:paraId="5B01BC11"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6C98BD40"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el nombre referido, tiene la característica de público, como se observa a continuación:</w:t>
      </w:r>
    </w:p>
    <w:p w14:paraId="3AA141BA"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5763519D" w14:textId="77777777" w:rsidR="0044040A" w:rsidRPr="005170EA" w:rsidRDefault="0044040A" w:rsidP="0044040A">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noProof/>
          <w:sz w:val="22"/>
          <w:szCs w:val="22"/>
          <w:lang w:eastAsia="es-MX"/>
        </w:rPr>
        <w:drawing>
          <wp:inline distT="0" distB="0" distL="0" distR="0" wp14:anchorId="2FEC24D4" wp14:editId="114DA4FF">
            <wp:extent cx="5143946" cy="1066892"/>
            <wp:effectExtent l="0" t="0" r="0" b="0"/>
            <wp:docPr id="77033732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7328" name="Imagen 1" descr="Texto&#10;&#10;El contenido generado por IA puede ser incorrecto."/>
                    <pic:cNvPicPr/>
                  </pic:nvPicPr>
                  <pic:blipFill>
                    <a:blip r:embed="rId13"/>
                    <a:stretch>
                      <a:fillRect/>
                    </a:stretch>
                  </pic:blipFill>
                  <pic:spPr>
                    <a:xfrm>
                      <a:off x="0" y="0"/>
                      <a:ext cx="5143946" cy="1066892"/>
                    </a:xfrm>
                    <a:prstGeom prst="rect">
                      <a:avLst/>
                    </a:prstGeom>
                  </pic:spPr>
                </pic:pic>
              </a:graphicData>
            </a:graphic>
          </wp:inline>
        </w:drawing>
      </w:r>
    </w:p>
    <w:p w14:paraId="183ED419" w14:textId="77777777" w:rsidR="0044040A" w:rsidRPr="005170EA" w:rsidRDefault="0044040A" w:rsidP="0044040A">
      <w:pPr>
        <w:spacing w:line="360" w:lineRule="auto"/>
        <w:jc w:val="both"/>
        <w:rPr>
          <w:rFonts w:ascii="Palatino Linotype" w:hAnsi="Palatino Linotype" w:cs="Tahoma"/>
          <w:bCs/>
          <w:iCs/>
          <w:sz w:val="22"/>
          <w:szCs w:val="22"/>
          <w:lang w:val="es-ES"/>
        </w:rPr>
      </w:pPr>
    </w:p>
    <w:p w14:paraId="3D5B7150" w14:textId="77777777" w:rsidR="0044040A" w:rsidRPr="005170EA" w:rsidRDefault="0044040A" w:rsidP="0044040A">
      <w:pPr>
        <w:spacing w:line="360" w:lineRule="auto"/>
        <w:jc w:val="both"/>
        <w:rPr>
          <w:rFonts w:ascii="Palatino Linotype" w:hAnsi="Palatino Linotype" w:cs="Tahoma"/>
          <w:b/>
          <w:bCs/>
          <w:iCs/>
          <w:sz w:val="22"/>
          <w:szCs w:val="22"/>
          <w:lang w:val="es-ES_tradnl"/>
        </w:rPr>
      </w:pPr>
      <w:r w:rsidRPr="005170EA">
        <w:rPr>
          <w:rFonts w:ascii="Palatino Linotype" w:hAnsi="Palatino Linotype" w:cs="Tahoma"/>
          <w:bCs/>
          <w:iCs/>
          <w:sz w:val="22"/>
          <w:szCs w:val="22"/>
        </w:rPr>
        <w:t xml:space="preserve">Conforme a lo anterior, la Ley </w:t>
      </w:r>
      <w:r w:rsidRPr="005170EA">
        <w:rPr>
          <w:rFonts w:ascii="Palatino Linotype" w:hAnsi="Palatino Linotype" w:cs="Tahoma"/>
          <w:bCs/>
          <w:iCs/>
          <w:sz w:val="22"/>
          <w:szCs w:val="22"/>
          <w:lang w:val="es-ES_tradnl"/>
        </w:rPr>
        <w:t xml:space="preserve">de Transparencia y Acceso a la Información Pública del Estado de México y Municipios, considera que el nombre de los beneficiarios, </w:t>
      </w:r>
      <w:r w:rsidRPr="005170EA">
        <w:rPr>
          <w:rFonts w:ascii="Palatino Linotype" w:hAnsi="Palatino Linotype" w:cs="Tahoma"/>
          <w:b/>
          <w:bCs/>
          <w:iCs/>
          <w:sz w:val="22"/>
          <w:szCs w:val="22"/>
          <w:lang w:val="es-ES_tradnl"/>
        </w:rPr>
        <w:t xml:space="preserve">por regla general, </w:t>
      </w:r>
      <w:r w:rsidRPr="005170EA">
        <w:rPr>
          <w:rFonts w:ascii="Palatino Linotype" w:hAnsi="Palatino Linotype" w:cs="Tahoma"/>
          <w:bCs/>
          <w:iCs/>
          <w:sz w:val="22"/>
          <w:szCs w:val="22"/>
          <w:lang w:val="es-ES_tradnl"/>
        </w:rPr>
        <w:t xml:space="preserve">son de naturaleza pública, ya que su publicidad orienta a cumplir los objetivos que persigue el ordenamiento normativo; toda vez, </w:t>
      </w:r>
      <w:r w:rsidRPr="005170EA">
        <w:rPr>
          <w:rFonts w:ascii="Palatino Linotype" w:hAnsi="Palatino Linotype" w:cs="Tahoma"/>
          <w:b/>
          <w:bCs/>
          <w:iCs/>
          <w:sz w:val="22"/>
          <w:szCs w:val="22"/>
          <w:lang w:val="es-ES_tradnl"/>
        </w:rPr>
        <w:t>que ayuda a transparentar a quienes se les han otorgado recursos públicos, en dinero o en especie, así como, porque razones se les otorgaron.</w:t>
      </w:r>
    </w:p>
    <w:p w14:paraId="7816E6AC" w14:textId="77777777" w:rsidR="0044040A" w:rsidRPr="005170EA" w:rsidRDefault="0044040A" w:rsidP="0044040A">
      <w:pPr>
        <w:spacing w:line="360" w:lineRule="auto"/>
        <w:jc w:val="both"/>
        <w:rPr>
          <w:rFonts w:ascii="Palatino Linotype" w:hAnsi="Palatino Linotype" w:cs="Tahoma"/>
          <w:b/>
          <w:bCs/>
          <w:iCs/>
          <w:sz w:val="22"/>
          <w:szCs w:val="22"/>
          <w:lang w:val="es-ES_tradnl"/>
        </w:rPr>
      </w:pPr>
    </w:p>
    <w:p w14:paraId="219C41CF" w14:textId="77777777" w:rsidR="0044040A" w:rsidRPr="005170EA" w:rsidRDefault="0044040A" w:rsidP="0044040A">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02955647" w14:textId="77777777" w:rsidR="0044040A" w:rsidRPr="005170EA" w:rsidRDefault="0044040A" w:rsidP="0044040A">
      <w:pPr>
        <w:spacing w:line="360" w:lineRule="auto"/>
        <w:jc w:val="both"/>
        <w:rPr>
          <w:rFonts w:ascii="Palatino Linotype" w:hAnsi="Palatino Linotype" w:cs="Tahoma"/>
          <w:bCs/>
          <w:iCs/>
          <w:sz w:val="22"/>
          <w:szCs w:val="22"/>
          <w:lang w:val="es-ES_tradnl"/>
        </w:rPr>
      </w:pPr>
    </w:p>
    <w:p w14:paraId="361B9E7C" w14:textId="77777777" w:rsidR="0044040A" w:rsidRPr="005170EA" w:rsidRDefault="0044040A" w:rsidP="0044040A">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 xml:space="preserve">Por tales circunstancias, en primera instancia, se considera que el nombre de los beneficiarios, guarda la naturaleza pública, pues ayuda a rendir cuentas, sobre aquellas personas que </w:t>
      </w:r>
      <w:r w:rsidRPr="005170EA">
        <w:rPr>
          <w:rFonts w:ascii="Palatino Linotype" w:hAnsi="Palatino Linotype" w:cs="Tahoma"/>
          <w:bCs/>
          <w:iCs/>
          <w:sz w:val="22"/>
          <w:szCs w:val="22"/>
          <w:lang w:val="es-ES_tradnl"/>
        </w:rPr>
        <w:lastRenderedPageBreak/>
        <w:t>recibieron algún recurso público, en dinero o especie, al formar parte de un programa social, del cual, se necesitan cumplir requisitos específicos para formar parte del mismo.</w:t>
      </w:r>
    </w:p>
    <w:p w14:paraId="5C9BD9D5" w14:textId="77777777" w:rsidR="0044040A" w:rsidRPr="005170EA" w:rsidRDefault="0044040A" w:rsidP="0044040A">
      <w:pPr>
        <w:spacing w:line="360" w:lineRule="auto"/>
        <w:jc w:val="both"/>
        <w:rPr>
          <w:rFonts w:ascii="Palatino Linotype" w:hAnsi="Palatino Linotype" w:cs="Tahoma"/>
          <w:bCs/>
          <w:iCs/>
          <w:sz w:val="22"/>
          <w:szCs w:val="22"/>
          <w:lang w:val="es-ES_tradnl"/>
        </w:rPr>
      </w:pPr>
    </w:p>
    <w:p w14:paraId="6200A89A" w14:textId="77777777" w:rsidR="0044040A" w:rsidRPr="005170EA" w:rsidRDefault="0044040A" w:rsidP="0044040A">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 xml:space="preserve">Sin embargo, este Instituto ha establecido las excepciones a la publicación del nombre de los beneficiarios, de padrones de beneficiarios, a través del Criterio reiterado 04/19, publicado en el Periódico Oficial del Gobierno del Estado Libre y Soberano de México </w:t>
      </w:r>
      <w:r w:rsidRPr="005170EA">
        <w:rPr>
          <w:rFonts w:ascii="Palatino Linotype" w:hAnsi="Palatino Linotype" w:cs="Tahoma"/>
          <w:bCs/>
          <w:i/>
          <w:iCs/>
          <w:sz w:val="22"/>
          <w:szCs w:val="22"/>
          <w:lang w:val="es-ES_tradnl"/>
        </w:rPr>
        <w:t>“Gaceta de Gobierno”</w:t>
      </w:r>
      <w:r w:rsidRPr="005170EA">
        <w:rPr>
          <w:rFonts w:ascii="Palatino Linotype" w:hAnsi="Palatino Linotype" w:cs="Tahoma"/>
          <w:bCs/>
          <w:iCs/>
          <w:sz w:val="22"/>
          <w:szCs w:val="22"/>
          <w:lang w:val="es-ES_tradnl"/>
        </w:rPr>
        <w:t>, el dieciocho de diciembre de dos mil diecinueve, que establece lo siguiente:</w:t>
      </w:r>
    </w:p>
    <w:p w14:paraId="4E510F2F" w14:textId="77777777" w:rsidR="0044040A" w:rsidRPr="005170EA" w:rsidRDefault="0044040A" w:rsidP="0044040A">
      <w:pPr>
        <w:spacing w:line="360" w:lineRule="auto"/>
        <w:jc w:val="both"/>
        <w:rPr>
          <w:rFonts w:ascii="Palatino Linotype" w:hAnsi="Palatino Linotype" w:cs="Tahoma"/>
          <w:bCs/>
          <w:iCs/>
          <w:sz w:val="22"/>
          <w:szCs w:val="22"/>
          <w:lang w:val="es-ES_tradnl"/>
        </w:rPr>
      </w:pPr>
    </w:p>
    <w:p w14:paraId="16C065DA" w14:textId="77777777" w:rsidR="0044040A" w:rsidRPr="005170EA" w:rsidRDefault="0044040A" w:rsidP="0044040A">
      <w:pPr>
        <w:spacing w:line="360" w:lineRule="auto"/>
        <w:ind w:left="567" w:right="539"/>
        <w:jc w:val="both"/>
        <w:rPr>
          <w:rFonts w:ascii="Palatino Linotype" w:hAnsi="Palatino Linotype" w:cs="Tahoma"/>
          <w:bCs/>
          <w:i/>
          <w:iCs/>
          <w:lang w:val="es-ES_tradnl"/>
        </w:rPr>
      </w:pPr>
      <w:r w:rsidRPr="005170EA">
        <w:rPr>
          <w:rFonts w:ascii="Palatino Linotype" w:hAnsi="Palatino Linotype" w:cs="Tahoma"/>
          <w:b/>
          <w:bCs/>
          <w:i/>
          <w:iCs/>
        </w:rPr>
        <w:t>“PADRÓN DE BENEFICIARIOS EN POSESIÓN DE SUJETOS OBLIGADOS. EXCEPCIONES PARA LA PUBLICACIÓN DE DATOS PERSONALES CONTENIDOS EN AQUÉL.</w:t>
      </w:r>
      <w:r w:rsidRPr="005170EA">
        <w:rPr>
          <w:rFonts w:ascii="Palatino Linotype" w:hAnsi="Palatino Linotype" w:cs="Tahoma"/>
          <w:bCs/>
          <w:i/>
          <w:iCs/>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w:t>
      </w:r>
      <w:r w:rsidRPr="005170EA">
        <w:rPr>
          <w:rFonts w:ascii="Palatino Linotype" w:hAnsi="Palatino Linotype" w:cs="Tahoma"/>
          <w:bCs/>
          <w:i/>
          <w:iCs/>
        </w:rPr>
        <w:lastRenderedPageBreak/>
        <w:t xml:space="preserve">personales, mismo que se reconoce a toda persona, en los términos que fije la ley, en la cual se establecerán los supuestos de excepción a los principios que rijan el tratamiento de datos. </w:t>
      </w:r>
      <w:r w:rsidRPr="005170EA">
        <w:rPr>
          <w:rFonts w:ascii="Palatino Linotype" w:hAnsi="Palatino Linotype" w:cs="Tahoma"/>
          <w:b/>
          <w:bCs/>
          <w:i/>
          <w:iCs/>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5170EA">
        <w:rPr>
          <w:rFonts w:ascii="Palatino Linotype" w:hAnsi="Palatino Linotype" w:cs="Tahoma"/>
          <w:bCs/>
          <w:i/>
          <w:iCs/>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5170EA">
        <w:rPr>
          <w:rFonts w:ascii="Palatino Linotype" w:hAnsi="Palatino Linotype" w:cs="Tahoma"/>
          <w:bCs/>
          <w:i/>
          <w:iCs/>
        </w:rPr>
        <w:t>,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6E10259F" w14:textId="77777777" w:rsidR="0044040A" w:rsidRPr="005170EA" w:rsidRDefault="0044040A" w:rsidP="0044040A">
      <w:pPr>
        <w:spacing w:line="360" w:lineRule="auto"/>
        <w:jc w:val="both"/>
        <w:rPr>
          <w:rFonts w:ascii="Palatino Linotype" w:hAnsi="Palatino Linotype" w:cs="Tahoma"/>
          <w:bCs/>
          <w:iCs/>
          <w:sz w:val="22"/>
          <w:szCs w:val="22"/>
        </w:rPr>
      </w:pPr>
    </w:p>
    <w:p w14:paraId="7C804543"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Del citado criterio, </w:t>
      </w:r>
      <w:r w:rsidRPr="005170EA">
        <w:rPr>
          <w:rFonts w:ascii="Palatino Linotype" w:hAnsi="Palatino Linotype" w:cs="Tahoma"/>
          <w:b/>
          <w:bCs/>
          <w:iCs/>
          <w:sz w:val="22"/>
          <w:szCs w:val="22"/>
        </w:rPr>
        <w:t>se advierte que el nombre de las personas menores de edad y las de capacidades diferentes, son datos confidenciales</w:t>
      </w:r>
      <w:r w:rsidRPr="005170EA">
        <w:rPr>
          <w:rFonts w:ascii="Palatino Linotype" w:hAnsi="Palatino Linotype" w:cs="Tahoma"/>
          <w:bCs/>
          <w:iCs/>
          <w:sz w:val="22"/>
          <w:szCs w:val="22"/>
        </w:rPr>
        <w:t>, pues su publicación revelaría las condiciones sociales, culturales y plena identidad; además, que corresponden a grupos vulnerables y sociales, en condiciones de desventaja, por lo cual, es necesario su protección.</w:t>
      </w:r>
    </w:p>
    <w:p w14:paraId="5FEE08F5" w14:textId="77777777" w:rsidR="0044040A" w:rsidRPr="005170EA" w:rsidRDefault="0044040A" w:rsidP="0044040A">
      <w:pPr>
        <w:spacing w:line="360" w:lineRule="auto"/>
        <w:jc w:val="both"/>
        <w:rPr>
          <w:rFonts w:ascii="Palatino Linotype" w:hAnsi="Palatino Linotype" w:cs="Tahoma"/>
          <w:bCs/>
          <w:iCs/>
          <w:sz w:val="22"/>
          <w:szCs w:val="22"/>
        </w:rPr>
      </w:pPr>
    </w:p>
    <w:p w14:paraId="49DA9551" w14:textId="77777777" w:rsidR="0044040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Por tal circunstancia, se considera que el Sujeto Obligado </w:t>
      </w:r>
      <w:r w:rsidRPr="005170EA">
        <w:rPr>
          <w:rFonts w:ascii="Palatino Linotype" w:hAnsi="Palatino Linotype" w:cs="Tahoma"/>
          <w:b/>
          <w:bCs/>
          <w:iCs/>
          <w:sz w:val="22"/>
          <w:szCs w:val="22"/>
        </w:rPr>
        <w:t>únicamente podrá clasificar el nombre de aquellos beneficiarios, que sean menores de edad o de capacidades diferentes</w:t>
      </w:r>
      <w:r w:rsidRPr="005170EA">
        <w:rPr>
          <w:rFonts w:ascii="Palatino Linotype" w:hAnsi="Palatino Linotype" w:cs="Tahoma"/>
          <w:bCs/>
          <w:iCs/>
          <w:sz w:val="22"/>
          <w:szCs w:val="22"/>
        </w:rPr>
        <w:t xml:space="preserve">, en términos del artículo 143, fracción I de la Ley de Transparencia y Acceso a la Información </w:t>
      </w:r>
      <w:r w:rsidRPr="005170EA">
        <w:rPr>
          <w:rFonts w:ascii="Palatino Linotype" w:hAnsi="Palatino Linotype" w:cs="Tahoma"/>
          <w:bCs/>
          <w:iCs/>
          <w:sz w:val="22"/>
          <w:szCs w:val="22"/>
        </w:rPr>
        <w:lastRenderedPageBreak/>
        <w:t>Pública del Estado de México y Municipios, pues la publicación de la información, podría generarles discriminación</w:t>
      </w:r>
      <w:r>
        <w:rPr>
          <w:rFonts w:ascii="Palatino Linotype" w:hAnsi="Palatino Linotype" w:cs="Tahoma"/>
          <w:bCs/>
          <w:iCs/>
          <w:sz w:val="22"/>
          <w:szCs w:val="22"/>
        </w:rPr>
        <w:t>, razón por la cual lo procedente es ordenar la entrega del documento enviado en respuesta en el que se encuentren visible el nombre de los beneficiarios que no encuadren en el supuesto mencionado.</w:t>
      </w:r>
    </w:p>
    <w:p w14:paraId="619F16FF" w14:textId="77777777" w:rsidR="0044040A" w:rsidRPr="005170EA" w:rsidRDefault="0044040A" w:rsidP="0044040A">
      <w:pPr>
        <w:spacing w:line="360" w:lineRule="auto"/>
        <w:jc w:val="both"/>
        <w:rPr>
          <w:rFonts w:ascii="Palatino Linotype" w:hAnsi="Palatino Linotype" w:cs="Tahoma"/>
          <w:bCs/>
          <w:iCs/>
          <w:sz w:val="22"/>
          <w:szCs w:val="22"/>
        </w:rPr>
      </w:pPr>
    </w:p>
    <w:p w14:paraId="2F4214EC" w14:textId="77777777" w:rsidR="0044040A" w:rsidRPr="005170EA" w:rsidRDefault="0044040A" w:rsidP="0044040A">
      <w:pPr>
        <w:numPr>
          <w:ilvl w:val="0"/>
          <w:numId w:val="28"/>
        </w:numPr>
        <w:spacing w:line="360" w:lineRule="auto"/>
        <w:jc w:val="both"/>
        <w:rPr>
          <w:rFonts w:ascii="Palatino Linotype" w:hAnsi="Palatino Linotype" w:cs="Tahoma"/>
          <w:b/>
          <w:bCs/>
          <w:iCs/>
          <w:sz w:val="22"/>
          <w:szCs w:val="22"/>
          <w:lang w:val="es-ES_tradnl"/>
        </w:rPr>
      </w:pPr>
      <w:r w:rsidRPr="005170EA">
        <w:rPr>
          <w:rFonts w:ascii="Palatino Linotype" w:hAnsi="Palatino Linotype" w:cs="Tahoma"/>
          <w:b/>
          <w:bCs/>
          <w:iCs/>
          <w:sz w:val="22"/>
          <w:szCs w:val="22"/>
        </w:rPr>
        <w:t>C</w:t>
      </w:r>
      <w:r w:rsidRPr="005170EA">
        <w:rPr>
          <w:rFonts w:ascii="Palatino Linotype" w:hAnsi="Palatino Linotype" w:cs="Tahoma"/>
          <w:b/>
          <w:bCs/>
          <w:iCs/>
          <w:sz w:val="22"/>
          <w:szCs w:val="22"/>
          <w:lang w:val="es-ES_tradnl"/>
        </w:rPr>
        <w:t>lave Única de Registro de Población (CURP)</w:t>
      </w:r>
    </w:p>
    <w:p w14:paraId="152964E0" w14:textId="77777777" w:rsidR="0044040A" w:rsidRPr="005170EA" w:rsidRDefault="0044040A" w:rsidP="0044040A">
      <w:pPr>
        <w:spacing w:line="360" w:lineRule="auto"/>
        <w:jc w:val="both"/>
        <w:rPr>
          <w:rFonts w:ascii="Palatino Linotype" w:hAnsi="Palatino Linotype" w:cs="Tahoma"/>
          <w:b/>
          <w:bCs/>
          <w:iCs/>
          <w:sz w:val="22"/>
          <w:szCs w:val="22"/>
          <w:lang w:val="es-ES_tradnl"/>
        </w:rPr>
      </w:pPr>
    </w:p>
    <w:p w14:paraId="700F8F42"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FF7C56C" w14:textId="77777777" w:rsidR="0044040A" w:rsidRPr="005170EA" w:rsidRDefault="0044040A" w:rsidP="0044040A">
      <w:pPr>
        <w:spacing w:line="360" w:lineRule="auto"/>
        <w:jc w:val="both"/>
        <w:rPr>
          <w:rFonts w:ascii="Palatino Linotype" w:hAnsi="Palatino Linotype" w:cs="Tahoma"/>
          <w:bCs/>
          <w:iCs/>
          <w:sz w:val="22"/>
          <w:szCs w:val="22"/>
        </w:rPr>
      </w:pPr>
    </w:p>
    <w:p w14:paraId="7F5D902E"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3712DA5" w14:textId="77777777" w:rsidR="0044040A" w:rsidRPr="005170EA" w:rsidRDefault="0044040A" w:rsidP="0044040A">
      <w:pPr>
        <w:spacing w:line="360" w:lineRule="auto"/>
        <w:jc w:val="both"/>
        <w:rPr>
          <w:rFonts w:ascii="Palatino Linotype" w:hAnsi="Palatino Linotype" w:cs="Tahoma"/>
          <w:bCs/>
          <w:iCs/>
          <w:sz w:val="22"/>
          <w:szCs w:val="22"/>
        </w:rPr>
      </w:pPr>
    </w:p>
    <w:p w14:paraId="67F0F35F"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En ese orden de ideas, la Secretaría de Gobernación en las direcciones </w:t>
      </w:r>
      <w:hyperlink r:id="rId14" w:history="1">
        <w:r w:rsidRPr="005170EA">
          <w:rPr>
            <w:rStyle w:val="Hipervnculo"/>
            <w:rFonts w:ascii="Palatino Linotype" w:hAnsi="Palatino Linotype" w:cs="Tahoma"/>
            <w:bCs/>
            <w:iCs/>
            <w:sz w:val="22"/>
            <w:szCs w:val="22"/>
          </w:rPr>
          <w:t>https://consultas.curp.gob.mx/CurpSP/html/informacionecurpPS.html</w:t>
        </w:r>
      </w:hyperlink>
      <w:r w:rsidRPr="005170EA">
        <w:rPr>
          <w:rFonts w:ascii="Palatino Linotype" w:hAnsi="Palatino Linotype" w:cs="Tahoma"/>
          <w:bCs/>
          <w:iCs/>
          <w:sz w:val="22"/>
          <w:szCs w:val="22"/>
        </w:rPr>
        <w:t xml:space="preserve"> y </w:t>
      </w:r>
      <w:hyperlink r:id="rId15" w:history="1">
        <w:r w:rsidRPr="005170EA">
          <w:rPr>
            <w:rStyle w:val="Hipervnculo"/>
            <w:rFonts w:ascii="Palatino Linotype" w:hAnsi="Palatino Linotype" w:cs="Tahoma"/>
            <w:bCs/>
            <w:iCs/>
            <w:sz w:val="22"/>
            <w:szCs w:val="22"/>
          </w:rPr>
          <w:t>https://www.gob.mx/segob/renapo/acciones-y-programas/clave-unica-de-registro-de-poblacion-curp-142226</w:t>
        </w:r>
      </w:hyperlink>
      <w:r w:rsidRPr="005170EA">
        <w:rPr>
          <w:rFonts w:ascii="Palatino Linotype" w:hAnsi="Palatino Linotype" w:cs="Tahoma"/>
          <w:bCs/>
          <w:iCs/>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170EA">
        <w:rPr>
          <w:rFonts w:ascii="Palatino Linotype" w:hAnsi="Palatino Linotype" w:cs="Tahoma"/>
          <w:b/>
          <w:bCs/>
          <w:iCs/>
          <w:sz w:val="22"/>
          <w:szCs w:val="22"/>
        </w:rPr>
        <w:t xml:space="preserve">se generan a partir de los datos contenidos en el </w:t>
      </w:r>
      <w:r w:rsidRPr="005170EA">
        <w:rPr>
          <w:rFonts w:ascii="Palatino Linotype" w:hAnsi="Palatino Linotype" w:cs="Tahoma"/>
          <w:b/>
          <w:bCs/>
          <w:iCs/>
          <w:sz w:val="22"/>
          <w:szCs w:val="22"/>
        </w:rPr>
        <w:lastRenderedPageBreak/>
        <w:t>documento probatorio de la identidad</w:t>
      </w:r>
      <w:r w:rsidRPr="005170EA">
        <w:rPr>
          <w:rFonts w:ascii="Palatino Linotype" w:hAnsi="Palatino Linotype" w:cs="Tahoma"/>
          <w:bCs/>
          <w:iCs/>
          <w:sz w:val="22"/>
          <w:szCs w:val="22"/>
        </w:rPr>
        <w:t xml:space="preserve"> </w:t>
      </w:r>
      <w:r w:rsidRPr="005170EA">
        <w:rPr>
          <w:rFonts w:ascii="Palatino Linotype" w:hAnsi="Palatino Linotype" w:cs="Tahoma"/>
          <w:b/>
          <w:bCs/>
          <w:iCs/>
          <w:sz w:val="22"/>
          <w:szCs w:val="22"/>
        </w:rPr>
        <w:t xml:space="preserve">del interesado </w:t>
      </w:r>
      <w:r w:rsidRPr="005170EA">
        <w:rPr>
          <w:rFonts w:ascii="Palatino Linotype" w:hAnsi="Palatino Linotype" w:cs="Tahoma"/>
          <w:bCs/>
          <w:iCs/>
          <w:sz w:val="22"/>
          <w:szCs w:val="22"/>
        </w:rPr>
        <w:t>(acta de nacimiento, carta de naturalización o documento migratorio) de la siguiente forma:</w:t>
      </w:r>
    </w:p>
    <w:p w14:paraId="21B57AF3" w14:textId="77777777" w:rsidR="0044040A" w:rsidRPr="005170EA" w:rsidRDefault="0044040A" w:rsidP="0044040A">
      <w:pPr>
        <w:spacing w:line="360" w:lineRule="auto"/>
        <w:jc w:val="both"/>
        <w:rPr>
          <w:rFonts w:ascii="Palatino Linotype" w:hAnsi="Palatino Linotype" w:cs="Tahoma"/>
          <w:bCs/>
          <w:iCs/>
          <w:sz w:val="22"/>
          <w:szCs w:val="22"/>
        </w:rPr>
      </w:pPr>
    </w:p>
    <w:p w14:paraId="4A3A8448" w14:textId="77777777" w:rsidR="0044040A" w:rsidRPr="005170EA" w:rsidRDefault="0044040A" w:rsidP="0044040A">
      <w:pPr>
        <w:numPr>
          <w:ilvl w:val="0"/>
          <w:numId w:val="2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primero y segundo apellidos, así como al nombre de pila;</w:t>
      </w:r>
    </w:p>
    <w:p w14:paraId="41F1AD5A" w14:textId="77777777" w:rsidR="0044040A" w:rsidRPr="005170EA" w:rsidRDefault="0044040A" w:rsidP="0044040A">
      <w:pPr>
        <w:numPr>
          <w:ilvl w:val="0"/>
          <w:numId w:val="2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La fecha de nacimiento;</w:t>
      </w:r>
    </w:p>
    <w:p w14:paraId="6F941E73" w14:textId="77777777" w:rsidR="0044040A" w:rsidRPr="005170EA" w:rsidRDefault="0044040A" w:rsidP="0044040A">
      <w:pPr>
        <w:numPr>
          <w:ilvl w:val="0"/>
          <w:numId w:val="2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sexo, y</w:t>
      </w:r>
    </w:p>
    <w:p w14:paraId="206109EE" w14:textId="77777777" w:rsidR="0044040A" w:rsidRPr="005170EA" w:rsidRDefault="0044040A" w:rsidP="0044040A">
      <w:pPr>
        <w:numPr>
          <w:ilvl w:val="0"/>
          <w:numId w:val="2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La entidad federativa de nacimiento.</w:t>
      </w:r>
    </w:p>
    <w:p w14:paraId="45C6B585" w14:textId="77777777" w:rsidR="0044040A" w:rsidRPr="005170EA" w:rsidRDefault="0044040A" w:rsidP="0044040A">
      <w:pPr>
        <w:spacing w:line="360" w:lineRule="auto"/>
        <w:jc w:val="both"/>
        <w:rPr>
          <w:rFonts w:ascii="Palatino Linotype" w:hAnsi="Palatino Linotype" w:cs="Tahoma"/>
          <w:bCs/>
          <w:iCs/>
          <w:sz w:val="22"/>
          <w:szCs w:val="22"/>
        </w:rPr>
      </w:pPr>
    </w:p>
    <w:p w14:paraId="732E82C9"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Los dos últimos elementos de la Clave Única de Registro de Población evitan la duplicidad de la Clave y garantizan su correcta integración.</w:t>
      </w:r>
    </w:p>
    <w:p w14:paraId="5A5C4032" w14:textId="77777777" w:rsidR="0044040A" w:rsidRPr="005170EA" w:rsidRDefault="0044040A" w:rsidP="0044040A">
      <w:pPr>
        <w:spacing w:line="360" w:lineRule="auto"/>
        <w:jc w:val="both"/>
        <w:rPr>
          <w:rFonts w:ascii="Palatino Linotype" w:hAnsi="Palatino Linotype" w:cs="Tahoma"/>
          <w:bCs/>
          <w:iCs/>
          <w:sz w:val="22"/>
          <w:szCs w:val="22"/>
        </w:rPr>
      </w:pPr>
    </w:p>
    <w:p w14:paraId="20179CA7"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4E16804" w14:textId="77777777" w:rsidR="0044040A" w:rsidRPr="005170EA" w:rsidRDefault="0044040A" w:rsidP="0044040A">
      <w:pPr>
        <w:spacing w:line="360" w:lineRule="auto"/>
        <w:jc w:val="both"/>
        <w:rPr>
          <w:rFonts w:ascii="Palatino Linotype" w:hAnsi="Palatino Linotype" w:cs="Tahoma"/>
          <w:bCs/>
          <w:iCs/>
          <w:sz w:val="22"/>
          <w:szCs w:val="22"/>
        </w:rPr>
      </w:pPr>
    </w:p>
    <w:p w14:paraId="166047E2"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Situación que se robustece, con el Criterio de interpretación, con clave de control SO/018/2017, emitido por el Instituto Nacional de Transparencia, Acceso a la Información y Protección de Datos Personales, que establece lo siguiente:</w:t>
      </w:r>
    </w:p>
    <w:p w14:paraId="06B26832" w14:textId="77777777" w:rsidR="0044040A" w:rsidRPr="005170EA" w:rsidRDefault="0044040A" w:rsidP="0044040A">
      <w:pPr>
        <w:spacing w:line="360" w:lineRule="auto"/>
        <w:jc w:val="both"/>
        <w:rPr>
          <w:rFonts w:ascii="Palatino Linotype" w:hAnsi="Palatino Linotype" w:cs="Tahoma"/>
          <w:bCs/>
          <w:iCs/>
          <w:sz w:val="22"/>
          <w:szCs w:val="22"/>
        </w:rPr>
      </w:pPr>
    </w:p>
    <w:p w14:paraId="0553F765" w14:textId="77777777" w:rsidR="0044040A" w:rsidRPr="005170EA" w:rsidRDefault="0044040A" w:rsidP="0044040A">
      <w:pPr>
        <w:spacing w:line="360" w:lineRule="auto"/>
        <w:ind w:left="567" w:right="539"/>
        <w:jc w:val="both"/>
        <w:rPr>
          <w:rFonts w:ascii="Palatino Linotype" w:hAnsi="Palatino Linotype" w:cs="Tahoma"/>
          <w:bCs/>
          <w:i/>
          <w:iCs/>
        </w:rPr>
      </w:pPr>
      <w:r w:rsidRPr="005170EA">
        <w:rPr>
          <w:rFonts w:ascii="Palatino Linotype" w:hAnsi="Palatino Linotype" w:cs="Tahoma"/>
          <w:b/>
          <w:bCs/>
          <w:i/>
          <w:iCs/>
        </w:rPr>
        <w:t xml:space="preserve">“Clave Única de Registro de Población (CURP). </w:t>
      </w:r>
      <w:r w:rsidRPr="005170EA">
        <w:rPr>
          <w:rFonts w:ascii="Palatino Linotype"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w:t>
      </w:r>
      <w:r w:rsidRPr="005170EA">
        <w:rPr>
          <w:rFonts w:ascii="Palatino Linotype" w:hAnsi="Palatino Linotype" w:cs="Tahoma"/>
          <w:bCs/>
          <w:i/>
          <w:iCs/>
        </w:rPr>
        <w:lastRenderedPageBreak/>
        <w:t xml:space="preserve">información que distingue plenamente a una persona física del resto de los habitantes del país, por lo que la CURP está considerada como información confidencial.” </w:t>
      </w:r>
    </w:p>
    <w:p w14:paraId="01469E22" w14:textId="77777777" w:rsidR="0044040A" w:rsidRPr="005170EA" w:rsidRDefault="0044040A" w:rsidP="0044040A">
      <w:pPr>
        <w:spacing w:line="360" w:lineRule="auto"/>
        <w:jc w:val="both"/>
        <w:rPr>
          <w:rFonts w:ascii="Palatino Linotype" w:hAnsi="Palatino Linotype" w:cs="Tahoma"/>
          <w:bCs/>
          <w:i/>
          <w:iCs/>
          <w:sz w:val="22"/>
          <w:szCs w:val="22"/>
        </w:rPr>
      </w:pPr>
    </w:p>
    <w:p w14:paraId="0D2D39EC"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1B13D5B9" w14:textId="77777777" w:rsidR="0044040A" w:rsidRPr="005170EA" w:rsidRDefault="0044040A" w:rsidP="0044040A">
      <w:pPr>
        <w:spacing w:line="360" w:lineRule="auto"/>
        <w:jc w:val="both"/>
        <w:rPr>
          <w:rFonts w:ascii="Palatino Linotype" w:hAnsi="Palatino Linotype" w:cs="Tahoma"/>
          <w:bCs/>
          <w:iCs/>
          <w:sz w:val="22"/>
          <w:szCs w:val="22"/>
        </w:rPr>
      </w:pPr>
    </w:p>
    <w:p w14:paraId="62FAE805"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En razón de lo anterior, se considera que el Sujeto Obligado se encuentra constreñido a proporcionar los documentos, en versión pública, para el caso de que contengan información confidencial; respecto a lo anterior, el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A3E6CA" w14:textId="77777777" w:rsidR="0044040A" w:rsidRPr="005170EA" w:rsidRDefault="0044040A" w:rsidP="0044040A">
      <w:pPr>
        <w:spacing w:line="360" w:lineRule="auto"/>
        <w:jc w:val="both"/>
        <w:rPr>
          <w:rFonts w:ascii="Palatino Linotype" w:hAnsi="Palatino Linotype" w:cs="Tahoma"/>
          <w:bCs/>
          <w:iCs/>
          <w:sz w:val="22"/>
          <w:szCs w:val="22"/>
        </w:rPr>
      </w:pPr>
    </w:p>
    <w:p w14:paraId="00D9A2D0" w14:textId="77777777" w:rsidR="0044040A" w:rsidRPr="005170EA" w:rsidRDefault="0044040A" w:rsidP="0044040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 con su respectiva prueba de daño y en términos de los Lineamientos Generales.</w:t>
      </w:r>
    </w:p>
    <w:p w14:paraId="3847A75B" w14:textId="77777777" w:rsidR="0044040A" w:rsidRPr="005170EA" w:rsidRDefault="0044040A" w:rsidP="0044040A">
      <w:pPr>
        <w:spacing w:line="360" w:lineRule="auto"/>
        <w:jc w:val="both"/>
        <w:rPr>
          <w:rFonts w:ascii="Palatino Linotype" w:hAnsi="Palatino Linotype" w:cs="Tahoma"/>
          <w:iCs/>
          <w:sz w:val="22"/>
          <w:szCs w:val="22"/>
        </w:rPr>
      </w:pPr>
    </w:p>
    <w:p w14:paraId="1DC66E03" w14:textId="77777777" w:rsidR="00DD3740" w:rsidRPr="00B829F7" w:rsidRDefault="00DD3740" w:rsidP="00DD3740">
      <w:pPr>
        <w:pStyle w:val="Ttulo2"/>
        <w:spacing w:before="0" w:line="360" w:lineRule="auto"/>
        <w:rPr>
          <w:rFonts w:ascii="Palatino Linotype" w:hAnsi="Palatino Linotype"/>
          <w:b/>
          <w:color w:val="auto"/>
          <w:sz w:val="22"/>
          <w:szCs w:val="22"/>
        </w:rPr>
      </w:pPr>
      <w:bookmarkStart w:id="25" w:name="_Toc190857068"/>
      <w:bookmarkStart w:id="26" w:name="_Toc205307000"/>
      <w:r w:rsidRPr="00B829F7">
        <w:rPr>
          <w:rFonts w:ascii="Palatino Linotype" w:hAnsi="Palatino Linotype"/>
          <w:b/>
          <w:color w:val="auto"/>
          <w:sz w:val="22"/>
          <w:szCs w:val="22"/>
        </w:rPr>
        <w:t>SEXTO. Decisión</w:t>
      </w:r>
      <w:bookmarkEnd w:id="25"/>
      <w:bookmarkEnd w:id="26"/>
    </w:p>
    <w:p w14:paraId="60773E0F" w14:textId="77777777" w:rsidR="00DD3740" w:rsidRPr="00B829F7" w:rsidRDefault="00DD3740" w:rsidP="00DD3740">
      <w:pPr>
        <w:spacing w:line="360" w:lineRule="auto"/>
        <w:ind w:right="-93"/>
        <w:jc w:val="both"/>
        <w:rPr>
          <w:rFonts w:ascii="Palatino Linotype" w:hAnsi="Palatino Linotype" w:cs="Tahoma"/>
          <w:b/>
          <w:sz w:val="22"/>
          <w:szCs w:val="22"/>
        </w:rPr>
      </w:pPr>
    </w:p>
    <w:p w14:paraId="59949E8A" w14:textId="2888887A" w:rsidR="00DD3740" w:rsidRPr="00FB571A" w:rsidRDefault="00DD3740" w:rsidP="00DD3740">
      <w:pPr>
        <w:spacing w:line="360" w:lineRule="auto"/>
        <w:ind w:right="-93"/>
        <w:jc w:val="both"/>
        <w:rPr>
          <w:rFonts w:ascii="Palatino Linotype" w:hAnsi="Palatino Linotype" w:cs="Tahoma"/>
          <w:sz w:val="22"/>
          <w:szCs w:val="22"/>
        </w:rPr>
      </w:pPr>
      <w:r w:rsidRPr="00B829F7">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Pr="00B829F7">
        <w:rPr>
          <w:rFonts w:ascii="Palatino Linotype" w:hAnsi="Palatino Linotype" w:cs="Tahoma"/>
          <w:b/>
          <w:sz w:val="22"/>
          <w:szCs w:val="22"/>
        </w:rPr>
        <w:t xml:space="preserve">REVOCAR </w:t>
      </w:r>
      <w:r w:rsidRPr="00B829F7">
        <w:rPr>
          <w:rFonts w:ascii="Palatino Linotype" w:hAnsi="Palatino Linotype" w:cs="Tahoma"/>
          <w:sz w:val="22"/>
          <w:szCs w:val="22"/>
        </w:rPr>
        <w:t>la respuesta otorgada por el</w:t>
      </w:r>
      <w:r w:rsidRPr="00FB571A">
        <w:rPr>
          <w:rFonts w:ascii="Palatino Linotype" w:hAnsi="Palatino Linotype" w:cs="Tahoma"/>
          <w:sz w:val="22"/>
          <w:szCs w:val="22"/>
        </w:rPr>
        <w:t xml:space="preserve"> Sujeto Obligado a la solicitud de información </w:t>
      </w:r>
      <w:r w:rsidR="00B829F7" w:rsidRPr="00B829F7">
        <w:rPr>
          <w:rFonts w:ascii="Palatino Linotype" w:hAnsi="Palatino Linotype" w:cs="Tahoma"/>
          <w:b/>
          <w:bCs/>
          <w:sz w:val="22"/>
          <w:szCs w:val="22"/>
        </w:rPr>
        <w:t>00028/DIFCAPULHUAC/IP/2025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B829F7">
        <w:rPr>
          <w:rFonts w:ascii="Palatino Linotype" w:hAnsi="Palatino Linotype" w:cs="Tahoma"/>
          <w:b/>
          <w:sz w:val="22"/>
          <w:szCs w:val="22"/>
        </w:rPr>
        <w:t>12081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3592ECD9" w14:textId="77777777" w:rsidR="00DD3740" w:rsidRPr="00FB571A" w:rsidRDefault="00DD3740" w:rsidP="00DD3740">
      <w:pPr>
        <w:spacing w:line="360" w:lineRule="auto"/>
        <w:ind w:right="-93"/>
        <w:jc w:val="both"/>
        <w:rPr>
          <w:rFonts w:ascii="Palatino Linotype" w:eastAsia="Palatino Linotype" w:hAnsi="Palatino Linotype" w:cs="Palatino Linotype"/>
          <w:sz w:val="22"/>
          <w:szCs w:val="22"/>
        </w:rPr>
      </w:pPr>
    </w:p>
    <w:p w14:paraId="60951D11" w14:textId="77777777" w:rsidR="00DD3740" w:rsidRPr="00FB571A" w:rsidRDefault="00DD3740" w:rsidP="00DD3740">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53890604" w14:textId="77777777" w:rsidR="00DD3740" w:rsidRPr="00FB571A" w:rsidRDefault="00DD3740" w:rsidP="00DD3740">
      <w:pPr>
        <w:spacing w:line="360" w:lineRule="auto"/>
        <w:jc w:val="both"/>
        <w:rPr>
          <w:rFonts w:ascii="Palatino Linotype" w:eastAsia="Calibri" w:hAnsi="Palatino Linotype" w:cs="Tahoma"/>
          <w:iCs/>
          <w:sz w:val="22"/>
          <w:szCs w:val="22"/>
          <w:lang w:eastAsia="es-ES_tradnl"/>
        </w:rPr>
      </w:pPr>
    </w:p>
    <w:p w14:paraId="4AB8B66C" w14:textId="77777777" w:rsidR="00DD3740" w:rsidRDefault="00DD3740" w:rsidP="00DD3740">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revocar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 xml:space="preserve">no entregó los documentos que son de su interés, por lo que lo procedente es ordenar su entrega. </w:t>
      </w:r>
    </w:p>
    <w:p w14:paraId="2B3B2773" w14:textId="77777777" w:rsidR="00DD3740" w:rsidRPr="00FB571A" w:rsidRDefault="00DD3740" w:rsidP="00DD3740">
      <w:pPr>
        <w:spacing w:line="360" w:lineRule="auto"/>
        <w:jc w:val="both"/>
        <w:rPr>
          <w:rFonts w:ascii="Palatino Linotype" w:hAnsi="Palatino Linotype" w:cs="Tahoma"/>
          <w:bCs/>
          <w:sz w:val="22"/>
          <w:szCs w:val="22"/>
          <w:u w:val="single"/>
        </w:rPr>
      </w:pPr>
    </w:p>
    <w:p w14:paraId="176534EE" w14:textId="77777777" w:rsidR="00DD3740" w:rsidRDefault="00DD3740" w:rsidP="00DD3740">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0AC533F" w14:textId="18E873C2" w:rsidR="00DD3740" w:rsidRDefault="00DD3740" w:rsidP="00DD3740">
      <w:pPr>
        <w:spacing w:line="360" w:lineRule="auto"/>
        <w:ind w:right="-93"/>
        <w:jc w:val="both"/>
        <w:rPr>
          <w:rFonts w:ascii="Palatino Linotype" w:hAnsi="Palatino Linotype" w:cs="Tahoma"/>
          <w:bCs/>
          <w:sz w:val="22"/>
          <w:szCs w:val="22"/>
          <w:u w:val="single"/>
        </w:rPr>
      </w:pPr>
    </w:p>
    <w:p w14:paraId="28AD9F3D" w14:textId="27C29EC2" w:rsidR="00B829F7" w:rsidRDefault="00B829F7" w:rsidP="00DD3740">
      <w:pPr>
        <w:spacing w:line="360" w:lineRule="auto"/>
        <w:ind w:right="-93"/>
        <w:jc w:val="both"/>
        <w:rPr>
          <w:rFonts w:ascii="Palatino Linotype" w:hAnsi="Palatino Linotype" w:cs="Tahoma"/>
          <w:bCs/>
          <w:sz w:val="22"/>
          <w:szCs w:val="22"/>
          <w:u w:val="single"/>
        </w:rPr>
      </w:pPr>
    </w:p>
    <w:p w14:paraId="705149C5" w14:textId="77777777" w:rsidR="00B829F7" w:rsidRPr="00FB571A" w:rsidRDefault="00B829F7" w:rsidP="00DD3740">
      <w:pPr>
        <w:spacing w:line="360" w:lineRule="auto"/>
        <w:ind w:right="-93"/>
        <w:jc w:val="both"/>
        <w:rPr>
          <w:rFonts w:ascii="Palatino Linotype" w:hAnsi="Palatino Linotype" w:cs="Tahoma"/>
          <w:bCs/>
          <w:sz w:val="22"/>
          <w:szCs w:val="22"/>
          <w:u w:val="single"/>
        </w:rPr>
      </w:pPr>
    </w:p>
    <w:p w14:paraId="0E0267FD" w14:textId="77777777" w:rsidR="00DD3740" w:rsidRPr="00FB571A" w:rsidRDefault="00DD3740" w:rsidP="00DD3740">
      <w:pPr>
        <w:pStyle w:val="Ttulo1"/>
        <w:spacing w:before="0" w:line="360" w:lineRule="auto"/>
        <w:jc w:val="center"/>
        <w:rPr>
          <w:rFonts w:ascii="Palatino Linotype" w:eastAsia="Calibri" w:hAnsi="Palatino Linotype"/>
          <w:b/>
          <w:color w:val="auto"/>
          <w:sz w:val="22"/>
          <w:szCs w:val="22"/>
          <w:lang w:eastAsia="en-US"/>
        </w:rPr>
      </w:pPr>
      <w:bookmarkStart w:id="27" w:name="_Toc190857069"/>
      <w:bookmarkStart w:id="28" w:name="_Toc205307001"/>
      <w:r w:rsidRPr="00FB571A">
        <w:rPr>
          <w:rFonts w:ascii="Palatino Linotype" w:eastAsia="Calibri" w:hAnsi="Palatino Linotype"/>
          <w:b/>
          <w:color w:val="auto"/>
          <w:sz w:val="22"/>
          <w:szCs w:val="22"/>
          <w:lang w:eastAsia="en-US"/>
        </w:rPr>
        <w:t>R E S U E L V E</w:t>
      </w:r>
      <w:bookmarkEnd w:id="27"/>
      <w:bookmarkEnd w:id="28"/>
    </w:p>
    <w:p w14:paraId="0D5C0F0F" w14:textId="77777777" w:rsidR="00DD3740" w:rsidRPr="00FB571A" w:rsidRDefault="00DD3740" w:rsidP="00DD3740">
      <w:pPr>
        <w:spacing w:line="360" w:lineRule="auto"/>
        <w:jc w:val="both"/>
        <w:rPr>
          <w:rFonts w:ascii="Palatino Linotype" w:hAnsi="Palatino Linotype" w:cs="Tahoma"/>
          <w:b/>
          <w:bCs/>
          <w:sz w:val="22"/>
          <w:szCs w:val="22"/>
        </w:rPr>
      </w:pPr>
    </w:p>
    <w:p w14:paraId="1FBA6421" w14:textId="47A1354B" w:rsidR="00DD3740" w:rsidRDefault="00DD3740" w:rsidP="00DD3740">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Pr>
          <w:rFonts w:ascii="Palatino Linotype" w:hAnsi="Palatino Linotype" w:cs="Tahoma"/>
          <w:b/>
          <w:bCs/>
          <w:sz w:val="22"/>
          <w:szCs w:val="22"/>
        </w:rPr>
        <w:t>REVOCA</w:t>
      </w:r>
      <w:r w:rsidRPr="00FB571A">
        <w:rPr>
          <w:rFonts w:ascii="Palatino Linotype" w:hAnsi="Palatino Linotype" w:cs="Tahoma"/>
          <w:bCs/>
          <w:sz w:val="22"/>
          <w:szCs w:val="22"/>
        </w:rPr>
        <w:t xml:space="preserve"> la respuesta entregada por el </w:t>
      </w:r>
      <w:r w:rsidR="00030981">
        <w:rPr>
          <w:rFonts w:ascii="Palatino Linotype" w:hAnsi="Palatino Linotype" w:cs="Tahoma"/>
          <w:sz w:val="22"/>
          <w:szCs w:val="22"/>
        </w:rPr>
        <w:t>Sistema Municipal para el Desarrollo Integral de la Familia de Capulhuac</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B829F7" w:rsidRPr="00B829F7">
        <w:rPr>
          <w:rFonts w:ascii="Palatino Linotype" w:hAnsi="Palatino Linotype"/>
          <w:sz w:val="22"/>
          <w:szCs w:val="22"/>
        </w:rPr>
        <w:t>00028/DIFCAPULHUAC/IP/2025</w:t>
      </w:r>
      <w:r w:rsidR="00B829F7">
        <w:rPr>
          <w:rFonts w:ascii="Palatino Linotype" w:hAnsi="Palatino Linotype"/>
          <w:sz w:val="22"/>
          <w:szCs w:val="22"/>
        </w:rPr>
        <w:t xml:space="preserve"> </w:t>
      </w:r>
      <w:r w:rsidRPr="00BC0E4B">
        <w:rPr>
          <w:rFonts w:ascii="Palatino Linotype" w:hAnsi="Palatino Linotype"/>
          <w:sz w:val="22"/>
          <w:szCs w:val="22"/>
        </w:rPr>
        <w:t>p</w:t>
      </w:r>
      <w:r w:rsidRPr="00FB571A">
        <w:rPr>
          <w:rFonts w:ascii="Palatino Linotype" w:hAnsi="Palatino Linotype"/>
          <w:bCs/>
          <w:sz w:val="22"/>
          <w:szCs w:val="22"/>
        </w:rPr>
        <w:t>or resultar</w:t>
      </w:r>
      <w:r>
        <w:rPr>
          <w:rFonts w:ascii="Palatino Linotype" w:hAnsi="Palatino Linotype"/>
          <w:bCs/>
          <w:sz w:val="22"/>
          <w:szCs w:val="22"/>
        </w:rPr>
        <w:t xml:space="preserv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B829F7">
        <w:rPr>
          <w:rFonts w:ascii="Palatino Linotype" w:hAnsi="Palatino Linotype" w:cs="Tahoma"/>
          <w:b/>
          <w:bCs/>
          <w:color w:val="0D0D0D" w:themeColor="text1" w:themeTint="F2"/>
          <w:sz w:val="22"/>
          <w:szCs w:val="22"/>
        </w:rPr>
        <w:lastRenderedPageBreak/>
        <w:t>12081</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4CA009DF" w14:textId="77777777" w:rsidR="00DD3740" w:rsidRPr="00FB571A" w:rsidRDefault="00DD3740" w:rsidP="00DD3740">
      <w:pPr>
        <w:spacing w:line="360" w:lineRule="auto"/>
        <w:contextualSpacing/>
        <w:jc w:val="both"/>
        <w:rPr>
          <w:rFonts w:ascii="Palatino Linotype" w:eastAsia="Calibri" w:hAnsi="Palatino Linotype" w:cs="Tahoma"/>
          <w:bCs/>
          <w:sz w:val="22"/>
          <w:szCs w:val="22"/>
          <w:lang w:eastAsia="en-US"/>
        </w:rPr>
      </w:pPr>
    </w:p>
    <w:p w14:paraId="32A79F95" w14:textId="0055672C" w:rsidR="00DD3740" w:rsidRDefault="00DD3740" w:rsidP="00DD3740">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030981">
        <w:rPr>
          <w:rFonts w:ascii="Palatino Linotype" w:eastAsia="Calibri" w:hAnsi="Palatino Linotype" w:cs="Tahoma"/>
          <w:sz w:val="22"/>
          <w:szCs w:val="22"/>
          <w:lang w:eastAsia="en-US"/>
        </w:rPr>
        <w:t>Sistema Municipal para el Desarrollo Integral de la Familia de Capulhuac</w:t>
      </w:r>
      <w:r w:rsidRPr="00FB571A">
        <w:rPr>
          <w:rFonts w:ascii="Palatino Linotype" w:hAnsi="Palatino Linotype" w:cs="Tahoma"/>
          <w:sz w:val="22"/>
          <w:szCs w:val="22"/>
        </w:rPr>
        <w:t>, a efecto de que</w:t>
      </w:r>
      <w:r>
        <w:rPr>
          <w:rFonts w:ascii="Palatino Linotype" w:hAnsi="Palatino Linotype" w:cs="Tahoma"/>
          <w:sz w:val="22"/>
          <w:szCs w:val="22"/>
        </w:rPr>
        <w:t xml:space="preserve"> previa búsqueda exhaustiva y razonable</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de ser procedente en versión pública, los documentos en donde conste</w:t>
      </w:r>
      <w:r w:rsidR="00B829F7">
        <w:rPr>
          <w:rFonts w:ascii="Palatino Linotype" w:hAnsi="Palatino Linotype" w:cs="Arial"/>
          <w:sz w:val="22"/>
          <w:szCs w:val="22"/>
          <w:lang w:val="es-ES"/>
        </w:rPr>
        <w:t>n los apoyos alimentarios entregados</w:t>
      </w:r>
      <w:r w:rsidR="00030981">
        <w:rPr>
          <w:rFonts w:ascii="Palatino Linotype" w:hAnsi="Palatino Linotype" w:cs="Arial"/>
          <w:sz w:val="22"/>
          <w:szCs w:val="22"/>
          <w:lang w:val="es-ES"/>
        </w:rPr>
        <w:t xml:space="preserve"> mensualmente,</w:t>
      </w:r>
      <w:r w:rsidR="00B829F7">
        <w:rPr>
          <w:rFonts w:ascii="Palatino Linotype" w:hAnsi="Palatino Linotype" w:cs="Arial"/>
          <w:sz w:val="22"/>
          <w:szCs w:val="22"/>
          <w:lang w:val="es-ES"/>
        </w:rPr>
        <w:t xml:space="preserve"> del diez de octubre de dos mil veinticuatro al diez de octubre de dos mil veinticinco.</w:t>
      </w:r>
    </w:p>
    <w:p w14:paraId="63A1DC5C" w14:textId="77777777" w:rsidR="00DD3740" w:rsidRDefault="00DD3740" w:rsidP="00DD3740">
      <w:pPr>
        <w:spacing w:line="360" w:lineRule="auto"/>
        <w:ind w:right="-93"/>
        <w:jc w:val="both"/>
        <w:rPr>
          <w:rFonts w:ascii="Palatino Linotype" w:hAnsi="Palatino Linotype" w:cs="Arial"/>
          <w:sz w:val="22"/>
          <w:szCs w:val="22"/>
          <w:lang w:val="es-ES"/>
        </w:rPr>
      </w:pPr>
    </w:p>
    <w:p w14:paraId="538FAF54" w14:textId="77777777" w:rsidR="00DD3740" w:rsidRPr="0012359E" w:rsidRDefault="00DD3740" w:rsidP="00DD3740">
      <w:pPr>
        <w:spacing w:line="360" w:lineRule="auto"/>
        <w:ind w:right="-93"/>
        <w:jc w:val="both"/>
        <w:rPr>
          <w:rFonts w:ascii="Palatino Linotype" w:eastAsia="Calibri" w:hAnsi="Palatino Linotype" w:cs="Tahoma"/>
          <w:bCs/>
          <w:iCs/>
          <w:sz w:val="22"/>
          <w:szCs w:val="22"/>
          <w:lang w:eastAsia="en-US"/>
        </w:rPr>
      </w:pPr>
      <w:r w:rsidRPr="0012359E">
        <w:rPr>
          <w:rFonts w:ascii="Palatino Linotype" w:eastAsia="Calibri" w:hAnsi="Palatino Linotype" w:cs="Tahoma"/>
          <w:bCs/>
          <w:sz w:val="22"/>
          <w:szCs w:val="22"/>
          <w:lang w:eastAsia="en-US"/>
        </w:rPr>
        <w:t xml:space="preserve">Además, en su caso, </w:t>
      </w:r>
      <w:r w:rsidRPr="0012359E">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A4617A9" w14:textId="16684AEA" w:rsidR="00DD3740" w:rsidRDefault="00DD3740" w:rsidP="00DD3740">
      <w:pPr>
        <w:spacing w:line="360" w:lineRule="auto"/>
        <w:ind w:right="-93"/>
        <w:jc w:val="both"/>
        <w:rPr>
          <w:rFonts w:ascii="Palatino Linotype" w:eastAsia="Calibri" w:hAnsi="Palatino Linotype" w:cs="Tahoma"/>
          <w:bCs/>
          <w:iCs/>
          <w:sz w:val="22"/>
          <w:szCs w:val="22"/>
          <w:lang w:eastAsia="en-US"/>
        </w:rPr>
      </w:pPr>
    </w:p>
    <w:p w14:paraId="74A6DDB5" w14:textId="201A22C6" w:rsidR="00030981" w:rsidRDefault="00030981" w:rsidP="00DD3740">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Para el caso, de que durante todo o parte del periodo, no haya entregado apoyos alimentarios, deberá hacerlo del conocimiento de la parte Recurrente, de manera clara y precisa.</w:t>
      </w:r>
    </w:p>
    <w:p w14:paraId="143E6236" w14:textId="77777777" w:rsidR="00030981" w:rsidRDefault="00030981" w:rsidP="00DD3740">
      <w:pPr>
        <w:spacing w:line="360" w:lineRule="auto"/>
        <w:ind w:right="-93"/>
        <w:jc w:val="both"/>
        <w:rPr>
          <w:rFonts w:ascii="Palatino Linotype" w:eastAsia="Calibri" w:hAnsi="Palatino Linotype" w:cs="Tahoma"/>
          <w:bCs/>
          <w:iCs/>
          <w:sz w:val="22"/>
          <w:szCs w:val="22"/>
          <w:lang w:eastAsia="en-US"/>
        </w:rPr>
      </w:pPr>
    </w:p>
    <w:p w14:paraId="7E0688AE" w14:textId="77777777" w:rsidR="00DD3740" w:rsidRPr="00FB571A" w:rsidRDefault="00DD3740" w:rsidP="00DD3740">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5BB676B1" w14:textId="77777777" w:rsidR="00DD3740" w:rsidRPr="00FB571A" w:rsidRDefault="00DD3740" w:rsidP="00DD3740">
      <w:pPr>
        <w:spacing w:line="360" w:lineRule="auto"/>
        <w:contextualSpacing/>
        <w:jc w:val="both"/>
        <w:rPr>
          <w:rFonts w:ascii="Palatino Linotype" w:hAnsi="Palatino Linotype" w:cs="Tahoma"/>
          <w:sz w:val="22"/>
          <w:szCs w:val="22"/>
        </w:rPr>
      </w:pPr>
    </w:p>
    <w:p w14:paraId="01F44B55" w14:textId="77777777" w:rsidR="00DD3740" w:rsidRPr="00FB571A" w:rsidRDefault="00DD3740" w:rsidP="00DD3740">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FAA5FE" w14:textId="77777777" w:rsidR="00DD3740" w:rsidRPr="00FB571A" w:rsidRDefault="00DD3740" w:rsidP="00DD3740">
      <w:pPr>
        <w:spacing w:line="360" w:lineRule="auto"/>
        <w:contextualSpacing/>
        <w:jc w:val="both"/>
        <w:rPr>
          <w:rFonts w:ascii="Palatino Linotype" w:eastAsia="Calibri" w:hAnsi="Palatino Linotype" w:cs="Tahoma"/>
          <w:color w:val="000000"/>
          <w:sz w:val="22"/>
          <w:szCs w:val="22"/>
          <w:lang w:val="es-ES" w:eastAsia="es-MX"/>
        </w:rPr>
      </w:pPr>
    </w:p>
    <w:p w14:paraId="11BEB7E7" w14:textId="77777777" w:rsidR="00DD3740" w:rsidRPr="00FB571A" w:rsidRDefault="00DD3740" w:rsidP="00DD3740">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3756F140" w14:textId="77777777" w:rsidR="00E42F9C" w:rsidRPr="00CB301F" w:rsidRDefault="00E42F9C" w:rsidP="00FF426B">
      <w:pPr>
        <w:spacing w:line="360" w:lineRule="auto"/>
        <w:jc w:val="both"/>
        <w:rPr>
          <w:rFonts w:ascii="Palatino Linotype" w:hAnsi="Palatino Linotype" w:cs="Tahoma"/>
          <w:sz w:val="22"/>
          <w:szCs w:val="22"/>
          <w:shd w:val="clear" w:color="auto" w:fill="FFFFFF"/>
        </w:rPr>
      </w:pPr>
    </w:p>
    <w:p w14:paraId="1D71EAAF" w14:textId="45CD3E97" w:rsidR="00803E3D" w:rsidRDefault="00803E3D" w:rsidP="00FF426B">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B42346">
        <w:rPr>
          <w:rFonts w:ascii="Palatino Linotype" w:hAnsi="Palatino Linotype" w:cs="Tahoma"/>
          <w:sz w:val="22"/>
          <w:szCs w:val="22"/>
          <w:lang w:eastAsia="es-MX"/>
        </w:rPr>
        <w:t>CUADRA</w:t>
      </w:r>
      <w:r w:rsidR="00D53F59">
        <w:rPr>
          <w:rFonts w:ascii="Palatino Linotype" w:hAnsi="Palatino Linotype" w:cs="Tahoma"/>
          <w:sz w:val="22"/>
          <w:szCs w:val="22"/>
          <w:lang w:eastAsia="es-MX"/>
        </w:rPr>
        <w:t xml:space="preserve">GÉSIMA </w:t>
      </w:r>
      <w:r w:rsidR="0044040A">
        <w:rPr>
          <w:rFonts w:ascii="Palatino Linotype" w:hAnsi="Palatino Linotype" w:cs="Tahoma"/>
          <w:sz w:val="22"/>
          <w:szCs w:val="22"/>
          <w:lang w:eastAsia="es-MX"/>
        </w:rPr>
        <w:t xml:space="preserve">PRIMERA </w:t>
      </w:r>
      <w:r w:rsidRPr="00CB301F">
        <w:rPr>
          <w:rFonts w:ascii="Palatino Linotype" w:hAnsi="Palatino Linotype" w:cs="Tahoma"/>
          <w:sz w:val="22"/>
          <w:szCs w:val="22"/>
          <w:lang w:eastAsia="es-MX"/>
        </w:rPr>
        <w:t xml:space="preserve">SESIÓN ORDINARIA, CELEBRADA EL </w:t>
      </w:r>
      <w:r w:rsidR="00B829F7">
        <w:rPr>
          <w:rFonts w:ascii="Palatino Linotype" w:hAnsi="Palatino Linotype" w:cs="Tahoma"/>
          <w:sz w:val="22"/>
          <w:szCs w:val="22"/>
          <w:lang w:eastAsia="es-MX"/>
        </w:rPr>
        <w:t>VEINTE</w:t>
      </w:r>
      <w:r w:rsidR="00B42346">
        <w:rPr>
          <w:rFonts w:ascii="Palatino Linotype" w:hAnsi="Palatino Linotype" w:cs="Tahoma"/>
          <w:sz w:val="22"/>
          <w:szCs w:val="22"/>
          <w:lang w:eastAsia="es-MX"/>
        </w:rPr>
        <w:t xml:space="preserve"> DE NOVIEMBRE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36450B86" w14:textId="77777777" w:rsidR="00163BAA" w:rsidRDefault="00163BAA" w:rsidP="00FF426B">
      <w:pPr>
        <w:spacing w:line="360" w:lineRule="auto"/>
        <w:contextualSpacing/>
        <w:jc w:val="both"/>
        <w:rPr>
          <w:rFonts w:ascii="Palatino Linotype" w:hAnsi="Palatino Linotype" w:cs="Tahoma"/>
          <w:sz w:val="22"/>
          <w:szCs w:val="22"/>
        </w:rPr>
      </w:pPr>
    </w:p>
    <w:p w14:paraId="11D7E641" w14:textId="77777777" w:rsidR="00163BAA" w:rsidRDefault="00163BAA" w:rsidP="00FF426B">
      <w:pPr>
        <w:spacing w:line="360" w:lineRule="auto"/>
        <w:contextualSpacing/>
        <w:jc w:val="both"/>
        <w:rPr>
          <w:rFonts w:ascii="Palatino Linotype" w:hAnsi="Palatino Linotype" w:cs="Tahoma"/>
          <w:sz w:val="22"/>
          <w:szCs w:val="22"/>
        </w:rPr>
      </w:pPr>
    </w:p>
    <w:p w14:paraId="22A90589" w14:textId="77777777" w:rsidR="0089175F" w:rsidRDefault="0089175F" w:rsidP="00FF426B">
      <w:pPr>
        <w:spacing w:line="360" w:lineRule="auto"/>
        <w:contextualSpacing/>
        <w:jc w:val="both"/>
        <w:rPr>
          <w:rFonts w:ascii="Palatino Linotype" w:hAnsi="Palatino Linotype" w:cs="Tahoma"/>
          <w:sz w:val="22"/>
          <w:szCs w:val="22"/>
        </w:rPr>
      </w:pPr>
    </w:p>
    <w:p w14:paraId="49461BE8" w14:textId="77777777" w:rsidR="0089175F" w:rsidRDefault="0089175F" w:rsidP="00FF426B">
      <w:pPr>
        <w:spacing w:line="360" w:lineRule="auto"/>
        <w:contextualSpacing/>
        <w:jc w:val="both"/>
        <w:rPr>
          <w:rFonts w:ascii="Palatino Linotype" w:hAnsi="Palatino Linotype" w:cs="Tahoma"/>
          <w:sz w:val="22"/>
          <w:szCs w:val="22"/>
        </w:rPr>
      </w:pPr>
    </w:p>
    <w:p w14:paraId="21A96388" w14:textId="77777777" w:rsidR="0089175F" w:rsidRDefault="0089175F" w:rsidP="00FF426B">
      <w:pPr>
        <w:spacing w:line="360" w:lineRule="auto"/>
        <w:contextualSpacing/>
        <w:jc w:val="both"/>
        <w:rPr>
          <w:rFonts w:ascii="Palatino Linotype" w:hAnsi="Palatino Linotype" w:cs="Tahoma"/>
          <w:sz w:val="22"/>
          <w:szCs w:val="22"/>
        </w:rPr>
      </w:pPr>
    </w:p>
    <w:p w14:paraId="7A5C207C" w14:textId="77777777" w:rsidR="0089175F" w:rsidRDefault="0089175F" w:rsidP="00FF426B">
      <w:pPr>
        <w:spacing w:line="360" w:lineRule="auto"/>
        <w:contextualSpacing/>
        <w:jc w:val="both"/>
        <w:rPr>
          <w:rFonts w:ascii="Palatino Linotype" w:hAnsi="Palatino Linotype" w:cs="Tahoma"/>
          <w:sz w:val="22"/>
          <w:szCs w:val="22"/>
        </w:rPr>
      </w:pPr>
    </w:p>
    <w:p w14:paraId="3B572B36" w14:textId="77777777" w:rsidR="001F1A77" w:rsidRDefault="001F1A77" w:rsidP="00FF426B">
      <w:pPr>
        <w:spacing w:line="360" w:lineRule="auto"/>
        <w:contextualSpacing/>
        <w:jc w:val="both"/>
        <w:rPr>
          <w:rFonts w:ascii="Palatino Linotype" w:hAnsi="Palatino Linotype" w:cs="Tahoma"/>
          <w:sz w:val="22"/>
          <w:szCs w:val="22"/>
        </w:rPr>
      </w:pPr>
    </w:p>
    <w:p w14:paraId="1A217B54" w14:textId="77777777" w:rsidR="001F1A77" w:rsidRDefault="001F1A77" w:rsidP="00FF426B">
      <w:pPr>
        <w:spacing w:line="360" w:lineRule="auto"/>
        <w:contextualSpacing/>
        <w:jc w:val="both"/>
        <w:rPr>
          <w:rFonts w:ascii="Palatino Linotype" w:hAnsi="Palatino Linotype" w:cs="Tahoma"/>
          <w:sz w:val="22"/>
          <w:szCs w:val="22"/>
        </w:rPr>
      </w:pPr>
    </w:p>
    <w:p w14:paraId="11850EA6" w14:textId="77777777" w:rsidR="000B1059" w:rsidRDefault="000B1059" w:rsidP="00FF426B">
      <w:pPr>
        <w:spacing w:line="360" w:lineRule="auto"/>
        <w:contextualSpacing/>
        <w:jc w:val="both"/>
        <w:rPr>
          <w:rFonts w:ascii="Palatino Linotype" w:hAnsi="Palatino Linotype" w:cs="Tahoma"/>
          <w:sz w:val="22"/>
          <w:szCs w:val="22"/>
        </w:rPr>
      </w:pPr>
    </w:p>
    <w:p w14:paraId="388FB492" w14:textId="77777777" w:rsidR="000B1059" w:rsidRDefault="000B1059" w:rsidP="00FF426B">
      <w:pPr>
        <w:spacing w:line="360" w:lineRule="auto"/>
        <w:contextualSpacing/>
        <w:jc w:val="both"/>
        <w:rPr>
          <w:rFonts w:ascii="Palatino Linotype" w:hAnsi="Palatino Linotype" w:cs="Tahoma"/>
          <w:sz w:val="22"/>
          <w:szCs w:val="22"/>
        </w:rPr>
      </w:pPr>
    </w:p>
    <w:p w14:paraId="7C0F1CB4" w14:textId="77777777" w:rsidR="000B1059" w:rsidRDefault="000B1059" w:rsidP="00FF426B">
      <w:pPr>
        <w:spacing w:line="360" w:lineRule="auto"/>
        <w:contextualSpacing/>
        <w:jc w:val="both"/>
        <w:rPr>
          <w:rFonts w:ascii="Palatino Linotype" w:hAnsi="Palatino Linotype" w:cs="Tahoma"/>
          <w:sz w:val="22"/>
          <w:szCs w:val="22"/>
        </w:rPr>
      </w:pPr>
    </w:p>
    <w:p w14:paraId="6ACD1329" w14:textId="77777777" w:rsidR="001F1A77" w:rsidRDefault="001F1A77" w:rsidP="00FF426B">
      <w:pPr>
        <w:spacing w:line="360" w:lineRule="auto"/>
        <w:contextualSpacing/>
        <w:jc w:val="both"/>
        <w:rPr>
          <w:rFonts w:ascii="Palatino Linotype" w:hAnsi="Palatino Linotype" w:cs="Tahoma"/>
          <w:sz w:val="22"/>
          <w:szCs w:val="22"/>
        </w:rPr>
      </w:pPr>
    </w:p>
    <w:p w14:paraId="5864E9C7" w14:textId="77777777" w:rsidR="001F1A77" w:rsidRDefault="001F1A77" w:rsidP="00FF426B">
      <w:pPr>
        <w:spacing w:line="360" w:lineRule="auto"/>
        <w:contextualSpacing/>
        <w:jc w:val="both"/>
        <w:rPr>
          <w:rFonts w:ascii="Palatino Linotype" w:hAnsi="Palatino Linotype" w:cs="Tahoma"/>
          <w:sz w:val="22"/>
          <w:szCs w:val="22"/>
        </w:rPr>
      </w:pPr>
    </w:p>
    <w:p w14:paraId="32696810" w14:textId="77777777" w:rsidR="001F1A77" w:rsidRDefault="001F1A77" w:rsidP="00FF426B">
      <w:pPr>
        <w:spacing w:line="360" w:lineRule="auto"/>
        <w:contextualSpacing/>
        <w:jc w:val="both"/>
        <w:rPr>
          <w:rFonts w:ascii="Palatino Linotype" w:hAnsi="Palatino Linotype" w:cs="Tahoma"/>
          <w:sz w:val="22"/>
          <w:szCs w:val="22"/>
        </w:rPr>
      </w:pPr>
    </w:p>
    <w:p w14:paraId="10C9EF74" w14:textId="77777777" w:rsidR="001F1A77" w:rsidRDefault="001F1A77" w:rsidP="00FF426B">
      <w:pPr>
        <w:spacing w:line="360" w:lineRule="auto"/>
        <w:contextualSpacing/>
        <w:jc w:val="both"/>
        <w:rPr>
          <w:rFonts w:ascii="Palatino Linotype" w:hAnsi="Palatino Linotype" w:cs="Tahoma"/>
          <w:sz w:val="22"/>
          <w:szCs w:val="22"/>
        </w:rPr>
      </w:pPr>
    </w:p>
    <w:p w14:paraId="2DF3ED1D" w14:textId="77777777" w:rsidR="001F1A77" w:rsidRDefault="001F1A77" w:rsidP="00FF426B">
      <w:pPr>
        <w:spacing w:line="360" w:lineRule="auto"/>
        <w:contextualSpacing/>
        <w:jc w:val="both"/>
        <w:rPr>
          <w:rFonts w:ascii="Palatino Linotype" w:hAnsi="Palatino Linotype" w:cs="Tahoma"/>
          <w:sz w:val="22"/>
          <w:szCs w:val="22"/>
        </w:rPr>
      </w:pPr>
    </w:p>
    <w:p w14:paraId="01DC3F51" w14:textId="77777777" w:rsidR="001F1A77" w:rsidRDefault="001F1A77" w:rsidP="00FF426B">
      <w:pPr>
        <w:spacing w:line="360" w:lineRule="auto"/>
        <w:contextualSpacing/>
        <w:jc w:val="both"/>
        <w:rPr>
          <w:rFonts w:ascii="Palatino Linotype" w:hAnsi="Palatino Linotype" w:cs="Tahoma"/>
          <w:sz w:val="22"/>
          <w:szCs w:val="22"/>
        </w:rPr>
      </w:pPr>
    </w:p>
    <w:p w14:paraId="7975A85D" w14:textId="77777777" w:rsidR="001F1A77" w:rsidRDefault="001F1A77" w:rsidP="00FF426B">
      <w:pPr>
        <w:spacing w:line="360" w:lineRule="auto"/>
        <w:contextualSpacing/>
        <w:jc w:val="both"/>
        <w:rPr>
          <w:rFonts w:ascii="Palatino Linotype" w:hAnsi="Palatino Linotype" w:cs="Tahoma"/>
          <w:sz w:val="22"/>
          <w:szCs w:val="22"/>
        </w:rPr>
      </w:pPr>
    </w:p>
    <w:p w14:paraId="077F5AE9"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B8E89" w14:textId="77777777" w:rsidR="005843C8" w:rsidRDefault="005843C8" w:rsidP="00B31222">
      <w:r>
        <w:separator/>
      </w:r>
    </w:p>
  </w:endnote>
  <w:endnote w:type="continuationSeparator" w:id="0">
    <w:p w14:paraId="26930A34" w14:textId="77777777" w:rsidR="005843C8" w:rsidRDefault="005843C8" w:rsidP="00B31222">
      <w:r>
        <w:continuationSeparator/>
      </w:r>
    </w:p>
  </w:endnote>
  <w:endnote w:type="continuationNotice" w:id="1">
    <w:p w14:paraId="4C79CC46" w14:textId="77777777" w:rsidR="005843C8" w:rsidRDefault="0058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8BF9686"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39C9">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39C9">
              <w:rPr>
                <w:b/>
                <w:bCs/>
                <w:noProof/>
              </w:rPr>
              <w:t>29</w:t>
            </w:r>
            <w:r>
              <w:rPr>
                <w:b/>
                <w:bCs/>
                <w:sz w:val="24"/>
                <w:szCs w:val="24"/>
              </w:rPr>
              <w:fldChar w:fldCharType="end"/>
            </w:r>
          </w:p>
        </w:sdtContent>
      </w:sdt>
    </w:sdtContent>
  </w:sdt>
  <w:p w14:paraId="38FE5764"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7195200"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39C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39C9">
              <w:rPr>
                <w:b/>
                <w:bCs/>
                <w:noProof/>
              </w:rPr>
              <w:t>29</w:t>
            </w:r>
            <w:r>
              <w:rPr>
                <w:b/>
                <w:bCs/>
                <w:sz w:val="24"/>
                <w:szCs w:val="24"/>
              </w:rPr>
              <w:fldChar w:fldCharType="end"/>
            </w:r>
          </w:p>
        </w:sdtContent>
      </w:sdt>
    </w:sdtContent>
  </w:sdt>
  <w:p w14:paraId="516BC3AF"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8DEDA" w14:textId="77777777" w:rsidR="005843C8" w:rsidRDefault="005843C8" w:rsidP="00B31222">
      <w:r>
        <w:separator/>
      </w:r>
    </w:p>
  </w:footnote>
  <w:footnote w:type="continuationSeparator" w:id="0">
    <w:p w14:paraId="4DFC7C2D" w14:textId="77777777" w:rsidR="005843C8" w:rsidRDefault="005843C8" w:rsidP="00B31222">
      <w:r>
        <w:continuationSeparator/>
      </w:r>
    </w:p>
  </w:footnote>
  <w:footnote w:type="continuationNotice" w:id="1">
    <w:p w14:paraId="0151EE31" w14:textId="77777777" w:rsidR="005843C8" w:rsidRDefault="00584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EE3C0" w14:textId="77777777" w:rsidR="00751635" w:rsidRDefault="00000000">
    <w:pPr>
      <w:pStyle w:val="Encabezado"/>
    </w:pPr>
    <w:r>
      <w:rPr>
        <w:noProof/>
        <w:lang w:eastAsia="es-MX"/>
      </w:rPr>
      <w:pict w14:anchorId="1D2D8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1EF9BD82" w14:textId="77777777" w:rsidTr="00202DB8">
      <w:trPr>
        <w:trHeight w:val="1435"/>
      </w:trPr>
      <w:tc>
        <w:tcPr>
          <w:tcW w:w="2835" w:type="dxa"/>
          <w:shd w:val="clear" w:color="auto" w:fill="auto"/>
        </w:tcPr>
        <w:p w14:paraId="242AC05D"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7861E0C" wp14:editId="6F3B9A4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72278C5" w14:textId="77777777" w:rsidR="00751635" w:rsidRDefault="0075163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14:paraId="4E2C6E1A" w14:textId="77777777" w:rsidTr="00DF3BE8">
            <w:trPr>
              <w:trHeight w:val="144"/>
            </w:trPr>
            <w:tc>
              <w:tcPr>
                <w:tcW w:w="2589" w:type="dxa"/>
              </w:tcPr>
              <w:p w14:paraId="207FCDE6"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20AAA19" w14:textId="374A5E59" w:rsidR="00751635" w:rsidRPr="00030981" w:rsidRDefault="00942F15" w:rsidP="0030566C">
                <w:pPr>
                  <w:tabs>
                    <w:tab w:val="right" w:pos="8838"/>
                  </w:tabs>
                  <w:ind w:left="-106" w:right="171"/>
                  <w:jc w:val="both"/>
                  <w:rPr>
                    <w:rFonts w:ascii="Palatino Linotype" w:eastAsia="Calibri" w:hAnsi="Palatino Linotype" w:cs="Tahoma"/>
                    <w:sz w:val="22"/>
                    <w:szCs w:val="22"/>
                    <w:lang w:eastAsia="en-US"/>
                  </w:rPr>
                </w:pPr>
                <w:r w:rsidRPr="00030981">
                  <w:rPr>
                    <w:rFonts w:ascii="Palatino Linotype" w:eastAsia="Calibri" w:hAnsi="Palatino Linotype" w:cs="Tahoma"/>
                    <w:sz w:val="22"/>
                    <w:szCs w:val="22"/>
                    <w:lang w:val="es-MX" w:eastAsia="en-US"/>
                  </w:rPr>
                  <w:t>12081</w:t>
                </w:r>
                <w:r w:rsidR="00751635" w:rsidRPr="00030981">
                  <w:rPr>
                    <w:rFonts w:ascii="Palatino Linotype" w:eastAsia="Calibri" w:hAnsi="Palatino Linotype" w:cs="Tahoma"/>
                    <w:sz w:val="22"/>
                    <w:szCs w:val="22"/>
                    <w:lang w:val="es-MX" w:eastAsia="en-US"/>
                  </w:rPr>
                  <w:t>/INFOEM/IP/RR/2025</w:t>
                </w:r>
              </w:p>
            </w:tc>
          </w:tr>
          <w:tr w:rsidR="00751635" w14:paraId="50E7961E" w14:textId="77777777" w:rsidTr="00DF3BE8">
            <w:trPr>
              <w:trHeight w:val="283"/>
            </w:trPr>
            <w:tc>
              <w:tcPr>
                <w:tcW w:w="2589" w:type="dxa"/>
              </w:tcPr>
              <w:p w14:paraId="1988C04D"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E46102F" w14:textId="70553450" w:rsidR="00751635" w:rsidRPr="005F13CF" w:rsidRDefault="00942F1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Capulhuac</w:t>
                </w:r>
              </w:p>
            </w:tc>
          </w:tr>
          <w:tr w:rsidR="00751635" w14:paraId="454F6328" w14:textId="77777777" w:rsidTr="00DF3BE8">
            <w:trPr>
              <w:trHeight w:val="283"/>
            </w:trPr>
            <w:tc>
              <w:tcPr>
                <w:tcW w:w="2589" w:type="dxa"/>
              </w:tcPr>
              <w:p w14:paraId="5F76DBD5"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DDC5989"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963D0D6"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119BBEF7"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6DE7EB68"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314EC5CE" w14:textId="77777777" w:rsidTr="003B165A">
      <w:trPr>
        <w:trHeight w:val="1435"/>
      </w:trPr>
      <w:tc>
        <w:tcPr>
          <w:tcW w:w="2835" w:type="dxa"/>
          <w:shd w:val="clear" w:color="auto" w:fill="auto"/>
        </w:tcPr>
        <w:p w14:paraId="02604D23" w14:textId="22CC45BD"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C9AB9F6" wp14:editId="2C89876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3F587B85" w14:textId="77777777" w:rsidTr="00DF3BE8">
            <w:trPr>
              <w:trHeight w:val="144"/>
            </w:trPr>
            <w:tc>
              <w:tcPr>
                <w:tcW w:w="2589" w:type="dxa"/>
              </w:tcPr>
              <w:p w14:paraId="437BE905"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3A72C3B" w14:textId="725ED9A7" w:rsidR="00751635" w:rsidRPr="00030981" w:rsidRDefault="00942F15" w:rsidP="0030566C">
                <w:pPr>
                  <w:tabs>
                    <w:tab w:val="right" w:pos="8838"/>
                  </w:tabs>
                  <w:ind w:left="-106" w:right="-105"/>
                  <w:jc w:val="both"/>
                  <w:rPr>
                    <w:rFonts w:ascii="Palatino Linotype" w:eastAsia="Calibri" w:hAnsi="Palatino Linotype" w:cs="Tahoma"/>
                    <w:sz w:val="22"/>
                    <w:szCs w:val="22"/>
                    <w:lang w:eastAsia="en-US"/>
                  </w:rPr>
                </w:pPr>
                <w:r w:rsidRPr="00030981">
                  <w:rPr>
                    <w:rFonts w:ascii="Palatino Linotype" w:eastAsia="Calibri" w:hAnsi="Palatino Linotype" w:cs="Tahoma"/>
                    <w:sz w:val="22"/>
                    <w:szCs w:val="22"/>
                    <w:lang w:val="es-MX" w:eastAsia="en-US"/>
                  </w:rPr>
                  <w:t>12081</w:t>
                </w:r>
                <w:r w:rsidR="00751635" w:rsidRPr="00030981">
                  <w:rPr>
                    <w:rFonts w:ascii="Palatino Linotype" w:eastAsia="Calibri" w:hAnsi="Palatino Linotype" w:cs="Tahoma"/>
                    <w:sz w:val="22"/>
                    <w:szCs w:val="22"/>
                    <w:lang w:val="es-MX" w:eastAsia="en-US"/>
                  </w:rPr>
                  <w:t>/INFOEM/IP/RR/2025</w:t>
                </w:r>
              </w:p>
            </w:tc>
          </w:tr>
          <w:tr w:rsidR="00751635" w:rsidRPr="00286D0C" w14:paraId="65094754" w14:textId="77777777" w:rsidTr="00DF3BE8">
            <w:trPr>
              <w:trHeight w:val="144"/>
            </w:trPr>
            <w:tc>
              <w:tcPr>
                <w:tcW w:w="2589" w:type="dxa"/>
              </w:tcPr>
              <w:p w14:paraId="40877DF9"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8F89F70" w14:textId="430C8CB0" w:rsidR="00751635" w:rsidRPr="00286D0C" w:rsidRDefault="00AB0F43" w:rsidP="005F13CF">
                <w:pPr>
                  <w:tabs>
                    <w:tab w:val="left" w:pos="3122"/>
                    <w:tab w:val="right" w:pos="8838"/>
                  </w:tabs>
                  <w:ind w:left="-106" w:right="-105"/>
                  <w:jc w:val="both"/>
                  <w:rPr>
                    <w:rFonts w:ascii="Palatino Linotype" w:eastAsia="Calibri" w:hAnsi="Palatino Linotype" w:cs="Tahoma"/>
                    <w:bCs/>
                    <w:sz w:val="22"/>
                    <w:szCs w:val="22"/>
                    <w:lang w:eastAsia="en-US"/>
                  </w:rPr>
                </w:pPr>
                <w:r w:rsidRPr="00AB0F43">
                  <w:rPr>
                    <w:rFonts w:ascii="Palatino Linotype" w:eastAsia="Calibri" w:hAnsi="Palatino Linotype" w:cs="Tahoma"/>
                    <w:bCs/>
                    <w:sz w:val="22"/>
                    <w:szCs w:val="22"/>
                    <w:highlight w:val="black"/>
                    <w:lang w:eastAsia="en-US"/>
                  </w:rPr>
                  <w:t>XXXXXXXXXXXXXXXXXXXXXXXXXXXXXXXXX</w:t>
                </w:r>
              </w:p>
            </w:tc>
          </w:tr>
          <w:tr w:rsidR="00751635" w:rsidRPr="00431A70" w14:paraId="77D06D85" w14:textId="77777777" w:rsidTr="00DF3BE8">
            <w:trPr>
              <w:trHeight w:val="283"/>
            </w:trPr>
            <w:tc>
              <w:tcPr>
                <w:tcW w:w="2589" w:type="dxa"/>
              </w:tcPr>
              <w:p w14:paraId="300251D6"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40A3CEE" w14:textId="26212BC5" w:rsidR="00751635" w:rsidRPr="005F13CF" w:rsidRDefault="00942F1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Capulhuac</w:t>
                </w:r>
              </w:p>
            </w:tc>
          </w:tr>
          <w:tr w:rsidR="00751635" w:rsidRPr="00431A70" w14:paraId="3DB4242F" w14:textId="77777777" w:rsidTr="00DF3BE8">
            <w:trPr>
              <w:trHeight w:val="283"/>
            </w:trPr>
            <w:tc>
              <w:tcPr>
                <w:tcW w:w="2589" w:type="dxa"/>
              </w:tcPr>
              <w:p w14:paraId="12067936"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D64C3B1"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2DCF278"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36072C01"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B118FC"/>
    <w:multiLevelType w:val="multilevel"/>
    <w:tmpl w:val="3C7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3"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CC7057"/>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1946923">
    <w:abstractNumId w:val="0"/>
  </w:num>
  <w:num w:numId="2" w16cid:durableId="1196037558">
    <w:abstractNumId w:val="8"/>
  </w:num>
  <w:num w:numId="3" w16cid:durableId="110244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575799">
    <w:abstractNumId w:val="2"/>
  </w:num>
  <w:num w:numId="5" w16cid:durableId="1155494699">
    <w:abstractNumId w:val="26"/>
  </w:num>
  <w:num w:numId="6" w16cid:durableId="1848210076">
    <w:abstractNumId w:val="5"/>
  </w:num>
  <w:num w:numId="7" w16cid:durableId="1029914189">
    <w:abstractNumId w:val="6"/>
  </w:num>
  <w:num w:numId="8" w16cid:durableId="2133748221">
    <w:abstractNumId w:val="17"/>
  </w:num>
  <w:num w:numId="9" w16cid:durableId="1204489294">
    <w:abstractNumId w:val="4"/>
    <w:lvlOverride w:ilvl="0">
      <w:startOverride w:val="1"/>
    </w:lvlOverride>
    <w:lvlOverride w:ilvl="1"/>
    <w:lvlOverride w:ilvl="2"/>
    <w:lvlOverride w:ilvl="3"/>
    <w:lvlOverride w:ilvl="4"/>
    <w:lvlOverride w:ilvl="5"/>
    <w:lvlOverride w:ilvl="6"/>
    <w:lvlOverride w:ilvl="7"/>
    <w:lvlOverride w:ilvl="8"/>
  </w:num>
  <w:num w:numId="10" w16cid:durableId="1087582901">
    <w:abstractNumId w:val="20"/>
    <w:lvlOverride w:ilvl="0">
      <w:startOverride w:val="1"/>
    </w:lvlOverride>
    <w:lvlOverride w:ilvl="1"/>
    <w:lvlOverride w:ilvl="2"/>
    <w:lvlOverride w:ilvl="3"/>
    <w:lvlOverride w:ilvl="4"/>
    <w:lvlOverride w:ilvl="5"/>
    <w:lvlOverride w:ilvl="6"/>
    <w:lvlOverride w:ilvl="7"/>
    <w:lvlOverride w:ilvl="8"/>
  </w:num>
  <w:num w:numId="11" w16cid:durableId="93744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713036">
    <w:abstractNumId w:val="14"/>
  </w:num>
  <w:num w:numId="13" w16cid:durableId="182063079">
    <w:abstractNumId w:val="25"/>
  </w:num>
  <w:num w:numId="14" w16cid:durableId="1412776797">
    <w:abstractNumId w:val="11"/>
  </w:num>
  <w:num w:numId="15" w16cid:durableId="1561670231">
    <w:abstractNumId w:val="12"/>
  </w:num>
  <w:num w:numId="16" w16cid:durableId="2137523878">
    <w:abstractNumId w:val="23"/>
  </w:num>
  <w:num w:numId="17" w16cid:durableId="1719813182">
    <w:abstractNumId w:val="9"/>
  </w:num>
  <w:num w:numId="18" w16cid:durableId="1344432894">
    <w:abstractNumId w:val="15"/>
  </w:num>
  <w:num w:numId="19" w16cid:durableId="45810125">
    <w:abstractNumId w:val="27"/>
  </w:num>
  <w:num w:numId="20" w16cid:durableId="57870943">
    <w:abstractNumId w:val="10"/>
  </w:num>
  <w:num w:numId="21" w16cid:durableId="1219245204">
    <w:abstractNumId w:val="22"/>
  </w:num>
  <w:num w:numId="22" w16cid:durableId="2143692385">
    <w:abstractNumId w:val="13"/>
  </w:num>
  <w:num w:numId="23" w16cid:durableId="1763256905">
    <w:abstractNumId w:val="3"/>
  </w:num>
  <w:num w:numId="24" w16cid:durableId="456413478">
    <w:abstractNumId w:val="16"/>
  </w:num>
  <w:num w:numId="25" w16cid:durableId="748037001">
    <w:abstractNumId w:val="19"/>
  </w:num>
  <w:num w:numId="26" w16cid:durableId="477845242">
    <w:abstractNumId w:val="7"/>
  </w:num>
  <w:num w:numId="27" w16cid:durableId="1220364128">
    <w:abstractNumId w:val="1"/>
  </w:num>
  <w:num w:numId="28" w16cid:durableId="166149982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981"/>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4A26"/>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080B"/>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2901"/>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07B7"/>
    <w:rsid w:val="00171ADD"/>
    <w:rsid w:val="001728F3"/>
    <w:rsid w:val="00172F78"/>
    <w:rsid w:val="00173533"/>
    <w:rsid w:val="00173548"/>
    <w:rsid w:val="00174390"/>
    <w:rsid w:val="0017459B"/>
    <w:rsid w:val="00175052"/>
    <w:rsid w:val="001759A8"/>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2ACB"/>
    <w:rsid w:val="001E331E"/>
    <w:rsid w:val="001E3322"/>
    <w:rsid w:val="001E343E"/>
    <w:rsid w:val="001E4484"/>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395B"/>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0FB5"/>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1E0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4AE"/>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50F"/>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40A"/>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77DB0"/>
    <w:rsid w:val="005802BD"/>
    <w:rsid w:val="00580BBC"/>
    <w:rsid w:val="005818E7"/>
    <w:rsid w:val="0058220D"/>
    <w:rsid w:val="00583228"/>
    <w:rsid w:val="00583A2A"/>
    <w:rsid w:val="005843C8"/>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983"/>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278"/>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522"/>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1EC"/>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A30"/>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0971"/>
    <w:rsid w:val="008C1393"/>
    <w:rsid w:val="008C15FF"/>
    <w:rsid w:val="008C23D0"/>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2F15"/>
    <w:rsid w:val="009439D3"/>
    <w:rsid w:val="00943BCE"/>
    <w:rsid w:val="00944865"/>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4BC6"/>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685"/>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3146"/>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F43"/>
    <w:rsid w:val="00AB2176"/>
    <w:rsid w:val="00AB2617"/>
    <w:rsid w:val="00AB2C53"/>
    <w:rsid w:val="00AB2EDE"/>
    <w:rsid w:val="00AB3542"/>
    <w:rsid w:val="00AB37BE"/>
    <w:rsid w:val="00AB4EC3"/>
    <w:rsid w:val="00AB5936"/>
    <w:rsid w:val="00AB6595"/>
    <w:rsid w:val="00AB67C7"/>
    <w:rsid w:val="00AB67EF"/>
    <w:rsid w:val="00AB714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539"/>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346"/>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9F7"/>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BE6"/>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65"/>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4603"/>
    <w:rsid w:val="00C55151"/>
    <w:rsid w:val="00C554F7"/>
    <w:rsid w:val="00C5575D"/>
    <w:rsid w:val="00C558FF"/>
    <w:rsid w:val="00C55D26"/>
    <w:rsid w:val="00C560FA"/>
    <w:rsid w:val="00C561E0"/>
    <w:rsid w:val="00C56772"/>
    <w:rsid w:val="00C56935"/>
    <w:rsid w:val="00C576D2"/>
    <w:rsid w:val="00C577C1"/>
    <w:rsid w:val="00C57FF9"/>
    <w:rsid w:val="00C6103F"/>
    <w:rsid w:val="00C6116A"/>
    <w:rsid w:val="00C612FD"/>
    <w:rsid w:val="00C62023"/>
    <w:rsid w:val="00C620F7"/>
    <w:rsid w:val="00C62348"/>
    <w:rsid w:val="00C62CA9"/>
    <w:rsid w:val="00C62F13"/>
    <w:rsid w:val="00C64434"/>
    <w:rsid w:val="00C648C4"/>
    <w:rsid w:val="00C64A51"/>
    <w:rsid w:val="00C64B27"/>
    <w:rsid w:val="00C64FE7"/>
    <w:rsid w:val="00C65531"/>
    <w:rsid w:val="00C655F2"/>
    <w:rsid w:val="00C65C4D"/>
    <w:rsid w:val="00C66180"/>
    <w:rsid w:val="00C66D1A"/>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5E2"/>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9C9"/>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740"/>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6E2"/>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F9C"/>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1AE4"/>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A2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2CC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743023">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69651009">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89140275">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enestar.edomex.gob.mx/programas_sociales"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ulhuac.edomex.gob.mx/sites/capulhuac.edomex.gob.mx/files/files/CONAC%20DIF/2024/TERCER%20TRIMESTRE/INFORMACION%20PRESUPUESTARIA/6.%20Estado%20Analitico%20de%20Egresos%20por%20Clasificacion%20Programatica.pdf" TargetMode="Externa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hyperlink" Target="https://capulhuac.edomex.gob.mx/di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4584-1D19-4A19-A606-F722D500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7026</Words>
  <Characters>38649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2025-11-21T20:09:00Z</cp:lastPrinted>
  <dcterms:created xsi:type="dcterms:W3CDTF">2025-11-21T20:09:00Z</dcterms:created>
  <dcterms:modified xsi:type="dcterms:W3CDTF">2025-12-15T18:49:00Z</dcterms:modified>
</cp:coreProperties>
</file>