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C0EE" w14:textId="3390D290" w:rsidR="00C231B3" w:rsidRPr="00795FF6" w:rsidRDefault="00C231B3" w:rsidP="00C231B3">
      <w:pPr>
        <w:spacing w:before="240" w:line="360" w:lineRule="auto"/>
        <w:jc w:val="both"/>
        <w:rPr>
          <w:rFonts w:ascii="Palatino Linotype" w:eastAsia="Times New Roman" w:hAnsi="Palatino Linotype" w:cs="Arial"/>
          <w:color w:val="000000"/>
          <w:sz w:val="24"/>
          <w:szCs w:val="24"/>
          <w:lang w:eastAsia="es-MX"/>
        </w:rPr>
      </w:pPr>
      <w:r w:rsidRPr="00795FF6">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w:t>
      </w:r>
      <w:bookmarkStart w:id="0" w:name="_GoBack"/>
      <w:bookmarkEnd w:id="0"/>
      <w:r w:rsidRPr="00795FF6">
        <w:rPr>
          <w:rFonts w:ascii="Palatino Linotype" w:eastAsia="Times New Roman" w:hAnsi="Palatino Linotype" w:cs="Arial"/>
          <w:color w:val="000000"/>
          <w:sz w:val="24"/>
          <w:szCs w:val="24"/>
          <w:lang w:eastAsia="es-MX"/>
        </w:rPr>
        <w:t xml:space="preserve">nicipios, con domicilio en Metepec, Estado de México, a </w:t>
      </w:r>
      <w:r w:rsidR="00972217" w:rsidRPr="00795FF6">
        <w:rPr>
          <w:rFonts w:ascii="Palatino Linotype" w:eastAsia="Times New Roman" w:hAnsi="Palatino Linotype" w:cs="Arial"/>
          <w:color w:val="000000"/>
          <w:sz w:val="24"/>
          <w:szCs w:val="24"/>
          <w:lang w:eastAsia="es-MX"/>
        </w:rPr>
        <w:t>cinco de noviembre</w:t>
      </w:r>
      <w:r w:rsidR="003E01A4" w:rsidRPr="00795FF6">
        <w:rPr>
          <w:rFonts w:ascii="Palatino Linotype" w:eastAsia="Times New Roman" w:hAnsi="Palatino Linotype" w:cs="Arial"/>
          <w:color w:val="000000"/>
          <w:sz w:val="24"/>
          <w:szCs w:val="24"/>
          <w:lang w:eastAsia="es-MX"/>
        </w:rPr>
        <w:t xml:space="preserve"> de dos mil veinticinco. </w:t>
      </w:r>
      <w:r w:rsidR="008146ED" w:rsidRPr="00795FF6">
        <w:rPr>
          <w:rFonts w:ascii="Palatino Linotype" w:eastAsia="Times New Roman" w:hAnsi="Palatino Linotype" w:cs="Arial"/>
          <w:color w:val="000000"/>
          <w:sz w:val="24"/>
          <w:szCs w:val="24"/>
          <w:lang w:eastAsia="es-MX"/>
        </w:rPr>
        <w:t xml:space="preserve"> </w:t>
      </w:r>
      <w:r w:rsidR="00283D2D" w:rsidRPr="00795FF6">
        <w:rPr>
          <w:rFonts w:ascii="Palatino Linotype" w:eastAsia="Times New Roman" w:hAnsi="Palatino Linotype" w:cs="Arial"/>
          <w:color w:val="000000"/>
          <w:sz w:val="24"/>
          <w:szCs w:val="24"/>
          <w:lang w:eastAsia="es-MX"/>
        </w:rPr>
        <w:t xml:space="preserve"> </w:t>
      </w:r>
      <w:r w:rsidRPr="00795FF6">
        <w:rPr>
          <w:rFonts w:ascii="Palatino Linotype" w:eastAsia="Times New Roman" w:hAnsi="Palatino Linotype" w:cs="Arial"/>
          <w:color w:val="000000"/>
          <w:sz w:val="24"/>
          <w:szCs w:val="24"/>
          <w:lang w:eastAsia="es-MX"/>
        </w:rPr>
        <w:t xml:space="preserve">          </w:t>
      </w:r>
    </w:p>
    <w:p w14:paraId="1AB0FB7D" w14:textId="70C6CA02" w:rsidR="00972217" w:rsidRPr="00795FF6" w:rsidRDefault="00C231B3" w:rsidP="00C231B3">
      <w:pPr>
        <w:tabs>
          <w:tab w:val="left" w:pos="1701"/>
        </w:tabs>
        <w:spacing w:before="240" w:line="360" w:lineRule="auto"/>
        <w:jc w:val="both"/>
        <w:rPr>
          <w:rFonts w:ascii="Palatino Linotype" w:hAnsi="Palatino Linotype" w:cs="Arial"/>
          <w:sz w:val="24"/>
          <w:szCs w:val="24"/>
        </w:rPr>
      </w:pPr>
      <w:r w:rsidRPr="00795FF6">
        <w:rPr>
          <w:rFonts w:ascii="Palatino Linotype" w:hAnsi="Palatino Linotype" w:cs="Arial"/>
          <w:b/>
          <w:sz w:val="24"/>
        </w:rPr>
        <w:t>VISTO</w:t>
      </w:r>
      <w:r w:rsidRPr="00795FF6">
        <w:rPr>
          <w:rFonts w:ascii="Palatino Linotype" w:hAnsi="Palatino Linotype" w:cs="Arial"/>
          <w:sz w:val="24"/>
        </w:rPr>
        <w:t xml:space="preserve"> el expediente electrónico formado con motivo del recurso de revisión número </w:t>
      </w:r>
      <w:r w:rsidR="00972217" w:rsidRPr="00795FF6">
        <w:rPr>
          <w:rFonts w:ascii="Palatino Linotype" w:hAnsi="Palatino Linotype" w:cs="Arial"/>
          <w:b/>
          <w:bCs/>
          <w:sz w:val="24"/>
          <w:lang w:eastAsia="es-MX"/>
        </w:rPr>
        <w:t>10770</w:t>
      </w:r>
      <w:r w:rsidRPr="00795FF6">
        <w:rPr>
          <w:rFonts w:ascii="Palatino Linotype" w:hAnsi="Palatino Linotype" w:cs="Arial"/>
          <w:b/>
          <w:bCs/>
          <w:sz w:val="24"/>
          <w:lang w:eastAsia="es-MX"/>
        </w:rPr>
        <w:t>/INFOEM/IP/RR/202</w:t>
      </w:r>
      <w:r w:rsidR="003E01A4" w:rsidRPr="00795FF6">
        <w:rPr>
          <w:rFonts w:ascii="Palatino Linotype" w:hAnsi="Palatino Linotype" w:cs="Arial"/>
          <w:b/>
          <w:bCs/>
          <w:sz w:val="24"/>
          <w:lang w:eastAsia="es-MX"/>
        </w:rPr>
        <w:t>5</w:t>
      </w:r>
      <w:r w:rsidRPr="00795FF6">
        <w:rPr>
          <w:rFonts w:ascii="Palatino Linotype" w:hAnsi="Palatino Linotype" w:cs="Arial"/>
          <w:sz w:val="24"/>
        </w:rPr>
        <w:t xml:space="preserve">, </w:t>
      </w:r>
      <w:r w:rsidRPr="00795FF6">
        <w:rPr>
          <w:rFonts w:ascii="Palatino Linotype" w:hAnsi="Palatino Linotype" w:cs="Arial"/>
          <w:sz w:val="24"/>
          <w:szCs w:val="24"/>
        </w:rPr>
        <w:t xml:space="preserve">interpuesto por </w:t>
      </w:r>
      <w:r w:rsidR="00972217" w:rsidRPr="00795FF6">
        <w:rPr>
          <w:rFonts w:ascii="Palatino Linotype" w:hAnsi="Palatino Linotype" w:cs="Arial"/>
          <w:sz w:val="24"/>
          <w:szCs w:val="24"/>
        </w:rPr>
        <w:t xml:space="preserve">la </w:t>
      </w:r>
      <w:r w:rsidR="00972217" w:rsidRPr="00795FF6">
        <w:rPr>
          <w:rFonts w:ascii="Palatino Linotype" w:hAnsi="Palatino Linotype" w:cs="Arial"/>
          <w:b/>
          <w:bCs/>
          <w:sz w:val="24"/>
          <w:szCs w:val="24"/>
        </w:rPr>
        <w:t xml:space="preserve">C. </w:t>
      </w:r>
      <w:r w:rsidR="00697DBD">
        <w:rPr>
          <w:rFonts w:ascii="Palatino Linotype" w:hAnsi="Palatino Linotype" w:cs="Arial"/>
          <w:b/>
          <w:bCs/>
          <w:sz w:val="24"/>
          <w:szCs w:val="24"/>
        </w:rPr>
        <w:t>XXXXXXXXX</w:t>
      </w:r>
      <w:r w:rsidR="00972217" w:rsidRPr="00795FF6">
        <w:rPr>
          <w:rFonts w:ascii="Palatino Linotype" w:hAnsi="Palatino Linotype" w:cs="Arial"/>
          <w:b/>
          <w:bCs/>
          <w:sz w:val="24"/>
          <w:szCs w:val="24"/>
        </w:rPr>
        <w:t xml:space="preserve">, </w:t>
      </w:r>
      <w:r w:rsidR="001F2F4C" w:rsidRPr="00795FF6">
        <w:rPr>
          <w:rFonts w:ascii="Palatino Linotype" w:hAnsi="Palatino Linotype" w:cs="Arial"/>
          <w:sz w:val="24"/>
          <w:szCs w:val="24"/>
        </w:rPr>
        <w:t xml:space="preserve">en lo sucesivo </w:t>
      </w:r>
      <w:r w:rsidR="001F2F4C" w:rsidRPr="00795FF6">
        <w:rPr>
          <w:rFonts w:ascii="Palatino Linotype" w:hAnsi="Palatino Linotype" w:cs="Arial"/>
          <w:b/>
          <w:bCs/>
          <w:sz w:val="24"/>
          <w:szCs w:val="24"/>
        </w:rPr>
        <w:t xml:space="preserve">La Recurrente, </w:t>
      </w:r>
      <w:r w:rsidR="001F2F4C" w:rsidRPr="00795FF6">
        <w:rPr>
          <w:rFonts w:ascii="Palatino Linotype" w:hAnsi="Palatino Linotype" w:cs="Arial"/>
          <w:sz w:val="24"/>
          <w:szCs w:val="24"/>
        </w:rPr>
        <w:t xml:space="preserve">en contra de la respuesta de la </w:t>
      </w:r>
      <w:r w:rsidR="001F2F4C" w:rsidRPr="00795FF6">
        <w:rPr>
          <w:rFonts w:ascii="Palatino Linotype" w:hAnsi="Palatino Linotype" w:cs="Arial"/>
          <w:b/>
          <w:bCs/>
          <w:sz w:val="24"/>
          <w:szCs w:val="24"/>
        </w:rPr>
        <w:t xml:space="preserve">Secretaría de Desarrollo Urbano e Infraestructura, </w:t>
      </w:r>
      <w:r w:rsidR="001F2F4C" w:rsidRPr="00795FF6">
        <w:rPr>
          <w:rFonts w:ascii="Palatino Linotype" w:hAnsi="Palatino Linotype" w:cs="Arial"/>
          <w:sz w:val="24"/>
          <w:szCs w:val="24"/>
        </w:rPr>
        <w:t xml:space="preserve">en lo subsecuente </w:t>
      </w:r>
      <w:r w:rsidR="001F2F4C" w:rsidRPr="00795FF6">
        <w:rPr>
          <w:rFonts w:ascii="Palatino Linotype" w:hAnsi="Palatino Linotype" w:cs="Arial"/>
          <w:b/>
          <w:bCs/>
          <w:sz w:val="24"/>
          <w:szCs w:val="24"/>
        </w:rPr>
        <w:t xml:space="preserve">El Sujeto Obligado, </w:t>
      </w:r>
      <w:r w:rsidR="001F2F4C" w:rsidRPr="00795FF6">
        <w:rPr>
          <w:rFonts w:ascii="Palatino Linotype" w:hAnsi="Palatino Linotype" w:cs="Arial"/>
          <w:sz w:val="24"/>
          <w:szCs w:val="24"/>
        </w:rPr>
        <w:t xml:space="preserve">se procede a dictar la presente resolución. </w:t>
      </w:r>
    </w:p>
    <w:p w14:paraId="07BE0AC3" w14:textId="77777777" w:rsidR="00972217" w:rsidRPr="00795FF6" w:rsidRDefault="00972217" w:rsidP="00C231B3">
      <w:pPr>
        <w:tabs>
          <w:tab w:val="left" w:pos="1701"/>
        </w:tabs>
        <w:spacing w:before="240" w:line="360" w:lineRule="auto"/>
        <w:jc w:val="both"/>
        <w:rPr>
          <w:rFonts w:ascii="Palatino Linotype" w:hAnsi="Palatino Linotype" w:cs="Arial"/>
          <w:sz w:val="24"/>
          <w:szCs w:val="24"/>
        </w:rPr>
      </w:pPr>
    </w:p>
    <w:p w14:paraId="6BDE169C" w14:textId="77777777" w:rsidR="00C231B3" w:rsidRPr="00795FF6" w:rsidRDefault="00C231B3" w:rsidP="00C231B3">
      <w:pPr>
        <w:spacing w:before="240" w:after="240" w:line="360" w:lineRule="auto"/>
        <w:jc w:val="center"/>
        <w:rPr>
          <w:rFonts w:ascii="Palatino Linotype" w:hAnsi="Palatino Linotype"/>
          <w:b/>
          <w:sz w:val="28"/>
        </w:rPr>
      </w:pPr>
      <w:r w:rsidRPr="00795FF6">
        <w:rPr>
          <w:rFonts w:ascii="Palatino Linotype" w:hAnsi="Palatino Linotype"/>
          <w:b/>
          <w:sz w:val="28"/>
        </w:rPr>
        <w:t>A N T E C E D E N T E S   D E L   A S U N T O</w:t>
      </w:r>
    </w:p>
    <w:p w14:paraId="42166000" w14:textId="77777777" w:rsidR="00C231B3" w:rsidRPr="00795FF6" w:rsidRDefault="00C231B3" w:rsidP="00C231B3">
      <w:pPr>
        <w:spacing w:before="240" w:after="240" w:line="360" w:lineRule="auto"/>
        <w:jc w:val="both"/>
        <w:rPr>
          <w:rFonts w:ascii="Palatino Linotype" w:hAnsi="Palatino Linotype"/>
        </w:rPr>
      </w:pPr>
      <w:r w:rsidRPr="00795FF6">
        <w:rPr>
          <w:rFonts w:ascii="Palatino Linotype" w:hAnsi="Palatino Linotype" w:cs="Arial"/>
          <w:b/>
          <w:sz w:val="28"/>
        </w:rPr>
        <w:t>PRIMERO.</w:t>
      </w:r>
      <w:r w:rsidRPr="00795FF6">
        <w:rPr>
          <w:rFonts w:ascii="Palatino Linotype" w:hAnsi="Palatino Linotype" w:cs="Arial"/>
        </w:rPr>
        <w:t xml:space="preserve"> </w:t>
      </w:r>
      <w:r w:rsidRPr="00795FF6">
        <w:rPr>
          <w:rFonts w:ascii="Palatino Linotype" w:hAnsi="Palatino Linotype"/>
          <w:b/>
          <w:sz w:val="28"/>
          <w:szCs w:val="28"/>
        </w:rPr>
        <w:t>De la Solicitud de Información.</w:t>
      </w:r>
    </w:p>
    <w:p w14:paraId="1266C9E4" w14:textId="4D965479" w:rsidR="008146ED" w:rsidRPr="00795FF6" w:rsidRDefault="00C231B3" w:rsidP="00C231B3">
      <w:pPr>
        <w:spacing w:before="240" w:line="360" w:lineRule="auto"/>
        <w:jc w:val="both"/>
        <w:rPr>
          <w:rFonts w:ascii="Palatino Linotype" w:hAnsi="Palatino Linotype" w:cs="Arial"/>
          <w:sz w:val="24"/>
        </w:rPr>
      </w:pPr>
      <w:r w:rsidRPr="00795FF6">
        <w:rPr>
          <w:rFonts w:ascii="Palatino Linotype" w:hAnsi="Palatino Linotype" w:cs="Arial"/>
          <w:sz w:val="24"/>
        </w:rPr>
        <w:t>Con fecha</w:t>
      </w:r>
      <w:r w:rsidR="003E01A4" w:rsidRPr="00795FF6">
        <w:rPr>
          <w:rFonts w:ascii="Palatino Linotype" w:hAnsi="Palatino Linotype" w:cs="Arial"/>
          <w:sz w:val="24"/>
        </w:rPr>
        <w:t xml:space="preserve"> </w:t>
      </w:r>
      <w:r w:rsidR="001F2F4C" w:rsidRPr="00795FF6">
        <w:rPr>
          <w:rFonts w:ascii="Palatino Linotype" w:hAnsi="Palatino Linotype" w:cs="Arial"/>
          <w:b/>
          <w:bCs/>
          <w:sz w:val="24"/>
        </w:rPr>
        <w:t xml:space="preserve">veintidós de agosto de dos mil veinticinco, La Recurrente, </w:t>
      </w:r>
      <w:r w:rsidR="003E01A4" w:rsidRPr="00795FF6">
        <w:rPr>
          <w:rFonts w:ascii="Palatino Linotype" w:hAnsi="Palatino Linotype" w:cs="Arial"/>
          <w:sz w:val="24"/>
        </w:rPr>
        <w:t>presentó a través del Sistema de Acceso a la Información Mexiquense (</w:t>
      </w:r>
      <w:r w:rsidR="003E01A4" w:rsidRPr="00795FF6">
        <w:rPr>
          <w:rFonts w:ascii="Palatino Linotype" w:hAnsi="Palatino Linotype" w:cs="Arial"/>
          <w:b/>
          <w:sz w:val="24"/>
        </w:rPr>
        <w:t>SAIMEX)</w:t>
      </w:r>
      <w:r w:rsidR="003E01A4" w:rsidRPr="00795FF6">
        <w:rPr>
          <w:rFonts w:ascii="Palatino Linotype" w:hAnsi="Palatino Linotype" w:cs="Arial"/>
          <w:sz w:val="24"/>
        </w:rPr>
        <w:t xml:space="preserve"> ante </w:t>
      </w:r>
      <w:r w:rsidR="003E01A4" w:rsidRPr="00795FF6">
        <w:rPr>
          <w:rFonts w:ascii="Palatino Linotype" w:hAnsi="Palatino Linotype" w:cs="Arial"/>
          <w:b/>
          <w:sz w:val="24"/>
        </w:rPr>
        <w:t>El Sujeto Obligado</w:t>
      </w:r>
      <w:r w:rsidR="003E01A4" w:rsidRPr="00795FF6">
        <w:rPr>
          <w:rFonts w:ascii="Palatino Linotype" w:hAnsi="Palatino Linotype" w:cs="Arial"/>
          <w:sz w:val="24"/>
        </w:rPr>
        <w:t xml:space="preserve">, solicitud de acceso a la información pública, registrada bajo el número de </w:t>
      </w:r>
      <w:proofErr w:type="gramStart"/>
      <w:r w:rsidR="003E01A4" w:rsidRPr="00795FF6">
        <w:rPr>
          <w:rFonts w:ascii="Palatino Linotype" w:hAnsi="Palatino Linotype" w:cs="Arial"/>
          <w:sz w:val="24"/>
        </w:rPr>
        <w:t>expediente</w:t>
      </w:r>
      <w:proofErr w:type="gramEnd"/>
      <w:r w:rsidR="003E01A4" w:rsidRPr="00795FF6">
        <w:rPr>
          <w:rFonts w:ascii="Palatino Linotype" w:hAnsi="Palatino Linotype" w:cs="Arial"/>
          <w:sz w:val="24"/>
        </w:rPr>
        <w:t xml:space="preserve"> </w:t>
      </w:r>
      <w:r w:rsidR="001F2F4C" w:rsidRPr="00795FF6">
        <w:rPr>
          <w:rFonts w:ascii="Palatino Linotype" w:hAnsi="Palatino Linotype" w:cs="Arial"/>
          <w:b/>
          <w:bCs/>
          <w:sz w:val="24"/>
        </w:rPr>
        <w:t xml:space="preserve">00308/SEDUI/IP/2025, </w:t>
      </w:r>
      <w:r w:rsidR="008146ED" w:rsidRPr="00795FF6">
        <w:rPr>
          <w:rFonts w:ascii="Palatino Linotype" w:hAnsi="Palatino Linotype" w:cs="Arial"/>
          <w:sz w:val="24"/>
        </w:rPr>
        <w:t>mediante la cual solicitó información en el tenor siguiente:</w:t>
      </w:r>
    </w:p>
    <w:p w14:paraId="066128B0" w14:textId="4A87B7E6" w:rsidR="008146ED" w:rsidRPr="00795FF6" w:rsidRDefault="008146ED" w:rsidP="008146ED">
      <w:pPr>
        <w:pStyle w:val="Citas"/>
        <w:rPr>
          <w:b/>
          <w:bCs/>
          <w:sz w:val="24"/>
        </w:rPr>
      </w:pPr>
      <w:r w:rsidRPr="00795FF6">
        <w:t>“</w:t>
      </w:r>
      <w:r w:rsidR="001F2F4C" w:rsidRPr="00795FF6">
        <w:t xml:space="preserve">Quiero que se me entregue el Dictamen de Factibilidad del fraccionamiento Terra nova que se está construyendo en la Calle Uruapan, Colonia Las Jaras, San Jorge Pueblo Nuevo en Metepec, y en caso de que no tenga el dictamen saber </w:t>
      </w:r>
      <w:proofErr w:type="spellStart"/>
      <w:r w:rsidR="001F2F4C" w:rsidRPr="00795FF6">
        <w:t>por que</w:t>
      </w:r>
      <w:proofErr w:type="spellEnd"/>
      <w:r w:rsidR="001F2F4C" w:rsidRPr="00795FF6">
        <w:t xml:space="preserve"> no </w:t>
      </w:r>
      <w:r w:rsidR="001F2F4C" w:rsidRPr="00795FF6">
        <w:lastRenderedPageBreak/>
        <w:t xml:space="preserve">han actuado para la clausura o suspensión de la obra. Además solicito saber </w:t>
      </w:r>
      <w:proofErr w:type="spellStart"/>
      <w:r w:rsidR="001F2F4C" w:rsidRPr="00795FF6">
        <w:t>cual</w:t>
      </w:r>
      <w:proofErr w:type="spellEnd"/>
      <w:r w:rsidR="001F2F4C" w:rsidRPr="00795FF6">
        <w:t xml:space="preserve"> fue el predio que se donó como área verde derivado de las obligaciones</w:t>
      </w:r>
      <w:r w:rsidRPr="00795FF6">
        <w:t xml:space="preserve">” </w:t>
      </w:r>
      <w:r w:rsidRPr="00795FF6">
        <w:rPr>
          <w:b/>
          <w:bCs/>
        </w:rPr>
        <w:t>(Sic)</w:t>
      </w:r>
    </w:p>
    <w:p w14:paraId="7DCAB87E" w14:textId="77777777" w:rsidR="00C231B3" w:rsidRPr="00795FF6" w:rsidRDefault="00C231B3" w:rsidP="00C231B3">
      <w:pPr>
        <w:spacing w:before="240" w:line="360" w:lineRule="auto"/>
        <w:ind w:right="850"/>
        <w:jc w:val="both"/>
        <w:rPr>
          <w:rFonts w:ascii="Palatino Linotype" w:eastAsia="Times New Roman" w:hAnsi="Palatino Linotype" w:cs="Times New Roman"/>
          <w:sz w:val="24"/>
          <w:szCs w:val="24"/>
          <w:lang w:eastAsia="es-ES"/>
        </w:rPr>
      </w:pPr>
      <w:r w:rsidRPr="00795FF6">
        <w:rPr>
          <w:rFonts w:ascii="Palatino Linotype" w:eastAsia="Times New Roman" w:hAnsi="Palatino Linotype" w:cs="Times New Roman"/>
          <w:b/>
          <w:sz w:val="24"/>
          <w:szCs w:val="24"/>
          <w:lang w:eastAsia="es-ES"/>
        </w:rPr>
        <w:t>Modalidad de entrega:</w:t>
      </w:r>
      <w:r w:rsidRPr="00795FF6">
        <w:rPr>
          <w:rFonts w:ascii="Palatino Linotype" w:eastAsia="Times New Roman" w:hAnsi="Palatino Linotype" w:cs="Times New Roman"/>
          <w:sz w:val="24"/>
          <w:szCs w:val="24"/>
          <w:lang w:eastAsia="es-ES"/>
        </w:rPr>
        <w:t xml:space="preserve"> A través del SAIMEX. </w:t>
      </w:r>
    </w:p>
    <w:p w14:paraId="41410D42" w14:textId="77777777" w:rsidR="001F2F4C" w:rsidRPr="00795FF6" w:rsidRDefault="001F2F4C" w:rsidP="00C231B3">
      <w:pPr>
        <w:spacing w:before="240" w:line="360" w:lineRule="auto"/>
        <w:jc w:val="both"/>
        <w:rPr>
          <w:rFonts w:ascii="Palatino Linotype" w:hAnsi="Palatino Linotype" w:cs="Arial"/>
          <w:b/>
          <w:sz w:val="28"/>
        </w:rPr>
      </w:pPr>
    </w:p>
    <w:p w14:paraId="666366AC" w14:textId="53A6CE31" w:rsidR="00C231B3" w:rsidRPr="00795FF6" w:rsidRDefault="003E01A4" w:rsidP="00C231B3">
      <w:pPr>
        <w:spacing w:before="240" w:line="360" w:lineRule="auto"/>
        <w:jc w:val="both"/>
        <w:rPr>
          <w:rFonts w:ascii="Palatino Linotype" w:hAnsi="Palatino Linotype" w:cs="Arial"/>
          <w:b/>
          <w:sz w:val="28"/>
        </w:rPr>
      </w:pPr>
      <w:r w:rsidRPr="00795FF6">
        <w:rPr>
          <w:rFonts w:ascii="Palatino Linotype" w:hAnsi="Palatino Linotype" w:cs="Arial"/>
          <w:b/>
          <w:sz w:val="28"/>
        </w:rPr>
        <w:t>SEGUNDO</w:t>
      </w:r>
      <w:r w:rsidR="00C231B3" w:rsidRPr="00795FF6">
        <w:rPr>
          <w:rFonts w:ascii="Palatino Linotype" w:hAnsi="Palatino Linotype" w:cs="Arial"/>
          <w:b/>
          <w:sz w:val="28"/>
        </w:rPr>
        <w:t xml:space="preserve">. </w:t>
      </w:r>
      <w:r w:rsidR="00C231B3" w:rsidRPr="00795FF6">
        <w:rPr>
          <w:rFonts w:ascii="Palatino Linotype" w:hAnsi="Palatino Linotype" w:cs="Arial"/>
          <w:b/>
          <w:sz w:val="28"/>
          <w:szCs w:val="20"/>
        </w:rPr>
        <w:t>De la respuesta del Sujeto Obligado.</w:t>
      </w:r>
    </w:p>
    <w:p w14:paraId="4A84A670" w14:textId="57E1CCEC" w:rsidR="001F2F4C" w:rsidRPr="00795FF6" w:rsidRDefault="00C231B3" w:rsidP="00C231B3">
      <w:pPr>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 xml:space="preserve">En el expediente electrónico </w:t>
      </w:r>
      <w:r w:rsidRPr="00795FF6">
        <w:rPr>
          <w:rFonts w:ascii="Palatino Linotype" w:hAnsi="Palatino Linotype" w:cs="Arial"/>
          <w:b/>
          <w:sz w:val="24"/>
          <w:szCs w:val="24"/>
        </w:rPr>
        <w:t>SAIMEX</w:t>
      </w:r>
      <w:r w:rsidRPr="00795FF6">
        <w:rPr>
          <w:rFonts w:ascii="Palatino Linotype" w:hAnsi="Palatino Linotype" w:cs="Arial"/>
          <w:sz w:val="24"/>
          <w:szCs w:val="24"/>
        </w:rPr>
        <w:t>, se aprecia que el</w:t>
      </w:r>
      <w:r w:rsidR="00182441" w:rsidRPr="00795FF6">
        <w:rPr>
          <w:rFonts w:ascii="Palatino Linotype" w:hAnsi="Palatino Linotype" w:cs="Arial"/>
          <w:sz w:val="24"/>
          <w:szCs w:val="24"/>
        </w:rPr>
        <w:t xml:space="preserve"> </w:t>
      </w:r>
      <w:r w:rsidR="001F2F4C" w:rsidRPr="00795FF6">
        <w:rPr>
          <w:rFonts w:ascii="Palatino Linotype" w:hAnsi="Palatino Linotype" w:cs="Arial"/>
          <w:b/>
          <w:bCs/>
          <w:sz w:val="24"/>
          <w:szCs w:val="24"/>
        </w:rPr>
        <w:t xml:space="preserve">diez de septiembre de dos mil veinticinco, El Sujeto Obligado </w:t>
      </w:r>
      <w:r w:rsidR="001F2F4C" w:rsidRPr="00795FF6">
        <w:rPr>
          <w:rFonts w:ascii="Palatino Linotype" w:hAnsi="Palatino Linotype" w:cs="Arial"/>
          <w:sz w:val="24"/>
          <w:szCs w:val="24"/>
        </w:rPr>
        <w:t xml:space="preserve">dio respuesta a la solicitud de información </w:t>
      </w:r>
      <w:r w:rsidR="001F2F4C" w:rsidRPr="00795FF6">
        <w:rPr>
          <w:rFonts w:ascii="Palatino Linotype" w:hAnsi="Palatino Linotype" w:cs="Arial"/>
          <w:b/>
          <w:bCs/>
          <w:sz w:val="24"/>
          <w:szCs w:val="24"/>
        </w:rPr>
        <w:t xml:space="preserve">00308/SEDUI/IP/2025, </w:t>
      </w:r>
      <w:r w:rsidR="001F2F4C" w:rsidRPr="00795FF6">
        <w:rPr>
          <w:rFonts w:ascii="Palatino Linotype" w:hAnsi="Palatino Linotype" w:cs="Arial"/>
          <w:sz w:val="24"/>
          <w:szCs w:val="24"/>
        </w:rPr>
        <w:t xml:space="preserve">resultando de nuestro interés lo siguiente: </w:t>
      </w:r>
    </w:p>
    <w:p w14:paraId="281DA044" w14:textId="5ABF13FD" w:rsidR="001F2F4C" w:rsidRPr="00795FF6" w:rsidRDefault="001F2F4C" w:rsidP="001F2F4C">
      <w:pPr>
        <w:pStyle w:val="Citas"/>
      </w:pPr>
      <w:r w:rsidRPr="00795FF6">
        <w:t>“En respuesta a la solicitud recibida, nos permitimos hacer de su conocimiento que con fundamento en el artículo 53, Fracciones: II, V y VI de la Ley de Transparencia y Acceso a la Información Pública del Estado de México y Municipios, le contestamos que:</w:t>
      </w:r>
    </w:p>
    <w:p w14:paraId="19BEE9CD" w14:textId="585F598F" w:rsidR="001F2F4C" w:rsidRPr="00795FF6" w:rsidRDefault="001F2F4C" w:rsidP="001F2F4C">
      <w:pPr>
        <w:pStyle w:val="Citas"/>
        <w:rPr>
          <w:b/>
          <w:bCs/>
        </w:rPr>
      </w:pPr>
      <w:r w:rsidRPr="00795FF6">
        <w:t xml:space="preserve">Sobre el particular, se adjunta oficio número SEDUI-CI-0910/2025 de fecha 10 de septiembre del presente año mediante el cual se detalla información sobre su solicitud” </w:t>
      </w:r>
      <w:r w:rsidRPr="00795FF6">
        <w:rPr>
          <w:b/>
          <w:bCs/>
        </w:rPr>
        <w:t xml:space="preserve">(Sic) </w:t>
      </w:r>
    </w:p>
    <w:p w14:paraId="77AF2B17" w14:textId="2F89E6B0" w:rsidR="00C231B3" w:rsidRPr="00795FF6" w:rsidRDefault="00C231B3" w:rsidP="00C231B3">
      <w:pPr>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 xml:space="preserve">De forma complementaria, </w:t>
      </w:r>
      <w:r w:rsidRPr="00795FF6">
        <w:rPr>
          <w:rFonts w:ascii="Palatino Linotype" w:hAnsi="Palatino Linotype" w:cs="Arial"/>
          <w:b/>
          <w:bCs/>
          <w:sz w:val="24"/>
          <w:szCs w:val="24"/>
        </w:rPr>
        <w:t xml:space="preserve">El Sujeto Obligado </w:t>
      </w:r>
      <w:r w:rsidRPr="00795FF6">
        <w:rPr>
          <w:rFonts w:ascii="Palatino Linotype" w:hAnsi="Palatino Linotype" w:cs="Arial"/>
          <w:sz w:val="24"/>
          <w:szCs w:val="24"/>
        </w:rPr>
        <w:t xml:space="preserve">adjuntó </w:t>
      </w:r>
      <w:r w:rsidR="001F2F4C" w:rsidRPr="00795FF6">
        <w:rPr>
          <w:rFonts w:ascii="Palatino Linotype" w:hAnsi="Palatino Linotype" w:cs="Arial"/>
          <w:sz w:val="24"/>
          <w:szCs w:val="24"/>
        </w:rPr>
        <w:t xml:space="preserve">los documentos electrónicos </w:t>
      </w:r>
      <w:r w:rsidR="001F2F4C" w:rsidRPr="00795FF6">
        <w:rPr>
          <w:rFonts w:ascii="Palatino Linotype" w:hAnsi="Palatino Linotype" w:cs="Arial"/>
          <w:b/>
          <w:bCs/>
          <w:sz w:val="24"/>
          <w:szCs w:val="24"/>
        </w:rPr>
        <w:t xml:space="preserve">“R.DGCIE. 308-2025.pdf” </w:t>
      </w:r>
      <w:r w:rsidR="001F2F4C" w:rsidRPr="00795FF6">
        <w:rPr>
          <w:rFonts w:ascii="Palatino Linotype" w:hAnsi="Palatino Linotype" w:cs="Arial"/>
          <w:sz w:val="24"/>
          <w:szCs w:val="24"/>
        </w:rPr>
        <w:t xml:space="preserve">y </w:t>
      </w:r>
      <w:r w:rsidR="001F2F4C" w:rsidRPr="00795FF6">
        <w:rPr>
          <w:rFonts w:ascii="Palatino Linotype" w:hAnsi="Palatino Linotype" w:cs="Arial"/>
          <w:b/>
          <w:bCs/>
          <w:sz w:val="24"/>
          <w:szCs w:val="24"/>
        </w:rPr>
        <w:t xml:space="preserve">“UT 308-2025.pdf”, </w:t>
      </w:r>
      <w:r w:rsidR="008146ED" w:rsidRPr="00795FF6">
        <w:rPr>
          <w:rFonts w:ascii="Palatino Linotype" w:hAnsi="Palatino Linotype" w:cs="Arial"/>
          <w:sz w:val="24"/>
          <w:szCs w:val="24"/>
        </w:rPr>
        <w:t xml:space="preserve">cuyo contenido se tiene por </w:t>
      </w:r>
      <w:r w:rsidR="00182441" w:rsidRPr="00795FF6">
        <w:rPr>
          <w:rFonts w:ascii="Palatino Linotype" w:hAnsi="Palatino Linotype" w:cs="Arial"/>
          <w:sz w:val="24"/>
          <w:szCs w:val="24"/>
        </w:rPr>
        <w:t xml:space="preserve">reproducido como si a la letra </w:t>
      </w:r>
      <w:r w:rsidRPr="00795FF6">
        <w:rPr>
          <w:rFonts w:ascii="Palatino Linotype" w:hAnsi="Palatino Linotype" w:cs="Arial"/>
          <w:sz w:val="24"/>
          <w:szCs w:val="24"/>
        </w:rPr>
        <w:t xml:space="preserve">se insertase en virtud de que será materia de análisis en el considerando respectivo. </w:t>
      </w:r>
    </w:p>
    <w:p w14:paraId="161506B2" w14:textId="77777777" w:rsidR="00C231B3" w:rsidRPr="00795FF6" w:rsidRDefault="00C231B3" w:rsidP="00C231B3">
      <w:pPr>
        <w:spacing w:before="240" w:line="360" w:lineRule="auto"/>
        <w:jc w:val="both"/>
        <w:rPr>
          <w:rFonts w:ascii="Palatino Linotype" w:hAnsi="Palatino Linotype" w:cs="Arial"/>
          <w:sz w:val="24"/>
          <w:szCs w:val="24"/>
        </w:rPr>
      </w:pPr>
    </w:p>
    <w:p w14:paraId="3FAE9F86" w14:textId="689F2095" w:rsidR="00C231B3" w:rsidRPr="00795FF6" w:rsidRDefault="003E01A4" w:rsidP="00C231B3">
      <w:pPr>
        <w:spacing w:before="240" w:line="360" w:lineRule="auto"/>
        <w:jc w:val="both"/>
        <w:rPr>
          <w:rFonts w:ascii="Palatino Linotype" w:hAnsi="Palatino Linotype" w:cs="Arial"/>
          <w:b/>
          <w:sz w:val="28"/>
        </w:rPr>
      </w:pPr>
      <w:r w:rsidRPr="00795FF6">
        <w:rPr>
          <w:rFonts w:ascii="Palatino Linotype" w:hAnsi="Palatino Linotype" w:cs="Arial"/>
          <w:b/>
          <w:sz w:val="28"/>
        </w:rPr>
        <w:lastRenderedPageBreak/>
        <w:t>TERCERO</w:t>
      </w:r>
      <w:r w:rsidR="00C231B3" w:rsidRPr="00795FF6">
        <w:rPr>
          <w:rFonts w:ascii="Palatino Linotype" w:hAnsi="Palatino Linotype" w:cs="Arial"/>
          <w:b/>
          <w:sz w:val="28"/>
        </w:rPr>
        <w:t xml:space="preserve">. </w:t>
      </w:r>
      <w:r w:rsidR="00C231B3" w:rsidRPr="00795FF6">
        <w:rPr>
          <w:rFonts w:ascii="Palatino Linotype" w:hAnsi="Palatino Linotype"/>
          <w:b/>
          <w:sz w:val="28"/>
        </w:rPr>
        <w:t>Del recurso de revisión.</w:t>
      </w:r>
    </w:p>
    <w:p w14:paraId="0513E491" w14:textId="35D58E0A" w:rsidR="001F2F4C" w:rsidRPr="00795FF6" w:rsidRDefault="00C231B3" w:rsidP="00C231B3">
      <w:pPr>
        <w:spacing w:before="240" w:line="360" w:lineRule="auto"/>
        <w:jc w:val="both"/>
        <w:rPr>
          <w:rFonts w:ascii="Palatino Linotype" w:hAnsi="Palatino Linotype" w:cs="Arial"/>
          <w:bCs/>
          <w:sz w:val="24"/>
          <w:szCs w:val="24"/>
        </w:rPr>
      </w:pPr>
      <w:r w:rsidRPr="00795FF6">
        <w:rPr>
          <w:rFonts w:ascii="Palatino Linotype" w:hAnsi="Palatino Linotype" w:cs="Arial"/>
          <w:sz w:val="24"/>
          <w:szCs w:val="24"/>
        </w:rPr>
        <w:t xml:space="preserve">Inconforme con la respuesta notificada por </w:t>
      </w:r>
      <w:r w:rsidRPr="00795FF6">
        <w:rPr>
          <w:rFonts w:ascii="Palatino Linotype" w:hAnsi="Palatino Linotype" w:cs="Arial"/>
          <w:b/>
          <w:sz w:val="24"/>
          <w:szCs w:val="24"/>
        </w:rPr>
        <w:t xml:space="preserve">El Sujeto Obligado, El Recurrente </w:t>
      </w:r>
      <w:r w:rsidRPr="00795FF6">
        <w:rPr>
          <w:rFonts w:ascii="Palatino Linotype" w:hAnsi="Palatino Linotype" w:cs="Arial"/>
          <w:bCs/>
          <w:sz w:val="24"/>
          <w:szCs w:val="24"/>
        </w:rPr>
        <w:t>interpuso el recurso de revisión, en fecha</w:t>
      </w:r>
      <w:r w:rsidR="003E01A4" w:rsidRPr="00795FF6">
        <w:rPr>
          <w:rFonts w:ascii="Palatino Linotype" w:hAnsi="Palatino Linotype" w:cs="Arial"/>
          <w:bCs/>
          <w:sz w:val="24"/>
          <w:szCs w:val="24"/>
        </w:rPr>
        <w:t xml:space="preserve"> </w:t>
      </w:r>
      <w:r w:rsidR="001F2F4C" w:rsidRPr="00795FF6">
        <w:rPr>
          <w:rFonts w:ascii="Palatino Linotype" w:hAnsi="Palatino Linotype" w:cs="Arial"/>
          <w:b/>
          <w:sz w:val="24"/>
          <w:szCs w:val="24"/>
        </w:rPr>
        <w:t xml:space="preserve">doce de septiembre de dos mil veinticinco, </w:t>
      </w:r>
      <w:r w:rsidR="001F2F4C" w:rsidRPr="00795FF6">
        <w:rPr>
          <w:rFonts w:ascii="Palatino Linotype" w:hAnsi="Palatino Linotype" w:cs="Arial"/>
          <w:bCs/>
          <w:sz w:val="24"/>
          <w:szCs w:val="24"/>
        </w:rPr>
        <w:t xml:space="preserve">el cual fue registrado en el sistema electrónico con el expediente </w:t>
      </w:r>
      <w:r w:rsidR="001F2F4C" w:rsidRPr="00795FF6">
        <w:rPr>
          <w:rFonts w:ascii="Palatino Linotype" w:hAnsi="Palatino Linotype" w:cs="Arial"/>
          <w:b/>
          <w:sz w:val="24"/>
          <w:szCs w:val="24"/>
        </w:rPr>
        <w:t xml:space="preserve">10770/INFOEM/IP/RR/2025, </w:t>
      </w:r>
      <w:r w:rsidR="001F2F4C" w:rsidRPr="00795FF6">
        <w:rPr>
          <w:rFonts w:ascii="Palatino Linotype" w:hAnsi="Palatino Linotype" w:cs="Arial"/>
          <w:bCs/>
          <w:sz w:val="24"/>
          <w:szCs w:val="24"/>
        </w:rPr>
        <w:t xml:space="preserve">en el cual arguye las siguientes manifestaciones: </w:t>
      </w:r>
    </w:p>
    <w:p w14:paraId="657EB1C5" w14:textId="77777777" w:rsidR="00C231B3" w:rsidRPr="00795FF6" w:rsidRDefault="00C231B3" w:rsidP="00C231B3">
      <w:pPr>
        <w:spacing w:before="240" w:line="360" w:lineRule="auto"/>
        <w:jc w:val="both"/>
        <w:rPr>
          <w:rFonts w:ascii="Palatino Linotype" w:hAnsi="Palatino Linotype" w:cs="Arial"/>
          <w:b/>
          <w:sz w:val="24"/>
        </w:rPr>
      </w:pPr>
      <w:r w:rsidRPr="00795FF6">
        <w:rPr>
          <w:rFonts w:ascii="Palatino Linotype" w:hAnsi="Palatino Linotype" w:cs="Arial"/>
          <w:b/>
          <w:sz w:val="24"/>
        </w:rPr>
        <w:t>Acto Impugnado:</w:t>
      </w:r>
    </w:p>
    <w:p w14:paraId="4876D158" w14:textId="39BA19F6" w:rsidR="00C231B3" w:rsidRPr="00795FF6" w:rsidRDefault="00C231B3" w:rsidP="00C231B3">
      <w:pPr>
        <w:pStyle w:val="Citas"/>
        <w:rPr>
          <w:b/>
          <w:bCs/>
          <w:sz w:val="24"/>
        </w:rPr>
      </w:pPr>
      <w:r w:rsidRPr="00795FF6">
        <w:t>“</w:t>
      </w:r>
      <w:r w:rsidR="001F2F4C" w:rsidRPr="00795FF6">
        <w:t>Es competencia de la Secretaría de Desarrollo Urbano la clausura de obras que no cumplen con los requisitos</w:t>
      </w:r>
      <w:r w:rsidRPr="00795FF6">
        <w:t xml:space="preserve">” </w:t>
      </w:r>
      <w:r w:rsidRPr="00795FF6">
        <w:rPr>
          <w:b/>
          <w:bCs/>
        </w:rPr>
        <w:t>(Sic)</w:t>
      </w:r>
    </w:p>
    <w:p w14:paraId="114A03B3" w14:textId="77777777" w:rsidR="00C231B3" w:rsidRPr="00795FF6" w:rsidRDefault="00C231B3" w:rsidP="00C231B3">
      <w:pPr>
        <w:spacing w:before="240" w:line="360" w:lineRule="auto"/>
        <w:jc w:val="both"/>
        <w:rPr>
          <w:rFonts w:ascii="Palatino Linotype" w:hAnsi="Palatino Linotype" w:cs="Arial"/>
          <w:sz w:val="24"/>
        </w:rPr>
      </w:pPr>
      <w:r w:rsidRPr="00795FF6">
        <w:rPr>
          <w:rFonts w:ascii="Palatino Linotype" w:hAnsi="Palatino Linotype" w:cs="Arial"/>
          <w:b/>
          <w:sz w:val="24"/>
        </w:rPr>
        <w:t>Razones o Motivos de Inconformidad</w:t>
      </w:r>
      <w:r w:rsidRPr="00795FF6">
        <w:rPr>
          <w:rFonts w:ascii="Palatino Linotype" w:hAnsi="Palatino Linotype" w:cs="Arial"/>
          <w:sz w:val="24"/>
        </w:rPr>
        <w:t xml:space="preserve">: </w:t>
      </w:r>
    </w:p>
    <w:p w14:paraId="5F7C9EA0" w14:textId="6E5FF08C" w:rsidR="00C231B3" w:rsidRPr="00795FF6" w:rsidRDefault="00C231B3" w:rsidP="00C231B3">
      <w:pPr>
        <w:pStyle w:val="Citas"/>
        <w:rPr>
          <w:b/>
          <w:bCs/>
        </w:rPr>
      </w:pPr>
      <w:r w:rsidRPr="00795FF6">
        <w:t>“</w:t>
      </w:r>
      <w:r w:rsidR="001F2F4C" w:rsidRPr="00795FF6">
        <w:t>Es competencia de la Secretaría de Desarrollo Urbano la clausura de obras que no cumplen con los requisitos</w:t>
      </w:r>
      <w:r w:rsidRPr="00795FF6">
        <w:t xml:space="preserve">” </w:t>
      </w:r>
      <w:r w:rsidRPr="00795FF6">
        <w:rPr>
          <w:b/>
          <w:bCs/>
        </w:rPr>
        <w:t>(Sic)</w:t>
      </w:r>
    </w:p>
    <w:p w14:paraId="4ADE4D98" w14:textId="77777777" w:rsidR="00C231B3" w:rsidRPr="00795FF6" w:rsidRDefault="00C231B3" w:rsidP="00C231B3">
      <w:pPr>
        <w:pStyle w:val="Citas"/>
        <w:ind w:left="0"/>
        <w:rPr>
          <w:b/>
        </w:rPr>
      </w:pPr>
    </w:p>
    <w:p w14:paraId="4D53A885" w14:textId="7AEE4DF7" w:rsidR="00C231B3" w:rsidRPr="00795FF6" w:rsidRDefault="007E2168" w:rsidP="00C231B3">
      <w:pPr>
        <w:spacing w:before="240" w:line="360" w:lineRule="auto"/>
        <w:jc w:val="both"/>
        <w:rPr>
          <w:rFonts w:ascii="Palatino Linotype" w:hAnsi="Palatino Linotype" w:cs="Arial"/>
          <w:b/>
          <w:sz w:val="24"/>
          <w:szCs w:val="24"/>
        </w:rPr>
      </w:pPr>
      <w:r w:rsidRPr="00795FF6">
        <w:rPr>
          <w:rFonts w:ascii="Palatino Linotype" w:hAnsi="Palatino Linotype" w:cs="Arial"/>
          <w:b/>
          <w:sz w:val="28"/>
        </w:rPr>
        <w:t>CUARTO</w:t>
      </w:r>
      <w:r w:rsidR="00C231B3" w:rsidRPr="00795FF6">
        <w:rPr>
          <w:rFonts w:ascii="Palatino Linotype" w:hAnsi="Palatino Linotype" w:cs="Arial"/>
          <w:b/>
          <w:sz w:val="24"/>
          <w:szCs w:val="24"/>
        </w:rPr>
        <w:t xml:space="preserve">. </w:t>
      </w:r>
      <w:r w:rsidR="00C231B3" w:rsidRPr="00795FF6">
        <w:rPr>
          <w:rFonts w:ascii="Palatino Linotype" w:hAnsi="Palatino Linotype" w:cs="Arial"/>
          <w:b/>
          <w:sz w:val="28"/>
          <w:szCs w:val="28"/>
        </w:rPr>
        <w:t>Del turno del recurso de revisión.</w:t>
      </w:r>
    </w:p>
    <w:p w14:paraId="1D74CA2A" w14:textId="2369C7E8" w:rsidR="00C231B3" w:rsidRPr="00795FF6" w:rsidRDefault="00C231B3" w:rsidP="00C231B3">
      <w:pPr>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 xml:space="preserve">Medio de impugnación que le fue turnado al Comisionado </w:t>
      </w:r>
      <w:r w:rsidRPr="00795FF6">
        <w:rPr>
          <w:rFonts w:ascii="Palatino Linotype" w:hAnsi="Palatino Linotype" w:cs="Arial"/>
          <w:b/>
          <w:sz w:val="24"/>
          <w:szCs w:val="24"/>
        </w:rPr>
        <w:t>José Martínez Vilchis</w:t>
      </w:r>
      <w:r w:rsidRPr="00795FF6">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83D2D" w:rsidRPr="00795FF6">
        <w:rPr>
          <w:rFonts w:ascii="Palatino Linotype" w:hAnsi="Palatino Linotype" w:cs="Arial"/>
          <w:sz w:val="24"/>
          <w:szCs w:val="24"/>
        </w:rPr>
        <w:t xml:space="preserve"> </w:t>
      </w:r>
      <w:r w:rsidR="001F2F4C" w:rsidRPr="00795FF6">
        <w:rPr>
          <w:rFonts w:ascii="Palatino Linotype" w:hAnsi="Palatino Linotype" w:cs="Arial"/>
          <w:b/>
          <w:bCs/>
          <w:sz w:val="24"/>
          <w:szCs w:val="24"/>
        </w:rPr>
        <w:t>dieciocho de septiembre</w:t>
      </w:r>
      <w:r w:rsidR="00946F89" w:rsidRPr="00795FF6">
        <w:rPr>
          <w:rFonts w:ascii="Palatino Linotype" w:hAnsi="Palatino Linotype" w:cs="Arial"/>
          <w:b/>
          <w:bCs/>
          <w:sz w:val="24"/>
          <w:szCs w:val="24"/>
        </w:rPr>
        <w:t xml:space="preserve"> del presente, </w:t>
      </w:r>
      <w:r w:rsidRPr="00795FF6">
        <w:rPr>
          <w:rFonts w:ascii="Palatino Linotype" w:hAnsi="Palatino Linotype" w:cs="Arial"/>
          <w:sz w:val="24"/>
          <w:szCs w:val="24"/>
        </w:rPr>
        <w:t>determinándose en él, un plazo de siete días para que las partes manifestaran lo que a su derecho corresponda en términos del numeral ya citado.</w:t>
      </w:r>
    </w:p>
    <w:p w14:paraId="54106D07" w14:textId="62767498" w:rsidR="00C231B3" w:rsidRPr="00795FF6" w:rsidRDefault="003E01A4" w:rsidP="00C231B3">
      <w:pPr>
        <w:spacing w:before="240" w:line="360" w:lineRule="auto"/>
        <w:jc w:val="both"/>
        <w:rPr>
          <w:rFonts w:ascii="Palatino Linotype" w:hAnsi="Palatino Linotype" w:cs="Arial"/>
          <w:b/>
          <w:sz w:val="24"/>
          <w:szCs w:val="24"/>
        </w:rPr>
      </w:pPr>
      <w:r w:rsidRPr="00795FF6">
        <w:rPr>
          <w:rFonts w:ascii="Palatino Linotype" w:hAnsi="Palatino Linotype" w:cs="Arial"/>
          <w:b/>
          <w:sz w:val="28"/>
        </w:rPr>
        <w:lastRenderedPageBreak/>
        <w:t>QUINTO</w:t>
      </w:r>
      <w:r w:rsidR="00C231B3" w:rsidRPr="00795FF6">
        <w:rPr>
          <w:rFonts w:ascii="Palatino Linotype" w:hAnsi="Palatino Linotype" w:cs="Arial"/>
          <w:b/>
          <w:sz w:val="24"/>
          <w:szCs w:val="24"/>
        </w:rPr>
        <w:t xml:space="preserve">. </w:t>
      </w:r>
      <w:r w:rsidR="00C231B3" w:rsidRPr="00795FF6">
        <w:rPr>
          <w:rFonts w:ascii="Palatino Linotype" w:hAnsi="Palatino Linotype" w:cs="Arial"/>
          <w:b/>
          <w:sz w:val="28"/>
          <w:szCs w:val="28"/>
        </w:rPr>
        <w:t>De la etapa de instrucción.</w:t>
      </w:r>
    </w:p>
    <w:p w14:paraId="67C22A5C" w14:textId="44752AF6" w:rsidR="001F2F4C" w:rsidRPr="00795FF6" w:rsidRDefault="00C231B3" w:rsidP="00C231B3">
      <w:pPr>
        <w:spacing w:before="240" w:line="360" w:lineRule="auto"/>
        <w:jc w:val="both"/>
        <w:rPr>
          <w:rFonts w:ascii="Palatino Linotype" w:hAnsi="Palatino Linotype" w:cs="Arial"/>
          <w:b/>
          <w:sz w:val="24"/>
          <w:szCs w:val="24"/>
        </w:rPr>
      </w:pPr>
      <w:r w:rsidRPr="00795FF6">
        <w:rPr>
          <w:rFonts w:ascii="Palatino Linotype" w:hAnsi="Palatino Linotype" w:cs="Arial"/>
          <w:sz w:val="24"/>
          <w:szCs w:val="24"/>
        </w:rPr>
        <w:t xml:space="preserve">Así, una vez transcurrido el término legal referido, se advierte que </w:t>
      </w:r>
      <w:r w:rsidRPr="00795FF6">
        <w:rPr>
          <w:rFonts w:ascii="Palatino Linotype" w:hAnsi="Palatino Linotype" w:cs="Arial"/>
          <w:b/>
          <w:sz w:val="24"/>
          <w:szCs w:val="24"/>
        </w:rPr>
        <w:t xml:space="preserve">El Sujeto Obligado </w:t>
      </w:r>
      <w:r w:rsidR="00283D2D" w:rsidRPr="00795FF6">
        <w:rPr>
          <w:rFonts w:ascii="Palatino Linotype" w:hAnsi="Palatino Linotype" w:cs="Arial"/>
          <w:bCs/>
          <w:sz w:val="24"/>
          <w:szCs w:val="24"/>
        </w:rPr>
        <w:t>rindió su informe justificado en fecha</w:t>
      </w:r>
      <w:r w:rsidR="003E01A4" w:rsidRPr="00795FF6">
        <w:rPr>
          <w:rFonts w:ascii="Palatino Linotype" w:hAnsi="Palatino Linotype" w:cs="Arial"/>
          <w:bCs/>
          <w:sz w:val="24"/>
          <w:szCs w:val="24"/>
        </w:rPr>
        <w:t xml:space="preserve"> </w:t>
      </w:r>
      <w:r w:rsidR="001F2F4C" w:rsidRPr="00795FF6">
        <w:rPr>
          <w:rFonts w:ascii="Palatino Linotype" w:hAnsi="Palatino Linotype" w:cs="Arial"/>
          <w:b/>
          <w:sz w:val="24"/>
          <w:szCs w:val="24"/>
        </w:rPr>
        <w:t xml:space="preserve">veintinueve de septiembre de dos mil veinticinco, </w:t>
      </w:r>
      <w:r w:rsidR="001F2F4C" w:rsidRPr="00795FF6">
        <w:rPr>
          <w:rFonts w:ascii="Palatino Linotype" w:hAnsi="Palatino Linotype" w:cs="Arial"/>
          <w:bCs/>
          <w:sz w:val="24"/>
          <w:szCs w:val="24"/>
        </w:rPr>
        <w:t xml:space="preserve">mismo que fue puesto a la vista el </w:t>
      </w:r>
      <w:r w:rsidR="001F2F4C" w:rsidRPr="00795FF6">
        <w:rPr>
          <w:rFonts w:ascii="Palatino Linotype" w:hAnsi="Palatino Linotype" w:cs="Arial"/>
          <w:b/>
          <w:sz w:val="24"/>
          <w:szCs w:val="24"/>
        </w:rPr>
        <w:t xml:space="preserve">veintidós de octubre de los corrientes. </w:t>
      </w:r>
    </w:p>
    <w:p w14:paraId="0A1D3B11" w14:textId="267ED6A1" w:rsidR="001F2F4C" w:rsidRPr="00795FF6" w:rsidRDefault="001F2F4C" w:rsidP="001F2F4C">
      <w:pPr>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El día </w:t>
      </w:r>
      <w:r w:rsidRPr="00795FF6">
        <w:rPr>
          <w:rFonts w:ascii="Palatino Linotype" w:hAnsi="Palatino Linotype" w:cs="Arial"/>
          <w:b/>
          <w:bCs/>
          <w:sz w:val="24"/>
          <w:szCs w:val="24"/>
        </w:rPr>
        <w:t xml:space="preserve">veintidós de octubre de dos mil veinticinco, </w:t>
      </w:r>
      <w:r w:rsidRPr="00795FF6">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4D65688F" w14:textId="59551DA1" w:rsidR="001F2F4C" w:rsidRPr="00795FF6" w:rsidRDefault="001F2F4C" w:rsidP="001F2F4C">
      <w:pPr>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 xml:space="preserve">Por lo que una vez transcurrido el plazo establecido para que las partes manifestaran lo que a su derecho conviniera, en fecha </w:t>
      </w:r>
      <w:r w:rsidRPr="00795FF6">
        <w:rPr>
          <w:rFonts w:ascii="Palatino Linotype" w:hAnsi="Palatino Linotype" w:cs="Arial"/>
          <w:b/>
          <w:bCs/>
          <w:sz w:val="24"/>
          <w:szCs w:val="24"/>
        </w:rPr>
        <w:t xml:space="preserve">veintiocho de octubre de dos mil veinticinco, </w:t>
      </w:r>
      <w:r w:rsidRPr="00795FF6">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4A37CE6C" w14:textId="77777777" w:rsidR="001F2F4C" w:rsidRPr="00795FF6" w:rsidRDefault="001F2F4C" w:rsidP="00923519">
      <w:pPr>
        <w:spacing w:after="0" w:line="360" w:lineRule="auto"/>
        <w:jc w:val="both"/>
        <w:rPr>
          <w:rFonts w:ascii="Palatino Linotype" w:hAnsi="Palatino Linotype" w:cs="Arial"/>
          <w:sz w:val="24"/>
          <w:szCs w:val="24"/>
        </w:rPr>
      </w:pPr>
    </w:p>
    <w:p w14:paraId="03A7CFF3" w14:textId="0BAF934E" w:rsidR="00C231B3" w:rsidRPr="00795FF6" w:rsidRDefault="00C231B3" w:rsidP="00C231B3">
      <w:pPr>
        <w:spacing w:before="240" w:line="360" w:lineRule="auto"/>
        <w:jc w:val="center"/>
        <w:rPr>
          <w:rFonts w:ascii="Palatino Linotype" w:hAnsi="Palatino Linotype" w:cs="Arial"/>
          <w:b/>
          <w:sz w:val="24"/>
        </w:rPr>
      </w:pPr>
      <w:r w:rsidRPr="00795FF6">
        <w:rPr>
          <w:rFonts w:ascii="Palatino Linotype" w:hAnsi="Palatino Linotype" w:cs="Arial"/>
          <w:b/>
          <w:sz w:val="24"/>
        </w:rPr>
        <w:t xml:space="preserve">C O N S I D E R A N D O </w:t>
      </w:r>
    </w:p>
    <w:p w14:paraId="57E14EA7" w14:textId="77777777" w:rsidR="00C231B3" w:rsidRPr="00795FF6" w:rsidRDefault="00C231B3" w:rsidP="00C231B3">
      <w:pPr>
        <w:spacing w:before="240" w:line="360" w:lineRule="auto"/>
        <w:jc w:val="both"/>
        <w:rPr>
          <w:rFonts w:ascii="Palatino Linotype" w:hAnsi="Palatino Linotype" w:cs="Arial"/>
          <w:sz w:val="24"/>
        </w:rPr>
      </w:pPr>
      <w:r w:rsidRPr="00795FF6">
        <w:rPr>
          <w:rFonts w:ascii="Palatino Linotype" w:hAnsi="Palatino Linotype" w:cs="Arial"/>
          <w:b/>
          <w:sz w:val="28"/>
        </w:rPr>
        <w:t>PRIMERO.</w:t>
      </w:r>
      <w:r w:rsidRPr="00795FF6">
        <w:rPr>
          <w:rFonts w:ascii="Palatino Linotype" w:hAnsi="Palatino Linotype" w:cs="Arial"/>
          <w:b/>
        </w:rPr>
        <w:t xml:space="preserve"> </w:t>
      </w:r>
      <w:r w:rsidRPr="00795FF6">
        <w:rPr>
          <w:rFonts w:ascii="Palatino Linotype" w:hAnsi="Palatino Linotype" w:cs="Arial"/>
          <w:b/>
          <w:sz w:val="28"/>
          <w:szCs w:val="28"/>
        </w:rPr>
        <w:t>De la competencia</w:t>
      </w:r>
      <w:r w:rsidRPr="00795FF6">
        <w:rPr>
          <w:rFonts w:ascii="Palatino Linotype" w:hAnsi="Palatino Linotype" w:cs="Arial"/>
          <w:sz w:val="28"/>
          <w:szCs w:val="28"/>
        </w:rPr>
        <w:t>.</w:t>
      </w:r>
    </w:p>
    <w:p w14:paraId="1CC38E7D" w14:textId="77777777" w:rsidR="003E01A4" w:rsidRPr="00795FF6" w:rsidRDefault="003E01A4" w:rsidP="003E01A4">
      <w:pPr>
        <w:spacing w:line="360" w:lineRule="auto"/>
        <w:jc w:val="both"/>
        <w:rPr>
          <w:rFonts w:ascii="Palatino Linotype" w:hAnsi="Palatino Linotype"/>
          <w:sz w:val="24"/>
          <w:szCs w:val="24"/>
        </w:rPr>
      </w:pPr>
      <w:r w:rsidRPr="00795FF6">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w:t>
      </w:r>
      <w:r w:rsidRPr="00795FF6">
        <w:rPr>
          <w:rFonts w:ascii="Palatino Linotype" w:hAnsi="Palatino Linotype"/>
          <w:sz w:val="24"/>
          <w:szCs w:val="24"/>
        </w:rPr>
        <w:lastRenderedPageBreak/>
        <w:t xml:space="preserve">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8F34376" w14:textId="77777777" w:rsidR="003E01A4" w:rsidRPr="00795FF6" w:rsidRDefault="003E01A4" w:rsidP="00C231B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364D1C4" w14:textId="6BDEAF2D" w:rsidR="00C231B3" w:rsidRPr="00795FF6" w:rsidRDefault="00C231B3" w:rsidP="00C231B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795FF6">
        <w:rPr>
          <w:rFonts w:ascii="Palatino Linotype" w:hAnsi="Palatino Linotype" w:cs="Arial"/>
          <w:b/>
          <w:sz w:val="28"/>
          <w:lang w:val="es-MX"/>
        </w:rPr>
        <w:t>SEGUNDO</w:t>
      </w:r>
      <w:r w:rsidRPr="00795FF6">
        <w:rPr>
          <w:rFonts w:ascii="Palatino Linotype" w:hAnsi="Palatino Linotype" w:cs="Arial"/>
          <w:b/>
          <w:lang w:val="es-MX"/>
        </w:rPr>
        <w:t xml:space="preserve">. </w:t>
      </w:r>
      <w:r w:rsidRPr="00795FF6">
        <w:rPr>
          <w:rFonts w:ascii="Palatino Linotype" w:hAnsi="Palatino Linotype" w:cs="Arial"/>
          <w:b/>
          <w:sz w:val="28"/>
          <w:szCs w:val="28"/>
          <w:lang w:val="es-MX"/>
        </w:rPr>
        <w:t>Sobre los alcances del recurso de revisión.</w:t>
      </w:r>
      <w:r w:rsidRPr="00795FF6">
        <w:rPr>
          <w:rFonts w:ascii="Palatino Linotype" w:hAnsi="Palatino Linotype" w:cs="Arial"/>
          <w:b/>
          <w:lang w:val="es-MX"/>
        </w:rPr>
        <w:t xml:space="preserve"> </w:t>
      </w:r>
    </w:p>
    <w:p w14:paraId="5DD034CD" w14:textId="77777777" w:rsidR="00C231B3" w:rsidRPr="00795FF6" w:rsidRDefault="00C231B3"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5FF6">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CA8D3" w14:textId="77777777" w:rsidR="007653A0" w:rsidRPr="00795FF6" w:rsidRDefault="007653A0"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36F5B88" w14:textId="77777777" w:rsidR="00005478" w:rsidRPr="00795FF6" w:rsidRDefault="00005478" w:rsidP="00005478">
      <w:pPr>
        <w:tabs>
          <w:tab w:val="left" w:pos="709"/>
        </w:tabs>
        <w:spacing w:before="240" w:line="360" w:lineRule="auto"/>
        <w:ind w:right="51"/>
        <w:jc w:val="both"/>
        <w:rPr>
          <w:rFonts w:ascii="Palatino Linotype" w:hAnsi="Palatino Linotype"/>
          <w:b/>
          <w:sz w:val="28"/>
          <w:szCs w:val="28"/>
        </w:rPr>
      </w:pPr>
      <w:r w:rsidRPr="00795FF6">
        <w:rPr>
          <w:rFonts w:ascii="Palatino Linotype" w:hAnsi="Palatino Linotype"/>
          <w:b/>
          <w:sz w:val="28"/>
          <w:szCs w:val="28"/>
        </w:rPr>
        <w:lastRenderedPageBreak/>
        <w:t xml:space="preserve">TERCERO. </w:t>
      </w:r>
      <w:r w:rsidRPr="00795FF6">
        <w:rPr>
          <w:rFonts w:ascii="Palatino Linotype" w:hAnsi="Palatino Linotype" w:cs="Arial"/>
          <w:b/>
          <w:sz w:val="28"/>
          <w:szCs w:val="28"/>
        </w:rPr>
        <w:t>Del estudio de las causas de improcedencia y sobreseimiento</w:t>
      </w:r>
    </w:p>
    <w:p w14:paraId="22175782" w14:textId="77777777" w:rsidR="00005478" w:rsidRPr="00795FF6" w:rsidRDefault="00005478" w:rsidP="00005478">
      <w:pPr>
        <w:pStyle w:val="Prrafodelista"/>
        <w:autoSpaceDE w:val="0"/>
        <w:autoSpaceDN w:val="0"/>
        <w:adjustRightInd w:val="0"/>
        <w:spacing w:line="360" w:lineRule="auto"/>
        <w:ind w:left="0"/>
        <w:jc w:val="both"/>
        <w:rPr>
          <w:rFonts w:ascii="Palatino Linotype" w:hAnsi="Palatino Linotype" w:cs="Arial"/>
        </w:rPr>
      </w:pPr>
      <w:r w:rsidRPr="00795FF6">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795FF6">
        <w:rPr>
          <w:rFonts w:ascii="Palatino Linotype" w:hAnsi="Palatino Linotype" w:cs="Arial"/>
        </w:rPr>
        <w:t>procedibilidad</w:t>
      </w:r>
      <w:proofErr w:type="spellEnd"/>
      <w:r w:rsidRPr="00795FF6">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84EDAA" w14:textId="77777777" w:rsidR="00005478" w:rsidRPr="00795FF6" w:rsidRDefault="00005478" w:rsidP="00005478">
      <w:pPr>
        <w:pStyle w:val="Prrafodelista"/>
        <w:autoSpaceDE w:val="0"/>
        <w:autoSpaceDN w:val="0"/>
        <w:adjustRightInd w:val="0"/>
        <w:spacing w:line="360" w:lineRule="auto"/>
        <w:ind w:left="0"/>
        <w:jc w:val="both"/>
        <w:rPr>
          <w:rFonts w:ascii="Palatino Linotype" w:hAnsi="Palatino Linotype" w:cs="Arial"/>
        </w:rPr>
      </w:pPr>
      <w:r w:rsidRPr="00795FF6">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795FF6">
        <w:rPr>
          <w:rFonts w:ascii="Palatino Linotype" w:hAnsi="Palatino Linotype" w:cs="Arial"/>
        </w:rPr>
        <w:t>Resolutor</w:t>
      </w:r>
      <w:proofErr w:type="spellEnd"/>
      <w:r w:rsidRPr="00795FF6">
        <w:rPr>
          <w:rFonts w:ascii="Palatino Linotype" w:hAnsi="Palatino Linotype" w:cs="Arial"/>
        </w:rPr>
        <w:t>;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795FF6">
        <w:rPr>
          <w:rStyle w:val="Refdenotaalpie"/>
          <w:rFonts w:ascii="Palatino Linotype" w:hAnsi="Palatino Linotype" w:cs="Arial"/>
        </w:rPr>
        <w:footnoteReference w:id="1"/>
      </w:r>
      <w:r w:rsidRPr="00795FF6">
        <w:rPr>
          <w:rFonts w:ascii="Palatino Linotype" w:hAnsi="Palatino Linotype" w:cs="Arial"/>
        </w:rPr>
        <w:t>.</w:t>
      </w:r>
    </w:p>
    <w:p w14:paraId="2A9E91FD" w14:textId="77777777" w:rsidR="00005478" w:rsidRPr="00795FF6" w:rsidRDefault="00005478" w:rsidP="00005478">
      <w:pPr>
        <w:autoSpaceDE w:val="0"/>
        <w:autoSpaceDN w:val="0"/>
        <w:adjustRightInd w:val="0"/>
        <w:spacing w:line="360" w:lineRule="auto"/>
        <w:jc w:val="both"/>
        <w:rPr>
          <w:rFonts w:ascii="Palatino Linotype" w:hAnsi="Palatino Linotype" w:cs="Arial"/>
          <w:sz w:val="24"/>
          <w:szCs w:val="24"/>
        </w:rPr>
      </w:pPr>
      <w:r w:rsidRPr="00795FF6">
        <w:rPr>
          <w:rFonts w:ascii="Palatino Linotype" w:hAnsi="Palatino Linotype" w:cs="Arial"/>
          <w:sz w:val="24"/>
          <w:szCs w:val="24"/>
        </w:rPr>
        <w:lastRenderedPageBreak/>
        <w:t xml:space="preserve">En primer término es necesario hacer alusión a la solicitud de información ya que de ella deriva por un lado el procedimiento de acceso a la información ante </w:t>
      </w:r>
      <w:r w:rsidRPr="00795FF6">
        <w:rPr>
          <w:rFonts w:ascii="Palatino Linotype" w:hAnsi="Palatino Linotype" w:cs="Arial"/>
          <w:b/>
          <w:sz w:val="24"/>
          <w:szCs w:val="24"/>
        </w:rPr>
        <w:t>El Sujeto Obligado</w:t>
      </w:r>
      <w:r w:rsidRPr="00795FF6">
        <w:rPr>
          <w:rFonts w:ascii="Palatino Linotype" w:hAnsi="Palatino Linotype" w:cs="Arial"/>
          <w:sz w:val="24"/>
          <w:szCs w:val="24"/>
        </w:rPr>
        <w:t>,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0535ADF" w14:textId="77777777" w:rsidR="00005478" w:rsidRPr="00795FF6" w:rsidRDefault="00005478" w:rsidP="00005478">
      <w:pPr>
        <w:autoSpaceDE w:val="0"/>
        <w:autoSpaceDN w:val="0"/>
        <w:adjustRightInd w:val="0"/>
        <w:spacing w:line="360" w:lineRule="auto"/>
        <w:jc w:val="both"/>
        <w:rPr>
          <w:rFonts w:ascii="Palatino Linotype" w:hAnsi="Palatino Linotype" w:cs="Arial"/>
          <w:sz w:val="24"/>
          <w:szCs w:val="24"/>
        </w:rPr>
      </w:pPr>
      <w:r w:rsidRPr="00795FF6">
        <w:rPr>
          <w:rFonts w:ascii="Palatino Linotype" w:hAnsi="Palatino Linotype" w:cs="Arial"/>
          <w:sz w:val="24"/>
          <w:szCs w:val="24"/>
        </w:rPr>
        <w:t>Ya que el planteamiento del problema es de toral importancia, a efecto de determinar la intención o voluntad del</w:t>
      </w:r>
      <w:r w:rsidRPr="00795FF6">
        <w:rPr>
          <w:rFonts w:ascii="Palatino Linotype" w:hAnsi="Palatino Linotype" w:cs="Arial"/>
          <w:b/>
          <w:sz w:val="24"/>
          <w:szCs w:val="24"/>
        </w:rPr>
        <w:t xml:space="preserve"> Recurrente</w:t>
      </w:r>
      <w:r w:rsidRPr="00795FF6">
        <w:rPr>
          <w:rFonts w:ascii="Palatino Linotype" w:hAnsi="Palatino Linotype" w:cs="Arial"/>
          <w:sz w:val="24"/>
          <w:szCs w:val="24"/>
        </w:rPr>
        <w:t xml:space="preserve"> a la luz de la interpretación de la solicitud de información, y que puede generar de forma objetiva y material </w:t>
      </w:r>
      <w:r w:rsidRPr="00795FF6">
        <w:rPr>
          <w:rFonts w:ascii="Palatino Linotype" w:hAnsi="Palatino Linotype" w:cs="Arial"/>
          <w:b/>
          <w:sz w:val="24"/>
          <w:szCs w:val="24"/>
        </w:rPr>
        <w:t>El Sujeto Obligado</w:t>
      </w:r>
      <w:r w:rsidRPr="00795FF6">
        <w:rPr>
          <w:rFonts w:ascii="Palatino Linotype" w:hAnsi="Palatino Linotype" w:cs="Arial"/>
          <w:sz w:val="24"/>
          <w:szCs w:val="24"/>
        </w:rPr>
        <w:t xml:space="preserve"> que se relacione con esa intención, respecto del presente asunto se realiza a continuación.</w:t>
      </w:r>
    </w:p>
    <w:p w14:paraId="5885968E" w14:textId="111FB3F0" w:rsidR="008A256D" w:rsidRPr="00795FF6" w:rsidRDefault="008A256D" w:rsidP="008A256D">
      <w:pPr>
        <w:autoSpaceDE w:val="0"/>
        <w:autoSpaceDN w:val="0"/>
        <w:adjustRightInd w:val="0"/>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lastRenderedPageBreak/>
        <w:t xml:space="preserve">En una aproximación inicial, con relación a la solicitud de información </w:t>
      </w:r>
      <w:r w:rsidRPr="00795FF6">
        <w:rPr>
          <w:rFonts w:ascii="Palatino Linotype" w:hAnsi="Palatino Linotype" w:cs="Arial"/>
          <w:b/>
          <w:bCs/>
          <w:sz w:val="24"/>
          <w:szCs w:val="24"/>
        </w:rPr>
        <w:t xml:space="preserve">00308/SEDUI/IP/2025 </w:t>
      </w:r>
      <w:r w:rsidRPr="00795FF6">
        <w:rPr>
          <w:rFonts w:ascii="Palatino Linotype" w:hAnsi="Palatino Linotype" w:cs="Arial"/>
          <w:sz w:val="24"/>
          <w:szCs w:val="24"/>
        </w:rPr>
        <w:t xml:space="preserve">se desprenden las siguientes consideraciones: </w:t>
      </w:r>
    </w:p>
    <w:p w14:paraId="2D3352B7" w14:textId="77777777" w:rsidR="008A256D" w:rsidRPr="00795FF6" w:rsidRDefault="008A256D" w:rsidP="008347B2">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795FF6">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795FF6">
        <w:rPr>
          <w:rFonts w:ascii="Palatino Linotype" w:hAnsi="Palatino Linotype" w:cs="Arial"/>
          <w:b/>
          <w:bCs/>
          <w:lang w:val="es-MX"/>
        </w:rPr>
        <w:t xml:space="preserve">Sujetos Obligados. </w:t>
      </w:r>
    </w:p>
    <w:p w14:paraId="1E539351" w14:textId="0D16C4B9" w:rsidR="008A256D" w:rsidRPr="00795FF6" w:rsidRDefault="008A256D" w:rsidP="008347B2">
      <w:pPr>
        <w:pStyle w:val="Citas"/>
        <w:numPr>
          <w:ilvl w:val="0"/>
          <w:numId w:val="1"/>
        </w:numPr>
        <w:autoSpaceDE w:val="0"/>
        <w:autoSpaceDN w:val="0"/>
        <w:adjustRightInd w:val="0"/>
        <w:ind w:right="0"/>
        <w:rPr>
          <w:i w:val="0"/>
          <w:iCs/>
          <w:sz w:val="24"/>
          <w:szCs w:val="24"/>
        </w:rPr>
      </w:pPr>
      <w:r w:rsidRPr="00795FF6">
        <w:rPr>
          <w:i w:val="0"/>
          <w:iCs/>
          <w:sz w:val="24"/>
          <w:szCs w:val="24"/>
        </w:rPr>
        <w:t xml:space="preserve">Que </w:t>
      </w:r>
      <w:bookmarkStart w:id="1" w:name="_Hlk210365271"/>
      <w:r w:rsidRPr="00795FF6">
        <w:rPr>
          <w:i w:val="0"/>
          <w:iCs/>
          <w:sz w:val="24"/>
          <w:szCs w:val="24"/>
        </w:rPr>
        <w:t xml:space="preserve">fueron formulados </w:t>
      </w:r>
      <w:r w:rsidRPr="00795FF6">
        <w:rPr>
          <w:b/>
          <w:bCs/>
          <w:i w:val="0"/>
          <w:iCs/>
          <w:sz w:val="24"/>
          <w:szCs w:val="24"/>
        </w:rPr>
        <w:t xml:space="preserve">3 -tres- </w:t>
      </w:r>
      <w:r w:rsidRPr="00795FF6">
        <w:rPr>
          <w:i w:val="0"/>
          <w:iCs/>
          <w:sz w:val="24"/>
          <w:szCs w:val="24"/>
        </w:rPr>
        <w:t xml:space="preserve">requerimientos, sin </w:t>
      </w:r>
      <w:r w:rsidR="006C190A" w:rsidRPr="00795FF6">
        <w:rPr>
          <w:i w:val="0"/>
          <w:iCs/>
          <w:sz w:val="24"/>
          <w:szCs w:val="24"/>
        </w:rPr>
        <w:t>embargo,</w:t>
      </w:r>
      <w:r w:rsidRPr="00795FF6">
        <w:rPr>
          <w:i w:val="0"/>
          <w:iCs/>
          <w:sz w:val="24"/>
          <w:szCs w:val="24"/>
        </w:rPr>
        <w:t xml:space="preserve"> únicamente dos de ellos se estiman como derecho de acceso a la información, respecto de los cuales se destaca que no fue señalada temporalidad, debiendo de ser fijada a la fecha en que se ejerció la multicitada prerrogativa constitucional, es decir, al veintidós de agosto de dos mil veinticinco. </w:t>
      </w:r>
    </w:p>
    <w:bookmarkEnd w:id="1"/>
    <w:p w14:paraId="44E7F372" w14:textId="77777777" w:rsidR="00005478" w:rsidRPr="00795FF6" w:rsidRDefault="00005478" w:rsidP="008A256D">
      <w:pPr>
        <w:spacing w:before="240" w:line="360" w:lineRule="auto"/>
        <w:jc w:val="both"/>
        <w:rPr>
          <w:rFonts w:ascii="Palatino Linotype" w:hAnsi="Palatino Linotype"/>
          <w:sz w:val="24"/>
          <w:szCs w:val="24"/>
        </w:rPr>
      </w:pPr>
    </w:p>
    <w:p w14:paraId="704865D0" w14:textId="134E7B96" w:rsidR="008A256D" w:rsidRPr="00795FF6" w:rsidRDefault="008A256D" w:rsidP="008A256D">
      <w:pPr>
        <w:spacing w:before="240" w:line="360" w:lineRule="auto"/>
        <w:jc w:val="both"/>
        <w:rPr>
          <w:rFonts w:ascii="Palatino Linotype" w:hAnsi="Palatino Linotype"/>
          <w:sz w:val="24"/>
          <w:szCs w:val="24"/>
        </w:rPr>
      </w:pPr>
      <w:r w:rsidRPr="00795FF6">
        <w:rPr>
          <w:rFonts w:ascii="Palatino Linotype" w:hAnsi="Palatino Linotype"/>
          <w:sz w:val="24"/>
          <w:szCs w:val="24"/>
        </w:rPr>
        <w:t xml:space="preserve">Dichas precisiones, con fundamento en los artículos 13 y 181 cuarto párrafo de la Ley en materia, los cuales a la letra rezan: </w:t>
      </w:r>
    </w:p>
    <w:p w14:paraId="2476D56D" w14:textId="77777777" w:rsidR="008A256D" w:rsidRPr="00795FF6" w:rsidRDefault="008A256D" w:rsidP="008A256D">
      <w:pPr>
        <w:pStyle w:val="Citas"/>
      </w:pPr>
      <w:r w:rsidRPr="00795FF6">
        <w:rPr>
          <w:b/>
          <w:bCs/>
        </w:rPr>
        <w:t xml:space="preserve">“Artículo 13. </w:t>
      </w:r>
      <w:r w:rsidRPr="00795FF6">
        <w:t>El Instituto, en el ámbito de sus atribuciones, deberá suplir cualquier deficiencia para garantizar el ejercicio del derecho de acceso a la información.</w:t>
      </w:r>
    </w:p>
    <w:p w14:paraId="7DE6699F" w14:textId="77777777" w:rsidR="008A256D" w:rsidRPr="00795FF6" w:rsidRDefault="008A256D" w:rsidP="008A256D">
      <w:pPr>
        <w:pStyle w:val="Citas"/>
        <w:rPr>
          <w:b/>
        </w:rPr>
      </w:pPr>
      <w:r w:rsidRPr="00795FF6">
        <w:rPr>
          <w:b/>
        </w:rPr>
        <w:t xml:space="preserve">Artículo 181. … </w:t>
      </w:r>
    </w:p>
    <w:p w14:paraId="0B6EED5B" w14:textId="77777777" w:rsidR="008A256D" w:rsidRPr="00795FF6" w:rsidRDefault="008A256D" w:rsidP="008A256D">
      <w:pPr>
        <w:pStyle w:val="Citas"/>
        <w:rPr>
          <w:b/>
        </w:rPr>
      </w:pPr>
      <w:r w:rsidRPr="00795FF6">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95FF6">
        <w:rPr>
          <w:b/>
        </w:rPr>
        <w:t>[Sic]</w:t>
      </w:r>
    </w:p>
    <w:p w14:paraId="0C6B44C2" w14:textId="77777777" w:rsidR="008A256D" w:rsidRPr="00795FF6" w:rsidRDefault="008A256D" w:rsidP="008A256D">
      <w:pPr>
        <w:spacing w:before="240" w:line="360" w:lineRule="auto"/>
        <w:jc w:val="both"/>
        <w:rPr>
          <w:rFonts w:ascii="Palatino Linotype" w:hAnsi="Palatino Linotype"/>
          <w:sz w:val="24"/>
          <w:szCs w:val="24"/>
        </w:rPr>
      </w:pPr>
      <w:r w:rsidRPr="00795FF6">
        <w:rPr>
          <w:rFonts w:ascii="Palatino Linotype" w:hAnsi="Palatino Linotype"/>
          <w:sz w:val="24"/>
          <w:szCs w:val="24"/>
        </w:rPr>
        <w:lastRenderedPageBreak/>
        <w:t xml:space="preserve">Bajo estas líneas argumentativas, al retomar y delimitar los requerimientos formulados por el ahora </w:t>
      </w:r>
      <w:r w:rsidRPr="00795FF6">
        <w:rPr>
          <w:rFonts w:ascii="Palatino Linotype" w:hAnsi="Palatino Linotype"/>
          <w:b/>
          <w:bCs/>
          <w:sz w:val="24"/>
          <w:szCs w:val="24"/>
        </w:rPr>
        <w:t xml:space="preserve">Recurrente, </w:t>
      </w:r>
      <w:r w:rsidRPr="00795FF6">
        <w:rPr>
          <w:rFonts w:ascii="Palatino Linotype" w:hAnsi="Palatino Linotype"/>
          <w:sz w:val="24"/>
          <w:szCs w:val="24"/>
        </w:rPr>
        <w:t xml:space="preserve">de manera objetiva se precisa que versa en conocer la siguiente información: </w:t>
      </w:r>
    </w:p>
    <w:p w14:paraId="4DCC2EFC" w14:textId="2DF42DA8" w:rsidR="008A256D" w:rsidRPr="00795FF6" w:rsidRDefault="008A256D" w:rsidP="008347B2">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rPr>
        <w:t>Dictamen de factibilidad del fraccionamiento referido en la solicitud de información</w:t>
      </w:r>
      <w:r w:rsidR="00B06246" w:rsidRPr="00795FF6">
        <w:rPr>
          <w:rFonts w:ascii="Palatino Linotype" w:hAnsi="Palatino Linotype" w:cs="Arial"/>
        </w:rPr>
        <w:t xml:space="preserve">, al veintidós de agosto de dos mil veinticinco. </w:t>
      </w:r>
    </w:p>
    <w:p w14:paraId="053274F8" w14:textId="7516C301" w:rsidR="00B06246" w:rsidRPr="00795FF6" w:rsidRDefault="00B06246" w:rsidP="008347B2">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rPr>
        <w:t xml:space="preserve">El o los documentos donde conste el predio donado como área verde derivado de las obligaciones, al veintidós de agosto de dos mil veinticinco. </w:t>
      </w:r>
    </w:p>
    <w:p w14:paraId="699D68BC" w14:textId="3465E5B2" w:rsidR="00F315B9" w:rsidRPr="00795FF6" w:rsidRDefault="00F315B9" w:rsidP="008347B2">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rPr>
        <w:t>En caso de que no tenga el dictamen saber por qué no han actuado para la clausura o suspensión de la obra</w:t>
      </w:r>
    </w:p>
    <w:p w14:paraId="7590B508" w14:textId="77777777" w:rsidR="008A256D" w:rsidRPr="00795FF6" w:rsidRDefault="008A256D" w:rsidP="00182441">
      <w:pPr>
        <w:autoSpaceDE w:val="0"/>
        <w:autoSpaceDN w:val="0"/>
        <w:adjustRightInd w:val="0"/>
        <w:spacing w:before="240" w:line="360" w:lineRule="auto"/>
        <w:jc w:val="both"/>
        <w:rPr>
          <w:rFonts w:ascii="Palatino Linotype" w:hAnsi="Palatino Linotype" w:cs="Arial"/>
          <w:sz w:val="24"/>
          <w:szCs w:val="24"/>
        </w:rPr>
      </w:pPr>
    </w:p>
    <w:p w14:paraId="38D435E3" w14:textId="6E02F0CF" w:rsidR="008A256D" w:rsidRPr="00795FF6" w:rsidRDefault="00561822" w:rsidP="00182441">
      <w:pPr>
        <w:autoSpaceDE w:val="0"/>
        <w:autoSpaceDN w:val="0"/>
        <w:adjustRightInd w:val="0"/>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 xml:space="preserve">Inicialmente es conveniente acotar que el dictamen de factibilidad es un documento técnico o administrativo que </w:t>
      </w:r>
      <w:r w:rsidR="004D7F0B" w:rsidRPr="00795FF6">
        <w:rPr>
          <w:rFonts w:ascii="Palatino Linotype" w:hAnsi="Palatino Linotype" w:cs="Arial"/>
          <w:sz w:val="24"/>
          <w:szCs w:val="24"/>
        </w:rPr>
        <w:t>evalúa</w:t>
      </w:r>
      <w:r w:rsidRPr="00795FF6">
        <w:rPr>
          <w:rFonts w:ascii="Palatino Linotype" w:hAnsi="Palatino Linotype" w:cs="Arial"/>
          <w:sz w:val="24"/>
          <w:szCs w:val="24"/>
        </w:rPr>
        <w:t xml:space="preserve"> si un proyecto u obra puede realizarse de manera viable desde diferentes puntos de vista:</w:t>
      </w:r>
    </w:p>
    <w:p w14:paraId="4A036002" w14:textId="56BC61BD" w:rsidR="00561822" w:rsidRPr="00795FF6" w:rsidRDefault="00561822" w:rsidP="008347B2">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b/>
          <w:bCs/>
        </w:rPr>
        <w:t xml:space="preserve">Factibilidad técnica: </w:t>
      </w:r>
      <w:r w:rsidRPr="00795FF6">
        <w:rPr>
          <w:rFonts w:ascii="Palatino Linotype" w:hAnsi="Palatino Linotype" w:cs="Arial"/>
        </w:rPr>
        <w:t>Si existen los recursos, materiales, tecnología o infraestructura necesarios para llevarlo a cabo.</w:t>
      </w:r>
    </w:p>
    <w:p w14:paraId="7E86FE65" w14:textId="13FE618F" w:rsidR="00561822" w:rsidRPr="00795FF6" w:rsidRDefault="00561822" w:rsidP="008347B2">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b/>
          <w:bCs/>
        </w:rPr>
        <w:t xml:space="preserve">Factibilidad económica y financiera: </w:t>
      </w:r>
      <w:r w:rsidRPr="00795FF6">
        <w:rPr>
          <w:rFonts w:ascii="Palatino Linotype" w:hAnsi="Palatino Linotype" w:cs="Arial"/>
        </w:rPr>
        <w:t>Si el proyecto es rentable o sostenible económicamente.</w:t>
      </w:r>
    </w:p>
    <w:p w14:paraId="1BDA6872" w14:textId="780052C2" w:rsidR="00561822" w:rsidRPr="00795FF6" w:rsidRDefault="00561822" w:rsidP="008347B2">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b/>
          <w:bCs/>
        </w:rPr>
        <w:t xml:space="preserve">Factibilidad legal: </w:t>
      </w:r>
      <w:r w:rsidRPr="00795FF6">
        <w:rPr>
          <w:rFonts w:ascii="Palatino Linotype" w:hAnsi="Palatino Linotype" w:cs="Arial"/>
        </w:rPr>
        <w:t>Si cumple con las leyes, reglamentos y normativas vigentes.</w:t>
      </w:r>
    </w:p>
    <w:p w14:paraId="24E5ABB7" w14:textId="7BC6E71F" w:rsidR="00561822" w:rsidRPr="00795FF6" w:rsidRDefault="00561822" w:rsidP="008347B2">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b/>
          <w:bCs/>
        </w:rPr>
        <w:lastRenderedPageBreak/>
        <w:t xml:space="preserve">Factibilidad ambiental o urbana: </w:t>
      </w:r>
      <w:r w:rsidRPr="00795FF6">
        <w:rPr>
          <w:rFonts w:ascii="Palatino Linotype" w:hAnsi="Palatino Linotype" w:cs="Arial"/>
        </w:rPr>
        <w:t>Si el proyecto no afecta negativamente al medio ambiente ni contraviene planes de desarrollo urbano.</w:t>
      </w:r>
    </w:p>
    <w:p w14:paraId="19F95E34" w14:textId="68241698" w:rsidR="00561822" w:rsidRPr="00795FF6" w:rsidRDefault="00561822" w:rsidP="008347B2">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795FF6">
        <w:rPr>
          <w:rFonts w:ascii="Palatino Linotype" w:hAnsi="Palatino Linotype" w:cs="Arial"/>
          <w:b/>
          <w:bCs/>
        </w:rPr>
        <w:t xml:space="preserve">Factibilidad de servicios: </w:t>
      </w:r>
      <w:r w:rsidRPr="00795FF6">
        <w:rPr>
          <w:rFonts w:ascii="Palatino Linotype" w:hAnsi="Palatino Linotype" w:cs="Arial"/>
        </w:rPr>
        <w:t>Si la zona cuenta con servicios públicos (agua, luz, drenaje, vialidades, etc.) suficientes para soportar el proyecto.</w:t>
      </w:r>
    </w:p>
    <w:p w14:paraId="262AC795" w14:textId="77777777" w:rsidR="00561822" w:rsidRPr="00795FF6" w:rsidRDefault="00561822" w:rsidP="00182441">
      <w:pPr>
        <w:autoSpaceDE w:val="0"/>
        <w:autoSpaceDN w:val="0"/>
        <w:adjustRightInd w:val="0"/>
        <w:spacing w:before="240" w:line="360" w:lineRule="auto"/>
        <w:jc w:val="both"/>
        <w:rPr>
          <w:rFonts w:ascii="Palatino Linotype" w:hAnsi="Palatino Linotype" w:cs="Arial"/>
          <w:sz w:val="24"/>
          <w:szCs w:val="24"/>
        </w:rPr>
      </w:pPr>
    </w:p>
    <w:p w14:paraId="6F2D751E" w14:textId="0F4C1D44" w:rsidR="007653A0" w:rsidRPr="00795FF6" w:rsidRDefault="00561822" w:rsidP="00D870AC">
      <w:pPr>
        <w:spacing w:before="240" w:line="360" w:lineRule="auto"/>
        <w:jc w:val="both"/>
        <w:rPr>
          <w:rFonts w:ascii="Palatino Linotype" w:hAnsi="Palatino Linotype"/>
          <w:sz w:val="24"/>
          <w:szCs w:val="24"/>
        </w:rPr>
      </w:pPr>
      <w:r w:rsidRPr="00795FF6">
        <w:rPr>
          <w:rFonts w:ascii="Palatino Linotype" w:hAnsi="Palatino Linotype"/>
          <w:sz w:val="24"/>
          <w:szCs w:val="24"/>
        </w:rPr>
        <w:t xml:space="preserve">En virtud de lo anterior, el dictamen de factibilidad no autoriza directamente el inicio del proyecto, pero es un requisito previo para su aprobación o financiamiento, ya que demuestra que el proyecto es posible, conveniente y seguro de ejecutar. </w:t>
      </w:r>
    </w:p>
    <w:p w14:paraId="783E9D87" w14:textId="77777777" w:rsidR="00950625" w:rsidRPr="00795FF6" w:rsidRDefault="00950625" w:rsidP="00950625">
      <w:pPr>
        <w:spacing w:after="0" w:line="360" w:lineRule="auto"/>
        <w:jc w:val="both"/>
        <w:rPr>
          <w:rFonts w:ascii="Palatino Linotype" w:hAnsi="Palatino Linotype" w:cs="Arial"/>
          <w:noProof/>
          <w:color w:val="000000"/>
          <w:sz w:val="24"/>
          <w:lang w:eastAsia="es-MX"/>
        </w:rPr>
      </w:pPr>
      <w:r w:rsidRPr="00795FF6">
        <w:rPr>
          <w:rFonts w:ascii="Palatino Linotype" w:hAnsi="Palatino Linotype"/>
          <w:sz w:val="24"/>
          <w:szCs w:val="24"/>
        </w:rPr>
        <w:t xml:space="preserve">Una vez sentado lo anterior, a efecto de identificar las unidades administrativas competentes se </w:t>
      </w:r>
      <w:r w:rsidRPr="00795FF6">
        <w:rPr>
          <w:rFonts w:ascii="Palatino Linotype" w:hAnsi="Palatino Linotype" w:cs="Arial"/>
          <w:sz w:val="24"/>
          <w:szCs w:val="24"/>
        </w:rPr>
        <w:t xml:space="preserve">traen a colación los </w:t>
      </w:r>
      <w:r w:rsidRPr="00795FF6">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152E338A" w14:textId="77777777" w:rsidR="00950625" w:rsidRPr="00795FF6" w:rsidRDefault="00950625" w:rsidP="00950625">
      <w:pPr>
        <w:tabs>
          <w:tab w:val="left" w:pos="709"/>
        </w:tabs>
        <w:spacing w:before="240" w:line="360" w:lineRule="auto"/>
        <w:ind w:left="851" w:right="851"/>
        <w:jc w:val="both"/>
        <w:rPr>
          <w:rFonts w:ascii="Palatino Linotype" w:hAnsi="Palatino Linotype"/>
          <w:i/>
        </w:rPr>
      </w:pPr>
      <w:r w:rsidRPr="00795FF6">
        <w:rPr>
          <w:rFonts w:ascii="Palatino Linotype" w:hAnsi="Palatino Linotype"/>
          <w:i/>
        </w:rPr>
        <w:t>“Artículo 24. Para el cumplimiento de los objetivos de esta Ley, los sujetos obligados deberán cumplir con las siguientes obligaciones, según corresponda, de acuerdo a su naturaleza:</w:t>
      </w:r>
    </w:p>
    <w:p w14:paraId="287BF366" w14:textId="77777777" w:rsidR="00950625" w:rsidRPr="00795FF6" w:rsidRDefault="00950625" w:rsidP="00950625">
      <w:pPr>
        <w:tabs>
          <w:tab w:val="left" w:pos="709"/>
        </w:tabs>
        <w:spacing w:before="240" w:line="360" w:lineRule="auto"/>
        <w:ind w:left="851" w:right="851"/>
        <w:jc w:val="both"/>
        <w:rPr>
          <w:rFonts w:ascii="Palatino Linotype" w:hAnsi="Palatino Linotype"/>
          <w:i/>
        </w:rPr>
      </w:pPr>
      <w:r w:rsidRPr="00795FF6">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63567B9" w14:textId="77777777" w:rsidR="00950625" w:rsidRPr="00795FF6" w:rsidRDefault="00950625" w:rsidP="00950625">
      <w:pPr>
        <w:tabs>
          <w:tab w:val="left" w:pos="709"/>
        </w:tabs>
        <w:spacing w:before="240" w:line="360" w:lineRule="auto"/>
        <w:ind w:left="851" w:right="851"/>
        <w:jc w:val="both"/>
        <w:rPr>
          <w:rFonts w:ascii="Palatino Linotype" w:hAnsi="Palatino Linotype"/>
          <w:i/>
        </w:rPr>
      </w:pPr>
      <w:r w:rsidRPr="00795FF6">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795FF6">
        <w:rPr>
          <w:rFonts w:ascii="Palatino Linotype" w:hAnsi="Palatino Linotype"/>
          <w:i/>
        </w:rPr>
        <w:lastRenderedPageBreak/>
        <w:t>social, según corresponda, la información, por lo menos, de los temas, documentos y políticas que a continuación se señalan:</w:t>
      </w:r>
    </w:p>
    <w:p w14:paraId="39D8EB9D" w14:textId="75BD81FE" w:rsidR="00950625" w:rsidRPr="00795FF6" w:rsidRDefault="00950625" w:rsidP="00950625">
      <w:pPr>
        <w:pStyle w:val="INFOEM"/>
      </w:pPr>
      <w:r w:rsidRPr="00795FF6">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1D3C3D8" w14:textId="74961D45" w:rsidR="00950625" w:rsidRPr="00795FF6" w:rsidRDefault="00950625" w:rsidP="00950625">
      <w:pPr>
        <w:pStyle w:val="INFOEM"/>
        <w:rPr>
          <w:b/>
        </w:rPr>
      </w:pPr>
      <w:r w:rsidRPr="00795FF6">
        <w:t xml:space="preserve"> (…)” </w:t>
      </w:r>
      <w:r w:rsidRPr="00795FF6">
        <w:rPr>
          <w:b/>
        </w:rPr>
        <w:t xml:space="preserve">[Sic] </w:t>
      </w:r>
    </w:p>
    <w:p w14:paraId="095F59F6" w14:textId="01B9560F" w:rsidR="00B06246" w:rsidRPr="00795FF6" w:rsidRDefault="00B06246" w:rsidP="00D870AC">
      <w:pPr>
        <w:spacing w:before="240" w:line="360" w:lineRule="auto"/>
        <w:jc w:val="both"/>
        <w:rPr>
          <w:rFonts w:ascii="Palatino Linotype" w:hAnsi="Palatino Linotype"/>
          <w:sz w:val="24"/>
          <w:szCs w:val="24"/>
        </w:rPr>
      </w:pPr>
    </w:p>
    <w:p w14:paraId="46727FF4" w14:textId="265C66C5" w:rsidR="00950625" w:rsidRPr="00795FF6" w:rsidRDefault="00807B2F" w:rsidP="00950625">
      <w:pPr>
        <w:autoSpaceDE w:val="0"/>
        <w:autoSpaceDN w:val="0"/>
        <w:adjustRightInd w:val="0"/>
        <w:spacing w:line="360" w:lineRule="auto"/>
        <w:jc w:val="both"/>
        <w:rPr>
          <w:rFonts w:ascii="Palatino Linotype" w:hAnsi="Palatino Linotype" w:cs="Arial"/>
          <w:b/>
          <w:bCs/>
          <w:sz w:val="24"/>
          <w:szCs w:val="24"/>
        </w:rPr>
      </w:pPr>
      <w:r w:rsidRPr="00795FF6">
        <w:rPr>
          <w:rFonts w:ascii="Palatino Linotype" w:hAnsi="Palatino Linotype"/>
          <w:noProof/>
          <w:sz w:val="24"/>
          <w:szCs w:val="24"/>
          <w:lang w:eastAsia="es-MX"/>
        </w:rPr>
        <w:drawing>
          <wp:anchor distT="0" distB="0" distL="114300" distR="114300" simplePos="0" relativeHeight="251719680" behindDoc="0" locked="0" layoutInCell="1" allowOverlap="1" wp14:anchorId="504B00BC" wp14:editId="41DF5714">
            <wp:simplePos x="0" y="0"/>
            <wp:positionH relativeFrom="page">
              <wp:align>center</wp:align>
            </wp:positionH>
            <wp:positionV relativeFrom="paragraph">
              <wp:posOffset>954405</wp:posOffset>
            </wp:positionV>
            <wp:extent cx="5760720" cy="3409950"/>
            <wp:effectExtent l="19050" t="19050" r="11430" b="19050"/>
            <wp:wrapThrough wrapText="bothSides">
              <wp:wrapPolygon edited="0">
                <wp:start x="-71" y="-121"/>
                <wp:lineTo x="-71" y="21600"/>
                <wp:lineTo x="21571" y="21600"/>
                <wp:lineTo x="21571" y="-121"/>
                <wp:lineTo x="-71" y="-121"/>
              </wp:wrapPolygon>
            </wp:wrapThrough>
            <wp:docPr id="4546902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90285"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0625" w:rsidRPr="00795FF6">
        <w:rPr>
          <w:rFonts w:ascii="Palatino Linotype" w:hAnsi="Palatino Linotype"/>
          <w:sz w:val="24"/>
          <w:szCs w:val="24"/>
        </w:rPr>
        <w:t xml:space="preserve">Resulta oportuno traer a colación las siguientes imágenes ilustrativas, correspondientes al organigrama del </w:t>
      </w:r>
      <w:r w:rsidR="00950625" w:rsidRPr="00795FF6">
        <w:rPr>
          <w:rFonts w:ascii="Palatino Linotype" w:hAnsi="Palatino Linotype"/>
          <w:b/>
          <w:bCs/>
          <w:sz w:val="24"/>
          <w:szCs w:val="24"/>
        </w:rPr>
        <w:t xml:space="preserve">Sujeto Obligado: </w:t>
      </w:r>
    </w:p>
    <w:p w14:paraId="0A8C66BD" w14:textId="301C66FE" w:rsidR="00696AE9" w:rsidRPr="00795FF6" w:rsidRDefault="000A5269" w:rsidP="00807B2F">
      <w:pPr>
        <w:spacing w:before="240" w:line="360" w:lineRule="auto"/>
        <w:jc w:val="both"/>
        <w:rPr>
          <w:rFonts w:ascii="Palatino Linotype" w:hAnsi="Palatino Linotype" w:cs="Arial"/>
          <w:sz w:val="24"/>
          <w:szCs w:val="24"/>
        </w:rPr>
      </w:pPr>
      <w:r w:rsidRPr="00795FF6">
        <w:rPr>
          <w:rFonts w:ascii="Palatino Linotype" w:hAnsi="Palatino Linotype"/>
          <w:noProof/>
          <w:sz w:val="24"/>
          <w:szCs w:val="24"/>
          <w:lang w:eastAsia="es-MX"/>
        </w:rPr>
        <w:lastRenderedPageBreak/>
        <mc:AlternateContent>
          <mc:Choice Requires="wps">
            <w:drawing>
              <wp:anchor distT="0" distB="0" distL="114300" distR="114300" simplePos="0" relativeHeight="251721728" behindDoc="0" locked="0" layoutInCell="1" allowOverlap="1" wp14:anchorId="54B31447" wp14:editId="6E1A8A64">
                <wp:simplePos x="0" y="0"/>
                <wp:positionH relativeFrom="column">
                  <wp:posOffset>215265</wp:posOffset>
                </wp:positionH>
                <wp:positionV relativeFrom="paragraph">
                  <wp:posOffset>5077402</wp:posOffset>
                </wp:positionV>
                <wp:extent cx="5250873" cy="803564"/>
                <wp:effectExtent l="0" t="0" r="26035" b="15875"/>
                <wp:wrapNone/>
                <wp:docPr id="1131930447" name="Rectangle 4"/>
                <wp:cNvGraphicFramePr/>
                <a:graphic xmlns:a="http://schemas.openxmlformats.org/drawingml/2006/main">
                  <a:graphicData uri="http://schemas.microsoft.com/office/word/2010/wordprocessingShape">
                    <wps:wsp>
                      <wps:cNvSpPr/>
                      <wps:spPr>
                        <a:xfrm>
                          <a:off x="0" y="0"/>
                          <a:ext cx="5250873" cy="803564"/>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0E5744B" id="Rectangle 4" o:spid="_x0000_s1026" style="position:absolute;margin-left:16.95pt;margin-top:399.8pt;width:413.45pt;height:63.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" filled="f" strokecolor="#e00" strokeweight="1.25pt"/>
            </w:pict>
          </mc:Fallback>
        </mc:AlternateContent>
      </w:r>
      <w:r w:rsidRPr="00795FF6">
        <w:rPr>
          <w:rFonts w:ascii="Palatino Linotype" w:hAnsi="Palatino Linotype"/>
          <w:noProof/>
          <w:sz w:val="24"/>
          <w:szCs w:val="24"/>
          <w:lang w:eastAsia="es-MX"/>
        </w:rPr>
        <w:drawing>
          <wp:anchor distT="0" distB="0" distL="114300" distR="114300" simplePos="0" relativeHeight="251720704" behindDoc="0" locked="0" layoutInCell="1" allowOverlap="1" wp14:anchorId="4C55DF38" wp14:editId="755DFDF4">
            <wp:simplePos x="0" y="0"/>
            <wp:positionH relativeFrom="page">
              <wp:align>center</wp:align>
            </wp:positionH>
            <wp:positionV relativeFrom="paragraph">
              <wp:posOffset>3850822</wp:posOffset>
            </wp:positionV>
            <wp:extent cx="5760720" cy="3409950"/>
            <wp:effectExtent l="19050" t="19050" r="11430" b="19050"/>
            <wp:wrapThrough wrapText="bothSides">
              <wp:wrapPolygon edited="0">
                <wp:start x="-71" y="-121"/>
                <wp:lineTo x="-71" y="21600"/>
                <wp:lineTo x="21571" y="21600"/>
                <wp:lineTo x="21571" y="-121"/>
                <wp:lineTo x="-71" y="-121"/>
              </wp:wrapPolygon>
            </wp:wrapThrough>
            <wp:docPr id="633474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742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96AE9" w:rsidRPr="00795FF6">
        <w:rPr>
          <w:rFonts w:ascii="Palatino Linotype" w:hAnsi="Palatino Linotype" w:cs="Arial"/>
          <w:noProof/>
          <w:sz w:val="24"/>
          <w:szCs w:val="24"/>
          <w:lang w:eastAsia="es-MX"/>
        </w:rPr>
        <mc:AlternateContent>
          <mc:Choice Requires="wps">
            <w:drawing>
              <wp:anchor distT="0" distB="0" distL="114300" distR="114300" simplePos="0" relativeHeight="251722752" behindDoc="0" locked="0" layoutInCell="1" allowOverlap="1" wp14:anchorId="25E34E52" wp14:editId="640E95C1">
                <wp:simplePos x="0" y="0"/>
                <wp:positionH relativeFrom="column">
                  <wp:posOffset>284538</wp:posOffset>
                </wp:positionH>
                <wp:positionV relativeFrom="paragraph">
                  <wp:posOffset>1336675</wp:posOffset>
                </wp:positionV>
                <wp:extent cx="5195454" cy="713509"/>
                <wp:effectExtent l="0" t="0" r="24765" b="10795"/>
                <wp:wrapNone/>
                <wp:docPr id="778903704" name="Rectangle 7"/>
                <wp:cNvGraphicFramePr/>
                <a:graphic xmlns:a="http://schemas.openxmlformats.org/drawingml/2006/main">
                  <a:graphicData uri="http://schemas.microsoft.com/office/word/2010/wordprocessingShape">
                    <wps:wsp>
                      <wps:cNvSpPr/>
                      <wps:spPr>
                        <a:xfrm>
                          <a:off x="0" y="0"/>
                          <a:ext cx="5195454" cy="71350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54BA37" id="Rectangle 7" o:spid="_x0000_s1026" style="position:absolute;margin-left:22.4pt;margin-top:105.25pt;width:409.1pt;height:56.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" filled="f" strokecolor="#e00" strokeweight="1pt"/>
            </w:pict>
          </mc:Fallback>
        </mc:AlternateContent>
      </w:r>
      <w:r w:rsidR="00696AE9" w:rsidRPr="00795FF6">
        <w:rPr>
          <w:rFonts w:ascii="Palatino Linotype" w:hAnsi="Palatino Linotype" w:cs="Arial"/>
          <w:noProof/>
          <w:sz w:val="24"/>
          <w:szCs w:val="24"/>
          <w:lang w:eastAsia="es-MX"/>
        </w:rPr>
        <w:drawing>
          <wp:anchor distT="0" distB="0" distL="114300" distR="114300" simplePos="0" relativeHeight="251716607" behindDoc="0" locked="0" layoutInCell="1" allowOverlap="1" wp14:anchorId="10872044" wp14:editId="6DD8CFA5">
            <wp:simplePos x="0" y="0"/>
            <wp:positionH relativeFrom="page">
              <wp:align>center</wp:align>
            </wp:positionH>
            <wp:positionV relativeFrom="paragraph">
              <wp:posOffset>19223</wp:posOffset>
            </wp:positionV>
            <wp:extent cx="5760720" cy="3388995"/>
            <wp:effectExtent l="19050" t="19050" r="11430" b="20955"/>
            <wp:wrapThrough wrapText="bothSides">
              <wp:wrapPolygon edited="0">
                <wp:start x="-71" y="-121"/>
                <wp:lineTo x="-71" y="21612"/>
                <wp:lineTo x="21571" y="21612"/>
                <wp:lineTo x="21571" y="-121"/>
                <wp:lineTo x="-71" y="-121"/>
              </wp:wrapPolygon>
            </wp:wrapThrough>
            <wp:docPr id="161372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270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797" cy="339627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96AE9" w:rsidRPr="00795FF6">
        <w:rPr>
          <w:rFonts w:ascii="Palatino Linotype" w:hAnsi="Palatino Linotype" w:cs="Arial"/>
          <w:sz w:val="24"/>
          <w:szCs w:val="24"/>
        </w:rPr>
        <w:t xml:space="preserve"> </w:t>
      </w:r>
    </w:p>
    <w:p w14:paraId="548D5A72" w14:textId="4F9311A4" w:rsidR="000A5269" w:rsidRPr="00795FF6" w:rsidRDefault="000A5269" w:rsidP="000A5269">
      <w:pPr>
        <w:autoSpaceDE w:val="0"/>
        <w:autoSpaceDN w:val="0"/>
        <w:adjustRightInd w:val="0"/>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lastRenderedPageBreak/>
        <w:t xml:space="preserve">De lo expuesto con anterioridad, se desprende que </w:t>
      </w:r>
      <w:r w:rsidRPr="00795FF6">
        <w:rPr>
          <w:rFonts w:ascii="Palatino Linotype" w:hAnsi="Palatino Linotype" w:cs="Arial"/>
          <w:b/>
          <w:bCs/>
          <w:sz w:val="24"/>
          <w:szCs w:val="24"/>
        </w:rPr>
        <w:t xml:space="preserve">El Sujeto Obligado </w:t>
      </w:r>
      <w:r w:rsidRPr="00795FF6">
        <w:rPr>
          <w:rFonts w:ascii="Palatino Linotype" w:hAnsi="Palatino Linotype" w:cs="Arial"/>
          <w:sz w:val="24"/>
          <w:szCs w:val="24"/>
        </w:rPr>
        <w:t>se auxilia de diversas Coordinaciones, Direcciones y Departamentos para cumplir con sus fines y objetivos, resultando de nuestro interés la Dirección general de operación y control urbano</w:t>
      </w:r>
      <w:r w:rsidR="00696AE9" w:rsidRPr="00795FF6">
        <w:rPr>
          <w:rFonts w:ascii="Palatino Linotype" w:hAnsi="Palatino Linotype" w:cs="Arial"/>
          <w:sz w:val="24"/>
          <w:szCs w:val="24"/>
        </w:rPr>
        <w:t xml:space="preserve">, así como el Departamento de Integración de expedientes. </w:t>
      </w:r>
    </w:p>
    <w:p w14:paraId="2E015C0C" w14:textId="09E0060C" w:rsidR="000A5269" w:rsidRPr="00795FF6" w:rsidRDefault="000A5269" w:rsidP="000A5269">
      <w:pPr>
        <w:autoSpaceDE w:val="0"/>
        <w:autoSpaceDN w:val="0"/>
        <w:adjustRightInd w:val="0"/>
        <w:spacing w:before="240" w:line="360" w:lineRule="auto"/>
        <w:jc w:val="both"/>
        <w:rPr>
          <w:rFonts w:ascii="Palatino Linotype" w:hAnsi="Palatino Linotype"/>
          <w:sz w:val="24"/>
          <w:szCs w:val="24"/>
        </w:rPr>
      </w:pPr>
      <w:r w:rsidRPr="00795FF6">
        <w:rPr>
          <w:rFonts w:ascii="Palatino Linotype" w:hAnsi="Palatino Linotype" w:cs="Arial"/>
          <w:sz w:val="24"/>
          <w:szCs w:val="24"/>
        </w:rPr>
        <w:t>En virtud de lo anterior, para delimitar las fronteras conceptuales de la</w:t>
      </w:r>
      <w:r w:rsidR="00696AE9" w:rsidRPr="00795FF6">
        <w:rPr>
          <w:rFonts w:ascii="Palatino Linotype" w:hAnsi="Palatino Linotype" w:cs="Arial"/>
          <w:sz w:val="24"/>
          <w:szCs w:val="24"/>
        </w:rPr>
        <w:t>s</w:t>
      </w:r>
      <w:r w:rsidRPr="00795FF6">
        <w:rPr>
          <w:rFonts w:ascii="Palatino Linotype" w:hAnsi="Palatino Linotype" w:cs="Arial"/>
          <w:sz w:val="24"/>
          <w:szCs w:val="24"/>
        </w:rPr>
        <w:t xml:space="preserve"> unidad</w:t>
      </w:r>
      <w:r w:rsidR="00696AE9" w:rsidRPr="00795FF6">
        <w:rPr>
          <w:rFonts w:ascii="Palatino Linotype" w:hAnsi="Palatino Linotype" w:cs="Arial"/>
          <w:sz w:val="24"/>
          <w:szCs w:val="24"/>
        </w:rPr>
        <w:t>es</w:t>
      </w:r>
      <w:r w:rsidRPr="00795FF6">
        <w:rPr>
          <w:rFonts w:ascii="Palatino Linotype" w:hAnsi="Palatino Linotype" w:cs="Arial"/>
          <w:sz w:val="24"/>
          <w:szCs w:val="24"/>
        </w:rPr>
        <w:t xml:space="preserve"> administrativa</w:t>
      </w:r>
      <w:r w:rsidR="00696AE9" w:rsidRPr="00795FF6">
        <w:rPr>
          <w:rFonts w:ascii="Palatino Linotype" w:hAnsi="Palatino Linotype" w:cs="Arial"/>
          <w:sz w:val="24"/>
          <w:szCs w:val="24"/>
        </w:rPr>
        <w:t>s</w:t>
      </w:r>
      <w:r w:rsidRPr="00795FF6">
        <w:rPr>
          <w:rFonts w:ascii="Palatino Linotype" w:hAnsi="Palatino Linotype" w:cs="Arial"/>
          <w:sz w:val="24"/>
          <w:szCs w:val="24"/>
        </w:rPr>
        <w:t xml:space="preserve"> en cita, resulta oportuno traer a colación </w:t>
      </w:r>
      <w:r w:rsidR="00057DC8" w:rsidRPr="00795FF6">
        <w:rPr>
          <w:rFonts w:ascii="Palatino Linotype" w:hAnsi="Palatino Linotype" w:cs="Arial"/>
          <w:sz w:val="24"/>
          <w:szCs w:val="24"/>
        </w:rPr>
        <w:t xml:space="preserve">el apartado </w:t>
      </w:r>
      <w:r w:rsidR="00057DC8" w:rsidRPr="00795FF6">
        <w:rPr>
          <w:rFonts w:ascii="Palatino Linotype" w:hAnsi="Palatino Linotype"/>
          <w:b/>
          <w:bCs/>
          <w:sz w:val="24"/>
          <w:szCs w:val="24"/>
        </w:rPr>
        <w:t>23000203020001L</w:t>
      </w:r>
      <w:r w:rsidR="00057DC8" w:rsidRPr="00795FF6">
        <w:rPr>
          <w:rFonts w:ascii="Palatino Linotype" w:hAnsi="Palatino Linotype"/>
          <w:sz w:val="24"/>
          <w:szCs w:val="24"/>
        </w:rPr>
        <w:t xml:space="preserve"> “Departamento de Integración de expedientes” del Manual General de Organización de la Secretaría de Desarrollo Urbano e Infraestructura; </w:t>
      </w:r>
      <w:r w:rsidR="00696AE9" w:rsidRPr="00795FF6">
        <w:rPr>
          <w:rFonts w:ascii="Palatino Linotype" w:hAnsi="Palatino Linotype"/>
          <w:sz w:val="24"/>
          <w:szCs w:val="24"/>
        </w:rPr>
        <w:t xml:space="preserve">así como el artículo 13 del Reglamento Interior de la Secretaría de Desarrollo Urbano e </w:t>
      </w:r>
      <w:r w:rsidR="00242A11" w:rsidRPr="00795FF6">
        <w:rPr>
          <w:rFonts w:ascii="Palatino Linotype" w:hAnsi="Palatino Linotype"/>
          <w:sz w:val="24"/>
          <w:szCs w:val="24"/>
        </w:rPr>
        <w:t>Infraestructura, porciones</w:t>
      </w:r>
      <w:r w:rsidR="00057DC8" w:rsidRPr="00795FF6">
        <w:rPr>
          <w:rFonts w:ascii="Palatino Linotype" w:hAnsi="Palatino Linotype"/>
          <w:sz w:val="24"/>
          <w:szCs w:val="24"/>
        </w:rPr>
        <w:t xml:space="preserve"> normativas que disponen a la literalidad lo siguiente: </w:t>
      </w:r>
    </w:p>
    <w:p w14:paraId="796B4DC6" w14:textId="791AE33B" w:rsidR="00057DC8" w:rsidRPr="00795FF6" w:rsidRDefault="00057DC8" w:rsidP="00057DC8">
      <w:pPr>
        <w:pStyle w:val="Citas"/>
        <w:rPr>
          <w:b/>
          <w:bCs/>
          <w:i w:val="0"/>
          <w:iCs/>
        </w:rPr>
      </w:pPr>
      <w:r w:rsidRPr="00795FF6">
        <w:rPr>
          <w:b/>
          <w:bCs/>
          <w:i w:val="0"/>
          <w:iCs/>
        </w:rPr>
        <w:t>MANUAL GENERAL DE ORGANIZACIÓN DE LA SECRETARÍA DE DESARROLLO URBANO E INFRAESTRUCTURA</w:t>
      </w:r>
    </w:p>
    <w:p w14:paraId="6B98F1EA" w14:textId="519B2F94" w:rsidR="000A5269" w:rsidRPr="00795FF6" w:rsidRDefault="00057DC8" w:rsidP="00057DC8">
      <w:pPr>
        <w:pStyle w:val="Citas"/>
        <w:rPr>
          <w:b/>
          <w:bCs/>
        </w:rPr>
      </w:pPr>
      <w:r w:rsidRPr="00795FF6">
        <w:rPr>
          <w:b/>
          <w:bCs/>
        </w:rPr>
        <w:t>“</w:t>
      </w:r>
      <w:r w:rsidR="000A5269" w:rsidRPr="00795FF6">
        <w:rPr>
          <w:b/>
          <w:bCs/>
        </w:rPr>
        <w:t>23000203020001L DEPARTAMENTO DE INTEGRACIÓN DE EXPEDIENTES</w:t>
      </w:r>
    </w:p>
    <w:p w14:paraId="658585A2" w14:textId="77777777" w:rsidR="000A5269" w:rsidRPr="00795FF6" w:rsidRDefault="000A5269" w:rsidP="00057DC8">
      <w:pPr>
        <w:pStyle w:val="Citas"/>
      </w:pPr>
      <w:r w:rsidRPr="00795FF6">
        <w:t>OBJETIVO:</w:t>
      </w:r>
    </w:p>
    <w:p w14:paraId="7FA0D700" w14:textId="5FB39FA5" w:rsidR="000A5269" w:rsidRPr="00795FF6" w:rsidRDefault="000A5269" w:rsidP="00057DC8">
      <w:pPr>
        <w:pStyle w:val="Citas"/>
      </w:pPr>
      <w:r w:rsidRPr="00795FF6">
        <w:t>Integrar, clasificar, ordenar y resguardar los expedientes ingresados para el trámite de Evaluación Técnica de Impacto en materia Urbana y</w:t>
      </w:r>
      <w:r w:rsidR="00696AE9" w:rsidRPr="00795FF6">
        <w:t xml:space="preserve"> </w:t>
      </w:r>
      <w:r w:rsidRPr="00795FF6">
        <w:t>hasta su debida conclusión.</w:t>
      </w:r>
    </w:p>
    <w:p w14:paraId="575681F3" w14:textId="58652A09" w:rsidR="00950625" w:rsidRPr="00795FF6" w:rsidRDefault="000A5269" w:rsidP="00057DC8">
      <w:pPr>
        <w:pStyle w:val="Citas"/>
      </w:pPr>
      <w:r w:rsidRPr="00795FF6">
        <w:t>FUNCIONES:</w:t>
      </w:r>
    </w:p>
    <w:p w14:paraId="42268134" w14:textId="585C09E9" w:rsidR="00057DC8" w:rsidRPr="00795FF6" w:rsidRDefault="00057DC8" w:rsidP="00057DC8">
      <w:pPr>
        <w:pStyle w:val="Citas"/>
      </w:pPr>
      <w:r w:rsidRPr="00795FF6">
        <w:t>1. Integrar los expedientes de cada una de las solicitudes de Evaluación Técnica de Impacto en materia Urbana, verificando que obren</w:t>
      </w:r>
      <w:r w:rsidR="00696AE9" w:rsidRPr="00795FF6">
        <w:t xml:space="preserve"> </w:t>
      </w:r>
      <w:r w:rsidRPr="00795FF6">
        <w:t>todos los requisitos generales y específicos establecidos en la normatividad para su trámite.</w:t>
      </w:r>
    </w:p>
    <w:p w14:paraId="1EB511E4" w14:textId="2ECBE677" w:rsidR="00057DC8" w:rsidRPr="00795FF6" w:rsidRDefault="00057DC8" w:rsidP="00057DC8">
      <w:pPr>
        <w:pStyle w:val="Citas"/>
      </w:pPr>
      <w:r w:rsidRPr="00795FF6">
        <w:lastRenderedPageBreak/>
        <w:t>2. Guardar y custodiar los expedientes de la Evaluación Técnica de Impacto en materia Urbana, así como registrar la información</w:t>
      </w:r>
      <w:r w:rsidR="00696AE9" w:rsidRPr="00795FF6">
        <w:t xml:space="preserve"> </w:t>
      </w:r>
      <w:r w:rsidRPr="00795FF6">
        <w:t>correspondiente a los trámites subsecuentes.</w:t>
      </w:r>
    </w:p>
    <w:p w14:paraId="7C9112EC" w14:textId="2A73B0D6" w:rsidR="000A5269" w:rsidRPr="00795FF6" w:rsidRDefault="00057DC8" w:rsidP="00057DC8">
      <w:pPr>
        <w:pStyle w:val="Citas"/>
      </w:pPr>
      <w:r w:rsidRPr="00795FF6">
        <w:t>3. Desarrollar, actualizar e implementar instrumentos de control y consulta, que coadyuven a la adecuada administración de los</w:t>
      </w:r>
      <w:r w:rsidR="00696AE9" w:rsidRPr="00795FF6">
        <w:t xml:space="preserve"> </w:t>
      </w:r>
      <w:r w:rsidRPr="00795FF6">
        <w:t>expedientes, observando que se apeguen a lo establecido en el Manual General de Organización del Archivo General del Estado de</w:t>
      </w:r>
      <w:r w:rsidR="00696AE9" w:rsidRPr="00795FF6">
        <w:t xml:space="preserve"> </w:t>
      </w:r>
      <w:r w:rsidRPr="00795FF6">
        <w:t xml:space="preserve">México </w:t>
      </w:r>
    </w:p>
    <w:p w14:paraId="53DF3B6C" w14:textId="4CCBF89E" w:rsidR="00057DC8" w:rsidRPr="00795FF6" w:rsidRDefault="00057DC8" w:rsidP="00057DC8">
      <w:pPr>
        <w:pStyle w:val="Citas"/>
        <w:rPr>
          <w:b/>
          <w:bCs/>
          <w:u w:val="single"/>
        </w:rPr>
      </w:pPr>
      <w:r w:rsidRPr="00795FF6">
        <w:rPr>
          <w:b/>
          <w:bCs/>
          <w:u w:val="single"/>
        </w:rPr>
        <w:t>4. Integrar, depurar, foliar y controlar el archivo de concentración, correspondientes a los tramites de Dictamen de Impacto Regional,</w:t>
      </w:r>
      <w:r w:rsidR="00696AE9" w:rsidRPr="00795FF6">
        <w:rPr>
          <w:b/>
          <w:bCs/>
          <w:u w:val="single"/>
        </w:rPr>
        <w:t xml:space="preserve"> </w:t>
      </w:r>
      <w:r w:rsidRPr="00795FF6">
        <w:rPr>
          <w:b/>
          <w:bCs/>
          <w:u w:val="single"/>
        </w:rPr>
        <w:t>Dictamen Único de Factibilidad, Evaluación de Factibilidad de Impacto Urbano y la Evaluación Técnica de Impacto en materia Urbana,</w:t>
      </w:r>
      <w:r w:rsidR="00696AE9" w:rsidRPr="00795FF6">
        <w:rPr>
          <w:b/>
          <w:bCs/>
          <w:u w:val="single"/>
        </w:rPr>
        <w:t xml:space="preserve"> </w:t>
      </w:r>
      <w:r w:rsidRPr="00795FF6">
        <w:rPr>
          <w:b/>
          <w:bCs/>
          <w:u w:val="single"/>
        </w:rPr>
        <w:t>de acuerdo con la normatividad establecida.</w:t>
      </w:r>
    </w:p>
    <w:p w14:paraId="7577F806" w14:textId="61E16C33" w:rsidR="00057DC8" w:rsidRPr="00795FF6" w:rsidRDefault="00057DC8" w:rsidP="00057DC8">
      <w:pPr>
        <w:pStyle w:val="Citas"/>
      </w:pPr>
      <w:r w:rsidRPr="00795FF6">
        <w:t>5. Integrar, actualizar y dar mantenimiento a la base de datos de los expedientes que integran el archivo de la Dirección de Evaluaciones</w:t>
      </w:r>
      <w:r w:rsidR="00696AE9" w:rsidRPr="00795FF6">
        <w:t xml:space="preserve"> </w:t>
      </w:r>
      <w:r w:rsidRPr="00795FF6">
        <w:t>Técnicas de Impacto Urbano.</w:t>
      </w:r>
    </w:p>
    <w:p w14:paraId="528D7ED5" w14:textId="792BCEC2" w:rsidR="00057DC8" w:rsidRPr="00795FF6" w:rsidRDefault="00057DC8" w:rsidP="00057DC8">
      <w:pPr>
        <w:pStyle w:val="Citas"/>
      </w:pPr>
      <w:r w:rsidRPr="00795FF6">
        <w:t>6. Digitalizar los expedientes del archivo en concentración, con la finalidad de contar con el respaldo en medio digital y magnético para</w:t>
      </w:r>
      <w:r w:rsidR="00696AE9" w:rsidRPr="00795FF6">
        <w:t xml:space="preserve"> </w:t>
      </w:r>
      <w:r w:rsidRPr="00795FF6">
        <w:t>preservar y conservar la información a largo plazo.</w:t>
      </w:r>
    </w:p>
    <w:p w14:paraId="6786E298" w14:textId="20EED861" w:rsidR="00057DC8" w:rsidRPr="00795FF6" w:rsidRDefault="00057DC8" w:rsidP="00057DC8">
      <w:pPr>
        <w:pStyle w:val="Citas"/>
      </w:pPr>
      <w:r w:rsidRPr="00795FF6">
        <w:t>7. Realizar la búsqueda e integrar la documentación para la atención de las solicitudes de copias simples y/o copias certificadas ingresadas</w:t>
      </w:r>
      <w:r w:rsidR="00696AE9" w:rsidRPr="00795FF6">
        <w:t xml:space="preserve"> </w:t>
      </w:r>
      <w:r w:rsidRPr="00795FF6">
        <w:t>a la Dirección General de Operación y Control Urbano.</w:t>
      </w:r>
    </w:p>
    <w:p w14:paraId="17C829AD" w14:textId="0090C93C" w:rsidR="00057DC8" w:rsidRPr="00795FF6" w:rsidRDefault="00057DC8" w:rsidP="00057DC8">
      <w:pPr>
        <w:pStyle w:val="Citas"/>
      </w:pPr>
      <w:r w:rsidRPr="00795FF6">
        <w:t>8. Vigilar e implementar estrategias para la organización del archivo correspondiente a los expedientes integrados para el trámite y</w:t>
      </w:r>
      <w:r w:rsidR="00696AE9" w:rsidRPr="00795FF6">
        <w:t xml:space="preserve"> </w:t>
      </w:r>
      <w:r w:rsidRPr="00795FF6">
        <w:t xml:space="preserve">subsecuentes de la Evaluación Técnica </w:t>
      </w:r>
      <w:r w:rsidRPr="00795FF6">
        <w:lastRenderedPageBreak/>
        <w:t>de Impacto en materia Urbana; conforme a lo establecido en la Ley de Archivos y Administración</w:t>
      </w:r>
      <w:r w:rsidR="00696AE9" w:rsidRPr="00795FF6">
        <w:t xml:space="preserve"> </w:t>
      </w:r>
      <w:r w:rsidRPr="00795FF6">
        <w:t>de Documentos del Estado de México y Municipios.</w:t>
      </w:r>
    </w:p>
    <w:p w14:paraId="5A4FB621" w14:textId="7429C071" w:rsidR="00057DC8" w:rsidRPr="00795FF6" w:rsidRDefault="00057DC8" w:rsidP="00057DC8">
      <w:pPr>
        <w:pStyle w:val="Citas"/>
        <w:rPr>
          <w:b/>
          <w:bCs/>
        </w:rPr>
      </w:pPr>
      <w:r w:rsidRPr="00795FF6">
        <w:t xml:space="preserve">9. Desarrollar las demás funciones inherentes al área de su competencia.” </w:t>
      </w:r>
      <w:r w:rsidRPr="00795FF6">
        <w:rPr>
          <w:b/>
          <w:bCs/>
        </w:rPr>
        <w:t>(Sic)</w:t>
      </w:r>
    </w:p>
    <w:p w14:paraId="7EE34EBE" w14:textId="77777777" w:rsidR="00950625" w:rsidRPr="00795FF6" w:rsidRDefault="00950625" w:rsidP="000035CE">
      <w:pPr>
        <w:spacing w:before="240" w:line="360" w:lineRule="auto"/>
        <w:jc w:val="both"/>
        <w:rPr>
          <w:rFonts w:ascii="Palatino Linotype" w:hAnsi="Palatino Linotype"/>
          <w:sz w:val="24"/>
          <w:szCs w:val="24"/>
        </w:rPr>
      </w:pPr>
    </w:p>
    <w:p w14:paraId="1C9570CA" w14:textId="2C7F73FD" w:rsidR="00696AE9" w:rsidRPr="00795FF6" w:rsidRDefault="00696AE9" w:rsidP="00696AE9">
      <w:pPr>
        <w:pStyle w:val="Citas"/>
        <w:rPr>
          <w:b/>
          <w:bCs/>
          <w:i w:val="0"/>
          <w:iCs/>
        </w:rPr>
      </w:pPr>
      <w:r w:rsidRPr="00795FF6">
        <w:rPr>
          <w:b/>
          <w:bCs/>
          <w:i w:val="0"/>
          <w:iCs/>
        </w:rPr>
        <w:t xml:space="preserve">REGLAMENTO INTERIOR DE LA SECRETARÍA DE DESARROLLO URBANO E INFRAESTRUCTURA </w:t>
      </w:r>
    </w:p>
    <w:p w14:paraId="151E493D" w14:textId="1CDD6C28" w:rsidR="000035CE" w:rsidRPr="00795FF6" w:rsidRDefault="00696AE9" w:rsidP="00696AE9">
      <w:pPr>
        <w:pStyle w:val="Citas"/>
      </w:pPr>
      <w:r w:rsidRPr="00795FF6">
        <w:t>“Artículo 13. Al frente de la Dirección General de Operación y Control Urbano habrá una persona titular, a quien le corresponde el ejercicio de las atribuciones siguientes:</w:t>
      </w:r>
    </w:p>
    <w:p w14:paraId="010A8EAA" w14:textId="1B61DADE" w:rsidR="00696AE9" w:rsidRPr="00795FF6" w:rsidRDefault="00696AE9" w:rsidP="00696AE9">
      <w:pPr>
        <w:pStyle w:val="Citas"/>
      </w:pPr>
      <w:r w:rsidRPr="00795FF6">
        <w:t>(…)</w:t>
      </w:r>
    </w:p>
    <w:p w14:paraId="31C81A62" w14:textId="6F6EE229" w:rsidR="00696AE9" w:rsidRPr="00795FF6" w:rsidRDefault="00696AE9" w:rsidP="00696AE9">
      <w:pPr>
        <w:pStyle w:val="Citas"/>
      </w:pPr>
      <w:r w:rsidRPr="00795FF6">
        <w:t>IV. Vigilar el cumplimiento, en los conjuntos urbanos, de las normas técnicas en materia de desarrollo urbano, ordenación del territorio, vivienda y movilidad</w:t>
      </w:r>
    </w:p>
    <w:p w14:paraId="4518DEC3" w14:textId="5FD8A014" w:rsidR="00696AE9" w:rsidRPr="00795FF6" w:rsidRDefault="00696AE9" w:rsidP="00696AE9">
      <w:pPr>
        <w:pStyle w:val="Citas"/>
      </w:pPr>
      <w:r w:rsidRPr="00795FF6">
        <w:t>(…)</w:t>
      </w:r>
    </w:p>
    <w:p w14:paraId="58BFD82B" w14:textId="4F0558C2" w:rsidR="00696AE9" w:rsidRPr="00795FF6" w:rsidRDefault="00696AE9" w:rsidP="00696AE9">
      <w:pPr>
        <w:pStyle w:val="Citas"/>
      </w:pPr>
      <w:r w:rsidRPr="00795FF6">
        <w:t xml:space="preserve">VIII. Analizar, evaluar, dictaminar la factibilidad y autorizar los conjuntos urbanos, condominios, subdivisiones, fusiones, </w:t>
      </w:r>
      <w:proofErr w:type="spellStart"/>
      <w:r w:rsidRPr="00795FF6">
        <w:t>relotificaciones</w:t>
      </w:r>
      <w:proofErr w:type="spellEnd"/>
      <w:r w:rsidRPr="00795FF6">
        <w:t xml:space="preserve"> de predios y demás, establecidas en los ordenamientos jurídicos aplicables;</w:t>
      </w:r>
    </w:p>
    <w:p w14:paraId="5771C101" w14:textId="39257A7D" w:rsidR="00696AE9" w:rsidRPr="00795FF6" w:rsidRDefault="00696AE9" w:rsidP="00696AE9">
      <w:pPr>
        <w:pStyle w:val="Citas"/>
        <w:rPr>
          <w:b/>
          <w:bCs/>
        </w:rPr>
      </w:pPr>
      <w:r w:rsidRPr="00795FF6">
        <w:t xml:space="preserve">(…)” </w:t>
      </w:r>
      <w:r w:rsidRPr="00795FF6">
        <w:rPr>
          <w:b/>
          <w:bCs/>
        </w:rPr>
        <w:t>(Sic)</w:t>
      </w:r>
    </w:p>
    <w:p w14:paraId="2E46630D" w14:textId="77777777" w:rsidR="00696AE9" w:rsidRPr="00795FF6" w:rsidRDefault="00696AE9" w:rsidP="00D870AC">
      <w:pPr>
        <w:spacing w:before="240" w:line="360" w:lineRule="auto"/>
        <w:jc w:val="both"/>
        <w:rPr>
          <w:rFonts w:ascii="Palatino Linotype" w:hAnsi="Palatino Linotype"/>
          <w:sz w:val="24"/>
          <w:szCs w:val="24"/>
        </w:rPr>
      </w:pPr>
    </w:p>
    <w:p w14:paraId="39C69D54" w14:textId="77777777" w:rsidR="00120BDC" w:rsidRPr="00795FF6" w:rsidRDefault="00120BDC" w:rsidP="00120BDC">
      <w:pPr>
        <w:spacing w:line="360" w:lineRule="auto"/>
        <w:jc w:val="both"/>
        <w:rPr>
          <w:rFonts w:ascii="Palatino Linotype" w:hAnsi="Palatino Linotype" w:cs="Arial"/>
          <w:sz w:val="24"/>
          <w:szCs w:val="24"/>
        </w:rPr>
      </w:pPr>
      <w:r w:rsidRPr="00795FF6">
        <w:rPr>
          <w:rFonts w:ascii="Palatino Linotype" w:eastAsia="Arial Unicode MS" w:hAnsi="Palatino Linotype"/>
          <w:sz w:val="24"/>
          <w:szCs w:val="24"/>
        </w:rPr>
        <w:t xml:space="preserve">Por consiguiente, en términos de </w:t>
      </w:r>
      <w:r w:rsidRPr="00795FF6">
        <w:rPr>
          <w:rFonts w:ascii="Palatino Linotype" w:hAnsi="Palatino Linotype" w:cs="Arial"/>
          <w:sz w:val="24"/>
          <w:szCs w:val="24"/>
        </w:rPr>
        <w:t xml:space="preserve">los numerales 18 y 19 de la Ley de Transparencia local existe obligación de documentar actos de autoridad, así como una presunción de </w:t>
      </w:r>
      <w:r w:rsidRPr="00795FF6">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138E76CF" w14:textId="77777777" w:rsidR="00120BDC" w:rsidRPr="00795FF6" w:rsidRDefault="00120BDC" w:rsidP="00120BDC">
      <w:pPr>
        <w:pStyle w:val="Citas"/>
      </w:pPr>
      <w:r w:rsidRPr="00795FF6">
        <w:t xml:space="preserve">“Artículo 18. Los sujetos obligados deberán documentar todo acto que derive del ejercicio de sus facultades, competencias o funciones, considerando desde su origen la eventual publicidad y reutilización de la información que generen. </w:t>
      </w:r>
    </w:p>
    <w:p w14:paraId="5B70AE20" w14:textId="77777777" w:rsidR="00120BDC" w:rsidRPr="00795FF6" w:rsidRDefault="00120BDC" w:rsidP="00120BDC">
      <w:pPr>
        <w:pStyle w:val="Citas"/>
      </w:pPr>
      <w:r w:rsidRPr="00795FF6">
        <w:t xml:space="preserve">Artículo 19. Se presume que la información debe existir si se refiere a las facultades, competencias y funciones que los ordenamientos jurídicos aplicables otorgan a los sujetos obligados. </w:t>
      </w:r>
    </w:p>
    <w:p w14:paraId="0CD4F40B" w14:textId="77777777" w:rsidR="00120BDC" w:rsidRPr="00795FF6" w:rsidRDefault="00120BDC" w:rsidP="00120BDC">
      <w:pPr>
        <w:pStyle w:val="Citas"/>
      </w:pPr>
      <w:r w:rsidRPr="00795FF6">
        <w:t xml:space="preserve">En los casos en que ciertas facultades, competencias o funciones no se hayan ejercido, se debe motivar la respuesta en función de las causas que motiven tal circunstancia. </w:t>
      </w:r>
    </w:p>
    <w:p w14:paraId="60A30B7B" w14:textId="77777777" w:rsidR="00120BDC" w:rsidRPr="00795FF6" w:rsidRDefault="00120BDC" w:rsidP="00120BDC">
      <w:pPr>
        <w:pStyle w:val="Citas"/>
        <w:rPr>
          <w:b/>
          <w:bCs/>
          <w:sz w:val="24"/>
          <w:szCs w:val="24"/>
        </w:rPr>
      </w:pPr>
      <w:r w:rsidRPr="00795FF6">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95FF6">
        <w:rPr>
          <w:b/>
          <w:bCs/>
        </w:rPr>
        <w:t>(Sic)</w:t>
      </w:r>
    </w:p>
    <w:p w14:paraId="3686C4A5" w14:textId="77777777" w:rsidR="00807B2F" w:rsidRPr="00795FF6" w:rsidRDefault="00807B2F" w:rsidP="00D922C3">
      <w:pPr>
        <w:pStyle w:val="Prrafodelista"/>
        <w:autoSpaceDE w:val="0"/>
        <w:autoSpaceDN w:val="0"/>
        <w:adjustRightInd w:val="0"/>
        <w:spacing w:before="240" w:after="160" w:line="360" w:lineRule="auto"/>
        <w:ind w:left="0"/>
        <w:jc w:val="both"/>
        <w:rPr>
          <w:rFonts w:ascii="Palatino Linotype" w:hAnsi="Palatino Linotype" w:cs="Arial"/>
          <w:lang w:val="es-MX" w:eastAsia="es-MX"/>
        </w:rPr>
      </w:pPr>
    </w:p>
    <w:p w14:paraId="41F6F795" w14:textId="62E64235" w:rsidR="00D922C3" w:rsidRPr="00795FF6"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r w:rsidRPr="00795FF6">
        <w:rPr>
          <w:rFonts w:ascii="Palatino Linotype" w:hAnsi="Palatino Linotype" w:cs="Arial"/>
          <w:lang w:val="es-MX" w:eastAsia="es-MX"/>
        </w:rPr>
        <w:t xml:space="preserve">Una vez sentado lo anterior, como se mencionó en el antecedente </w:t>
      </w:r>
      <w:r w:rsidR="0034146C" w:rsidRPr="00795FF6">
        <w:rPr>
          <w:rFonts w:ascii="Palatino Linotype" w:hAnsi="Palatino Linotype" w:cs="Arial"/>
          <w:lang w:val="es-MX" w:eastAsia="es-MX"/>
        </w:rPr>
        <w:t>segundo</w:t>
      </w:r>
      <w:r w:rsidRPr="00795FF6">
        <w:rPr>
          <w:rFonts w:ascii="Palatino Linotype" w:hAnsi="Palatino Linotype" w:cs="Arial"/>
          <w:lang w:val="es-MX" w:eastAsia="es-MX"/>
        </w:rPr>
        <w:t xml:space="preserve"> </w:t>
      </w:r>
      <w:r w:rsidRPr="00795FF6">
        <w:rPr>
          <w:rFonts w:ascii="Palatino Linotype" w:hAnsi="Palatino Linotype" w:cs="Arial"/>
          <w:b/>
          <w:bCs/>
          <w:lang w:val="es-MX" w:eastAsia="es-MX"/>
        </w:rPr>
        <w:t xml:space="preserve">El Sujeto Obligado </w:t>
      </w:r>
      <w:r w:rsidRPr="00795FF6">
        <w:rPr>
          <w:rFonts w:ascii="Palatino Linotype" w:hAnsi="Palatino Linotype" w:cs="Arial"/>
          <w:bCs/>
          <w:lang w:val="es-MX" w:eastAsia="es-MX"/>
        </w:rPr>
        <w:t>rindió su respuesta,</w:t>
      </w:r>
      <w:r w:rsidR="00855078" w:rsidRPr="00795FF6">
        <w:rPr>
          <w:rFonts w:ascii="Palatino Linotype" w:hAnsi="Palatino Linotype" w:cs="Arial"/>
          <w:bCs/>
          <w:lang w:val="es-MX" w:eastAsia="es-MX"/>
        </w:rPr>
        <w:t xml:space="preserve"> </w:t>
      </w:r>
      <w:r w:rsidR="00F55095" w:rsidRPr="00795FF6">
        <w:rPr>
          <w:rFonts w:ascii="Palatino Linotype" w:hAnsi="Palatino Linotype" w:cs="Arial"/>
          <w:bCs/>
          <w:lang w:val="es-MX" w:eastAsia="es-MX"/>
        </w:rPr>
        <w:t xml:space="preserve">adjuntando para tal efecto lo siguiente: </w:t>
      </w:r>
    </w:p>
    <w:p w14:paraId="0374EB0E" w14:textId="53545271" w:rsidR="00F315B9" w:rsidRPr="00795FF6" w:rsidRDefault="0034146C" w:rsidP="008347B2">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795FF6">
        <w:rPr>
          <w:rFonts w:ascii="Palatino Linotype" w:hAnsi="Palatino Linotype" w:cs="Arial"/>
          <w:b/>
          <w:lang w:eastAsia="es-MX"/>
        </w:rPr>
        <w:t>“</w:t>
      </w:r>
      <w:r w:rsidR="00F315B9" w:rsidRPr="00795FF6">
        <w:rPr>
          <w:rFonts w:ascii="Palatino Linotype" w:hAnsi="Palatino Linotype" w:cs="Arial"/>
          <w:b/>
          <w:bCs/>
        </w:rPr>
        <w:t xml:space="preserve">R.DGCIE. 308-2025.pdf”: </w:t>
      </w:r>
      <w:r w:rsidR="00F315B9" w:rsidRPr="00795FF6">
        <w:rPr>
          <w:rFonts w:ascii="Palatino Linotype" w:hAnsi="Palatino Linotype" w:cs="Arial"/>
        </w:rPr>
        <w:t xml:space="preserve">Oficio número </w:t>
      </w:r>
      <w:r w:rsidR="00F315B9" w:rsidRPr="00795FF6">
        <w:rPr>
          <w:rFonts w:ascii="Palatino Linotype" w:hAnsi="Palatino Linotype" w:cs="Arial"/>
          <w:b/>
          <w:bCs/>
        </w:rPr>
        <w:t>230B01010-00912/2025</w:t>
      </w:r>
      <w:r w:rsidR="00F315B9" w:rsidRPr="00795FF6">
        <w:rPr>
          <w:rFonts w:ascii="Palatino Linotype" w:hAnsi="Palatino Linotype" w:cs="Arial"/>
        </w:rPr>
        <w:t xml:space="preserve"> signado por la directora de la comisión de impacto estatal, dirigido al titular de la unidad de transparencia, de fecha cinco de septiembre de dos mil veinticinco, en lo medular resulta de nuestro interés el siguiente extracto:</w:t>
      </w:r>
    </w:p>
    <w:p w14:paraId="7A29C4A5" w14:textId="5178D6A3" w:rsidR="00F315B9" w:rsidRPr="00795FF6" w:rsidRDefault="00F315B9" w:rsidP="00F315B9">
      <w:pPr>
        <w:pStyle w:val="Prrafodelista"/>
        <w:autoSpaceDE w:val="0"/>
        <w:autoSpaceDN w:val="0"/>
        <w:adjustRightInd w:val="0"/>
        <w:spacing w:before="240" w:line="360" w:lineRule="auto"/>
        <w:ind w:left="720"/>
        <w:jc w:val="both"/>
        <w:rPr>
          <w:rFonts w:ascii="Palatino Linotype" w:hAnsi="Palatino Linotype" w:cs="Arial"/>
          <w:b/>
          <w:i/>
          <w:iCs/>
          <w:lang w:eastAsia="es-MX"/>
        </w:rPr>
      </w:pPr>
      <w:r w:rsidRPr="00795FF6">
        <w:rPr>
          <w:rFonts w:ascii="Palatino Linotype" w:hAnsi="Palatino Linotype" w:cs="Arial"/>
          <w:bCs/>
          <w:i/>
          <w:iCs/>
          <w:lang w:eastAsia="es-MX"/>
        </w:rPr>
        <w:lastRenderedPageBreak/>
        <w:t xml:space="preserve">“En este sentido, me permito comentarle, que se realizó una búsqueda exhaustiva y razonable en los archivos que conforman esta Comisión, en relación a “Dictamen de factibilidad del fraccionamiento Terra Nova que se está construyendo en la Calle Uruapan, Colonia Las Jaras, San Jorge Pueblo Nuevo en Metepec” (sic) sin embargo, se informa que no fue localizada la información solicitada, respecto a “y en caso de que no tenga el dictamen saber </w:t>
      </w:r>
      <w:proofErr w:type="spellStart"/>
      <w:r w:rsidRPr="00795FF6">
        <w:rPr>
          <w:rFonts w:ascii="Palatino Linotype" w:hAnsi="Palatino Linotype" w:cs="Arial"/>
          <w:bCs/>
          <w:i/>
          <w:iCs/>
          <w:lang w:eastAsia="es-MX"/>
        </w:rPr>
        <w:t>por que</w:t>
      </w:r>
      <w:proofErr w:type="spellEnd"/>
      <w:r w:rsidRPr="00795FF6">
        <w:rPr>
          <w:rFonts w:ascii="Palatino Linotype" w:hAnsi="Palatino Linotype" w:cs="Arial"/>
          <w:bCs/>
          <w:i/>
          <w:iCs/>
          <w:lang w:eastAsia="es-MX"/>
        </w:rPr>
        <w:t xml:space="preserve"> no han actuado para la clausura o suspensión de la obra…” (</w:t>
      </w:r>
      <w:proofErr w:type="gramStart"/>
      <w:r w:rsidRPr="00795FF6">
        <w:rPr>
          <w:rFonts w:ascii="Palatino Linotype" w:hAnsi="Palatino Linotype" w:cs="Arial"/>
          <w:bCs/>
          <w:i/>
          <w:iCs/>
          <w:lang w:eastAsia="es-MX"/>
        </w:rPr>
        <w:t>sic</w:t>
      </w:r>
      <w:proofErr w:type="gramEnd"/>
      <w:r w:rsidRPr="00795FF6">
        <w:rPr>
          <w:rFonts w:ascii="Palatino Linotype" w:hAnsi="Palatino Linotype" w:cs="Arial"/>
          <w:bCs/>
          <w:i/>
          <w:iCs/>
          <w:lang w:eastAsia="es-MX"/>
        </w:rPr>
        <w:t xml:space="preserve">) se le informa al solicitante que realizar clausuras y/o suspensiones de obra NO son atribuciones con las que cuente esta Comisión de Impacto Estatal” </w:t>
      </w:r>
      <w:r w:rsidRPr="00795FF6">
        <w:rPr>
          <w:rFonts w:ascii="Palatino Linotype" w:hAnsi="Palatino Linotype" w:cs="Arial"/>
          <w:b/>
          <w:i/>
          <w:iCs/>
          <w:lang w:eastAsia="es-MX"/>
        </w:rPr>
        <w:t xml:space="preserve">(Sic) </w:t>
      </w:r>
    </w:p>
    <w:p w14:paraId="56CE2998" w14:textId="77777777" w:rsidR="00F315B9" w:rsidRPr="00795FF6" w:rsidRDefault="00F315B9" w:rsidP="00F315B9">
      <w:pPr>
        <w:pStyle w:val="Prrafodelista"/>
        <w:autoSpaceDE w:val="0"/>
        <w:autoSpaceDN w:val="0"/>
        <w:adjustRightInd w:val="0"/>
        <w:spacing w:before="240" w:line="360" w:lineRule="auto"/>
        <w:ind w:left="720"/>
        <w:jc w:val="both"/>
        <w:rPr>
          <w:rFonts w:ascii="Palatino Linotype" w:hAnsi="Palatino Linotype" w:cs="Arial"/>
          <w:b/>
          <w:i/>
          <w:iCs/>
          <w:lang w:eastAsia="es-MX"/>
        </w:rPr>
      </w:pPr>
    </w:p>
    <w:p w14:paraId="7C81CCC2" w14:textId="5AC3E30B" w:rsidR="008E1B79" w:rsidRPr="00795FF6" w:rsidRDefault="00F315B9" w:rsidP="008347B2">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795FF6">
        <w:rPr>
          <w:rFonts w:ascii="Palatino Linotype" w:hAnsi="Palatino Linotype" w:cs="Arial"/>
        </w:rPr>
        <w:t xml:space="preserve"> </w:t>
      </w:r>
      <w:r w:rsidRPr="00795FF6">
        <w:rPr>
          <w:rFonts w:ascii="Palatino Linotype" w:hAnsi="Palatino Linotype" w:cs="Arial"/>
          <w:b/>
          <w:bCs/>
        </w:rPr>
        <w:t xml:space="preserve">“UT 308-2025.pdf”: </w:t>
      </w:r>
      <w:r w:rsidRPr="00795FF6">
        <w:rPr>
          <w:rFonts w:ascii="Palatino Linotype" w:hAnsi="Palatino Linotype" w:cs="Arial"/>
        </w:rPr>
        <w:t xml:space="preserve">Oficio número </w:t>
      </w:r>
      <w:r w:rsidRPr="00795FF6">
        <w:rPr>
          <w:rFonts w:ascii="Palatino Linotype" w:hAnsi="Palatino Linotype" w:cs="Arial"/>
          <w:b/>
          <w:bCs/>
        </w:rPr>
        <w:t xml:space="preserve">SEDUI-CI-0910/2025 </w:t>
      </w:r>
      <w:r w:rsidRPr="00795FF6">
        <w:rPr>
          <w:rFonts w:ascii="Palatino Linotype" w:hAnsi="Palatino Linotype" w:cs="Arial"/>
        </w:rPr>
        <w:t xml:space="preserve">signado por el titular de la unidad de transparencia, dirigido al ciudadano, de fecha diez de septiembre de dos mil veinticinco, refiere adjuntar oficio de respuesta emitido por el servidor público habilitado estimado competente. </w:t>
      </w:r>
    </w:p>
    <w:p w14:paraId="0BB82AC4" w14:textId="77777777" w:rsidR="00F315B9" w:rsidRPr="00795FF6" w:rsidRDefault="00F315B9" w:rsidP="008E1B79">
      <w:pPr>
        <w:spacing w:before="240" w:line="360" w:lineRule="auto"/>
        <w:jc w:val="both"/>
        <w:rPr>
          <w:rFonts w:ascii="Palatino Linotype" w:hAnsi="Palatino Linotype" w:cs="Arial"/>
          <w:sz w:val="24"/>
          <w:szCs w:val="24"/>
        </w:rPr>
      </w:pPr>
    </w:p>
    <w:p w14:paraId="347583F9" w14:textId="434CF068" w:rsidR="008E1B79" w:rsidRPr="00795FF6" w:rsidRDefault="00957643" w:rsidP="008E1B79">
      <w:pPr>
        <w:spacing w:before="240" w:line="360" w:lineRule="auto"/>
        <w:jc w:val="both"/>
        <w:rPr>
          <w:rFonts w:ascii="Palatino Linotype" w:hAnsi="Palatino Linotype"/>
          <w:sz w:val="24"/>
          <w:szCs w:val="24"/>
          <w:lang w:eastAsia="es-MX"/>
        </w:rPr>
      </w:pPr>
      <w:r w:rsidRPr="00795FF6">
        <w:rPr>
          <w:rFonts w:ascii="Palatino Linotype" w:hAnsi="Palatino Linotype" w:cs="Arial"/>
          <w:sz w:val="24"/>
          <w:szCs w:val="24"/>
        </w:rPr>
        <w:t>En las generalizaciones anteriores</w:t>
      </w:r>
      <w:r w:rsidR="008E1B79" w:rsidRPr="00795FF6">
        <w:rPr>
          <w:rFonts w:ascii="Palatino Linotype" w:hAnsi="Palatino Linotype" w:cs="Arial"/>
          <w:sz w:val="24"/>
          <w:szCs w:val="24"/>
        </w:rPr>
        <w:t xml:space="preserve">, se comprende que </w:t>
      </w:r>
      <w:r w:rsidR="008E1B79" w:rsidRPr="00795FF6">
        <w:rPr>
          <w:rFonts w:ascii="Palatino Linotype" w:hAnsi="Palatino Linotype" w:cs="Arial"/>
          <w:b/>
          <w:bCs/>
          <w:sz w:val="24"/>
          <w:szCs w:val="24"/>
        </w:rPr>
        <w:t xml:space="preserve">El Sujeto Obligado </w:t>
      </w:r>
      <w:r w:rsidR="008E1B79" w:rsidRPr="00795FF6">
        <w:rPr>
          <w:rFonts w:ascii="Palatino Linotype" w:hAnsi="Palatino Linotype" w:cs="Arial"/>
          <w:sz w:val="24"/>
          <w:szCs w:val="24"/>
        </w:rPr>
        <w:t xml:space="preserve">observó de forma diligente el </w:t>
      </w:r>
      <w:r w:rsidR="008E1B79" w:rsidRPr="00795FF6">
        <w:rPr>
          <w:rFonts w:ascii="Palatino Linotype" w:hAnsi="Palatino Linotype"/>
          <w:sz w:val="24"/>
          <w:szCs w:val="24"/>
          <w:lang w:eastAsia="es-MX"/>
        </w:rPr>
        <w:t>numeral 162, de la Ley de Transparencia y Acceso a la Información Pública del Estado de México y Municipios, que índica:</w:t>
      </w:r>
    </w:p>
    <w:p w14:paraId="1B54B95B" w14:textId="77777777" w:rsidR="008E1B79" w:rsidRPr="00795FF6" w:rsidRDefault="008E1B79" w:rsidP="008E1B79">
      <w:pPr>
        <w:pStyle w:val="Citas"/>
        <w:rPr>
          <w:b/>
          <w:bCs/>
        </w:rPr>
      </w:pPr>
      <w:r w:rsidRPr="00795FF6">
        <w:t>“</w:t>
      </w:r>
      <w:r w:rsidRPr="00795FF6">
        <w:rPr>
          <w:b/>
          <w:bCs/>
        </w:rPr>
        <w:t xml:space="preserve">Artículo 162. </w:t>
      </w:r>
      <w:r w:rsidRPr="00795FF6">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795FF6">
        <w:rPr>
          <w:b/>
          <w:bCs/>
        </w:rPr>
        <w:t>(Sic)</w:t>
      </w:r>
    </w:p>
    <w:p w14:paraId="6776FC23" w14:textId="4D30A69A" w:rsidR="008E1B79" w:rsidRPr="00795FF6" w:rsidRDefault="008E1B79" w:rsidP="008E1B79">
      <w:pPr>
        <w:spacing w:before="240" w:line="360" w:lineRule="auto"/>
        <w:jc w:val="both"/>
        <w:rPr>
          <w:rFonts w:ascii="Arial" w:hAnsi="Arial" w:cs="Arial"/>
          <w:color w:val="222222"/>
          <w:sz w:val="24"/>
          <w:szCs w:val="24"/>
          <w:lang w:eastAsia="es-MX"/>
        </w:rPr>
      </w:pPr>
      <w:r w:rsidRPr="00795FF6">
        <w:rPr>
          <w:rFonts w:ascii="Palatino Linotype" w:hAnsi="Palatino Linotype" w:cs="Arial"/>
          <w:sz w:val="24"/>
          <w:szCs w:val="24"/>
        </w:rPr>
        <w:lastRenderedPageBreak/>
        <w:t>De manera complementaria,</w:t>
      </w:r>
      <w:r w:rsidRPr="00795FF6">
        <w:rPr>
          <w:rFonts w:ascii="Palatino Linotype" w:hAnsi="Palatino Linotype" w:cs="Arial"/>
        </w:rPr>
        <w:t xml:space="preserve"> </w:t>
      </w:r>
      <w:r w:rsidRPr="00795FF6">
        <w:rPr>
          <w:rFonts w:ascii="Palatino Linotype" w:hAnsi="Palatino Linotype" w:cs="Arial"/>
          <w:sz w:val="24"/>
          <w:szCs w:val="24"/>
        </w:rPr>
        <w:t xml:space="preserve">con base en una interpretación literal y gramatical </w:t>
      </w:r>
      <w:r w:rsidR="00F315B9" w:rsidRPr="00795FF6">
        <w:rPr>
          <w:rFonts w:ascii="Palatino Linotype" w:hAnsi="Palatino Linotype" w:cs="Arial"/>
          <w:sz w:val="24"/>
          <w:szCs w:val="24"/>
        </w:rPr>
        <w:t>a la respuesta primigenia</w:t>
      </w:r>
      <w:r w:rsidRPr="00795FF6">
        <w:rPr>
          <w:rFonts w:ascii="Palatino Linotype" w:eastAsia="Calibri" w:hAnsi="Palatino Linotype" w:cs="Arial"/>
          <w:b/>
          <w:lang w:eastAsia="es-MX"/>
        </w:rPr>
        <w:t xml:space="preserve">, </w:t>
      </w:r>
      <w:r w:rsidRPr="00795FF6">
        <w:rPr>
          <w:rFonts w:ascii="Palatino Linotype" w:hAnsi="Palatino Linotype" w:cs="Arial"/>
          <w:noProof/>
          <w:color w:val="000000"/>
          <w:sz w:val="24"/>
          <w:szCs w:val="24"/>
          <w:lang w:eastAsia="es-MX"/>
        </w:rPr>
        <w:t xml:space="preserve">se destaca que </w:t>
      </w:r>
      <w:bookmarkStart w:id="2" w:name="_Hlk211859758"/>
      <w:r w:rsidRPr="00795FF6">
        <w:rPr>
          <w:rFonts w:ascii="Palatino Linotype" w:hAnsi="Palatino Linotype"/>
          <w:sz w:val="24"/>
          <w:szCs w:val="24"/>
        </w:rPr>
        <w:t xml:space="preserve">el Pleno del Órgano Garante local ha sostenido que, </w:t>
      </w:r>
      <w:r w:rsidRPr="00795FF6">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795FF6">
        <w:rPr>
          <w:rFonts w:ascii="Palatino Linotype" w:hAnsi="Palatino Linotype" w:cs="Arial"/>
          <w:color w:val="222222"/>
          <w:sz w:val="24"/>
          <w:szCs w:val="24"/>
        </w:rPr>
        <w:t>:</w:t>
      </w:r>
    </w:p>
    <w:p w14:paraId="5AB3A766" w14:textId="77777777" w:rsidR="008E1B79" w:rsidRPr="00795FF6" w:rsidRDefault="008E1B79" w:rsidP="008E1B79">
      <w:pPr>
        <w:pStyle w:val="Prrafodelista"/>
        <w:spacing w:before="240" w:line="360" w:lineRule="auto"/>
        <w:ind w:left="720" w:right="851"/>
        <w:jc w:val="both"/>
        <w:rPr>
          <w:rFonts w:ascii="Arial" w:hAnsi="Arial" w:cs="Arial"/>
          <w:color w:val="222222"/>
        </w:rPr>
      </w:pPr>
      <w:r w:rsidRPr="00795FF6">
        <w:rPr>
          <w:rFonts w:ascii="Palatino Linotype" w:hAnsi="Palatino Linotype" w:cs="Arial"/>
          <w:color w:val="222222"/>
        </w:rPr>
        <w:t> </w:t>
      </w:r>
      <w:r w:rsidRPr="00795FF6">
        <w:rPr>
          <w:rFonts w:ascii="Palatino Linotype" w:hAnsi="Palatino Linotype" w:cs="Arial"/>
          <w:b/>
          <w:bCs/>
          <w:i/>
          <w:iCs/>
          <w:color w:val="222222"/>
        </w:rPr>
        <w:t>“HECHOS NEGATIVOS, NO SON SUSCEPTIBLES DE DEMOSTRACION.</w:t>
      </w:r>
    </w:p>
    <w:p w14:paraId="3929E858" w14:textId="77777777" w:rsidR="008E1B79" w:rsidRPr="00795FF6" w:rsidRDefault="008E1B79" w:rsidP="008E1B79">
      <w:pPr>
        <w:pStyle w:val="Prrafodelista"/>
        <w:spacing w:before="240" w:line="360" w:lineRule="auto"/>
        <w:ind w:left="720" w:right="851"/>
        <w:jc w:val="both"/>
        <w:rPr>
          <w:rFonts w:ascii="Palatino Linotype" w:hAnsi="Palatino Linotype" w:cs="Arial"/>
          <w:i/>
          <w:iCs/>
          <w:color w:val="222222"/>
        </w:rPr>
      </w:pPr>
      <w:r w:rsidRPr="00795FF6">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795FF6">
        <w:rPr>
          <w:rFonts w:ascii="Palatino Linotype" w:hAnsi="Palatino Linotype" w:cs="Arial"/>
          <w:b/>
          <w:i/>
          <w:iCs/>
          <w:color w:val="222222"/>
        </w:rPr>
        <w:t>[Sic]</w:t>
      </w:r>
    </w:p>
    <w:p w14:paraId="770A99F3" w14:textId="77777777" w:rsidR="00FB6FE1" w:rsidRPr="00795FF6" w:rsidRDefault="00FB6FE1" w:rsidP="008E1B79">
      <w:pPr>
        <w:spacing w:before="240" w:line="360" w:lineRule="auto"/>
        <w:jc w:val="both"/>
        <w:rPr>
          <w:rFonts w:ascii="Palatino Linotype" w:hAnsi="Palatino Linotype" w:cs="Arial"/>
          <w:sz w:val="24"/>
          <w:szCs w:val="24"/>
        </w:rPr>
      </w:pPr>
    </w:p>
    <w:p w14:paraId="2F623A72" w14:textId="3F553511" w:rsidR="00F315B9" w:rsidRPr="00795FF6" w:rsidRDefault="00F0221A" w:rsidP="00FB6FE1">
      <w:pPr>
        <w:spacing w:before="240" w:line="360" w:lineRule="auto"/>
        <w:jc w:val="both"/>
        <w:rPr>
          <w:rFonts w:ascii="Palatino Linotype" w:hAnsi="Palatino Linotype" w:cs="Arial"/>
          <w:sz w:val="24"/>
          <w:szCs w:val="24"/>
        </w:rPr>
      </w:pPr>
      <w:r w:rsidRPr="00795FF6">
        <w:rPr>
          <w:rFonts w:ascii="Palatino Linotype" w:hAnsi="Palatino Linotype" w:cs="Arial"/>
          <w:sz w:val="24"/>
          <w:szCs w:val="24"/>
        </w:rPr>
        <w:t>Dentro de este orden de ideas</w:t>
      </w:r>
      <w:r w:rsidR="00FB6FE1" w:rsidRPr="00795FF6">
        <w:rPr>
          <w:rFonts w:ascii="Palatino Linotype" w:hAnsi="Palatino Linotype" w:cs="Arial"/>
          <w:sz w:val="24"/>
          <w:szCs w:val="24"/>
        </w:rPr>
        <w:t xml:space="preserve">, dicho pronunciamiento es susceptible de colmar el </w:t>
      </w:r>
      <w:r w:rsidR="00F315B9" w:rsidRPr="00795FF6">
        <w:rPr>
          <w:rFonts w:ascii="Palatino Linotype" w:hAnsi="Palatino Linotype" w:cs="Arial"/>
          <w:sz w:val="24"/>
          <w:szCs w:val="24"/>
        </w:rPr>
        <w:t xml:space="preserve">requerimiento </w:t>
      </w:r>
      <w:r w:rsidR="00F51A0A" w:rsidRPr="00795FF6">
        <w:rPr>
          <w:rFonts w:ascii="Palatino Linotype" w:hAnsi="Palatino Linotype" w:cs="Arial"/>
          <w:sz w:val="24"/>
          <w:szCs w:val="24"/>
        </w:rPr>
        <w:t xml:space="preserve">identificado con el numeral </w:t>
      </w:r>
      <w:r w:rsidR="00F51A0A" w:rsidRPr="00795FF6">
        <w:rPr>
          <w:rFonts w:ascii="Palatino Linotype" w:hAnsi="Palatino Linotype" w:cs="Arial"/>
          <w:b/>
          <w:bCs/>
          <w:sz w:val="24"/>
          <w:szCs w:val="24"/>
        </w:rPr>
        <w:t xml:space="preserve">1 -uno-, </w:t>
      </w:r>
      <w:r w:rsidR="00F51A0A" w:rsidRPr="00795FF6">
        <w:rPr>
          <w:rFonts w:ascii="Palatino Linotype" w:hAnsi="Palatino Linotype" w:cs="Arial"/>
          <w:sz w:val="24"/>
          <w:szCs w:val="24"/>
        </w:rPr>
        <w:t xml:space="preserve">mismo que fue el único abordado mediante respuesta primigenia. </w:t>
      </w:r>
    </w:p>
    <w:bookmarkEnd w:id="2"/>
    <w:p w14:paraId="0B3D4B0D" w14:textId="151D6A1C" w:rsidR="0058592D" w:rsidRPr="00795FF6" w:rsidRDefault="00FB6FE1" w:rsidP="00FF281C">
      <w:pPr>
        <w:spacing w:before="240" w:line="360" w:lineRule="auto"/>
        <w:jc w:val="both"/>
        <w:rPr>
          <w:rFonts w:ascii="Palatino Linotype" w:hAnsi="Palatino Linotype"/>
          <w:sz w:val="24"/>
          <w:szCs w:val="24"/>
        </w:rPr>
      </w:pPr>
      <w:r w:rsidRPr="00795FF6">
        <w:rPr>
          <w:rFonts w:ascii="Palatino Linotype" w:hAnsi="Palatino Linotype" w:cs="Arial"/>
          <w:sz w:val="24"/>
          <w:szCs w:val="24"/>
        </w:rPr>
        <w:t xml:space="preserve"> </w:t>
      </w:r>
      <w:r w:rsidR="00FF281C" w:rsidRPr="00795FF6">
        <w:rPr>
          <w:rFonts w:ascii="Palatino Linotype" w:hAnsi="Palatino Linotype"/>
          <w:sz w:val="24"/>
          <w:szCs w:val="24"/>
        </w:rPr>
        <w:t xml:space="preserve">Inconforme con la respuesta rendida por </w:t>
      </w:r>
      <w:r w:rsidR="00FF281C" w:rsidRPr="00795FF6">
        <w:rPr>
          <w:rFonts w:ascii="Palatino Linotype" w:hAnsi="Palatino Linotype"/>
          <w:b/>
          <w:sz w:val="24"/>
          <w:szCs w:val="24"/>
        </w:rPr>
        <w:t xml:space="preserve">El Sujeto Obligado, </w:t>
      </w:r>
      <w:r w:rsidR="0058592D" w:rsidRPr="00795FF6">
        <w:rPr>
          <w:rFonts w:ascii="Palatino Linotype" w:hAnsi="Palatino Linotype"/>
          <w:b/>
          <w:sz w:val="24"/>
          <w:szCs w:val="24"/>
        </w:rPr>
        <w:t>La</w:t>
      </w:r>
      <w:r w:rsidR="00FF281C" w:rsidRPr="00795FF6">
        <w:rPr>
          <w:rFonts w:ascii="Palatino Linotype" w:hAnsi="Palatino Linotype"/>
          <w:b/>
          <w:sz w:val="24"/>
          <w:szCs w:val="24"/>
        </w:rPr>
        <w:t xml:space="preserve"> Recurrente </w:t>
      </w:r>
      <w:r w:rsidR="00FF281C" w:rsidRPr="00795FF6">
        <w:rPr>
          <w:rFonts w:ascii="Palatino Linotype" w:hAnsi="Palatino Linotype"/>
          <w:sz w:val="24"/>
          <w:szCs w:val="24"/>
        </w:rPr>
        <w:t>interpuso recurso de revisión en fecha</w:t>
      </w:r>
      <w:r w:rsidR="00182A8A" w:rsidRPr="00795FF6">
        <w:rPr>
          <w:rFonts w:ascii="Palatino Linotype" w:hAnsi="Palatino Linotype"/>
          <w:sz w:val="24"/>
          <w:szCs w:val="24"/>
        </w:rPr>
        <w:t xml:space="preserve"> </w:t>
      </w:r>
      <w:r w:rsidR="0058592D" w:rsidRPr="00795FF6">
        <w:rPr>
          <w:rFonts w:ascii="Palatino Linotype" w:hAnsi="Palatino Linotype"/>
          <w:b/>
          <w:bCs/>
          <w:sz w:val="24"/>
          <w:szCs w:val="24"/>
        </w:rPr>
        <w:t xml:space="preserve">doce de septiembre, </w:t>
      </w:r>
      <w:r w:rsidR="0058592D" w:rsidRPr="00795FF6">
        <w:rPr>
          <w:rFonts w:ascii="Palatino Linotype" w:hAnsi="Palatino Linotype"/>
          <w:sz w:val="24"/>
          <w:szCs w:val="24"/>
        </w:rPr>
        <w:t xml:space="preserve">admitiéndose el </w:t>
      </w:r>
      <w:r w:rsidR="0058592D" w:rsidRPr="00795FF6">
        <w:rPr>
          <w:rFonts w:ascii="Palatino Linotype" w:hAnsi="Palatino Linotype"/>
          <w:b/>
          <w:bCs/>
          <w:sz w:val="24"/>
          <w:szCs w:val="24"/>
        </w:rPr>
        <w:t xml:space="preserve">dieciocho de septiembre, ambos de dos mil veinticinco. </w:t>
      </w:r>
      <w:r w:rsidR="0058592D" w:rsidRPr="00795FF6">
        <w:rPr>
          <w:rFonts w:ascii="Palatino Linotype" w:hAnsi="Palatino Linotype"/>
          <w:sz w:val="24"/>
          <w:szCs w:val="24"/>
        </w:rPr>
        <w:t xml:space="preserve">Señalando como acto impugnado y como razones o motivos de inconformidad: </w:t>
      </w:r>
    </w:p>
    <w:p w14:paraId="2521BBA9" w14:textId="77777777" w:rsidR="00182A8A" w:rsidRPr="00795FF6" w:rsidRDefault="00182A8A" w:rsidP="00182A8A">
      <w:pPr>
        <w:spacing w:before="240" w:line="360" w:lineRule="auto"/>
        <w:jc w:val="both"/>
        <w:rPr>
          <w:rFonts w:ascii="Palatino Linotype" w:hAnsi="Palatino Linotype" w:cs="Arial"/>
          <w:b/>
          <w:sz w:val="24"/>
        </w:rPr>
      </w:pPr>
      <w:r w:rsidRPr="00795FF6">
        <w:rPr>
          <w:rFonts w:ascii="Palatino Linotype" w:hAnsi="Palatino Linotype" w:cs="Arial"/>
          <w:b/>
          <w:sz w:val="24"/>
        </w:rPr>
        <w:t>Acto Impugnado:</w:t>
      </w:r>
    </w:p>
    <w:p w14:paraId="1A291558" w14:textId="59A4E716" w:rsidR="00182A8A" w:rsidRPr="00795FF6" w:rsidRDefault="00182A8A" w:rsidP="00182A8A">
      <w:pPr>
        <w:pStyle w:val="Citas"/>
        <w:rPr>
          <w:b/>
          <w:bCs/>
          <w:sz w:val="24"/>
        </w:rPr>
      </w:pPr>
      <w:r w:rsidRPr="00795FF6">
        <w:lastRenderedPageBreak/>
        <w:t>“</w:t>
      </w:r>
      <w:r w:rsidR="0058592D" w:rsidRPr="00795FF6">
        <w:t>Es competencia de la Secretaría de Desarrollo Urbano la clausura de obras que no cumplen con los requisitos</w:t>
      </w:r>
      <w:r w:rsidRPr="00795FF6">
        <w:t xml:space="preserve">” </w:t>
      </w:r>
      <w:r w:rsidRPr="00795FF6">
        <w:rPr>
          <w:b/>
          <w:bCs/>
        </w:rPr>
        <w:t>(Sic)</w:t>
      </w:r>
    </w:p>
    <w:p w14:paraId="3524875E" w14:textId="77777777" w:rsidR="00182A8A" w:rsidRPr="00795FF6" w:rsidRDefault="00182A8A" w:rsidP="00182A8A">
      <w:pPr>
        <w:spacing w:before="240" w:line="360" w:lineRule="auto"/>
        <w:jc w:val="both"/>
        <w:rPr>
          <w:rFonts w:ascii="Palatino Linotype" w:hAnsi="Palatino Linotype" w:cs="Arial"/>
          <w:sz w:val="24"/>
        </w:rPr>
      </w:pPr>
      <w:r w:rsidRPr="00795FF6">
        <w:rPr>
          <w:rFonts w:ascii="Palatino Linotype" w:hAnsi="Palatino Linotype" w:cs="Arial"/>
          <w:b/>
          <w:sz w:val="24"/>
        </w:rPr>
        <w:t>Razones o Motivos de Inconformidad</w:t>
      </w:r>
      <w:r w:rsidRPr="00795FF6">
        <w:rPr>
          <w:rFonts w:ascii="Palatino Linotype" w:hAnsi="Palatino Linotype" w:cs="Arial"/>
          <w:sz w:val="24"/>
        </w:rPr>
        <w:t xml:space="preserve">: </w:t>
      </w:r>
    </w:p>
    <w:p w14:paraId="5569F60B" w14:textId="345DD5B9" w:rsidR="00182A8A" w:rsidRPr="00795FF6" w:rsidRDefault="00182A8A" w:rsidP="00182A8A">
      <w:pPr>
        <w:pStyle w:val="Citas"/>
        <w:rPr>
          <w:b/>
          <w:bCs/>
        </w:rPr>
      </w:pPr>
      <w:r w:rsidRPr="00795FF6">
        <w:t>“</w:t>
      </w:r>
      <w:r w:rsidR="0058592D" w:rsidRPr="00795FF6">
        <w:t>Es competencia de la Secretaría de Desarrollo Urbano la clausura de obras que no cumplen con los requisitos</w:t>
      </w:r>
      <w:r w:rsidRPr="00795FF6">
        <w:t xml:space="preserve">” </w:t>
      </w:r>
      <w:r w:rsidRPr="00795FF6">
        <w:rPr>
          <w:b/>
          <w:bCs/>
        </w:rPr>
        <w:t>(Sic)</w:t>
      </w:r>
    </w:p>
    <w:p w14:paraId="41E9E838" w14:textId="77777777" w:rsidR="0058592D" w:rsidRPr="00795FF6" w:rsidRDefault="0058592D" w:rsidP="0058592D">
      <w:pPr>
        <w:tabs>
          <w:tab w:val="left" w:pos="709"/>
        </w:tabs>
        <w:spacing w:before="240" w:line="360" w:lineRule="auto"/>
        <w:ind w:right="51"/>
        <w:jc w:val="both"/>
        <w:rPr>
          <w:rFonts w:ascii="Palatino Linotype" w:hAnsi="Palatino Linotype"/>
          <w:sz w:val="24"/>
          <w:szCs w:val="24"/>
        </w:rPr>
      </w:pPr>
    </w:p>
    <w:p w14:paraId="488D26C8" w14:textId="5D255B23" w:rsidR="0058592D" w:rsidRPr="00795FF6" w:rsidRDefault="0058592D" w:rsidP="0058592D">
      <w:pPr>
        <w:tabs>
          <w:tab w:val="left" w:pos="709"/>
        </w:tabs>
        <w:spacing w:before="240" w:line="360" w:lineRule="auto"/>
        <w:ind w:right="51"/>
        <w:jc w:val="both"/>
        <w:rPr>
          <w:rFonts w:ascii="Palatino Linotype" w:hAnsi="Palatino Linotype" w:cs="Arial"/>
          <w:sz w:val="24"/>
          <w:szCs w:val="24"/>
        </w:rPr>
      </w:pPr>
      <w:r w:rsidRPr="00795FF6">
        <w:rPr>
          <w:rFonts w:ascii="Palatino Linotype" w:hAnsi="Palatino Linotype"/>
          <w:sz w:val="24"/>
          <w:szCs w:val="24"/>
        </w:rPr>
        <w:t xml:space="preserve">Luego entonces, la parte de la solicitud sobre la que no se expresó inconformidad            </w:t>
      </w:r>
      <w:r w:rsidRPr="00795FF6">
        <w:rPr>
          <w:rFonts w:ascii="Palatino Linotype" w:hAnsi="Palatino Linotype"/>
          <w:b/>
          <w:bCs/>
          <w:sz w:val="24"/>
          <w:szCs w:val="24"/>
        </w:rPr>
        <w:t>(puntos</w:t>
      </w:r>
      <w:r w:rsidR="00DC5DDB" w:rsidRPr="00795FF6">
        <w:rPr>
          <w:rFonts w:ascii="Palatino Linotype" w:hAnsi="Palatino Linotype"/>
          <w:b/>
          <w:bCs/>
          <w:sz w:val="24"/>
          <w:szCs w:val="24"/>
        </w:rPr>
        <w:t xml:space="preserve"> </w:t>
      </w:r>
      <w:r w:rsidRPr="00795FF6">
        <w:rPr>
          <w:rFonts w:ascii="Palatino Linotype" w:hAnsi="Palatino Linotype"/>
          <w:b/>
          <w:bCs/>
          <w:sz w:val="24"/>
          <w:szCs w:val="24"/>
        </w:rPr>
        <w:t>1 y 2)</w:t>
      </w:r>
      <w:r w:rsidRPr="00795FF6">
        <w:rPr>
          <w:rFonts w:ascii="Palatino Linotype" w:hAnsi="Palatino Linotype"/>
          <w:sz w:val="24"/>
          <w:szCs w:val="24"/>
        </w:rPr>
        <w:t xml:space="preserve"> debe declararse consentida por el hoy </w:t>
      </w:r>
      <w:r w:rsidRPr="00795FF6">
        <w:rPr>
          <w:rFonts w:ascii="Palatino Linotype" w:hAnsi="Palatino Linotype"/>
          <w:b/>
          <w:bCs/>
          <w:sz w:val="24"/>
          <w:szCs w:val="24"/>
        </w:rPr>
        <w:t xml:space="preserve">Recurrente, </w:t>
      </w:r>
      <w:r w:rsidRPr="00795FF6">
        <w:rPr>
          <w:rFonts w:ascii="Palatino Linotype" w:hAnsi="Palatino Linotype"/>
          <w:sz w:val="24"/>
          <w:szCs w:val="24"/>
          <w:lang w:eastAsia="es-MX"/>
        </w:rPr>
        <w:t xml:space="preserve">ya que </w:t>
      </w:r>
      <w:r w:rsidRPr="00795FF6">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795FF6">
        <w:rPr>
          <w:rFonts w:ascii="Palatino Linotype" w:hAnsi="Palatino Linotype" w:cs="Arial"/>
          <w:b/>
          <w:sz w:val="24"/>
          <w:szCs w:val="24"/>
          <w:lang w:eastAsia="es-MX"/>
        </w:rPr>
        <w:t>Recurrente</w:t>
      </w:r>
      <w:r w:rsidRPr="00795FF6">
        <w:rPr>
          <w:rFonts w:ascii="Palatino Linotype" w:hAnsi="Palatino Linotype" w:cs="Arial"/>
          <w:sz w:val="24"/>
          <w:szCs w:val="24"/>
          <w:lang w:eastAsia="es-MX"/>
        </w:rPr>
        <w:t xml:space="preserve"> ante la falta de impugnación eficaz. </w:t>
      </w:r>
      <w:r w:rsidRPr="00795FF6">
        <w:rPr>
          <w:rFonts w:ascii="Palatino Linotype" w:hAnsi="Palatino Linotype" w:cs="Arial"/>
          <w:sz w:val="24"/>
          <w:szCs w:val="24"/>
        </w:rPr>
        <w:t xml:space="preserve">Sirve de sustento a lo anterior, por analogía, la tesis jurisprudencial, que a la letra dice: </w:t>
      </w:r>
    </w:p>
    <w:p w14:paraId="6A159853"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“Época: Novena</w:t>
      </w:r>
    </w:p>
    <w:p w14:paraId="5981A7E7"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Registro: 176608</w:t>
      </w:r>
    </w:p>
    <w:p w14:paraId="5E133D81"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Tipo de tesis: Jurisprudencia</w:t>
      </w:r>
    </w:p>
    <w:p w14:paraId="232B6FFB"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Fuente: Semanario Judicial de la Federación y su Gaceta</w:t>
      </w:r>
    </w:p>
    <w:p w14:paraId="5473BC29"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Diciembre de 2005, Tomo XXII</w:t>
      </w:r>
    </w:p>
    <w:p w14:paraId="770651C6"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Materia (s): Común</w:t>
      </w:r>
    </w:p>
    <w:p w14:paraId="487C13D0"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t>Tesis: VI. 3o.C. J/60</w:t>
      </w:r>
    </w:p>
    <w:p w14:paraId="5B10E834" w14:textId="77777777" w:rsidR="0058592D" w:rsidRPr="00795FF6" w:rsidRDefault="0058592D" w:rsidP="0058592D">
      <w:pPr>
        <w:pStyle w:val="Prrafodelista"/>
        <w:spacing w:before="240" w:after="160" w:line="360" w:lineRule="auto"/>
        <w:ind w:left="851" w:right="851"/>
        <w:jc w:val="both"/>
        <w:rPr>
          <w:rFonts w:ascii="Palatino Linotype" w:hAnsi="Palatino Linotype"/>
          <w:i/>
          <w:sz w:val="22"/>
          <w:szCs w:val="22"/>
        </w:rPr>
      </w:pPr>
      <w:r w:rsidRPr="00795FF6">
        <w:rPr>
          <w:rFonts w:ascii="Palatino Linotype" w:hAnsi="Palatino Linotype"/>
          <w:i/>
          <w:sz w:val="22"/>
          <w:szCs w:val="22"/>
        </w:rPr>
        <w:lastRenderedPageBreak/>
        <w:t>Página: 2365</w:t>
      </w:r>
    </w:p>
    <w:p w14:paraId="32A90455" w14:textId="77777777" w:rsidR="0058592D" w:rsidRPr="00795FF6" w:rsidRDefault="0058592D" w:rsidP="0058592D">
      <w:pPr>
        <w:spacing w:before="240" w:line="360" w:lineRule="auto"/>
        <w:ind w:left="851" w:right="851"/>
        <w:jc w:val="both"/>
        <w:rPr>
          <w:rFonts w:ascii="Palatino Linotype" w:hAnsi="Palatino Linotype" w:cs="Arial"/>
          <w:i/>
          <w:lang w:eastAsia="es-MX"/>
        </w:rPr>
      </w:pPr>
      <w:r w:rsidRPr="00795FF6">
        <w:rPr>
          <w:rFonts w:ascii="Palatino Linotype" w:hAnsi="Palatino Linotype" w:cs="Arial"/>
          <w:i/>
          <w:lang w:eastAsia="es-MX"/>
        </w:rPr>
        <w:t xml:space="preserve"> </w:t>
      </w:r>
      <w:r w:rsidRPr="00795FF6">
        <w:rPr>
          <w:rFonts w:ascii="Palatino Linotype" w:hAnsi="Palatino Linotype" w:cs="Arial"/>
          <w:b/>
          <w:i/>
          <w:lang w:eastAsia="es-MX"/>
        </w:rPr>
        <w:t>ACTOS CONSENTIDOS. SON LOS QUE NO SE IMPUGNAN MEDIANTE EL RECURSO IDÓNEO</w:t>
      </w:r>
      <w:r w:rsidRPr="00795FF6">
        <w:rPr>
          <w:rFonts w:ascii="Palatino Linotype" w:hAnsi="Palatino Linotype" w:cs="Arial"/>
          <w:i/>
          <w:lang w:eastAsia="es-MX"/>
        </w:rPr>
        <w:t xml:space="preserve">. </w:t>
      </w:r>
    </w:p>
    <w:p w14:paraId="19180ADF" w14:textId="77777777" w:rsidR="0058592D" w:rsidRPr="00795FF6" w:rsidRDefault="0058592D" w:rsidP="0058592D">
      <w:pPr>
        <w:spacing w:before="240" w:line="360" w:lineRule="auto"/>
        <w:ind w:left="851" w:right="851"/>
        <w:jc w:val="both"/>
        <w:rPr>
          <w:rFonts w:ascii="Palatino Linotype" w:hAnsi="Palatino Linotype" w:cs="Arial"/>
          <w:i/>
          <w:lang w:eastAsia="es-MX"/>
        </w:rPr>
      </w:pPr>
      <w:r w:rsidRPr="00795FF6">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65C642" w14:textId="77777777" w:rsidR="0058592D" w:rsidRPr="00795FF6" w:rsidRDefault="0058592D" w:rsidP="0058592D">
      <w:pPr>
        <w:spacing w:before="240" w:line="360" w:lineRule="auto"/>
        <w:ind w:left="851" w:right="851"/>
        <w:jc w:val="both"/>
        <w:rPr>
          <w:rFonts w:ascii="Palatino Linotype" w:eastAsia="Times New Roman" w:hAnsi="Palatino Linotype" w:cs="Calibri"/>
          <w:i/>
          <w:color w:val="000000"/>
          <w:lang w:eastAsia="es-MX"/>
        </w:rPr>
      </w:pPr>
      <w:r w:rsidRPr="00795FF6">
        <w:rPr>
          <w:rFonts w:ascii="Palatino Linotype" w:eastAsia="Times New Roman" w:hAnsi="Palatino Linotype" w:cs="Calibri"/>
          <w:i/>
          <w:color w:val="000000"/>
          <w:lang w:eastAsia="es-MX"/>
        </w:rPr>
        <w:t>TERCER TRIBUNAL COLEGIADO EN MATERIA CIVIL DEL SEXTO CIRCUITO.</w:t>
      </w:r>
    </w:p>
    <w:p w14:paraId="3D73A320" w14:textId="77777777" w:rsidR="0058592D" w:rsidRPr="00795FF6" w:rsidRDefault="0058592D" w:rsidP="0058592D">
      <w:pPr>
        <w:spacing w:before="240" w:line="360" w:lineRule="auto"/>
        <w:ind w:left="851" w:right="851"/>
        <w:jc w:val="both"/>
        <w:rPr>
          <w:rFonts w:ascii="Palatino Linotype" w:eastAsia="Times New Roman" w:hAnsi="Palatino Linotype" w:cs="Calibri"/>
          <w:i/>
          <w:color w:val="444444"/>
          <w:lang w:eastAsia="es-MX"/>
        </w:rPr>
      </w:pPr>
      <w:r w:rsidRPr="00795FF6">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845D19A" w14:textId="77777777" w:rsidR="0058592D" w:rsidRPr="00795FF6" w:rsidRDefault="0058592D" w:rsidP="0058592D">
      <w:pPr>
        <w:spacing w:before="240" w:line="360" w:lineRule="auto"/>
        <w:ind w:left="851" w:right="851"/>
        <w:jc w:val="both"/>
        <w:rPr>
          <w:rFonts w:ascii="Palatino Linotype" w:eastAsia="Times New Roman" w:hAnsi="Palatino Linotype" w:cs="Calibri"/>
          <w:i/>
          <w:color w:val="444444"/>
          <w:lang w:eastAsia="es-MX"/>
        </w:rPr>
      </w:pPr>
      <w:r w:rsidRPr="00795FF6">
        <w:rPr>
          <w:rFonts w:ascii="Palatino Linotype" w:eastAsia="Times New Roman" w:hAnsi="Palatino Linotype" w:cs="Calibri"/>
          <w:i/>
          <w:color w:val="444444"/>
          <w:lang w:eastAsia="es-MX"/>
        </w:rPr>
        <w:t xml:space="preserve">Amparo en revisión 393/90. Amparo </w:t>
      </w:r>
      <w:proofErr w:type="spellStart"/>
      <w:r w:rsidRPr="00795FF6">
        <w:rPr>
          <w:rFonts w:ascii="Palatino Linotype" w:eastAsia="Times New Roman" w:hAnsi="Palatino Linotype" w:cs="Calibri"/>
          <w:i/>
          <w:color w:val="444444"/>
          <w:lang w:eastAsia="es-MX"/>
        </w:rPr>
        <w:t>Naylor</w:t>
      </w:r>
      <w:proofErr w:type="spellEnd"/>
      <w:r w:rsidRPr="00795FF6">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986C5A8" w14:textId="77777777" w:rsidR="0058592D" w:rsidRPr="00795FF6" w:rsidRDefault="0058592D" w:rsidP="0058592D">
      <w:pPr>
        <w:spacing w:before="240" w:line="360" w:lineRule="auto"/>
        <w:ind w:left="851" w:right="851"/>
        <w:jc w:val="both"/>
        <w:rPr>
          <w:rFonts w:ascii="Palatino Linotype" w:eastAsia="Times New Roman" w:hAnsi="Palatino Linotype" w:cs="Calibri"/>
          <w:i/>
          <w:color w:val="444444"/>
          <w:lang w:eastAsia="es-MX"/>
        </w:rPr>
      </w:pPr>
      <w:r w:rsidRPr="00795FF6">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2598729" w14:textId="77777777" w:rsidR="0058592D" w:rsidRPr="00795FF6" w:rsidRDefault="0058592D" w:rsidP="0058592D">
      <w:pPr>
        <w:spacing w:before="240" w:line="360" w:lineRule="auto"/>
        <w:ind w:left="851" w:right="851"/>
        <w:jc w:val="both"/>
        <w:rPr>
          <w:rFonts w:ascii="Palatino Linotype" w:eastAsia="Times New Roman" w:hAnsi="Palatino Linotype" w:cs="Calibri"/>
          <w:i/>
          <w:color w:val="444444"/>
          <w:lang w:eastAsia="es-MX"/>
        </w:rPr>
      </w:pPr>
      <w:r w:rsidRPr="00795FF6">
        <w:rPr>
          <w:rFonts w:ascii="Palatino Linotype" w:eastAsia="Times New Roman" w:hAnsi="Palatino Linotype" w:cs="Calibri"/>
          <w:i/>
          <w:color w:val="444444"/>
          <w:lang w:eastAsia="es-MX"/>
        </w:rPr>
        <w:t xml:space="preserve">Amparo directo 366/2005. Virginia </w:t>
      </w:r>
      <w:proofErr w:type="spellStart"/>
      <w:r w:rsidRPr="00795FF6">
        <w:rPr>
          <w:rFonts w:ascii="Palatino Linotype" w:eastAsia="Times New Roman" w:hAnsi="Palatino Linotype" w:cs="Calibri"/>
          <w:i/>
          <w:color w:val="444444"/>
          <w:lang w:eastAsia="es-MX"/>
        </w:rPr>
        <w:t>Quixihuitl</w:t>
      </w:r>
      <w:proofErr w:type="spellEnd"/>
      <w:r w:rsidRPr="00795FF6">
        <w:rPr>
          <w:rFonts w:ascii="Palatino Linotype" w:eastAsia="Times New Roman" w:hAnsi="Palatino Linotype" w:cs="Calibri"/>
          <w:i/>
          <w:color w:val="444444"/>
          <w:lang w:eastAsia="es-MX"/>
        </w:rPr>
        <w:t xml:space="preserve"> Burgos y otra. 14 de octubre de 2005. Unanimidad de votos. Ponente: Norma </w:t>
      </w:r>
      <w:proofErr w:type="spellStart"/>
      <w:r w:rsidRPr="00795FF6">
        <w:rPr>
          <w:rFonts w:ascii="Palatino Linotype" w:eastAsia="Times New Roman" w:hAnsi="Palatino Linotype" w:cs="Calibri"/>
          <w:i/>
          <w:color w:val="444444"/>
          <w:lang w:eastAsia="es-MX"/>
        </w:rPr>
        <w:t>Fiallega</w:t>
      </w:r>
      <w:proofErr w:type="spellEnd"/>
      <w:r w:rsidRPr="00795FF6">
        <w:rPr>
          <w:rFonts w:ascii="Palatino Linotype" w:eastAsia="Times New Roman" w:hAnsi="Palatino Linotype" w:cs="Calibri"/>
          <w:i/>
          <w:color w:val="444444"/>
          <w:lang w:eastAsia="es-MX"/>
        </w:rPr>
        <w:t xml:space="preserve"> Sánchez. Secretario: Horacio Óscar Rosete Mentado.</w:t>
      </w:r>
    </w:p>
    <w:p w14:paraId="4FA31486" w14:textId="77777777" w:rsidR="0058592D" w:rsidRPr="00795FF6" w:rsidRDefault="0058592D" w:rsidP="0058592D">
      <w:pPr>
        <w:spacing w:before="240" w:line="360" w:lineRule="auto"/>
        <w:ind w:left="851" w:right="851"/>
        <w:jc w:val="both"/>
        <w:rPr>
          <w:rFonts w:ascii="Palatino Linotype" w:eastAsia="Times New Roman" w:hAnsi="Palatino Linotype" w:cs="Calibri"/>
          <w:b/>
          <w:i/>
          <w:color w:val="444444"/>
          <w:lang w:eastAsia="es-MX"/>
        </w:rPr>
      </w:pPr>
      <w:r w:rsidRPr="00795FF6">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795FF6">
        <w:rPr>
          <w:rFonts w:ascii="Palatino Linotype" w:eastAsia="Times New Roman" w:hAnsi="Palatino Linotype" w:cs="Calibri"/>
          <w:i/>
          <w:color w:val="444444"/>
          <w:lang w:eastAsia="es-MX"/>
        </w:rPr>
        <w:t>Isselín</w:t>
      </w:r>
      <w:proofErr w:type="spellEnd"/>
      <w:r w:rsidRPr="00795FF6">
        <w:rPr>
          <w:rFonts w:ascii="Palatino Linotype" w:eastAsia="Times New Roman" w:hAnsi="Palatino Linotype" w:cs="Calibri"/>
          <w:i/>
          <w:color w:val="444444"/>
          <w:lang w:eastAsia="es-MX"/>
        </w:rPr>
        <w:t xml:space="preserve"> Talavera.” </w:t>
      </w:r>
      <w:r w:rsidRPr="00795FF6">
        <w:rPr>
          <w:rFonts w:ascii="Palatino Linotype" w:eastAsia="Times New Roman" w:hAnsi="Palatino Linotype" w:cs="Calibri"/>
          <w:b/>
          <w:i/>
          <w:color w:val="444444"/>
          <w:lang w:eastAsia="es-MX"/>
        </w:rPr>
        <w:t>[Sic]</w:t>
      </w:r>
    </w:p>
    <w:p w14:paraId="3E573059" w14:textId="77777777" w:rsidR="0058592D" w:rsidRPr="00795FF6" w:rsidRDefault="0058592D" w:rsidP="0058592D">
      <w:pPr>
        <w:spacing w:after="0" w:line="360" w:lineRule="auto"/>
        <w:jc w:val="both"/>
        <w:rPr>
          <w:rFonts w:ascii="Palatino Linotype" w:hAnsi="Palatino Linotype" w:cs="Arial"/>
          <w:noProof/>
          <w:color w:val="000000"/>
          <w:sz w:val="24"/>
          <w:lang w:eastAsia="es-MX"/>
        </w:rPr>
      </w:pPr>
    </w:p>
    <w:p w14:paraId="31E68DBD" w14:textId="77777777" w:rsidR="0058592D" w:rsidRPr="00795FF6" w:rsidRDefault="0058592D" w:rsidP="0058592D">
      <w:pPr>
        <w:spacing w:after="0" w:line="360" w:lineRule="auto"/>
        <w:jc w:val="both"/>
        <w:rPr>
          <w:rFonts w:ascii="Palatino Linotype" w:hAnsi="Palatino Linotype" w:cs="Arial"/>
          <w:noProof/>
          <w:color w:val="000000"/>
          <w:sz w:val="24"/>
          <w:lang w:eastAsia="es-MX"/>
        </w:rPr>
      </w:pPr>
      <w:r w:rsidRPr="00795FF6">
        <w:rPr>
          <w:rFonts w:ascii="Palatino Linotype" w:hAnsi="Palatino Linotype" w:cs="Arial"/>
          <w:noProof/>
          <w:color w:val="000000"/>
          <w:sz w:val="24"/>
          <w:lang w:eastAsia="es-MX"/>
        </w:rPr>
        <w:t xml:space="preserve">De forma complementaria, robustece lo anterior el criterio </w:t>
      </w:r>
      <w:r w:rsidRPr="00795FF6">
        <w:rPr>
          <w:rFonts w:ascii="Palatino Linotype" w:hAnsi="Palatino Linotype" w:cs="Arial"/>
          <w:b/>
          <w:bCs/>
          <w:noProof/>
          <w:color w:val="000000"/>
          <w:sz w:val="24"/>
          <w:lang w:eastAsia="es-MX"/>
        </w:rPr>
        <w:t xml:space="preserve">01/20 </w:t>
      </w:r>
      <w:r w:rsidRPr="00795FF6">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4D86978" w14:textId="77777777" w:rsidR="0058592D" w:rsidRPr="00795FF6" w:rsidRDefault="0058592D" w:rsidP="0058592D">
      <w:pPr>
        <w:pStyle w:val="Citas"/>
        <w:rPr>
          <w:b/>
        </w:rPr>
      </w:pPr>
      <w:r w:rsidRPr="00795FF6">
        <w:rPr>
          <w:b/>
        </w:rPr>
        <w:t xml:space="preserve">“ACTOS CONSENTIDOS TÁCITAMENTE. IMPROCEDENCIA DE SU ANÁLISIS. </w:t>
      </w:r>
    </w:p>
    <w:p w14:paraId="2D530A52" w14:textId="77777777" w:rsidR="0058592D" w:rsidRPr="00795FF6" w:rsidRDefault="0058592D" w:rsidP="0058592D">
      <w:pPr>
        <w:pStyle w:val="Citas"/>
        <w:rPr>
          <w:strike/>
        </w:rPr>
      </w:pPr>
      <w:r w:rsidRPr="00795FF6">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5BFAAA7" w14:textId="77777777" w:rsidR="0058592D" w:rsidRPr="00795FF6" w:rsidRDefault="0058592D" w:rsidP="0058592D">
      <w:pPr>
        <w:pStyle w:val="Citas"/>
        <w:rPr>
          <w:b/>
          <w:bCs/>
        </w:rPr>
      </w:pPr>
      <w:r w:rsidRPr="00795FF6">
        <w:rPr>
          <w:b/>
          <w:bCs/>
        </w:rPr>
        <w:t>Resoluciones:</w:t>
      </w:r>
    </w:p>
    <w:p w14:paraId="0502B1B9" w14:textId="77777777" w:rsidR="0058592D" w:rsidRPr="00795FF6" w:rsidRDefault="0058592D" w:rsidP="0058592D">
      <w:pPr>
        <w:pStyle w:val="Citas"/>
      </w:pPr>
      <w:r w:rsidRPr="00795FF6">
        <w:rPr>
          <w:b/>
        </w:rPr>
        <w:t xml:space="preserve">RRA 4548/18. </w:t>
      </w:r>
      <w:r w:rsidRPr="00795FF6">
        <w:t>Instituto de Seguridad y Servicios Sociales de los Trabajadores del Estado. 12 de septiembre de 2018. Por unanimidad. Comisionado Ponente Oscar Mauricio Guerra Ford.</w:t>
      </w:r>
    </w:p>
    <w:p w14:paraId="5368ACA5" w14:textId="77777777" w:rsidR="0058592D" w:rsidRPr="00795FF6" w:rsidRDefault="00497A24" w:rsidP="0058592D">
      <w:pPr>
        <w:pStyle w:val="Citas"/>
        <w:rPr>
          <w:sz w:val="20"/>
        </w:rPr>
      </w:pPr>
      <w:hyperlink r:id="rId11" w:history="1">
        <w:r w:rsidR="0058592D" w:rsidRPr="00795FF6">
          <w:rPr>
            <w:rStyle w:val="Hipervnculo"/>
          </w:rPr>
          <w:t>http://consultas.ifai.org.mx/descargar.php?r=./pdf/resoluciones/2018/&amp;a=RRA%204548.pdf</w:t>
        </w:r>
      </w:hyperlink>
    </w:p>
    <w:p w14:paraId="71B416BF" w14:textId="77777777" w:rsidR="0058592D" w:rsidRPr="00795FF6" w:rsidRDefault="0058592D" w:rsidP="0058592D">
      <w:pPr>
        <w:pStyle w:val="Citas"/>
        <w:rPr>
          <w:b/>
        </w:rPr>
      </w:pPr>
      <w:r w:rsidRPr="00795FF6">
        <w:rPr>
          <w:b/>
        </w:rPr>
        <w:t xml:space="preserve">RRA 5097/18. </w:t>
      </w:r>
      <w:r w:rsidRPr="00795FF6">
        <w:t>Secretaría de Hacienda y Crédito Público. 05 de septiembre de 2018. Por unanimidad. Comisionado Ponente Joel Salas Suárez.</w:t>
      </w:r>
    </w:p>
    <w:p w14:paraId="24D9914E" w14:textId="77777777" w:rsidR="0058592D" w:rsidRPr="00795FF6" w:rsidRDefault="00497A24" w:rsidP="0058592D">
      <w:pPr>
        <w:pStyle w:val="Citas"/>
        <w:rPr>
          <w:sz w:val="20"/>
        </w:rPr>
      </w:pPr>
      <w:hyperlink r:id="rId12" w:history="1">
        <w:r w:rsidR="0058592D" w:rsidRPr="00795FF6">
          <w:rPr>
            <w:rStyle w:val="Hipervnculo"/>
          </w:rPr>
          <w:t>http://consultas.ifai.org.mx/descargar.php?r=./pdf/resoluciones/2018/&amp;a=RRA%205097.pdf</w:t>
        </w:r>
      </w:hyperlink>
    </w:p>
    <w:p w14:paraId="49A810D0" w14:textId="77777777" w:rsidR="0058592D" w:rsidRPr="00795FF6" w:rsidRDefault="0058592D" w:rsidP="0058592D">
      <w:pPr>
        <w:pStyle w:val="Citas"/>
        <w:rPr>
          <w:b/>
        </w:rPr>
      </w:pPr>
      <w:r w:rsidRPr="00795FF6">
        <w:rPr>
          <w:b/>
        </w:rPr>
        <w:t xml:space="preserve">RRA 14270/19. </w:t>
      </w:r>
      <w:r w:rsidRPr="00795FF6">
        <w:t>Registro Agrario Nacional. 22 de enero de 2020. Por unanimidad. Comisionado Ponente Francisco Javier Acuña Llamas.</w:t>
      </w:r>
    </w:p>
    <w:p w14:paraId="4F99CD3C" w14:textId="77777777" w:rsidR="0058592D" w:rsidRPr="00795FF6" w:rsidRDefault="00497A24" w:rsidP="0058592D">
      <w:pPr>
        <w:pStyle w:val="Citas"/>
        <w:rPr>
          <w:sz w:val="24"/>
          <w:szCs w:val="24"/>
          <w:lang w:val="en-US"/>
        </w:rPr>
      </w:pPr>
      <w:hyperlink r:id="rId13" w:history="1">
        <w:r w:rsidR="0058592D" w:rsidRPr="00795FF6">
          <w:rPr>
            <w:rStyle w:val="Hipervnculo"/>
            <w:lang w:val="en-US"/>
          </w:rPr>
          <w:t>http://consultas.ifai.org.mx/descargar.php?r=./pdf/resoluciones/2019/&amp;a=RRA%2014270.pdf</w:t>
        </w:r>
      </w:hyperlink>
      <w:proofErr w:type="gramStart"/>
      <w:r w:rsidR="0058592D" w:rsidRPr="00795FF6">
        <w:rPr>
          <w:rStyle w:val="Hipervnculo"/>
          <w:sz w:val="20"/>
          <w:lang w:val="en-US"/>
        </w:rPr>
        <w:t xml:space="preserve">” </w:t>
      </w:r>
      <w:r w:rsidR="0058592D" w:rsidRPr="00795FF6">
        <w:rPr>
          <w:rStyle w:val="Hipervnculo"/>
          <w:i w:val="0"/>
          <w:iCs/>
          <w:sz w:val="24"/>
          <w:szCs w:val="24"/>
          <w:u w:val="none"/>
          <w:lang w:val="en-US"/>
        </w:rPr>
        <w:t xml:space="preserve"> </w:t>
      </w:r>
      <w:r w:rsidR="0058592D" w:rsidRPr="00795FF6">
        <w:rPr>
          <w:rStyle w:val="Hipervnculo"/>
          <w:b/>
          <w:bCs/>
          <w:color w:val="auto"/>
          <w:sz w:val="24"/>
          <w:szCs w:val="24"/>
          <w:u w:val="none"/>
          <w:lang w:val="en-US"/>
        </w:rPr>
        <w:t>[</w:t>
      </w:r>
      <w:proofErr w:type="gramEnd"/>
      <w:r w:rsidR="0058592D" w:rsidRPr="00795FF6">
        <w:rPr>
          <w:rStyle w:val="Hipervnculo"/>
          <w:b/>
          <w:bCs/>
          <w:color w:val="auto"/>
          <w:sz w:val="24"/>
          <w:szCs w:val="24"/>
          <w:u w:val="none"/>
          <w:lang w:val="en-US"/>
        </w:rPr>
        <w:t>Sic]</w:t>
      </w:r>
    </w:p>
    <w:p w14:paraId="5A63502F" w14:textId="77777777" w:rsidR="0058592D" w:rsidRPr="00795FF6" w:rsidRDefault="0058592D" w:rsidP="0058592D">
      <w:pPr>
        <w:pStyle w:val="infoemcitas"/>
        <w:tabs>
          <w:tab w:val="left" w:pos="7655"/>
        </w:tabs>
        <w:ind w:left="0" w:right="0"/>
        <w:rPr>
          <w:i w:val="0"/>
          <w:sz w:val="24"/>
          <w:szCs w:val="24"/>
          <w:lang w:val="en-US"/>
        </w:rPr>
      </w:pPr>
    </w:p>
    <w:p w14:paraId="2F080FAA" w14:textId="4BF690E1" w:rsidR="0058592D" w:rsidRPr="00795FF6" w:rsidRDefault="0058592D" w:rsidP="0058592D">
      <w:pPr>
        <w:pStyle w:val="infoemcitas"/>
        <w:tabs>
          <w:tab w:val="left" w:pos="7655"/>
        </w:tabs>
        <w:ind w:left="0" w:right="0"/>
        <w:rPr>
          <w:rFonts w:cs="Arial"/>
          <w:i w:val="0"/>
          <w:color w:val="000000"/>
          <w:sz w:val="24"/>
          <w:lang w:eastAsia="es-MX"/>
        </w:rPr>
      </w:pPr>
      <w:r w:rsidRPr="00795FF6">
        <w:rPr>
          <w:i w:val="0"/>
          <w:sz w:val="24"/>
          <w:szCs w:val="24"/>
        </w:rPr>
        <w:t xml:space="preserve">Así las cosas, hasta aquí lo expuesto, resulta inconcuso que los motivos de inconformidad esgrimidos por el particular encuadran dentro del artículo 179, fracciones I y V de la </w:t>
      </w:r>
      <w:r w:rsidRPr="00795FF6">
        <w:rPr>
          <w:rFonts w:cs="Arial"/>
          <w:i w:val="0"/>
          <w:color w:val="000000"/>
          <w:sz w:val="24"/>
          <w:lang w:eastAsia="es-MX"/>
        </w:rPr>
        <w:t xml:space="preserve">Ley de Transparencia y Acceso a la Información Pública del Estado de México y Municipios, cuyo contenido literal es el siguiente: </w:t>
      </w:r>
    </w:p>
    <w:p w14:paraId="634DB882" w14:textId="77777777" w:rsidR="0058592D" w:rsidRPr="00795FF6" w:rsidRDefault="0058592D" w:rsidP="0058592D">
      <w:pPr>
        <w:pStyle w:val="Citas"/>
      </w:pPr>
      <w:r w:rsidRPr="00795FF6">
        <w:t xml:space="preserve"> “Artículo 179. El recurso de revisión es un medio de protección que la Ley otorga a los particulares, para hacer valer su derecho de acceso a la información pública, y procederá en contra de las siguientes causas:</w:t>
      </w:r>
    </w:p>
    <w:p w14:paraId="37AC4591" w14:textId="77777777" w:rsidR="0058592D" w:rsidRPr="00795FF6" w:rsidRDefault="0058592D" w:rsidP="0058592D">
      <w:pPr>
        <w:pStyle w:val="Citas"/>
      </w:pPr>
      <w:r w:rsidRPr="00795FF6">
        <w:t>I. La negativa a la información solicitada;</w:t>
      </w:r>
    </w:p>
    <w:p w14:paraId="66F5AC8E" w14:textId="77777777" w:rsidR="0058592D" w:rsidRPr="00795FF6" w:rsidRDefault="0058592D" w:rsidP="0058592D">
      <w:pPr>
        <w:pStyle w:val="Citas"/>
      </w:pPr>
      <w:r w:rsidRPr="00795FF6">
        <w:t>(…)</w:t>
      </w:r>
    </w:p>
    <w:p w14:paraId="79E9BE77" w14:textId="77777777" w:rsidR="0058592D" w:rsidRPr="00795FF6" w:rsidRDefault="0058592D" w:rsidP="0058592D">
      <w:pPr>
        <w:pStyle w:val="Citas"/>
      </w:pPr>
      <w:r w:rsidRPr="00795FF6">
        <w:t>V. La entrega de información incompleta</w:t>
      </w:r>
    </w:p>
    <w:p w14:paraId="460A8005" w14:textId="77777777" w:rsidR="0058592D" w:rsidRPr="00795FF6" w:rsidRDefault="0058592D" w:rsidP="0058592D">
      <w:pPr>
        <w:pStyle w:val="Citas"/>
        <w:rPr>
          <w:b/>
          <w:bCs/>
        </w:rPr>
      </w:pPr>
      <w:r w:rsidRPr="00795FF6">
        <w:t xml:space="preserve">(…)” </w:t>
      </w:r>
      <w:r w:rsidRPr="00795FF6">
        <w:rPr>
          <w:b/>
          <w:bCs/>
        </w:rPr>
        <w:t>(Sic)</w:t>
      </w:r>
    </w:p>
    <w:p w14:paraId="1BDE1B4E" w14:textId="77777777" w:rsidR="0058592D" w:rsidRPr="00795FF6" w:rsidRDefault="0058592D" w:rsidP="0058592D">
      <w:pPr>
        <w:spacing w:before="240" w:line="360" w:lineRule="auto"/>
        <w:jc w:val="both"/>
        <w:rPr>
          <w:rFonts w:ascii="Palatino Linotype" w:hAnsi="Palatino Linotype"/>
          <w:sz w:val="24"/>
          <w:szCs w:val="24"/>
        </w:rPr>
      </w:pPr>
    </w:p>
    <w:p w14:paraId="7FF98DC3" w14:textId="79C45976" w:rsidR="0058592D" w:rsidRPr="00795FF6" w:rsidRDefault="00FF281C" w:rsidP="00FF281C">
      <w:pPr>
        <w:pStyle w:val="Citas"/>
        <w:tabs>
          <w:tab w:val="left" w:pos="7470"/>
        </w:tabs>
        <w:ind w:left="0" w:right="72"/>
        <w:rPr>
          <w:i w:val="0"/>
          <w:sz w:val="24"/>
          <w:szCs w:val="24"/>
        </w:rPr>
      </w:pPr>
      <w:r w:rsidRPr="00795FF6">
        <w:rPr>
          <w:i w:val="0"/>
          <w:sz w:val="24"/>
          <w:szCs w:val="24"/>
        </w:rPr>
        <w:lastRenderedPageBreak/>
        <w:t>Por otra parte, como fue referido en el antecedente quinto, en fecha</w:t>
      </w:r>
      <w:r w:rsidR="0058592D" w:rsidRPr="00795FF6">
        <w:rPr>
          <w:i w:val="0"/>
          <w:sz w:val="24"/>
          <w:szCs w:val="24"/>
        </w:rPr>
        <w:t xml:space="preserve"> </w:t>
      </w:r>
      <w:r w:rsidR="0058592D" w:rsidRPr="00795FF6">
        <w:rPr>
          <w:b/>
          <w:bCs/>
          <w:i w:val="0"/>
          <w:sz w:val="24"/>
          <w:szCs w:val="24"/>
        </w:rPr>
        <w:t xml:space="preserve">veintinueve de septiembre de dos mil veinticinco, El Sujeto Obligado </w:t>
      </w:r>
      <w:r w:rsidR="0058592D" w:rsidRPr="00795FF6">
        <w:rPr>
          <w:i w:val="0"/>
          <w:sz w:val="24"/>
          <w:szCs w:val="24"/>
        </w:rPr>
        <w:t>rindió su informe justificado en los siguientes términos:</w:t>
      </w:r>
    </w:p>
    <w:p w14:paraId="7A0B43EC" w14:textId="18FBA910" w:rsidR="0058592D" w:rsidRPr="00795FF6" w:rsidRDefault="0058592D" w:rsidP="008347B2">
      <w:pPr>
        <w:pStyle w:val="Citas"/>
        <w:numPr>
          <w:ilvl w:val="0"/>
          <w:numId w:val="6"/>
        </w:numPr>
        <w:tabs>
          <w:tab w:val="left" w:pos="7470"/>
        </w:tabs>
        <w:ind w:right="72"/>
        <w:rPr>
          <w:b/>
          <w:bCs/>
          <w:i w:val="0"/>
          <w:sz w:val="24"/>
          <w:szCs w:val="24"/>
        </w:rPr>
      </w:pPr>
      <w:r w:rsidRPr="00795FF6">
        <w:rPr>
          <w:b/>
          <w:bCs/>
          <w:i w:val="0"/>
          <w:sz w:val="24"/>
          <w:szCs w:val="24"/>
        </w:rPr>
        <w:t>“nombramiento transparencia RVS05-09-2024-182647.pdf”:</w:t>
      </w:r>
      <w:r w:rsidR="00AE6EC0" w:rsidRPr="00795FF6">
        <w:rPr>
          <w:b/>
          <w:bCs/>
          <w:i w:val="0"/>
          <w:sz w:val="24"/>
          <w:szCs w:val="24"/>
        </w:rPr>
        <w:t xml:space="preserve"> </w:t>
      </w:r>
      <w:r w:rsidR="00AE6EC0" w:rsidRPr="00795FF6">
        <w:rPr>
          <w:i w:val="0"/>
          <w:sz w:val="24"/>
          <w:szCs w:val="24"/>
        </w:rPr>
        <w:t xml:space="preserve">Oficio número </w:t>
      </w:r>
      <w:r w:rsidR="00AE6EC0" w:rsidRPr="00795FF6">
        <w:rPr>
          <w:b/>
          <w:bCs/>
          <w:i w:val="0"/>
          <w:sz w:val="24"/>
          <w:szCs w:val="24"/>
        </w:rPr>
        <w:t xml:space="preserve">230ª00000/0070/2024 </w:t>
      </w:r>
      <w:r w:rsidR="00AE6EC0" w:rsidRPr="00795FF6">
        <w:rPr>
          <w:i w:val="0"/>
          <w:sz w:val="24"/>
          <w:szCs w:val="24"/>
        </w:rPr>
        <w:t xml:space="preserve">signado por el secretario de desarrollo urbano e infraestructura, dirigido al director consultivo, de fecha dos de mayo de dos mil veinticinco, en lo medular expide nombramiento como titular de la unidad de transparencia. </w:t>
      </w:r>
    </w:p>
    <w:p w14:paraId="2371DF17" w14:textId="77777777" w:rsidR="00AE6EC0" w:rsidRPr="00795FF6" w:rsidRDefault="00AE6EC0" w:rsidP="00AE6EC0">
      <w:pPr>
        <w:pStyle w:val="Citas"/>
        <w:tabs>
          <w:tab w:val="left" w:pos="7470"/>
        </w:tabs>
        <w:ind w:left="720" w:right="72"/>
        <w:rPr>
          <w:b/>
          <w:bCs/>
          <w:i w:val="0"/>
          <w:sz w:val="24"/>
          <w:szCs w:val="24"/>
        </w:rPr>
      </w:pPr>
    </w:p>
    <w:p w14:paraId="4374EC19" w14:textId="5C34863B" w:rsidR="0058592D" w:rsidRPr="00795FF6" w:rsidRDefault="0058592D" w:rsidP="008347B2">
      <w:pPr>
        <w:pStyle w:val="Citas"/>
        <w:numPr>
          <w:ilvl w:val="0"/>
          <w:numId w:val="6"/>
        </w:numPr>
        <w:tabs>
          <w:tab w:val="left" w:pos="7470"/>
        </w:tabs>
        <w:ind w:right="72"/>
        <w:rPr>
          <w:b/>
          <w:bCs/>
          <w:i w:val="0"/>
          <w:sz w:val="24"/>
          <w:szCs w:val="24"/>
        </w:rPr>
      </w:pPr>
      <w:r w:rsidRPr="00795FF6">
        <w:rPr>
          <w:b/>
          <w:bCs/>
          <w:i w:val="0"/>
          <w:sz w:val="24"/>
          <w:szCs w:val="24"/>
        </w:rPr>
        <w:t>“I.J 308-2025-10770.pdf”:</w:t>
      </w:r>
      <w:r w:rsidR="00AE6EC0" w:rsidRPr="00795FF6">
        <w:rPr>
          <w:b/>
          <w:bCs/>
          <w:i w:val="0"/>
          <w:sz w:val="24"/>
          <w:szCs w:val="24"/>
        </w:rPr>
        <w:t xml:space="preserve"> </w:t>
      </w:r>
      <w:r w:rsidR="00AE6EC0" w:rsidRPr="00795FF6">
        <w:rPr>
          <w:i w:val="0"/>
          <w:sz w:val="24"/>
          <w:szCs w:val="24"/>
        </w:rPr>
        <w:t xml:space="preserve">Oficio número </w:t>
      </w:r>
      <w:r w:rsidR="00AE6EC0" w:rsidRPr="00795FF6">
        <w:rPr>
          <w:b/>
          <w:bCs/>
          <w:i w:val="0"/>
          <w:sz w:val="24"/>
          <w:szCs w:val="24"/>
        </w:rPr>
        <w:t xml:space="preserve">SEDUI-CI/0954/2025 </w:t>
      </w:r>
      <w:r w:rsidR="00AE6EC0" w:rsidRPr="00795FF6">
        <w:rPr>
          <w:i w:val="0"/>
          <w:sz w:val="24"/>
          <w:szCs w:val="24"/>
        </w:rPr>
        <w:t xml:space="preserve">signado por el titular de la unidad de transparencia, dirigido al comisionado ponente, de fecha veintinueve de septiembre de dos mil veinticinco, ratifica la respuesta primigenia y expone el contenido de los artículos 4 de la Ley de Comisión de Impacto Estatal, así como el numeral 39 de la Ley Orgánica de la Administración Pública del Estado de México, a efecto de </w:t>
      </w:r>
      <w:r w:rsidR="00CB0E90" w:rsidRPr="00795FF6">
        <w:rPr>
          <w:i w:val="0"/>
          <w:sz w:val="24"/>
          <w:szCs w:val="24"/>
        </w:rPr>
        <w:t xml:space="preserve">referir que no </w:t>
      </w:r>
      <w:r w:rsidR="00AE6EC0" w:rsidRPr="00795FF6">
        <w:rPr>
          <w:i w:val="0"/>
          <w:sz w:val="24"/>
          <w:szCs w:val="24"/>
        </w:rPr>
        <w:t xml:space="preserve">cuenta con atribuciones para realizar clausuras o suspensiones de obra. </w:t>
      </w:r>
    </w:p>
    <w:p w14:paraId="10552FBC" w14:textId="77777777" w:rsidR="00AE6EC0" w:rsidRPr="00795FF6" w:rsidRDefault="00AE6EC0" w:rsidP="00AE6EC0">
      <w:pPr>
        <w:pStyle w:val="Prrafodelista"/>
        <w:rPr>
          <w:b/>
          <w:bCs/>
          <w:i/>
        </w:rPr>
      </w:pPr>
    </w:p>
    <w:p w14:paraId="60B70AE9" w14:textId="7BB2269E" w:rsidR="0058592D" w:rsidRPr="00795FF6" w:rsidRDefault="0058592D" w:rsidP="008347B2">
      <w:pPr>
        <w:pStyle w:val="Citas"/>
        <w:numPr>
          <w:ilvl w:val="0"/>
          <w:numId w:val="6"/>
        </w:numPr>
        <w:tabs>
          <w:tab w:val="left" w:pos="7470"/>
        </w:tabs>
        <w:ind w:right="72"/>
        <w:rPr>
          <w:b/>
          <w:bCs/>
          <w:i w:val="0"/>
          <w:sz w:val="24"/>
          <w:szCs w:val="24"/>
        </w:rPr>
      </w:pPr>
      <w:r w:rsidRPr="00795FF6">
        <w:rPr>
          <w:b/>
          <w:bCs/>
          <w:i w:val="0"/>
          <w:sz w:val="24"/>
          <w:szCs w:val="24"/>
        </w:rPr>
        <w:t>“R.RR CIE 308-2025-10770.pdf”:</w:t>
      </w:r>
      <w:r w:rsidR="00AE6EC0" w:rsidRPr="00795FF6">
        <w:rPr>
          <w:b/>
          <w:bCs/>
          <w:i w:val="0"/>
          <w:sz w:val="24"/>
          <w:szCs w:val="24"/>
        </w:rPr>
        <w:t xml:space="preserve"> </w:t>
      </w:r>
      <w:r w:rsidR="00AE6EC0" w:rsidRPr="00795FF6">
        <w:rPr>
          <w:i w:val="0"/>
          <w:sz w:val="24"/>
          <w:szCs w:val="24"/>
        </w:rPr>
        <w:t xml:space="preserve">Oficio número </w:t>
      </w:r>
      <w:r w:rsidR="00AE6EC0" w:rsidRPr="00795FF6">
        <w:rPr>
          <w:b/>
          <w:bCs/>
          <w:i w:val="0"/>
          <w:sz w:val="24"/>
          <w:szCs w:val="24"/>
        </w:rPr>
        <w:t xml:space="preserve">230B01010-00965/2025 </w:t>
      </w:r>
      <w:r w:rsidR="00AE6EC0" w:rsidRPr="00795FF6">
        <w:rPr>
          <w:i w:val="0"/>
          <w:sz w:val="24"/>
          <w:szCs w:val="24"/>
        </w:rPr>
        <w:t xml:space="preserve">signado por la directora general de la comisión de impacto estatal, dirigido al </w:t>
      </w:r>
      <w:r w:rsidR="00117C21" w:rsidRPr="00795FF6">
        <w:rPr>
          <w:i w:val="0"/>
          <w:sz w:val="24"/>
          <w:szCs w:val="24"/>
        </w:rPr>
        <w:t xml:space="preserve">titular de la unidad de transparencia, de fecha veinticuatro de septiembre de dos mil veinticinco, expone diversos antecedentes y porciones normativas, estas </w:t>
      </w:r>
      <w:r w:rsidR="00117C21" w:rsidRPr="00795FF6">
        <w:rPr>
          <w:i w:val="0"/>
          <w:sz w:val="24"/>
          <w:szCs w:val="24"/>
        </w:rPr>
        <w:lastRenderedPageBreak/>
        <w:t xml:space="preserve">últimas encauzadas a señalar que no tiene atribuciones para realizar clausuras o suspensiones de obra. </w:t>
      </w:r>
    </w:p>
    <w:p w14:paraId="692E212A" w14:textId="77777777" w:rsidR="00AE6EC0" w:rsidRPr="00795FF6" w:rsidRDefault="00AE6EC0" w:rsidP="00AE6EC0">
      <w:pPr>
        <w:pStyle w:val="Prrafodelista"/>
        <w:rPr>
          <w:b/>
          <w:bCs/>
          <w:i/>
        </w:rPr>
      </w:pPr>
    </w:p>
    <w:p w14:paraId="0512F372" w14:textId="49C2864B" w:rsidR="0058592D" w:rsidRPr="00795FF6" w:rsidRDefault="0058592D" w:rsidP="008347B2">
      <w:pPr>
        <w:pStyle w:val="Citas"/>
        <w:numPr>
          <w:ilvl w:val="0"/>
          <w:numId w:val="6"/>
        </w:numPr>
        <w:tabs>
          <w:tab w:val="left" w:pos="7470"/>
        </w:tabs>
        <w:ind w:right="72"/>
        <w:rPr>
          <w:b/>
          <w:bCs/>
          <w:i w:val="0"/>
          <w:sz w:val="24"/>
          <w:szCs w:val="24"/>
        </w:rPr>
      </w:pPr>
      <w:r w:rsidRPr="00795FF6">
        <w:rPr>
          <w:b/>
          <w:bCs/>
          <w:i w:val="0"/>
          <w:sz w:val="24"/>
          <w:szCs w:val="24"/>
        </w:rPr>
        <w:t xml:space="preserve">“T.RR. DGCIE. CMC 308-2025.pdf”: </w:t>
      </w:r>
      <w:r w:rsidR="00117C21" w:rsidRPr="00795FF6">
        <w:rPr>
          <w:i w:val="0"/>
          <w:sz w:val="24"/>
          <w:szCs w:val="24"/>
        </w:rPr>
        <w:t xml:space="preserve">Oficio número </w:t>
      </w:r>
      <w:r w:rsidR="00117C21" w:rsidRPr="00795FF6">
        <w:rPr>
          <w:b/>
          <w:bCs/>
          <w:i w:val="0"/>
          <w:sz w:val="24"/>
          <w:szCs w:val="24"/>
        </w:rPr>
        <w:t xml:space="preserve">SEDUI-CI-0934/2025 </w:t>
      </w:r>
      <w:r w:rsidR="00117C21" w:rsidRPr="00795FF6">
        <w:rPr>
          <w:i w:val="0"/>
          <w:sz w:val="24"/>
          <w:szCs w:val="24"/>
        </w:rPr>
        <w:t xml:space="preserve">signado por el titular de la unidad de transparencia, dirigido a la directora general de la comisión de impacto estatal, de fecha diecinueve de septiembre de dos mil veinticinco, requiere rendir manifestaciones a efecto de integrar el informe justificado. </w:t>
      </w:r>
    </w:p>
    <w:p w14:paraId="2B174866" w14:textId="77777777" w:rsidR="0058592D" w:rsidRPr="00795FF6" w:rsidRDefault="0058592D" w:rsidP="00FF281C">
      <w:pPr>
        <w:pStyle w:val="Citas"/>
        <w:tabs>
          <w:tab w:val="left" w:pos="7470"/>
        </w:tabs>
        <w:ind w:left="0" w:right="72"/>
        <w:rPr>
          <w:i w:val="0"/>
          <w:sz w:val="24"/>
          <w:szCs w:val="24"/>
        </w:rPr>
      </w:pPr>
    </w:p>
    <w:p w14:paraId="06D1734F" w14:textId="091C47FD" w:rsidR="00117C21" w:rsidRPr="00795FF6" w:rsidRDefault="00117C21" w:rsidP="00117C21">
      <w:pPr>
        <w:spacing w:after="0" w:line="360" w:lineRule="auto"/>
        <w:contextualSpacing/>
        <w:jc w:val="both"/>
        <w:rPr>
          <w:rFonts w:ascii="Palatino Linotype" w:hAnsi="Palatino Linotype"/>
          <w:sz w:val="24"/>
          <w:szCs w:val="24"/>
        </w:rPr>
      </w:pPr>
      <w:r w:rsidRPr="00795FF6">
        <w:rPr>
          <w:rFonts w:ascii="Palatino Linotype" w:hAnsi="Palatino Linotype"/>
          <w:bCs/>
          <w:sz w:val="24"/>
          <w:szCs w:val="24"/>
        </w:rPr>
        <w:t xml:space="preserve">Con base en lo anteriormente expuesto, si bien es cierto que el extracto de la solicitud de información </w:t>
      </w:r>
      <w:r w:rsidRPr="00795FF6">
        <w:rPr>
          <w:rFonts w:ascii="Palatino Linotype" w:hAnsi="Palatino Linotype"/>
          <w:b/>
          <w:sz w:val="24"/>
          <w:szCs w:val="24"/>
        </w:rPr>
        <w:t xml:space="preserve">00308/SEDUI/IP/2025 </w:t>
      </w:r>
      <w:r w:rsidRPr="00795FF6">
        <w:rPr>
          <w:rFonts w:ascii="Palatino Linotype" w:hAnsi="Palatino Linotype"/>
          <w:bCs/>
          <w:sz w:val="24"/>
          <w:szCs w:val="24"/>
        </w:rPr>
        <w:t xml:space="preserve">referente a </w:t>
      </w:r>
      <w:r w:rsidRPr="00795FF6">
        <w:rPr>
          <w:rFonts w:ascii="Palatino Linotype" w:hAnsi="Palatino Linotype"/>
          <w:i/>
          <w:iCs/>
          <w:sz w:val="24"/>
          <w:szCs w:val="24"/>
        </w:rPr>
        <w:t xml:space="preserve">“y en caso de que no tenga el dictamen saber </w:t>
      </w:r>
      <w:proofErr w:type="spellStart"/>
      <w:r w:rsidRPr="00795FF6">
        <w:rPr>
          <w:rFonts w:ascii="Palatino Linotype" w:hAnsi="Palatino Linotype"/>
          <w:i/>
          <w:iCs/>
          <w:sz w:val="24"/>
          <w:szCs w:val="24"/>
        </w:rPr>
        <w:t>por que</w:t>
      </w:r>
      <w:proofErr w:type="spellEnd"/>
      <w:r w:rsidRPr="00795FF6">
        <w:rPr>
          <w:rFonts w:ascii="Palatino Linotype" w:hAnsi="Palatino Linotype"/>
          <w:i/>
          <w:iCs/>
          <w:sz w:val="24"/>
          <w:szCs w:val="24"/>
        </w:rPr>
        <w:t xml:space="preserve"> no han actuado para la clausura o suspensión de la obra”</w:t>
      </w:r>
      <w:r w:rsidRPr="00795FF6">
        <w:rPr>
          <w:sz w:val="24"/>
          <w:szCs w:val="24"/>
        </w:rPr>
        <w:t xml:space="preserve"> </w:t>
      </w:r>
      <w:r w:rsidRPr="00795FF6">
        <w:rPr>
          <w:rFonts w:ascii="Palatino Linotype" w:hAnsi="Palatino Linotype"/>
          <w:sz w:val="24"/>
          <w:szCs w:val="24"/>
        </w:rPr>
        <w:t xml:space="preserve">se trata de manifestaciones subjetivas y derecho de petición, lo cierto también es que </w:t>
      </w:r>
      <w:r w:rsidR="00005478" w:rsidRPr="00795FF6">
        <w:rPr>
          <w:rFonts w:ascii="Palatino Linotype" w:hAnsi="Palatino Linotype"/>
          <w:b/>
          <w:bCs/>
          <w:sz w:val="24"/>
          <w:szCs w:val="24"/>
        </w:rPr>
        <w:t xml:space="preserve">El Sujeto Obligado </w:t>
      </w:r>
      <w:r w:rsidR="00005478" w:rsidRPr="00795FF6">
        <w:rPr>
          <w:rFonts w:ascii="Palatino Linotype" w:hAnsi="Palatino Linotype"/>
          <w:sz w:val="24"/>
          <w:szCs w:val="24"/>
        </w:rPr>
        <w:t xml:space="preserve">clarificó mediante informe justificado que no cuenta con atribuciones para realizar clausuras y/o suspensiones de obras, es decir, </w:t>
      </w:r>
      <w:r w:rsidR="00005478" w:rsidRPr="00795FF6">
        <w:rPr>
          <w:rFonts w:ascii="Palatino Linotype" w:hAnsi="Palatino Linotype"/>
          <w:b/>
          <w:bCs/>
          <w:sz w:val="24"/>
          <w:szCs w:val="24"/>
        </w:rPr>
        <w:t xml:space="preserve">El Sujeto Obligado </w:t>
      </w:r>
      <w:r w:rsidR="00005478" w:rsidRPr="00795FF6">
        <w:rPr>
          <w:rFonts w:ascii="Palatino Linotype" w:hAnsi="Palatino Linotype"/>
          <w:sz w:val="24"/>
          <w:szCs w:val="24"/>
        </w:rPr>
        <w:t xml:space="preserve">atendió el único motivo de inconformidad del </w:t>
      </w:r>
      <w:r w:rsidR="00005478" w:rsidRPr="00795FF6">
        <w:rPr>
          <w:rFonts w:ascii="Palatino Linotype" w:hAnsi="Palatino Linotype"/>
          <w:b/>
          <w:bCs/>
          <w:sz w:val="24"/>
          <w:szCs w:val="24"/>
        </w:rPr>
        <w:t xml:space="preserve">Recurrente, </w:t>
      </w:r>
      <w:r w:rsidR="00005478" w:rsidRPr="00795FF6">
        <w:rPr>
          <w:rFonts w:ascii="Palatino Linotype" w:hAnsi="Palatino Linotype"/>
          <w:sz w:val="24"/>
          <w:szCs w:val="24"/>
        </w:rPr>
        <w:t xml:space="preserve">mismo que tiene como origen manifestaciones subjetivas / derecho de petición. </w:t>
      </w:r>
    </w:p>
    <w:p w14:paraId="17223E59" w14:textId="77777777" w:rsidR="00A717AC" w:rsidRPr="00795FF6" w:rsidRDefault="00A717AC" w:rsidP="00117C21">
      <w:pPr>
        <w:spacing w:after="0" w:line="360" w:lineRule="auto"/>
        <w:contextualSpacing/>
        <w:jc w:val="both"/>
        <w:rPr>
          <w:rFonts w:ascii="Palatino Linotype" w:hAnsi="Palatino Linotype"/>
          <w:sz w:val="24"/>
          <w:szCs w:val="24"/>
        </w:rPr>
      </w:pPr>
    </w:p>
    <w:p w14:paraId="0599DEA0" w14:textId="62A97403" w:rsidR="00A717AC" w:rsidRPr="00795FF6" w:rsidRDefault="00C25839" w:rsidP="00117C21">
      <w:pPr>
        <w:spacing w:after="0" w:line="360" w:lineRule="auto"/>
        <w:contextualSpacing/>
        <w:jc w:val="both"/>
        <w:rPr>
          <w:rFonts w:ascii="Palatino Linotype" w:hAnsi="Palatino Linotype"/>
          <w:sz w:val="24"/>
          <w:szCs w:val="24"/>
        </w:rPr>
      </w:pPr>
      <w:r w:rsidRPr="00795FF6">
        <w:rPr>
          <w:rFonts w:ascii="Palatino Linotype" w:hAnsi="Palatino Linotype"/>
          <w:sz w:val="24"/>
          <w:szCs w:val="24"/>
        </w:rPr>
        <w:t xml:space="preserve">Siendo las cosas así, resulta conveniente acotar que el derecho de acceso a la información pública no es la vía para formular denuncias, cuestionamientos, manifestaciones subjetivas o derecho de petición. </w:t>
      </w:r>
    </w:p>
    <w:p w14:paraId="3C57394B" w14:textId="77777777" w:rsidR="005B55FE" w:rsidRPr="00795FF6" w:rsidRDefault="005B55FE" w:rsidP="00117C21">
      <w:pPr>
        <w:spacing w:after="0" w:line="360" w:lineRule="auto"/>
        <w:contextualSpacing/>
        <w:jc w:val="both"/>
        <w:rPr>
          <w:rFonts w:ascii="Palatino Linotype" w:hAnsi="Palatino Linotype"/>
          <w:sz w:val="24"/>
          <w:szCs w:val="24"/>
        </w:rPr>
      </w:pPr>
    </w:p>
    <w:p w14:paraId="38064C88" w14:textId="2C5AD81E" w:rsidR="005B55FE" w:rsidRPr="00795FF6" w:rsidRDefault="005B55FE" w:rsidP="00C25839">
      <w:pPr>
        <w:spacing w:after="0" w:line="360" w:lineRule="auto"/>
        <w:jc w:val="both"/>
        <w:rPr>
          <w:rFonts w:ascii="Palatino Linotype" w:hAnsi="Palatino Linotype"/>
          <w:sz w:val="24"/>
          <w:szCs w:val="24"/>
        </w:rPr>
      </w:pPr>
      <w:r w:rsidRPr="00795FF6">
        <w:rPr>
          <w:rFonts w:ascii="Palatino Linotype" w:hAnsi="Palatino Linotype"/>
          <w:sz w:val="24"/>
          <w:szCs w:val="24"/>
        </w:rPr>
        <w:lastRenderedPageBreak/>
        <w:t xml:space="preserve">Para comprender los </w:t>
      </w:r>
      <w:proofErr w:type="spellStart"/>
      <w:r w:rsidRPr="00795FF6">
        <w:rPr>
          <w:rFonts w:ascii="Palatino Linotype" w:hAnsi="Palatino Linotype"/>
          <w:sz w:val="24"/>
          <w:szCs w:val="24"/>
        </w:rPr>
        <w:t>limites</w:t>
      </w:r>
      <w:proofErr w:type="spellEnd"/>
      <w:r w:rsidRPr="00795FF6">
        <w:rPr>
          <w:rFonts w:ascii="Palatino Linotype" w:hAnsi="Palatino Linotype"/>
          <w:sz w:val="24"/>
          <w:szCs w:val="24"/>
        </w:rPr>
        <w:t xml:space="preserve"> y alcances del derecho de acceso a la información pública, </w:t>
      </w:r>
    </w:p>
    <w:p w14:paraId="4E5D6A91" w14:textId="0CB6FDD9" w:rsidR="00C25839" w:rsidRPr="00795FF6" w:rsidRDefault="005B55FE" w:rsidP="00C25839">
      <w:pPr>
        <w:spacing w:after="0" w:line="360" w:lineRule="auto"/>
        <w:jc w:val="both"/>
        <w:rPr>
          <w:color w:val="000000"/>
          <w:sz w:val="24"/>
          <w:szCs w:val="24"/>
        </w:rPr>
      </w:pPr>
      <w:proofErr w:type="gramStart"/>
      <w:r w:rsidRPr="00795FF6">
        <w:rPr>
          <w:rFonts w:ascii="Palatino Linotype" w:hAnsi="Palatino Linotype"/>
          <w:sz w:val="24"/>
          <w:szCs w:val="24"/>
        </w:rPr>
        <w:t>r</w:t>
      </w:r>
      <w:r w:rsidR="00C25839" w:rsidRPr="00795FF6">
        <w:rPr>
          <w:rFonts w:ascii="Palatino Linotype" w:hAnsi="Palatino Linotype"/>
          <w:sz w:val="24"/>
          <w:szCs w:val="24"/>
        </w:rPr>
        <w:t>esulta</w:t>
      </w:r>
      <w:proofErr w:type="gramEnd"/>
      <w:r w:rsidR="00C25839" w:rsidRPr="00795FF6">
        <w:rPr>
          <w:rFonts w:ascii="Palatino Linotype" w:hAnsi="Palatino Linotype"/>
          <w:sz w:val="24"/>
          <w:szCs w:val="24"/>
        </w:rPr>
        <w:t xml:space="preserve"> aplicable el criterio de interpretación </w:t>
      </w:r>
      <w:r w:rsidR="00C25839" w:rsidRPr="00795FF6">
        <w:rPr>
          <w:rFonts w:ascii="Palatino Linotype" w:eastAsia="Palatino Linotype" w:hAnsi="Palatino Linotype" w:cs="Palatino Linotype"/>
          <w:color w:val="000000"/>
          <w:sz w:val="24"/>
          <w:szCs w:val="24"/>
        </w:rPr>
        <w:t xml:space="preserve">en el orden administrativo número </w:t>
      </w:r>
      <w:r w:rsidR="00C25839" w:rsidRPr="00795FF6">
        <w:rPr>
          <w:rFonts w:ascii="Palatino Linotype" w:eastAsia="Palatino Linotype" w:hAnsi="Palatino Linotype" w:cs="Palatino Linotype"/>
          <w:b/>
          <w:bCs/>
          <w:color w:val="000000"/>
          <w:sz w:val="24"/>
          <w:szCs w:val="24"/>
        </w:rPr>
        <w:t>0002-11,</w:t>
      </w:r>
      <w:r w:rsidR="00C25839" w:rsidRPr="00795FF6">
        <w:rPr>
          <w:rFonts w:ascii="Palatino Linotype" w:eastAsia="Palatino Linotype" w:hAnsi="Palatino Linotype" w:cs="Palatino Linotype"/>
          <w:color w:val="000000"/>
          <w:sz w:val="24"/>
          <w:szCs w:val="24"/>
        </w:rPr>
        <w:t xml:space="preserve">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37E62D9" w14:textId="0B006635" w:rsidR="00C25839" w:rsidRPr="00795FF6" w:rsidRDefault="00C25839" w:rsidP="00C25839">
      <w:pPr>
        <w:pStyle w:val="Citas"/>
        <w:rPr>
          <w:b/>
          <w:bCs/>
        </w:rPr>
      </w:pPr>
      <w:r w:rsidRPr="00795FF6">
        <w:rPr>
          <w:b/>
          <w:bCs/>
        </w:rPr>
        <w:t>“INFORMACIÓN PÚBLICA, CONCEPTO DE, EN MATERIA DE TRANSPARENCIA. INTERPRETACIÓN SISTEMÁTICA DE LOS ARTÍCULOS 2°, FRACCIÓN V, XV, Y XVI, 3°, 4°, 11 Y 41.</w:t>
      </w:r>
    </w:p>
    <w:p w14:paraId="37AC0833" w14:textId="4ED6DA38" w:rsidR="00C25839" w:rsidRPr="00795FF6" w:rsidRDefault="00C25839" w:rsidP="00C25839">
      <w:pPr>
        <w:pStyle w:val="Citas"/>
      </w:pPr>
      <w:r w:rsidRPr="00795FF6">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C3555B" w14:textId="77777777" w:rsidR="00C25839" w:rsidRPr="00795FF6" w:rsidRDefault="00C25839" w:rsidP="00C25839">
      <w:pPr>
        <w:pStyle w:val="Citas"/>
      </w:pPr>
      <w:r w:rsidRPr="00795FF6">
        <w:t>En consecuencia el acceso a la información se refiere a que se cumplan cualquiera de los siguientes tres supuestos:</w:t>
      </w:r>
    </w:p>
    <w:p w14:paraId="29AE732E" w14:textId="77777777" w:rsidR="00C25839" w:rsidRPr="00795FF6" w:rsidRDefault="00C25839" w:rsidP="00C25839">
      <w:pPr>
        <w:pStyle w:val="Citas"/>
      </w:pPr>
      <w:r w:rsidRPr="00795FF6">
        <w:t xml:space="preserve">1) </w:t>
      </w:r>
      <w:r w:rsidRPr="00795FF6">
        <w:rPr>
          <w:u w:val="single"/>
        </w:rPr>
        <w:t>Que se trate de información registrada en cualquier soporte documental, que en ejercicio de las atribuciones conferidas, sea generada por los Sujetos Obligados;</w:t>
      </w:r>
    </w:p>
    <w:p w14:paraId="24856D80" w14:textId="77777777" w:rsidR="00C25839" w:rsidRPr="00795FF6" w:rsidRDefault="00C25839" w:rsidP="00C25839">
      <w:pPr>
        <w:pStyle w:val="Citas"/>
      </w:pPr>
      <w:r w:rsidRPr="00795FF6">
        <w:t>2) Que se trate de información registrada en cualquier soporte documental, que en ejercicio de las atribuciones conferidas, sea administrada por los Sujetos Obligados, y</w:t>
      </w:r>
    </w:p>
    <w:p w14:paraId="32CFFC18" w14:textId="62DC651F" w:rsidR="00C25839" w:rsidRPr="00795FF6" w:rsidRDefault="00C25839" w:rsidP="00C25839">
      <w:pPr>
        <w:pStyle w:val="Citas"/>
        <w:rPr>
          <w:b/>
          <w:bCs/>
          <w:sz w:val="24"/>
          <w:szCs w:val="24"/>
        </w:rPr>
      </w:pPr>
      <w:r w:rsidRPr="00795FF6">
        <w:lastRenderedPageBreak/>
        <w:t xml:space="preserve">3) Que se trate de información registrada en cualquier soporte documental, que en ejercicio de las atribuciones conferidas, se encuentre en posesión de los Sujetos Obligados.” </w:t>
      </w:r>
      <w:r w:rsidRPr="00795FF6">
        <w:rPr>
          <w:b/>
          <w:bCs/>
        </w:rPr>
        <w:t>(Sic)</w:t>
      </w:r>
    </w:p>
    <w:p w14:paraId="713AA13E" w14:textId="77777777" w:rsidR="00C25839" w:rsidRPr="00795FF6" w:rsidRDefault="00C25839" w:rsidP="00117C21">
      <w:pPr>
        <w:spacing w:after="0" w:line="360" w:lineRule="auto"/>
        <w:contextualSpacing/>
        <w:jc w:val="both"/>
        <w:rPr>
          <w:rFonts w:ascii="Palatino Linotype" w:hAnsi="Palatino Linotype"/>
          <w:sz w:val="24"/>
          <w:szCs w:val="24"/>
        </w:rPr>
      </w:pPr>
    </w:p>
    <w:p w14:paraId="4CF23F05" w14:textId="4C738B58" w:rsidR="00117C21" w:rsidRPr="00795FF6" w:rsidRDefault="00117C21" w:rsidP="00117C21">
      <w:pPr>
        <w:spacing w:line="360" w:lineRule="auto"/>
        <w:jc w:val="both"/>
        <w:rPr>
          <w:rFonts w:ascii="Palatino Linotype" w:hAnsi="Palatino Linotype" w:cs="Arial"/>
          <w:sz w:val="24"/>
          <w:szCs w:val="24"/>
        </w:rPr>
      </w:pPr>
      <w:bookmarkStart w:id="3" w:name="_Hlk211859863"/>
      <w:r w:rsidRPr="00795FF6">
        <w:rPr>
          <w:rFonts w:ascii="Palatino Linotype" w:hAnsi="Palatino Linotype"/>
          <w:sz w:val="24"/>
          <w:szCs w:val="24"/>
        </w:rPr>
        <w:t xml:space="preserve">Una vez precisado lo anterior, </w:t>
      </w:r>
      <w:r w:rsidR="00291465" w:rsidRPr="00795FF6">
        <w:rPr>
          <w:rFonts w:ascii="Palatino Linotype" w:hAnsi="Palatino Linotype"/>
          <w:sz w:val="24"/>
          <w:szCs w:val="24"/>
        </w:rPr>
        <w:t xml:space="preserve">se menciona que </w:t>
      </w:r>
      <w:r w:rsidRPr="00795FF6">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4686F06" w14:textId="77777777" w:rsidR="00117C21" w:rsidRPr="00795FF6" w:rsidRDefault="00117C21" w:rsidP="00117C21">
      <w:pPr>
        <w:spacing w:line="360" w:lineRule="auto"/>
        <w:ind w:left="851" w:right="851"/>
        <w:jc w:val="both"/>
        <w:rPr>
          <w:rFonts w:ascii="Palatino Linotype" w:hAnsi="Palatino Linotype" w:cs="Arial"/>
          <w:b/>
          <w:i/>
        </w:rPr>
      </w:pPr>
      <w:r w:rsidRPr="00795FF6">
        <w:rPr>
          <w:rFonts w:ascii="Palatino Linotype" w:hAnsi="Palatino Linotype" w:cs="Arial"/>
          <w:b/>
          <w:i/>
        </w:rPr>
        <w:t>“SOBRESEIMIENTO EN EL JUICIO DE AMPARO DIRECTO. IMPIDE EL ESTUDIO DE LAS VIOLACIONES PROCESALES PLANTEADAS EN LOS CONCEPTOS DE VIOLACIÓN.</w:t>
      </w:r>
    </w:p>
    <w:p w14:paraId="3577E23E" w14:textId="77777777" w:rsidR="00117C21" w:rsidRPr="00795FF6" w:rsidRDefault="00117C21" w:rsidP="00117C21">
      <w:pPr>
        <w:spacing w:line="360" w:lineRule="auto"/>
        <w:ind w:left="851" w:right="851"/>
        <w:jc w:val="both"/>
        <w:rPr>
          <w:rFonts w:ascii="Palatino Linotype" w:hAnsi="Palatino Linotype"/>
          <w:i/>
          <w:color w:val="000000"/>
        </w:rPr>
      </w:pPr>
      <w:r w:rsidRPr="00795FF6">
        <w:rPr>
          <w:rFonts w:ascii="Palatino Linotype" w:hAnsi="Palatino Linotype" w:cs="Arial"/>
          <w:b/>
          <w:i/>
          <w:u w:val="single"/>
        </w:rPr>
        <w:t>El sobreseimiento</w:t>
      </w:r>
      <w:r w:rsidRPr="00795FF6">
        <w:rPr>
          <w:rFonts w:ascii="Palatino Linotype" w:hAnsi="Palatino Linotype" w:cs="Arial"/>
          <w:b/>
          <w:i/>
        </w:rPr>
        <w:t xml:space="preserve"> </w:t>
      </w:r>
      <w:r w:rsidRPr="00795FF6">
        <w:rPr>
          <w:rFonts w:ascii="Palatino Linotype" w:hAnsi="Palatino Linotype" w:cs="Arial"/>
          <w:i/>
        </w:rPr>
        <w:t xml:space="preserve">en el juicio de amparo directo </w:t>
      </w:r>
      <w:r w:rsidRPr="00795FF6">
        <w:rPr>
          <w:rFonts w:ascii="Palatino Linotype" w:hAnsi="Palatino Linotype" w:cs="Arial"/>
          <w:b/>
          <w:i/>
          <w:u w:val="single"/>
        </w:rPr>
        <w:t>provoca la terminación de la controversia planteada</w:t>
      </w:r>
      <w:r w:rsidRPr="00795FF6">
        <w:rPr>
          <w:rFonts w:ascii="Palatino Linotype" w:hAnsi="Palatino Linotype" w:cs="Arial"/>
          <w:b/>
          <w:i/>
        </w:rPr>
        <w:t xml:space="preserve"> </w:t>
      </w:r>
      <w:r w:rsidRPr="00795FF6">
        <w:rPr>
          <w:rFonts w:ascii="Palatino Linotype" w:hAnsi="Palatino Linotype" w:cs="Arial"/>
          <w:i/>
        </w:rPr>
        <w:t>por el quejoso en la demanda de amparo</w:t>
      </w:r>
      <w:r w:rsidRPr="00795FF6">
        <w:rPr>
          <w:rFonts w:ascii="Calibri" w:hAnsi="Calibri"/>
          <w:color w:val="000000"/>
          <w:sz w:val="26"/>
          <w:szCs w:val="26"/>
        </w:rPr>
        <w:t xml:space="preserve"> </w:t>
      </w:r>
      <w:r w:rsidRPr="00795FF6">
        <w:rPr>
          <w:rFonts w:ascii="Palatino Linotype" w:hAnsi="Palatino Linotype"/>
          <w:i/>
          <w:color w:val="000000"/>
        </w:rPr>
        <w:t xml:space="preserve">provoca la terminación de la controversia planteada por el quejoso en la demanda de </w:t>
      </w:r>
      <w:r w:rsidRPr="00795FF6">
        <w:rPr>
          <w:rFonts w:ascii="Palatino Linotype" w:hAnsi="Palatino Linotype"/>
          <w:b/>
          <w:i/>
          <w:color w:val="000000"/>
        </w:rPr>
        <w:t>amparo</w:t>
      </w:r>
      <w:r w:rsidRPr="00795FF6">
        <w:rPr>
          <w:rFonts w:ascii="Palatino Linotype" w:hAnsi="Palatino Linotype"/>
          <w:i/>
          <w:color w:val="000000"/>
        </w:rPr>
        <w:t>, sin hacer un pronunciamiento de fondo sobre la legalidad o ilegalidad de la sentencia reclamada. Por consiguiente, si al sobreseerse en el</w:t>
      </w:r>
      <w:r w:rsidRPr="00795FF6">
        <w:rPr>
          <w:rFonts w:ascii="Palatino Linotype" w:hAnsi="Palatino Linotype"/>
          <w:b/>
          <w:i/>
          <w:color w:val="000000"/>
        </w:rPr>
        <w:t xml:space="preserve"> juicio </w:t>
      </w:r>
      <w:r w:rsidRPr="00795FF6">
        <w:rPr>
          <w:rFonts w:ascii="Palatino Linotype" w:hAnsi="Palatino Linotype"/>
          <w:i/>
          <w:color w:val="000000"/>
        </w:rPr>
        <w:t xml:space="preserve">de </w:t>
      </w:r>
      <w:r w:rsidRPr="00795FF6">
        <w:rPr>
          <w:rFonts w:ascii="Palatino Linotype" w:hAnsi="Palatino Linotype"/>
          <w:b/>
          <w:i/>
          <w:color w:val="000000"/>
        </w:rPr>
        <w:t>amparo</w:t>
      </w:r>
      <w:r w:rsidRPr="00795FF6">
        <w:rPr>
          <w:rFonts w:ascii="Palatino Linotype" w:hAnsi="Palatino Linotype"/>
          <w:i/>
          <w:color w:val="000000"/>
        </w:rPr>
        <w:t xml:space="preserve"> no se pueden estudiar los planteamientos que se hacen valer en contra del fallo reclamado, tampoco se deben analizar las</w:t>
      </w:r>
      <w:r w:rsidRPr="00795FF6">
        <w:rPr>
          <w:rFonts w:ascii="Palatino Linotype" w:hAnsi="Palatino Linotype"/>
          <w:b/>
          <w:i/>
          <w:color w:val="000000"/>
        </w:rPr>
        <w:t xml:space="preserve"> violaciones procesales</w:t>
      </w:r>
      <w:r w:rsidRPr="00795FF6">
        <w:rPr>
          <w:rFonts w:ascii="Palatino Linotype" w:hAnsi="Palatino Linotype"/>
          <w:i/>
          <w:color w:val="000000"/>
        </w:rPr>
        <w:t xml:space="preserve"> propuestas en los </w:t>
      </w:r>
      <w:r w:rsidRPr="00795FF6">
        <w:rPr>
          <w:rFonts w:ascii="Palatino Linotype" w:hAnsi="Palatino Linotype"/>
          <w:b/>
          <w:i/>
          <w:color w:val="000000"/>
        </w:rPr>
        <w:t xml:space="preserve">conceptos </w:t>
      </w:r>
      <w:r w:rsidRPr="00795FF6">
        <w:rPr>
          <w:rFonts w:ascii="Palatino Linotype" w:hAnsi="Palatino Linotype"/>
          <w:i/>
          <w:color w:val="000000"/>
        </w:rPr>
        <w:t xml:space="preserve">de </w:t>
      </w:r>
      <w:r w:rsidRPr="00795FF6">
        <w:rPr>
          <w:rFonts w:ascii="Palatino Linotype" w:hAnsi="Palatino Linotype"/>
          <w:b/>
          <w:i/>
          <w:color w:val="000000"/>
        </w:rPr>
        <w:t>violación</w:t>
      </w:r>
      <w:r w:rsidRPr="00795FF6">
        <w:rPr>
          <w:rFonts w:ascii="Palatino Linotype" w:hAnsi="Palatino Linotype"/>
          <w:i/>
          <w:color w:val="000000"/>
        </w:rPr>
        <w:t xml:space="preserve">, dado que, la principal consecuencia del </w:t>
      </w:r>
      <w:r w:rsidRPr="00795FF6">
        <w:rPr>
          <w:rFonts w:ascii="Palatino Linotype" w:hAnsi="Palatino Linotype"/>
          <w:b/>
          <w:i/>
          <w:color w:val="000000"/>
        </w:rPr>
        <w:t>sobreseimiento</w:t>
      </w:r>
      <w:r w:rsidRPr="00795FF6">
        <w:rPr>
          <w:rFonts w:ascii="Palatino Linotype" w:hAnsi="Palatino Linotype"/>
          <w:i/>
          <w:color w:val="000000"/>
        </w:rPr>
        <w:t xml:space="preserve"> es poner fin al </w:t>
      </w:r>
      <w:r w:rsidRPr="00795FF6">
        <w:rPr>
          <w:rFonts w:ascii="Palatino Linotype" w:hAnsi="Palatino Linotype"/>
          <w:b/>
          <w:i/>
          <w:color w:val="000000"/>
        </w:rPr>
        <w:t xml:space="preserve">juicio </w:t>
      </w:r>
      <w:r w:rsidRPr="00795FF6">
        <w:rPr>
          <w:rFonts w:ascii="Palatino Linotype" w:hAnsi="Palatino Linotype"/>
          <w:i/>
          <w:color w:val="000000"/>
        </w:rPr>
        <w:t xml:space="preserve">de </w:t>
      </w:r>
      <w:r w:rsidRPr="00795FF6">
        <w:rPr>
          <w:rFonts w:ascii="Palatino Linotype" w:hAnsi="Palatino Linotype"/>
          <w:b/>
          <w:i/>
          <w:color w:val="000000"/>
        </w:rPr>
        <w:t xml:space="preserve">amparo </w:t>
      </w:r>
      <w:r w:rsidRPr="00795FF6">
        <w:rPr>
          <w:rFonts w:ascii="Palatino Linotype" w:hAnsi="Palatino Linotype"/>
          <w:i/>
          <w:color w:val="000000"/>
        </w:rPr>
        <w:t>sin resolver la controversia en sus méritos.  </w:t>
      </w:r>
    </w:p>
    <w:p w14:paraId="532F2CAE" w14:textId="77777777" w:rsidR="00117C21" w:rsidRPr="00795FF6" w:rsidRDefault="00117C21" w:rsidP="00117C21">
      <w:pPr>
        <w:spacing w:line="360" w:lineRule="auto"/>
        <w:ind w:left="851" w:right="851"/>
        <w:jc w:val="both"/>
        <w:rPr>
          <w:rFonts w:ascii="Palatino Linotype" w:hAnsi="Palatino Linotype" w:cs="Arial"/>
          <w:b/>
          <w:i/>
        </w:rPr>
      </w:pPr>
      <w:r w:rsidRPr="00795FF6">
        <w:rPr>
          <w:rFonts w:ascii="Palatino Linotype" w:hAnsi="Palatino Linotype" w:cs="Arial"/>
          <w:b/>
          <w:i/>
        </w:rPr>
        <w:t>SÉPTIMO TRIBUNAL COLEGIADO EN MATERIA CIVIL DEL PRIMER CIRCUITO.</w:t>
      </w:r>
    </w:p>
    <w:p w14:paraId="53D1E5FA" w14:textId="77777777" w:rsidR="00117C21" w:rsidRPr="00795FF6" w:rsidRDefault="00117C21" w:rsidP="00117C21">
      <w:pPr>
        <w:spacing w:line="360" w:lineRule="auto"/>
        <w:ind w:left="851" w:right="851"/>
        <w:jc w:val="both"/>
        <w:rPr>
          <w:rFonts w:ascii="Palatino Linotype" w:hAnsi="Palatino Linotype" w:cs="Arial"/>
          <w:i/>
        </w:rPr>
      </w:pPr>
      <w:r w:rsidRPr="00795FF6">
        <w:rPr>
          <w:rFonts w:ascii="Palatino Linotype" w:hAnsi="Palatino Linotype" w:cs="Arial"/>
          <w:i/>
        </w:rPr>
        <w:lastRenderedPageBreak/>
        <w:t xml:space="preserve">Amparo directo 699/2008. Mariana Leticia González </w:t>
      </w:r>
      <w:proofErr w:type="spellStart"/>
      <w:r w:rsidRPr="00795FF6">
        <w:rPr>
          <w:rFonts w:ascii="Palatino Linotype" w:hAnsi="Palatino Linotype" w:cs="Arial"/>
          <w:i/>
        </w:rPr>
        <w:t>Steele</w:t>
      </w:r>
      <w:proofErr w:type="spellEnd"/>
      <w:r w:rsidRPr="00795FF6">
        <w:rPr>
          <w:rFonts w:ascii="Palatino Linotype" w:hAnsi="Palatino Linotype" w:cs="Arial"/>
          <w:i/>
        </w:rPr>
        <w:t>. 13 de noviembre de 2008. Unanimidad de votos. Ponente: Sara Judith Montalvo Trejo. Secretario: Arnulfo Mateos García.”</w:t>
      </w:r>
      <w:r w:rsidRPr="00795FF6">
        <w:rPr>
          <w:rFonts w:ascii="Palatino Linotype" w:eastAsia="Times New Roman" w:hAnsi="Palatino Linotype" w:cs="Times New Roman"/>
          <w:b/>
          <w:i/>
          <w:lang w:val="es-ES_tradnl" w:eastAsia="es-ES"/>
        </w:rPr>
        <w:t xml:space="preserve"> [Sic]</w:t>
      </w:r>
    </w:p>
    <w:p w14:paraId="36708EB3" w14:textId="77777777" w:rsidR="00117C21" w:rsidRPr="00795FF6" w:rsidRDefault="00117C21" w:rsidP="00117C21">
      <w:pPr>
        <w:ind w:right="141"/>
        <w:jc w:val="both"/>
        <w:rPr>
          <w:rFonts w:ascii="Palatino Linotype" w:hAnsi="Palatino Linotype" w:cs="Arial"/>
        </w:rPr>
      </w:pPr>
    </w:p>
    <w:p w14:paraId="171F2B91" w14:textId="77777777" w:rsidR="00117C21" w:rsidRPr="00795FF6" w:rsidRDefault="00117C21" w:rsidP="00117C21">
      <w:pPr>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795FF6">
        <w:rPr>
          <w:rFonts w:ascii="Palatino Linotype" w:hAnsi="Palatino Linotype" w:cs="Arial"/>
          <w:b/>
          <w:sz w:val="24"/>
          <w:szCs w:val="24"/>
        </w:rPr>
        <w:t xml:space="preserve">artículo 192 </w:t>
      </w:r>
      <w:r w:rsidRPr="00795FF6">
        <w:rPr>
          <w:rFonts w:ascii="Palatino Linotype" w:hAnsi="Palatino Linotype" w:cs="Arial"/>
          <w:sz w:val="24"/>
          <w:szCs w:val="24"/>
        </w:rPr>
        <w:t xml:space="preserve">de la </w:t>
      </w:r>
      <w:r w:rsidRPr="00795FF6">
        <w:rPr>
          <w:rFonts w:ascii="Palatino Linotype" w:hAnsi="Palatino Linotype" w:cs="Arial"/>
          <w:b/>
          <w:sz w:val="24"/>
          <w:szCs w:val="24"/>
        </w:rPr>
        <w:t xml:space="preserve">Ley de Transparencia y Acceso a la Información Pública del Estado de México y Municipios, </w:t>
      </w:r>
      <w:r w:rsidRPr="00795FF6">
        <w:rPr>
          <w:rFonts w:ascii="Palatino Linotype" w:hAnsi="Palatino Linotype" w:cs="Arial"/>
          <w:sz w:val="24"/>
          <w:szCs w:val="24"/>
        </w:rPr>
        <w:t xml:space="preserve">nos encontramos ante un sobreseimiento definitivo toda vez que pone fin al procedimiento sin entrar al estudio de fondo del mismo. </w:t>
      </w:r>
    </w:p>
    <w:p w14:paraId="21D7188B" w14:textId="77777777" w:rsidR="00117C21" w:rsidRPr="00795FF6" w:rsidRDefault="00117C21" w:rsidP="00117C21">
      <w:pPr>
        <w:tabs>
          <w:tab w:val="left" w:pos="709"/>
        </w:tabs>
        <w:spacing w:before="240" w:line="360" w:lineRule="auto"/>
        <w:ind w:right="51"/>
        <w:jc w:val="both"/>
        <w:rPr>
          <w:rFonts w:ascii="Palatino Linotype" w:hAnsi="Palatino Linotype" w:cs="Arial"/>
          <w:sz w:val="24"/>
          <w:szCs w:val="24"/>
        </w:rPr>
      </w:pPr>
      <w:r w:rsidRPr="00795FF6">
        <w:rPr>
          <w:rFonts w:ascii="Palatino Linotype" w:hAnsi="Palatino Linotype" w:cs="Arial"/>
          <w:sz w:val="24"/>
          <w:szCs w:val="24"/>
          <w:lang w:val="es-ES"/>
        </w:rPr>
        <w:t>Ahora bien, por</w:t>
      </w:r>
      <w:r w:rsidRPr="00795FF6">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795FF6">
        <w:rPr>
          <w:rFonts w:ascii="Palatino Linotype" w:hAnsi="Palatino Linotype" w:cs="Arial"/>
          <w:b/>
          <w:sz w:val="24"/>
          <w:szCs w:val="24"/>
        </w:rPr>
        <w:t xml:space="preserve"> Recurrente </w:t>
      </w:r>
      <w:r w:rsidRPr="00795FF6">
        <w:rPr>
          <w:rFonts w:ascii="Palatino Linotype" w:hAnsi="Palatino Linotype" w:cs="Arial"/>
          <w:sz w:val="24"/>
          <w:szCs w:val="24"/>
        </w:rPr>
        <w:t xml:space="preserve">o que el </w:t>
      </w:r>
      <w:r w:rsidRPr="00795FF6">
        <w:rPr>
          <w:rFonts w:ascii="Palatino Linotype" w:hAnsi="Palatino Linotype" w:cs="Arial"/>
          <w:b/>
          <w:sz w:val="24"/>
          <w:szCs w:val="24"/>
        </w:rPr>
        <w:t xml:space="preserve">Sujeto Obligado </w:t>
      </w:r>
      <w:r w:rsidRPr="00795FF6">
        <w:rPr>
          <w:rFonts w:ascii="Palatino Linotype" w:hAnsi="Palatino Linotype" w:cs="Arial"/>
          <w:b/>
          <w:sz w:val="24"/>
          <w:szCs w:val="24"/>
          <w:u w:val="single"/>
        </w:rPr>
        <w:t xml:space="preserve">modifique el acto; </w:t>
      </w:r>
      <w:r w:rsidRPr="00795FF6">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3D54F2E" w14:textId="77777777" w:rsidR="00117C21" w:rsidRPr="00795FF6" w:rsidRDefault="00117C21" w:rsidP="00117C21">
      <w:pPr>
        <w:spacing w:line="360" w:lineRule="auto"/>
        <w:jc w:val="both"/>
        <w:rPr>
          <w:rFonts w:ascii="Palatino Linotype" w:hAnsi="Palatino Linotype" w:cs="Arial"/>
          <w:b/>
          <w:sz w:val="24"/>
          <w:szCs w:val="24"/>
        </w:rPr>
      </w:pPr>
      <w:r w:rsidRPr="00795FF6">
        <w:rPr>
          <w:rFonts w:ascii="Palatino Linotype" w:hAnsi="Palatino Linotype" w:cs="Arial"/>
          <w:sz w:val="24"/>
          <w:szCs w:val="24"/>
        </w:rPr>
        <w:t xml:space="preserve">Para los efectos de esta resolución, resulta oportuno precisar los alcances jurídicos de la </w:t>
      </w:r>
      <w:r w:rsidRPr="00795FF6">
        <w:rPr>
          <w:rFonts w:ascii="Palatino Linotype" w:hAnsi="Palatino Linotype" w:cs="Arial"/>
          <w:b/>
          <w:sz w:val="24"/>
          <w:szCs w:val="24"/>
        </w:rPr>
        <w:t xml:space="preserve">fracción III </w:t>
      </w:r>
      <w:r w:rsidRPr="00795FF6">
        <w:rPr>
          <w:rFonts w:ascii="Palatino Linotype" w:hAnsi="Palatino Linotype" w:cs="Arial"/>
          <w:sz w:val="24"/>
          <w:szCs w:val="24"/>
        </w:rPr>
        <w:t xml:space="preserve">de la disposición legal transcrita. Así, procede el sobreseimiento del recurso de revisión cuando el </w:t>
      </w:r>
      <w:r w:rsidRPr="00795FF6">
        <w:rPr>
          <w:rFonts w:ascii="Palatino Linotype" w:hAnsi="Palatino Linotype" w:cs="Arial"/>
          <w:b/>
          <w:sz w:val="24"/>
          <w:szCs w:val="24"/>
        </w:rPr>
        <w:t xml:space="preserve">Sujeto Obligado: </w:t>
      </w:r>
    </w:p>
    <w:p w14:paraId="394B8AE0" w14:textId="77777777" w:rsidR="00117C21" w:rsidRPr="00795FF6" w:rsidRDefault="00117C21" w:rsidP="008347B2">
      <w:pPr>
        <w:pStyle w:val="Prrafodelista"/>
        <w:numPr>
          <w:ilvl w:val="0"/>
          <w:numId w:val="7"/>
        </w:numPr>
        <w:spacing w:line="360" w:lineRule="auto"/>
        <w:ind w:right="851"/>
        <w:jc w:val="both"/>
        <w:rPr>
          <w:rFonts w:ascii="Palatino Linotype" w:hAnsi="Palatino Linotype" w:cs="Arial"/>
          <w:b/>
        </w:rPr>
      </w:pPr>
      <w:r w:rsidRPr="00795FF6">
        <w:rPr>
          <w:rFonts w:ascii="Palatino Linotype" w:hAnsi="Palatino Linotype" w:cs="Arial"/>
          <w:b/>
        </w:rPr>
        <w:t xml:space="preserve">Modifique el acto impugnado: </w:t>
      </w:r>
      <w:r w:rsidRPr="00795FF6">
        <w:rPr>
          <w:rFonts w:ascii="Palatino Linotype" w:hAnsi="Palatino Linotype" w:cs="Arial"/>
        </w:rPr>
        <w:t xml:space="preserve">Se actualiza cuando el </w:t>
      </w:r>
      <w:r w:rsidRPr="00795FF6">
        <w:rPr>
          <w:rFonts w:ascii="Palatino Linotype" w:hAnsi="Palatino Linotype" w:cs="Arial"/>
          <w:b/>
        </w:rPr>
        <w:t xml:space="preserve">Sujeto Obligado </w:t>
      </w:r>
      <w:r w:rsidRPr="00795FF6">
        <w:rPr>
          <w:rFonts w:ascii="Palatino Linotype" w:hAnsi="Palatino Linotype" w:cs="Arial"/>
        </w:rPr>
        <w:t xml:space="preserve">después de haber otorgado una respuesta y hasta antes de dictada la </w:t>
      </w:r>
      <w:r w:rsidRPr="00795FF6">
        <w:rPr>
          <w:rFonts w:ascii="Palatino Linotype" w:hAnsi="Palatino Linotype" w:cs="Arial"/>
        </w:rPr>
        <w:lastRenderedPageBreak/>
        <w:t xml:space="preserve">resolución del recurso de revisión, emite una diversa en la que subsane las deficiencias que hubiere tenido. </w:t>
      </w:r>
    </w:p>
    <w:p w14:paraId="221B942F" w14:textId="77777777" w:rsidR="00117C21" w:rsidRPr="00795FF6" w:rsidRDefault="00117C21" w:rsidP="00117C21">
      <w:pPr>
        <w:pStyle w:val="Prrafodelista"/>
        <w:spacing w:line="360" w:lineRule="auto"/>
        <w:ind w:left="720" w:right="851"/>
        <w:jc w:val="both"/>
        <w:rPr>
          <w:rFonts w:ascii="Palatino Linotype" w:hAnsi="Palatino Linotype" w:cs="Arial"/>
          <w:b/>
        </w:rPr>
      </w:pPr>
    </w:p>
    <w:p w14:paraId="17109CA1" w14:textId="77777777" w:rsidR="00117C21" w:rsidRPr="00795FF6" w:rsidRDefault="00117C21" w:rsidP="00117C21">
      <w:pPr>
        <w:spacing w:line="360" w:lineRule="auto"/>
        <w:jc w:val="both"/>
        <w:rPr>
          <w:rFonts w:ascii="Palatino Linotype" w:hAnsi="Palatino Linotype" w:cs="Arial"/>
          <w:sz w:val="24"/>
          <w:szCs w:val="24"/>
          <w:u w:val="single"/>
        </w:rPr>
      </w:pPr>
      <w:r w:rsidRPr="00795FF6">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795FF6">
        <w:rPr>
          <w:rFonts w:ascii="Palatino Linotype" w:hAnsi="Palatino Linotype" w:cs="Arial"/>
          <w:b/>
          <w:sz w:val="24"/>
          <w:szCs w:val="24"/>
          <w:u w:val="single"/>
        </w:rPr>
        <w:t xml:space="preserve">cuando ha sido satisfecha la pretensión del particular, </w:t>
      </w:r>
      <w:r w:rsidRPr="00795FF6">
        <w:rPr>
          <w:rFonts w:ascii="Palatino Linotype" w:hAnsi="Palatino Linotype" w:cs="Arial"/>
          <w:sz w:val="24"/>
          <w:szCs w:val="24"/>
        </w:rPr>
        <w:t>ya sea porque se hizo la entrega de la información solicitada o porque se completó la misma.</w:t>
      </w:r>
      <w:r w:rsidRPr="00795FF6">
        <w:rPr>
          <w:rFonts w:ascii="Palatino Linotype" w:hAnsi="Palatino Linotype" w:cs="Arial"/>
          <w:sz w:val="24"/>
          <w:szCs w:val="24"/>
          <w:u w:val="single"/>
        </w:rPr>
        <w:t xml:space="preserve"> </w:t>
      </w:r>
    </w:p>
    <w:p w14:paraId="73557FE3" w14:textId="77777777" w:rsidR="00117C21" w:rsidRPr="00795FF6" w:rsidRDefault="00117C21" w:rsidP="00117C21">
      <w:pPr>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En este tenor, se advierte que </w:t>
      </w:r>
      <w:r w:rsidRPr="00795FF6">
        <w:rPr>
          <w:rFonts w:ascii="Palatino Linotype" w:hAnsi="Palatino Linotype" w:cs="Arial"/>
          <w:b/>
          <w:sz w:val="24"/>
          <w:szCs w:val="24"/>
        </w:rPr>
        <w:t>El</w:t>
      </w:r>
      <w:r w:rsidRPr="00795FF6">
        <w:rPr>
          <w:rFonts w:ascii="Palatino Linotype" w:hAnsi="Palatino Linotype" w:cs="Arial"/>
          <w:sz w:val="24"/>
          <w:szCs w:val="24"/>
        </w:rPr>
        <w:t xml:space="preserve"> </w:t>
      </w:r>
      <w:r w:rsidRPr="00795FF6">
        <w:rPr>
          <w:rFonts w:ascii="Palatino Linotype" w:hAnsi="Palatino Linotype" w:cs="Arial"/>
          <w:b/>
          <w:sz w:val="24"/>
          <w:szCs w:val="24"/>
        </w:rPr>
        <w:t xml:space="preserve">Sujeto Obligado </w:t>
      </w:r>
      <w:r w:rsidRPr="00795FF6">
        <w:rPr>
          <w:rFonts w:ascii="Palatino Linotype" w:hAnsi="Palatino Linotype" w:cs="Arial"/>
          <w:sz w:val="24"/>
          <w:szCs w:val="24"/>
        </w:rPr>
        <w:t xml:space="preserve">con la información enviada a este Órgano Garante, </w:t>
      </w:r>
      <w:r w:rsidRPr="00795FF6">
        <w:rPr>
          <w:rFonts w:ascii="Palatino Linotype" w:hAnsi="Palatino Linotype" w:cs="Arial"/>
          <w:b/>
          <w:sz w:val="24"/>
          <w:szCs w:val="24"/>
        </w:rPr>
        <w:t xml:space="preserve">modifica </w:t>
      </w:r>
      <w:r w:rsidRPr="00795FF6">
        <w:rPr>
          <w:rFonts w:ascii="Palatino Linotype" w:hAnsi="Palatino Linotype" w:cs="Arial"/>
          <w:sz w:val="24"/>
          <w:szCs w:val="24"/>
        </w:rPr>
        <w:t xml:space="preserve">el acto que le dio origen al recurso de revisión, </w:t>
      </w:r>
      <w:r w:rsidRPr="00795FF6">
        <w:rPr>
          <w:rFonts w:ascii="Palatino Linotype" w:hAnsi="Palatino Linotype" w:cs="Arial"/>
          <w:b/>
          <w:sz w:val="24"/>
          <w:szCs w:val="24"/>
        </w:rPr>
        <w:t xml:space="preserve">por lo que trae como consecuencia que el mismo quede sin materia, </w:t>
      </w:r>
      <w:r w:rsidRPr="00795FF6">
        <w:rPr>
          <w:rFonts w:ascii="Palatino Linotype" w:hAnsi="Palatino Linotype" w:cs="Arial"/>
          <w:sz w:val="24"/>
          <w:szCs w:val="24"/>
        </w:rPr>
        <w:t xml:space="preserve">actualizándose de este modo, la hipótesis jurídica contenida en la fracción III del artículo 192. </w:t>
      </w:r>
    </w:p>
    <w:p w14:paraId="32181888" w14:textId="77777777" w:rsidR="00117C21" w:rsidRPr="00795FF6" w:rsidRDefault="00117C21" w:rsidP="00117C21">
      <w:pPr>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De este modo, cuando </w:t>
      </w:r>
      <w:r w:rsidRPr="00795FF6">
        <w:rPr>
          <w:rFonts w:ascii="Palatino Linotype" w:hAnsi="Palatino Linotype" w:cs="Arial"/>
          <w:b/>
          <w:sz w:val="24"/>
          <w:szCs w:val="24"/>
        </w:rPr>
        <w:t>El</w:t>
      </w:r>
      <w:r w:rsidRPr="00795FF6">
        <w:rPr>
          <w:rFonts w:ascii="Palatino Linotype" w:hAnsi="Palatino Linotype" w:cs="Arial"/>
          <w:sz w:val="24"/>
          <w:szCs w:val="24"/>
        </w:rPr>
        <w:t xml:space="preserve"> </w:t>
      </w:r>
      <w:r w:rsidRPr="00795FF6">
        <w:rPr>
          <w:rFonts w:ascii="Palatino Linotype" w:hAnsi="Palatino Linotype" w:cs="Arial"/>
          <w:b/>
          <w:sz w:val="24"/>
          <w:szCs w:val="24"/>
        </w:rPr>
        <w:t>Sujeto Obligado</w:t>
      </w:r>
      <w:r w:rsidRPr="00795FF6">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sidRPr="00795FF6">
        <w:rPr>
          <w:rFonts w:ascii="Palatino Linotype" w:hAnsi="Palatino Linotype" w:cs="Arial"/>
          <w:b/>
          <w:i/>
          <w:sz w:val="24"/>
          <w:szCs w:val="24"/>
        </w:rPr>
        <w:t>litis</w:t>
      </w:r>
      <w:proofErr w:type="spellEnd"/>
      <w:r w:rsidRPr="00795FF6">
        <w:rPr>
          <w:rFonts w:ascii="Palatino Linotype" w:hAnsi="Palatino Linotype" w:cs="Arial"/>
          <w:b/>
          <w:i/>
          <w:sz w:val="24"/>
          <w:szCs w:val="24"/>
        </w:rPr>
        <w:t xml:space="preserve"> </w:t>
      </w:r>
      <w:r w:rsidRPr="00795FF6">
        <w:rPr>
          <w:rFonts w:ascii="Palatino Linotype" w:hAnsi="Palatino Linotype" w:cs="Arial"/>
          <w:sz w:val="24"/>
          <w:szCs w:val="24"/>
        </w:rPr>
        <w:t xml:space="preserve">planteada, debido a que la afectación en su esfera de derechos fue restituida por la propia autoridad que emitió el acto de impugnación. </w:t>
      </w:r>
    </w:p>
    <w:p w14:paraId="6171F6FD" w14:textId="77777777" w:rsidR="00117C21" w:rsidRPr="00795FF6" w:rsidRDefault="00117C21" w:rsidP="00117C21">
      <w:pPr>
        <w:tabs>
          <w:tab w:val="left" w:pos="7797"/>
        </w:tabs>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Por lo tanto, para que se actualice el sobreseimiento de un recurso de revisión, </w:t>
      </w:r>
      <w:r w:rsidRPr="00795FF6">
        <w:rPr>
          <w:rFonts w:ascii="Palatino Linotype" w:hAnsi="Palatino Linotype" w:cs="Arial"/>
          <w:b/>
          <w:sz w:val="24"/>
          <w:szCs w:val="24"/>
        </w:rPr>
        <w:t>El</w:t>
      </w:r>
      <w:r w:rsidRPr="00795FF6">
        <w:rPr>
          <w:rFonts w:ascii="Palatino Linotype" w:hAnsi="Palatino Linotype" w:cs="Arial"/>
          <w:sz w:val="24"/>
          <w:szCs w:val="24"/>
        </w:rPr>
        <w:t xml:space="preserve"> </w:t>
      </w:r>
      <w:r w:rsidRPr="00795FF6">
        <w:rPr>
          <w:rFonts w:ascii="Palatino Linotype" w:hAnsi="Palatino Linotype" w:cs="Arial"/>
          <w:b/>
          <w:sz w:val="24"/>
          <w:szCs w:val="24"/>
        </w:rPr>
        <w:t xml:space="preserve">Sujeto Obligado </w:t>
      </w:r>
      <w:r w:rsidRPr="00795FF6">
        <w:rPr>
          <w:rFonts w:ascii="Palatino Linotype" w:hAnsi="Palatino Linotype" w:cs="Arial"/>
          <w:sz w:val="24"/>
          <w:szCs w:val="24"/>
        </w:rPr>
        <w:t xml:space="preserve">puede entregar o completar la información al momento de rendir su </w:t>
      </w:r>
      <w:r w:rsidRPr="00795FF6">
        <w:rPr>
          <w:rFonts w:ascii="Palatino Linotype" w:hAnsi="Palatino Linotype" w:cs="Arial"/>
          <w:b/>
          <w:sz w:val="24"/>
          <w:szCs w:val="24"/>
          <w:u w:val="single"/>
        </w:rPr>
        <w:lastRenderedPageBreak/>
        <w:t>informe de justificación dentro de los siete días</w:t>
      </w:r>
      <w:r w:rsidRPr="00795FF6">
        <w:rPr>
          <w:rFonts w:ascii="Palatino Linotype" w:hAnsi="Palatino Linotype" w:cs="Arial"/>
          <w:b/>
          <w:sz w:val="24"/>
          <w:szCs w:val="24"/>
        </w:rPr>
        <w:t xml:space="preserve"> </w:t>
      </w:r>
      <w:r w:rsidRPr="00795FF6">
        <w:rPr>
          <w:rFonts w:ascii="Palatino Linotype" w:hAnsi="Palatino Linotype" w:cs="Arial"/>
          <w:sz w:val="24"/>
          <w:szCs w:val="24"/>
        </w:rPr>
        <w:t>previstos para manifestar lo que a su derecho convenga.</w:t>
      </w:r>
    </w:p>
    <w:p w14:paraId="6C1D4317" w14:textId="770E9B2D" w:rsidR="00117C21" w:rsidRPr="00795FF6" w:rsidRDefault="00117C21" w:rsidP="00117C21">
      <w:pPr>
        <w:tabs>
          <w:tab w:val="left" w:pos="8080"/>
        </w:tabs>
        <w:spacing w:line="360" w:lineRule="auto"/>
        <w:jc w:val="both"/>
        <w:rPr>
          <w:rFonts w:ascii="Palatino Linotype" w:hAnsi="Palatino Linotype" w:cs="Arial"/>
          <w:sz w:val="24"/>
          <w:szCs w:val="24"/>
        </w:rPr>
      </w:pPr>
      <w:r w:rsidRPr="00795FF6">
        <w:rPr>
          <w:rFonts w:ascii="Palatino Linotype" w:hAnsi="Palatino Linotype" w:cs="Arial"/>
          <w:sz w:val="24"/>
          <w:szCs w:val="24"/>
        </w:rPr>
        <w:t xml:space="preserve">En mérito de lo expuesto en líneas anteriores, resultan fundados los motivos de inconformidad que arguye </w:t>
      </w:r>
      <w:r w:rsidRPr="00795FF6">
        <w:rPr>
          <w:rFonts w:ascii="Palatino Linotype" w:hAnsi="Palatino Linotype" w:cs="Arial"/>
          <w:b/>
          <w:sz w:val="24"/>
          <w:szCs w:val="24"/>
        </w:rPr>
        <w:t xml:space="preserve">El Recurrente </w:t>
      </w:r>
      <w:r w:rsidRPr="00795FF6">
        <w:rPr>
          <w:rFonts w:ascii="Palatino Linotype" w:hAnsi="Palatino Linotype" w:cs="Arial"/>
          <w:sz w:val="24"/>
          <w:szCs w:val="24"/>
        </w:rPr>
        <w:t xml:space="preserve">en su medio de impugnación que fue materia de estudio, por ello </w:t>
      </w:r>
      <w:r w:rsidRPr="00795FF6">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795FF6">
        <w:rPr>
          <w:rFonts w:ascii="Palatino Linotype" w:hAnsi="Palatino Linotype" w:cs="Arial"/>
          <w:sz w:val="24"/>
          <w:szCs w:val="24"/>
        </w:rPr>
        <w:t xml:space="preserve">se </w:t>
      </w:r>
      <w:r w:rsidRPr="00795FF6">
        <w:rPr>
          <w:rFonts w:ascii="Palatino Linotype" w:hAnsi="Palatino Linotype" w:cs="Arial"/>
          <w:b/>
          <w:sz w:val="24"/>
          <w:szCs w:val="24"/>
        </w:rPr>
        <w:t xml:space="preserve">SOBRESEE </w:t>
      </w:r>
      <w:r w:rsidRPr="00795FF6">
        <w:rPr>
          <w:rFonts w:ascii="Palatino Linotype" w:hAnsi="Palatino Linotype" w:cs="Arial"/>
          <w:sz w:val="24"/>
          <w:szCs w:val="24"/>
        </w:rPr>
        <w:t xml:space="preserve">el recurso de revisión </w:t>
      </w:r>
      <w:r w:rsidR="00291465" w:rsidRPr="00795FF6">
        <w:rPr>
          <w:rFonts w:ascii="Palatino Linotype" w:hAnsi="Palatino Linotype" w:cs="Arial"/>
          <w:b/>
          <w:sz w:val="24"/>
          <w:szCs w:val="24"/>
        </w:rPr>
        <w:t>10770</w:t>
      </w:r>
      <w:r w:rsidRPr="00795FF6">
        <w:rPr>
          <w:rFonts w:ascii="Palatino Linotype" w:hAnsi="Palatino Linotype" w:cs="Arial"/>
          <w:b/>
          <w:sz w:val="24"/>
          <w:szCs w:val="24"/>
        </w:rPr>
        <w:t>/INFOEM/IP/RR/2025</w:t>
      </w:r>
      <w:r w:rsidRPr="00795FF6">
        <w:rPr>
          <w:rFonts w:ascii="Palatino Linotype" w:hAnsi="Palatino Linotype" w:cs="Arial"/>
          <w:b/>
          <w:sz w:val="24"/>
          <w:szCs w:val="24"/>
          <w:lang w:val="es-ES_tradnl"/>
        </w:rPr>
        <w:t xml:space="preserve">, </w:t>
      </w:r>
      <w:r w:rsidRPr="00795FF6">
        <w:rPr>
          <w:rFonts w:ascii="Palatino Linotype" w:hAnsi="Palatino Linotype" w:cs="Arial"/>
          <w:sz w:val="24"/>
          <w:szCs w:val="24"/>
          <w:lang w:val="es-ES_tradnl"/>
        </w:rPr>
        <w:t xml:space="preserve">que ha sido materia del presente fallo. </w:t>
      </w:r>
    </w:p>
    <w:p w14:paraId="39A3BADF" w14:textId="77777777" w:rsidR="00117C21" w:rsidRPr="00795FF6" w:rsidRDefault="00117C21" w:rsidP="00117C21">
      <w:pPr>
        <w:tabs>
          <w:tab w:val="left" w:pos="8080"/>
        </w:tabs>
        <w:spacing w:line="360" w:lineRule="auto"/>
        <w:jc w:val="both"/>
        <w:rPr>
          <w:rFonts w:ascii="Palatino Linotype" w:hAnsi="Palatino Linotype" w:cs="Arial"/>
          <w:bCs/>
          <w:sz w:val="24"/>
          <w:szCs w:val="24"/>
        </w:rPr>
      </w:pPr>
      <w:r w:rsidRPr="00795FF6">
        <w:rPr>
          <w:rFonts w:ascii="Palatino Linotype" w:hAnsi="Palatino Linotype" w:cs="Arial"/>
          <w:bCs/>
          <w:sz w:val="24"/>
          <w:szCs w:val="24"/>
        </w:rPr>
        <w:t>Por lo antes expuesto y fundado es de resolverse y,</w:t>
      </w:r>
    </w:p>
    <w:bookmarkEnd w:id="3"/>
    <w:p w14:paraId="5944DE0B" w14:textId="77777777" w:rsidR="00117C21" w:rsidRPr="00795FF6" w:rsidRDefault="00117C21" w:rsidP="00117C21">
      <w:pPr>
        <w:spacing w:line="360" w:lineRule="auto"/>
        <w:jc w:val="both"/>
        <w:rPr>
          <w:rFonts w:ascii="Palatino Linotype" w:hAnsi="Palatino Linotype"/>
          <w:bCs/>
          <w:iCs/>
          <w:sz w:val="24"/>
          <w:szCs w:val="24"/>
        </w:rPr>
      </w:pPr>
    </w:p>
    <w:p w14:paraId="42072E74" w14:textId="77777777" w:rsidR="00117C21" w:rsidRPr="00795FF6" w:rsidRDefault="00117C21" w:rsidP="00117C21">
      <w:pPr>
        <w:spacing w:after="0" w:line="360" w:lineRule="auto"/>
        <w:jc w:val="center"/>
        <w:rPr>
          <w:rFonts w:ascii="Palatino Linotype" w:eastAsia="Times New Roman" w:hAnsi="Palatino Linotype" w:cs="Times New Roman"/>
          <w:b/>
          <w:bCs/>
          <w:spacing w:val="60"/>
          <w:sz w:val="28"/>
          <w:szCs w:val="24"/>
          <w:lang w:val="es-ES_tradnl" w:eastAsia="es-ES"/>
        </w:rPr>
      </w:pPr>
      <w:bookmarkStart w:id="4" w:name="_Hlk211859879"/>
      <w:r w:rsidRPr="00795FF6">
        <w:rPr>
          <w:rFonts w:ascii="Palatino Linotype" w:eastAsia="Times New Roman" w:hAnsi="Palatino Linotype" w:cs="Times New Roman"/>
          <w:b/>
          <w:bCs/>
          <w:spacing w:val="60"/>
          <w:sz w:val="28"/>
          <w:szCs w:val="24"/>
          <w:lang w:val="es-ES_tradnl" w:eastAsia="es-ES"/>
        </w:rPr>
        <w:t>SE    RESUELVE</w:t>
      </w:r>
    </w:p>
    <w:p w14:paraId="288DE58B" w14:textId="77777777" w:rsidR="00117C21" w:rsidRPr="00795FF6" w:rsidRDefault="00117C21" w:rsidP="00117C21">
      <w:pPr>
        <w:spacing w:after="0" w:line="360" w:lineRule="auto"/>
        <w:jc w:val="center"/>
        <w:rPr>
          <w:rFonts w:ascii="Palatino Linotype" w:eastAsia="Times New Roman" w:hAnsi="Palatino Linotype" w:cs="Times New Roman"/>
          <w:bCs/>
          <w:spacing w:val="60"/>
          <w:sz w:val="24"/>
          <w:szCs w:val="24"/>
          <w:lang w:val="es-ES_tradnl" w:eastAsia="es-ES"/>
        </w:rPr>
      </w:pPr>
    </w:p>
    <w:p w14:paraId="66ABD152" w14:textId="41E6CD20" w:rsidR="00117C21" w:rsidRPr="00795FF6" w:rsidRDefault="00117C21" w:rsidP="00117C2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795FF6">
        <w:rPr>
          <w:rFonts w:ascii="Palatino Linotype" w:eastAsiaTheme="minorEastAsia" w:hAnsi="Palatino Linotype" w:cs="Arial"/>
          <w:b/>
          <w:sz w:val="28"/>
          <w:szCs w:val="24"/>
          <w:lang w:val="es-ES_tradnl" w:eastAsia="es-ES"/>
        </w:rPr>
        <w:t>PRIMERO.</w:t>
      </w:r>
      <w:r w:rsidRPr="00795FF6">
        <w:rPr>
          <w:rFonts w:ascii="Palatino Linotype" w:eastAsiaTheme="minorEastAsia" w:hAnsi="Palatino Linotype" w:cs="Arial"/>
          <w:sz w:val="24"/>
          <w:szCs w:val="24"/>
          <w:lang w:val="es-ES_tradnl" w:eastAsia="es-ES"/>
        </w:rPr>
        <w:t xml:space="preserve"> Se </w:t>
      </w:r>
      <w:r w:rsidRPr="00795FF6">
        <w:rPr>
          <w:rFonts w:ascii="Palatino Linotype" w:eastAsiaTheme="minorEastAsia" w:hAnsi="Palatino Linotype" w:cs="Arial"/>
          <w:b/>
          <w:sz w:val="24"/>
          <w:szCs w:val="24"/>
          <w:lang w:val="es-ES_tradnl" w:eastAsia="es-ES"/>
        </w:rPr>
        <w:t>SOBRESEE</w:t>
      </w:r>
      <w:r w:rsidRPr="00795FF6">
        <w:rPr>
          <w:rFonts w:ascii="Palatino Linotype" w:eastAsiaTheme="minorEastAsia" w:hAnsi="Palatino Linotype" w:cs="Arial"/>
          <w:sz w:val="24"/>
          <w:szCs w:val="24"/>
          <w:lang w:val="es-ES_tradnl" w:eastAsia="es-ES"/>
        </w:rPr>
        <w:t xml:space="preserve"> el recurso de revisión número </w:t>
      </w:r>
      <w:r w:rsidR="00291465" w:rsidRPr="00795FF6">
        <w:rPr>
          <w:rFonts w:ascii="Palatino Linotype" w:hAnsi="Palatino Linotype" w:cs="Arial"/>
          <w:b/>
          <w:sz w:val="24"/>
          <w:szCs w:val="24"/>
        </w:rPr>
        <w:t>10770</w:t>
      </w:r>
      <w:r w:rsidRPr="00795FF6">
        <w:rPr>
          <w:rFonts w:ascii="Palatino Linotype" w:hAnsi="Palatino Linotype" w:cs="Arial"/>
          <w:b/>
          <w:sz w:val="24"/>
          <w:szCs w:val="24"/>
        </w:rPr>
        <w:t>/INFOEM/IP/RR/2025</w:t>
      </w:r>
      <w:r w:rsidRPr="00795FF6">
        <w:rPr>
          <w:rFonts w:ascii="Palatino Linotype" w:eastAsiaTheme="minorEastAsia" w:hAnsi="Palatino Linotype" w:cs="Arial"/>
          <w:sz w:val="24"/>
          <w:szCs w:val="24"/>
          <w:lang w:val="es-ES_tradnl" w:eastAsia="es-ES"/>
        </w:rPr>
        <w:t xml:space="preserve">, porque </w:t>
      </w:r>
      <w:r w:rsidRPr="00795FF6">
        <w:rPr>
          <w:rFonts w:ascii="Palatino Linotype" w:eastAsiaTheme="minorEastAsia" w:hAnsi="Palatino Linotype" w:cs="Arial"/>
          <w:b/>
          <w:bCs/>
          <w:sz w:val="24"/>
          <w:szCs w:val="24"/>
          <w:lang w:val="es-ES_tradnl" w:eastAsia="es-ES"/>
        </w:rPr>
        <w:t>EL SUJETO OBLIGADO</w:t>
      </w:r>
      <w:r w:rsidRPr="00795FF6">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Pr="00795FF6">
        <w:rPr>
          <w:rFonts w:ascii="Palatino Linotype" w:eastAsiaTheme="minorEastAsia" w:hAnsi="Palatino Linotype" w:cs="Arial"/>
          <w:b/>
          <w:sz w:val="24"/>
          <w:szCs w:val="24"/>
          <w:lang w:val="es-ES_tradnl" w:eastAsia="es-ES"/>
        </w:rPr>
        <w:t xml:space="preserve">TERCERO </w:t>
      </w:r>
      <w:r w:rsidRPr="00795FF6">
        <w:rPr>
          <w:rFonts w:ascii="Palatino Linotype" w:eastAsiaTheme="minorEastAsia" w:hAnsi="Palatino Linotype" w:cs="Arial"/>
          <w:sz w:val="24"/>
          <w:szCs w:val="24"/>
          <w:lang w:val="es-ES_tradnl" w:eastAsia="es-ES"/>
        </w:rPr>
        <w:t>de la presente resolución.</w:t>
      </w:r>
    </w:p>
    <w:p w14:paraId="688A3019" w14:textId="77777777" w:rsidR="00117C21" w:rsidRPr="00795FF6" w:rsidRDefault="00117C21" w:rsidP="00117C21">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8640BD9" w14:textId="77777777" w:rsidR="00117C21" w:rsidRPr="00795FF6" w:rsidRDefault="00117C21" w:rsidP="00117C2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795FF6">
        <w:rPr>
          <w:rFonts w:ascii="Palatino Linotype" w:eastAsiaTheme="minorEastAsia" w:hAnsi="Palatino Linotype" w:cs="Arial"/>
          <w:b/>
          <w:sz w:val="28"/>
          <w:szCs w:val="24"/>
          <w:lang w:val="es-ES_tradnl" w:eastAsia="es-ES"/>
        </w:rPr>
        <w:t>SEGUNDO</w:t>
      </w:r>
      <w:r w:rsidRPr="00795FF6">
        <w:rPr>
          <w:rFonts w:ascii="Palatino Linotype" w:eastAsiaTheme="minorEastAsia" w:hAnsi="Palatino Linotype" w:cs="Arial"/>
          <w:b/>
          <w:sz w:val="24"/>
          <w:szCs w:val="24"/>
          <w:lang w:val="es-ES_tradnl" w:eastAsia="es-ES"/>
        </w:rPr>
        <w:t>.</w:t>
      </w:r>
      <w:r w:rsidRPr="00795FF6">
        <w:rPr>
          <w:rFonts w:ascii="Palatino Linotype" w:eastAsiaTheme="minorEastAsia" w:hAnsi="Palatino Linotype" w:cs="Arial"/>
          <w:sz w:val="24"/>
          <w:szCs w:val="24"/>
          <w:lang w:val="es-ES_tradnl" w:eastAsia="es-ES"/>
        </w:rPr>
        <w:t xml:space="preserve"> </w:t>
      </w:r>
      <w:r w:rsidRPr="00795FF6">
        <w:rPr>
          <w:rFonts w:ascii="Palatino Linotype" w:eastAsiaTheme="minorEastAsia" w:hAnsi="Palatino Linotype" w:cs="Arial"/>
          <w:b/>
          <w:sz w:val="24"/>
          <w:szCs w:val="24"/>
          <w:lang w:val="es-ES_tradnl" w:eastAsia="es-ES"/>
        </w:rPr>
        <w:t>NOTIFÍQUESE</w:t>
      </w:r>
      <w:r w:rsidRPr="00795FF6">
        <w:rPr>
          <w:rFonts w:ascii="Palatino Linotype" w:eastAsiaTheme="minorEastAsia" w:hAnsi="Palatino Linotype" w:cs="Arial"/>
          <w:sz w:val="24"/>
          <w:szCs w:val="24"/>
          <w:lang w:val="es-ES_tradnl" w:eastAsia="es-ES"/>
        </w:rPr>
        <w:t xml:space="preserve"> vía </w:t>
      </w:r>
      <w:r w:rsidRPr="00795FF6">
        <w:rPr>
          <w:rFonts w:ascii="Palatino Linotype" w:eastAsia="Times New Roman" w:hAnsi="Palatino Linotype" w:cs="Times New Roman"/>
          <w:sz w:val="24"/>
          <w:szCs w:val="24"/>
          <w:lang w:val="es-ES" w:eastAsia="es-ES"/>
        </w:rPr>
        <w:t>Sistema de Acceso a la Información Mexiquense</w:t>
      </w:r>
      <w:r w:rsidRPr="00795FF6">
        <w:rPr>
          <w:rFonts w:ascii="Palatino Linotype" w:eastAsiaTheme="minorEastAsia" w:hAnsi="Palatino Linotype" w:cs="Arial"/>
          <w:b/>
          <w:bCs/>
          <w:sz w:val="24"/>
          <w:szCs w:val="24"/>
          <w:lang w:val="es-ES_tradnl" w:eastAsia="es-ES"/>
        </w:rPr>
        <w:t xml:space="preserve"> (SAIMEX)</w:t>
      </w:r>
      <w:r w:rsidRPr="00795FF6">
        <w:rPr>
          <w:rFonts w:ascii="Palatino Linotype" w:eastAsiaTheme="minorEastAsia" w:hAnsi="Palatino Linotype" w:cs="Arial"/>
          <w:sz w:val="24"/>
          <w:szCs w:val="24"/>
          <w:lang w:val="es-ES_tradnl" w:eastAsia="es-ES"/>
        </w:rPr>
        <w:t xml:space="preserve"> la presente resolución al Titular de la Unidad de Transparencia del </w:t>
      </w:r>
      <w:r w:rsidRPr="00795FF6">
        <w:rPr>
          <w:rFonts w:ascii="Palatino Linotype" w:eastAsiaTheme="minorEastAsia" w:hAnsi="Palatino Linotype" w:cs="Arial"/>
          <w:b/>
          <w:sz w:val="24"/>
          <w:szCs w:val="24"/>
          <w:lang w:val="es-ES_tradnl" w:eastAsia="es-ES"/>
        </w:rPr>
        <w:t>Sujeto Obligado</w:t>
      </w:r>
      <w:r w:rsidRPr="00795FF6">
        <w:rPr>
          <w:rFonts w:ascii="Palatino Linotype" w:eastAsiaTheme="minorEastAsia" w:hAnsi="Palatino Linotype" w:cs="Arial"/>
          <w:sz w:val="24"/>
          <w:szCs w:val="24"/>
          <w:lang w:val="es-ES_tradnl" w:eastAsia="es-ES"/>
        </w:rPr>
        <w:t>.</w:t>
      </w:r>
    </w:p>
    <w:p w14:paraId="5127325D" w14:textId="77777777" w:rsidR="00117C21" w:rsidRPr="00795FF6" w:rsidRDefault="00117C21" w:rsidP="00117C21">
      <w:pPr>
        <w:spacing w:after="0" w:line="360" w:lineRule="auto"/>
        <w:jc w:val="both"/>
        <w:rPr>
          <w:rFonts w:ascii="Palatino Linotype" w:eastAsia="Times New Roman" w:hAnsi="Palatino Linotype" w:cs="Arial"/>
          <w:sz w:val="24"/>
          <w:szCs w:val="24"/>
          <w:lang w:val="es-ES" w:eastAsia="es-ES"/>
        </w:rPr>
      </w:pPr>
      <w:r w:rsidRPr="00795FF6">
        <w:rPr>
          <w:rFonts w:ascii="Palatino Linotype" w:eastAsia="Times New Roman" w:hAnsi="Palatino Linotype" w:cs="Arial"/>
          <w:b/>
          <w:sz w:val="28"/>
          <w:szCs w:val="24"/>
          <w:lang w:val="es-ES" w:eastAsia="es-ES"/>
        </w:rPr>
        <w:lastRenderedPageBreak/>
        <w:t>TERCERO</w:t>
      </w:r>
      <w:r w:rsidRPr="00795FF6">
        <w:rPr>
          <w:rFonts w:ascii="Palatino Linotype" w:eastAsia="Times New Roman" w:hAnsi="Palatino Linotype" w:cs="Arial"/>
          <w:b/>
          <w:sz w:val="24"/>
          <w:szCs w:val="24"/>
          <w:lang w:val="es-ES" w:eastAsia="es-ES"/>
        </w:rPr>
        <w:t>.</w:t>
      </w:r>
      <w:r w:rsidRPr="00795FF6">
        <w:rPr>
          <w:rFonts w:ascii="Palatino Linotype" w:eastAsia="Times New Roman" w:hAnsi="Palatino Linotype" w:cs="Arial"/>
          <w:sz w:val="24"/>
          <w:szCs w:val="24"/>
          <w:lang w:val="es-ES" w:eastAsia="es-ES"/>
        </w:rPr>
        <w:t xml:space="preserve"> </w:t>
      </w:r>
      <w:r w:rsidRPr="00795FF6">
        <w:rPr>
          <w:rFonts w:ascii="Palatino Linotype" w:eastAsia="Times New Roman" w:hAnsi="Palatino Linotype" w:cs="Arial"/>
          <w:b/>
          <w:sz w:val="24"/>
          <w:szCs w:val="24"/>
          <w:lang w:val="es-ES" w:eastAsia="es-ES"/>
        </w:rPr>
        <w:t>NOTIFÍQUESE</w:t>
      </w:r>
      <w:r w:rsidRPr="00795FF6">
        <w:rPr>
          <w:rFonts w:ascii="Palatino Linotype" w:eastAsia="Times New Roman" w:hAnsi="Palatino Linotype" w:cs="Arial"/>
          <w:sz w:val="24"/>
          <w:szCs w:val="24"/>
          <w:lang w:val="es-ES" w:eastAsia="es-ES"/>
        </w:rPr>
        <w:t xml:space="preserve"> a través del</w:t>
      </w:r>
      <w:r w:rsidRPr="00795FF6">
        <w:rPr>
          <w:rFonts w:ascii="Palatino Linotype" w:eastAsia="Times New Roman" w:hAnsi="Palatino Linotype" w:cs="Times New Roman"/>
          <w:sz w:val="24"/>
          <w:szCs w:val="24"/>
          <w:lang w:val="es-ES" w:eastAsia="es-ES"/>
        </w:rPr>
        <w:t xml:space="preserve"> Sistema de Acceso a la Información Mexiquense </w:t>
      </w:r>
      <w:r w:rsidRPr="00795FF6">
        <w:rPr>
          <w:rFonts w:ascii="Palatino Linotype" w:eastAsia="Times New Roman" w:hAnsi="Palatino Linotype" w:cs="Times New Roman"/>
          <w:b/>
          <w:bCs/>
          <w:sz w:val="24"/>
          <w:szCs w:val="24"/>
          <w:lang w:val="es-ES" w:eastAsia="es-ES"/>
        </w:rPr>
        <w:t>(SAIMEX)</w:t>
      </w:r>
      <w:r w:rsidRPr="00795FF6">
        <w:rPr>
          <w:rFonts w:ascii="Palatino Linotype" w:eastAsia="Times New Roman" w:hAnsi="Palatino Linotype" w:cs="Arial"/>
          <w:b/>
          <w:bCs/>
          <w:sz w:val="24"/>
          <w:szCs w:val="24"/>
          <w:lang w:val="es-ES" w:eastAsia="es-ES"/>
        </w:rPr>
        <w:t>,</w:t>
      </w:r>
      <w:r w:rsidRPr="00795FF6">
        <w:rPr>
          <w:rFonts w:ascii="Palatino Linotype" w:eastAsia="Times New Roman" w:hAnsi="Palatino Linotype" w:cs="Arial"/>
          <w:sz w:val="24"/>
          <w:szCs w:val="24"/>
          <w:lang w:val="es-ES" w:eastAsia="es-ES"/>
        </w:rPr>
        <w:t xml:space="preserve"> al </w:t>
      </w:r>
      <w:r w:rsidRPr="00795FF6">
        <w:rPr>
          <w:rFonts w:ascii="Palatino Linotype" w:eastAsia="Times New Roman" w:hAnsi="Palatino Linotype" w:cs="Arial"/>
          <w:b/>
          <w:sz w:val="24"/>
          <w:szCs w:val="24"/>
          <w:lang w:val="es-ES" w:eastAsia="es-ES"/>
        </w:rPr>
        <w:t xml:space="preserve">RECURRENTE </w:t>
      </w:r>
      <w:r w:rsidRPr="00795FF6">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67C3EBE8" w14:textId="77777777" w:rsidR="00117C21" w:rsidRPr="00795FF6" w:rsidRDefault="00117C21" w:rsidP="00117C21">
      <w:pPr>
        <w:pStyle w:val="Citas"/>
        <w:ind w:left="0" w:right="0"/>
        <w:rPr>
          <w:bCs/>
          <w:i w:val="0"/>
          <w:iCs/>
          <w:sz w:val="23"/>
          <w:szCs w:val="23"/>
          <w:lang w:val="es-ES"/>
        </w:rPr>
      </w:pPr>
    </w:p>
    <w:bookmarkEnd w:id="4"/>
    <w:p w14:paraId="623E001E" w14:textId="784D658A" w:rsidR="00117C21" w:rsidRPr="00795FF6" w:rsidRDefault="00795FF6" w:rsidP="00117C21">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5FF6">
        <w:rPr>
          <w:rFonts w:ascii="Palatino Linotype" w:eastAsiaTheme="minorHAnsi" w:hAnsi="Palatino Linotype" w:cs="Arial"/>
          <w:lang w:val="es-MX"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w:t>
      </w:r>
      <w:r w:rsidR="00117C21" w:rsidRPr="00795FF6">
        <w:rPr>
          <w:rFonts w:ascii="Palatino Linotype" w:hAnsi="Palatino Linotype" w:cs="Arial"/>
          <w:lang w:val="es-MX"/>
        </w:rPr>
        <w:t xml:space="preserve">. </w:t>
      </w:r>
    </w:p>
    <w:p w14:paraId="7F975AC2" w14:textId="77777777" w:rsidR="00117C21" w:rsidRDefault="00117C21" w:rsidP="00117C2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95FF6">
        <w:rPr>
          <w:rFonts w:ascii="Palatino Linotype" w:hAnsi="Palatino Linotype"/>
          <w:bCs/>
          <w:sz w:val="18"/>
          <w:szCs w:val="18"/>
          <w:lang w:val="es-MX"/>
        </w:rPr>
        <w:t>CCR/JCMA</w:t>
      </w:r>
    </w:p>
    <w:p w14:paraId="6C81B8D6" w14:textId="3C20466E" w:rsidR="00117C21" w:rsidRDefault="00117C21" w:rsidP="00117C21">
      <w:pPr>
        <w:spacing w:line="360" w:lineRule="auto"/>
        <w:jc w:val="both"/>
        <w:rPr>
          <w:rFonts w:ascii="Palatino Linotype" w:hAnsi="Palatino Linotype"/>
          <w:bCs/>
          <w:sz w:val="18"/>
          <w:szCs w:val="18"/>
        </w:rPr>
      </w:pPr>
    </w:p>
    <w:p w14:paraId="479CED64" w14:textId="77777777" w:rsidR="00117C21" w:rsidRDefault="00117C21" w:rsidP="00117C21">
      <w:pPr>
        <w:spacing w:line="360" w:lineRule="auto"/>
        <w:jc w:val="both"/>
        <w:rPr>
          <w:rFonts w:ascii="Palatino Linotype" w:hAnsi="Palatino Linotype"/>
          <w:bCs/>
          <w:sz w:val="18"/>
          <w:szCs w:val="18"/>
        </w:rPr>
      </w:pPr>
    </w:p>
    <w:p w14:paraId="3CDF0684" w14:textId="46A6C5D6" w:rsidR="00282369" w:rsidRPr="0037314A" w:rsidRDefault="00282369" w:rsidP="00282369">
      <w:pPr>
        <w:pStyle w:val="Citas"/>
        <w:ind w:left="0" w:right="0"/>
        <w:rPr>
          <w:i w:val="0"/>
          <w:sz w:val="24"/>
          <w:szCs w:val="24"/>
        </w:rPr>
      </w:pPr>
    </w:p>
    <w:p w14:paraId="5309BA5D" w14:textId="77777777" w:rsidR="00282369" w:rsidRPr="0037314A" w:rsidRDefault="00282369" w:rsidP="00282369">
      <w:pPr>
        <w:pStyle w:val="Citas"/>
        <w:ind w:left="0" w:right="0"/>
        <w:rPr>
          <w:i w:val="0"/>
          <w:sz w:val="24"/>
          <w:szCs w:val="24"/>
        </w:rPr>
      </w:pPr>
    </w:p>
    <w:p w14:paraId="373F5568" w14:textId="77777777" w:rsidR="00282369" w:rsidRPr="0037314A" w:rsidRDefault="00282369" w:rsidP="00282369">
      <w:pPr>
        <w:pStyle w:val="Citas"/>
        <w:ind w:left="0" w:right="0"/>
        <w:rPr>
          <w:i w:val="0"/>
          <w:sz w:val="24"/>
          <w:szCs w:val="24"/>
        </w:rPr>
      </w:pPr>
    </w:p>
    <w:p w14:paraId="13BC4589" w14:textId="77777777" w:rsidR="00282369" w:rsidRPr="0037314A" w:rsidRDefault="00282369" w:rsidP="00282369">
      <w:pPr>
        <w:pStyle w:val="Citas"/>
        <w:ind w:left="0" w:right="0"/>
        <w:rPr>
          <w:i w:val="0"/>
          <w:sz w:val="24"/>
          <w:szCs w:val="24"/>
        </w:rPr>
      </w:pPr>
    </w:p>
    <w:p w14:paraId="38C44893" w14:textId="77777777" w:rsidR="00282369" w:rsidRPr="0037314A" w:rsidRDefault="00282369" w:rsidP="00282369">
      <w:pPr>
        <w:pStyle w:val="Citas"/>
        <w:ind w:left="0" w:right="0"/>
        <w:rPr>
          <w:i w:val="0"/>
          <w:sz w:val="24"/>
          <w:szCs w:val="24"/>
        </w:rPr>
      </w:pPr>
    </w:p>
    <w:p w14:paraId="5D2104E5" w14:textId="77777777" w:rsidR="00282369" w:rsidRPr="0037314A" w:rsidRDefault="00282369" w:rsidP="00282369">
      <w:pPr>
        <w:pStyle w:val="Citas"/>
        <w:ind w:left="0" w:right="0"/>
        <w:rPr>
          <w:i w:val="0"/>
          <w:sz w:val="24"/>
          <w:szCs w:val="24"/>
        </w:rPr>
      </w:pPr>
    </w:p>
    <w:p w14:paraId="56C5A8B2" w14:textId="77777777" w:rsidR="00282369" w:rsidRPr="0037314A" w:rsidRDefault="00282369" w:rsidP="00282369">
      <w:pPr>
        <w:pStyle w:val="Citas"/>
        <w:ind w:left="0" w:right="0"/>
        <w:rPr>
          <w:i w:val="0"/>
          <w:sz w:val="24"/>
          <w:szCs w:val="24"/>
        </w:rPr>
      </w:pPr>
    </w:p>
    <w:p w14:paraId="7CFE4C46" w14:textId="42C11AD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52F2B88" w14:textId="7DA5C530"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B8AB8E6" w14:textId="73E43022"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4178DBA" w14:textId="66A4D85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D0C24D2" w14:textId="35ED745E"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195F916" w14:textId="77777777"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2F739E6" w14:textId="117513BC" w:rsidR="002764D6" w:rsidRPr="0037314A"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826A2" w14:textId="77777777" w:rsidR="00497A24" w:rsidRPr="0037314A" w:rsidRDefault="00497A24" w:rsidP="006168E4">
      <w:pPr>
        <w:spacing w:after="0" w:line="240" w:lineRule="auto"/>
      </w:pPr>
      <w:r w:rsidRPr="0037314A">
        <w:separator/>
      </w:r>
    </w:p>
  </w:endnote>
  <w:endnote w:type="continuationSeparator" w:id="0">
    <w:p w14:paraId="4E3EDD7E" w14:textId="77777777" w:rsidR="00497A24" w:rsidRPr="0037314A" w:rsidRDefault="00497A24"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697DBD">
      <w:rPr>
        <w:rFonts w:ascii="Palatino Linotype" w:hAnsi="Palatino Linotype"/>
        <w:bCs/>
        <w:noProof/>
        <w:sz w:val="20"/>
        <w:lang w:val="es-MX"/>
      </w:rPr>
      <w:t>21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697DBD">
      <w:rPr>
        <w:rFonts w:ascii="Palatino Linotype" w:hAnsi="Palatino Linotype"/>
        <w:bCs/>
        <w:noProof/>
        <w:sz w:val="20"/>
        <w:lang w:val="es-MX"/>
      </w:rPr>
      <w:t>31</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697DBD">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697DBD">
      <w:rPr>
        <w:rFonts w:ascii="Palatino Linotype" w:hAnsi="Palatino Linotype"/>
        <w:bCs/>
        <w:noProof/>
        <w:sz w:val="20"/>
        <w:lang w:val="es-MX"/>
      </w:rPr>
      <w:t>31</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2C6E1" w14:textId="77777777" w:rsidR="00497A24" w:rsidRPr="0037314A" w:rsidRDefault="00497A24" w:rsidP="006168E4">
      <w:pPr>
        <w:spacing w:after="0" w:line="240" w:lineRule="auto"/>
      </w:pPr>
      <w:r w:rsidRPr="0037314A">
        <w:separator/>
      </w:r>
    </w:p>
  </w:footnote>
  <w:footnote w:type="continuationSeparator" w:id="0">
    <w:p w14:paraId="1A32DBDD" w14:textId="77777777" w:rsidR="00497A24" w:rsidRPr="0037314A" w:rsidRDefault="00497A24" w:rsidP="006168E4">
      <w:pPr>
        <w:spacing w:after="0" w:line="240" w:lineRule="auto"/>
      </w:pPr>
      <w:r w:rsidRPr="0037314A">
        <w:continuationSeparator/>
      </w:r>
    </w:p>
  </w:footnote>
  <w:footnote w:id="1">
    <w:p w14:paraId="38D1ED30" w14:textId="77777777" w:rsidR="00005478" w:rsidRPr="00911081" w:rsidRDefault="00005478" w:rsidP="0000547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8850B8C" w14:textId="77777777" w:rsidR="00005478" w:rsidRPr="00911081" w:rsidRDefault="00005478" w:rsidP="0000547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2DF5C78F" w:rsidR="00C70B4A" w:rsidRPr="0037314A" w:rsidRDefault="00972217"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10770</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27772165" w:rsidR="00C70B4A" w:rsidRPr="0037314A" w:rsidRDefault="00972217"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 Desarrollo Urbano e Infraestructura </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3B34155C" w:rsidR="00C70B4A" w:rsidRPr="0037314A" w:rsidRDefault="00972217"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10770</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4EC15A86" w:rsidR="00C70B4A" w:rsidRPr="0037314A" w:rsidRDefault="00697DBD" w:rsidP="00CC0C5F">
          <w:pPr>
            <w:spacing w:after="120" w:line="256" w:lineRule="auto"/>
            <w:ind w:left="639" w:right="214"/>
            <w:jc w:val="both"/>
            <w:rPr>
              <w:rFonts w:ascii="Palatino Linotype" w:hAnsi="Palatino Linotype" w:cs="Arial"/>
            </w:rPr>
          </w:pPr>
          <w:r>
            <w:rPr>
              <w:rFonts w:ascii="Palatino Linotype" w:hAnsi="Palatino Linotype" w:cs="Arial"/>
            </w:rPr>
            <w:t>XXXXXXXXXX</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2AA75BB1" w:rsidR="00C70B4A" w:rsidRPr="0037314A" w:rsidRDefault="00972217"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Desarrollo Urbano e Infraestructura </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F1CC5"/>
    <w:multiLevelType w:val="hybridMultilevel"/>
    <w:tmpl w:val="AF280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FB4C05"/>
    <w:multiLevelType w:val="hybridMultilevel"/>
    <w:tmpl w:val="0B80A0D8"/>
    <w:lvl w:ilvl="0" w:tplc="3130897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D042C6"/>
    <w:multiLevelType w:val="hybridMultilevel"/>
    <w:tmpl w:val="11487C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C05222"/>
    <w:multiLevelType w:val="hybridMultilevel"/>
    <w:tmpl w:val="6CCE9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5CE"/>
    <w:rsid w:val="000037E2"/>
    <w:rsid w:val="00005478"/>
    <w:rsid w:val="000061F8"/>
    <w:rsid w:val="00006E49"/>
    <w:rsid w:val="00007BD9"/>
    <w:rsid w:val="00010F2B"/>
    <w:rsid w:val="0001225E"/>
    <w:rsid w:val="00013559"/>
    <w:rsid w:val="000170DF"/>
    <w:rsid w:val="00020A70"/>
    <w:rsid w:val="0002155C"/>
    <w:rsid w:val="00021CBD"/>
    <w:rsid w:val="00022604"/>
    <w:rsid w:val="000236FA"/>
    <w:rsid w:val="0002450B"/>
    <w:rsid w:val="0002766F"/>
    <w:rsid w:val="000306A7"/>
    <w:rsid w:val="00031C92"/>
    <w:rsid w:val="000363A2"/>
    <w:rsid w:val="00040F18"/>
    <w:rsid w:val="000413D2"/>
    <w:rsid w:val="0004199A"/>
    <w:rsid w:val="000435C7"/>
    <w:rsid w:val="00045379"/>
    <w:rsid w:val="000461DF"/>
    <w:rsid w:val="000463E0"/>
    <w:rsid w:val="00046AD8"/>
    <w:rsid w:val="00051C0D"/>
    <w:rsid w:val="00054704"/>
    <w:rsid w:val="00054BC2"/>
    <w:rsid w:val="00054DD0"/>
    <w:rsid w:val="00055224"/>
    <w:rsid w:val="0005543E"/>
    <w:rsid w:val="0005622A"/>
    <w:rsid w:val="0005778D"/>
    <w:rsid w:val="00057DC8"/>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3146"/>
    <w:rsid w:val="000A2D37"/>
    <w:rsid w:val="000A3486"/>
    <w:rsid w:val="000A4DD1"/>
    <w:rsid w:val="000A5269"/>
    <w:rsid w:val="000A70F8"/>
    <w:rsid w:val="000A71F4"/>
    <w:rsid w:val="000A733E"/>
    <w:rsid w:val="000A79DA"/>
    <w:rsid w:val="000B0B8F"/>
    <w:rsid w:val="000B1702"/>
    <w:rsid w:val="000B4B51"/>
    <w:rsid w:val="000B7158"/>
    <w:rsid w:val="000C2FCA"/>
    <w:rsid w:val="000C3714"/>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7B5C"/>
    <w:rsid w:val="00110EDB"/>
    <w:rsid w:val="00111DCD"/>
    <w:rsid w:val="00112B39"/>
    <w:rsid w:val="00114CF9"/>
    <w:rsid w:val="0011564C"/>
    <w:rsid w:val="001167AA"/>
    <w:rsid w:val="00117157"/>
    <w:rsid w:val="00117C21"/>
    <w:rsid w:val="00120BDC"/>
    <w:rsid w:val="00124855"/>
    <w:rsid w:val="00124EC6"/>
    <w:rsid w:val="001254F5"/>
    <w:rsid w:val="00125828"/>
    <w:rsid w:val="001313F2"/>
    <w:rsid w:val="001336D3"/>
    <w:rsid w:val="001364AA"/>
    <w:rsid w:val="00136FAD"/>
    <w:rsid w:val="001402F9"/>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2A8A"/>
    <w:rsid w:val="0018347D"/>
    <w:rsid w:val="00191926"/>
    <w:rsid w:val="00193086"/>
    <w:rsid w:val="00193784"/>
    <w:rsid w:val="00193FB6"/>
    <w:rsid w:val="001942EE"/>
    <w:rsid w:val="001A02EC"/>
    <w:rsid w:val="001A0906"/>
    <w:rsid w:val="001A22D7"/>
    <w:rsid w:val="001A32F0"/>
    <w:rsid w:val="001A577E"/>
    <w:rsid w:val="001A58DE"/>
    <w:rsid w:val="001A7C9B"/>
    <w:rsid w:val="001B05B9"/>
    <w:rsid w:val="001B1519"/>
    <w:rsid w:val="001B1A88"/>
    <w:rsid w:val="001B31AC"/>
    <w:rsid w:val="001B4E58"/>
    <w:rsid w:val="001B7B88"/>
    <w:rsid w:val="001C0535"/>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2F4C"/>
    <w:rsid w:val="001F4AB8"/>
    <w:rsid w:val="001F4ADC"/>
    <w:rsid w:val="001F71ED"/>
    <w:rsid w:val="00203D3A"/>
    <w:rsid w:val="00203FF3"/>
    <w:rsid w:val="002044B4"/>
    <w:rsid w:val="00207086"/>
    <w:rsid w:val="00207669"/>
    <w:rsid w:val="00211D60"/>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2A11"/>
    <w:rsid w:val="00244177"/>
    <w:rsid w:val="002527F7"/>
    <w:rsid w:val="00253F70"/>
    <w:rsid w:val="00254477"/>
    <w:rsid w:val="002556AC"/>
    <w:rsid w:val="00257337"/>
    <w:rsid w:val="002577FE"/>
    <w:rsid w:val="0025780C"/>
    <w:rsid w:val="002609D8"/>
    <w:rsid w:val="00261FFA"/>
    <w:rsid w:val="00262CBE"/>
    <w:rsid w:val="002642D3"/>
    <w:rsid w:val="002646EF"/>
    <w:rsid w:val="00266AE6"/>
    <w:rsid w:val="00267C18"/>
    <w:rsid w:val="00273D0E"/>
    <w:rsid w:val="002764D6"/>
    <w:rsid w:val="00280B8B"/>
    <w:rsid w:val="00282235"/>
    <w:rsid w:val="00282369"/>
    <w:rsid w:val="00283D2D"/>
    <w:rsid w:val="00287F7C"/>
    <w:rsid w:val="00291465"/>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97A"/>
    <w:rsid w:val="002E2D7B"/>
    <w:rsid w:val="002E5E6A"/>
    <w:rsid w:val="002F0711"/>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4AC9"/>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00"/>
    <w:rsid w:val="00394873"/>
    <w:rsid w:val="00394A1E"/>
    <w:rsid w:val="00396385"/>
    <w:rsid w:val="003968C7"/>
    <w:rsid w:val="0039745C"/>
    <w:rsid w:val="0039799D"/>
    <w:rsid w:val="003A2246"/>
    <w:rsid w:val="003A2658"/>
    <w:rsid w:val="003A61F9"/>
    <w:rsid w:val="003A6975"/>
    <w:rsid w:val="003B0D66"/>
    <w:rsid w:val="003B1829"/>
    <w:rsid w:val="003B1E88"/>
    <w:rsid w:val="003B3909"/>
    <w:rsid w:val="003B5E96"/>
    <w:rsid w:val="003C0641"/>
    <w:rsid w:val="003C0DD2"/>
    <w:rsid w:val="003C17E5"/>
    <w:rsid w:val="003C5243"/>
    <w:rsid w:val="003C53ED"/>
    <w:rsid w:val="003C73CE"/>
    <w:rsid w:val="003D0B7E"/>
    <w:rsid w:val="003D1FA2"/>
    <w:rsid w:val="003D4E0F"/>
    <w:rsid w:val="003D5C0A"/>
    <w:rsid w:val="003E01A4"/>
    <w:rsid w:val="003E16E1"/>
    <w:rsid w:val="003E1871"/>
    <w:rsid w:val="003E4BBE"/>
    <w:rsid w:val="003E504D"/>
    <w:rsid w:val="003E656A"/>
    <w:rsid w:val="003E78B7"/>
    <w:rsid w:val="003F2D97"/>
    <w:rsid w:val="003F3016"/>
    <w:rsid w:val="003F38EB"/>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97A24"/>
    <w:rsid w:val="004A114B"/>
    <w:rsid w:val="004A2363"/>
    <w:rsid w:val="004A290F"/>
    <w:rsid w:val="004A4401"/>
    <w:rsid w:val="004A55D8"/>
    <w:rsid w:val="004A5FFD"/>
    <w:rsid w:val="004A6E59"/>
    <w:rsid w:val="004A7118"/>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54E3"/>
    <w:rsid w:val="004D56B3"/>
    <w:rsid w:val="004D6459"/>
    <w:rsid w:val="004D761E"/>
    <w:rsid w:val="004D7F0B"/>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37E89"/>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1822"/>
    <w:rsid w:val="00561ABC"/>
    <w:rsid w:val="00562653"/>
    <w:rsid w:val="005630B0"/>
    <w:rsid w:val="00563B64"/>
    <w:rsid w:val="00563CE8"/>
    <w:rsid w:val="00565660"/>
    <w:rsid w:val="005662E2"/>
    <w:rsid w:val="00567E1A"/>
    <w:rsid w:val="00571389"/>
    <w:rsid w:val="005733EB"/>
    <w:rsid w:val="005734C5"/>
    <w:rsid w:val="0057453A"/>
    <w:rsid w:val="00575268"/>
    <w:rsid w:val="00576D51"/>
    <w:rsid w:val="0057792B"/>
    <w:rsid w:val="0058025B"/>
    <w:rsid w:val="00580802"/>
    <w:rsid w:val="00581A22"/>
    <w:rsid w:val="0058592D"/>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55FE"/>
    <w:rsid w:val="005B5840"/>
    <w:rsid w:val="005B5B70"/>
    <w:rsid w:val="005B5F05"/>
    <w:rsid w:val="005C17BF"/>
    <w:rsid w:val="005C523B"/>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721D"/>
    <w:rsid w:val="00607C1F"/>
    <w:rsid w:val="0061042F"/>
    <w:rsid w:val="00613A59"/>
    <w:rsid w:val="006168E4"/>
    <w:rsid w:val="006171DF"/>
    <w:rsid w:val="0061737F"/>
    <w:rsid w:val="00621F47"/>
    <w:rsid w:val="00622359"/>
    <w:rsid w:val="0062497C"/>
    <w:rsid w:val="00625200"/>
    <w:rsid w:val="006255AA"/>
    <w:rsid w:val="00630846"/>
    <w:rsid w:val="00631806"/>
    <w:rsid w:val="0063688D"/>
    <w:rsid w:val="00636B66"/>
    <w:rsid w:val="00637512"/>
    <w:rsid w:val="00637BC8"/>
    <w:rsid w:val="00640EE4"/>
    <w:rsid w:val="00643184"/>
    <w:rsid w:val="006456FA"/>
    <w:rsid w:val="006466F5"/>
    <w:rsid w:val="00646C24"/>
    <w:rsid w:val="00652695"/>
    <w:rsid w:val="00652BC5"/>
    <w:rsid w:val="00661753"/>
    <w:rsid w:val="0066216F"/>
    <w:rsid w:val="00663FCB"/>
    <w:rsid w:val="006654F6"/>
    <w:rsid w:val="00675390"/>
    <w:rsid w:val="00676CAA"/>
    <w:rsid w:val="006802CF"/>
    <w:rsid w:val="0068048C"/>
    <w:rsid w:val="006806C7"/>
    <w:rsid w:val="006827AB"/>
    <w:rsid w:val="006829A7"/>
    <w:rsid w:val="006831E4"/>
    <w:rsid w:val="00683B62"/>
    <w:rsid w:val="006848B7"/>
    <w:rsid w:val="006868A7"/>
    <w:rsid w:val="00690791"/>
    <w:rsid w:val="006915EA"/>
    <w:rsid w:val="00694828"/>
    <w:rsid w:val="00696AE9"/>
    <w:rsid w:val="00697DBD"/>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190A"/>
    <w:rsid w:val="006C28B4"/>
    <w:rsid w:val="006C28CA"/>
    <w:rsid w:val="006C350D"/>
    <w:rsid w:val="006C5E56"/>
    <w:rsid w:val="006C647E"/>
    <w:rsid w:val="006C66E4"/>
    <w:rsid w:val="006C7C01"/>
    <w:rsid w:val="006C7F89"/>
    <w:rsid w:val="006D23FC"/>
    <w:rsid w:val="006D58A0"/>
    <w:rsid w:val="006D643D"/>
    <w:rsid w:val="006E063C"/>
    <w:rsid w:val="006E245B"/>
    <w:rsid w:val="006E3851"/>
    <w:rsid w:val="006E7519"/>
    <w:rsid w:val="006F1167"/>
    <w:rsid w:val="006F3B9F"/>
    <w:rsid w:val="006F4044"/>
    <w:rsid w:val="006F46DC"/>
    <w:rsid w:val="006F4CC6"/>
    <w:rsid w:val="00701033"/>
    <w:rsid w:val="00701A3F"/>
    <w:rsid w:val="00702A03"/>
    <w:rsid w:val="00704720"/>
    <w:rsid w:val="00704BD8"/>
    <w:rsid w:val="00704EFD"/>
    <w:rsid w:val="007051A0"/>
    <w:rsid w:val="007078C8"/>
    <w:rsid w:val="00712E3A"/>
    <w:rsid w:val="00713CE6"/>
    <w:rsid w:val="007169EF"/>
    <w:rsid w:val="00721506"/>
    <w:rsid w:val="007216DB"/>
    <w:rsid w:val="00721F01"/>
    <w:rsid w:val="007246D3"/>
    <w:rsid w:val="00725900"/>
    <w:rsid w:val="00725F5A"/>
    <w:rsid w:val="007274EC"/>
    <w:rsid w:val="00734725"/>
    <w:rsid w:val="00737605"/>
    <w:rsid w:val="007404D5"/>
    <w:rsid w:val="00740BDD"/>
    <w:rsid w:val="007417C8"/>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95FF6"/>
    <w:rsid w:val="00797FB3"/>
    <w:rsid w:val="007A00E9"/>
    <w:rsid w:val="007A0454"/>
    <w:rsid w:val="007A0E44"/>
    <w:rsid w:val="007A181E"/>
    <w:rsid w:val="007A1C9E"/>
    <w:rsid w:val="007A4CA1"/>
    <w:rsid w:val="007A5DFD"/>
    <w:rsid w:val="007B0398"/>
    <w:rsid w:val="007B2C77"/>
    <w:rsid w:val="007B2E78"/>
    <w:rsid w:val="007B5E84"/>
    <w:rsid w:val="007B6549"/>
    <w:rsid w:val="007C1A9C"/>
    <w:rsid w:val="007C37DA"/>
    <w:rsid w:val="007C3F2F"/>
    <w:rsid w:val="007C6CAB"/>
    <w:rsid w:val="007D10BD"/>
    <w:rsid w:val="007D1A27"/>
    <w:rsid w:val="007D1B24"/>
    <w:rsid w:val="007D1CE9"/>
    <w:rsid w:val="007D1F15"/>
    <w:rsid w:val="007D25B1"/>
    <w:rsid w:val="007D2878"/>
    <w:rsid w:val="007D6FC3"/>
    <w:rsid w:val="007E1017"/>
    <w:rsid w:val="007E2168"/>
    <w:rsid w:val="007E319E"/>
    <w:rsid w:val="007E4FA1"/>
    <w:rsid w:val="007E7B07"/>
    <w:rsid w:val="007E7BAB"/>
    <w:rsid w:val="007E7DCE"/>
    <w:rsid w:val="007E7FA9"/>
    <w:rsid w:val="007F20AC"/>
    <w:rsid w:val="007F213F"/>
    <w:rsid w:val="007F2DCD"/>
    <w:rsid w:val="007F6623"/>
    <w:rsid w:val="00802338"/>
    <w:rsid w:val="00802C56"/>
    <w:rsid w:val="008039D7"/>
    <w:rsid w:val="008053CE"/>
    <w:rsid w:val="008056BC"/>
    <w:rsid w:val="00805D73"/>
    <w:rsid w:val="00806EE9"/>
    <w:rsid w:val="00807750"/>
    <w:rsid w:val="00807B2F"/>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47B2"/>
    <w:rsid w:val="008357C0"/>
    <w:rsid w:val="00836987"/>
    <w:rsid w:val="0083744B"/>
    <w:rsid w:val="00843026"/>
    <w:rsid w:val="00844009"/>
    <w:rsid w:val="0084448D"/>
    <w:rsid w:val="00844569"/>
    <w:rsid w:val="00844CD2"/>
    <w:rsid w:val="00844CDE"/>
    <w:rsid w:val="00845083"/>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84077"/>
    <w:rsid w:val="00890342"/>
    <w:rsid w:val="00890B7A"/>
    <w:rsid w:val="00890C62"/>
    <w:rsid w:val="0089173B"/>
    <w:rsid w:val="0089437B"/>
    <w:rsid w:val="00895089"/>
    <w:rsid w:val="008951ED"/>
    <w:rsid w:val="00895707"/>
    <w:rsid w:val="00896151"/>
    <w:rsid w:val="0089761E"/>
    <w:rsid w:val="008977EE"/>
    <w:rsid w:val="008A0693"/>
    <w:rsid w:val="008A0866"/>
    <w:rsid w:val="008A256D"/>
    <w:rsid w:val="008A30E0"/>
    <w:rsid w:val="008A5928"/>
    <w:rsid w:val="008A75BE"/>
    <w:rsid w:val="008B0D6E"/>
    <w:rsid w:val="008B1AD9"/>
    <w:rsid w:val="008B1D2E"/>
    <w:rsid w:val="008B4DF4"/>
    <w:rsid w:val="008B5D1F"/>
    <w:rsid w:val="008B69CF"/>
    <w:rsid w:val="008B6C58"/>
    <w:rsid w:val="008C08BE"/>
    <w:rsid w:val="008C1558"/>
    <w:rsid w:val="008C229F"/>
    <w:rsid w:val="008C32A8"/>
    <w:rsid w:val="008C3445"/>
    <w:rsid w:val="008C366D"/>
    <w:rsid w:val="008C4E94"/>
    <w:rsid w:val="008C55A3"/>
    <w:rsid w:val="008C56BA"/>
    <w:rsid w:val="008C7368"/>
    <w:rsid w:val="008D1BF1"/>
    <w:rsid w:val="008D2DA7"/>
    <w:rsid w:val="008D32F0"/>
    <w:rsid w:val="008E012F"/>
    <w:rsid w:val="008E1B79"/>
    <w:rsid w:val="008E6375"/>
    <w:rsid w:val="008F17A1"/>
    <w:rsid w:val="008F215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2E41"/>
    <w:rsid w:val="009439F5"/>
    <w:rsid w:val="009440D8"/>
    <w:rsid w:val="009449B8"/>
    <w:rsid w:val="00944DC9"/>
    <w:rsid w:val="00945203"/>
    <w:rsid w:val="009454E7"/>
    <w:rsid w:val="0094603F"/>
    <w:rsid w:val="00946F89"/>
    <w:rsid w:val="00950625"/>
    <w:rsid w:val="00951F85"/>
    <w:rsid w:val="00952850"/>
    <w:rsid w:val="009555DC"/>
    <w:rsid w:val="009572E6"/>
    <w:rsid w:val="00957643"/>
    <w:rsid w:val="009611E0"/>
    <w:rsid w:val="00962383"/>
    <w:rsid w:val="00963120"/>
    <w:rsid w:val="00965FEE"/>
    <w:rsid w:val="0096643B"/>
    <w:rsid w:val="00966B7A"/>
    <w:rsid w:val="00967852"/>
    <w:rsid w:val="009706B5"/>
    <w:rsid w:val="00971DC5"/>
    <w:rsid w:val="00972217"/>
    <w:rsid w:val="00972BDF"/>
    <w:rsid w:val="00972CF8"/>
    <w:rsid w:val="009732F5"/>
    <w:rsid w:val="00973AFB"/>
    <w:rsid w:val="00973E67"/>
    <w:rsid w:val="00973F49"/>
    <w:rsid w:val="00975319"/>
    <w:rsid w:val="0098182D"/>
    <w:rsid w:val="00982A98"/>
    <w:rsid w:val="00982FA5"/>
    <w:rsid w:val="009855E2"/>
    <w:rsid w:val="00985612"/>
    <w:rsid w:val="00987C03"/>
    <w:rsid w:val="00990E3D"/>
    <w:rsid w:val="00992977"/>
    <w:rsid w:val="00992B07"/>
    <w:rsid w:val="0099557F"/>
    <w:rsid w:val="00996932"/>
    <w:rsid w:val="009A3511"/>
    <w:rsid w:val="009A686F"/>
    <w:rsid w:val="009A7912"/>
    <w:rsid w:val="009B0094"/>
    <w:rsid w:val="009B28E9"/>
    <w:rsid w:val="009B2CF5"/>
    <w:rsid w:val="009B33A8"/>
    <w:rsid w:val="009B3487"/>
    <w:rsid w:val="009B390A"/>
    <w:rsid w:val="009B44F6"/>
    <w:rsid w:val="009B7C61"/>
    <w:rsid w:val="009C0223"/>
    <w:rsid w:val="009C22B1"/>
    <w:rsid w:val="009C3793"/>
    <w:rsid w:val="009C520A"/>
    <w:rsid w:val="009C62BD"/>
    <w:rsid w:val="009D0326"/>
    <w:rsid w:val="009D0555"/>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4B74"/>
    <w:rsid w:val="00A3248C"/>
    <w:rsid w:val="00A32AB4"/>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17AC"/>
    <w:rsid w:val="00A72105"/>
    <w:rsid w:val="00A72465"/>
    <w:rsid w:val="00A72749"/>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4B74"/>
    <w:rsid w:val="00AA56F6"/>
    <w:rsid w:val="00AA5D62"/>
    <w:rsid w:val="00AB0571"/>
    <w:rsid w:val="00AB1E84"/>
    <w:rsid w:val="00AB2BF2"/>
    <w:rsid w:val="00AB3710"/>
    <w:rsid w:val="00AB4B0F"/>
    <w:rsid w:val="00AB4C9F"/>
    <w:rsid w:val="00AB533C"/>
    <w:rsid w:val="00AB6C3B"/>
    <w:rsid w:val="00AB7F4A"/>
    <w:rsid w:val="00AC226E"/>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E6EC0"/>
    <w:rsid w:val="00AF0161"/>
    <w:rsid w:val="00AF2A1F"/>
    <w:rsid w:val="00AF2D9B"/>
    <w:rsid w:val="00AF37CE"/>
    <w:rsid w:val="00AF7A46"/>
    <w:rsid w:val="00B00628"/>
    <w:rsid w:val="00B03CF6"/>
    <w:rsid w:val="00B06246"/>
    <w:rsid w:val="00B0749B"/>
    <w:rsid w:val="00B10050"/>
    <w:rsid w:val="00B10A1E"/>
    <w:rsid w:val="00B10B36"/>
    <w:rsid w:val="00B11E08"/>
    <w:rsid w:val="00B12FF9"/>
    <w:rsid w:val="00B13507"/>
    <w:rsid w:val="00B14039"/>
    <w:rsid w:val="00B149FA"/>
    <w:rsid w:val="00B177F4"/>
    <w:rsid w:val="00B22242"/>
    <w:rsid w:val="00B2232C"/>
    <w:rsid w:val="00B2330D"/>
    <w:rsid w:val="00B32CD3"/>
    <w:rsid w:val="00B32EA8"/>
    <w:rsid w:val="00B34CED"/>
    <w:rsid w:val="00B35A93"/>
    <w:rsid w:val="00B3672D"/>
    <w:rsid w:val="00B37DCF"/>
    <w:rsid w:val="00B433C9"/>
    <w:rsid w:val="00B437D8"/>
    <w:rsid w:val="00B44ADE"/>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6E86"/>
    <w:rsid w:val="00B6767A"/>
    <w:rsid w:val="00B67A20"/>
    <w:rsid w:val="00B710FE"/>
    <w:rsid w:val="00B724E8"/>
    <w:rsid w:val="00B748F9"/>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C0FDD"/>
    <w:rsid w:val="00BC22E0"/>
    <w:rsid w:val="00BC2A46"/>
    <w:rsid w:val="00BC3FA4"/>
    <w:rsid w:val="00BD004A"/>
    <w:rsid w:val="00BD352C"/>
    <w:rsid w:val="00BD43AE"/>
    <w:rsid w:val="00BD4D50"/>
    <w:rsid w:val="00BD5023"/>
    <w:rsid w:val="00BD5133"/>
    <w:rsid w:val="00BD58AB"/>
    <w:rsid w:val="00BE28ED"/>
    <w:rsid w:val="00BF24E3"/>
    <w:rsid w:val="00C008B2"/>
    <w:rsid w:val="00C01ABC"/>
    <w:rsid w:val="00C01E1C"/>
    <w:rsid w:val="00C01F6B"/>
    <w:rsid w:val="00C02672"/>
    <w:rsid w:val="00C02A84"/>
    <w:rsid w:val="00C065A1"/>
    <w:rsid w:val="00C07B2D"/>
    <w:rsid w:val="00C10621"/>
    <w:rsid w:val="00C12209"/>
    <w:rsid w:val="00C14CD6"/>
    <w:rsid w:val="00C155B6"/>
    <w:rsid w:val="00C16927"/>
    <w:rsid w:val="00C2082E"/>
    <w:rsid w:val="00C20835"/>
    <w:rsid w:val="00C231B3"/>
    <w:rsid w:val="00C24A09"/>
    <w:rsid w:val="00C25084"/>
    <w:rsid w:val="00C25839"/>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3E2"/>
    <w:rsid w:val="00C8471E"/>
    <w:rsid w:val="00C850CE"/>
    <w:rsid w:val="00C85378"/>
    <w:rsid w:val="00C90BE5"/>
    <w:rsid w:val="00C91B10"/>
    <w:rsid w:val="00C925E0"/>
    <w:rsid w:val="00C9271F"/>
    <w:rsid w:val="00C9297C"/>
    <w:rsid w:val="00CA5334"/>
    <w:rsid w:val="00CA6FDA"/>
    <w:rsid w:val="00CB0886"/>
    <w:rsid w:val="00CB0E90"/>
    <w:rsid w:val="00CB2CC0"/>
    <w:rsid w:val="00CB2DA9"/>
    <w:rsid w:val="00CB3B6F"/>
    <w:rsid w:val="00CC0C5F"/>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6E17"/>
    <w:rsid w:val="00D0731B"/>
    <w:rsid w:val="00D115BB"/>
    <w:rsid w:val="00D11797"/>
    <w:rsid w:val="00D12C68"/>
    <w:rsid w:val="00D134FB"/>
    <w:rsid w:val="00D138E7"/>
    <w:rsid w:val="00D14FEC"/>
    <w:rsid w:val="00D16C97"/>
    <w:rsid w:val="00D17789"/>
    <w:rsid w:val="00D21565"/>
    <w:rsid w:val="00D215A7"/>
    <w:rsid w:val="00D22F7D"/>
    <w:rsid w:val="00D25BEE"/>
    <w:rsid w:val="00D25C53"/>
    <w:rsid w:val="00D2737E"/>
    <w:rsid w:val="00D274A9"/>
    <w:rsid w:val="00D302CF"/>
    <w:rsid w:val="00D318E3"/>
    <w:rsid w:val="00D32644"/>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4D3"/>
    <w:rsid w:val="00D72D16"/>
    <w:rsid w:val="00D742B9"/>
    <w:rsid w:val="00D7492C"/>
    <w:rsid w:val="00D755E3"/>
    <w:rsid w:val="00D766CC"/>
    <w:rsid w:val="00D7706D"/>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152"/>
    <w:rsid w:val="00DA41D7"/>
    <w:rsid w:val="00DA494B"/>
    <w:rsid w:val="00DA5B72"/>
    <w:rsid w:val="00DB5C0A"/>
    <w:rsid w:val="00DC0220"/>
    <w:rsid w:val="00DC3D97"/>
    <w:rsid w:val="00DC5DDB"/>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16D13"/>
    <w:rsid w:val="00E2408E"/>
    <w:rsid w:val="00E24B4D"/>
    <w:rsid w:val="00E24BB6"/>
    <w:rsid w:val="00E27CDB"/>
    <w:rsid w:val="00E3650A"/>
    <w:rsid w:val="00E369BA"/>
    <w:rsid w:val="00E371EC"/>
    <w:rsid w:val="00E43116"/>
    <w:rsid w:val="00E444DA"/>
    <w:rsid w:val="00E44674"/>
    <w:rsid w:val="00E51A48"/>
    <w:rsid w:val="00E550AA"/>
    <w:rsid w:val="00E571F8"/>
    <w:rsid w:val="00E57E5A"/>
    <w:rsid w:val="00E62025"/>
    <w:rsid w:val="00E64F0A"/>
    <w:rsid w:val="00E65EAD"/>
    <w:rsid w:val="00E67668"/>
    <w:rsid w:val="00E702C1"/>
    <w:rsid w:val="00E70AEE"/>
    <w:rsid w:val="00E7107E"/>
    <w:rsid w:val="00E71C93"/>
    <w:rsid w:val="00E725D5"/>
    <w:rsid w:val="00E72AE3"/>
    <w:rsid w:val="00E73A6E"/>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5E08"/>
    <w:rsid w:val="00EA7FEF"/>
    <w:rsid w:val="00EB117B"/>
    <w:rsid w:val="00EB15B1"/>
    <w:rsid w:val="00EB2BEB"/>
    <w:rsid w:val="00EB3129"/>
    <w:rsid w:val="00EB40D6"/>
    <w:rsid w:val="00EB4222"/>
    <w:rsid w:val="00EB5F5F"/>
    <w:rsid w:val="00EB5F75"/>
    <w:rsid w:val="00EB79CD"/>
    <w:rsid w:val="00ED0D4C"/>
    <w:rsid w:val="00ED1975"/>
    <w:rsid w:val="00ED5985"/>
    <w:rsid w:val="00EE0648"/>
    <w:rsid w:val="00EE0F2E"/>
    <w:rsid w:val="00EE1868"/>
    <w:rsid w:val="00EE2610"/>
    <w:rsid w:val="00EE2A41"/>
    <w:rsid w:val="00EE354B"/>
    <w:rsid w:val="00EE3C1D"/>
    <w:rsid w:val="00EE4BD1"/>
    <w:rsid w:val="00EE6EC2"/>
    <w:rsid w:val="00EF0144"/>
    <w:rsid w:val="00EF09FB"/>
    <w:rsid w:val="00EF102E"/>
    <w:rsid w:val="00EF1925"/>
    <w:rsid w:val="00EF2489"/>
    <w:rsid w:val="00EF697A"/>
    <w:rsid w:val="00F0221A"/>
    <w:rsid w:val="00F02923"/>
    <w:rsid w:val="00F0323C"/>
    <w:rsid w:val="00F0351B"/>
    <w:rsid w:val="00F03BB1"/>
    <w:rsid w:val="00F06472"/>
    <w:rsid w:val="00F071EE"/>
    <w:rsid w:val="00F07419"/>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15B9"/>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1A0A"/>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41CB"/>
    <w:rsid w:val="00F858D5"/>
    <w:rsid w:val="00F909A9"/>
    <w:rsid w:val="00F91AEE"/>
    <w:rsid w:val="00F936C6"/>
    <w:rsid w:val="00F97C07"/>
    <w:rsid w:val="00FA047C"/>
    <w:rsid w:val="00FA1738"/>
    <w:rsid w:val="00FA19D2"/>
    <w:rsid w:val="00FA2545"/>
    <w:rsid w:val="00FA2625"/>
    <w:rsid w:val="00FA7EF6"/>
    <w:rsid w:val="00FB0ACD"/>
    <w:rsid w:val="00FB2524"/>
    <w:rsid w:val="00FB2D24"/>
    <w:rsid w:val="00FB4AAD"/>
    <w:rsid w:val="00FB4E3D"/>
    <w:rsid w:val="00FB5F2A"/>
    <w:rsid w:val="00FB6CF8"/>
    <w:rsid w:val="00FB6FE1"/>
    <w:rsid w:val="00FC16E9"/>
    <w:rsid w:val="00FC279C"/>
    <w:rsid w:val="00FC2A30"/>
    <w:rsid w:val="00FC45DE"/>
    <w:rsid w:val="00FC48CB"/>
    <w:rsid w:val="00FC4F9B"/>
    <w:rsid w:val="00FC59F0"/>
    <w:rsid w:val="00FD0250"/>
    <w:rsid w:val="00FD0AF0"/>
    <w:rsid w:val="00FD0B6D"/>
    <w:rsid w:val="00FD28F3"/>
    <w:rsid w:val="00FD4289"/>
    <w:rsid w:val="00FD4599"/>
    <w:rsid w:val="00FD46D7"/>
    <w:rsid w:val="00FD4784"/>
    <w:rsid w:val="00FD51A0"/>
    <w:rsid w:val="00FD6342"/>
    <w:rsid w:val="00FD65FE"/>
    <w:rsid w:val="00FD74EB"/>
    <w:rsid w:val="00FE009C"/>
    <w:rsid w:val="00FE01E5"/>
    <w:rsid w:val="00FE1E0B"/>
    <w:rsid w:val="00FE1FC6"/>
    <w:rsid w:val="00FE214F"/>
    <w:rsid w:val="00FE3DA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character" w:styleId="Hipervnculovisitado">
    <w:name w:val="FollowedHyperlink"/>
    <w:basedOn w:val="Fuentedeprrafopredeter"/>
    <w:uiPriority w:val="99"/>
    <w:semiHidden/>
    <w:unhideWhenUsed/>
    <w:rsid w:val="00F02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E29C6-237A-44E1-89EC-1F954998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31</Pages>
  <Words>5705</Words>
  <Characters>31380</Characters>
  <Application>Microsoft Office Word</Application>
  <DocSecurity>0</DocSecurity>
  <Lines>261</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32</cp:revision>
  <cp:lastPrinted>2025-11-06T19:16:00Z</cp:lastPrinted>
  <dcterms:created xsi:type="dcterms:W3CDTF">2025-09-12T19:42:00Z</dcterms:created>
  <dcterms:modified xsi:type="dcterms:W3CDTF">2025-12-16T16:19:00Z</dcterms:modified>
</cp:coreProperties>
</file>