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35370E1" w:rsidR="00C4052B" w:rsidRPr="00060463" w:rsidRDefault="00C4052B" w:rsidP="00D7021E">
          <w:pPr>
            <w:pStyle w:val="TtulodeTDC"/>
            <w:spacing w:before="0" w:line="360" w:lineRule="auto"/>
            <w:jc w:val="center"/>
            <w:rPr>
              <w:rFonts w:ascii="Palatino Linotype" w:hAnsi="Palatino Linotype"/>
              <w:color w:val="auto"/>
              <w:sz w:val="22"/>
              <w:szCs w:val="22"/>
            </w:rPr>
          </w:pPr>
          <w:r w:rsidRPr="00060463">
            <w:rPr>
              <w:rFonts w:ascii="Palatino Linotype" w:hAnsi="Palatino Linotype"/>
              <w:color w:val="auto"/>
              <w:sz w:val="22"/>
              <w:szCs w:val="22"/>
              <w:lang w:val="es-ES"/>
            </w:rPr>
            <w:t xml:space="preserve">RESOLUCIÓN DEL RECURSO DE REVISIÓN </w:t>
          </w:r>
          <w:r w:rsidR="002136F6" w:rsidRPr="00060463">
            <w:rPr>
              <w:rFonts w:ascii="Palatino Linotype" w:hAnsi="Palatino Linotype"/>
              <w:color w:val="auto"/>
              <w:sz w:val="22"/>
              <w:szCs w:val="22"/>
            </w:rPr>
            <w:t>11196</w:t>
          </w:r>
          <w:r w:rsidR="000D392E" w:rsidRPr="00060463">
            <w:rPr>
              <w:rFonts w:ascii="Palatino Linotype" w:hAnsi="Palatino Linotype"/>
              <w:color w:val="auto"/>
              <w:sz w:val="22"/>
              <w:szCs w:val="22"/>
            </w:rPr>
            <w:t>/INFOEM/IP/RR/2025</w:t>
          </w:r>
          <w:r w:rsidR="004E0E99" w:rsidRPr="00060463">
            <w:rPr>
              <w:rFonts w:ascii="Palatino Linotype" w:hAnsi="Palatino Linotype"/>
              <w:color w:val="auto"/>
              <w:sz w:val="22"/>
              <w:szCs w:val="22"/>
            </w:rPr>
            <w:t xml:space="preserve"> Y ACUMULADO</w:t>
          </w:r>
          <w:r w:rsidR="00F8299C" w:rsidRPr="00060463">
            <w:rPr>
              <w:rFonts w:ascii="Palatino Linotype" w:hAnsi="Palatino Linotype"/>
              <w:color w:val="auto"/>
              <w:sz w:val="22"/>
              <w:szCs w:val="22"/>
            </w:rPr>
            <w:t>S</w:t>
          </w:r>
        </w:p>
        <w:p w14:paraId="73933EFA" w14:textId="77777777" w:rsidR="00C4052B" w:rsidRPr="00060463" w:rsidRDefault="00C4052B" w:rsidP="00D7021E">
          <w:pPr>
            <w:spacing w:after="0" w:line="360" w:lineRule="auto"/>
          </w:pPr>
        </w:p>
        <w:p w14:paraId="785C81B8" w14:textId="77777777" w:rsidR="00EF4F04" w:rsidRPr="00295DE7" w:rsidRDefault="00C4052B">
          <w:pPr>
            <w:pStyle w:val="TDC1"/>
            <w:tabs>
              <w:tab w:val="right" w:leader="dot" w:pos="8921"/>
            </w:tabs>
            <w:rPr>
              <w:rFonts w:asciiTheme="minorHAnsi" w:eastAsiaTheme="minorEastAsia" w:hAnsiTheme="minorHAnsi" w:cstheme="minorBidi"/>
              <w:noProof/>
              <w:color w:val="auto"/>
            </w:rPr>
          </w:pPr>
          <w:r w:rsidRPr="00060463">
            <w:fldChar w:fldCharType="begin"/>
          </w:r>
          <w:r w:rsidRPr="00060463">
            <w:instrText xml:space="preserve"> TOC \o "1-3" \h \z \u </w:instrText>
          </w:r>
          <w:r w:rsidRPr="00060463">
            <w:fldChar w:fldCharType="separate"/>
          </w:r>
          <w:hyperlink w:anchor="_Toc216353016" w:history="1">
            <w:r w:rsidR="00EF4F04" w:rsidRPr="00295DE7">
              <w:rPr>
                <w:rStyle w:val="Hipervnculo"/>
                <w:noProof/>
              </w:rPr>
              <w:t>A N T E C E D E N T E S</w:t>
            </w:r>
            <w:r w:rsidR="00EF4F04" w:rsidRPr="00295DE7">
              <w:rPr>
                <w:noProof/>
                <w:webHidden/>
              </w:rPr>
              <w:tab/>
            </w:r>
            <w:r w:rsidR="00EF4F04" w:rsidRPr="00295DE7">
              <w:rPr>
                <w:noProof/>
                <w:webHidden/>
              </w:rPr>
              <w:fldChar w:fldCharType="begin"/>
            </w:r>
            <w:r w:rsidR="00EF4F04" w:rsidRPr="00295DE7">
              <w:rPr>
                <w:noProof/>
                <w:webHidden/>
              </w:rPr>
              <w:instrText xml:space="preserve"> PAGEREF _Toc216353016 \h </w:instrText>
            </w:r>
            <w:r w:rsidR="00EF4F04" w:rsidRPr="00295DE7">
              <w:rPr>
                <w:noProof/>
                <w:webHidden/>
              </w:rPr>
            </w:r>
            <w:r w:rsidR="00EF4F04" w:rsidRPr="00295DE7">
              <w:rPr>
                <w:noProof/>
                <w:webHidden/>
              </w:rPr>
              <w:fldChar w:fldCharType="separate"/>
            </w:r>
            <w:r w:rsidR="007C4E2D">
              <w:rPr>
                <w:noProof/>
                <w:webHidden/>
              </w:rPr>
              <w:t>2</w:t>
            </w:r>
            <w:r w:rsidR="00EF4F04" w:rsidRPr="00295DE7">
              <w:rPr>
                <w:noProof/>
                <w:webHidden/>
              </w:rPr>
              <w:fldChar w:fldCharType="end"/>
            </w:r>
          </w:hyperlink>
        </w:p>
        <w:p w14:paraId="0FE97AC4" w14:textId="77777777" w:rsidR="00EF4F04" w:rsidRPr="00295DE7" w:rsidRDefault="008E2B97">
          <w:pPr>
            <w:pStyle w:val="TDC2"/>
            <w:rPr>
              <w:rFonts w:asciiTheme="minorHAnsi" w:eastAsiaTheme="minorEastAsia" w:hAnsiTheme="minorHAnsi" w:cstheme="minorBidi"/>
              <w:color w:val="auto"/>
              <w:lang w:eastAsia="es-MX"/>
            </w:rPr>
          </w:pPr>
          <w:hyperlink w:anchor="_Toc216353017" w:history="1">
            <w:r w:rsidR="00EF4F04" w:rsidRPr="00295DE7">
              <w:rPr>
                <w:rStyle w:val="Hipervnculo"/>
                <w:lang w:eastAsia="es-ES"/>
              </w:rPr>
              <w:t>I. Presentación de la solicitud de información</w:t>
            </w:r>
            <w:r w:rsidR="00EF4F04" w:rsidRPr="00295DE7">
              <w:rPr>
                <w:webHidden/>
              </w:rPr>
              <w:tab/>
            </w:r>
            <w:r w:rsidR="00EF4F04" w:rsidRPr="00295DE7">
              <w:rPr>
                <w:webHidden/>
              </w:rPr>
              <w:fldChar w:fldCharType="begin"/>
            </w:r>
            <w:r w:rsidR="00EF4F04" w:rsidRPr="00295DE7">
              <w:rPr>
                <w:webHidden/>
              </w:rPr>
              <w:instrText xml:space="preserve"> PAGEREF _Toc216353017 \h </w:instrText>
            </w:r>
            <w:r w:rsidR="00EF4F04" w:rsidRPr="00295DE7">
              <w:rPr>
                <w:webHidden/>
              </w:rPr>
            </w:r>
            <w:r w:rsidR="00EF4F04" w:rsidRPr="00295DE7">
              <w:rPr>
                <w:webHidden/>
              </w:rPr>
              <w:fldChar w:fldCharType="separate"/>
            </w:r>
            <w:r w:rsidR="007C4E2D">
              <w:rPr>
                <w:webHidden/>
              </w:rPr>
              <w:t>2</w:t>
            </w:r>
            <w:r w:rsidR="00EF4F04" w:rsidRPr="00295DE7">
              <w:rPr>
                <w:webHidden/>
              </w:rPr>
              <w:fldChar w:fldCharType="end"/>
            </w:r>
          </w:hyperlink>
        </w:p>
        <w:p w14:paraId="0B17729E" w14:textId="77777777" w:rsidR="00EF4F04" w:rsidRPr="00295DE7" w:rsidRDefault="008E2B97">
          <w:pPr>
            <w:pStyle w:val="TDC2"/>
            <w:rPr>
              <w:rFonts w:asciiTheme="minorHAnsi" w:eastAsiaTheme="minorEastAsia" w:hAnsiTheme="minorHAnsi" w:cstheme="minorBidi"/>
              <w:color w:val="auto"/>
              <w:lang w:eastAsia="es-MX"/>
            </w:rPr>
          </w:pPr>
          <w:hyperlink w:anchor="_Toc216353018" w:history="1">
            <w:r w:rsidR="00EF4F04" w:rsidRPr="00295DE7">
              <w:rPr>
                <w:rStyle w:val="Hipervnculo"/>
              </w:rPr>
              <w:t>II. Prórroga para atender las solicitudes de información</w:t>
            </w:r>
            <w:r w:rsidR="00EF4F04" w:rsidRPr="00295DE7">
              <w:rPr>
                <w:webHidden/>
              </w:rPr>
              <w:tab/>
            </w:r>
            <w:r w:rsidR="00EF4F04" w:rsidRPr="00295DE7">
              <w:rPr>
                <w:webHidden/>
              </w:rPr>
              <w:fldChar w:fldCharType="begin"/>
            </w:r>
            <w:r w:rsidR="00EF4F04" w:rsidRPr="00295DE7">
              <w:rPr>
                <w:webHidden/>
              </w:rPr>
              <w:instrText xml:space="preserve"> PAGEREF _Toc216353018 \h </w:instrText>
            </w:r>
            <w:r w:rsidR="00EF4F04" w:rsidRPr="00295DE7">
              <w:rPr>
                <w:webHidden/>
              </w:rPr>
            </w:r>
            <w:r w:rsidR="00EF4F04" w:rsidRPr="00295DE7">
              <w:rPr>
                <w:webHidden/>
              </w:rPr>
              <w:fldChar w:fldCharType="separate"/>
            </w:r>
            <w:r w:rsidR="007C4E2D">
              <w:rPr>
                <w:webHidden/>
              </w:rPr>
              <w:t>4</w:t>
            </w:r>
            <w:r w:rsidR="00EF4F04" w:rsidRPr="00295DE7">
              <w:rPr>
                <w:webHidden/>
              </w:rPr>
              <w:fldChar w:fldCharType="end"/>
            </w:r>
          </w:hyperlink>
        </w:p>
        <w:p w14:paraId="1D94E0D5" w14:textId="77777777" w:rsidR="00EF4F04" w:rsidRPr="00295DE7" w:rsidRDefault="008E2B97">
          <w:pPr>
            <w:pStyle w:val="TDC2"/>
            <w:rPr>
              <w:rFonts w:asciiTheme="minorHAnsi" w:eastAsiaTheme="minorEastAsia" w:hAnsiTheme="minorHAnsi" w:cstheme="minorBidi"/>
              <w:color w:val="auto"/>
              <w:lang w:eastAsia="es-MX"/>
            </w:rPr>
          </w:pPr>
          <w:hyperlink w:anchor="_Toc216353019" w:history="1">
            <w:r w:rsidR="00EF4F04" w:rsidRPr="00295DE7">
              <w:rPr>
                <w:rStyle w:val="Hipervnculo"/>
                <w:rFonts w:cs="Tahoma"/>
              </w:rPr>
              <w:t>III.</w:t>
            </w:r>
            <w:r w:rsidR="00EF4F04" w:rsidRPr="00295DE7">
              <w:rPr>
                <w:rStyle w:val="Hipervnculo"/>
              </w:rPr>
              <w:t xml:space="preserve"> Respuesta del Sujeto Obligado</w:t>
            </w:r>
            <w:r w:rsidR="00EF4F04" w:rsidRPr="00295DE7">
              <w:rPr>
                <w:webHidden/>
              </w:rPr>
              <w:tab/>
            </w:r>
            <w:r w:rsidR="00EF4F04" w:rsidRPr="00295DE7">
              <w:rPr>
                <w:webHidden/>
              </w:rPr>
              <w:fldChar w:fldCharType="begin"/>
            </w:r>
            <w:r w:rsidR="00EF4F04" w:rsidRPr="00295DE7">
              <w:rPr>
                <w:webHidden/>
              </w:rPr>
              <w:instrText xml:space="preserve"> PAGEREF _Toc216353019 \h </w:instrText>
            </w:r>
            <w:r w:rsidR="00EF4F04" w:rsidRPr="00295DE7">
              <w:rPr>
                <w:webHidden/>
              </w:rPr>
            </w:r>
            <w:r w:rsidR="00EF4F04" w:rsidRPr="00295DE7">
              <w:rPr>
                <w:webHidden/>
              </w:rPr>
              <w:fldChar w:fldCharType="separate"/>
            </w:r>
            <w:r w:rsidR="007C4E2D">
              <w:rPr>
                <w:webHidden/>
              </w:rPr>
              <w:t>4</w:t>
            </w:r>
            <w:r w:rsidR="00EF4F04" w:rsidRPr="00295DE7">
              <w:rPr>
                <w:webHidden/>
              </w:rPr>
              <w:fldChar w:fldCharType="end"/>
            </w:r>
          </w:hyperlink>
        </w:p>
        <w:p w14:paraId="7381FF27" w14:textId="77777777" w:rsidR="00EF4F04" w:rsidRPr="00295DE7" w:rsidRDefault="008E2B97">
          <w:pPr>
            <w:pStyle w:val="TDC2"/>
            <w:rPr>
              <w:rFonts w:asciiTheme="minorHAnsi" w:eastAsiaTheme="minorEastAsia" w:hAnsiTheme="minorHAnsi" w:cstheme="minorBidi"/>
              <w:color w:val="auto"/>
              <w:lang w:eastAsia="es-MX"/>
            </w:rPr>
          </w:pPr>
          <w:hyperlink w:anchor="_Toc216353020" w:history="1">
            <w:r w:rsidR="00EF4F04" w:rsidRPr="00295DE7">
              <w:rPr>
                <w:rStyle w:val="Hipervnculo"/>
              </w:rPr>
              <w:t>IV. Interposición del Recurso de Revisión</w:t>
            </w:r>
            <w:r w:rsidR="00EF4F04" w:rsidRPr="00295DE7">
              <w:rPr>
                <w:webHidden/>
              </w:rPr>
              <w:tab/>
            </w:r>
            <w:r w:rsidR="00EF4F04" w:rsidRPr="00295DE7">
              <w:rPr>
                <w:webHidden/>
              </w:rPr>
              <w:fldChar w:fldCharType="begin"/>
            </w:r>
            <w:r w:rsidR="00EF4F04" w:rsidRPr="00295DE7">
              <w:rPr>
                <w:webHidden/>
              </w:rPr>
              <w:instrText xml:space="preserve"> PAGEREF _Toc216353020 \h </w:instrText>
            </w:r>
            <w:r w:rsidR="00EF4F04" w:rsidRPr="00295DE7">
              <w:rPr>
                <w:webHidden/>
              </w:rPr>
            </w:r>
            <w:r w:rsidR="00EF4F04" w:rsidRPr="00295DE7">
              <w:rPr>
                <w:webHidden/>
              </w:rPr>
              <w:fldChar w:fldCharType="separate"/>
            </w:r>
            <w:r w:rsidR="007C4E2D">
              <w:rPr>
                <w:webHidden/>
              </w:rPr>
              <w:t>14</w:t>
            </w:r>
            <w:r w:rsidR="00EF4F04" w:rsidRPr="00295DE7">
              <w:rPr>
                <w:webHidden/>
              </w:rPr>
              <w:fldChar w:fldCharType="end"/>
            </w:r>
          </w:hyperlink>
        </w:p>
        <w:p w14:paraId="5D2668B6" w14:textId="77777777" w:rsidR="00EF4F04" w:rsidRPr="00295DE7" w:rsidRDefault="008E2B97">
          <w:pPr>
            <w:pStyle w:val="TDC2"/>
            <w:rPr>
              <w:rFonts w:asciiTheme="minorHAnsi" w:eastAsiaTheme="minorEastAsia" w:hAnsiTheme="minorHAnsi" w:cstheme="minorBidi"/>
              <w:color w:val="auto"/>
              <w:lang w:eastAsia="es-MX"/>
            </w:rPr>
          </w:pPr>
          <w:hyperlink w:anchor="_Toc216353021" w:history="1">
            <w:r w:rsidR="00EF4F04" w:rsidRPr="00295DE7">
              <w:rPr>
                <w:rStyle w:val="Hipervnculo"/>
              </w:rPr>
              <w:t>V. Trámite del Recurso de Revisión ante este Instituto</w:t>
            </w:r>
            <w:r w:rsidR="00EF4F04" w:rsidRPr="00295DE7">
              <w:rPr>
                <w:webHidden/>
              </w:rPr>
              <w:tab/>
            </w:r>
            <w:r w:rsidR="00EF4F04" w:rsidRPr="00295DE7">
              <w:rPr>
                <w:webHidden/>
              </w:rPr>
              <w:fldChar w:fldCharType="begin"/>
            </w:r>
            <w:r w:rsidR="00EF4F04" w:rsidRPr="00295DE7">
              <w:rPr>
                <w:webHidden/>
              </w:rPr>
              <w:instrText xml:space="preserve"> PAGEREF _Toc216353021 \h </w:instrText>
            </w:r>
            <w:r w:rsidR="00EF4F04" w:rsidRPr="00295DE7">
              <w:rPr>
                <w:webHidden/>
              </w:rPr>
            </w:r>
            <w:r w:rsidR="00EF4F04" w:rsidRPr="00295DE7">
              <w:rPr>
                <w:webHidden/>
              </w:rPr>
              <w:fldChar w:fldCharType="separate"/>
            </w:r>
            <w:r w:rsidR="007C4E2D">
              <w:rPr>
                <w:webHidden/>
              </w:rPr>
              <w:t>16</w:t>
            </w:r>
            <w:r w:rsidR="00EF4F04" w:rsidRPr="00295DE7">
              <w:rPr>
                <w:webHidden/>
              </w:rPr>
              <w:fldChar w:fldCharType="end"/>
            </w:r>
          </w:hyperlink>
        </w:p>
        <w:p w14:paraId="258BFD8A" w14:textId="77777777" w:rsidR="00EF4F04" w:rsidRPr="00295DE7" w:rsidRDefault="008E2B97">
          <w:pPr>
            <w:pStyle w:val="TDC1"/>
            <w:tabs>
              <w:tab w:val="right" w:leader="dot" w:pos="8921"/>
            </w:tabs>
            <w:rPr>
              <w:rFonts w:asciiTheme="minorHAnsi" w:eastAsiaTheme="minorEastAsia" w:hAnsiTheme="minorHAnsi" w:cstheme="minorBidi"/>
              <w:noProof/>
              <w:color w:val="auto"/>
            </w:rPr>
          </w:pPr>
          <w:hyperlink w:anchor="_Toc216353022" w:history="1">
            <w:r w:rsidR="00EF4F04" w:rsidRPr="00295DE7">
              <w:rPr>
                <w:rStyle w:val="Hipervnculo"/>
                <w:noProof/>
              </w:rPr>
              <w:t>C O N S I D E R A N D O S</w:t>
            </w:r>
            <w:r w:rsidR="00EF4F04" w:rsidRPr="00295DE7">
              <w:rPr>
                <w:noProof/>
                <w:webHidden/>
              </w:rPr>
              <w:tab/>
            </w:r>
            <w:r w:rsidR="00EF4F04" w:rsidRPr="00295DE7">
              <w:rPr>
                <w:noProof/>
                <w:webHidden/>
              </w:rPr>
              <w:fldChar w:fldCharType="begin"/>
            </w:r>
            <w:r w:rsidR="00EF4F04" w:rsidRPr="00295DE7">
              <w:rPr>
                <w:noProof/>
                <w:webHidden/>
              </w:rPr>
              <w:instrText xml:space="preserve"> PAGEREF _Toc216353022 \h </w:instrText>
            </w:r>
            <w:r w:rsidR="00EF4F04" w:rsidRPr="00295DE7">
              <w:rPr>
                <w:noProof/>
                <w:webHidden/>
              </w:rPr>
            </w:r>
            <w:r w:rsidR="00EF4F04" w:rsidRPr="00295DE7">
              <w:rPr>
                <w:noProof/>
                <w:webHidden/>
              </w:rPr>
              <w:fldChar w:fldCharType="separate"/>
            </w:r>
            <w:r w:rsidR="007C4E2D">
              <w:rPr>
                <w:noProof/>
                <w:webHidden/>
              </w:rPr>
              <w:t>20</w:t>
            </w:r>
            <w:r w:rsidR="00EF4F04" w:rsidRPr="00295DE7">
              <w:rPr>
                <w:noProof/>
                <w:webHidden/>
              </w:rPr>
              <w:fldChar w:fldCharType="end"/>
            </w:r>
          </w:hyperlink>
        </w:p>
        <w:p w14:paraId="068A4E6F" w14:textId="77777777" w:rsidR="00EF4F04" w:rsidRPr="00295DE7" w:rsidRDefault="008E2B97">
          <w:pPr>
            <w:pStyle w:val="TDC2"/>
            <w:rPr>
              <w:rFonts w:asciiTheme="minorHAnsi" w:eastAsiaTheme="minorEastAsia" w:hAnsiTheme="minorHAnsi" w:cstheme="minorBidi"/>
              <w:color w:val="auto"/>
              <w:lang w:eastAsia="es-MX"/>
            </w:rPr>
          </w:pPr>
          <w:hyperlink w:anchor="_Toc216353023" w:history="1">
            <w:r w:rsidR="00EF4F04" w:rsidRPr="00295DE7">
              <w:rPr>
                <w:rStyle w:val="Hipervnculo"/>
              </w:rPr>
              <w:t>PRIMERO. Competencia</w:t>
            </w:r>
            <w:r w:rsidR="00EF4F04" w:rsidRPr="00295DE7">
              <w:rPr>
                <w:webHidden/>
              </w:rPr>
              <w:tab/>
            </w:r>
            <w:r w:rsidR="00EF4F04" w:rsidRPr="00295DE7">
              <w:rPr>
                <w:webHidden/>
              </w:rPr>
              <w:fldChar w:fldCharType="begin"/>
            </w:r>
            <w:r w:rsidR="00EF4F04" w:rsidRPr="00295DE7">
              <w:rPr>
                <w:webHidden/>
              </w:rPr>
              <w:instrText xml:space="preserve"> PAGEREF _Toc216353023 \h </w:instrText>
            </w:r>
            <w:r w:rsidR="00EF4F04" w:rsidRPr="00295DE7">
              <w:rPr>
                <w:webHidden/>
              </w:rPr>
            </w:r>
            <w:r w:rsidR="00EF4F04" w:rsidRPr="00295DE7">
              <w:rPr>
                <w:webHidden/>
              </w:rPr>
              <w:fldChar w:fldCharType="separate"/>
            </w:r>
            <w:r w:rsidR="007C4E2D">
              <w:rPr>
                <w:webHidden/>
              </w:rPr>
              <w:t>20</w:t>
            </w:r>
            <w:r w:rsidR="00EF4F04" w:rsidRPr="00295DE7">
              <w:rPr>
                <w:webHidden/>
              </w:rPr>
              <w:fldChar w:fldCharType="end"/>
            </w:r>
          </w:hyperlink>
        </w:p>
        <w:p w14:paraId="02EFADC1" w14:textId="77777777" w:rsidR="00EF4F04" w:rsidRPr="00295DE7" w:rsidRDefault="008E2B97">
          <w:pPr>
            <w:pStyle w:val="TDC2"/>
            <w:rPr>
              <w:rFonts w:asciiTheme="minorHAnsi" w:eastAsiaTheme="minorEastAsia" w:hAnsiTheme="minorHAnsi" w:cstheme="minorBidi"/>
              <w:color w:val="auto"/>
              <w:lang w:eastAsia="es-MX"/>
            </w:rPr>
          </w:pPr>
          <w:hyperlink w:anchor="_Toc216353024" w:history="1">
            <w:r w:rsidR="00EF4F04" w:rsidRPr="00295DE7">
              <w:rPr>
                <w:rStyle w:val="Hipervnculo"/>
              </w:rPr>
              <w:t>SEGUNDO. Causales de improcedencia y sobreseimiento</w:t>
            </w:r>
            <w:r w:rsidR="00EF4F04" w:rsidRPr="00295DE7">
              <w:rPr>
                <w:webHidden/>
              </w:rPr>
              <w:tab/>
            </w:r>
            <w:r w:rsidR="00EF4F04" w:rsidRPr="00295DE7">
              <w:rPr>
                <w:webHidden/>
              </w:rPr>
              <w:fldChar w:fldCharType="begin"/>
            </w:r>
            <w:r w:rsidR="00EF4F04" w:rsidRPr="00295DE7">
              <w:rPr>
                <w:webHidden/>
              </w:rPr>
              <w:instrText xml:space="preserve"> PAGEREF _Toc216353024 \h </w:instrText>
            </w:r>
            <w:r w:rsidR="00EF4F04" w:rsidRPr="00295DE7">
              <w:rPr>
                <w:webHidden/>
              </w:rPr>
            </w:r>
            <w:r w:rsidR="00EF4F04" w:rsidRPr="00295DE7">
              <w:rPr>
                <w:webHidden/>
              </w:rPr>
              <w:fldChar w:fldCharType="separate"/>
            </w:r>
            <w:r w:rsidR="007C4E2D">
              <w:rPr>
                <w:webHidden/>
              </w:rPr>
              <w:t>20</w:t>
            </w:r>
            <w:r w:rsidR="00EF4F04" w:rsidRPr="00295DE7">
              <w:rPr>
                <w:webHidden/>
              </w:rPr>
              <w:fldChar w:fldCharType="end"/>
            </w:r>
          </w:hyperlink>
        </w:p>
        <w:p w14:paraId="3FE965C8" w14:textId="77777777" w:rsidR="00EF4F04" w:rsidRPr="00295DE7" w:rsidRDefault="008E2B97">
          <w:pPr>
            <w:pStyle w:val="TDC2"/>
            <w:rPr>
              <w:rFonts w:asciiTheme="minorHAnsi" w:eastAsiaTheme="minorEastAsia" w:hAnsiTheme="minorHAnsi" w:cstheme="minorBidi"/>
              <w:color w:val="auto"/>
              <w:lang w:eastAsia="es-MX"/>
            </w:rPr>
          </w:pPr>
          <w:hyperlink w:anchor="_Toc216353025" w:history="1">
            <w:r w:rsidR="00EF4F04" w:rsidRPr="00295DE7">
              <w:rPr>
                <w:rStyle w:val="Hipervnculo"/>
              </w:rPr>
              <w:t>TERCERO. Determinación de la Controversia</w:t>
            </w:r>
            <w:r w:rsidR="00EF4F04" w:rsidRPr="00295DE7">
              <w:rPr>
                <w:webHidden/>
              </w:rPr>
              <w:tab/>
            </w:r>
            <w:r w:rsidR="00EF4F04" w:rsidRPr="00295DE7">
              <w:rPr>
                <w:webHidden/>
              </w:rPr>
              <w:fldChar w:fldCharType="begin"/>
            </w:r>
            <w:r w:rsidR="00EF4F04" w:rsidRPr="00295DE7">
              <w:rPr>
                <w:webHidden/>
              </w:rPr>
              <w:instrText xml:space="preserve"> PAGEREF _Toc216353025 \h </w:instrText>
            </w:r>
            <w:r w:rsidR="00EF4F04" w:rsidRPr="00295DE7">
              <w:rPr>
                <w:webHidden/>
              </w:rPr>
            </w:r>
            <w:r w:rsidR="00EF4F04" w:rsidRPr="00295DE7">
              <w:rPr>
                <w:webHidden/>
              </w:rPr>
              <w:fldChar w:fldCharType="separate"/>
            </w:r>
            <w:r w:rsidR="007C4E2D">
              <w:rPr>
                <w:webHidden/>
              </w:rPr>
              <w:t>22</w:t>
            </w:r>
            <w:r w:rsidR="00EF4F04" w:rsidRPr="00295DE7">
              <w:rPr>
                <w:webHidden/>
              </w:rPr>
              <w:fldChar w:fldCharType="end"/>
            </w:r>
          </w:hyperlink>
        </w:p>
        <w:p w14:paraId="77F28AFD" w14:textId="77777777" w:rsidR="00EF4F04" w:rsidRPr="00295DE7" w:rsidRDefault="008E2B97">
          <w:pPr>
            <w:pStyle w:val="TDC2"/>
            <w:rPr>
              <w:rFonts w:asciiTheme="minorHAnsi" w:eastAsiaTheme="minorEastAsia" w:hAnsiTheme="minorHAnsi" w:cstheme="minorBidi"/>
              <w:color w:val="auto"/>
              <w:lang w:eastAsia="es-MX"/>
            </w:rPr>
          </w:pPr>
          <w:hyperlink w:anchor="_Toc216353026" w:history="1">
            <w:r w:rsidR="00EF4F04" w:rsidRPr="00295DE7">
              <w:rPr>
                <w:rStyle w:val="Hipervnculo"/>
              </w:rPr>
              <w:t>CUARTO. Marco normativo aplicable en materia de transparencia y acceso a la información pública</w:t>
            </w:r>
            <w:r w:rsidR="00EF4F04" w:rsidRPr="00295DE7">
              <w:rPr>
                <w:webHidden/>
              </w:rPr>
              <w:tab/>
            </w:r>
            <w:r w:rsidR="00EF4F04" w:rsidRPr="00295DE7">
              <w:rPr>
                <w:webHidden/>
              </w:rPr>
              <w:fldChar w:fldCharType="begin"/>
            </w:r>
            <w:r w:rsidR="00EF4F04" w:rsidRPr="00295DE7">
              <w:rPr>
                <w:webHidden/>
              </w:rPr>
              <w:instrText xml:space="preserve"> PAGEREF _Toc216353026 \h </w:instrText>
            </w:r>
            <w:r w:rsidR="00EF4F04" w:rsidRPr="00295DE7">
              <w:rPr>
                <w:webHidden/>
              </w:rPr>
            </w:r>
            <w:r w:rsidR="00EF4F04" w:rsidRPr="00295DE7">
              <w:rPr>
                <w:webHidden/>
              </w:rPr>
              <w:fldChar w:fldCharType="separate"/>
            </w:r>
            <w:r w:rsidR="007C4E2D">
              <w:rPr>
                <w:webHidden/>
              </w:rPr>
              <w:t>28</w:t>
            </w:r>
            <w:r w:rsidR="00EF4F04" w:rsidRPr="00295DE7">
              <w:rPr>
                <w:webHidden/>
              </w:rPr>
              <w:fldChar w:fldCharType="end"/>
            </w:r>
          </w:hyperlink>
        </w:p>
        <w:p w14:paraId="2ECAFAE1" w14:textId="77777777" w:rsidR="00EF4F04" w:rsidRPr="00295DE7" w:rsidRDefault="008E2B97">
          <w:pPr>
            <w:pStyle w:val="TDC2"/>
            <w:rPr>
              <w:rFonts w:asciiTheme="minorHAnsi" w:eastAsiaTheme="minorEastAsia" w:hAnsiTheme="minorHAnsi" w:cstheme="minorBidi"/>
              <w:color w:val="auto"/>
              <w:lang w:eastAsia="es-MX"/>
            </w:rPr>
          </w:pPr>
          <w:hyperlink w:anchor="_Toc216353027" w:history="1">
            <w:r w:rsidR="00EF4F04" w:rsidRPr="00295DE7">
              <w:rPr>
                <w:rStyle w:val="Hipervnculo"/>
              </w:rPr>
              <w:t>QUINTO. Estudio de Fondo</w:t>
            </w:r>
            <w:r w:rsidR="00EF4F04" w:rsidRPr="00295DE7">
              <w:rPr>
                <w:webHidden/>
              </w:rPr>
              <w:tab/>
            </w:r>
            <w:r w:rsidR="00EF4F04" w:rsidRPr="00295DE7">
              <w:rPr>
                <w:webHidden/>
              </w:rPr>
              <w:fldChar w:fldCharType="begin"/>
            </w:r>
            <w:r w:rsidR="00EF4F04" w:rsidRPr="00295DE7">
              <w:rPr>
                <w:webHidden/>
              </w:rPr>
              <w:instrText xml:space="preserve"> PAGEREF _Toc216353027 \h </w:instrText>
            </w:r>
            <w:r w:rsidR="00EF4F04" w:rsidRPr="00295DE7">
              <w:rPr>
                <w:webHidden/>
              </w:rPr>
            </w:r>
            <w:r w:rsidR="00EF4F04" w:rsidRPr="00295DE7">
              <w:rPr>
                <w:webHidden/>
              </w:rPr>
              <w:fldChar w:fldCharType="separate"/>
            </w:r>
            <w:r w:rsidR="007C4E2D">
              <w:rPr>
                <w:webHidden/>
              </w:rPr>
              <w:t>29</w:t>
            </w:r>
            <w:r w:rsidR="00EF4F04" w:rsidRPr="00295DE7">
              <w:rPr>
                <w:webHidden/>
              </w:rPr>
              <w:fldChar w:fldCharType="end"/>
            </w:r>
          </w:hyperlink>
        </w:p>
        <w:p w14:paraId="3C076407" w14:textId="77777777" w:rsidR="00EF4F04" w:rsidRPr="00295DE7" w:rsidRDefault="008E2B97">
          <w:pPr>
            <w:pStyle w:val="TDC2"/>
            <w:rPr>
              <w:rFonts w:asciiTheme="minorHAnsi" w:eastAsiaTheme="minorEastAsia" w:hAnsiTheme="minorHAnsi" w:cstheme="minorBidi"/>
              <w:color w:val="auto"/>
              <w:lang w:eastAsia="es-MX"/>
            </w:rPr>
          </w:pPr>
          <w:hyperlink w:anchor="_Toc216353028" w:history="1">
            <w:r w:rsidR="00EF4F04" w:rsidRPr="00295DE7">
              <w:rPr>
                <w:rStyle w:val="Hipervnculo"/>
              </w:rPr>
              <w:t>SEXTO. Decisión</w:t>
            </w:r>
            <w:r w:rsidR="00EF4F04" w:rsidRPr="00295DE7">
              <w:rPr>
                <w:webHidden/>
              </w:rPr>
              <w:tab/>
            </w:r>
            <w:r w:rsidR="00EF4F04" w:rsidRPr="00295DE7">
              <w:rPr>
                <w:webHidden/>
              </w:rPr>
              <w:fldChar w:fldCharType="begin"/>
            </w:r>
            <w:r w:rsidR="00EF4F04" w:rsidRPr="00295DE7">
              <w:rPr>
                <w:webHidden/>
              </w:rPr>
              <w:instrText xml:space="preserve"> PAGEREF _Toc216353028 \h </w:instrText>
            </w:r>
            <w:r w:rsidR="00EF4F04" w:rsidRPr="00295DE7">
              <w:rPr>
                <w:webHidden/>
              </w:rPr>
            </w:r>
            <w:r w:rsidR="00EF4F04" w:rsidRPr="00295DE7">
              <w:rPr>
                <w:webHidden/>
              </w:rPr>
              <w:fldChar w:fldCharType="separate"/>
            </w:r>
            <w:r w:rsidR="007C4E2D">
              <w:rPr>
                <w:webHidden/>
              </w:rPr>
              <w:t>61</w:t>
            </w:r>
            <w:r w:rsidR="00EF4F04" w:rsidRPr="00295DE7">
              <w:rPr>
                <w:webHidden/>
              </w:rPr>
              <w:fldChar w:fldCharType="end"/>
            </w:r>
          </w:hyperlink>
        </w:p>
        <w:p w14:paraId="029535AA" w14:textId="77777777" w:rsidR="00EF4F04" w:rsidRPr="00060463" w:rsidRDefault="008E2B97">
          <w:pPr>
            <w:pStyle w:val="TDC1"/>
            <w:tabs>
              <w:tab w:val="right" w:leader="dot" w:pos="8921"/>
            </w:tabs>
            <w:rPr>
              <w:rFonts w:asciiTheme="minorHAnsi" w:eastAsiaTheme="minorEastAsia" w:hAnsiTheme="minorHAnsi" w:cstheme="minorBidi"/>
              <w:noProof/>
              <w:color w:val="auto"/>
            </w:rPr>
          </w:pPr>
          <w:hyperlink w:anchor="_Toc216353029" w:history="1">
            <w:r w:rsidR="00EF4F04" w:rsidRPr="00295DE7">
              <w:rPr>
                <w:rStyle w:val="Hipervnculo"/>
                <w:noProof/>
              </w:rPr>
              <w:t>R E S U E L V E</w:t>
            </w:r>
            <w:r w:rsidR="00EF4F04" w:rsidRPr="00295DE7">
              <w:rPr>
                <w:noProof/>
                <w:webHidden/>
              </w:rPr>
              <w:tab/>
            </w:r>
            <w:r w:rsidR="00EF4F04" w:rsidRPr="00295DE7">
              <w:rPr>
                <w:noProof/>
                <w:webHidden/>
              </w:rPr>
              <w:fldChar w:fldCharType="begin"/>
            </w:r>
            <w:r w:rsidR="00EF4F04" w:rsidRPr="00295DE7">
              <w:rPr>
                <w:noProof/>
                <w:webHidden/>
              </w:rPr>
              <w:instrText xml:space="preserve"> PAGEREF _Toc216353029 \h </w:instrText>
            </w:r>
            <w:r w:rsidR="00EF4F04" w:rsidRPr="00295DE7">
              <w:rPr>
                <w:noProof/>
                <w:webHidden/>
              </w:rPr>
            </w:r>
            <w:r w:rsidR="00EF4F04" w:rsidRPr="00295DE7">
              <w:rPr>
                <w:noProof/>
                <w:webHidden/>
              </w:rPr>
              <w:fldChar w:fldCharType="separate"/>
            </w:r>
            <w:r w:rsidR="007C4E2D">
              <w:rPr>
                <w:noProof/>
                <w:webHidden/>
              </w:rPr>
              <w:t>62</w:t>
            </w:r>
            <w:r w:rsidR="00EF4F04" w:rsidRPr="00295DE7">
              <w:rPr>
                <w:noProof/>
                <w:webHidden/>
              </w:rPr>
              <w:fldChar w:fldCharType="end"/>
            </w:r>
          </w:hyperlink>
        </w:p>
        <w:p w14:paraId="5B9D6C11" w14:textId="18C76AFF" w:rsidR="00C4052B" w:rsidRPr="00060463" w:rsidRDefault="00C4052B" w:rsidP="00D7021E">
          <w:pPr>
            <w:spacing w:after="0" w:line="360" w:lineRule="auto"/>
          </w:pPr>
          <w:r w:rsidRPr="00060463">
            <w:rPr>
              <w:b/>
              <w:bCs/>
              <w:lang w:val="es-ES"/>
            </w:rPr>
            <w:fldChar w:fldCharType="end"/>
          </w:r>
        </w:p>
      </w:sdtContent>
    </w:sdt>
    <w:p w14:paraId="57481942" w14:textId="77777777" w:rsidR="00C4052B" w:rsidRPr="00060463" w:rsidRDefault="00C4052B" w:rsidP="00D7021E">
      <w:pPr>
        <w:tabs>
          <w:tab w:val="left" w:pos="8931"/>
        </w:tabs>
        <w:spacing w:after="0" w:line="360" w:lineRule="auto"/>
      </w:pPr>
    </w:p>
    <w:p w14:paraId="411B5995" w14:textId="77777777" w:rsidR="00C4052B" w:rsidRPr="00060463" w:rsidRDefault="00C4052B" w:rsidP="00D7021E">
      <w:pPr>
        <w:tabs>
          <w:tab w:val="left" w:pos="8931"/>
        </w:tabs>
        <w:spacing w:after="0" w:line="360" w:lineRule="auto"/>
      </w:pPr>
    </w:p>
    <w:p w14:paraId="6784625D" w14:textId="77777777" w:rsidR="00C4052B" w:rsidRPr="00060463" w:rsidRDefault="00C4052B" w:rsidP="00D7021E">
      <w:pPr>
        <w:tabs>
          <w:tab w:val="left" w:pos="8931"/>
        </w:tabs>
        <w:spacing w:after="0" w:line="360" w:lineRule="auto"/>
      </w:pPr>
    </w:p>
    <w:p w14:paraId="140888DD" w14:textId="77777777" w:rsidR="00C4052B" w:rsidRPr="00060463" w:rsidRDefault="00C4052B" w:rsidP="00D7021E">
      <w:pPr>
        <w:tabs>
          <w:tab w:val="left" w:pos="8931"/>
        </w:tabs>
        <w:spacing w:after="0" w:line="360" w:lineRule="auto"/>
      </w:pPr>
    </w:p>
    <w:p w14:paraId="7F38981D" w14:textId="77777777" w:rsidR="00A55E82" w:rsidRPr="00060463" w:rsidRDefault="00A55E82" w:rsidP="00D7021E">
      <w:pPr>
        <w:tabs>
          <w:tab w:val="left" w:pos="8931"/>
        </w:tabs>
        <w:spacing w:after="0" w:line="360" w:lineRule="auto"/>
      </w:pPr>
    </w:p>
    <w:p w14:paraId="4A7AF493" w14:textId="77777777" w:rsidR="00612916" w:rsidRPr="00060463" w:rsidRDefault="00612916" w:rsidP="00D7021E">
      <w:pPr>
        <w:tabs>
          <w:tab w:val="left" w:pos="8931"/>
        </w:tabs>
        <w:spacing w:after="0" w:line="360" w:lineRule="auto"/>
      </w:pPr>
    </w:p>
    <w:p w14:paraId="69EF0622" w14:textId="77777777" w:rsidR="002136F6" w:rsidRPr="00060463" w:rsidRDefault="002136F6" w:rsidP="00D7021E">
      <w:pPr>
        <w:tabs>
          <w:tab w:val="left" w:pos="8931"/>
        </w:tabs>
        <w:spacing w:after="0" w:line="360" w:lineRule="auto"/>
      </w:pPr>
    </w:p>
    <w:p w14:paraId="3FB7EB5E" w14:textId="475F3189" w:rsidR="005C690F" w:rsidRPr="00060463" w:rsidRDefault="007D6307" w:rsidP="00D7021E">
      <w:pPr>
        <w:tabs>
          <w:tab w:val="left" w:pos="8931"/>
        </w:tabs>
        <w:spacing w:after="0" w:line="360" w:lineRule="auto"/>
      </w:pPr>
      <w:r w:rsidRPr="00060463">
        <w:lastRenderedPageBreak/>
        <w:t xml:space="preserve">Resolución del Pleno del Instituto de Transparencia, Acceso a la Información Pública y Protección de Datos Personales del Estado de México y Municipios, con domicilio en Metepec, Estado de México, de </w:t>
      </w:r>
      <w:r w:rsidR="00EF0C39" w:rsidRPr="00060463">
        <w:t xml:space="preserve">fecha </w:t>
      </w:r>
      <w:r w:rsidR="002136F6" w:rsidRPr="00060463">
        <w:t>diecisiete</w:t>
      </w:r>
      <w:r w:rsidR="00807B1F" w:rsidRPr="00060463">
        <w:t xml:space="preserve"> de diciembre</w:t>
      </w:r>
      <w:r w:rsidR="00CF7AA5" w:rsidRPr="00060463">
        <w:t xml:space="preserve"> </w:t>
      </w:r>
      <w:r w:rsidR="00945CB8" w:rsidRPr="00060463">
        <w:t>de dos mil veintic</w:t>
      </w:r>
      <w:r w:rsidR="00C11A18" w:rsidRPr="00060463">
        <w:t>inco</w:t>
      </w:r>
      <w:r w:rsidRPr="00060463">
        <w:t xml:space="preserve">. </w:t>
      </w:r>
    </w:p>
    <w:p w14:paraId="0DCD3B82" w14:textId="77777777" w:rsidR="005C690F" w:rsidRPr="00060463" w:rsidRDefault="005C690F" w:rsidP="00D7021E">
      <w:pPr>
        <w:spacing w:after="0" w:line="360" w:lineRule="auto"/>
        <w:rPr>
          <w:b/>
        </w:rPr>
      </w:pPr>
    </w:p>
    <w:p w14:paraId="1570B336" w14:textId="482A6192" w:rsidR="005C690F" w:rsidRPr="00060463" w:rsidRDefault="007D6307" w:rsidP="00D7021E">
      <w:pPr>
        <w:spacing w:after="0" w:line="360" w:lineRule="auto"/>
        <w:rPr>
          <w:color w:val="0D0D0D"/>
        </w:rPr>
      </w:pPr>
      <w:r w:rsidRPr="00060463">
        <w:rPr>
          <w:b/>
        </w:rPr>
        <w:t xml:space="preserve">VISTO </w:t>
      </w:r>
      <w:r w:rsidRPr="00060463">
        <w:t>el expediente elect</w:t>
      </w:r>
      <w:r w:rsidR="00ED4B8D" w:rsidRPr="00060463">
        <w:t>rónico conformado con motivo de los</w:t>
      </w:r>
      <w:r w:rsidRPr="00060463">
        <w:t xml:space="preserve"> Recurso</w:t>
      </w:r>
      <w:r w:rsidR="00ED4B8D" w:rsidRPr="00060463">
        <w:t>s</w:t>
      </w:r>
      <w:r w:rsidRPr="00060463">
        <w:t xml:space="preserve"> de Revisión </w:t>
      </w:r>
      <w:r w:rsidR="002136F6" w:rsidRPr="009D0E1A">
        <w:rPr>
          <w:b/>
          <w:bCs/>
        </w:rPr>
        <w:t>11196</w:t>
      </w:r>
      <w:r w:rsidR="000D392E" w:rsidRPr="009D0E1A">
        <w:rPr>
          <w:b/>
          <w:bCs/>
        </w:rPr>
        <w:t>/INFOEM/IP/RR/2025</w:t>
      </w:r>
      <w:r w:rsidR="00F8299C" w:rsidRPr="009D0E1A">
        <w:rPr>
          <w:b/>
          <w:bCs/>
        </w:rPr>
        <w:t xml:space="preserve">, </w:t>
      </w:r>
      <w:r w:rsidR="002136F6" w:rsidRPr="009D0E1A">
        <w:rPr>
          <w:b/>
          <w:bCs/>
        </w:rPr>
        <w:t>11197/INFOEM/IP/RR/2025, 11198/INFOEM/IP/RR/2025, 11199/INFOEM/IP/RR/2025 y 11200/INFOEM/IP/RR/2025</w:t>
      </w:r>
      <w:r w:rsidRPr="00060463">
        <w:rPr>
          <w:bCs/>
        </w:rPr>
        <w:t>, interpuesto</w:t>
      </w:r>
      <w:r w:rsidR="002136F6" w:rsidRPr="00060463">
        <w:rPr>
          <w:bCs/>
        </w:rPr>
        <w:t>s</w:t>
      </w:r>
      <w:r w:rsidRPr="00060463">
        <w:rPr>
          <w:bCs/>
        </w:rPr>
        <w:t xml:space="preserve"> </w:t>
      </w:r>
      <w:r w:rsidR="008415EA" w:rsidRPr="00060463">
        <w:rPr>
          <w:bCs/>
        </w:rPr>
        <w:t>por</w:t>
      </w:r>
      <w:r w:rsidR="008E2B97">
        <w:rPr>
          <w:b/>
          <w:bCs/>
        </w:rPr>
        <w:t xml:space="preserve"> </w:t>
      </w:r>
      <w:r w:rsidR="008E2B97" w:rsidRPr="008E2B97">
        <w:rPr>
          <w:b/>
          <w:bCs/>
          <w:highlight w:val="black"/>
        </w:rPr>
        <w:t>XXXXXXXXX XXX</w:t>
      </w:r>
      <w:bookmarkStart w:id="0" w:name="_GoBack"/>
      <w:bookmarkEnd w:id="0"/>
      <w:r w:rsidR="002136F6" w:rsidRPr="00060463">
        <w:rPr>
          <w:bCs/>
        </w:rPr>
        <w:t xml:space="preserve">, quien será </w:t>
      </w:r>
      <w:r w:rsidR="00D906B2" w:rsidRPr="00060463">
        <w:rPr>
          <w:bCs/>
        </w:rPr>
        <w:t>la persona</w:t>
      </w:r>
      <w:r w:rsidRPr="00060463">
        <w:rPr>
          <w:bCs/>
        </w:rPr>
        <w:t xml:space="preserve"> </w:t>
      </w:r>
      <w:r w:rsidRPr="00060463">
        <w:rPr>
          <w:bCs/>
          <w:color w:val="0D0D0D"/>
        </w:rPr>
        <w:t>Recurrente o Particular, en contra de la respuesta del Sujeto Obligado</w:t>
      </w:r>
      <w:r w:rsidR="00705FBB" w:rsidRPr="00060463">
        <w:rPr>
          <w:bCs/>
          <w:color w:val="0D0D0D"/>
        </w:rPr>
        <w:t xml:space="preserve">, </w:t>
      </w:r>
      <w:r w:rsidR="008246F7" w:rsidRPr="009D0E1A">
        <w:rPr>
          <w:b/>
        </w:rPr>
        <w:t>Ayuntamiento d</w:t>
      </w:r>
      <w:r w:rsidR="000B40C7" w:rsidRPr="009D0E1A">
        <w:rPr>
          <w:b/>
        </w:rPr>
        <w:t xml:space="preserve">e </w:t>
      </w:r>
      <w:r w:rsidR="002136F6" w:rsidRPr="009D0E1A">
        <w:rPr>
          <w:b/>
        </w:rPr>
        <w:t>Rayón</w:t>
      </w:r>
      <w:r w:rsidR="00EF0C39" w:rsidRPr="00060463">
        <w:rPr>
          <w:bCs/>
        </w:rPr>
        <w:t>,</w:t>
      </w:r>
      <w:r w:rsidRPr="00060463">
        <w:rPr>
          <w:bCs/>
          <w:color w:val="0D0D0D"/>
        </w:rPr>
        <w:t xml:space="preserve"> </w:t>
      </w:r>
      <w:r w:rsidRPr="00060463">
        <w:rPr>
          <w:color w:val="0D0D0D"/>
        </w:rPr>
        <w:t>a la</w:t>
      </w:r>
      <w:r w:rsidR="00ED4B8D" w:rsidRPr="00060463">
        <w:rPr>
          <w:color w:val="0D0D0D"/>
        </w:rPr>
        <w:t>s</w:t>
      </w:r>
      <w:r w:rsidRPr="00060463">
        <w:rPr>
          <w:color w:val="0D0D0D"/>
        </w:rPr>
        <w:t xml:space="preserve"> solicitud</w:t>
      </w:r>
      <w:r w:rsidR="00ED4B8D" w:rsidRPr="00060463">
        <w:rPr>
          <w:color w:val="0D0D0D"/>
        </w:rPr>
        <w:t>es</w:t>
      </w:r>
      <w:r w:rsidRPr="00060463">
        <w:rPr>
          <w:color w:val="0D0D0D"/>
        </w:rPr>
        <w:t xml:space="preserve"> de acceso a la información pública</w:t>
      </w:r>
      <w:r w:rsidR="00800641" w:rsidRPr="00060463">
        <w:rPr>
          <w:color w:val="0D0D0D"/>
        </w:rPr>
        <w:t xml:space="preserve"> </w:t>
      </w:r>
      <w:r w:rsidR="008A3205" w:rsidRPr="00060463">
        <w:t>0</w:t>
      </w:r>
      <w:r w:rsidR="002136F6" w:rsidRPr="00060463">
        <w:t>0067</w:t>
      </w:r>
      <w:r w:rsidR="008A3205" w:rsidRPr="00060463">
        <w:t>/</w:t>
      </w:r>
      <w:r w:rsidR="002136F6" w:rsidRPr="00060463">
        <w:t>RAYON</w:t>
      </w:r>
      <w:r w:rsidR="008A3205" w:rsidRPr="00060463">
        <w:t>/IP/2025,</w:t>
      </w:r>
      <w:r w:rsidR="002136F6" w:rsidRPr="00060463">
        <w:t xml:space="preserve"> 00068/RAYON/IP/2025, 00069/RAYON/IP/2025, 00070/RAYON/IP/2025 y 00071/RAYON/IP/2025</w:t>
      </w:r>
      <w:r w:rsidRPr="00060463">
        <w:rPr>
          <w:color w:val="000000"/>
        </w:rPr>
        <w:t xml:space="preserve">, </w:t>
      </w:r>
      <w:r w:rsidRPr="00060463">
        <w:rPr>
          <w:color w:val="0D0D0D"/>
        </w:rPr>
        <w:t>se emite la presente Resolución, con base en los Antecedentes y Considerandos que se exponen a continuación:</w:t>
      </w:r>
    </w:p>
    <w:p w14:paraId="1F97CEF3" w14:textId="77777777" w:rsidR="005C690F" w:rsidRPr="00060463" w:rsidRDefault="005C690F" w:rsidP="00D7021E">
      <w:pPr>
        <w:spacing w:after="0" w:line="360" w:lineRule="auto"/>
        <w:rPr>
          <w:b/>
        </w:rPr>
      </w:pPr>
    </w:p>
    <w:p w14:paraId="1DEAF9D3" w14:textId="24D35555" w:rsidR="005C690F" w:rsidRPr="00060463" w:rsidRDefault="00CD6238" w:rsidP="00D7021E">
      <w:pPr>
        <w:pStyle w:val="Ttulo1"/>
        <w:spacing w:before="0" w:after="0" w:line="360" w:lineRule="auto"/>
        <w:jc w:val="center"/>
        <w:rPr>
          <w:sz w:val="22"/>
          <w:szCs w:val="22"/>
        </w:rPr>
      </w:pPr>
      <w:bookmarkStart w:id="1" w:name="_Toc216353016"/>
      <w:r w:rsidRPr="00060463">
        <w:rPr>
          <w:sz w:val="22"/>
          <w:szCs w:val="22"/>
        </w:rPr>
        <w:t>A N T E C E D E N T E S</w:t>
      </w:r>
      <w:bookmarkEnd w:id="1"/>
    </w:p>
    <w:p w14:paraId="5A7EDA4F" w14:textId="77777777" w:rsidR="005C690F" w:rsidRPr="00060463" w:rsidRDefault="005C690F" w:rsidP="00D7021E">
      <w:pPr>
        <w:spacing w:after="0" w:line="360" w:lineRule="auto"/>
        <w:jc w:val="center"/>
        <w:rPr>
          <w:b/>
        </w:rPr>
      </w:pPr>
    </w:p>
    <w:p w14:paraId="4930DAB9" w14:textId="701611A7" w:rsidR="00E22EA8" w:rsidRPr="00060463" w:rsidRDefault="009215C2" w:rsidP="00D7021E">
      <w:pPr>
        <w:pStyle w:val="Ttulo2"/>
        <w:spacing w:before="0" w:after="0" w:line="360" w:lineRule="auto"/>
        <w:rPr>
          <w:sz w:val="22"/>
          <w:szCs w:val="22"/>
          <w:lang w:eastAsia="es-ES"/>
        </w:rPr>
      </w:pPr>
      <w:bookmarkStart w:id="2" w:name="_Toc216353017"/>
      <w:r w:rsidRPr="00060463">
        <w:rPr>
          <w:sz w:val="22"/>
          <w:szCs w:val="22"/>
          <w:lang w:eastAsia="es-ES"/>
        </w:rPr>
        <w:t xml:space="preserve">I. </w:t>
      </w:r>
      <w:r w:rsidR="00E22EA8" w:rsidRPr="00060463">
        <w:rPr>
          <w:sz w:val="22"/>
          <w:szCs w:val="22"/>
          <w:lang w:eastAsia="es-ES"/>
        </w:rPr>
        <w:t>Presentación de la solicitud de información</w:t>
      </w:r>
      <w:bookmarkEnd w:id="2"/>
    </w:p>
    <w:p w14:paraId="63A20E25" w14:textId="77777777" w:rsidR="009215C2" w:rsidRPr="00060463" w:rsidRDefault="009215C2" w:rsidP="00D7021E">
      <w:pPr>
        <w:tabs>
          <w:tab w:val="left" w:pos="567"/>
        </w:tabs>
        <w:spacing w:after="0" w:line="360" w:lineRule="auto"/>
        <w:rPr>
          <w:rFonts w:eastAsia="Times New Roman" w:cs="Tahoma"/>
          <w:lang w:eastAsia="es-ES"/>
        </w:rPr>
      </w:pPr>
    </w:p>
    <w:p w14:paraId="301B8A4E" w14:textId="1AEB1EC3" w:rsidR="00E22EA8" w:rsidRPr="00060463" w:rsidRDefault="00D906B2" w:rsidP="00D7021E">
      <w:pPr>
        <w:spacing w:after="0" w:line="360" w:lineRule="auto"/>
        <w:rPr>
          <w:rFonts w:eastAsia="Calibri" w:cs="Tahoma"/>
        </w:rPr>
      </w:pPr>
      <w:r w:rsidRPr="00060463">
        <w:rPr>
          <w:rFonts w:eastAsia="Times New Roman" w:cs="Tahoma"/>
          <w:lang w:eastAsia="es-ES"/>
        </w:rPr>
        <w:t>El</w:t>
      </w:r>
      <w:r w:rsidR="00D52EC1" w:rsidRPr="00060463">
        <w:rPr>
          <w:rFonts w:eastAsia="Times New Roman" w:cs="Tahoma"/>
          <w:lang w:eastAsia="es-ES"/>
        </w:rPr>
        <w:t xml:space="preserve"> </w:t>
      </w:r>
      <w:r w:rsidR="00322481" w:rsidRPr="00060463">
        <w:rPr>
          <w:rFonts w:eastAsia="Times New Roman" w:cs="Tahoma"/>
          <w:lang w:eastAsia="es-ES"/>
        </w:rPr>
        <w:t>veintiséis de agosto</w:t>
      </w:r>
      <w:r w:rsidR="00A41789" w:rsidRPr="00060463">
        <w:rPr>
          <w:rFonts w:eastAsia="Times New Roman" w:cs="Tahoma"/>
          <w:lang w:eastAsia="es-ES"/>
        </w:rPr>
        <w:t xml:space="preserve"> </w:t>
      </w:r>
      <w:r w:rsidR="008E0DC4" w:rsidRPr="00060463">
        <w:rPr>
          <w:rFonts w:eastAsia="Times New Roman" w:cs="Tahoma"/>
          <w:lang w:eastAsia="es-ES"/>
        </w:rPr>
        <w:t>de dos mil veinticinco</w:t>
      </w:r>
      <w:r w:rsidR="00BF362A" w:rsidRPr="00060463">
        <w:rPr>
          <w:rFonts w:eastAsia="Times New Roman" w:cs="Tahoma"/>
          <w:lang w:eastAsia="es-ES"/>
        </w:rPr>
        <w:t xml:space="preserve">, </w:t>
      </w:r>
      <w:r w:rsidR="000A7895" w:rsidRPr="00060463">
        <w:rPr>
          <w:rFonts w:eastAsia="Times New Roman" w:cs="Tahoma"/>
          <w:lang w:eastAsia="es-ES"/>
        </w:rPr>
        <w:t xml:space="preserve">el Particular presentó </w:t>
      </w:r>
      <w:r w:rsidR="00322481" w:rsidRPr="00060463">
        <w:rPr>
          <w:rFonts w:eastAsia="Times New Roman" w:cs="Tahoma"/>
          <w:lang w:eastAsia="es-ES"/>
        </w:rPr>
        <w:t>cinco</w:t>
      </w:r>
      <w:r w:rsidR="00E22EA8" w:rsidRPr="00060463">
        <w:rPr>
          <w:rFonts w:eastAsia="Times New Roman" w:cs="Tahoma"/>
          <w:lang w:eastAsia="es-ES"/>
        </w:rPr>
        <w:t xml:space="preserve"> solicitud</w:t>
      </w:r>
      <w:r w:rsidR="000A7895" w:rsidRPr="00060463">
        <w:rPr>
          <w:rFonts w:eastAsia="Times New Roman" w:cs="Tahoma"/>
          <w:lang w:eastAsia="es-ES"/>
        </w:rPr>
        <w:t>es</w:t>
      </w:r>
      <w:r w:rsidR="00E22EA8" w:rsidRPr="00060463">
        <w:rPr>
          <w:rFonts w:eastAsia="Times New Roman" w:cs="Tahoma"/>
          <w:lang w:eastAsia="es-ES"/>
        </w:rPr>
        <w:t xml:space="preserve"> de acceso a la información pública, a través del Sistema de Acceso a la Información Mexiquense (SAIMEX), ante</w:t>
      </w:r>
      <w:r w:rsidR="000B3C56" w:rsidRPr="00060463">
        <w:rPr>
          <w:rFonts w:eastAsia="Times New Roman" w:cs="Tahoma"/>
          <w:lang w:eastAsia="es-ES"/>
        </w:rPr>
        <w:t xml:space="preserve"> </w:t>
      </w:r>
      <w:r w:rsidR="00DC175C" w:rsidRPr="00060463">
        <w:rPr>
          <w:rFonts w:eastAsia="Times New Roman" w:cs="Tahoma"/>
          <w:lang w:eastAsia="es-ES"/>
        </w:rPr>
        <w:t>el</w:t>
      </w:r>
      <w:r w:rsidR="008246F7" w:rsidRPr="00060463">
        <w:t xml:space="preserve"> Ayuntamiento de </w:t>
      </w:r>
      <w:r w:rsidR="00322481" w:rsidRPr="00060463">
        <w:t>Rayón</w:t>
      </w:r>
      <w:r w:rsidR="008E0DC4" w:rsidRPr="00060463">
        <w:rPr>
          <w:rFonts w:eastAsia="Calibri" w:cs="Times New Roman"/>
          <w:color w:val="000000"/>
        </w:rPr>
        <w:t>,</w:t>
      </w:r>
      <w:r w:rsidR="00DC175C" w:rsidRPr="00060463">
        <w:rPr>
          <w:rFonts w:eastAsia="Calibri" w:cs="Tahoma"/>
        </w:rPr>
        <w:t xml:space="preserve"> </w:t>
      </w:r>
      <w:r w:rsidR="00E22EA8" w:rsidRPr="00060463">
        <w:rPr>
          <w:rFonts w:eastAsia="Calibri" w:cs="Tahoma"/>
        </w:rPr>
        <w:t xml:space="preserve">en los siguientes términos: </w:t>
      </w:r>
    </w:p>
    <w:p w14:paraId="2F6F83A1" w14:textId="77777777" w:rsidR="00ED4B8D" w:rsidRPr="00060463" w:rsidRDefault="00ED4B8D" w:rsidP="00D7021E">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060463"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060463" w:rsidRDefault="00ED4B8D" w:rsidP="00D7021E">
            <w:pPr>
              <w:tabs>
                <w:tab w:val="left" w:pos="567"/>
              </w:tabs>
              <w:spacing w:line="360" w:lineRule="auto"/>
              <w:ind w:right="-28"/>
              <w:contextualSpacing/>
              <w:rPr>
                <w:rFonts w:cs="Tahoma"/>
                <w:b/>
                <w:sz w:val="20"/>
                <w:szCs w:val="20"/>
              </w:rPr>
            </w:pPr>
            <w:bookmarkStart w:id="3" w:name="_Hlk168659039"/>
            <w:r w:rsidRPr="00060463">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060463" w:rsidRDefault="00ED4B8D" w:rsidP="00D7021E">
            <w:pPr>
              <w:tabs>
                <w:tab w:val="left" w:pos="567"/>
              </w:tabs>
              <w:spacing w:line="360" w:lineRule="auto"/>
              <w:contextualSpacing/>
              <w:rPr>
                <w:rFonts w:cs="Tahoma"/>
                <w:b/>
                <w:sz w:val="20"/>
                <w:szCs w:val="20"/>
              </w:rPr>
            </w:pPr>
            <w:r w:rsidRPr="00060463">
              <w:rPr>
                <w:rFonts w:cs="Tahoma"/>
                <w:b/>
                <w:sz w:val="20"/>
                <w:szCs w:val="20"/>
              </w:rPr>
              <w:t>‘’DESCRIPCIÓN CLARA Y PRECISA DE LA INFORMACIÓN SOLICITADA</w:t>
            </w:r>
          </w:p>
        </w:tc>
      </w:tr>
      <w:tr w:rsidR="00ED4B8D" w:rsidRPr="00060463"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371FC20A" w:rsidR="00ED4B8D" w:rsidRPr="00060463" w:rsidRDefault="00322481" w:rsidP="00D7021E">
            <w:pPr>
              <w:spacing w:line="360" w:lineRule="auto"/>
              <w:rPr>
                <w:b/>
                <w:bCs/>
                <w:i/>
                <w:iCs/>
                <w:sz w:val="20"/>
                <w:szCs w:val="20"/>
              </w:rPr>
            </w:pPr>
            <w:r w:rsidRPr="00060463">
              <w:rPr>
                <w:b/>
                <w:bCs/>
                <w:i/>
                <w:iCs/>
                <w:sz w:val="20"/>
                <w:szCs w:val="20"/>
              </w:rPr>
              <w:t>00067/RAYON/IP/2025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266E7C04" w:rsidR="00ED4B8D" w:rsidRPr="00060463" w:rsidRDefault="00007AF7" w:rsidP="00D7021E">
            <w:pPr>
              <w:tabs>
                <w:tab w:val="left" w:pos="567"/>
              </w:tabs>
              <w:spacing w:line="360" w:lineRule="auto"/>
              <w:contextualSpacing/>
              <w:rPr>
                <w:i/>
                <w:color w:val="000000"/>
                <w:sz w:val="20"/>
                <w:szCs w:val="20"/>
              </w:rPr>
            </w:pPr>
            <w:r w:rsidRPr="00060463">
              <w:rPr>
                <w:i/>
                <w:iCs/>
                <w:color w:val="000000"/>
                <w:sz w:val="20"/>
                <w:szCs w:val="20"/>
              </w:rPr>
              <w:t xml:space="preserve"> </w:t>
            </w:r>
            <w:r w:rsidR="00322481" w:rsidRPr="00060463">
              <w:rPr>
                <w:i/>
                <w:iCs/>
                <w:color w:val="000000"/>
                <w:sz w:val="20"/>
                <w:szCs w:val="20"/>
              </w:rPr>
              <w:t xml:space="preserve">Solicito todos los documentos que den cuenta del procedimiento de baja (despidos y renuncias) y alta (contrataciones) de personal del ayuntamiento y/o contengan información movimientos de contratación (de cualquier </w:t>
            </w:r>
            <w:r w:rsidR="00322481" w:rsidRPr="00060463">
              <w:rPr>
                <w:i/>
                <w:iCs/>
                <w:color w:val="000000"/>
                <w:sz w:val="20"/>
                <w:szCs w:val="20"/>
              </w:rPr>
              <w:lastRenderedPageBreak/>
              <w:t xml:space="preserve">modalidad: temporal, de confianza, de base, por contrato, </w:t>
            </w:r>
            <w:proofErr w:type="spellStart"/>
            <w:r w:rsidR="00322481" w:rsidRPr="00060463">
              <w:rPr>
                <w:i/>
                <w:iCs/>
                <w:color w:val="000000"/>
                <w:sz w:val="20"/>
                <w:szCs w:val="20"/>
              </w:rPr>
              <w:t>etc</w:t>
            </w:r>
            <w:proofErr w:type="spellEnd"/>
            <w:r w:rsidR="00322481" w:rsidRPr="00060463">
              <w:rPr>
                <w:i/>
                <w:iCs/>
                <w:color w:val="000000"/>
                <w:sz w:val="20"/>
                <w:szCs w:val="20"/>
              </w:rPr>
              <w:t xml:space="preserve">), despidos y renuncias de todas las áreas que integran el ayuntamiento, de enero y febrero 2025. </w:t>
            </w:r>
            <w:r w:rsidR="00947B5C" w:rsidRPr="00060463">
              <w:rPr>
                <w:i/>
                <w:iCs/>
                <w:color w:val="000000"/>
                <w:sz w:val="20"/>
                <w:szCs w:val="20"/>
              </w:rPr>
              <w:t>“(</w:t>
            </w:r>
            <w:r w:rsidR="00ED4B8D" w:rsidRPr="00060463">
              <w:rPr>
                <w:i/>
                <w:iCs/>
                <w:color w:val="000000"/>
                <w:sz w:val="20"/>
                <w:szCs w:val="20"/>
              </w:rPr>
              <w:t>Sic.)</w:t>
            </w:r>
          </w:p>
        </w:tc>
      </w:tr>
      <w:tr w:rsidR="00ED4B8D" w:rsidRPr="00060463"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4AB4B166" w:rsidR="00ED4B8D" w:rsidRPr="00060463" w:rsidRDefault="00322481" w:rsidP="00D7021E">
            <w:pPr>
              <w:spacing w:line="360" w:lineRule="auto"/>
              <w:rPr>
                <w:b/>
                <w:bCs/>
                <w:i/>
                <w:iCs/>
                <w:sz w:val="20"/>
                <w:szCs w:val="20"/>
              </w:rPr>
            </w:pPr>
            <w:r w:rsidRPr="00060463">
              <w:rPr>
                <w:b/>
                <w:bCs/>
                <w:i/>
                <w:iCs/>
                <w:sz w:val="20"/>
                <w:szCs w:val="20"/>
              </w:rPr>
              <w:lastRenderedPageBreak/>
              <w:t>00068/RAYON/IP/2025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288D9553" w:rsidR="00ED4B8D" w:rsidRPr="00060463" w:rsidRDefault="00D933BB" w:rsidP="00D7021E">
            <w:pPr>
              <w:spacing w:line="360" w:lineRule="auto"/>
              <w:rPr>
                <w:rFonts w:ascii="Times New Roman" w:hAnsi="Times New Roman"/>
                <w:color w:val="auto"/>
              </w:rPr>
            </w:pPr>
            <w:r w:rsidRPr="00060463">
              <w:rPr>
                <w:rFonts w:eastAsia="Times New Roman" w:cs="Arial"/>
                <w:bCs/>
                <w:i/>
                <w:iCs/>
                <w:sz w:val="20"/>
                <w:szCs w:val="20"/>
                <w:lang w:eastAsia="es-ES"/>
              </w:rPr>
              <w:t xml:space="preserve">Solicito todos los documentos que den cuenta del procedimiento de baja (despidos y renuncias) y alta (contrataciones) de personal del ayuntamiento y/o contengan información movimientos de contratación (de cualquier modalidad: temporal, de confianza, de base, por contrato, </w:t>
            </w:r>
            <w:proofErr w:type="spellStart"/>
            <w:r w:rsidRPr="00060463">
              <w:rPr>
                <w:rFonts w:eastAsia="Times New Roman" w:cs="Arial"/>
                <w:bCs/>
                <w:i/>
                <w:iCs/>
                <w:sz w:val="20"/>
                <w:szCs w:val="20"/>
                <w:lang w:eastAsia="es-ES"/>
              </w:rPr>
              <w:t>etc</w:t>
            </w:r>
            <w:proofErr w:type="spellEnd"/>
            <w:r w:rsidRPr="00060463">
              <w:rPr>
                <w:rFonts w:eastAsia="Times New Roman" w:cs="Arial"/>
                <w:bCs/>
                <w:i/>
                <w:iCs/>
                <w:sz w:val="20"/>
                <w:szCs w:val="20"/>
                <w:lang w:eastAsia="es-ES"/>
              </w:rPr>
              <w:t>), despidos y renuncias de todas las áreas que integran el ayuntamiento, de marzo y abril de 2025.</w:t>
            </w:r>
            <w:r w:rsidR="00ED4B8D" w:rsidRPr="00060463">
              <w:rPr>
                <w:rFonts w:eastAsia="Times New Roman" w:cs="Arial"/>
                <w:bCs/>
                <w:i/>
                <w:iCs/>
                <w:sz w:val="20"/>
                <w:szCs w:val="20"/>
                <w:lang w:eastAsia="es-ES"/>
              </w:rPr>
              <w:t>” (Sic.)</w:t>
            </w:r>
          </w:p>
        </w:tc>
      </w:tr>
      <w:tr w:rsidR="00F5625B" w:rsidRPr="00060463"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41D99504" w:rsidR="00F5625B" w:rsidRPr="00060463" w:rsidRDefault="00322481" w:rsidP="00D7021E">
            <w:pPr>
              <w:spacing w:line="360" w:lineRule="auto"/>
              <w:rPr>
                <w:b/>
                <w:bCs/>
                <w:i/>
                <w:iCs/>
                <w:sz w:val="20"/>
                <w:szCs w:val="20"/>
              </w:rPr>
            </w:pPr>
            <w:r w:rsidRPr="00060463">
              <w:rPr>
                <w:b/>
                <w:bCs/>
                <w:i/>
                <w:iCs/>
                <w:sz w:val="20"/>
                <w:szCs w:val="20"/>
              </w:rPr>
              <w:t>00069/RAYON/IP/2025</w:t>
            </w:r>
          </w:p>
        </w:tc>
        <w:tc>
          <w:tcPr>
            <w:tcW w:w="6209" w:type="dxa"/>
            <w:tcBorders>
              <w:top w:val="single" w:sz="4" w:space="0" w:color="auto"/>
              <w:left w:val="single" w:sz="4" w:space="0" w:color="auto"/>
              <w:bottom w:val="single" w:sz="4" w:space="0" w:color="auto"/>
              <w:right w:val="single" w:sz="4" w:space="0" w:color="auto"/>
            </w:tcBorders>
          </w:tcPr>
          <w:p w14:paraId="7841C509" w14:textId="4A9DAB68" w:rsidR="00F5625B" w:rsidRPr="00060463" w:rsidRDefault="00662DAE" w:rsidP="00D7021E">
            <w:pPr>
              <w:spacing w:line="360" w:lineRule="auto"/>
              <w:rPr>
                <w:rFonts w:eastAsia="Times New Roman" w:cs="Arial"/>
                <w:bCs/>
                <w:i/>
                <w:iCs/>
                <w:sz w:val="20"/>
                <w:szCs w:val="20"/>
                <w:lang w:eastAsia="es-ES"/>
              </w:rPr>
            </w:pPr>
            <w:r w:rsidRPr="00060463">
              <w:rPr>
                <w:rFonts w:eastAsia="Times New Roman" w:cs="Arial"/>
                <w:bCs/>
                <w:i/>
                <w:iCs/>
                <w:sz w:val="20"/>
                <w:szCs w:val="20"/>
                <w:lang w:eastAsia="es-ES"/>
              </w:rPr>
              <w:t xml:space="preserve">Solicito todos los documentos que den cuenta del procedimiento de baja (despidos y renuncias) y alta (contrataciones) de personal del ayuntamiento y/o contengan información movimientos de contratación (de cualquier modalidad: temporal, de confianza, de base, por contrato, </w:t>
            </w:r>
            <w:proofErr w:type="spellStart"/>
            <w:r w:rsidRPr="00060463">
              <w:rPr>
                <w:rFonts w:eastAsia="Times New Roman" w:cs="Arial"/>
                <w:bCs/>
                <w:i/>
                <w:iCs/>
                <w:sz w:val="20"/>
                <w:szCs w:val="20"/>
                <w:lang w:eastAsia="es-ES"/>
              </w:rPr>
              <w:t>etc</w:t>
            </w:r>
            <w:proofErr w:type="spellEnd"/>
            <w:r w:rsidRPr="00060463">
              <w:rPr>
                <w:rFonts w:eastAsia="Times New Roman" w:cs="Arial"/>
                <w:bCs/>
                <w:i/>
                <w:iCs/>
                <w:sz w:val="20"/>
                <w:szCs w:val="20"/>
                <w:lang w:eastAsia="es-ES"/>
              </w:rPr>
              <w:t>), despidos y renuncias de todas las áreas que integran el ayuntamiento, de mayo y junio de 2025.</w:t>
            </w:r>
            <w:r w:rsidR="00175C9A" w:rsidRPr="00060463">
              <w:rPr>
                <w:rFonts w:eastAsia="Times New Roman" w:cs="Arial"/>
                <w:bCs/>
                <w:i/>
                <w:iCs/>
                <w:sz w:val="20"/>
                <w:szCs w:val="20"/>
                <w:lang w:eastAsia="es-ES"/>
              </w:rPr>
              <w:t>” (Sic.)</w:t>
            </w:r>
          </w:p>
        </w:tc>
      </w:tr>
      <w:tr w:rsidR="00F5625B" w:rsidRPr="00060463" w14:paraId="7924851D" w14:textId="77777777" w:rsidTr="007041E5">
        <w:tc>
          <w:tcPr>
            <w:tcW w:w="2717" w:type="dxa"/>
            <w:tcBorders>
              <w:top w:val="single" w:sz="4" w:space="0" w:color="auto"/>
              <w:left w:val="single" w:sz="4" w:space="0" w:color="auto"/>
              <w:bottom w:val="single" w:sz="4" w:space="0" w:color="auto"/>
              <w:right w:val="single" w:sz="4" w:space="0" w:color="auto"/>
            </w:tcBorders>
          </w:tcPr>
          <w:p w14:paraId="45FF9E9F" w14:textId="629A1A51" w:rsidR="00F5625B" w:rsidRPr="00060463" w:rsidRDefault="00322481" w:rsidP="00D7021E">
            <w:pPr>
              <w:spacing w:line="360" w:lineRule="auto"/>
              <w:rPr>
                <w:b/>
                <w:bCs/>
                <w:i/>
                <w:iCs/>
                <w:sz w:val="20"/>
                <w:szCs w:val="20"/>
              </w:rPr>
            </w:pPr>
            <w:r w:rsidRPr="00060463">
              <w:rPr>
                <w:b/>
                <w:bCs/>
                <w:i/>
                <w:iCs/>
                <w:sz w:val="20"/>
                <w:szCs w:val="20"/>
              </w:rPr>
              <w:t>00070/RAYON/IP/2025</w:t>
            </w:r>
          </w:p>
        </w:tc>
        <w:tc>
          <w:tcPr>
            <w:tcW w:w="6209" w:type="dxa"/>
            <w:tcBorders>
              <w:top w:val="single" w:sz="4" w:space="0" w:color="auto"/>
              <w:left w:val="single" w:sz="4" w:space="0" w:color="auto"/>
              <w:bottom w:val="single" w:sz="4" w:space="0" w:color="auto"/>
              <w:right w:val="single" w:sz="4" w:space="0" w:color="auto"/>
            </w:tcBorders>
          </w:tcPr>
          <w:p w14:paraId="7A7517F1" w14:textId="07FA8F9D" w:rsidR="00F5625B" w:rsidRPr="00060463" w:rsidRDefault="003249E3" w:rsidP="00D7021E">
            <w:pPr>
              <w:spacing w:line="360" w:lineRule="auto"/>
              <w:rPr>
                <w:rFonts w:eastAsia="Times New Roman" w:cs="Arial"/>
                <w:bCs/>
                <w:i/>
                <w:iCs/>
                <w:sz w:val="20"/>
                <w:szCs w:val="20"/>
                <w:lang w:eastAsia="es-ES"/>
              </w:rPr>
            </w:pPr>
            <w:r w:rsidRPr="00060463">
              <w:rPr>
                <w:rFonts w:eastAsia="Times New Roman" w:cs="Arial"/>
                <w:bCs/>
                <w:i/>
                <w:iCs/>
                <w:sz w:val="20"/>
                <w:szCs w:val="20"/>
                <w:lang w:eastAsia="es-ES"/>
              </w:rPr>
              <w:t xml:space="preserve">Solicito todos los documentos que den cuenta del procedimiento de baja (despidos y renuncias) y alta (contrataciones) de personal del ayuntamiento y/o contengan información movimientos de contratación (de cualquier modalidad: temporal, de confianza, de base, por contrato, </w:t>
            </w:r>
            <w:proofErr w:type="spellStart"/>
            <w:r w:rsidRPr="00060463">
              <w:rPr>
                <w:rFonts w:eastAsia="Times New Roman" w:cs="Arial"/>
                <w:bCs/>
                <w:i/>
                <w:iCs/>
                <w:sz w:val="20"/>
                <w:szCs w:val="20"/>
                <w:lang w:eastAsia="es-ES"/>
              </w:rPr>
              <w:t>etc</w:t>
            </w:r>
            <w:proofErr w:type="spellEnd"/>
            <w:r w:rsidRPr="00060463">
              <w:rPr>
                <w:rFonts w:eastAsia="Times New Roman" w:cs="Arial"/>
                <w:bCs/>
                <w:i/>
                <w:iCs/>
                <w:sz w:val="20"/>
                <w:szCs w:val="20"/>
                <w:lang w:eastAsia="es-ES"/>
              </w:rPr>
              <w:t>), despidos y renuncias de todas las áreas que integran el ayuntamiento, de julio y agosto de 2025.</w:t>
            </w:r>
            <w:r w:rsidR="00175C9A" w:rsidRPr="00060463">
              <w:rPr>
                <w:rFonts w:eastAsia="Times New Roman" w:cs="Arial"/>
                <w:bCs/>
                <w:i/>
                <w:iCs/>
                <w:sz w:val="20"/>
                <w:szCs w:val="20"/>
                <w:lang w:eastAsia="es-ES"/>
              </w:rPr>
              <w:t>” (Sic.)</w:t>
            </w:r>
          </w:p>
        </w:tc>
      </w:tr>
      <w:tr w:rsidR="006A5086" w:rsidRPr="00060463" w14:paraId="479799DC" w14:textId="77777777" w:rsidTr="007041E5">
        <w:tc>
          <w:tcPr>
            <w:tcW w:w="2717" w:type="dxa"/>
            <w:tcBorders>
              <w:top w:val="single" w:sz="4" w:space="0" w:color="auto"/>
              <w:left w:val="single" w:sz="4" w:space="0" w:color="auto"/>
              <w:bottom w:val="single" w:sz="4" w:space="0" w:color="auto"/>
              <w:right w:val="single" w:sz="4" w:space="0" w:color="auto"/>
            </w:tcBorders>
          </w:tcPr>
          <w:p w14:paraId="7FB2E9D3" w14:textId="22FFA79E" w:rsidR="006A5086" w:rsidRPr="00060463" w:rsidRDefault="00322481" w:rsidP="00D7021E">
            <w:pPr>
              <w:spacing w:line="360" w:lineRule="auto"/>
              <w:rPr>
                <w:b/>
                <w:bCs/>
                <w:i/>
                <w:iCs/>
                <w:sz w:val="20"/>
                <w:szCs w:val="20"/>
              </w:rPr>
            </w:pPr>
            <w:r w:rsidRPr="00060463">
              <w:rPr>
                <w:b/>
                <w:bCs/>
                <w:i/>
                <w:iCs/>
                <w:sz w:val="20"/>
                <w:szCs w:val="20"/>
              </w:rPr>
              <w:t>00071/RAYON/IP/2025</w:t>
            </w:r>
          </w:p>
        </w:tc>
        <w:tc>
          <w:tcPr>
            <w:tcW w:w="6209" w:type="dxa"/>
            <w:tcBorders>
              <w:top w:val="single" w:sz="4" w:space="0" w:color="auto"/>
              <w:left w:val="single" w:sz="4" w:space="0" w:color="auto"/>
              <w:bottom w:val="single" w:sz="4" w:space="0" w:color="auto"/>
              <w:right w:val="single" w:sz="4" w:space="0" w:color="auto"/>
            </w:tcBorders>
          </w:tcPr>
          <w:p w14:paraId="0DC13193" w14:textId="5C384BDC" w:rsidR="006A5086" w:rsidRPr="00060463" w:rsidRDefault="00246A77" w:rsidP="00D7021E">
            <w:pPr>
              <w:spacing w:line="360" w:lineRule="auto"/>
              <w:rPr>
                <w:rFonts w:eastAsia="Times New Roman" w:cs="Arial"/>
                <w:bCs/>
                <w:i/>
                <w:iCs/>
                <w:sz w:val="20"/>
                <w:szCs w:val="20"/>
                <w:lang w:eastAsia="es-ES"/>
              </w:rPr>
            </w:pPr>
            <w:r w:rsidRPr="00060463">
              <w:rPr>
                <w:rFonts w:eastAsia="Times New Roman" w:cs="Arial"/>
                <w:bCs/>
                <w:i/>
                <w:iCs/>
                <w:sz w:val="20"/>
                <w:szCs w:val="20"/>
                <w:lang w:eastAsia="es-ES"/>
              </w:rPr>
              <w:t>Requiero los documentos que integran los procedimientos de baja (despido, renuncia) de personal del ayuntamiento de junio de 2025 a la fecha de solicitud.</w:t>
            </w:r>
            <w:r w:rsidR="00D56DB6" w:rsidRPr="00060463">
              <w:rPr>
                <w:rFonts w:eastAsia="Times New Roman" w:cs="Arial"/>
                <w:bCs/>
                <w:i/>
                <w:iCs/>
                <w:sz w:val="20"/>
                <w:szCs w:val="20"/>
                <w:lang w:eastAsia="es-ES"/>
              </w:rPr>
              <w:t>” (Sic.)</w:t>
            </w:r>
          </w:p>
        </w:tc>
      </w:tr>
      <w:bookmarkEnd w:id="3"/>
    </w:tbl>
    <w:p w14:paraId="2B959865" w14:textId="77777777" w:rsidR="00E22EA8" w:rsidRPr="00060463" w:rsidRDefault="00E22EA8" w:rsidP="00D7021E">
      <w:pPr>
        <w:spacing w:after="0" w:line="360" w:lineRule="auto"/>
        <w:rPr>
          <w:rFonts w:eastAsia="Calibri" w:cs="Tahoma"/>
        </w:rPr>
      </w:pPr>
    </w:p>
    <w:p w14:paraId="7D2A95DA" w14:textId="5F947529" w:rsidR="002207FA" w:rsidRPr="00060463" w:rsidRDefault="00947B5C" w:rsidP="00D7021E">
      <w:pPr>
        <w:spacing w:after="0" w:line="360" w:lineRule="auto"/>
        <w:rPr>
          <w:rFonts w:eastAsia="Times New Roman" w:cs="Arial"/>
          <w:bCs/>
          <w:i/>
          <w:iCs/>
          <w:lang w:eastAsia="es-ES"/>
        </w:rPr>
      </w:pPr>
      <w:r w:rsidRPr="00060463">
        <w:rPr>
          <w:rFonts w:eastAsia="Times New Roman" w:cs="Arial"/>
          <w:bCs/>
          <w:iCs/>
          <w:lang w:eastAsia="es-ES"/>
        </w:rPr>
        <w:t xml:space="preserve">Es de señalar que en las </w:t>
      </w:r>
      <w:r w:rsidR="00322481" w:rsidRPr="00060463">
        <w:rPr>
          <w:rFonts w:eastAsia="Times New Roman" w:cs="Arial"/>
          <w:bCs/>
          <w:iCs/>
          <w:lang w:eastAsia="es-ES"/>
        </w:rPr>
        <w:t>cinco</w:t>
      </w:r>
      <w:r w:rsidRPr="00060463">
        <w:rPr>
          <w:rFonts w:eastAsia="Times New Roman" w:cs="Arial"/>
          <w:bCs/>
          <w:iCs/>
          <w:lang w:eastAsia="es-ES"/>
        </w:rPr>
        <w:t xml:space="preserve"> solicitudes de acceso a la información la persona Recurrente eligió como modalidad de entrega de la información </w:t>
      </w:r>
      <w:r w:rsidRPr="00060463">
        <w:rPr>
          <w:rFonts w:eastAsia="Times New Roman" w:cs="Arial"/>
          <w:bCs/>
          <w:i/>
          <w:iCs/>
          <w:lang w:eastAsia="es-ES"/>
        </w:rPr>
        <w:t>“A través del SAIMEX”.</w:t>
      </w:r>
    </w:p>
    <w:p w14:paraId="7982F7DC" w14:textId="77777777" w:rsidR="008E7A96" w:rsidRPr="00060463" w:rsidRDefault="008E7A96" w:rsidP="00D7021E">
      <w:pPr>
        <w:spacing w:after="0" w:line="360" w:lineRule="auto"/>
        <w:rPr>
          <w:rFonts w:eastAsia="Times New Roman" w:cs="Arial"/>
          <w:bCs/>
          <w:i/>
          <w:iCs/>
          <w:lang w:eastAsia="es-ES"/>
        </w:rPr>
      </w:pPr>
    </w:p>
    <w:p w14:paraId="7C006F06" w14:textId="48393D4C" w:rsidR="008E7A96" w:rsidRPr="00060463" w:rsidRDefault="008E7A96" w:rsidP="00D7021E">
      <w:pPr>
        <w:keepNext/>
        <w:keepLines/>
        <w:spacing w:after="0" w:line="360" w:lineRule="auto"/>
        <w:outlineLvl w:val="1"/>
        <w:rPr>
          <w:rFonts w:eastAsia="Calibri" w:cs="Times New Roman"/>
          <w:bCs/>
          <w:color w:val="auto"/>
          <w:lang w:eastAsia="en-US"/>
        </w:rPr>
      </w:pPr>
      <w:bookmarkStart w:id="4" w:name="_Toc189042481"/>
      <w:bookmarkStart w:id="5" w:name="_Toc210306184"/>
      <w:bookmarkStart w:id="6" w:name="_Toc216353018"/>
      <w:r w:rsidRPr="00060463">
        <w:rPr>
          <w:rFonts w:eastAsia="Calibri" w:cs="Times New Roman"/>
          <w:b/>
          <w:bCs/>
          <w:color w:val="auto"/>
          <w:lang w:eastAsia="en-US"/>
        </w:rPr>
        <w:lastRenderedPageBreak/>
        <w:t>II. Prórroga para atender la</w:t>
      </w:r>
      <w:r w:rsidR="00D933BB" w:rsidRPr="00060463">
        <w:rPr>
          <w:rFonts w:eastAsia="Calibri" w:cs="Times New Roman"/>
          <w:b/>
          <w:bCs/>
          <w:color w:val="auto"/>
          <w:lang w:eastAsia="en-US"/>
        </w:rPr>
        <w:t>s</w:t>
      </w:r>
      <w:r w:rsidRPr="00060463">
        <w:rPr>
          <w:rFonts w:eastAsia="Calibri" w:cs="Times New Roman"/>
          <w:b/>
          <w:bCs/>
          <w:color w:val="auto"/>
          <w:lang w:eastAsia="en-US"/>
        </w:rPr>
        <w:t xml:space="preserve"> solicitud</w:t>
      </w:r>
      <w:r w:rsidR="00D933BB" w:rsidRPr="00060463">
        <w:rPr>
          <w:rFonts w:eastAsia="Calibri" w:cs="Times New Roman"/>
          <w:b/>
          <w:bCs/>
          <w:color w:val="auto"/>
          <w:lang w:eastAsia="en-US"/>
        </w:rPr>
        <w:t>es</w:t>
      </w:r>
      <w:r w:rsidRPr="00060463">
        <w:rPr>
          <w:rFonts w:eastAsia="Calibri" w:cs="Times New Roman"/>
          <w:b/>
          <w:bCs/>
          <w:color w:val="auto"/>
          <w:lang w:eastAsia="en-US"/>
        </w:rPr>
        <w:t xml:space="preserve"> de información</w:t>
      </w:r>
      <w:bookmarkEnd w:id="4"/>
      <w:bookmarkEnd w:id="5"/>
      <w:bookmarkEnd w:id="6"/>
      <w:r w:rsidRPr="00060463">
        <w:rPr>
          <w:rFonts w:eastAsia="Calibri" w:cs="Times New Roman"/>
          <w:b/>
          <w:bCs/>
          <w:color w:val="auto"/>
          <w:lang w:eastAsia="en-US"/>
        </w:rPr>
        <w:t xml:space="preserve"> </w:t>
      </w:r>
    </w:p>
    <w:p w14:paraId="37B042AD" w14:textId="77777777" w:rsidR="008E7A96" w:rsidRPr="00060463" w:rsidRDefault="008E7A96" w:rsidP="00D7021E">
      <w:pPr>
        <w:spacing w:after="0" w:line="360" w:lineRule="auto"/>
        <w:contextualSpacing/>
        <w:rPr>
          <w:rFonts w:eastAsia="Calibri" w:cs="Tahoma"/>
          <w:b/>
          <w:bCs/>
          <w:color w:val="000000"/>
          <w:lang w:eastAsia="en-US"/>
        </w:rPr>
      </w:pPr>
    </w:p>
    <w:p w14:paraId="7FFAA64F" w14:textId="5497D8D7" w:rsidR="008E7A96" w:rsidRPr="00060463" w:rsidRDefault="008E7A96" w:rsidP="00D7021E">
      <w:pPr>
        <w:spacing w:after="0" w:line="360" w:lineRule="auto"/>
        <w:contextualSpacing/>
        <w:rPr>
          <w:rFonts w:eastAsia="Calibri" w:cs="Tahoma"/>
          <w:bCs/>
          <w:color w:val="000000"/>
          <w:lang w:eastAsia="en-US"/>
        </w:rPr>
      </w:pPr>
      <w:r w:rsidRPr="00060463">
        <w:rPr>
          <w:rFonts w:eastAsia="Calibri" w:cs="Tahoma"/>
          <w:bCs/>
          <w:color w:val="000000"/>
          <w:lang w:eastAsia="en-US"/>
        </w:rPr>
        <w:t xml:space="preserve">El </w:t>
      </w:r>
      <w:r w:rsidR="001657D3" w:rsidRPr="00060463">
        <w:rPr>
          <w:rFonts w:eastAsia="Calibri" w:cs="Tahoma"/>
          <w:bCs/>
          <w:color w:val="000000"/>
          <w:lang w:eastAsia="en-US"/>
        </w:rPr>
        <w:t>diecisiete de septiembre</w:t>
      </w:r>
      <w:r w:rsidRPr="00060463">
        <w:rPr>
          <w:rFonts w:eastAsia="Calibri" w:cs="Tahoma"/>
          <w:bCs/>
          <w:color w:val="000000"/>
          <w:lang w:eastAsia="en-US"/>
        </w:rPr>
        <w:t xml:space="preserve"> de dos mil veinticinco</w:t>
      </w:r>
      <w:r w:rsidRPr="00060463">
        <w:rPr>
          <w:rFonts w:eastAsia="Calibri" w:cs="Tahoma"/>
          <w:color w:val="000000"/>
          <w:lang w:eastAsia="en-US"/>
        </w:rPr>
        <w:t xml:space="preserve">, el Sujeto Obligado, </w:t>
      </w:r>
      <w:r w:rsidR="001657D3" w:rsidRPr="00060463">
        <w:rPr>
          <w:rFonts w:eastAsia="Calibri" w:cs="Tahoma"/>
          <w:color w:val="000000"/>
          <w:lang w:eastAsia="en-US"/>
        </w:rPr>
        <w:t xml:space="preserve">notificó </w:t>
      </w:r>
      <w:r w:rsidRPr="00060463">
        <w:rPr>
          <w:rFonts w:eastAsia="Calibri" w:cs="Tahoma"/>
          <w:color w:val="000000"/>
          <w:lang w:eastAsia="en-US"/>
        </w:rPr>
        <w:t>a través del Sistema de Acceso a la Información Mexiquense (SAIMEX), notificó una prórroga, mediante la cual aprueba la ampliación de término para atender la solicitud de información</w:t>
      </w:r>
      <w:r w:rsidRPr="00060463">
        <w:rPr>
          <w:rFonts w:eastAsia="Calibri" w:cs="Tahoma"/>
          <w:bCs/>
          <w:color w:val="000000"/>
          <w:lang w:eastAsia="en-US"/>
        </w:rPr>
        <w:t xml:space="preserve"> a través del </w:t>
      </w:r>
      <w:r w:rsidR="003745E1" w:rsidRPr="00060463">
        <w:rPr>
          <w:rFonts w:eastAsia="Calibri" w:cs="Tahoma"/>
          <w:bCs/>
          <w:color w:val="000000"/>
          <w:lang w:eastAsia="en-US"/>
        </w:rPr>
        <w:t>Acuerdo de la Décima Quinta Sesión Extraordinaria del Comité de Transparencia.</w:t>
      </w:r>
    </w:p>
    <w:p w14:paraId="7922190A" w14:textId="77777777" w:rsidR="001657D3" w:rsidRPr="00060463" w:rsidRDefault="001657D3" w:rsidP="00D7021E">
      <w:pPr>
        <w:spacing w:after="0" w:line="360" w:lineRule="auto"/>
        <w:contextualSpacing/>
        <w:rPr>
          <w:rFonts w:eastAsia="Calibri" w:cs="Times New Roman"/>
          <w:color w:val="000000"/>
          <w:lang w:eastAsia="en-US"/>
        </w:rPr>
      </w:pPr>
    </w:p>
    <w:p w14:paraId="0A604AAC" w14:textId="398BB0B8" w:rsidR="00E22EA8" w:rsidRPr="00060463" w:rsidRDefault="000B3C56" w:rsidP="00D7021E">
      <w:pPr>
        <w:pStyle w:val="Ttulo2"/>
        <w:spacing w:before="0" w:after="0" w:line="360" w:lineRule="auto"/>
        <w:rPr>
          <w:sz w:val="22"/>
          <w:szCs w:val="22"/>
        </w:rPr>
      </w:pPr>
      <w:bookmarkStart w:id="7" w:name="_Toc216353019"/>
      <w:r w:rsidRPr="00060463">
        <w:rPr>
          <w:rFonts w:cs="Tahoma"/>
          <w:sz w:val="22"/>
          <w:szCs w:val="22"/>
        </w:rPr>
        <w:t>I</w:t>
      </w:r>
      <w:r w:rsidR="008E7A96" w:rsidRPr="00060463">
        <w:rPr>
          <w:rFonts w:cs="Tahoma"/>
          <w:sz w:val="22"/>
          <w:szCs w:val="22"/>
        </w:rPr>
        <w:t>I</w:t>
      </w:r>
      <w:r w:rsidR="0007311B" w:rsidRPr="00060463">
        <w:rPr>
          <w:rFonts w:cs="Tahoma"/>
          <w:sz w:val="22"/>
          <w:szCs w:val="22"/>
        </w:rPr>
        <w:t>I</w:t>
      </w:r>
      <w:r w:rsidR="00E22EA8" w:rsidRPr="00060463">
        <w:rPr>
          <w:rFonts w:cs="Tahoma"/>
          <w:sz w:val="22"/>
          <w:szCs w:val="22"/>
        </w:rPr>
        <w:t>.</w:t>
      </w:r>
      <w:r w:rsidR="00E22EA8" w:rsidRPr="00060463">
        <w:rPr>
          <w:sz w:val="22"/>
          <w:szCs w:val="22"/>
        </w:rPr>
        <w:t xml:space="preserve"> Respuesta del Sujeto Obligado</w:t>
      </w:r>
      <w:bookmarkEnd w:id="7"/>
    </w:p>
    <w:p w14:paraId="10CE94A9" w14:textId="77777777" w:rsidR="00C06004" w:rsidRPr="00060463" w:rsidRDefault="00C06004" w:rsidP="00D7021E">
      <w:pPr>
        <w:autoSpaceDE w:val="0"/>
        <w:autoSpaceDN w:val="0"/>
        <w:adjustRightInd w:val="0"/>
        <w:spacing w:after="0" w:line="360" w:lineRule="auto"/>
        <w:rPr>
          <w:b/>
          <w:bCs/>
        </w:rPr>
      </w:pPr>
    </w:p>
    <w:p w14:paraId="732E4031" w14:textId="6A711F31" w:rsidR="000846E8" w:rsidRPr="00060463" w:rsidRDefault="00EB386A" w:rsidP="00D7021E">
      <w:pPr>
        <w:spacing w:after="0" w:line="360" w:lineRule="auto"/>
      </w:pPr>
      <w:r w:rsidRPr="00060463">
        <w:t xml:space="preserve">El </w:t>
      </w:r>
      <w:r w:rsidR="00F16DD5" w:rsidRPr="00060463">
        <w:t>veintiséis de septiembre</w:t>
      </w:r>
      <w:r w:rsidR="00CD4DE8" w:rsidRPr="00060463">
        <w:t xml:space="preserve"> de dos mil veinticinco</w:t>
      </w:r>
      <w:r w:rsidR="00E22EA8" w:rsidRPr="00060463">
        <w:t xml:space="preserve">, el Sujeto Obligado notificó, a través del Sistema de Acceso a la Información Mexiquense (SAIMEX), la respuesta a la solicitud de acceso a la información pública, </w:t>
      </w:r>
      <w:r w:rsidR="002A31E6" w:rsidRPr="00060463">
        <w:t>mediante</w:t>
      </w:r>
      <w:r w:rsidR="000846E8" w:rsidRPr="00060463">
        <w:t xml:space="preserve"> los documentos siguientes:</w:t>
      </w:r>
    </w:p>
    <w:p w14:paraId="0099C418" w14:textId="77777777" w:rsidR="004E7B40" w:rsidRPr="00060463" w:rsidRDefault="004E7B40" w:rsidP="00D7021E">
      <w:pPr>
        <w:spacing w:after="0" w:line="360" w:lineRule="auto"/>
      </w:pPr>
    </w:p>
    <w:tbl>
      <w:tblPr>
        <w:tblStyle w:val="Tablaconcuadrcula"/>
        <w:tblW w:w="8926" w:type="dxa"/>
        <w:tblLook w:val="04A0" w:firstRow="1" w:lastRow="0" w:firstColumn="1" w:lastColumn="0" w:noHBand="0" w:noVBand="1"/>
      </w:tblPr>
      <w:tblGrid>
        <w:gridCol w:w="2494"/>
        <w:gridCol w:w="6432"/>
      </w:tblGrid>
      <w:tr w:rsidR="002A31E6" w:rsidRPr="00060463" w14:paraId="07982B2B" w14:textId="77777777" w:rsidTr="00BB5ADE">
        <w:tc>
          <w:tcPr>
            <w:tcW w:w="24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060463" w:rsidRDefault="002A31E6" w:rsidP="00D7021E">
            <w:pPr>
              <w:spacing w:line="360" w:lineRule="auto"/>
              <w:rPr>
                <w:b/>
                <w:sz w:val="20"/>
              </w:rPr>
            </w:pPr>
            <w:r w:rsidRPr="00060463">
              <w:rPr>
                <w:b/>
                <w:sz w:val="20"/>
              </w:rPr>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060463" w:rsidRDefault="002A31E6" w:rsidP="00D7021E">
            <w:pPr>
              <w:spacing w:line="360" w:lineRule="auto"/>
              <w:rPr>
                <w:b/>
                <w:sz w:val="20"/>
              </w:rPr>
            </w:pPr>
            <w:r w:rsidRPr="00060463">
              <w:rPr>
                <w:b/>
                <w:sz w:val="20"/>
              </w:rPr>
              <w:t>RESPUESTA</w:t>
            </w:r>
          </w:p>
        </w:tc>
      </w:tr>
      <w:tr w:rsidR="002A31E6" w:rsidRPr="00060463" w14:paraId="3A91A0AE" w14:textId="77777777" w:rsidTr="00BB5ADE">
        <w:tc>
          <w:tcPr>
            <w:tcW w:w="2494" w:type="dxa"/>
            <w:tcBorders>
              <w:top w:val="single" w:sz="4" w:space="0" w:color="auto"/>
              <w:left w:val="single" w:sz="4" w:space="0" w:color="auto"/>
              <w:bottom w:val="single" w:sz="4" w:space="0" w:color="auto"/>
              <w:right w:val="single" w:sz="4" w:space="0" w:color="auto"/>
            </w:tcBorders>
            <w:hideMark/>
          </w:tcPr>
          <w:p w14:paraId="73BCD3AE" w14:textId="63E9864E" w:rsidR="002A31E6" w:rsidRPr="00060463" w:rsidRDefault="00F16DD5" w:rsidP="00D7021E">
            <w:pPr>
              <w:spacing w:line="360" w:lineRule="auto"/>
              <w:rPr>
                <w:b/>
                <w:bCs/>
                <w:i/>
                <w:iCs/>
                <w:sz w:val="20"/>
              </w:rPr>
            </w:pPr>
            <w:r w:rsidRPr="00060463">
              <w:rPr>
                <w:b/>
                <w:bCs/>
                <w:i/>
                <w:iCs/>
                <w:sz w:val="20"/>
                <w:szCs w:val="20"/>
              </w:rPr>
              <w:t>00067/RAYON/IP/2025</w:t>
            </w:r>
          </w:p>
        </w:tc>
        <w:tc>
          <w:tcPr>
            <w:tcW w:w="6432" w:type="dxa"/>
            <w:tcBorders>
              <w:top w:val="single" w:sz="4" w:space="0" w:color="auto"/>
              <w:left w:val="single" w:sz="4" w:space="0" w:color="auto"/>
              <w:bottom w:val="single" w:sz="4" w:space="0" w:color="auto"/>
              <w:right w:val="single" w:sz="4" w:space="0" w:color="auto"/>
            </w:tcBorders>
            <w:hideMark/>
          </w:tcPr>
          <w:p w14:paraId="1C041D07" w14:textId="26AA09FA" w:rsidR="00F16DD5" w:rsidRPr="00060463" w:rsidRDefault="002A31E6" w:rsidP="00F16DD5">
            <w:pPr>
              <w:spacing w:line="360" w:lineRule="auto"/>
              <w:rPr>
                <w:sz w:val="20"/>
              </w:rPr>
            </w:pPr>
            <w:r w:rsidRPr="00060463">
              <w:rPr>
                <w:sz w:val="20"/>
              </w:rPr>
              <w:t xml:space="preserve">i. Oficio número </w:t>
            </w:r>
            <w:r w:rsidR="00E921C4" w:rsidRPr="00060463">
              <w:rPr>
                <w:sz w:val="20"/>
              </w:rPr>
              <w:t xml:space="preserve">PM/SUBAD/252/2025, del veinticuatro de septiembre de dos mil veinticinco, suscrito por el Subdirector </w:t>
            </w:r>
            <w:r w:rsidR="00821DE4" w:rsidRPr="00060463">
              <w:rPr>
                <w:sz w:val="20"/>
              </w:rPr>
              <w:t>de Administración y dirigido a la Titular de la Unidad de Transparencia, por medio del cual mencionó lo siguiente:</w:t>
            </w:r>
          </w:p>
          <w:p w14:paraId="644D8EFD" w14:textId="77777777" w:rsidR="00821DE4" w:rsidRPr="00060463" w:rsidRDefault="00821DE4" w:rsidP="00F16DD5">
            <w:pPr>
              <w:spacing w:line="360" w:lineRule="auto"/>
              <w:rPr>
                <w:sz w:val="20"/>
              </w:rPr>
            </w:pPr>
          </w:p>
          <w:p w14:paraId="5331F062" w14:textId="2C94BE7E" w:rsidR="00821DE4" w:rsidRPr="00060463" w:rsidRDefault="00821DE4" w:rsidP="00821DE4">
            <w:pPr>
              <w:spacing w:line="360" w:lineRule="auto"/>
              <w:rPr>
                <w:i/>
                <w:sz w:val="20"/>
              </w:rPr>
            </w:pPr>
            <w:r w:rsidRPr="00060463">
              <w:rPr>
                <w:i/>
                <w:sz w:val="20"/>
              </w:rPr>
              <w:t xml:space="preserve">“…Se solicitó a la Dirección Jurídica y Consultiva del Ayuntamiento, a través el oficio PMR/ADPM/0238/2025 las renuncias voluntarias del mes de enero y febrero del año en curso, las cuales se agregan al presente en formato </w:t>
            </w:r>
            <w:proofErr w:type="spellStart"/>
            <w:r w:rsidRPr="00060463">
              <w:rPr>
                <w:i/>
                <w:sz w:val="20"/>
              </w:rPr>
              <w:t>pdf</w:t>
            </w:r>
            <w:proofErr w:type="spellEnd"/>
            <w:r w:rsidRPr="00060463">
              <w:rPr>
                <w:i/>
                <w:sz w:val="20"/>
              </w:rPr>
              <w:t>.</w:t>
            </w:r>
            <w:r w:rsidR="00683F59" w:rsidRPr="00060463">
              <w:rPr>
                <w:i/>
                <w:sz w:val="20"/>
              </w:rPr>
              <w:t>,</w:t>
            </w:r>
            <w:r w:rsidRPr="00060463">
              <w:rPr>
                <w:i/>
                <w:sz w:val="20"/>
              </w:rPr>
              <w:t xml:space="preserve"> como anexo uno. Asimismo, se agregan los formatos de movimientos de </w:t>
            </w:r>
            <w:r w:rsidR="00683F59" w:rsidRPr="00060463">
              <w:rPr>
                <w:i/>
                <w:sz w:val="20"/>
              </w:rPr>
              <w:t xml:space="preserve">alta de los servidores públicos </w:t>
            </w:r>
            <w:r w:rsidRPr="00060463">
              <w:rPr>
                <w:i/>
                <w:sz w:val="20"/>
              </w:rPr>
              <w:t>contratados durante el periodo requerido. (Anexo dos)</w:t>
            </w:r>
          </w:p>
          <w:p w14:paraId="615CAAFB" w14:textId="77777777" w:rsidR="00683F59" w:rsidRPr="00060463" w:rsidRDefault="00683F59" w:rsidP="00821DE4">
            <w:pPr>
              <w:spacing w:line="360" w:lineRule="auto"/>
              <w:rPr>
                <w:i/>
                <w:sz w:val="20"/>
              </w:rPr>
            </w:pPr>
          </w:p>
          <w:p w14:paraId="4E1010BC" w14:textId="57567970" w:rsidR="00821DE4" w:rsidRPr="00060463" w:rsidRDefault="00821DE4" w:rsidP="00821DE4">
            <w:pPr>
              <w:spacing w:line="360" w:lineRule="auto"/>
              <w:rPr>
                <w:i/>
                <w:sz w:val="20"/>
              </w:rPr>
            </w:pPr>
            <w:r w:rsidRPr="00060463">
              <w:rPr>
                <w:i/>
                <w:sz w:val="20"/>
              </w:rPr>
              <w:lastRenderedPageBreak/>
              <w:t>Cabe precisar que, una vez analizados los documentos con el que se dará "renuncias voluntarias y aviso de movimiento de al</w:t>
            </w:r>
            <w:r w:rsidR="00683F59" w:rsidRPr="00060463">
              <w:rPr>
                <w:i/>
                <w:sz w:val="20"/>
              </w:rPr>
              <w:t>ta de los servidores públicos"</w:t>
            </w:r>
            <w:r w:rsidRPr="00060463">
              <w:rPr>
                <w:i/>
                <w:sz w:val="20"/>
              </w:rPr>
              <w:t>, se advierte que existe información susceptible de</w:t>
            </w:r>
          </w:p>
          <w:p w14:paraId="14213CE9" w14:textId="17268E4A" w:rsidR="00821DE4" w:rsidRPr="00060463" w:rsidRDefault="00821DE4" w:rsidP="00821DE4">
            <w:pPr>
              <w:spacing w:line="360" w:lineRule="auto"/>
              <w:rPr>
                <w:i/>
                <w:sz w:val="20"/>
              </w:rPr>
            </w:pPr>
            <w:r w:rsidRPr="00060463">
              <w:rPr>
                <w:i/>
                <w:sz w:val="20"/>
              </w:rPr>
              <w:t xml:space="preserve">clasificar como confidencial al tratarse de datos personales concernientes a una persona física identificada o identificable tales como: RFC, CURP, CLAVE </w:t>
            </w:r>
            <w:proofErr w:type="spellStart"/>
            <w:r w:rsidRPr="00060463">
              <w:rPr>
                <w:i/>
                <w:sz w:val="20"/>
              </w:rPr>
              <w:t>ISEEMyM</w:t>
            </w:r>
            <w:proofErr w:type="spellEnd"/>
            <w:r w:rsidRPr="00060463">
              <w:rPr>
                <w:i/>
                <w:sz w:val="20"/>
              </w:rPr>
              <w:t xml:space="preserve"> y HUELLA DACTILAR; al tratarse de datos personales concernientes a una persona físic</w:t>
            </w:r>
            <w:r w:rsidR="00683F59" w:rsidRPr="00060463">
              <w:rPr>
                <w:i/>
                <w:sz w:val="20"/>
              </w:rPr>
              <w:t>a identificada o identificable…</w:t>
            </w:r>
          </w:p>
          <w:p w14:paraId="3D2D6501" w14:textId="3A7BFB6F" w:rsidR="00683F59" w:rsidRPr="00060463" w:rsidRDefault="00683F59" w:rsidP="00821DE4">
            <w:pPr>
              <w:spacing w:line="360" w:lineRule="auto"/>
              <w:rPr>
                <w:i/>
                <w:sz w:val="20"/>
              </w:rPr>
            </w:pPr>
            <w:r w:rsidRPr="00060463">
              <w:rPr>
                <w:i/>
                <w:sz w:val="20"/>
              </w:rPr>
              <w:t>…”</w:t>
            </w:r>
          </w:p>
          <w:p w14:paraId="4169AD43" w14:textId="77777777" w:rsidR="007F15C3" w:rsidRPr="00060463" w:rsidRDefault="007F15C3" w:rsidP="00D7021E">
            <w:pPr>
              <w:spacing w:line="360" w:lineRule="auto"/>
              <w:rPr>
                <w:sz w:val="20"/>
              </w:rPr>
            </w:pPr>
          </w:p>
          <w:p w14:paraId="072AB7AF" w14:textId="77777777" w:rsidR="00683F59" w:rsidRPr="00060463" w:rsidRDefault="00683F59" w:rsidP="00D7021E">
            <w:pPr>
              <w:spacing w:line="360" w:lineRule="auto"/>
              <w:rPr>
                <w:sz w:val="20"/>
              </w:rPr>
            </w:pPr>
            <w:r w:rsidRPr="00060463">
              <w:rPr>
                <w:sz w:val="20"/>
              </w:rPr>
              <w:t>ii. Acta de la Décima Sexta Sesión Extraordinaria emitida por el Comité de Transparencia, por medio del cual se confirma la clasificación de la información como confidencial.</w:t>
            </w:r>
          </w:p>
          <w:p w14:paraId="0CD56F52" w14:textId="77777777" w:rsidR="00683F59" w:rsidRPr="00060463" w:rsidRDefault="00683F59" w:rsidP="00D7021E">
            <w:pPr>
              <w:spacing w:line="360" w:lineRule="auto"/>
              <w:rPr>
                <w:sz w:val="20"/>
              </w:rPr>
            </w:pPr>
          </w:p>
          <w:p w14:paraId="356B4FE4" w14:textId="77777777" w:rsidR="0029291C" w:rsidRPr="00060463" w:rsidRDefault="00683F59" w:rsidP="00D7021E">
            <w:pPr>
              <w:spacing w:line="360" w:lineRule="auto"/>
              <w:rPr>
                <w:sz w:val="20"/>
              </w:rPr>
            </w:pPr>
            <w:r w:rsidRPr="00060463">
              <w:rPr>
                <w:sz w:val="20"/>
              </w:rPr>
              <w:t xml:space="preserve">iii. </w:t>
            </w:r>
            <w:r w:rsidR="0029291C" w:rsidRPr="00060463">
              <w:rPr>
                <w:sz w:val="20"/>
              </w:rPr>
              <w:t xml:space="preserve">Cincuenta y cinco Avisos de Movimientos de Alta del </w:t>
            </w:r>
            <w:proofErr w:type="spellStart"/>
            <w:r w:rsidR="0029291C" w:rsidRPr="00060463">
              <w:rPr>
                <w:sz w:val="20"/>
              </w:rPr>
              <w:t>Issemym</w:t>
            </w:r>
            <w:proofErr w:type="spellEnd"/>
            <w:r w:rsidR="0029291C" w:rsidRPr="00060463">
              <w:rPr>
                <w:sz w:val="20"/>
              </w:rPr>
              <w:t>, en versión pública.</w:t>
            </w:r>
          </w:p>
          <w:p w14:paraId="70E4B5DE" w14:textId="77777777" w:rsidR="0029291C" w:rsidRPr="00060463" w:rsidRDefault="0029291C" w:rsidP="00D7021E">
            <w:pPr>
              <w:spacing w:line="360" w:lineRule="auto"/>
              <w:rPr>
                <w:sz w:val="20"/>
              </w:rPr>
            </w:pPr>
          </w:p>
          <w:p w14:paraId="6F17CA97" w14:textId="77777777" w:rsidR="0029291C" w:rsidRPr="00060463" w:rsidRDefault="0029291C" w:rsidP="00D7021E">
            <w:pPr>
              <w:spacing w:line="360" w:lineRule="auto"/>
              <w:rPr>
                <w:sz w:val="20"/>
              </w:rPr>
            </w:pPr>
            <w:r w:rsidRPr="00060463">
              <w:rPr>
                <w:sz w:val="20"/>
              </w:rPr>
              <w:t>iv. Oficio número PMR/DJC/131/2025, del veinticuatro de septiembre de dos mil veinticinco, suscrito por el Encargado de Despacho de la Dirección Jurídica Consultiva y dirigido al Subdirector de Administración, por medio del cual mencionó lo siguiente:</w:t>
            </w:r>
          </w:p>
          <w:p w14:paraId="7EC3E289" w14:textId="77777777" w:rsidR="0029291C" w:rsidRPr="00060463" w:rsidRDefault="0029291C" w:rsidP="00D7021E">
            <w:pPr>
              <w:spacing w:line="360" w:lineRule="auto"/>
              <w:rPr>
                <w:sz w:val="20"/>
              </w:rPr>
            </w:pPr>
          </w:p>
          <w:p w14:paraId="112F17DC" w14:textId="0A9B87A6" w:rsidR="0029291C" w:rsidRPr="00060463" w:rsidRDefault="0029291C" w:rsidP="00D7021E">
            <w:pPr>
              <w:spacing w:line="360" w:lineRule="auto"/>
              <w:rPr>
                <w:i/>
                <w:sz w:val="20"/>
              </w:rPr>
            </w:pPr>
            <w:r w:rsidRPr="00060463">
              <w:rPr>
                <w:i/>
                <w:sz w:val="20"/>
              </w:rPr>
              <w:t>“…</w:t>
            </w:r>
            <w:r w:rsidR="00B54BBC" w:rsidRPr="00060463">
              <w:rPr>
                <w:i/>
                <w:sz w:val="20"/>
              </w:rPr>
              <w:t>me permito remitir, para los efectos administrativos y legales conducentes, las renuncias voluntarias presentadas por el personal adscrito a este H. Ayuntamiento, correspondientes al periodo comprendido de enero a la fecha del presente año, las cuales se enlistan a continuación:</w:t>
            </w:r>
          </w:p>
          <w:p w14:paraId="56B31349" w14:textId="77777777" w:rsidR="00B54BBC" w:rsidRPr="00060463" w:rsidRDefault="00B54BBC" w:rsidP="00D7021E">
            <w:pPr>
              <w:spacing w:line="360" w:lineRule="auto"/>
              <w:rPr>
                <w:i/>
                <w:sz w:val="20"/>
              </w:rPr>
            </w:pPr>
          </w:p>
          <w:p w14:paraId="43033201" w14:textId="77777777" w:rsidR="00B54BBC" w:rsidRPr="00060463" w:rsidRDefault="00B54BBC" w:rsidP="00D7021E">
            <w:pPr>
              <w:spacing w:line="360" w:lineRule="auto"/>
              <w:rPr>
                <w:i/>
                <w:sz w:val="20"/>
              </w:rPr>
            </w:pPr>
            <w:r w:rsidRPr="00060463">
              <w:rPr>
                <w:i/>
                <w:noProof/>
                <w:sz w:val="20"/>
              </w:rPr>
              <w:lastRenderedPageBreak/>
              <w:drawing>
                <wp:inline distT="0" distB="0" distL="0" distR="0" wp14:anchorId="2A03EE78" wp14:editId="02279170">
                  <wp:extent cx="3218311" cy="2839011"/>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4A0E0.tmp"/>
                          <pic:cNvPicPr/>
                        </pic:nvPicPr>
                        <pic:blipFill>
                          <a:blip r:embed="rId9">
                            <a:extLst>
                              <a:ext uri="{28A0092B-C50C-407E-A947-70E740481C1C}">
                                <a14:useLocalDpi xmlns:a14="http://schemas.microsoft.com/office/drawing/2010/main" val="0"/>
                              </a:ext>
                            </a:extLst>
                          </a:blip>
                          <a:stretch>
                            <a:fillRect/>
                          </a:stretch>
                        </pic:blipFill>
                        <pic:spPr>
                          <a:xfrm>
                            <a:off x="0" y="0"/>
                            <a:ext cx="3232787" cy="2851781"/>
                          </a:xfrm>
                          <a:prstGeom prst="rect">
                            <a:avLst/>
                          </a:prstGeom>
                        </pic:spPr>
                      </pic:pic>
                    </a:graphicData>
                  </a:graphic>
                </wp:inline>
              </w:drawing>
            </w:r>
          </w:p>
          <w:p w14:paraId="5BD66EDC" w14:textId="77777777" w:rsidR="00B54BBC" w:rsidRPr="00060463" w:rsidRDefault="00B54BBC" w:rsidP="00D7021E">
            <w:pPr>
              <w:spacing w:line="360" w:lineRule="auto"/>
              <w:rPr>
                <w:i/>
                <w:sz w:val="20"/>
              </w:rPr>
            </w:pPr>
            <w:r w:rsidRPr="00060463">
              <w:rPr>
                <w:i/>
                <w:noProof/>
                <w:sz w:val="20"/>
              </w:rPr>
              <w:drawing>
                <wp:inline distT="0" distB="0" distL="0" distR="0" wp14:anchorId="0BA349CC" wp14:editId="74618273">
                  <wp:extent cx="3298473" cy="11334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B4F654.tmp"/>
                          <pic:cNvPicPr/>
                        </pic:nvPicPr>
                        <pic:blipFill>
                          <a:blip r:embed="rId10">
                            <a:extLst>
                              <a:ext uri="{28A0092B-C50C-407E-A947-70E740481C1C}">
                                <a14:useLocalDpi xmlns:a14="http://schemas.microsoft.com/office/drawing/2010/main" val="0"/>
                              </a:ext>
                            </a:extLst>
                          </a:blip>
                          <a:stretch>
                            <a:fillRect/>
                          </a:stretch>
                        </pic:blipFill>
                        <pic:spPr>
                          <a:xfrm>
                            <a:off x="0" y="0"/>
                            <a:ext cx="3322781" cy="1141828"/>
                          </a:xfrm>
                          <a:prstGeom prst="rect">
                            <a:avLst/>
                          </a:prstGeom>
                        </pic:spPr>
                      </pic:pic>
                    </a:graphicData>
                  </a:graphic>
                </wp:inline>
              </w:drawing>
            </w:r>
          </w:p>
          <w:p w14:paraId="4C67DC24" w14:textId="6D5C57A7" w:rsidR="00B54BBC" w:rsidRPr="00060463" w:rsidRDefault="00B54BBC" w:rsidP="00D7021E">
            <w:pPr>
              <w:spacing w:line="360" w:lineRule="auto"/>
              <w:rPr>
                <w:i/>
                <w:sz w:val="20"/>
              </w:rPr>
            </w:pPr>
            <w:r w:rsidRPr="00060463">
              <w:rPr>
                <w:i/>
                <w:sz w:val="20"/>
              </w:rPr>
              <w:t>…”</w:t>
            </w:r>
          </w:p>
          <w:p w14:paraId="103E2156" w14:textId="6EE1DF10" w:rsidR="00B54BBC" w:rsidRPr="00060463" w:rsidRDefault="00B54BBC" w:rsidP="00D7021E">
            <w:pPr>
              <w:spacing w:line="360" w:lineRule="auto"/>
              <w:rPr>
                <w:sz w:val="20"/>
              </w:rPr>
            </w:pPr>
            <w:proofErr w:type="gramStart"/>
            <w:r w:rsidRPr="00060463">
              <w:rPr>
                <w:sz w:val="20"/>
              </w:rPr>
              <w:t>v</w:t>
            </w:r>
            <w:proofErr w:type="gramEnd"/>
            <w:r w:rsidRPr="00060463">
              <w:rPr>
                <w:sz w:val="20"/>
              </w:rPr>
              <w:t>. Treinta y un cartas de renuncia, en versión pública.</w:t>
            </w:r>
          </w:p>
        </w:tc>
      </w:tr>
      <w:tr w:rsidR="002A31E6" w:rsidRPr="00060463" w14:paraId="3BDE275F" w14:textId="77777777" w:rsidTr="00BB5ADE">
        <w:tc>
          <w:tcPr>
            <w:tcW w:w="2494" w:type="dxa"/>
            <w:tcBorders>
              <w:top w:val="single" w:sz="4" w:space="0" w:color="auto"/>
              <w:left w:val="single" w:sz="4" w:space="0" w:color="auto"/>
              <w:bottom w:val="single" w:sz="4" w:space="0" w:color="auto"/>
              <w:right w:val="single" w:sz="4" w:space="0" w:color="auto"/>
            </w:tcBorders>
          </w:tcPr>
          <w:p w14:paraId="30A3D525" w14:textId="26A40459" w:rsidR="002A31E6" w:rsidRPr="00060463" w:rsidRDefault="00F16DD5" w:rsidP="00D7021E">
            <w:pPr>
              <w:spacing w:line="360" w:lineRule="auto"/>
              <w:rPr>
                <w:b/>
                <w:bCs/>
                <w:i/>
                <w:iCs/>
                <w:sz w:val="20"/>
              </w:rPr>
            </w:pPr>
            <w:r w:rsidRPr="00060463">
              <w:rPr>
                <w:b/>
                <w:bCs/>
                <w:i/>
                <w:iCs/>
                <w:sz w:val="20"/>
                <w:szCs w:val="20"/>
              </w:rPr>
              <w:lastRenderedPageBreak/>
              <w:t>00068/RAYON/IP/2025</w:t>
            </w:r>
          </w:p>
        </w:tc>
        <w:tc>
          <w:tcPr>
            <w:tcW w:w="6432" w:type="dxa"/>
            <w:tcBorders>
              <w:top w:val="single" w:sz="4" w:space="0" w:color="auto"/>
              <w:left w:val="single" w:sz="4" w:space="0" w:color="auto"/>
              <w:bottom w:val="single" w:sz="4" w:space="0" w:color="auto"/>
              <w:right w:val="single" w:sz="4" w:space="0" w:color="auto"/>
            </w:tcBorders>
          </w:tcPr>
          <w:p w14:paraId="7BBC42AC" w14:textId="43730178" w:rsidR="00D933BB" w:rsidRPr="00060463" w:rsidRDefault="00015A64" w:rsidP="00D933BB">
            <w:pPr>
              <w:spacing w:line="360" w:lineRule="auto"/>
              <w:rPr>
                <w:sz w:val="20"/>
              </w:rPr>
            </w:pPr>
            <w:r w:rsidRPr="00060463">
              <w:rPr>
                <w:sz w:val="20"/>
              </w:rPr>
              <w:t xml:space="preserve"> </w:t>
            </w:r>
            <w:r w:rsidR="00D933BB" w:rsidRPr="00060463">
              <w:rPr>
                <w:sz w:val="20"/>
              </w:rPr>
              <w:t>i. Oficio número PM/SUBAD/253/2025, del veinticuatro de septiembre de dos mil veinticinco, suscrito por el Subdirector de Administración y dirigido a la Titular de la Unidad de Transparencia, por medio del cual mencionó lo siguiente:</w:t>
            </w:r>
          </w:p>
          <w:p w14:paraId="0056B7D9" w14:textId="77777777" w:rsidR="00D933BB" w:rsidRPr="00060463" w:rsidRDefault="00D933BB" w:rsidP="00D933BB">
            <w:pPr>
              <w:spacing w:line="360" w:lineRule="auto"/>
              <w:rPr>
                <w:sz w:val="20"/>
              </w:rPr>
            </w:pPr>
          </w:p>
          <w:p w14:paraId="19D7C0F3" w14:textId="7C797977" w:rsidR="00D933BB" w:rsidRPr="00060463" w:rsidRDefault="00D933BB" w:rsidP="00D933BB">
            <w:pPr>
              <w:spacing w:line="360" w:lineRule="auto"/>
              <w:rPr>
                <w:i/>
                <w:sz w:val="20"/>
              </w:rPr>
            </w:pPr>
            <w:r w:rsidRPr="00060463">
              <w:rPr>
                <w:i/>
                <w:sz w:val="20"/>
              </w:rPr>
              <w:t xml:space="preserve">“…Se solicitó a la Dirección Jurídica y Consultiva del Ayuntamiento, a través el oficio PMR/ADPM/0238/2025 las renuncias voluntarias del mes de marzo y abril del año en curso, las cuales se agregan al presente en formato </w:t>
            </w:r>
            <w:proofErr w:type="spellStart"/>
            <w:r w:rsidRPr="00060463">
              <w:rPr>
                <w:i/>
                <w:sz w:val="20"/>
              </w:rPr>
              <w:t>pdf</w:t>
            </w:r>
            <w:proofErr w:type="spellEnd"/>
            <w:r w:rsidRPr="00060463">
              <w:rPr>
                <w:i/>
                <w:sz w:val="20"/>
              </w:rPr>
              <w:t>., como anexo uno. Asimismo, se agregan los formatos de movimientos de alta de los servidores públicos contratados durante el periodo requerido. (Anexo dos)</w:t>
            </w:r>
          </w:p>
          <w:p w14:paraId="0511D7D7" w14:textId="77777777" w:rsidR="00D933BB" w:rsidRPr="00060463" w:rsidRDefault="00D933BB" w:rsidP="00D933BB">
            <w:pPr>
              <w:spacing w:line="360" w:lineRule="auto"/>
              <w:rPr>
                <w:i/>
                <w:sz w:val="20"/>
              </w:rPr>
            </w:pPr>
          </w:p>
          <w:p w14:paraId="33FEA840" w14:textId="5BEDE142" w:rsidR="00D933BB" w:rsidRPr="00060463" w:rsidRDefault="00D933BB" w:rsidP="00D933BB">
            <w:pPr>
              <w:spacing w:line="360" w:lineRule="auto"/>
              <w:rPr>
                <w:i/>
                <w:sz w:val="20"/>
              </w:rPr>
            </w:pPr>
            <w:r w:rsidRPr="00060463">
              <w:rPr>
                <w:i/>
                <w:sz w:val="20"/>
              </w:rPr>
              <w:t xml:space="preserve">Cabe precisar que, una vez analizados los documentos con el que se dará "renuncias voluntarias y aviso de movimiento de alta de los servidores públicos", se advierte que existe información susceptible de clasificar como confidencial al tratarse de datos personales concernientes a una persona física identificada o identificable tales como: RFC, CURP, CLAVE </w:t>
            </w:r>
            <w:proofErr w:type="spellStart"/>
            <w:r w:rsidRPr="00060463">
              <w:rPr>
                <w:i/>
                <w:sz w:val="20"/>
              </w:rPr>
              <w:t>ISEEMyM</w:t>
            </w:r>
            <w:proofErr w:type="spellEnd"/>
            <w:r w:rsidRPr="00060463">
              <w:rPr>
                <w:i/>
                <w:sz w:val="20"/>
              </w:rPr>
              <w:t xml:space="preserve"> y HUELLA DACTILAR; al tratarse de datos personales concernientes a una persona física identificada o identificable…</w:t>
            </w:r>
          </w:p>
          <w:p w14:paraId="4B8968E3" w14:textId="77777777" w:rsidR="00D933BB" w:rsidRPr="00060463" w:rsidRDefault="00D933BB" w:rsidP="00D933BB">
            <w:pPr>
              <w:spacing w:line="360" w:lineRule="auto"/>
              <w:rPr>
                <w:i/>
                <w:sz w:val="20"/>
              </w:rPr>
            </w:pPr>
            <w:r w:rsidRPr="00060463">
              <w:rPr>
                <w:i/>
                <w:sz w:val="20"/>
              </w:rPr>
              <w:t>…”</w:t>
            </w:r>
          </w:p>
          <w:p w14:paraId="71899D03" w14:textId="77777777" w:rsidR="00D933BB" w:rsidRPr="00060463" w:rsidRDefault="00D933BB" w:rsidP="00D933BB">
            <w:pPr>
              <w:spacing w:line="360" w:lineRule="auto"/>
              <w:rPr>
                <w:sz w:val="20"/>
              </w:rPr>
            </w:pPr>
          </w:p>
          <w:p w14:paraId="4759600B" w14:textId="77777777" w:rsidR="00D933BB" w:rsidRPr="00060463" w:rsidRDefault="00D933BB" w:rsidP="00D933BB">
            <w:pPr>
              <w:spacing w:line="360" w:lineRule="auto"/>
              <w:rPr>
                <w:sz w:val="20"/>
              </w:rPr>
            </w:pPr>
            <w:r w:rsidRPr="00060463">
              <w:rPr>
                <w:sz w:val="20"/>
              </w:rPr>
              <w:t>ii. Acta de la Décima Sexta Sesión Extraordinaria emitida por el Comité de Transparencia, por medio del cual se confirma la clasificación de la información como confidencial.</w:t>
            </w:r>
          </w:p>
          <w:p w14:paraId="4AC66BD3" w14:textId="77777777" w:rsidR="00D933BB" w:rsidRPr="00060463" w:rsidRDefault="00D933BB" w:rsidP="00D933BB">
            <w:pPr>
              <w:spacing w:line="360" w:lineRule="auto"/>
              <w:rPr>
                <w:sz w:val="20"/>
              </w:rPr>
            </w:pPr>
          </w:p>
          <w:p w14:paraId="392351B9" w14:textId="201A342F" w:rsidR="00D933BB" w:rsidRPr="00060463" w:rsidRDefault="00D933BB" w:rsidP="00D933BB">
            <w:pPr>
              <w:spacing w:line="360" w:lineRule="auto"/>
              <w:rPr>
                <w:sz w:val="20"/>
              </w:rPr>
            </w:pPr>
            <w:r w:rsidRPr="00060463">
              <w:rPr>
                <w:sz w:val="20"/>
              </w:rPr>
              <w:t xml:space="preserve">iii. Catorce Avisos de Movimientos de Alta del </w:t>
            </w:r>
            <w:proofErr w:type="spellStart"/>
            <w:r w:rsidRPr="00060463">
              <w:rPr>
                <w:sz w:val="20"/>
              </w:rPr>
              <w:t>Issemym</w:t>
            </w:r>
            <w:proofErr w:type="spellEnd"/>
            <w:r w:rsidRPr="00060463">
              <w:rPr>
                <w:sz w:val="20"/>
              </w:rPr>
              <w:t>, en versión pública.</w:t>
            </w:r>
          </w:p>
          <w:p w14:paraId="1B02F868" w14:textId="77777777" w:rsidR="00D933BB" w:rsidRPr="00060463" w:rsidRDefault="00D933BB" w:rsidP="00D933BB">
            <w:pPr>
              <w:spacing w:line="360" w:lineRule="auto"/>
              <w:rPr>
                <w:sz w:val="20"/>
              </w:rPr>
            </w:pPr>
          </w:p>
          <w:p w14:paraId="5C006B39" w14:textId="77777777" w:rsidR="00D933BB" w:rsidRPr="00060463" w:rsidRDefault="00D933BB" w:rsidP="00D933BB">
            <w:pPr>
              <w:spacing w:line="360" w:lineRule="auto"/>
              <w:rPr>
                <w:sz w:val="20"/>
              </w:rPr>
            </w:pPr>
            <w:r w:rsidRPr="00060463">
              <w:rPr>
                <w:sz w:val="20"/>
              </w:rPr>
              <w:t>iv. Oficio número PMR/DJC/131/2025, del veinticuatro de septiembre de dos mil veinticinco, suscrito por el Encargado de Despacho de la Dirección Jurídica Consultiva y dirigido al Subdirector de Administración, por medio del cual mencionó lo siguiente:</w:t>
            </w:r>
          </w:p>
          <w:p w14:paraId="171E4173" w14:textId="77777777" w:rsidR="00D933BB" w:rsidRPr="00060463" w:rsidRDefault="00D933BB" w:rsidP="00D933BB">
            <w:pPr>
              <w:spacing w:line="360" w:lineRule="auto"/>
              <w:rPr>
                <w:sz w:val="20"/>
              </w:rPr>
            </w:pPr>
          </w:p>
          <w:p w14:paraId="7EC1A726" w14:textId="77777777" w:rsidR="00D933BB" w:rsidRPr="00060463" w:rsidRDefault="00D933BB" w:rsidP="00D933BB">
            <w:pPr>
              <w:spacing w:line="360" w:lineRule="auto"/>
              <w:rPr>
                <w:i/>
                <w:sz w:val="20"/>
              </w:rPr>
            </w:pPr>
            <w:r w:rsidRPr="00060463">
              <w:rPr>
                <w:i/>
                <w:sz w:val="20"/>
              </w:rPr>
              <w:t>“…me permito remitir, para los efectos administrativos y legales conducentes, las renuncias voluntarias presentadas por el personal adscrito a este H. Ayuntamiento, correspondientes al periodo comprendido de enero a la fecha del presente año, las cuales se enlistan a continuación:</w:t>
            </w:r>
          </w:p>
          <w:p w14:paraId="66365CDB" w14:textId="77777777" w:rsidR="00D933BB" w:rsidRPr="00060463" w:rsidRDefault="00D933BB" w:rsidP="00D933BB">
            <w:pPr>
              <w:spacing w:line="360" w:lineRule="auto"/>
              <w:rPr>
                <w:i/>
                <w:sz w:val="20"/>
              </w:rPr>
            </w:pPr>
          </w:p>
          <w:p w14:paraId="4E9527BB" w14:textId="77777777" w:rsidR="00D933BB" w:rsidRPr="00060463" w:rsidRDefault="00D933BB" w:rsidP="00D933BB">
            <w:pPr>
              <w:spacing w:line="360" w:lineRule="auto"/>
              <w:rPr>
                <w:i/>
                <w:sz w:val="20"/>
              </w:rPr>
            </w:pPr>
            <w:r w:rsidRPr="00060463">
              <w:rPr>
                <w:i/>
                <w:noProof/>
                <w:sz w:val="20"/>
              </w:rPr>
              <w:lastRenderedPageBreak/>
              <w:drawing>
                <wp:inline distT="0" distB="0" distL="0" distR="0" wp14:anchorId="192DD991" wp14:editId="0F003FC8">
                  <wp:extent cx="3218311" cy="2839011"/>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4A0E0.tmp"/>
                          <pic:cNvPicPr/>
                        </pic:nvPicPr>
                        <pic:blipFill>
                          <a:blip r:embed="rId9">
                            <a:extLst>
                              <a:ext uri="{28A0092B-C50C-407E-A947-70E740481C1C}">
                                <a14:useLocalDpi xmlns:a14="http://schemas.microsoft.com/office/drawing/2010/main" val="0"/>
                              </a:ext>
                            </a:extLst>
                          </a:blip>
                          <a:stretch>
                            <a:fillRect/>
                          </a:stretch>
                        </pic:blipFill>
                        <pic:spPr>
                          <a:xfrm>
                            <a:off x="0" y="0"/>
                            <a:ext cx="3232787" cy="2851781"/>
                          </a:xfrm>
                          <a:prstGeom prst="rect">
                            <a:avLst/>
                          </a:prstGeom>
                        </pic:spPr>
                      </pic:pic>
                    </a:graphicData>
                  </a:graphic>
                </wp:inline>
              </w:drawing>
            </w:r>
          </w:p>
          <w:p w14:paraId="4B221988" w14:textId="77777777" w:rsidR="00D933BB" w:rsidRPr="00060463" w:rsidRDefault="00D933BB" w:rsidP="00D933BB">
            <w:pPr>
              <w:spacing w:line="360" w:lineRule="auto"/>
              <w:rPr>
                <w:i/>
                <w:sz w:val="20"/>
              </w:rPr>
            </w:pPr>
            <w:r w:rsidRPr="00060463">
              <w:rPr>
                <w:i/>
                <w:noProof/>
                <w:sz w:val="20"/>
              </w:rPr>
              <w:drawing>
                <wp:inline distT="0" distB="0" distL="0" distR="0" wp14:anchorId="179BA6AA" wp14:editId="4955746A">
                  <wp:extent cx="3298473" cy="11334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B4F654.tmp"/>
                          <pic:cNvPicPr/>
                        </pic:nvPicPr>
                        <pic:blipFill>
                          <a:blip r:embed="rId10">
                            <a:extLst>
                              <a:ext uri="{28A0092B-C50C-407E-A947-70E740481C1C}">
                                <a14:useLocalDpi xmlns:a14="http://schemas.microsoft.com/office/drawing/2010/main" val="0"/>
                              </a:ext>
                            </a:extLst>
                          </a:blip>
                          <a:stretch>
                            <a:fillRect/>
                          </a:stretch>
                        </pic:blipFill>
                        <pic:spPr>
                          <a:xfrm>
                            <a:off x="0" y="0"/>
                            <a:ext cx="3322781" cy="1141828"/>
                          </a:xfrm>
                          <a:prstGeom prst="rect">
                            <a:avLst/>
                          </a:prstGeom>
                        </pic:spPr>
                      </pic:pic>
                    </a:graphicData>
                  </a:graphic>
                </wp:inline>
              </w:drawing>
            </w:r>
          </w:p>
          <w:p w14:paraId="763A661F" w14:textId="77777777" w:rsidR="00D933BB" w:rsidRPr="00060463" w:rsidRDefault="00D933BB" w:rsidP="00D933BB">
            <w:pPr>
              <w:spacing w:line="360" w:lineRule="auto"/>
              <w:rPr>
                <w:i/>
                <w:sz w:val="20"/>
              </w:rPr>
            </w:pPr>
            <w:r w:rsidRPr="00060463">
              <w:rPr>
                <w:i/>
                <w:sz w:val="20"/>
              </w:rPr>
              <w:t>…”</w:t>
            </w:r>
          </w:p>
          <w:p w14:paraId="1834C7B5" w14:textId="46B37C86" w:rsidR="00F46E6B" w:rsidRPr="00060463" w:rsidRDefault="00D933BB" w:rsidP="00D7021E">
            <w:pPr>
              <w:spacing w:line="360" w:lineRule="auto"/>
              <w:rPr>
                <w:i/>
                <w:sz w:val="20"/>
              </w:rPr>
            </w:pPr>
            <w:proofErr w:type="gramStart"/>
            <w:r w:rsidRPr="00060463">
              <w:rPr>
                <w:sz w:val="20"/>
              </w:rPr>
              <w:t>v</w:t>
            </w:r>
            <w:proofErr w:type="gramEnd"/>
            <w:r w:rsidRPr="00060463">
              <w:rPr>
                <w:sz w:val="20"/>
              </w:rPr>
              <w:t>. Treinta y un cartas de renuncia, en versión pública.</w:t>
            </w:r>
          </w:p>
        </w:tc>
      </w:tr>
      <w:tr w:rsidR="00612916" w:rsidRPr="00060463" w14:paraId="49640213" w14:textId="77777777" w:rsidTr="00BB5ADE">
        <w:tc>
          <w:tcPr>
            <w:tcW w:w="2494" w:type="dxa"/>
            <w:tcBorders>
              <w:top w:val="single" w:sz="4" w:space="0" w:color="auto"/>
              <w:left w:val="single" w:sz="4" w:space="0" w:color="auto"/>
              <w:bottom w:val="single" w:sz="4" w:space="0" w:color="auto"/>
              <w:right w:val="single" w:sz="4" w:space="0" w:color="auto"/>
            </w:tcBorders>
          </w:tcPr>
          <w:p w14:paraId="54F8516E" w14:textId="6DEF8EEE" w:rsidR="00612916" w:rsidRPr="00060463" w:rsidRDefault="00F16DD5" w:rsidP="00D7021E">
            <w:pPr>
              <w:spacing w:line="360" w:lineRule="auto"/>
              <w:rPr>
                <w:b/>
                <w:bCs/>
                <w:i/>
                <w:iCs/>
                <w:sz w:val="20"/>
              </w:rPr>
            </w:pPr>
            <w:r w:rsidRPr="00060463">
              <w:rPr>
                <w:b/>
                <w:bCs/>
                <w:i/>
                <w:iCs/>
                <w:sz w:val="20"/>
                <w:szCs w:val="20"/>
              </w:rPr>
              <w:lastRenderedPageBreak/>
              <w:t>00069/RAYON/IP/2025</w:t>
            </w:r>
          </w:p>
        </w:tc>
        <w:tc>
          <w:tcPr>
            <w:tcW w:w="6432" w:type="dxa"/>
            <w:tcBorders>
              <w:top w:val="single" w:sz="4" w:space="0" w:color="auto"/>
              <w:left w:val="single" w:sz="4" w:space="0" w:color="auto"/>
              <w:bottom w:val="single" w:sz="4" w:space="0" w:color="auto"/>
              <w:right w:val="single" w:sz="4" w:space="0" w:color="auto"/>
            </w:tcBorders>
          </w:tcPr>
          <w:p w14:paraId="1CA30AAC" w14:textId="3A64CF24" w:rsidR="00662DAE" w:rsidRPr="00060463" w:rsidRDefault="00662DAE" w:rsidP="00662DAE">
            <w:pPr>
              <w:spacing w:line="360" w:lineRule="auto"/>
              <w:rPr>
                <w:sz w:val="20"/>
              </w:rPr>
            </w:pPr>
            <w:r w:rsidRPr="00060463">
              <w:rPr>
                <w:sz w:val="20"/>
              </w:rPr>
              <w:t xml:space="preserve">i. Oficio número </w:t>
            </w:r>
            <w:r w:rsidR="009A67EB" w:rsidRPr="00060463">
              <w:rPr>
                <w:sz w:val="20"/>
              </w:rPr>
              <w:t>PM/SUBAD/254</w:t>
            </w:r>
            <w:r w:rsidRPr="00060463">
              <w:rPr>
                <w:sz w:val="20"/>
              </w:rPr>
              <w:t>/2025, del veinticuatro de septiembre de dos mil veinticinco, suscrito por el Subdirector de Administración y dirigido a la Titular de la Unidad de Transparencia, por medio del cual mencionó lo siguiente:</w:t>
            </w:r>
          </w:p>
          <w:p w14:paraId="35DD1BF6" w14:textId="77777777" w:rsidR="00662DAE" w:rsidRPr="00060463" w:rsidRDefault="00662DAE" w:rsidP="00662DAE">
            <w:pPr>
              <w:spacing w:line="360" w:lineRule="auto"/>
              <w:rPr>
                <w:sz w:val="20"/>
              </w:rPr>
            </w:pPr>
          </w:p>
          <w:p w14:paraId="7E867E09" w14:textId="7A7BE1F8" w:rsidR="00662DAE" w:rsidRPr="00060463" w:rsidRDefault="00662DAE" w:rsidP="00662DAE">
            <w:pPr>
              <w:spacing w:line="360" w:lineRule="auto"/>
              <w:rPr>
                <w:i/>
                <w:sz w:val="20"/>
              </w:rPr>
            </w:pPr>
            <w:r w:rsidRPr="00060463">
              <w:rPr>
                <w:i/>
                <w:sz w:val="20"/>
              </w:rPr>
              <w:t>“…Se solicitó a la Dirección Jurídica y Consultiva del Ayuntamiento, a través el oficio PMR/ADPM/0238/2025 las renuncias volunt</w:t>
            </w:r>
            <w:r w:rsidR="009A67EB" w:rsidRPr="00060463">
              <w:rPr>
                <w:i/>
                <w:sz w:val="20"/>
              </w:rPr>
              <w:t>arias del mes de mayo y junio</w:t>
            </w:r>
            <w:r w:rsidRPr="00060463">
              <w:rPr>
                <w:i/>
                <w:sz w:val="20"/>
              </w:rPr>
              <w:t xml:space="preserve"> del año en curso, las cuales se agregan al presente en formato </w:t>
            </w:r>
            <w:proofErr w:type="spellStart"/>
            <w:r w:rsidRPr="00060463">
              <w:rPr>
                <w:i/>
                <w:sz w:val="20"/>
              </w:rPr>
              <w:t>pdf</w:t>
            </w:r>
            <w:proofErr w:type="spellEnd"/>
            <w:r w:rsidRPr="00060463">
              <w:rPr>
                <w:i/>
                <w:sz w:val="20"/>
              </w:rPr>
              <w:t>., como anexo uno. Asimismo, se agregan los formatos de movimientos de alta de los servidores públicos contratados durante el periodo requerido. (Anexo dos)</w:t>
            </w:r>
          </w:p>
          <w:p w14:paraId="089E1F07" w14:textId="77777777" w:rsidR="00662DAE" w:rsidRPr="00060463" w:rsidRDefault="00662DAE" w:rsidP="00662DAE">
            <w:pPr>
              <w:spacing w:line="360" w:lineRule="auto"/>
              <w:rPr>
                <w:i/>
                <w:sz w:val="20"/>
              </w:rPr>
            </w:pPr>
          </w:p>
          <w:p w14:paraId="3518F77B" w14:textId="77777777" w:rsidR="00662DAE" w:rsidRPr="00060463" w:rsidRDefault="00662DAE" w:rsidP="00662DAE">
            <w:pPr>
              <w:spacing w:line="360" w:lineRule="auto"/>
              <w:rPr>
                <w:i/>
                <w:sz w:val="20"/>
              </w:rPr>
            </w:pPr>
            <w:r w:rsidRPr="00060463">
              <w:rPr>
                <w:i/>
                <w:sz w:val="20"/>
              </w:rPr>
              <w:t xml:space="preserve">Cabe precisar que, una vez analizados los documentos con el que se dará "renuncias voluntarias y aviso de movimiento de alta de los servidores públicos", se advierte que existe información susceptible de clasificar como confidencial al tratarse de datos personales concernientes a una persona física identificada o identificable tales como: RFC, CURP, CLAVE </w:t>
            </w:r>
            <w:proofErr w:type="spellStart"/>
            <w:r w:rsidRPr="00060463">
              <w:rPr>
                <w:i/>
                <w:sz w:val="20"/>
              </w:rPr>
              <w:t>ISEEMyM</w:t>
            </w:r>
            <w:proofErr w:type="spellEnd"/>
            <w:r w:rsidRPr="00060463">
              <w:rPr>
                <w:i/>
                <w:sz w:val="20"/>
              </w:rPr>
              <w:t xml:space="preserve"> y HUELLA DACTILAR; al tratarse de datos personales concernientes a una persona física identificada o identificable…</w:t>
            </w:r>
          </w:p>
          <w:p w14:paraId="19DAFC68" w14:textId="77777777" w:rsidR="00662DAE" w:rsidRPr="00060463" w:rsidRDefault="00662DAE" w:rsidP="00662DAE">
            <w:pPr>
              <w:spacing w:line="360" w:lineRule="auto"/>
              <w:rPr>
                <w:i/>
                <w:sz w:val="20"/>
              </w:rPr>
            </w:pPr>
            <w:r w:rsidRPr="00060463">
              <w:rPr>
                <w:i/>
                <w:sz w:val="20"/>
              </w:rPr>
              <w:t>…”</w:t>
            </w:r>
          </w:p>
          <w:p w14:paraId="0111E9A4" w14:textId="77777777" w:rsidR="00662DAE" w:rsidRPr="00060463" w:rsidRDefault="00662DAE" w:rsidP="00662DAE">
            <w:pPr>
              <w:spacing w:line="360" w:lineRule="auto"/>
              <w:rPr>
                <w:sz w:val="20"/>
              </w:rPr>
            </w:pPr>
          </w:p>
          <w:p w14:paraId="273CF379" w14:textId="77777777" w:rsidR="00662DAE" w:rsidRPr="00060463" w:rsidRDefault="00662DAE" w:rsidP="00662DAE">
            <w:pPr>
              <w:spacing w:line="360" w:lineRule="auto"/>
              <w:rPr>
                <w:sz w:val="20"/>
              </w:rPr>
            </w:pPr>
            <w:r w:rsidRPr="00060463">
              <w:rPr>
                <w:sz w:val="20"/>
              </w:rPr>
              <w:t>ii. Acta de la Décima Sexta Sesión Extraordinaria emitida por el Comité de Transparencia, por medio del cual se confirma la clasificación de la información como confidencial.</w:t>
            </w:r>
          </w:p>
          <w:p w14:paraId="685539F4" w14:textId="77777777" w:rsidR="00662DAE" w:rsidRPr="00060463" w:rsidRDefault="00662DAE" w:rsidP="00662DAE">
            <w:pPr>
              <w:spacing w:line="360" w:lineRule="auto"/>
              <w:rPr>
                <w:sz w:val="20"/>
              </w:rPr>
            </w:pPr>
          </w:p>
          <w:p w14:paraId="289D388B" w14:textId="435EE16C" w:rsidR="00662DAE" w:rsidRPr="00060463" w:rsidRDefault="009A67EB" w:rsidP="00662DAE">
            <w:pPr>
              <w:spacing w:line="360" w:lineRule="auto"/>
              <w:rPr>
                <w:sz w:val="20"/>
              </w:rPr>
            </w:pPr>
            <w:r w:rsidRPr="00060463">
              <w:rPr>
                <w:sz w:val="20"/>
              </w:rPr>
              <w:t>iii. Quince</w:t>
            </w:r>
            <w:r w:rsidR="00662DAE" w:rsidRPr="00060463">
              <w:rPr>
                <w:sz w:val="20"/>
              </w:rPr>
              <w:t xml:space="preserve"> Avisos de Movimientos de Alta del </w:t>
            </w:r>
            <w:proofErr w:type="spellStart"/>
            <w:r w:rsidR="00662DAE" w:rsidRPr="00060463">
              <w:rPr>
                <w:sz w:val="20"/>
              </w:rPr>
              <w:t>Issemym</w:t>
            </w:r>
            <w:proofErr w:type="spellEnd"/>
            <w:r w:rsidR="00662DAE" w:rsidRPr="00060463">
              <w:rPr>
                <w:sz w:val="20"/>
              </w:rPr>
              <w:t>, en versión pública.</w:t>
            </w:r>
          </w:p>
          <w:p w14:paraId="328F080F" w14:textId="77777777" w:rsidR="00662DAE" w:rsidRPr="00060463" w:rsidRDefault="00662DAE" w:rsidP="00662DAE">
            <w:pPr>
              <w:spacing w:line="360" w:lineRule="auto"/>
              <w:rPr>
                <w:sz w:val="20"/>
              </w:rPr>
            </w:pPr>
          </w:p>
          <w:p w14:paraId="3434FFF1" w14:textId="77777777" w:rsidR="00662DAE" w:rsidRPr="00060463" w:rsidRDefault="00662DAE" w:rsidP="00662DAE">
            <w:pPr>
              <w:spacing w:line="360" w:lineRule="auto"/>
              <w:rPr>
                <w:sz w:val="20"/>
              </w:rPr>
            </w:pPr>
            <w:r w:rsidRPr="00060463">
              <w:rPr>
                <w:sz w:val="20"/>
              </w:rPr>
              <w:t>iv. Oficio número PMR/DJC/131/2025, del veinticuatro de septiembre de dos mil veinticinco, suscrito por el Encargado de Despacho de la Dirección Jurídica Consultiva y dirigido al Subdirector de Administración, por medio del cual mencionó lo siguiente:</w:t>
            </w:r>
          </w:p>
          <w:p w14:paraId="704B87E1" w14:textId="77777777" w:rsidR="00662DAE" w:rsidRPr="00060463" w:rsidRDefault="00662DAE" w:rsidP="00662DAE">
            <w:pPr>
              <w:spacing w:line="360" w:lineRule="auto"/>
              <w:rPr>
                <w:sz w:val="20"/>
              </w:rPr>
            </w:pPr>
          </w:p>
          <w:p w14:paraId="1CA8BFF2" w14:textId="77777777" w:rsidR="00662DAE" w:rsidRPr="00060463" w:rsidRDefault="00662DAE" w:rsidP="00662DAE">
            <w:pPr>
              <w:spacing w:line="360" w:lineRule="auto"/>
              <w:rPr>
                <w:i/>
                <w:sz w:val="20"/>
              </w:rPr>
            </w:pPr>
            <w:r w:rsidRPr="00060463">
              <w:rPr>
                <w:i/>
                <w:sz w:val="20"/>
              </w:rPr>
              <w:t>“…me permito remitir, para los efectos administrativos y legales conducentes, las renuncias voluntarias presentadas por el personal adscrito a este H. Ayuntamiento, correspondientes al periodo comprendido de enero a la fecha del presente año, las cuales se enlistan a continuación:</w:t>
            </w:r>
          </w:p>
          <w:p w14:paraId="10D86E79" w14:textId="77777777" w:rsidR="00662DAE" w:rsidRPr="00060463" w:rsidRDefault="00662DAE" w:rsidP="00662DAE">
            <w:pPr>
              <w:spacing w:line="360" w:lineRule="auto"/>
              <w:rPr>
                <w:i/>
                <w:sz w:val="20"/>
              </w:rPr>
            </w:pPr>
          </w:p>
          <w:p w14:paraId="5A12DD57" w14:textId="77777777" w:rsidR="00662DAE" w:rsidRPr="00060463" w:rsidRDefault="00662DAE" w:rsidP="00662DAE">
            <w:pPr>
              <w:spacing w:line="360" w:lineRule="auto"/>
              <w:rPr>
                <w:i/>
                <w:sz w:val="20"/>
              </w:rPr>
            </w:pPr>
            <w:r w:rsidRPr="00060463">
              <w:rPr>
                <w:i/>
                <w:noProof/>
                <w:sz w:val="20"/>
              </w:rPr>
              <w:lastRenderedPageBreak/>
              <w:drawing>
                <wp:inline distT="0" distB="0" distL="0" distR="0" wp14:anchorId="770F1E81" wp14:editId="1A124569">
                  <wp:extent cx="3218311" cy="2839011"/>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4A0E0.tmp"/>
                          <pic:cNvPicPr/>
                        </pic:nvPicPr>
                        <pic:blipFill>
                          <a:blip r:embed="rId9">
                            <a:extLst>
                              <a:ext uri="{28A0092B-C50C-407E-A947-70E740481C1C}">
                                <a14:useLocalDpi xmlns:a14="http://schemas.microsoft.com/office/drawing/2010/main" val="0"/>
                              </a:ext>
                            </a:extLst>
                          </a:blip>
                          <a:stretch>
                            <a:fillRect/>
                          </a:stretch>
                        </pic:blipFill>
                        <pic:spPr>
                          <a:xfrm>
                            <a:off x="0" y="0"/>
                            <a:ext cx="3232787" cy="2851781"/>
                          </a:xfrm>
                          <a:prstGeom prst="rect">
                            <a:avLst/>
                          </a:prstGeom>
                        </pic:spPr>
                      </pic:pic>
                    </a:graphicData>
                  </a:graphic>
                </wp:inline>
              </w:drawing>
            </w:r>
          </w:p>
          <w:p w14:paraId="20C23417" w14:textId="77777777" w:rsidR="00662DAE" w:rsidRPr="00060463" w:rsidRDefault="00662DAE" w:rsidP="00662DAE">
            <w:pPr>
              <w:spacing w:line="360" w:lineRule="auto"/>
              <w:rPr>
                <w:i/>
                <w:sz w:val="20"/>
              </w:rPr>
            </w:pPr>
            <w:r w:rsidRPr="00060463">
              <w:rPr>
                <w:i/>
                <w:noProof/>
                <w:sz w:val="20"/>
              </w:rPr>
              <w:drawing>
                <wp:inline distT="0" distB="0" distL="0" distR="0" wp14:anchorId="49FD7B13" wp14:editId="1C676F02">
                  <wp:extent cx="3298473" cy="11334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B4F654.tmp"/>
                          <pic:cNvPicPr/>
                        </pic:nvPicPr>
                        <pic:blipFill>
                          <a:blip r:embed="rId10">
                            <a:extLst>
                              <a:ext uri="{28A0092B-C50C-407E-A947-70E740481C1C}">
                                <a14:useLocalDpi xmlns:a14="http://schemas.microsoft.com/office/drawing/2010/main" val="0"/>
                              </a:ext>
                            </a:extLst>
                          </a:blip>
                          <a:stretch>
                            <a:fillRect/>
                          </a:stretch>
                        </pic:blipFill>
                        <pic:spPr>
                          <a:xfrm>
                            <a:off x="0" y="0"/>
                            <a:ext cx="3322781" cy="1141828"/>
                          </a:xfrm>
                          <a:prstGeom prst="rect">
                            <a:avLst/>
                          </a:prstGeom>
                        </pic:spPr>
                      </pic:pic>
                    </a:graphicData>
                  </a:graphic>
                </wp:inline>
              </w:drawing>
            </w:r>
          </w:p>
          <w:p w14:paraId="555515E5" w14:textId="77777777" w:rsidR="00662DAE" w:rsidRPr="00060463" w:rsidRDefault="00662DAE" w:rsidP="00662DAE">
            <w:pPr>
              <w:spacing w:line="360" w:lineRule="auto"/>
              <w:rPr>
                <w:i/>
                <w:sz w:val="20"/>
              </w:rPr>
            </w:pPr>
            <w:r w:rsidRPr="00060463">
              <w:rPr>
                <w:i/>
                <w:sz w:val="20"/>
              </w:rPr>
              <w:t>…”</w:t>
            </w:r>
          </w:p>
          <w:p w14:paraId="5558C3FF" w14:textId="471A50CE" w:rsidR="00612916" w:rsidRPr="00060463" w:rsidRDefault="00662DAE" w:rsidP="00D7021E">
            <w:pPr>
              <w:spacing w:line="360" w:lineRule="auto"/>
              <w:rPr>
                <w:sz w:val="20"/>
              </w:rPr>
            </w:pPr>
            <w:proofErr w:type="gramStart"/>
            <w:r w:rsidRPr="00060463">
              <w:rPr>
                <w:sz w:val="20"/>
              </w:rPr>
              <w:t>v</w:t>
            </w:r>
            <w:proofErr w:type="gramEnd"/>
            <w:r w:rsidRPr="00060463">
              <w:rPr>
                <w:sz w:val="20"/>
              </w:rPr>
              <w:t>. Treinta y un cartas de renuncia, en versión pública.</w:t>
            </w:r>
          </w:p>
        </w:tc>
      </w:tr>
      <w:tr w:rsidR="00612916" w:rsidRPr="00060463" w14:paraId="76C30E3E" w14:textId="77777777" w:rsidTr="00BB5ADE">
        <w:tc>
          <w:tcPr>
            <w:tcW w:w="2494" w:type="dxa"/>
            <w:tcBorders>
              <w:top w:val="single" w:sz="4" w:space="0" w:color="auto"/>
              <w:left w:val="single" w:sz="4" w:space="0" w:color="auto"/>
              <w:bottom w:val="single" w:sz="4" w:space="0" w:color="auto"/>
              <w:right w:val="single" w:sz="4" w:space="0" w:color="auto"/>
            </w:tcBorders>
          </w:tcPr>
          <w:p w14:paraId="3B08997C" w14:textId="38962068" w:rsidR="00612916" w:rsidRPr="00060463" w:rsidRDefault="00F16DD5" w:rsidP="00D7021E">
            <w:pPr>
              <w:spacing w:line="360" w:lineRule="auto"/>
              <w:rPr>
                <w:b/>
                <w:bCs/>
                <w:i/>
                <w:iCs/>
                <w:sz w:val="20"/>
              </w:rPr>
            </w:pPr>
            <w:r w:rsidRPr="00060463">
              <w:rPr>
                <w:b/>
                <w:bCs/>
                <w:i/>
                <w:iCs/>
                <w:sz w:val="20"/>
                <w:szCs w:val="20"/>
              </w:rPr>
              <w:lastRenderedPageBreak/>
              <w:t>00070/RAYON/IP/2025</w:t>
            </w:r>
          </w:p>
        </w:tc>
        <w:tc>
          <w:tcPr>
            <w:tcW w:w="6432" w:type="dxa"/>
            <w:tcBorders>
              <w:top w:val="single" w:sz="4" w:space="0" w:color="auto"/>
              <w:left w:val="single" w:sz="4" w:space="0" w:color="auto"/>
              <w:bottom w:val="single" w:sz="4" w:space="0" w:color="auto"/>
              <w:right w:val="single" w:sz="4" w:space="0" w:color="auto"/>
            </w:tcBorders>
          </w:tcPr>
          <w:p w14:paraId="042F1328" w14:textId="183B68B9" w:rsidR="003249E3" w:rsidRPr="00060463" w:rsidRDefault="001F3210" w:rsidP="003249E3">
            <w:pPr>
              <w:spacing w:line="360" w:lineRule="auto"/>
              <w:rPr>
                <w:sz w:val="20"/>
              </w:rPr>
            </w:pPr>
            <w:r w:rsidRPr="00060463">
              <w:rPr>
                <w:sz w:val="20"/>
              </w:rPr>
              <w:t xml:space="preserve"> </w:t>
            </w:r>
            <w:r w:rsidR="003249E3" w:rsidRPr="00060463">
              <w:rPr>
                <w:sz w:val="20"/>
              </w:rPr>
              <w:t>i. Oficio número PM/SUBAD/255/2025, del veinticuatro de septiembre de dos mil veinticinco, suscrito por el Subdirector de Administración y dirigido a la Titular de la Unidad de Transparencia, por medio del cual mencionó lo siguiente:</w:t>
            </w:r>
          </w:p>
          <w:p w14:paraId="1CFE89F3" w14:textId="77777777" w:rsidR="003249E3" w:rsidRPr="00060463" w:rsidRDefault="003249E3" w:rsidP="003249E3">
            <w:pPr>
              <w:spacing w:line="360" w:lineRule="auto"/>
              <w:rPr>
                <w:sz w:val="20"/>
              </w:rPr>
            </w:pPr>
          </w:p>
          <w:p w14:paraId="6BFEED64" w14:textId="7BA345F0" w:rsidR="003249E3" w:rsidRPr="00060463" w:rsidRDefault="003249E3" w:rsidP="003249E3">
            <w:pPr>
              <w:spacing w:line="360" w:lineRule="auto"/>
              <w:rPr>
                <w:i/>
                <w:sz w:val="20"/>
              </w:rPr>
            </w:pPr>
            <w:r w:rsidRPr="00060463">
              <w:rPr>
                <w:i/>
                <w:sz w:val="20"/>
              </w:rPr>
              <w:t xml:space="preserve">“…Se solicitó a la Dirección Jurídica y Consultiva del Ayuntamiento, a través el oficio PMR/ADPM/0238/2025 las renuncias voluntarias del mes de julio y agosto del año en curso, las cuales se agregan al presente en formato </w:t>
            </w:r>
            <w:proofErr w:type="spellStart"/>
            <w:r w:rsidRPr="00060463">
              <w:rPr>
                <w:i/>
                <w:sz w:val="20"/>
              </w:rPr>
              <w:t>pdf</w:t>
            </w:r>
            <w:proofErr w:type="spellEnd"/>
            <w:r w:rsidRPr="00060463">
              <w:rPr>
                <w:i/>
                <w:sz w:val="20"/>
              </w:rPr>
              <w:t>., como anexo uno. Asimismo, se agregan los formatos de movimientos de alta de los servidores públicos contratados durante el periodo requerido. (Anexo dos)</w:t>
            </w:r>
          </w:p>
          <w:p w14:paraId="2DE6056C" w14:textId="77777777" w:rsidR="003249E3" w:rsidRPr="00060463" w:rsidRDefault="003249E3" w:rsidP="003249E3">
            <w:pPr>
              <w:spacing w:line="360" w:lineRule="auto"/>
              <w:rPr>
                <w:i/>
                <w:sz w:val="20"/>
              </w:rPr>
            </w:pPr>
          </w:p>
          <w:p w14:paraId="6C6ACFE1" w14:textId="77777777" w:rsidR="003249E3" w:rsidRPr="00060463" w:rsidRDefault="003249E3" w:rsidP="003249E3">
            <w:pPr>
              <w:spacing w:line="360" w:lineRule="auto"/>
              <w:rPr>
                <w:i/>
                <w:sz w:val="20"/>
              </w:rPr>
            </w:pPr>
            <w:r w:rsidRPr="00060463">
              <w:rPr>
                <w:i/>
                <w:sz w:val="20"/>
              </w:rPr>
              <w:t xml:space="preserve">Cabe precisar que, una vez analizados los documentos con el que se dará "renuncias voluntarias y aviso de movimiento de alta de los servidores públicos", se advierte que existe información susceptible de clasificar como confidencial al tratarse de datos personales concernientes a una persona física identificada o identificable tales como: RFC, CURP, CLAVE </w:t>
            </w:r>
            <w:proofErr w:type="spellStart"/>
            <w:r w:rsidRPr="00060463">
              <w:rPr>
                <w:i/>
                <w:sz w:val="20"/>
              </w:rPr>
              <w:t>ISEEMyM</w:t>
            </w:r>
            <w:proofErr w:type="spellEnd"/>
            <w:r w:rsidRPr="00060463">
              <w:rPr>
                <w:i/>
                <w:sz w:val="20"/>
              </w:rPr>
              <w:t xml:space="preserve"> y HUELLA DACTILAR; al tratarse de datos personales concernientes a una persona física identificada o identificable…</w:t>
            </w:r>
          </w:p>
          <w:p w14:paraId="58B5EE29" w14:textId="77777777" w:rsidR="003249E3" w:rsidRPr="00060463" w:rsidRDefault="003249E3" w:rsidP="003249E3">
            <w:pPr>
              <w:spacing w:line="360" w:lineRule="auto"/>
              <w:rPr>
                <w:i/>
                <w:sz w:val="20"/>
              </w:rPr>
            </w:pPr>
            <w:r w:rsidRPr="00060463">
              <w:rPr>
                <w:i/>
                <w:sz w:val="20"/>
              </w:rPr>
              <w:t>…”</w:t>
            </w:r>
          </w:p>
          <w:p w14:paraId="567E8BCF" w14:textId="77777777" w:rsidR="003249E3" w:rsidRPr="00060463" w:rsidRDefault="003249E3" w:rsidP="003249E3">
            <w:pPr>
              <w:spacing w:line="360" w:lineRule="auto"/>
              <w:rPr>
                <w:sz w:val="20"/>
              </w:rPr>
            </w:pPr>
          </w:p>
          <w:p w14:paraId="4FC67A23" w14:textId="77777777" w:rsidR="003249E3" w:rsidRPr="00060463" w:rsidRDefault="003249E3" w:rsidP="003249E3">
            <w:pPr>
              <w:spacing w:line="360" w:lineRule="auto"/>
              <w:rPr>
                <w:sz w:val="20"/>
              </w:rPr>
            </w:pPr>
            <w:r w:rsidRPr="00060463">
              <w:rPr>
                <w:sz w:val="20"/>
              </w:rPr>
              <w:t>ii. Acta de la Décima Sexta Sesión Extraordinaria emitida por el Comité de Transparencia, por medio del cual se confirma la clasificación de la información como confidencial.</w:t>
            </w:r>
          </w:p>
          <w:p w14:paraId="0C4866D0" w14:textId="77777777" w:rsidR="003249E3" w:rsidRPr="00060463" w:rsidRDefault="003249E3" w:rsidP="003249E3">
            <w:pPr>
              <w:spacing w:line="360" w:lineRule="auto"/>
              <w:rPr>
                <w:sz w:val="20"/>
              </w:rPr>
            </w:pPr>
          </w:p>
          <w:p w14:paraId="509CE1B9" w14:textId="7421AFB6" w:rsidR="003249E3" w:rsidRPr="00060463" w:rsidRDefault="003249E3" w:rsidP="003249E3">
            <w:pPr>
              <w:spacing w:line="360" w:lineRule="auto"/>
              <w:rPr>
                <w:sz w:val="20"/>
              </w:rPr>
            </w:pPr>
            <w:r w:rsidRPr="00060463">
              <w:rPr>
                <w:sz w:val="20"/>
              </w:rPr>
              <w:t xml:space="preserve">iii. Siete Avisos de Movimientos de Alta del </w:t>
            </w:r>
            <w:proofErr w:type="spellStart"/>
            <w:r w:rsidRPr="00060463">
              <w:rPr>
                <w:sz w:val="20"/>
              </w:rPr>
              <w:t>Issemym</w:t>
            </w:r>
            <w:proofErr w:type="spellEnd"/>
            <w:r w:rsidRPr="00060463">
              <w:rPr>
                <w:sz w:val="20"/>
              </w:rPr>
              <w:t>, en versión pública.</w:t>
            </w:r>
          </w:p>
          <w:p w14:paraId="2D8C5DD6" w14:textId="77777777" w:rsidR="003249E3" w:rsidRPr="00060463" w:rsidRDefault="003249E3" w:rsidP="003249E3">
            <w:pPr>
              <w:spacing w:line="360" w:lineRule="auto"/>
              <w:rPr>
                <w:sz w:val="20"/>
              </w:rPr>
            </w:pPr>
          </w:p>
          <w:p w14:paraId="7CF8963B" w14:textId="77777777" w:rsidR="003249E3" w:rsidRPr="00060463" w:rsidRDefault="003249E3" w:rsidP="003249E3">
            <w:pPr>
              <w:spacing w:line="360" w:lineRule="auto"/>
              <w:rPr>
                <w:sz w:val="20"/>
              </w:rPr>
            </w:pPr>
            <w:r w:rsidRPr="00060463">
              <w:rPr>
                <w:sz w:val="20"/>
              </w:rPr>
              <w:t>iv. Oficio número PMR/DJC/131/2025, del veinticuatro de septiembre de dos mil veinticinco, suscrito por el Encargado de Despacho de la Dirección Jurídica Consultiva y dirigido al Subdirector de Administración, por medio del cual mencionó lo siguiente:</w:t>
            </w:r>
          </w:p>
          <w:p w14:paraId="67A85E2D" w14:textId="77777777" w:rsidR="003249E3" w:rsidRPr="00060463" w:rsidRDefault="003249E3" w:rsidP="003249E3">
            <w:pPr>
              <w:spacing w:line="360" w:lineRule="auto"/>
              <w:rPr>
                <w:sz w:val="20"/>
              </w:rPr>
            </w:pPr>
          </w:p>
          <w:p w14:paraId="4131D138" w14:textId="77777777" w:rsidR="003249E3" w:rsidRPr="00060463" w:rsidRDefault="003249E3" w:rsidP="003249E3">
            <w:pPr>
              <w:spacing w:line="360" w:lineRule="auto"/>
              <w:rPr>
                <w:i/>
                <w:sz w:val="20"/>
              </w:rPr>
            </w:pPr>
            <w:r w:rsidRPr="00060463">
              <w:rPr>
                <w:i/>
                <w:sz w:val="20"/>
              </w:rPr>
              <w:t>“…me permito remitir, para los efectos administrativos y legales conducentes, las renuncias voluntarias presentadas por el personal adscrito a este H. Ayuntamiento, correspondientes al periodo comprendido de enero a la fecha del presente año, las cuales se enlistan a continuación:</w:t>
            </w:r>
          </w:p>
          <w:p w14:paraId="2F342843" w14:textId="77777777" w:rsidR="003249E3" w:rsidRPr="00060463" w:rsidRDefault="003249E3" w:rsidP="003249E3">
            <w:pPr>
              <w:spacing w:line="360" w:lineRule="auto"/>
              <w:rPr>
                <w:i/>
                <w:sz w:val="20"/>
              </w:rPr>
            </w:pPr>
          </w:p>
          <w:p w14:paraId="7EF960C9" w14:textId="77777777" w:rsidR="003249E3" w:rsidRPr="00060463" w:rsidRDefault="003249E3" w:rsidP="003249E3">
            <w:pPr>
              <w:spacing w:line="360" w:lineRule="auto"/>
              <w:rPr>
                <w:i/>
                <w:sz w:val="20"/>
              </w:rPr>
            </w:pPr>
            <w:r w:rsidRPr="00060463">
              <w:rPr>
                <w:i/>
                <w:noProof/>
                <w:sz w:val="20"/>
              </w:rPr>
              <w:lastRenderedPageBreak/>
              <w:drawing>
                <wp:inline distT="0" distB="0" distL="0" distR="0" wp14:anchorId="7E4915F1" wp14:editId="54DBCA37">
                  <wp:extent cx="3218311" cy="2839011"/>
                  <wp:effectExtent l="0" t="0" r="127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4A0E0.tmp"/>
                          <pic:cNvPicPr/>
                        </pic:nvPicPr>
                        <pic:blipFill>
                          <a:blip r:embed="rId9">
                            <a:extLst>
                              <a:ext uri="{28A0092B-C50C-407E-A947-70E740481C1C}">
                                <a14:useLocalDpi xmlns:a14="http://schemas.microsoft.com/office/drawing/2010/main" val="0"/>
                              </a:ext>
                            </a:extLst>
                          </a:blip>
                          <a:stretch>
                            <a:fillRect/>
                          </a:stretch>
                        </pic:blipFill>
                        <pic:spPr>
                          <a:xfrm>
                            <a:off x="0" y="0"/>
                            <a:ext cx="3232787" cy="2851781"/>
                          </a:xfrm>
                          <a:prstGeom prst="rect">
                            <a:avLst/>
                          </a:prstGeom>
                        </pic:spPr>
                      </pic:pic>
                    </a:graphicData>
                  </a:graphic>
                </wp:inline>
              </w:drawing>
            </w:r>
          </w:p>
          <w:p w14:paraId="4003060A" w14:textId="77777777" w:rsidR="003249E3" w:rsidRPr="00060463" w:rsidRDefault="003249E3" w:rsidP="003249E3">
            <w:pPr>
              <w:spacing w:line="360" w:lineRule="auto"/>
              <w:rPr>
                <w:i/>
                <w:sz w:val="20"/>
              </w:rPr>
            </w:pPr>
            <w:r w:rsidRPr="00060463">
              <w:rPr>
                <w:i/>
                <w:noProof/>
                <w:sz w:val="20"/>
              </w:rPr>
              <w:drawing>
                <wp:inline distT="0" distB="0" distL="0" distR="0" wp14:anchorId="0EE99000" wp14:editId="314618AF">
                  <wp:extent cx="3298473" cy="113347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B4F654.tmp"/>
                          <pic:cNvPicPr/>
                        </pic:nvPicPr>
                        <pic:blipFill>
                          <a:blip r:embed="rId10">
                            <a:extLst>
                              <a:ext uri="{28A0092B-C50C-407E-A947-70E740481C1C}">
                                <a14:useLocalDpi xmlns:a14="http://schemas.microsoft.com/office/drawing/2010/main" val="0"/>
                              </a:ext>
                            </a:extLst>
                          </a:blip>
                          <a:stretch>
                            <a:fillRect/>
                          </a:stretch>
                        </pic:blipFill>
                        <pic:spPr>
                          <a:xfrm>
                            <a:off x="0" y="0"/>
                            <a:ext cx="3322781" cy="1141828"/>
                          </a:xfrm>
                          <a:prstGeom prst="rect">
                            <a:avLst/>
                          </a:prstGeom>
                        </pic:spPr>
                      </pic:pic>
                    </a:graphicData>
                  </a:graphic>
                </wp:inline>
              </w:drawing>
            </w:r>
          </w:p>
          <w:p w14:paraId="4F0B93C2" w14:textId="77777777" w:rsidR="003249E3" w:rsidRPr="00060463" w:rsidRDefault="003249E3" w:rsidP="003249E3">
            <w:pPr>
              <w:spacing w:line="360" w:lineRule="auto"/>
              <w:rPr>
                <w:i/>
                <w:sz w:val="20"/>
              </w:rPr>
            </w:pPr>
            <w:r w:rsidRPr="00060463">
              <w:rPr>
                <w:i/>
                <w:sz w:val="20"/>
              </w:rPr>
              <w:t>…”</w:t>
            </w:r>
          </w:p>
          <w:p w14:paraId="53F4F0B4" w14:textId="4B5ECB15" w:rsidR="00612916" w:rsidRPr="00060463" w:rsidRDefault="003249E3" w:rsidP="00D7021E">
            <w:pPr>
              <w:spacing w:line="360" w:lineRule="auto"/>
              <w:rPr>
                <w:sz w:val="20"/>
              </w:rPr>
            </w:pPr>
            <w:proofErr w:type="gramStart"/>
            <w:r w:rsidRPr="00060463">
              <w:rPr>
                <w:sz w:val="20"/>
              </w:rPr>
              <w:t>v</w:t>
            </w:r>
            <w:proofErr w:type="gramEnd"/>
            <w:r w:rsidRPr="00060463">
              <w:rPr>
                <w:sz w:val="20"/>
              </w:rPr>
              <w:t>. Treinta y un cartas de renuncia, en versión pública.</w:t>
            </w:r>
          </w:p>
        </w:tc>
      </w:tr>
      <w:tr w:rsidR="00E51B4B" w:rsidRPr="00060463" w14:paraId="5DE57D1A" w14:textId="77777777" w:rsidTr="00BB5ADE">
        <w:tc>
          <w:tcPr>
            <w:tcW w:w="2494" w:type="dxa"/>
            <w:tcBorders>
              <w:top w:val="single" w:sz="4" w:space="0" w:color="auto"/>
              <w:left w:val="single" w:sz="4" w:space="0" w:color="auto"/>
              <w:bottom w:val="single" w:sz="4" w:space="0" w:color="auto"/>
              <w:right w:val="single" w:sz="4" w:space="0" w:color="auto"/>
            </w:tcBorders>
          </w:tcPr>
          <w:p w14:paraId="73690132" w14:textId="6E760EE7" w:rsidR="00E51B4B" w:rsidRPr="00060463" w:rsidRDefault="00F16DD5" w:rsidP="00D7021E">
            <w:pPr>
              <w:spacing w:line="360" w:lineRule="auto"/>
              <w:rPr>
                <w:b/>
                <w:bCs/>
                <w:i/>
                <w:iCs/>
                <w:sz w:val="20"/>
                <w:szCs w:val="20"/>
              </w:rPr>
            </w:pPr>
            <w:r w:rsidRPr="00060463">
              <w:rPr>
                <w:b/>
                <w:bCs/>
                <w:i/>
                <w:iCs/>
                <w:sz w:val="20"/>
                <w:szCs w:val="20"/>
              </w:rPr>
              <w:lastRenderedPageBreak/>
              <w:t>00071/RAYON/IP/2025</w:t>
            </w:r>
          </w:p>
        </w:tc>
        <w:tc>
          <w:tcPr>
            <w:tcW w:w="6432" w:type="dxa"/>
            <w:tcBorders>
              <w:top w:val="single" w:sz="4" w:space="0" w:color="auto"/>
              <w:left w:val="single" w:sz="4" w:space="0" w:color="auto"/>
              <w:bottom w:val="single" w:sz="4" w:space="0" w:color="auto"/>
              <w:right w:val="single" w:sz="4" w:space="0" w:color="auto"/>
            </w:tcBorders>
          </w:tcPr>
          <w:p w14:paraId="2D21D466" w14:textId="5BBAF1C2" w:rsidR="00313C19" w:rsidRPr="00060463" w:rsidRDefault="00FE7174" w:rsidP="00313C19">
            <w:pPr>
              <w:spacing w:line="360" w:lineRule="auto"/>
              <w:rPr>
                <w:sz w:val="20"/>
              </w:rPr>
            </w:pPr>
            <w:r w:rsidRPr="00060463">
              <w:rPr>
                <w:sz w:val="20"/>
              </w:rPr>
              <w:t xml:space="preserve"> </w:t>
            </w:r>
            <w:r w:rsidR="00313C19" w:rsidRPr="00060463">
              <w:rPr>
                <w:sz w:val="20"/>
              </w:rPr>
              <w:t>i. Oficio número PM/SUBAD/256/2025, del veinticuatro de septiembre de dos mil veinticinco, suscrito por el Subdirector de Administración y dirigido a la Titular de la Unidad de Transparencia, por medio del cual mencionó lo siguiente:</w:t>
            </w:r>
          </w:p>
          <w:p w14:paraId="05DE1404" w14:textId="77777777" w:rsidR="00313C19" w:rsidRPr="00060463" w:rsidRDefault="00313C19" w:rsidP="00313C19">
            <w:pPr>
              <w:spacing w:line="360" w:lineRule="auto"/>
              <w:rPr>
                <w:sz w:val="20"/>
              </w:rPr>
            </w:pPr>
          </w:p>
          <w:p w14:paraId="33B29174" w14:textId="346DE903" w:rsidR="00313C19" w:rsidRPr="00060463" w:rsidRDefault="00313C19" w:rsidP="00313C19">
            <w:pPr>
              <w:spacing w:line="360" w:lineRule="auto"/>
              <w:rPr>
                <w:i/>
                <w:sz w:val="20"/>
              </w:rPr>
            </w:pPr>
            <w:r w:rsidRPr="00060463">
              <w:rPr>
                <w:i/>
                <w:sz w:val="20"/>
              </w:rPr>
              <w:t xml:space="preserve">“…Se solicitó a la Dirección Jurídica y Consultiva del Ayuntamiento, a través el oficio PMR/ADPM/0238/2025 las renuncias voluntarias del mes de junio a agosto, las cuales se agregan al presente en formato </w:t>
            </w:r>
            <w:proofErr w:type="spellStart"/>
            <w:r w:rsidRPr="00060463">
              <w:rPr>
                <w:i/>
                <w:sz w:val="20"/>
              </w:rPr>
              <w:t>pdf</w:t>
            </w:r>
            <w:proofErr w:type="spellEnd"/>
            <w:r w:rsidRPr="00060463">
              <w:rPr>
                <w:i/>
                <w:sz w:val="20"/>
              </w:rPr>
              <w:t xml:space="preserve">., como anexo uno. </w:t>
            </w:r>
          </w:p>
          <w:p w14:paraId="6482EB3A" w14:textId="77777777" w:rsidR="00313C19" w:rsidRPr="00060463" w:rsidRDefault="00313C19" w:rsidP="00313C19">
            <w:pPr>
              <w:spacing w:line="360" w:lineRule="auto"/>
              <w:rPr>
                <w:i/>
                <w:sz w:val="20"/>
              </w:rPr>
            </w:pPr>
          </w:p>
          <w:p w14:paraId="0D86F2FB" w14:textId="71E82451" w:rsidR="00313C19" w:rsidRPr="00060463" w:rsidRDefault="00313C19" w:rsidP="00313C19">
            <w:pPr>
              <w:spacing w:line="360" w:lineRule="auto"/>
              <w:rPr>
                <w:i/>
                <w:sz w:val="20"/>
              </w:rPr>
            </w:pPr>
            <w:r w:rsidRPr="00060463">
              <w:rPr>
                <w:i/>
                <w:sz w:val="20"/>
              </w:rPr>
              <w:lastRenderedPageBreak/>
              <w:t xml:space="preserve">Cabe precisar que, una vez analizados los documentos con el que se dará "renuncias voluntarias", se advierte que existe información susceptible de clasificar como confidencial al tratarse de datos personales concernientes a una persona física identificada o identificable tales como: RFC, CURP, CLAVE </w:t>
            </w:r>
            <w:proofErr w:type="spellStart"/>
            <w:r w:rsidRPr="00060463">
              <w:rPr>
                <w:i/>
                <w:sz w:val="20"/>
              </w:rPr>
              <w:t>ISEEMyM</w:t>
            </w:r>
            <w:proofErr w:type="spellEnd"/>
            <w:r w:rsidRPr="00060463">
              <w:rPr>
                <w:i/>
                <w:sz w:val="20"/>
              </w:rPr>
              <w:t xml:space="preserve"> y HUELLA DACTILAR; al tratarse de datos personales concernientes a una persona física identificada o identificable…</w:t>
            </w:r>
          </w:p>
          <w:p w14:paraId="0D2431AC" w14:textId="77777777" w:rsidR="00313C19" w:rsidRPr="00060463" w:rsidRDefault="00313C19" w:rsidP="00313C19">
            <w:pPr>
              <w:spacing w:line="360" w:lineRule="auto"/>
              <w:rPr>
                <w:i/>
                <w:sz w:val="20"/>
              </w:rPr>
            </w:pPr>
            <w:r w:rsidRPr="00060463">
              <w:rPr>
                <w:i/>
                <w:sz w:val="20"/>
              </w:rPr>
              <w:t>…”</w:t>
            </w:r>
          </w:p>
          <w:p w14:paraId="40924696" w14:textId="77777777" w:rsidR="00313C19" w:rsidRPr="00060463" w:rsidRDefault="00313C19" w:rsidP="00313C19">
            <w:pPr>
              <w:spacing w:line="360" w:lineRule="auto"/>
              <w:rPr>
                <w:sz w:val="20"/>
              </w:rPr>
            </w:pPr>
          </w:p>
          <w:p w14:paraId="46AABDB0" w14:textId="77777777" w:rsidR="00313C19" w:rsidRPr="00060463" w:rsidRDefault="00313C19" w:rsidP="00313C19">
            <w:pPr>
              <w:spacing w:line="360" w:lineRule="auto"/>
              <w:rPr>
                <w:sz w:val="20"/>
              </w:rPr>
            </w:pPr>
            <w:r w:rsidRPr="00060463">
              <w:rPr>
                <w:sz w:val="20"/>
              </w:rPr>
              <w:t>ii. Acta de la Décima Sexta Sesión Extraordinaria emitida por el Comité de Transparencia, por medio del cual se confirma la clasificación de la información como confidencial.</w:t>
            </w:r>
          </w:p>
          <w:p w14:paraId="7AE902AF" w14:textId="77777777" w:rsidR="00313C19" w:rsidRPr="00060463" w:rsidRDefault="00313C19" w:rsidP="00313C19">
            <w:pPr>
              <w:spacing w:line="360" w:lineRule="auto"/>
              <w:rPr>
                <w:sz w:val="20"/>
              </w:rPr>
            </w:pPr>
          </w:p>
          <w:p w14:paraId="58190037" w14:textId="24204C9B" w:rsidR="00313C19" w:rsidRPr="00060463" w:rsidRDefault="00313C19" w:rsidP="00313C19">
            <w:pPr>
              <w:spacing w:line="360" w:lineRule="auto"/>
              <w:rPr>
                <w:sz w:val="20"/>
              </w:rPr>
            </w:pPr>
            <w:r w:rsidRPr="00060463">
              <w:rPr>
                <w:sz w:val="20"/>
              </w:rPr>
              <w:t>iii. Oficio número PMR/DJC/131/2025, del veinticuatro de septiembre de dos mil veinticinco, suscrito por el Encargado de Despacho de la Dirección Jurídica Consultiva y dirigido al Subdirector de Administración, por medio del cual mencionó lo siguiente:</w:t>
            </w:r>
          </w:p>
          <w:p w14:paraId="522A1592" w14:textId="77777777" w:rsidR="00313C19" w:rsidRPr="00060463" w:rsidRDefault="00313C19" w:rsidP="00313C19">
            <w:pPr>
              <w:spacing w:line="360" w:lineRule="auto"/>
              <w:rPr>
                <w:sz w:val="20"/>
              </w:rPr>
            </w:pPr>
          </w:p>
          <w:p w14:paraId="338A68D7" w14:textId="77777777" w:rsidR="00313C19" w:rsidRPr="00060463" w:rsidRDefault="00313C19" w:rsidP="00313C19">
            <w:pPr>
              <w:spacing w:line="360" w:lineRule="auto"/>
              <w:rPr>
                <w:i/>
                <w:sz w:val="20"/>
              </w:rPr>
            </w:pPr>
            <w:r w:rsidRPr="00060463">
              <w:rPr>
                <w:i/>
                <w:sz w:val="20"/>
              </w:rPr>
              <w:t>“…me permito remitir, para los efectos administrativos y legales conducentes, las renuncias voluntarias presentadas por el personal adscrito a este H. Ayuntamiento, correspondientes al periodo comprendido de enero a la fecha del presente año, las cuales se enlistan a continuación:</w:t>
            </w:r>
          </w:p>
          <w:p w14:paraId="5FE4E209" w14:textId="77777777" w:rsidR="00313C19" w:rsidRPr="00060463" w:rsidRDefault="00313C19" w:rsidP="00313C19">
            <w:pPr>
              <w:spacing w:line="360" w:lineRule="auto"/>
              <w:rPr>
                <w:i/>
                <w:sz w:val="20"/>
              </w:rPr>
            </w:pPr>
          </w:p>
          <w:p w14:paraId="6AC05C9E" w14:textId="77777777" w:rsidR="00313C19" w:rsidRPr="00060463" w:rsidRDefault="00313C19" w:rsidP="00313C19">
            <w:pPr>
              <w:spacing w:line="360" w:lineRule="auto"/>
              <w:rPr>
                <w:i/>
                <w:sz w:val="20"/>
              </w:rPr>
            </w:pPr>
            <w:r w:rsidRPr="00060463">
              <w:rPr>
                <w:i/>
                <w:noProof/>
                <w:sz w:val="20"/>
              </w:rPr>
              <w:lastRenderedPageBreak/>
              <w:drawing>
                <wp:inline distT="0" distB="0" distL="0" distR="0" wp14:anchorId="53E7ABF0" wp14:editId="79BC018E">
                  <wp:extent cx="3218311" cy="2839011"/>
                  <wp:effectExtent l="0" t="0" r="127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4A0E0.tmp"/>
                          <pic:cNvPicPr/>
                        </pic:nvPicPr>
                        <pic:blipFill>
                          <a:blip r:embed="rId9">
                            <a:extLst>
                              <a:ext uri="{28A0092B-C50C-407E-A947-70E740481C1C}">
                                <a14:useLocalDpi xmlns:a14="http://schemas.microsoft.com/office/drawing/2010/main" val="0"/>
                              </a:ext>
                            </a:extLst>
                          </a:blip>
                          <a:stretch>
                            <a:fillRect/>
                          </a:stretch>
                        </pic:blipFill>
                        <pic:spPr>
                          <a:xfrm>
                            <a:off x="0" y="0"/>
                            <a:ext cx="3232787" cy="2851781"/>
                          </a:xfrm>
                          <a:prstGeom prst="rect">
                            <a:avLst/>
                          </a:prstGeom>
                        </pic:spPr>
                      </pic:pic>
                    </a:graphicData>
                  </a:graphic>
                </wp:inline>
              </w:drawing>
            </w:r>
          </w:p>
          <w:p w14:paraId="70AE0212" w14:textId="77777777" w:rsidR="00313C19" w:rsidRPr="00060463" w:rsidRDefault="00313C19" w:rsidP="00313C19">
            <w:pPr>
              <w:spacing w:line="360" w:lineRule="auto"/>
              <w:rPr>
                <w:i/>
                <w:sz w:val="20"/>
              </w:rPr>
            </w:pPr>
            <w:r w:rsidRPr="00060463">
              <w:rPr>
                <w:i/>
                <w:noProof/>
                <w:sz w:val="20"/>
              </w:rPr>
              <w:drawing>
                <wp:inline distT="0" distB="0" distL="0" distR="0" wp14:anchorId="3C94AFF4" wp14:editId="2F2EF7C9">
                  <wp:extent cx="3298473" cy="11334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B4F654.tmp"/>
                          <pic:cNvPicPr/>
                        </pic:nvPicPr>
                        <pic:blipFill>
                          <a:blip r:embed="rId10">
                            <a:extLst>
                              <a:ext uri="{28A0092B-C50C-407E-A947-70E740481C1C}">
                                <a14:useLocalDpi xmlns:a14="http://schemas.microsoft.com/office/drawing/2010/main" val="0"/>
                              </a:ext>
                            </a:extLst>
                          </a:blip>
                          <a:stretch>
                            <a:fillRect/>
                          </a:stretch>
                        </pic:blipFill>
                        <pic:spPr>
                          <a:xfrm>
                            <a:off x="0" y="0"/>
                            <a:ext cx="3322781" cy="1141828"/>
                          </a:xfrm>
                          <a:prstGeom prst="rect">
                            <a:avLst/>
                          </a:prstGeom>
                        </pic:spPr>
                      </pic:pic>
                    </a:graphicData>
                  </a:graphic>
                </wp:inline>
              </w:drawing>
            </w:r>
          </w:p>
          <w:p w14:paraId="5E926339" w14:textId="77777777" w:rsidR="00313C19" w:rsidRPr="00060463" w:rsidRDefault="00313C19" w:rsidP="00313C19">
            <w:pPr>
              <w:spacing w:line="360" w:lineRule="auto"/>
              <w:rPr>
                <w:i/>
                <w:sz w:val="20"/>
              </w:rPr>
            </w:pPr>
            <w:r w:rsidRPr="00060463">
              <w:rPr>
                <w:i/>
                <w:sz w:val="20"/>
              </w:rPr>
              <w:t>…”</w:t>
            </w:r>
          </w:p>
          <w:p w14:paraId="1E5FD7C6" w14:textId="5249B441" w:rsidR="00E51B4B" w:rsidRPr="00060463" w:rsidRDefault="00313C19" w:rsidP="00D7021E">
            <w:pPr>
              <w:spacing w:line="360" w:lineRule="auto"/>
              <w:rPr>
                <w:sz w:val="20"/>
              </w:rPr>
            </w:pPr>
            <w:proofErr w:type="gramStart"/>
            <w:r w:rsidRPr="00060463">
              <w:rPr>
                <w:sz w:val="20"/>
              </w:rPr>
              <w:t>v</w:t>
            </w:r>
            <w:proofErr w:type="gramEnd"/>
            <w:r w:rsidRPr="00060463">
              <w:rPr>
                <w:sz w:val="20"/>
              </w:rPr>
              <w:t>. Treinta y un cartas de renuncia, en versión pública.</w:t>
            </w:r>
          </w:p>
        </w:tc>
      </w:tr>
    </w:tbl>
    <w:p w14:paraId="1B4BAFF5" w14:textId="77777777" w:rsidR="000846E8" w:rsidRPr="00060463" w:rsidRDefault="000846E8" w:rsidP="00D7021E">
      <w:pPr>
        <w:spacing w:after="0" w:line="360" w:lineRule="auto"/>
      </w:pPr>
    </w:p>
    <w:p w14:paraId="7E7FBB31" w14:textId="2AB0E715" w:rsidR="00E22EA8" w:rsidRPr="00060463" w:rsidRDefault="0007311B" w:rsidP="00D7021E">
      <w:pPr>
        <w:pStyle w:val="Ttulo2"/>
        <w:spacing w:before="0" w:after="0" w:line="360" w:lineRule="auto"/>
        <w:rPr>
          <w:sz w:val="22"/>
          <w:szCs w:val="22"/>
        </w:rPr>
      </w:pPr>
      <w:bookmarkStart w:id="8" w:name="_Toc216353020"/>
      <w:r w:rsidRPr="00060463">
        <w:rPr>
          <w:sz w:val="22"/>
          <w:szCs w:val="22"/>
        </w:rPr>
        <w:t>I</w:t>
      </w:r>
      <w:r w:rsidR="008E7A96" w:rsidRPr="00060463">
        <w:rPr>
          <w:sz w:val="22"/>
          <w:szCs w:val="22"/>
        </w:rPr>
        <w:t>V</w:t>
      </w:r>
      <w:r w:rsidR="00E22EA8" w:rsidRPr="00060463">
        <w:rPr>
          <w:sz w:val="22"/>
          <w:szCs w:val="22"/>
        </w:rPr>
        <w:t>. Interposición del Recurso de Revisión</w:t>
      </w:r>
      <w:bookmarkEnd w:id="8"/>
    </w:p>
    <w:p w14:paraId="053D45CF" w14:textId="77777777" w:rsidR="00E22EA8" w:rsidRPr="00060463" w:rsidRDefault="00E22EA8" w:rsidP="00D7021E">
      <w:pPr>
        <w:spacing w:after="0" w:line="360" w:lineRule="auto"/>
        <w:rPr>
          <w:b/>
        </w:rPr>
      </w:pPr>
    </w:p>
    <w:p w14:paraId="355C8CC6" w14:textId="59B0DF0D" w:rsidR="009C5A71" w:rsidRPr="00060463" w:rsidRDefault="00083169" w:rsidP="00D7021E">
      <w:pPr>
        <w:spacing w:after="0" w:line="360" w:lineRule="auto"/>
        <w:rPr>
          <w:bCs/>
        </w:rPr>
      </w:pPr>
      <w:r w:rsidRPr="00060463">
        <w:rPr>
          <w:bCs/>
        </w:rPr>
        <w:t>El</w:t>
      </w:r>
      <w:r w:rsidR="008E5E71" w:rsidRPr="00060463">
        <w:rPr>
          <w:bCs/>
        </w:rPr>
        <w:t xml:space="preserve"> </w:t>
      </w:r>
      <w:r w:rsidR="00693E89" w:rsidRPr="00060463">
        <w:t xml:space="preserve">treinta de septiembre </w:t>
      </w:r>
      <w:r w:rsidR="008E5E71" w:rsidRPr="00060463">
        <w:t>de dos mil veinticinco</w:t>
      </w:r>
      <w:r w:rsidR="00E22EA8" w:rsidRPr="00060463">
        <w:rPr>
          <w:bCs/>
        </w:rPr>
        <w:t xml:space="preserve">, se recibió en este Instituto, a través del </w:t>
      </w:r>
      <w:r w:rsidR="00E22EA8" w:rsidRPr="00060463">
        <w:rPr>
          <w:bCs/>
          <w:lang w:val="es-ES"/>
        </w:rPr>
        <w:t>Sistema de Acceso a la Información Mexiquense (SAIMEX)</w:t>
      </w:r>
      <w:r w:rsidR="00E22EA8" w:rsidRPr="00060463">
        <w:rPr>
          <w:bCs/>
        </w:rPr>
        <w:t xml:space="preserve">, </w:t>
      </w:r>
      <w:r w:rsidR="00693E89" w:rsidRPr="00060463">
        <w:rPr>
          <w:bCs/>
        </w:rPr>
        <w:t>cinco</w:t>
      </w:r>
      <w:r w:rsidR="009019A8" w:rsidRPr="00060463">
        <w:rPr>
          <w:bCs/>
        </w:rPr>
        <w:t xml:space="preserve"> </w:t>
      </w:r>
      <w:r w:rsidR="00E22EA8" w:rsidRPr="00060463">
        <w:rPr>
          <w:bCs/>
        </w:rPr>
        <w:t>Recurso</w:t>
      </w:r>
      <w:r w:rsidR="00F17302" w:rsidRPr="00060463">
        <w:rPr>
          <w:bCs/>
        </w:rPr>
        <w:t>s</w:t>
      </w:r>
      <w:r w:rsidR="00E22EA8" w:rsidRPr="00060463">
        <w:rPr>
          <w:bCs/>
        </w:rPr>
        <w:t xml:space="preserve"> de Revisión interpuesto</w:t>
      </w:r>
      <w:r w:rsidR="00F17302" w:rsidRPr="00060463">
        <w:rPr>
          <w:bCs/>
        </w:rPr>
        <w:t>s</w:t>
      </w:r>
      <w:r w:rsidR="00E22EA8" w:rsidRPr="00060463">
        <w:rPr>
          <w:bCs/>
        </w:rPr>
        <w:t xml:space="preserve"> por la p</w:t>
      </w:r>
      <w:r w:rsidRPr="00060463">
        <w:rPr>
          <w:bCs/>
        </w:rPr>
        <w:t>ersona</w:t>
      </w:r>
      <w:r w:rsidR="00E22EA8" w:rsidRPr="00060463">
        <w:rPr>
          <w:bCs/>
        </w:rPr>
        <w:t xml:space="preserve"> Recurrente, en contra de la</w:t>
      </w:r>
      <w:r w:rsidR="00F17302" w:rsidRPr="00060463">
        <w:rPr>
          <w:bCs/>
        </w:rPr>
        <w:t>s</w:t>
      </w:r>
      <w:r w:rsidR="00E22EA8" w:rsidRPr="00060463">
        <w:rPr>
          <w:bCs/>
        </w:rPr>
        <w:t xml:space="preserve"> respuesta</w:t>
      </w:r>
      <w:r w:rsidR="00F17302" w:rsidRPr="00060463">
        <w:rPr>
          <w:bCs/>
        </w:rPr>
        <w:t>s</w:t>
      </w:r>
      <w:r w:rsidR="00E22EA8" w:rsidRPr="00060463">
        <w:rPr>
          <w:bCs/>
        </w:rPr>
        <w:t xml:space="preserve"> por el Sujeto Obligado, a la</w:t>
      </w:r>
      <w:r w:rsidR="00F17302" w:rsidRPr="00060463">
        <w:rPr>
          <w:bCs/>
        </w:rPr>
        <w:t>s</w:t>
      </w:r>
      <w:r w:rsidR="00E22EA8" w:rsidRPr="00060463">
        <w:rPr>
          <w:bCs/>
        </w:rPr>
        <w:t xml:space="preserve"> solicitud</w:t>
      </w:r>
      <w:r w:rsidR="00F17302" w:rsidRPr="00060463">
        <w:rPr>
          <w:bCs/>
        </w:rPr>
        <w:t>es</w:t>
      </w:r>
      <w:r w:rsidR="00E22EA8" w:rsidRPr="00060463">
        <w:rPr>
          <w:bCs/>
        </w:rPr>
        <w:t xml:space="preserve"> de información</w:t>
      </w:r>
      <w:r w:rsidR="00F43789" w:rsidRPr="00060463">
        <w:rPr>
          <w:rFonts w:eastAsia="Calibri" w:cs="Times New Roman"/>
        </w:rPr>
        <w:t xml:space="preserve">, </w:t>
      </w:r>
      <w:r w:rsidR="00E22EA8" w:rsidRPr="00060463">
        <w:rPr>
          <w:bCs/>
        </w:rPr>
        <w:t xml:space="preserve">en los </w:t>
      </w:r>
      <w:r w:rsidR="007B6C6F" w:rsidRPr="00060463">
        <w:rPr>
          <w:bCs/>
        </w:rPr>
        <w:t>términos</w:t>
      </w:r>
      <w:r w:rsidR="00F17302" w:rsidRPr="00060463">
        <w:rPr>
          <w:bCs/>
        </w:rPr>
        <w:t xml:space="preserve"> siguientes</w:t>
      </w:r>
      <w:r w:rsidR="00E22EA8" w:rsidRPr="00060463">
        <w:rPr>
          <w:bCs/>
        </w:rPr>
        <w:t>:</w:t>
      </w:r>
    </w:p>
    <w:p w14:paraId="3BA7B7CE" w14:textId="77777777" w:rsidR="004023D8" w:rsidRPr="00060463" w:rsidRDefault="004023D8" w:rsidP="00D7021E">
      <w:pPr>
        <w:spacing w:after="0" w:line="360" w:lineRule="auto"/>
        <w:rPr>
          <w:bCs/>
        </w:rPr>
      </w:pPr>
    </w:p>
    <w:tbl>
      <w:tblPr>
        <w:tblStyle w:val="Tablaconcuadrcula"/>
        <w:tblW w:w="0" w:type="auto"/>
        <w:tblLook w:val="04A0" w:firstRow="1" w:lastRow="0" w:firstColumn="1" w:lastColumn="0" w:noHBand="0" w:noVBand="1"/>
      </w:tblPr>
      <w:tblGrid>
        <w:gridCol w:w="2973"/>
        <w:gridCol w:w="2974"/>
        <w:gridCol w:w="2974"/>
      </w:tblGrid>
      <w:tr w:rsidR="004023D8" w:rsidRPr="00060463" w14:paraId="3894DE0C" w14:textId="77777777" w:rsidTr="00B37935">
        <w:tc>
          <w:tcPr>
            <w:tcW w:w="2973" w:type="dxa"/>
            <w:shd w:val="clear" w:color="auto" w:fill="DDD9C3" w:themeFill="background2" w:themeFillShade="E6"/>
          </w:tcPr>
          <w:p w14:paraId="0C7B2FA2" w14:textId="5EB979F8" w:rsidR="004023D8" w:rsidRPr="00060463" w:rsidRDefault="004023D8" w:rsidP="00D7021E">
            <w:pPr>
              <w:spacing w:line="360" w:lineRule="auto"/>
              <w:jc w:val="center"/>
              <w:rPr>
                <w:b/>
                <w:bCs/>
                <w:i/>
                <w:sz w:val="20"/>
              </w:rPr>
            </w:pPr>
            <w:r w:rsidRPr="00060463">
              <w:rPr>
                <w:b/>
                <w:bCs/>
                <w:i/>
                <w:sz w:val="20"/>
              </w:rPr>
              <w:lastRenderedPageBreak/>
              <w:t>Recurso de Revisión</w:t>
            </w:r>
          </w:p>
        </w:tc>
        <w:tc>
          <w:tcPr>
            <w:tcW w:w="2974" w:type="dxa"/>
            <w:shd w:val="clear" w:color="auto" w:fill="DDD9C3" w:themeFill="background2" w:themeFillShade="E6"/>
          </w:tcPr>
          <w:p w14:paraId="6CDF199D" w14:textId="6C06DC5B" w:rsidR="004023D8" w:rsidRPr="00060463" w:rsidRDefault="004023D8" w:rsidP="00D7021E">
            <w:pPr>
              <w:spacing w:line="360" w:lineRule="auto"/>
              <w:jc w:val="center"/>
              <w:rPr>
                <w:b/>
                <w:bCs/>
                <w:i/>
                <w:sz w:val="20"/>
              </w:rPr>
            </w:pPr>
            <w:r w:rsidRPr="00060463">
              <w:rPr>
                <w:b/>
                <w:bCs/>
                <w:i/>
                <w:sz w:val="20"/>
              </w:rPr>
              <w:t>“ACTO IMPUGNADO</w:t>
            </w:r>
          </w:p>
        </w:tc>
        <w:tc>
          <w:tcPr>
            <w:tcW w:w="2974" w:type="dxa"/>
            <w:shd w:val="clear" w:color="auto" w:fill="DDD9C3" w:themeFill="background2" w:themeFillShade="E6"/>
          </w:tcPr>
          <w:p w14:paraId="45E68BFA" w14:textId="3E3A4DB3" w:rsidR="004023D8" w:rsidRPr="00060463" w:rsidRDefault="004023D8" w:rsidP="00D7021E">
            <w:pPr>
              <w:spacing w:line="360" w:lineRule="auto"/>
              <w:jc w:val="center"/>
              <w:rPr>
                <w:b/>
                <w:bCs/>
                <w:i/>
                <w:sz w:val="20"/>
              </w:rPr>
            </w:pPr>
            <w:r w:rsidRPr="00060463">
              <w:rPr>
                <w:b/>
                <w:bCs/>
                <w:i/>
                <w:sz w:val="20"/>
              </w:rPr>
              <w:t>“RAZONES O MOTIVOS DE LA INCONFORMIDAD</w:t>
            </w:r>
          </w:p>
        </w:tc>
      </w:tr>
      <w:tr w:rsidR="005C3303" w:rsidRPr="00060463" w14:paraId="4BA05D84" w14:textId="77777777" w:rsidTr="004023D8">
        <w:tc>
          <w:tcPr>
            <w:tcW w:w="2973" w:type="dxa"/>
          </w:tcPr>
          <w:p w14:paraId="42173F3C" w14:textId="40659954" w:rsidR="005C3303" w:rsidRPr="00060463" w:rsidRDefault="005C3303" w:rsidP="00D7021E">
            <w:pPr>
              <w:spacing w:line="276" w:lineRule="auto"/>
              <w:rPr>
                <w:b/>
                <w:bCs/>
                <w:i/>
              </w:rPr>
            </w:pPr>
            <w:r w:rsidRPr="00060463">
              <w:rPr>
                <w:b/>
                <w:bCs/>
                <w:i/>
                <w:sz w:val="20"/>
              </w:rPr>
              <w:t>11196/INFOEM/IP/RR/2025</w:t>
            </w:r>
          </w:p>
        </w:tc>
        <w:tc>
          <w:tcPr>
            <w:tcW w:w="2974" w:type="dxa"/>
          </w:tcPr>
          <w:p w14:paraId="10E1C893" w14:textId="1D138FE3" w:rsidR="005C3303" w:rsidRPr="00060463" w:rsidRDefault="005C3303" w:rsidP="00D7021E">
            <w:pPr>
              <w:spacing w:line="276" w:lineRule="auto"/>
              <w:rPr>
                <w:bCs/>
              </w:rPr>
            </w:pPr>
            <w:r w:rsidRPr="00060463">
              <w:rPr>
                <w:i/>
                <w:iCs/>
                <w:sz w:val="20"/>
                <w:szCs w:val="20"/>
              </w:rPr>
              <w:t>Proporcionan documentos que no dan cuenta de lo solicitado.” (Sic.)</w:t>
            </w:r>
          </w:p>
        </w:tc>
        <w:tc>
          <w:tcPr>
            <w:tcW w:w="2974" w:type="dxa"/>
            <w:vMerge w:val="restart"/>
          </w:tcPr>
          <w:p w14:paraId="40D878D5" w14:textId="41DBA45A" w:rsidR="005C3303" w:rsidRPr="00060463" w:rsidRDefault="005C3303" w:rsidP="00D7021E">
            <w:pPr>
              <w:spacing w:line="276" w:lineRule="auto"/>
              <w:rPr>
                <w:bCs/>
              </w:rPr>
            </w:pPr>
            <w:r w:rsidRPr="00060463">
              <w:rPr>
                <w:i/>
                <w:iCs/>
                <w:sz w:val="20"/>
                <w:szCs w:val="20"/>
              </w:rPr>
              <w:t xml:space="preserve">Se solicitó clara y específicamente “todos los documentos que den cuenta del PROCEDIMIENTO de baja (despidos y renuncias) y alta (contrataciones) de personal del ayuntamiento y/o contengan información movimientos de contratación (de cualquier modalidad: temporal, de confianza, de base, por contrato, </w:t>
            </w:r>
            <w:proofErr w:type="spellStart"/>
            <w:r w:rsidRPr="00060463">
              <w:rPr>
                <w:i/>
                <w:iCs/>
                <w:sz w:val="20"/>
                <w:szCs w:val="20"/>
              </w:rPr>
              <w:t>etc</w:t>
            </w:r>
            <w:proofErr w:type="spellEnd"/>
            <w:r w:rsidRPr="00060463">
              <w:rPr>
                <w:i/>
                <w:iCs/>
                <w:sz w:val="20"/>
                <w:szCs w:val="20"/>
              </w:rPr>
              <w:t xml:space="preserve">), despidos y renuncias de todas las áreas que integran el ayuntamiento, de enero y febrero 2025, Únicamente entregaron fueron “cartas de renuncia voluntaria” cabe aclarar que algunas sin ninguna validez, ya que no cuentan con la firma de la persona que supuestamente la presento (del servidor público que “renunció”). Una carta como la que proporcionaron no integra un procedimiento de baja (despidos y renuncias), por lo que se requiere entregue la documentación completa de cada uno de los procedimientos indicados en la solicitud de inicio Un aviso de movimiento de alta ante el ISSEMYM no constituye un procedimiento de alta (contrataciones), por lo que se requiere entregue la documentación completa de cada </w:t>
            </w:r>
            <w:r w:rsidRPr="00060463">
              <w:rPr>
                <w:i/>
                <w:iCs/>
                <w:sz w:val="20"/>
                <w:szCs w:val="20"/>
              </w:rPr>
              <w:lastRenderedPageBreak/>
              <w:t>uno de los procedimientos indicados en la solicitud de inicio. REVISEN SUS MANUALES DE PROCEDIMIENTOS.” (Sic.)</w:t>
            </w:r>
          </w:p>
        </w:tc>
      </w:tr>
      <w:tr w:rsidR="005C3303" w:rsidRPr="00060463" w14:paraId="01454EE6" w14:textId="77777777" w:rsidTr="004023D8">
        <w:tc>
          <w:tcPr>
            <w:tcW w:w="2973" w:type="dxa"/>
          </w:tcPr>
          <w:p w14:paraId="62307E7F" w14:textId="0752A238" w:rsidR="005C3303" w:rsidRPr="00060463" w:rsidRDefault="005C3303" w:rsidP="00D7021E">
            <w:pPr>
              <w:spacing w:line="276" w:lineRule="auto"/>
              <w:rPr>
                <w:bCs/>
                <w:lang w:val="en-US"/>
              </w:rPr>
            </w:pPr>
            <w:r w:rsidRPr="00060463">
              <w:rPr>
                <w:b/>
                <w:i/>
                <w:iCs/>
                <w:sz w:val="20"/>
                <w:szCs w:val="20"/>
                <w:lang w:val="en-US"/>
              </w:rPr>
              <w:t>11197/INFOEM/IP/RR/2025</w:t>
            </w:r>
            <w:r w:rsidR="00B252B1" w:rsidRPr="00060463">
              <w:rPr>
                <w:b/>
                <w:i/>
                <w:iCs/>
                <w:sz w:val="20"/>
                <w:szCs w:val="20"/>
                <w:lang w:val="en-US"/>
              </w:rPr>
              <w:t>, 11198/INFOEM/IP/RR/2025</w:t>
            </w:r>
            <w:r w:rsidR="00076D5F" w:rsidRPr="00060463">
              <w:rPr>
                <w:b/>
                <w:i/>
                <w:iCs/>
                <w:sz w:val="20"/>
                <w:szCs w:val="20"/>
                <w:lang w:val="en-US"/>
              </w:rPr>
              <w:t>, 11199/INFOEM/IP/RR/2025</w:t>
            </w:r>
            <w:r w:rsidR="0004426E" w:rsidRPr="00060463">
              <w:rPr>
                <w:b/>
                <w:i/>
                <w:iCs/>
                <w:sz w:val="20"/>
                <w:szCs w:val="20"/>
                <w:lang w:val="en-US"/>
              </w:rPr>
              <w:t xml:space="preserve"> y 11200/INFOEM/IP/RR/2025  </w:t>
            </w:r>
          </w:p>
        </w:tc>
        <w:tc>
          <w:tcPr>
            <w:tcW w:w="2974" w:type="dxa"/>
          </w:tcPr>
          <w:p w14:paraId="7971BD67" w14:textId="481210D9" w:rsidR="005C3303" w:rsidRPr="00060463" w:rsidRDefault="005C3303" w:rsidP="00D7021E">
            <w:pPr>
              <w:spacing w:line="276" w:lineRule="auto"/>
              <w:rPr>
                <w:bCs/>
              </w:rPr>
            </w:pPr>
            <w:r w:rsidRPr="00060463">
              <w:rPr>
                <w:i/>
                <w:iCs/>
                <w:sz w:val="20"/>
                <w:szCs w:val="20"/>
              </w:rPr>
              <w:t>El Sujeto Obligado no entrega la documentación solicitada completa.” (Sic.)</w:t>
            </w:r>
          </w:p>
        </w:tc>
        <w:tc>
          <w:tcPr>
            <w:tcW w:w="2974" w:type="dxa"/>
            <w:vMerge/>
          </w:tcPr>
          <w:p w14:paraId="1B7C0E82" w14:textId="4A1CB03E" w:rsidR="005C3303" w:rsidRPr="00060463" w:rsidRDefault="005C3303" w:rsidP="005C3303">
            <w:pPr>
              <w:spacing w:line="276" w:lineRule="auto"/>
              <w:rPr>
                <w:bCs/>
              </w:rPr>
            </w:pPr>
          </w:p>
        </w:tc>
      </w:tr>
    </w:tbl>
    <w:p w14:paraId="551AA5D5" w14:textId="77777777" w:rsidR="004023D8" w:rsidRPr="00060463" w:rsidRDefault="004023D8" w:rsidP="00D7021E">
      <w:pPr>
        <w:spacing w:after="0" w:line="360" w:lineRule="auto"/>
        <w:ind w:right="567"/>
        <w:rPr>
          <w:i/>
          <w:iCs/>
          <w:sz w:val="20"/>
          <w:szCs w:val="20"/>
        </w:rPr>
      </w:pPr>
    </w:p>
    <w:p w14:paraId="009DB65C" w14:textId="5F9DD32A" w:rsidR="00E22EA8" w:rsidRPr="00060463" w:rsidRDefault="00E22EA8" w:rsidP="00D7021E">
      <w:pPr>
        <w:pStyle w:val="Ttulo2"/>
        <w:spacing w:before="0" w:after="0" w:line="360" w:lineRule="auto"/>
        <w:rPr>
          <w:sz w:val="22"/>
          <w:szCs w:val="22"/>
        </w:rPr>
      </w:pPr>
      <w:bookmarkStart w:id="9" w:name="_Toc216353021"/>
      <w:r w:rsidRPr="00060463">
        <w:rPr>
          <w:sz w:val="22"/>
          <w:szCs w:val="22"/>
        </w:rPr>
        <w:t>V. Trámite del Recurso de Revisión ante este Instituto</w:t>
      </w:r>
      <w:bookmarkEnd w:id="9"/>
    </w:p>
    <w:p w14:paraId="5C9B63F8" w14:textId="77777777" w:rsidR="009B2DAB" w:rsidRPr="00060463" w:rsidRDefault="009B2DAB" w:rsidP="00D7021E">
      <w:pPr>
        <w:spacing w:after="0" w:line="360" w:lineRule="auto"/>
        <w:rPr>
          <w:b/>
          <w:bCs/>
        </w:rPr>
      </w:pPr>
    </w:p>
    <w:p w14:paraId="173768ED" w14:textId="2AEB28AD" w:rsidR="00E22EA8" w:rsidRPr="00060463" w:rsidRDefault="00E22EA8" w:rsidP="00D7021E">
      <w:pPr>
        <w:spacing w:after="0" w:line="360" w:lineRule="auto"/>
        <w:rPr>
          <w:bCs/>
        </w:rPr>
      </w:pPr>
      <w:r w:rsidRPr="00060463">
        <w:rPr>
          <w:b/>
          <w:bCs/>
        </w:rPr>
        <w:t>a) Turno del Medio de Impugnación.</w:t>
      </w:r>
      <w:r w:rsidR="000A706F" w:rsidRPr="00060463">
        <w:rPr>
          <w:bCs/>
        </w:rPr>
        <w:t xml:space="preserve"> </w:t>
      </w:r>
      <w:r w:rsidR="003C5F59" w:rsidRPr="00060463">
        <w:rPr>
          <w:bCs/>
        </w:rPr>
        <w:t xml:space="preserve">El </w:t>
      </w:r>
      <w:r w:rsidR="00693E89" w:rsidRPr="00060463">
        <w:rPr>
          <w:bCs/>
        </w:rPr>
        <w:t xml:space="preserve">treinta de septiembre </w:t>
      </w:r>
      <w:r w:rsidR="00E64E18" w:rsidRPr="00060463">
        <w:t>de dos mil veinticinco</w:t>
      </w:r>
      <w:r w:rsidRPr="00060463">
        <w:rPr>
          <w:bCs/>
        </w:rPr>
        <w:t xml:space="preserve">, el </w:t>
      </w:r>
      <w:r w:rsidRPr="00060463">
        <w:rPr>
          <w:lang w:val="es-ES"/>
        </w:rPr>
        <w:t>Sistema de Acceso a la Información Mexiquense (SAIMEX),</w:t>
      </w:r>
      <w:r w:rsidR="00F17302" w:rsidRPr="00060463">
        <w:rPr>
          <w:bCs/>
        </w:rPr>
        <w:t xml:space="preserve"> asignó los</w:t>
      </w:r>
      <w:r w:rsidRPr="00060463">
        <w:rPr>
          <w:bCs/>
        </w:rPr>
        <w:t xml:space="preserve"> número</w:t>
      </w:r>
      <w:r w:rsidR="00F17302" w:rsidRPr="00060463">
        <w:rPr>
          <w:bCs/>
        </w:rPr>
        <w:t>s</w:t>
      </w:r>
      <w:r w:rsidRPr="00060463">
        <w:rPr>
          <w:bCs/>
        </w:rPr>
        <w:t xml:space="preserve"> de expediente</w:t>
      </w:r>
      <w:r w:rsidR="00F17302" w:rsidRPr="00060463">
        <w:rPr>
          <w:bCs/>
        </w:rPr>
        <w:t>s</w:t>
      </w:r>
      <w:r w:rsidR="00693E89" w:rsidRPr="00060463">
        <w:rPr>
          <w:b/>
          <w:bCs/>
        </w:rPr>
        <w:t xml:space="preserve"> </w:t>
      </w:r>
      <w:r w:rsidR="00693E89" w:rsidRPr="00060463">
        <w:rPr>
          <w:b/>
        </w:rPr>
        <w:t>11196/INFOEM/IP/RR/2025, 11197/INFOEM/IP/RR/2025, 11198/INFOEM/IP/RR/2025, 11199/INFOEM/IP/RR/2025 y 11200/INFOEM/IP/RR/2025</w:t>
      </w:r>
      <w:r w:rsidRPr="00060463">
        <w:rPr>
          <w:bCs/>
        </w:rPr>
        <w:t xml:space="preserve">, al medio de impugnación que nos ocupa, con base en el sistema aprobado por el Pleno de este </w:t>
      </w:r>
      <w:r w:rsidR="00B65BCA" w:rsidRPr="00060463">
        <w:rPr>
          <w:bCs/>
        </w:rPr>
        <w:t>Organismo</w:t>
      </w:r>
      <w:r w:rsidR="00F17302" w:rsidRPr="00060463">
        <w:rPr>
          <w:bCs/>
        </w:rPr>
        <w:t xml:space="preserve"> Garante y los turnó a los</w:t>
      </w:r>
      <w:r w:rsidRPr="00060463">
        <w:rPr>
          <w:bCs/>
        </w:rPr>
        <w:t xml:space="preserve"> Comisionado</w:t>
      </w:r>
      <w:r w:rsidR="00F17302" w:rsidRPr="00060463">
        <w:rPr>
          <w:bCs/>
        </w:rPr>
        <w:t>s</w:t>
      </w:r>
      <w:r w:rsidRPr="00060463">
        <w:rPr>
          <w:bCs/>
        </w:rPr>
        <w:t xml:space="preserve"> Ponente</w:t>
      </w:r>
      <w:r w:rsidR="00F17302" w:rsidRPr="00060463">
        <w:rPr>
          <w:bCs/>
        </w:rPr>
        <w:t>s</w:t>
      </w:r>
      <w:r w:rsidR="006D2EC5" w:rsidRPr="00060463">
        <w:rPr>
          <w:bCs/>
        </w:rPr>
        <w:t xml:space="preserve"> Sharon Cristina Morales Martínez,</w:t>
      </w:r>
      <w:r w:rsidR="004962E7" w:rsidRPr="00060463">
        <w:rPr>
          <w:bCs/>
        </w:rPr>
        <w:t xml:space="preserve"> María del Rosario Mejía Ayala, Guadalupe Ramírez Peña</w:t>
      </w:r>
      <w:r w:rsidR="00857C1B" w:rsidRPr="00060463">
        <w:rPr>
          <w:bCs/>
        </w:rPr>
        <w:t>, José Martínez Vilchis</w:t>
      </w:r>
      <w:r w:rsidR="004962E7" w:rsidRPr="00060463">
        <w:rPr>
          <w:bCs/>
        </w:rPr>
        <w:t xml:space="preserve"> </w:t>
      </w:r>
      <w:r w:rsidR="00F17302" w:rsidRPr="00060463">
        <w:rPr>
          <w:bCs/>
        </w:rPr>
        <w:t>y</w:t>
      </w:r>
      <w:r w:rsidRPr="00060463">
        <w:rPr>
          <w:bCs/>
        </w:rPr>
        <w:t xml:space="preserve"> Luis Gustavo Parra Noriega, para los efectos del artículo 185, fracción I de la Ley de Transparencia y Acceso a la Información Pública del Estado de México y Municipios.</w:t>
      </w:r>
    </w:p>
    <w:p w14:paraId="59FB24F3" w14:textId="77777777" w:rsidR="005914EE" w:rsidRPr="00060463" w:rsidRDefault="005914EE" w:rsidP="00D7021E">
      <w:pPr>
        <w:spacing w:after="0" w:line="360" w:lineRule="auto"/>
        <w:rPr>
          <w:b/>
          <w:bCs/>
        </w:rPr>
      </w:pPr>
    </w:p>
    <w:p w14:paraId="61891480" w14:textId="10121D4A" w:rsidR="00E22EA8" w:rsidRPr="00060463" w:rsidRDefault="00E22EA8" w:rsidP="00D7021E">
      <w:pPr>
        <w:spacing w:after="0" w:line="360" w:lineRule="auto"/>
      </w:pPr>
      <w:r w:rsidRPr="00060463">
        <w:rPr>
          <w:b/>
          <w:bCs/>
        </w:rPr>
        <w:t>b) Admisión del Recurso de Revisión</w:t>
      </w:r>
      <w:r w:rsidRPr="00060463">
        <w:rPr>
          <w:b/>
          <w:bCs/>
          <w:lang w:val="es-ES_tradnl"/>
        </w:rPr>
        <w:t xml:space="preserve">. </w:t>
      </w:r>
      <w:r w:rsidR="003C5F59" w:rsidRPr="00060463">
        <w:t xml:space="preserve">El </w:t>
      </w:r>
      <w:r w:rsidR="004C75C7" w:rsidRPr="00060463">
        <w:t xml:space="preserve">dos, </w:t>
      </w:r>
      <w:r w:rsidR="00B54BBC" w:rsidRPr="00060463">
        <w:t xml:space="preserve">tres </w:t>
      </w:r>
      <w:r w:rsidR="004C75C7" w:rsidRPr="00060463">
        <w:t xml:space="preserve">y seis </w:t>
      </w:r>
      <w:r w:rsidR="00B54BBC" w:rsidRPr="00060463">
        <w:t>de octubre</w:t>
      </w:r>
      <w:r w:rsidR="00CB2934" w:rsidRPr="00060463">
        <w:t xml:space="preserve"> </w:t>
      </w:r>
      <w:r w:rsidR="00E64E18" w:rsidRPr="00060463">
        <w:t>de dos mil veinticinco</w:t>
      </w:r>
      <w:r w:rsidRPr="00060463">
        <w:rPr>
          <w:bCs/>
          <w:lang w:val="es-ES_tradnl"/>
        </w:rPr>
        <w:t xml:space="preserve">, se acordó la admisión del Recurso de Revisión interpuesto por </w:t>
      </w:r>
      <w:r w:rsidR="00261B92" w:rsidRPr="00060463">
        <w:rPr>
          <w:bCs/>
          <w:lang w:val="es-ES_tradnl"/>
        </w:rPr>
        <w:t>la persona</w:t>
      </w:r>
      <w:r w:rsidRPr="00060463">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060463">
        <w:rPr>
          <w:bCs/>
          <w:lang w:val="es-ES_tradnl"/>
        </w:rPr>
        <w:t xml:space="preserve"> los</w:t>
      </w:r>
      <w:r w:rsidR="0010587F" w:rsidRPr="00060463">
        <w:rPr>
          <w:bCs/>
          <w:lang w:val="es-ES_tradnl"/>
        </w:rPr>
        <w:t xml:space="preserve"> mismo</w:t>
      </w:r>
      <w:r w:rsidR="00DA135E" w:rsidRPr="00060463">
        <w:rPr>
          <w:bCs/>
          <w:lang w:val="es-ES_tradnl"/>
        </w:rPr>
        <w:t>s</w:t>
      </w:r>
      <w:r w:rsidR="0010587F" w:rsidRPr="00060463">
        <w:rPr>
          <w:bCs/>
          <w:lang w:val="es-ES_tradnl"/>
        </w:rPr>
        <w:t xml:space="preserve"> día</w:t>
      </w:r>
      <w:r w:rsidR="00DA135E" w:rsidRPr="00060463">
        <w:rPr>
          <w:bCs/>
          <w:lang w:val="es-ES_tradnl"/>
        </w:rPr>
        <w:t>s</w:t>
      </w:r>
      <w:r w:rsidRPr="00060463">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060463" w:rsidRDefault="00E22EA8" w:rsidP="00D7021E">
      <w:pPr>
        <w:spacing w:after="0" w:line="360" w:lineRule="auto"/>
        <w:rPr>
          <w:rFonts w:cs="Tahoma"/>
          <w:lang w:val="es-ES_tradnl"/>
        </w:rPr>
      </w:pPr>
    </w:p>
    <w:p w14:paraId="6C8C4600" w14:textId="2FF00352" w:rsidR="00893D68" w:rsidRPr="00060463" w:rsidRDefault="000410E6" w:rsidP="00D7021E">
      <w:pPr>
        <w:spacing w:after="0" w:line="360" w:lineRule="auto"/>
      </w:pPr>
      <w:r w:rsidRPr="00060463">
        <w:rPr>
          <w:b/>
        </w:rPr>
        <w:lastRenderedPageBreak/>
        <w:t>c) Informe Justificado</w:t>
      </w:r>
      <w:r w:rsidR="00893D68" w:rsidRPr="00060463">
        <w:rPr>
          <w:b/>
        </w:rPr>
        <w:t xml:space="preserve">. </w:t>
      </w:r>
      <w:r w:rsidR="00893D68" w:rsidRPr="00060463">
        <w:rPr>
          <w:bCs/>
        </w:rPr>
        <w:t xml:space="preserve">El </w:t>
      </w:r>
      <w:r w:rsidR="00B54BBC" w:rsidRPr="00060463">
        <w:rPr>
          <w:bCs/>
        </w:rPr>
        <w:t>diez</w:t>
      </w:r>
      <w:r w:rsidR="004C75C7" w:rsidRPr="00060463">
        <w:rPr>
          <w:bCs/>
        </w:rPr>
        <w:t xml:space="preserve"> y trece</w:t>
      </w:r>
      <w:r w:rsidR="00B54BBC" w:rsidRPr="00060463">
        <w:rPr>
          <w:bCs/>
        </w:rPr>
        <w:t xml:space="preserve"> de octubre </w:t>
      </w:r>
      <w:r w:rsidR="00893D68" w:rsidRPr="00060463">
        <w:rPr>
          <w:bCs/>
        </w:rPr>
        <w:t xml:space="preserve">de dos mil veinticinco, </w:t>
      </w:r>
      <w:r w:rsidR="00893D68" w:rsidRPr="00060463">
        <w:t>se recibió, a través del Sistema de Acceso a la Información Mexiquense (SAIMEX), el Informe Justificado del Sujeto Obligado, a través de los documentos siguientes:</w:t>
      </w:r>
    </w:p>
    <w:p w14:paraId="2627F875" w14:textId="77777777" w:rsidR="00893D68" w:rsidRPr="00060463" w:rsidRDefault="00893D68" w:rsidP="00D7021E">
      <w:pPr>
        <w:spacing w:after="0" w:line="360" w:lineRule="auto"/>
      </w:pPr>
    </w:p>
    <w:tbl>
      <w:tblPr>
        <w:tblStyle w:val="Tablaconcuadrcula"/>
        <w:tblW w:w="0" w:type="auto"/>
        <w:tblLook w:val="04A0" w:firstRow="1" w:lastRow="0" w:firstColumn="1" w:lastColumn="0" w:noHBand="0" w:noVBand="1"/>
      </w:tblPr>
      <w:tblGrid>
        <w:gridCol w:w="2691"/>
        <w:gridCol w:w="6230"/>
      </w:tblGrid>
      <w:tr w:rsidR="00893D68" w:rsidRPr="00060463" w14:paraId="74742851" w14:textId="77777777" w:rsidTr="003918E5">
        <w:tc>
          <w:tcPr>
            <w:tcW w:w="2691" w:type="dxa"/>
            <w:shd w:val="clear" w:color="auto" w:fill="DDD9C3" w:themeFill="background2" w:themeFillShade="E6"/>
          </w:tcPr>
          <w:p w14:paraId="5F7C54A4" w14:textId="77777777" w:rsidR="00893D68" w:rsidRPr="00060463" w:rsidRDefault="00893D68" w:rsidP="00D7021E">
            <w:pPr>
              <w:spacing w:line="360" w:lineRule="auto"/>
              <w:jc w:val="center"/>
              <w:rPr>
                <w:b/>
              </w:rPr>
            </w:pPr>
            <w:r w:rsidRPr="00060463">
              <w:rPr>
                <w:b/>
              </w:rPr>
              <w:t>Recurso de Revisión</w:t>
            </w:r>
          </w:p>
        </w:tc>
        <w:tc>
          <w:tcPr>
            <w:tcW w:w="6230" w:type="dxa"/>
            <w:shd w:val="clear" w:color="auto" w:fill="DDD9C3" w:themeFill="background2" w:themeFillShade="E6"/>
          </w:tcPr>
          <w:p w14:paraId="3FC7F0F8" w14:textId="77777777" w:rsidR="00893D68" w:rsidRPr="00060463" w:rsidRDefault="00893D68" w:rsidP="00D7021E">
            <w:pPr>
              <w:spacing w:line="360" w:lineRule="auto"/>
              <w:jc w:val="center"/>
              <w:rPr>
                <w:b/>
              </w:rPr>
            </w:pPr>
            <w:r w:rsidRPr="00060463">
              <w:rPr>
                <w:b/>
              </w:rPr>
              <w:t>Informe Justificado</w:t>
            </w:r>
          </w:p>
        </w:tc>
      </w:tr>
      <w:tr w:rsidR="00893D68" w:rsidRPr="00060463" w14:paraId="67D047B5" w14:textId="77777777" w:rsidTr="003918E5">
        <w:tc>
          <w:tcPr>
            <w:tcW w:w="2691" w:type="dxa"/>
          </w:tcPr>
          <w:p w14:paraId="273B9D8B" w14:textId="210D5A17" w:rsidR="00893D68" w:rsidRPr="00060463" w:rsidRDefault="00B54BBC" w:rsidP="00D7021E">
            <w:pPr>
              <w:spacing w:line="360" w:lineRule="auto"/>
              <w:rPr>
                <w:b/>
                <w:i/>
                <w:sz w:val="20"/>
              </w:rPr>
            </w:pPr>
            <w:r w:rsidRPr="00060463">
              <w:rPr>
                <w:b/>
                <w:i/>
                <w:sz w:val="20"/>
              </w:rPr>
              <w:t>11196</w:t>
            </w:r>
            <w:r w:rsidR="00893D68" w:rsidRPr="00060463">
              <w:rPr>
                <w:b/>
                <w:i/>
                <w:sz w:val="20"/>
              </w:rPr>
              <w:t>/INFOEM/IP/RR/2025</w:t>
            </w:r>
          </w:p>
        </w:tc>
        <w:tc>
          <w:tcPr>
            <w:tcW w:w="6230" w:type="dxa"/>
          </w:tcPr>
          <w:p w14:paraId="206EAEA8" w14:textId="2CFEDEB8" w:rsidR="00B54BBC" w:rsidRPr="00060463" w:rsidRDefault="00893D68" w:rsidP="00B54BBC">
            <w:pPr>
              <w:spacing w:line="360" w:lineRule="auto"/>
              <w:rPr>
                <w:sz w:val="20"/>
              </w:rPr>
            </w:pPr>
            <w:r w:rsidRPr="00060463">
              <w:rPr>
                <w:sz w:val="20"/>
              </w:rPr>
              <w:t xml:space="preserve">i. Oficio </w:t>
            </w:r>
            <w:r w:rsidR="00B54BBC" w:rsidRPr="00060463">
              <w:rPr>
                <w:sz w:val="20"/>
              </w:rPr>
              <w:t>número PMR/UT/</w:t>
            </w:r>
            <w:r w:rsidR="00613B5B" w:rsidRPr="00060463">
              <w:rPr>
                <w:sz w:val="20"/>
              </w:rPr>
              <w:t>211/2025, del nueve de octubre de dos mil veinticinco, suscrito por la Titular de la Unidad de Transparencia y dirigido al Comisionado Ponente, por medio del cual ratifico su respuesta.</w:t>
            </w:r>
          </w:p>
          <w:p w14:paraId="48B2FB61" w14:textId="77777777" w:rsidR="00613B5B" w:rsidRPr="00060463" w:rsidRDefault="00613B5B" w:rsidP="00B54BBC">
            <w:pPr>
              <w:spacing w:line="360" w:lineRule="auto"/>
              <w:rPr>
                <w:sz w:val="20"/>
              </w:rPr>
            </w:pPr>
          </w:p>
          <w:p w14:paraId="3517A98D" w14:textId="6A6C3764" w:rsidR="00AE322A" w:rsidRPr="00060463" w:rsidRDefault="00613B5B" w:rsidP="00D7021E">
            <w:pPr>
              <w:spacing w:line="360" w:lineRule="auto"/>
              <w:rPr>
                <w:sz w:val="20"/>
              </w:rPr>
            </w:pPr>
            <w:r w:rsidRPr="00060463">
              <w:rPr>
                <w:sz w:val="20"/>
              </w:rPr>
              <w:t>ii. Oficio número PM/SUBAD/273/2025, del ocho de octubre de dos mil veinticinco, suscrito por el Subdirector de Administración y dirigido a la Titular de la Unidad de Transparencia, por medio del cual ratifico su respuesta.</w:t>
            </w:r>
          </w:p>
        </w:tc>
      </w:tr>
      <w:tr w:rsidR="00893D68" w:rsidRPr="00060463" w14:paraId="6599CA03" w14:textId="77777777" w:rsidTr="003918E5">
        <w:tc>
          <w:tcPr>
            <w:tcW w:w="2691" w:type="dxa"/>
          </w:tcPr>
          <w:p w14:paraId="3C5BE184" w14:textId="0778BEA1" w:rsidR="00893D68" w:rsidRPr="00060463" w:rsidRDefault="004E06A4" w:rsidP="00D7021E">
            <w:pPr>
              <w:spacing w:line="360" w:lineRule="auto"/>
              <w:rPr>
                <w:b/>
                <w:i/>
                <w:sz w:val="20"/>
              </w:rPr>
            </w:pPr>
            <w:r w:rsidRPr="00060463">
              <w:rPr>
                <w:b/>
                <w:i/>
                <w:sz w:val="20"/>
              </w:rPr>
              <w:t>11197</w:t>
            </w:r>
            <w:r w:rsidR="00B54BBC" w:rsidRPr="00060463">
              <w:rPr>
                <w:b/>
                <w:i/>
                <w:sz w:val="20"/>
              </w:rPr>
              <w:t>/INFOEM/IP/RR/2025</w:t>
            </w:r>
          </w:p>
        </w:tc>
        <w:tc>
          <w:tcPr>
            <w:tcW w:w="6230" w:type="dxa"/>
          </w:tcPr>
          <w:p w14:paraId="41209E78" w14:textId="0DE1C29F" w:rsidR="004E06A4" w:rsidRPr="00060463" w:rsidRDefault="004E06A4" w:rsidP="004E06A4">
            <w:pPr>
              <w:spacing w:line="360" w:lineRule="auto"/>
              <w:rPr>
                <w:sz w:val="20"/>
              </w:rPr>
            </w:pPr>
            <w:r w:rsidRPr="00060463">
              <w:rPr>
                <w:sz w:val="20"/>
              </w:rPr>
              <w:t>i. Oficio número PMR/UT/2</w:t>
            </w:r>
            <w:r w:rsidR="00256242" w:rsidRPr="00060463">
              <w:rPr>
                <w:sz w:val="20"/>
              </w:rPr>
              <w:t>12</w:t>
            </w:r>
            <w:r w:rsidRPr="00060463">
              <w:rPr>
                <w:sz w:val="20"/>
              </w:rPr>
              <w:t>/2025, del nueve de octubre de dos mil veinticinco, suscrito por la Titular de la Unidad de Transparencia y dirigido al Comisionado Ponente, por medio del cual ratifico su respuesta.</w:t>
            </w:r>
          </w:p>
          <w:p w14:paraId="1B6C40FB" w14:textId="77777777" w:rsidR="004E06A4" w:rsidRPr="00060463" w:rsidRDefault="004E06A4" w:rsidP="004E06A4">
            <w:pPr>
              <w:spacing w:line="360" w:lineRule="auto"/>
              <w:rPr>
                <w:sz w:val="20"/>
              </w:rPr>
            </w:pPr>
          </w:p>
          <w:p w14:paraId="2BE75AF9" w14:textId="36D450D2" w:rsidR="0026250F" w:rsidRPr="00060463" w:rsidRDefault="004E06A4" w:rsidP="004E06A4">
            <w:pPr>
              <w:spacing w:line="360" w:lineRule="auto"/>
              <w:rPr>
                <w:sz w:val="20"/>
              </w:rPr>
            </w:pPr>
            <w:r w:rsidRPr="00060463">
              <w:rPr>
                <w:sz w:val="20"/>
              </w:rPr>
              <w:t>ii. Oficio número PM/SUBAD/27</w:t>
            </w:r>
            <w:r w:rsidR="00256242" w:rsidRPr="00060463">
              <w:rPr>
                <w:sz w:val="20"/>
              </w:rPr>
              <w:t>4</w:t>
            </w:r>
            <w:r w:rsidRPr="00060463">
              <w:rPr>
                <w:sz w:val="20"/>
              </w:rPr>
              <w:t>/2025, del ocho de octubre de dos mil veinticinco, suscrito por el Subdirector de Administración y dirigido a la Titular de la Unidad de Transparencia, por medio del cual ratifico su respuesta.</w:t>
            </w:r>
          </w:p>
        </w:tc>
      </w:tr>
      <w:tr w:rsidR="004B07B8" w:rsidRPr="00060463" w14:paraId="5CFE9EAA" w14:textId="77777777" w:rsidTr="003918E5">
        <w:tc>
          <w:tcPr>
            <w:tcW w:w="2691" w:type="dxa"/>
          </w:tcPr>
          <w:p w14:paraId="72203B47" w14:textId="31304AD2" w:rsidR="004B07B8" w:rsidRPr="00060463" w:rsidRDefault="004E06A4" w:rsidP="00D7021E">
            <w:pPr>
              <w:spacing w:line="360" w:lineRule="auto"/>
              <w:rPr>
                <w:b/>
                <w:i/>
                <w:sz w:val="20"/>
              </w:rPr>
            </w:pPr>
            <w:r w:rsidRPr="00060463">
              <w:rPr>
                <w:b/>
                <w:i/>
                <w:sz w:val="20"/>
              </w:rPr>
              <w:t>11198</w:t>
            </w:r>
            <w:r w:rsidR="00B54BBC" w:rsidRPr="00060463">
              <w:rPr>
                <w:b/>
                <w:i/>
                <w:sz w:val="20"/>
              </w:rPr>
              <w:t>/INFOEM/IP/RR/2025</w:t>
            </w:r>
          </w:p>
        </w:tc>
        <w:tc>
          <w:tcPr>
            <w:tcW w:w="6230" w:type="dxa"/>
          </w:tcPr>
          <w:p w14:paraId="510783C2" w14:textId="32B0F66F" w:rsidR="004C75C7" w:rsidRPr="00060463" w:rsidRDefault="004C75C7" w:rsidP="004C75C7">
            <w:pPr>
              <w:spacing w:line="360" w:lineRule="auto"/>
              <w:rPr>
                <w:sz w:val="20"/>
              </w:rPr>
            </w:pPr>
            <w:r w:rsidRPr="00060463">
              <w:rPr>
                <w:sz w:val="20"/>
              </w:rPr>
              <w:t>i. Oficio número PMR/UT/213/2025, del nueve de octubre de dos mil veinticinco, suscrito por la Titular de la Unidad de Transparencia y dirigido al Comisionado Ponente, por medio del cual ratifico su respuesta.</w:t>
            </w:r>
          </w:p>
          <w:p w14:paraId="285686B0" w14:textId="77777777" w:rsidR="004C75C7" w:rsidRPr="00060463" w:rsidRDefault="004C75C7" w:rsidP="004C75C7">
            <w:pPr>
              <w:spacing w:line="360" w:lineRule="auto"/>
              <w:rPr>
                <w:sz w:val="20"/>
              </w:rPr>
            </w:pPr>
          </w:p>
          <w:p w14:paraId="598EF94B" w14:textId="44A18750" w:rsidR="004B07B8" w:rsidRPr="00060463" w:rsidRDefault="004C75C7" w:rsidP="00D7021E">
            <w:pPr>
              <w:spacing w:line="360" w:lineRule="auto"/>
              <w:rPr>
                <w:sz w:val="20"/>
              </w:rPr>
            </w:pPr>
            <w:r w:rsidRPr="00060463">
              <w:rPr>
                <w:sz w:val="20"/>
              </w:rPr>
              <w:t>ii. Oficio número PM/SUBAD/275/2025, del ocho de octubre de dos mil veinticinco, suscrito por el Subdirector de Administración y dirigido a la Titular de la Unidad de Transparencia, por medio del cual ratifico su respuesta.</w:t>
            </w:r>
          </w:p>
        </w:tc>
      </w:tr>
      <w:tr w:rsidR="004B07B8" w:rsidRPr="00060463" w14:paraId="21580D42" w14:textId="77777777" w:rsidTr="003918E5">
        <w:tc>
          <w:tcPr>
            <w:tcW w:w="2691" w:type="dxa"/>
          </w:tcPr>
          <w:p w14:paraId="114B5040" w14:textId="5031C2D1" w:rsidR="004B07B8" w:rsidRPr="00060463" w:rsidRDefault="004E06A4" w:rsidP="00D7021E">
            <w:pPr>
              <w:spacing w:line="360" w:lineRule="auto"/>
              <w:rPr>
                <w:b/>
                <w:i/>
                <w:sz w:val="20"/>
              </w:rPr>
            </w:pPr>
            <w:r w:rsidRPr="00060463">
              <w:rPr>
                <w:b/>
                <w:i/>
                <w:sz w:val="20"/>
              </w:rPr>
              <w:lastRenderedPageBreak/>
              <w:t>11199</w:t>
            </w:r>
            <w:r w:rsidR="00B54BBC" w:rsidRPr="00060463">
              <w:rPr>
                <w:b/>
                <w:i/>
                <w:sz w:val="20"/>
              </w:rPr>
              <w:t>/INFOEM/IP/RR/2025</w:t>
            </w:r>
          </w:p>
        </w:tc>
        <w:tc>
          <w:tcPr>
            <w:tcW w:w="6230" w:type="dxa"/>
          </w:tcPr>
          <w:p w14:paraId="2FB4C9B2" w14:textId="4B517293" w:rsidR="00841A50" w:rsidRPr="00060463" w:rsidRDefault="00F669F1" w:rsidP="00841A50">
            <w:pPr>
              <w:spacing w:line="360" w:lineRule="auto"/>
              <w:rPr>
                <w:sz w:val="20"/>
              </w:rPr>
            </w:pPr>
            <w:r w:rsidRPr="00060463">
              <w:rPr>
                <w:sz w:val="20"/>
              </w:rPr>
              <w:t xml:space="preserve"> </w:t>
            </w:r>
            <w:r w:rsidR="00841A50" w:rsidRPr="00060463">
              <w:rPr>
                <w:sz w:val="20"/>
              </w:rPr>
              <w:t>i. Oficio número PMR/UT/214/2025, del nueve de octubre de dos mil veinticinco, suscrito por la Titular de la Unidad de Transparencia y dirigido al Comisionado Ponente, por medio del cual ratifico su respuesta.</w:t>
            </w:r>
          </w:p>
          <w:p w14:paraId="45AA879B" w14:textId="77777777" w:rsidR="00841A50" w:rsidRPr="00060463" w:rsidRDefault="00841A50" w:rsidP="00841A50">
            <w:pPr>
              <w:spacing w:line="360" w:lineRule="auto"/>
              <w:rPr>
                <w:sz w:val="20"/>
              </w:rPr>
            </w:pPr>
          </w:p>
          <w:p w14:paraId="11526777" w14:textId="50A16FD0" w:rsidR="004B07B8" w:rsidRPr="00060463" w:rsidRDefault="00841A50" w:rsidP="00D7021E">
            <w:pPr>
              <w:spacing w:line="360" w:lineRule="auto"/>
              <w:rPr>
                <w:sz w:val="20"/>
              </w:rPr>
            </w:pPr>
            <w:r w:rsidRPr="00060463">
              <w:rPr>
                <w:sz w:val="20"/>
              </w:rPr>
              <w:t>ii. Oficio número PM/SUBAD/276/2025, del ocho de octubre de dos mil veinticinco, suscrito por el Subdirector de Administración y dirigido a la Titular de la Unidad de Transparencia, por medio del cual ratifico su respuesta.</w:t>
            </w:r>
          </w:p>
        </w:tc>
      </w:tr>
      <w:tr w:rsidR="004B07B8" w:rsidRPr="00060463" w14:paraId="03CBD8BD" w14:textId="77777777" w:rsidTr="003918E5">
        <w:tc>
          <w:tcPr>
            <w:tcW w:w="2691" w:type="dxa"/>
          </w:tcPr>
          <w:p w14:paraId="61B73C97" w14:textId="11892282" w:rsidR="004B07B8" w:rsidRPr="00060463" w:rsidRDefault="004E06A4" w:rsidP="00D7021E">
            <w:pPr>
              <w:spacing w:line="360" w:lineRule="auto"/>
              <w:rPr>
                <w:b/>
                <w:i/>
                <w:sz w:val="20"/>
              </w:rPr>
            </w:pPr>
            <w:r w:rsidRPr="00060463">
              <w:rPr>
                <w:b/>
                <w:i/>
                <w:sz w:val="20"/>
              </w:rPr>
              <w:t>11200</w:t>
            </w:r>
            <w:r w:rsidR="00B54BBC" w:rsidRPr="00060463">
              <w:rPr>
                <w:b/>
                <w:i/>
                <w:sz w:val="20"/>
              </w:rPr>
              <w:t>/INFOEM/IP/RR/2025</w:t>
            </w:r>
          </w:p>
        </w:tc>
        <w:tc>
          <w:tcPr>
            <w:tcW w:w="6230" w:type="dxa"/>
          </w:tcPr>
          <w:p w14:paraId="155E9C41" w14:textId="10B23336" w:rsidR="00C67B84" w:rsidRPr="00060463" w:rsidRDefault="00CD32B3" w:rsidP="00C67B84">
            <w:pPr>
              <w:spacing w:line="360" w:lineRule="auto"/>
              <w:rPr>
                <w:sz w:val="20"/>
              </w:rPr>
            </w:pPr>
            <w:r w:rsidRPr="00060463">
              <w:rPr>
                <w:sz w:val="20"/>
              </w:rPr>
              <w:t xml:space="preserve"> </w:t>
            </w:r>
            <w:r w:rsidR="00C67B84" w:rsidRPr="00060463">
              <w:rPr>
                <w:sz w:val="20"/>
              </w:rPr>
              <w:t>i. Oficio número PMR/UT/215/2025, del nueve de octubre de dos mil veinticinco, suscrito por la Titular de la Unidad de Transparencia y dirigido al Comisionado Ponente, por medio del cual ratifico su respuesta.</w:t>
            </w:r>
          </w:p>
          <w:p w14:paraId="699D167E" w14:textId="77777777" w:rsidR="00C67B84" w:rsidRPr="00060463" w:rsidRDefault="00C67B84" w:rsidP="00C67B84">
            <w:pPr>
              <w:spacing w:line="360" w:lineRule="auto"/>
              <w:rPr>
                <w:sz w:val="20"/>
              </w:rPr>
            </w:pPr>
          </w:p>
          <w:p w14:paraId="4D9C6497" w14:textId="3EA7C788" w:rsidR="004B07B8" w:rsidRPr="00060463" w:rsidRDefault="00C67B84" w:rsidP="00C67B84">
            <w:pPr>
              <w:spacing w:line="360" w:lineRule="auto"/>
              <w:rPr>
                <w:sz w:val="20"/>
              </w:rPr>
            </w:pPr>
            <w:r w:rsidRPr="00060463">
              <w:rPr>
                <w:sz w:val="20"/>
              </w:rPr>
              <w:t>ii. Oficio número PM/SUBAD/277/2025, del ocho de octubre de dos mil veinticinco, suscrito por el Subdirector de Administración y dirigido a la Titular de la Unidad de Transparencia, por medio del cual ratifico su respuesta.</w:t>
            </w:r>
          </w:p>
        </w:tc>
      </w:tr>
    </w:tbl>
    <w:p w14:paraId="582CE942" w14:textId="77777777" w:rsidR="00893D68" w:rsidRPr="00060463" w:rsidRDefault="00893D68" w:rsidP="00D7021E">
      <w:pPr>
        <w:spacing w:after="0" w:line="360" w:lineRule="auto"/>
      </w:pPr>
    </w:p>
    <w:p w14:paraId="00D60EA0" w14:textId="482BCC13" w:rsidR="00893D68" w:rsidRPr="00060463" w:rsidRDefault="00893D68" w:rsidP="00D7021E">
      <w:pPr>
        <w:spacing w:after="0" w:line="360" w:lineRule="auto"/>
        <w:rPr>
          <w:rFonts w:cs="Tahoma"/>
          <w:bCs/>
          <w:i/>
          <w:lang w:val="es-ES"/>
        </w:rPr>
      </w:pPr>
      <w:r w:rsidRPr="00060463">
        <w:rPr>
          <w:b/>
        </w:rPr>
        <w:t>d) Vista del Informe Justificado.</w:t>
      </w:r>
      <w:r w:rsidRPr="00060463">
        <w:t xml:space="preserve"> E</w:t>
      </w:r>
      <w:r w:rsidR="00BD0FDF" w:rsidRPr="00060463">
        <w:t xml:space="preserve">l </w:t>
      </w:r>
      <w:r w:rsidR="00172F3C" w:rsidRPr="00060463">
        <w:t xml:space="preserve">nueve de diciembre </w:t>
      </w:r>
      <w:r w:rsidRPr="00060463">
        <w:t xml:space="preserve">de dos mil veinticinco, se dictó acuerdo mediante el cual se puso a la vista del Particular el Informe Justificado, entregado por el Sujeto Obligado, así como los documentos adjuntos, el cual fue notificado a las partes, </w:t>
      </w:r>
      <w:r w:rsidRPr="00060463">
        <w:lastRenderedPageBreak/>
        <w:t>a través del Sistema de Acceso a la Información Mexiquense (SAIMEX). Cabe señalar que el Particular fue omiso en realizar manifestación alguna.</w:t>
      </w:r>
    </w:p>
    <w:p w14:paraId="3C0E5EC8" w14:textId="77777777" w:rsidR="00B37A6D" w:rsidRPr="00060463" w:rsidRDefault="00B37A6D" w:rsidP="00D7021E">
      <w:pPr>
        <w:spacing w:after="0" w:line="360" w:lineRule="auto"/>
        <w:rPr>
          <w:b/>
          <w:color w:val="000000"/>
        </w:rPr>
      </w:pPr>
      <w:bookmarkStart w:id="10" w:name="_Hlk182976945"/>
    </w:p>
    <w:p w14:paraId="0C0B5A6C" w14:textId="2C692341" w:rsidR="00745BEA" w:rsidRPr="00060463" w:rsidRDefault="004962E7" w:rsidP="00D7021E">
      <w:pPr>
        <w:spacing w:after="0" w:line="360" w:lineRule="auto"/>
        <w:rPr>
          <w:color w:val="000000"/>
        </w:rPr>
      </w:pPr>
      <w:r w:rsidRPr="00060463">
        <w:rPr>
          <w:b/>
          <w:color w:val="000000"/>
        </w:rPr>
        <w:t>d</w:t>
      </w:r>
      <w:r w:rsidR="00745BEA" w:rsidRPr="00060463">
        <w:rPr>
          <w:b/>
          <w:color w:val="000000"/>
        </w:rPr>
        <w:t xml:space="preserve">) Acumulación de los asuntos. </w:t>
      </w:r>
      <w:r w:rsidR="00DF226F" w:rsidRPr="00060463">
        <w:rPr>
          <w:color w:val="000000"/>
        </w:rPr>
        <w:t xml:space="preserve">El </w:t>
      </w:r>
      <w:r w:rsidR="00172F3C" w:rsidRPr="00060463">
        <w:rPr>
          <w:color w:val="000000"/>
        </w:rPr>
        <w:t xml:space="preserve">nueve de diciembre </w:t>
      </w:r>
      <w:r w:rsidR="00745BEA" w:rsidRPr="00060463">
        <w:rPr>
          <w:color w:val="000000"/>
        </w:rPr>
        <w:t>de dos mil veinticinco, el Pleno del Instituto de Transparencia, Acceso a la Información Pública y Protección de Datos Personales del Estado de México y Munic</w:t>
      </w:r>
      <w:r w:rsidR="0075653B" w:rsidRPr="00060463">
        <w:rPr>
          <w:color w:val="000000"/>
        </w:rPr>
        <w:t xml:space="preserve">ipios, </w:t>
      </w:r>
      <w:r w:rsidR="00DF226F" w:rsidRPr="00060463">
        <w:rPr>
          <w:color w:val="000000"/>
        </w:rPr>
        <w:t xml:space="preserve">por medio del Acuerdo del </w:t>
      </w:r>
      <w:r w:rsidR="00172F3C" w:rsidRPr="00060463">
        <w:rPr>
          <w:color w:val="000000"/>
        </w:rPr>
        <w:t xml:space="preserve">nueve de octubre </w:t>
      </w:r>
      <w:r w:rsidR="00DF226F" w:rsidRPr="00060463">
        <w:rPr>
          <w:color w:val="000000"/>
        </w:rPr>
        <w:t>de dos mil veinticinco</w:t>
      </w:r>
      <w:r w:rsidR="00745BEA" w:rsidRPr="00060463">
        <w:rPr>
          <w:color w:val="000000"/>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w:t>
      </w:r>
      <w:r w:rsidR="00DF226F" w:rsidRPr="00060463">
        <w:rPr>
          <w:color w:val="000000"/>
        </w:rPr>
        <w:t>acumulación de los</w:t>
      </w:r>
      <w:r w:rsidR="0075653B" w:rsidRPr="00060463">
        <w:rPr>
          <w:color w:val="000000"/>
        </w:rPr>
        <w:t xml:space="preserve"> Recurso</w:t>
      </w:r>
      <w:r w:rsidR="00DF226F" w:rsidRPr="00060463">
        <w:rPr>
          <w:color w:val="000000"/>
        </w:rPr>
        <w:t>s</w:t>
      </w:r>
      <w:r w:rsidR="00745BEA" w:rsidRPr="00060463">
        <w:rPr>
          <w:color w:val="000000"/>
        </w:rPr>
        <w:t xml:space="preserve"> de Revisión </w:t>
      </w:r>
      <w:r w:rsidR="00172F3C" w:rsidRPr="00060463">
        <w:rPr>
          <w:b/>
        </w:rPr>
        <w:t>11197/INFOEM/IP/RR/2025, 11198/INFOEM/IP/RR/2025, 11199/INFOEM/IP/RR/2025 y 11200/INFOEM/IP/RR/2025</w:t>
      </w:r>
      <w:r w:rsidR="00745BEA" w:rsidRPr="00060463">
        <w:rPr>
          <w:color w:val="000000"/>
        </w:rPr>
        <w:t xml:space="preserve"> al diverso </w:t>
      </w:r>
      <w:r w:rsidR="00172F3C" w:rsidRPr="00060463">
        <w:rPr>
          <w:b/>
          <w:color w:val="000000"/>
        </w:rPr>
        <w:t>11196</w:t>
      </w:r>
      <w:r w:rsidR="00745BEA" w:rsidRPr="00060463">
        <w:rPr>
          <w:b/>
          <w:color w:val="000000"/>
        </w:rPr>
        <w:t>/INFOEM/IP/RR/2025</w:t>
      </w:r>
      <w:r w:rsidR="00745BEA" w:rsidRPr="00060463">
        <w:rPr>
          <w:color w:val="000000"/>
        </w:rPr>
        <w:t>, por ser este último el más antiguo, sustanciado bajo el índice de esta Ponencia.</w:t>
      </w:r>
    </w:p>
    <w:p w14:paraId="7EE48AAC" w14:textId="77777777" w:rsidR="00745BEA" w:rsidRPr="00060463" w:rsidRDefault="00745BEA" w:rsidP="00D7021E">
      <w:pPr>
        <w:spacing w:after="0" w:line="360" w:lineRule="auto"/>
        <w:rPr>
          <w:color w:val="000000"/>
        </w:rPr>
      </w:pPr>
    </w:p>
    <w:p w14:paraId="0E56F2A7" w14:textId="0C672982" w:rsidR="00B37A6D" w:rsidRPr="00060463" w:rsidRDefault="004962E7" w:rsidP="00D7021E">
      <w:pPr>
        <w:spacing w:after="0" w:line="360" w:lineRule="auto"/>
        <w:rPr>
          <w:b/>
          <w:color w:val="000000"/>
        </w:rPr>
      </w:pPr>
      <w:r w:rsidRPr="00060463">
        <w:rPr>
          <w:b/>
          <w:color w:val="000000"/>
        </w:rPr>
        <w:t>e</w:t>
      </w:r>
      <w:r w:rsidR="00B37A6D" w:rsidRPr="00060463">
        <w:rPr>
          <w:b/>
          <w:color w:val="000000"/>
        </w:rPr>
        <w:t xml:space="preserve">) Ampliación de plazo para resolver. </w:t>
      </w:r>
      <w:r w:rsidR="00B37A6D" w:rsidRPr="00060463">
        <w:rPr>
          <w:color w:val="000000"/>
        </w:rPr>
        <w:t xml:space="preserve">El </w:t>
      </w:r>
      <w:r w:rsidR="00172F3C" w:rsidRPr="00060463">
        <w:rPr>
          <w:color w:val="000000"/>
        </w:rPr>
        <w:t>nueve de diciembre</w:t>
      </w:r>
      <w:r w:rsidR="00B37A6D" w:rsidRPr="00060463">
        <w:rPr>
          <w:color w:val="000000"/>
        </w:rPr>
        <w:t xml:space="preserve"> de dos mil veinticinco, el Comisionado Ponente, con fundamento en lo dispuesto por el artículo 181, párrafo tercero, de la Ley de Transparencia y Acceso a la Información Pública del Estado de México y Municipios, acordó ampliar por un </w:t>
      </w:r>
      <w:r w:rsidR="00B37A6D" w:rsidRPr="00060463">
        <w:rPr>
          <w:b/>
          <w:color w:val="000000"/>
        </w:rPr>
        <w:t>periodo</w:t>
      </w:r>
      <w:r w:rsidR="0075653B" w:rsidRPr="00060463">
        <w:rPr>
          <w:b/>
          <w:color w:val="000000"/>
        </w:rPr>
        <w:t xml:space="preserve"> razonable</w:t>
      </w:r>
      <w:r w:rsidR="00B37A6D" w:rsidRPr="00060463">
        <w:rPr>
          <w:color w:val="000000"/>
        </w:rPr>
        <w:t>, el plazo para resolver el Recurso de Revisión que nos ocupa; acto que fue notificado a las partes el mismo día, mediante el Sistema de Acceso a la Información Mexiquense (SAIMEX).</w:t>
      </w:r>
    </w:p>
    <w:p w14:paraId="6EFC71EC" w14:textId="77777777" w:rsidR="003C5FE0" w:rsidRPr="00060463" w:rsidRDefault="003C5FE0" w:rsidP="00D7021E">
      <w:pPr>
        <w:spacing w:after="0" w:line="360" w:lineRule="auto"/>
        <w:rPr>
          <w:b/>
          <w:color w:val="000000"/>
        </w:rPr>
      </w:pPr>
    </w:p>
    <w:p w14:paraId="1220E37C" w14:textId="38975D2A" w:rsidR="003C5FE0" w:rsidRPr="00060463" w:rsidRDefault="004962E7" w:rsidP="00D7021E">
      <w:pPr>
        <w:spacing w:after="0" w:line="360" w:lineRule="auto"/>
        <w:contextualSpacing/>
      </w:pPr>
      <w:r w:rsidRPr="00060463">
        <w:rPr>
          <w:rFonts w:eastAsia="Batang" w:cs="Tahoma"/>
          <w:b/>
        </w:rPr>
        <w:t>f</w:t>
      </w:r>
      <w:r w:rsidR="003C5FE0" w:rsidRPr="00060463">
        <w:rPr>
          <w:rFonts w:eastAsia="Batang" w:cs="Tahoma"/>
          <w:b/>
        </w:rPr>
        <w:t xml:space="preserve">) </w:t>
      </w:r>
      <w:r w:rsidR="00002B20" w:rsidRPr="00060463">
        <w:rPr>
          <w:rFonts w:eastAsia="Times New Roman" w:cs="Tahoma"/>
          <w:b/>
          <w:szCs w:val="24"/>
          <w:lang w:eastAsia="es-ES"/>
        </w:rPr>
        <w:t>Cierre de instrucción.</w:t>
      </w:r>
      <w:r w:rsidR="00C06C06" w:rsidRPr="00060463">
        <w:rPr>
          <w:rFonts w:eastAsia="Times New Roman" w:cs="Tahoma"/>
          <w:szCs w:val="24"/>
          <w:lang w:eastAsia="es-ES"/>
        </w:rPr>
        <w:t xml:space="preserve"> El </w:t>
      </w:r>
      <w:r w:rsidR="00945DB2" w:rsidRPr="00060463">
        <w:rPr>
          <w:rFonts w:eastAsia="Times New Roman" w:cs="Tahoma"/>
          <w:szCs w:val="24"/>
          <w:lang w:eastAsia="es-ES"/>
        </w:rPr>
        <w:t>dieciséis de diciembre</w:t>
      </w:r>
      <w:r w:rsidR="00002B20" w:rsidRPr="00060463">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w:t>
      </w:r>
      <w:r w:rsidR="00002B20" w:rsidRPr="00060463">
        <w:rPr>
          <w:rFonts w:eastAsia="Times New Roman" w:cs="Tahoma"/>
          <w:szCs w:val="24"/>
          <w:lang w:eastAsia="es-ES"/>
        </w:rPr>
        <w:lastRenderedPageBreak/>
        <w:t xml:space="preserve">Información Pública del Estado de México y Municipios, </w:t>
      </w:r>
      <w:r w:rsidR="00002B20" w:rsidRPr="00060463">
        <w:rPr>
          <w:lang w:val="es-ES"/>
        </w:rPr>
        <w:t>acto que fue notificado a las partes, mediante el Sistema de Acceso a la Información Mexiquense (SAIMEX), el mismo día.</w:t>
      </w:r>
    </w:p>
    <w:bookmarkEnd w:id="10"/>
    <w:p w14:paraId="08D98E1D" w14:textId="77777777" w:rsidR="000410E6" w:rsidRPr="00060463" w:rsidRDefault="000410E6" w:rsidP="00D7021E">
      <w:pPr>
        <w:spacing w:after="0" w:line="360" w:lineRule="auto"/>
        <w:rPr>
          <w:b/>
          <w:bCs/>
          <w:lang w:val="es-ES"/>
        </w:rPr>
      </w:pPr>
    </w:p>
    <w:p w14:paraId="1D2DAFCD" w14:textId="77777777" w:rsidR="000410E6" w:rsidRPr="00060463" w:rsidRDefault="000410E6" w:rsidP="00D7021E">
      <w:pPr>
        <w:spacing w:after="0" w:line="360" w:lineRule="auto"/>
        <w:rPr>
          <w:color w:val="000000"/>
        </w:rPr>
      </w:pPr>
      <w:r w:rsidRPr="00060463">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060463" w:rsidRDefault="00674DAF" w:rsidP="00D7021E">
      <w:pPr>
        <w:spacing w:after="0" w:line="360" w:lineRule="auto"/>
        <w:rPr>
          <w:color w:val="000000"/>
        </w:rPr>
      </w:pPr>
    </w:p>
    <w:p w14:paraId="250F6589" w14:textId="3F880C72" w:rsidR="005C690F" w:rsidRPr="00060463" w:rsidRDefault="00CD6238" w:rsidP="00D7021E">
      <w:pPr>
        <w:pStyle w:val="Ttulo1"/>
        <w:spacing w:before="0" w:after="0" w:line="360" w:lineRule="auto"/>
        <w:jc w:val="center"/>
        <w:rPr>
          <w:sz w:val="22"/>
          <w:szCs w:val="22"/>
        </w:rPr>
      </w:pPr>
      <w:bookmarkStart w:id="11" w:name="_Toc216353022"/>
      <w:r w:rsidRPr="00060463">
        <w:rPr>
          <w:sz w:val="22"/>
          <w:szCs w:val="22"/>
        </w:rPr>
        <w:t>C O N S I D E R A N D O S</w:t>
      </w:r>
      <w:bookmarkEnd w:id="11"/>
    </w:p>
    <w:p w14:paraId="5AB6ED71" w14:textId="77777777" w:rsidR="005C690F" w:rsidRPr="00060463" w:rsidRDefault="005C690F" w:rsidP="00D7021E">
      <w:pPr>
        <w:spacing w:after="0" w:line="360" w:lineRule="auto"/>
        <w:jc w:val="center"/>
        <w:rPr>
          <w:b/>
          <w:color w:val="000000"/>
        </w:rPr>
      </w:pPr>
    </w:p>
    <w:p w14:paraId="36BFFC7E" w14:textId="2F0F17EA" w:rsidR="005C690F" w:rsidRPr="00060463" w:rsidRDefault="007D6307" w:rsidP="00D7021E">
      <w:pPr>
        <w:pStyle w:val="Ttulo2"/>
        <w:spacing w:before="0" w:after="0" w:line="360" w:lineRule="auto"/>
        <w:rPr>
          <w:sz w:val="22"/>
          <w:szCs w:val="22"/>
        </w:rPr>
      </w:pPr>
      <w:bookmarkStart w:id="12" w:name="_Toc216353023"/>
      <w:r w:rsidRPr="00060463">
        <w:rPr>
          <w:sz w:val="22"/>
          <w:szCs w:val="22"/>
        </w:rPr>
        <w:t xml:space="preserve">PRIMERO. </w:t>
      </w:r>
      <w:r w:rsidR="00CD6238" w:rsidRPr="00060463">
        <w:rPr>
          <w:sz w:val="22"/>
          <w:szCs w:val="22"/>
        </w:rPr>
        <w:t>Competencia</w:t>
      </w:r>
      <w:bookmarkEnd w:id="12"/>
    </w:p>
    <w:p w14:paraId="7DF6D940" w14:textId="77777777" w:rsidR="009417FA" w:rsidRPr="00060463" w:rsidRDefault="009417FA" w:rsidP="00D7021E">
      <w:pPr>
        <w:spacing w:after="0" w:line="360" w:lineRule="auto"/>
        <w:contextualSpacing/>
        <w:rPr>
          <w:rFonts w:eastAsia="Times New Roman" w:cs="Tahoma"/>
          <w:bCs/>
          <w:lang w:eastAsia="es-ES"/>
        </w:rPr>
      </w:pPr>
      <w:bookmarkStart w:id="13" w:name="_heading=h.30j0zll" w:colFirst="0" w:colLast="0"/>
      <w:bookmarkEnd w:id="13"/>
    </w:p>
    <w:p w14:paraId="34E8FFD7" w14:textId="69ABA402" w:rsidR="000519DD" w:rsidRPr="00060463" w:rsidRDefault="000519DD" w:rsidP="00D7021E">
      <w:pPr>
        <w:spacing w:after="0" w:line="360" w:lineRule="auto"/>
        <w:contextualSpacing/>
        <w:rPr>
          <w:rFonts w:eastAsia="Times New Roman" w:cs="Tahoma"/>
          <w:bCs/>
          <w:lang w:eastAsia="es-ES"/>
        </w:rPr>
      </w:pPr>
      <w:r w:rsidRPr="00060463">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060463" w:rsidRDefault="005C690F" w:rsidP="00D7021E">
      <w:pPr>
        <w:spacing w:after="0" w:line="360" w:lineRule="auto"/>
        <w:rPr>
          <w:b/>
          <w:color w:val="000000"/>
        </w:rPr>
      </w:pPr>
    </w:p>
    <w:p w14:paraId="46691DD5" w14:textId="4C1C70AD" w:rsidR="005C690F" w:rsidRPr="00060463" w:rsidRDefault="007D6307" w:rsidP="00D7021E">
      <w:pPr>
        <w:pStyle w:val="Ttulo2"/>
        <w:spacing w:before="0" w:after="0" w:line="360" w:lineRule="auto"/>
        <w:rPr>
          <w:sz w:val="22"/>
          <w:szCs w:val="22"/>
        </w:rPr>
      </w:pPr>
      <w:bookmarkStart w:id="14" w:name="_Toc216353024"/>
      <w:r w:rsidRPr="00060463">
        <w:rPr>
          <w:sz w:val="22"/>
          <w:szCs w:val="22"/>
        </w:rPr>
        <w:t>SEGUNDO. Causales de</w:t>
      </w:r>
      <w:r w:rsidR="00CD6238" w:rsidRPr="00060463">
        <w:rPr>
          <w:sz w:val="22"/>
          <w:szCs w:val="22"/>
        </w:rPr>
        <w:t xml:space="preserve"> improcedencia y sobreseimiento</w:t>
      </w:r>
      <w:bookmarkEnd w:id="14"/>
    </w:p>
    <w:p w14:paraId="49AA4CDE" w14:textId="77777777" w:rsidR="005C690F" w:rsidRPr="00060463" w:rsidRDefault="005C690F" w:rsidP="00D7021E">
      <w:pPr>
        <w:spacing w:after="0" w:line="360" w:lineRule="auto"/>
        <w:rPr>
          <w:color w:val="000000"/>
        </w:rPr>
      </w:pPr>
    </w:p>
    <w:p w14:paraId="2553CE58" w14:textId="77777777" w:rsidR="005C690F" w:rsidRPr="00060463" w:rsidRDefault="007D6307" w:rsidP="00D7021E">
      <w:pPr>
        <w:spacing w:after="0" w:line="360" w:lineRule="auto"/>
        <w:rPr>
          <w:color w:val="000000"/>
        </w:rPr>
      </w:pPr>
      <w:r w:rsidRPr="00060463">
        <w:rPr>
          <w:color w:val="000000"/>
        </w:rPr>
        <w:lastRenderedPageBreak/>
        <w:t xml:space="preserve">De las constancias que forma parte del Recurso de Revisión que se analiza, se advierte que previo al estudio del fondo de la </w:t>
      </w:r>
      <w:r w:rsidRPr="00060463">
        <w:rPr>
          <w:i/>
          <w:color w:val="000000"/>
        </w:rPr>
        <w:t>litis</w:t>
      </w:r>
      <w:r w:rsidRPr="00060463">
        <w:rPr>
          <w:color w:val="000000"/>
        </w:rPr>
        <w:t>, es necesario estudiar las causales de improcedencia y sobreseimiento que se adviertan, para determinar lo que en Derecho proceda.</w:t>
      </w:r>
    </w:p>
    <w:p w14:paraId="35A30074" w14:textId="77777777" w:rsidR="009B2DAB" w:rsidRPr="00060463" w:rsidRDefault="009B2DAB" w:rsidP="00D7021E">
      <w:pPr>
        <w:spacing w:after="0" w:line="360" w:lineRule="auto"/>
        <w:rPr>
          <w:color w:val="000000"/>
        </w:rPr>
      </w:pPr>
    </w:p>
    <w:p w14:paraId="3066DF0C" w14:textId="77777777" w:rsidR="005C690F" w:rsidRPr="00060463" w:rsidRDefault="007D6307" w:rsidP="00D7021E">
      <w:pPr>
        <w:spacing w:after="0" w:line="360" w:lineRule="auto"/>
        <w:rPr>
          <w:b/>
        </w:rPr>
      </w:pPr>
      <w:r w:rsidRPr="00060463">
        <w:rPr>
          <w:b/>
        </w:rPr>
        <w:t>Causales de improcedencia</w:t>
      </w:r>
    </w:p>
    <w:p w14:paraId="6335B5D0" w14:textId="77777777" w:rsidR="00637867" w:rsidRPr="00060463" w:rsidRDefault="00637867" w:rsidP="00D7021E">
      <w:pPr>
        <w:spacing w:after="0" w:line="360" w:lineRule="auto"/>
        <w:rPr>
          <w:b/>
        </w:rPr>
      </w:pPr>
    </w:p>
    <w:p w14:paraId="6C56CA88" w14:textId="77777777" w:rsidR="005C690F" w:rsidRPr="00060463" w:rsidRDefault="007D6307" w:rsidP="00D7021E">
      <w:pPr>
        <w:spacing w:after="0" w:line="360" w:lineRule="auto"/>
        <w:rPr>
          <w:color w:val="000000"/>
        </w:rPr>
      </w:pPr>
      <w:r w:rsidRPr="00060463">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060463" w:rsidRDefault="005C690F" w:rsidP="00D7021E">
      <w:pPr>
        <w:spacing w:after="0" w:line="360" w:lineRule="auto"/>
        <w:rPr>
          <w:color w:val="000000"/>
        </w:rPr>
      </w:pPr>
    </w:p>
    <w:p w14:paraId="22563DDB" w14:textId="33D3D011" w:rsidR="008D3B3F" w:rsidRPr="00060463" w:rsidRDefault="007D6307" w:rsidP="00D7021E">
      <w:pPr>
        <w:spacing w:after="0" w:line="360" w:lineRule="auto"/>
        <w:rPr>
          <w:color w:val="000000"/>
        </w:rPr>
      </w:pPr>
      <w:r w:rsidRPr="00060463">
        <w:rPr>
          <w:color w:val="000000"/>
        </w:rPr>
        <w:t>En el presente caso, </w:t>
      </w:r>
      <w:r w:rsidRPr="00060463">
        <w:rPr>
          <w:b/>
          <w:color w:val="000000"/>
        </w:rPr>
        <w:t>no se actualiza ninguna de las causales de improcedencia</w:t>
      </w:r>
      <w:r w:rsidRPr="00060463">
        <w:rPr>
          <w:color w:val="000000"/>
        </w:rPr>
        <w:t> establecidas en el ordenamiento jurídico previamente señalado, toda vez que: este Instituto no tiene conocimiento de que se encuentre en trámite algún medio de defensa presentado por la</w:t>
      </w:r>
      <w:r w:rsidR="00261B92" w:rsidRPr="00060463">
        <w:rPr>
          <w:color w:val="000000"/>
        </w:rPr>
        <w:t xml:space="preserve"> persona</w:t>
      </w:r>
      <w:r w:rsidRPr="00060463">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060463" w:rsidRDefault="00874D8A" w:rsidP="00D7021E">
      <w:pPr>
        <w:spacing w:after="0" w:line="360" w:lineRule="auto"/>
        <w:rPr>
          <w:color w:val="000000"/>
        </w:rPr>
      </w:pPr>
    </w:p>
    <w:p w14:paraId="2CECDC09" w14:textId="476599D5" w:rsidR="00E230E8" w:rsidRPr="00060463" w:rsidRDefault="007D6307" w:rsidP="00D7021E">
      <w:pPr>
        <w:spacing w:after="0" w:line="360" w:lineRule="auto"/>
      </w:pPr>
      <w:r w:rsidRPr="00060463">
        <w:t>Por lo cual, se actualiza la causal de procedencia del Recurso de Revisión señal</w:t>
      </w:r>
      <w:r w:rsidR="00261DF6" w:rsidRPr="00060463">
        <w:t>ada en el artículo 179, fracci</w:t>
      </w:r>
      <w:r w:rsidR="00637867" w:rsidRPr="00060463">
        <w:t>o</w:t>
      </w:r>
      <w:r w:rsidR="00E230E8" w:rsidRPr="00060463">
        <w:t>n</w:t>
      </w:r>
      <w:r w:rsidR="00637867" w:rsidRPr="00060463">
        <w:t>es</w:t>
      </w:r>
      <w:r w:rsidR="00FA3A3E" w:rsidRPr="00060463">
        <w:t xml:space="preserve"> </w:t>
      </w:r>
      <w:r w:rsidR="00637867" w:rsidRPr="00060463">
        <w:t>V</w:t>
      </w:r>
      <w:r w:rsidRPr="00060463">
        <w:t>, de la Ley en cita, pues la p</w:t>
      </w:r>
      <w:r w:rsidR="00261B92" w:rsidRPr="00060463">
        <w:t>ersona</w:t>
      </w:r>
      <w:r w:rsidRPr="00060463">
        <w:t xml:space="preserve"> Recurrente se inconformó </w:t>
      </w:r>
      <w:r w:rsidR="00FA3A3E" w:rsidRPr="00060463">
        <w:t xml:space="preserve">de </w:t>
      </w:r>
      <w:r w:rsidR="00E230E8" w:rsidRPr="00060463">
        <w:t>la entrega de información incompleta</w:t>
      </w:r>
      <w:r w:rsidR="00637867" w:rsidRPr="00060463">
        <w:t>.</w:t>
      </w:r>
    </w:p>
    <w:p w14:paraId="179C7654" w14:textId="77777777" w:rsidR="00E230E8" w:rsidRPr="00060463" w:rsidRDefault="00E230E8" w:rsidP="00D7021E">
      <w:pPr>
        <w:spacing w:after="0" w:line="360" w:lineRule="auto"/>
      </w:pPr>
    </w:p>
    <w:p w14:paraId="55FF691A" w14:textId="6D373E30" w:rsidR="005C690F" w:rsidRPr="00060463" w:rsidRDefault="007D6307" w:rsidP="00D7021E">
      <w:pPr>
        <w:spacing w:after="0" w:line="360" w:lineRule="auto"/>
        <w:rPr>
          <w:color w:val="0D0D0D"/>
        </w:rPr>
      </w:pPr>
      <w:r w:rsidRPr="00060463">
        <w:rPr>
          <w:b/>
          <w:color w:val="0D0D0D"/>
        </w:rPr>
        <w:lastRenderedPageBreak/>
        <w:t>Ca</w:t>
      </w:r>
      <w:r w:rsidR="00CD6238" w:rsidRPr="00060463">
        <w:rPr>
          <w:b/>
          <w:color w:val="0D0D0D"/>
        </w:rPr>
        <w:t>usales de sobreseimiento</w:t>
      </w:r>
    </w:p>
    <w:p w14:paraId="426FEE7A" w14:textId="77777777" w:rsidR="005C690F" w:rsidRPr="00060463" w:rsidRDefault="005C690F" w:rsidP="00D7021E">
      <w:pPr>
        <w:spacing w:after="0" w:line="360" w:lineRule="auto"/>
        <w:rPr>
          <w:color w:val="0D0D0D"/>
        </w:rPr>
      </w:pPr>
    </w:p>
    <w:p w14:paraId="5B1C849A" w14:textId="77777777" w:rsidR="005C690F" w:rsidRPr="00060463" w:rsidRDefault="007D6307" w:rsidP="00D7021E">
      <w:pPr>
        <w:spacing w:after="0" w:line="360" w:lineRule="auto"/>
        <w:rPr>
          <w:color w:val="0D0D0D"/>
        </w:rPr>
      </w:pPr>
      <w:r w:rsidRPr="00060463">
        <w:rPr>
          <w:color w:val="0D0D0D"/>
        </w:rPr>
        <w:t>Por ser de previo y especial pronunciamiento, este Instituto analiza si se actualiza alguna causal de sobreseimiento.</w:t>
      </w:r>
    </w:p>
    <w:p w14:paraId="5CEDF034" w14:textId="77777777" w:rsidR="00A96A4E" w:rsidRPr="00060463" w:rsidRDefault="00A96A4E" w:rsidP="00D7021E">
      <w:pPr>
        <w:spacing w:after="0" w:line="360" w:lineRule="auto"/>
        <w:rPr>
          <w:color w:val="0D0D0D"/>
        </w:rPr>
      </w:pPr>
    </w:p>
    <w:p w14:paraId="766AB72D" w14:textId="77777777" w:rsidR="00BC038B" w:rsidRPr="00060463" w:rsidRDefault="00BC038B" w:rsidP="00D7021E">
      <w:pPr>
        <w:spacing w:after="0" w:line="360" w:lineRule="auto"/>
        <w:rPr>
          <w:color w:val="000000"/>
        </w:rPr>
      </w:pPr>
      <w:r w:rsidRPr="00060463">
        <w:rPr>
          <w:color w:val="0D0D0D"/>
        </w:rPr>
        <w:t>Sobre el tema, e</w:t>
      </w:r>
      <w:r w:rsidRPr="00060463">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060463" w:rsidRDefault="00BC038B" w:rsidP="00D7021E">
      <w:pPr>
        <w:spacing w:after="0" w:line="360" w:lineRule="auto"/>
        <w:rPr>
          <w:color w:val="000000"/>
        </w:rPr>
      </w:pPr>
    </w:p>
    <w:p w14:paraId="5BDF3BB4" w14:textId="2A80B251" w:rsidR="00BC038B" w:rsidRPr="00060463" w:rsidRDefault="00BC038B" w:rsidP="00D7021E">
      <w:pPr>
        <w:spacing w:after="0" w:line="360" w:lineRule="auto"/>
        <w:rPr>
          <w:color w:val="0D0D0D"/>
        </w:rPr>
      </w:pPr>
      <w:r w:rsidRPr="00060463">
        <w:rPr>
          <w:color w:val="0D0D0D"/>
        </w:rPr>
        <w:t>Por tales motivos, se considera procedente entrar al fondo del presente asunto.</w:t>
      </w:r>
    </w:p>
    <w:p w14:paraId="275D3AA1" w14:textId="77777777" w:rsidR="001A44D1" w:rsidRPr="00060463" w:rsidRDefault="001A44D1" w:rsidP="00D7021E">
      <w:pPr>
        <w:spacing w:after="0" w:line="360" w:lineRule="auto"/>
        <w:rPr>
          <w:b/>
          <w:color w:val="000000"/>
        </w:rPr>
      </w:pPr>
    </w:p>
    <w:p w14:paraId="0A6A0BAE" w14:textId="184EF292" w:rsidR="005C690F" w:rsidRPr="00060463" w:rsidRDefault="007D6307" w:rsidP="00D7021E">
      <w:pPr>
        <w:pStyle w:val="Ttulo2"/>
        <w:spacing w:before="0" w:after="0" w:line="360" w:lineRule="auto"/>
        <w:rPr>
          <w:sz w:val="22"/>
          <w:szCs w:val="22"/>
        </w:rPr>
      </w:pPr>
      <w:bookmarkStart w:id="15" w:name="_Toc216353025"/>
      <w:r w:rsidRPr="00060463">
        <w:rPr>
          <w:sz w:val="22"/>
          <w:szCs w:val="22"/>
        </w:rPr>
        <w:t>TERCERO. De</w:t>
      </w:r>
      <w:r w:rsidR="00CD6238" w:rsidRPr="00060463">
        <w:rPr>
          <w:sz w:val="22"/>
          <w:szCs w:val="22"/>
        </w:rPr>
        <w:t>terminación de la Controversia</w:t>
      </w:r>
      <w:bookmarkEnd w:id="15"/>
    </w:p>
    <w:p w14:paraId="4A0739CB" w14:textId="77777777" w:rsidR="00897A05" w:rsidRPr="00060463" w:rsidRDefault="00897A05" w:rsidP="00D7021E">
      <w:pPr>
        <w:spacing w:after="0" w:line="360" w:lineRule="auto"/>
        <w:rPr>
          <w:b/>
          <w:color w:val="000000"/>
        </w:rPr>
      </w:pPr>
    </w:p>
    <w:p w14:paraId="313BBCFD" w14:textId="7569FBD8" w:rsidR="00752A36" w:rsidRPr="00060463" w:rsidRDefault="007C7BAF" w:rsidP="00D7021E">
      <w:pPr>
        <w:spacing w:after="0" w:line="360" w:lineRule="auto"/>
        <w:rPr>
          <w:rFonts w:cs="Tahoma"/>
        </w:rPr>
      </w:pPr>
      <w:r w:rsidRPr="00060463">
        <w:rPr>
          <w:rFonts w:cs="Tahoma"/>
        </w:rPr>
        <w:t xml:space="preserve">Con el objetivo de ilustrar la controversia planteada, </w:t>
      </w:r>
      <w:r w:rsidR="005D1835" w:rsidRPr="00060463">
        <w:rPr>
          <w:rFonts w:cs="Tahoma"/>
        </w:rPr>
        <w:t xml:space="preserve">resulta conveniente </w:t>
      </w:r>
      <w:r w:rsidR="00752A36" w:rsidRPr="00060463">
        <w:rPr>
          <w:rFonts w:cs="Tahoma"/>
        </w:rPr>
        <w:t>realizar un cuadro que contenga la solicitud de información, la respuesta por parte</w:t>
      </w:r>
      <w:r w:rsidR="00FA3A3E" w:rsidRPr="00060463">
        <w:rPr>
          <w:rFonts w:cs="Tahoma"/>
        </w:rPr>
        <w:t xml:space="preserve"> del Sujeto Obligado y </w:t>
      </w:r>
      <w:r w:rsidR="00752A36" w:rsidRPr="00060463">
        <w:rPr>
          <w:rFonts w:cs="Tahoma"/>
        </w:rPr>
        <w:t>la inconformidad por parte del Recurrente, conforme a lo siguiente:</w:t>
      </w:r>
    </w:p>
    <w:p w14:paraId="7DEF7803" w14:textId="77777777" w:rsidR="00FA3A3E" w:rsidRPr="00060463" w:rsidRDefault="00FA3A3E" w:rsidP="00D7021E">
      <w:pPr>
        <w:spacing w:after="0" w:line="360" w:lineRule="auto"/>
        <w:rPr>
          <w:rFonts w:cs="Tahoma"/>
        </w:rPr>
      </w:pPr>
    </w:p>
    <w:tbl>
      <w:tblPr>
        <w:tblStyle w:val="Tablaconcuadrcula"/>
        <w:tblW w:w="0" w:type="auto"/>
        <w:tblLook w:val="04A0" w:firstRow="1" w:lastRow="0" w:firstColumn="1" w:lastColumn="0" w:noHBand="0" w:noVBand="1"/>
      </w:tblPr>
      <w:tblGrid>
        <w:gridCol w:w="2973"/>
        <w:gridCol w:w="2974"/>
        <w:gridCol w:w="2974"/>
      </w:tblGrid>
      <w:tr w:rsidR="00FA3A3E" w:rsidRPr="00060463" w14:paraId="7E04078C" w14:textId="77777777" w:rsidTr="00FA3A3E">
        <w:tc>
          <w:tcPr>
            <w:tcW w:w="2973" w:type="dxa"/>
            <w:shd w:val="clear" w:color="auto" w:fill="F2DBDB" w:themeFill="accent2" w:themeFillTint="33"/>
          </w:tcPr>
          <w:p w14:paraId="2B99277B" w14:textId="1E506610" w:rsidR="00FA3A3E" w:rsidRPr="00060463" w:rsidRDefault="00FA3A3E" w:rsidP="00FA3A3E">
            <w:pPr>
              <w:spacing w:line="360" w:lineRule="auto"/>
              <w:jc w:val="center"/>
              <w:rPr>
                <w:rFonts w:cs="Tahoma"/>
                <w:b/>
              </w:rPr>
            </w:pPr>
            <w:r w:rsidRPr="00060463">
              <w:rPr>
                <w:rFonts w:cs="Tahoma"/>
                <w:b/>
              </w:rPr>
              <w:t>Solicitud</w:t>
            </w:r>
          </w:p>
        </w:tc>
        <w:tc>
          <w:tcPr>
            <w:tcW w:w="2974" w:type="dxa"/>
            <w:shd w:val="clear" w:color="auto" w:fill="F2DBDB" w:themeFill="accent2" w:themeFillTint="33"/>
          </w:tcPr>
          <w:p w14:paraId="2D8C6AFB" w14:textId="4CA28BBB" w:rsidR="00FA3A3E" w:rsidRPr="00060463" w:rsidRDefault="00FA3A3E" w:rsidP="00FA3A3E">
            <w:pPr>
              <w:spacing w:line="360" w:lineRule="auto"/>
              <w:jc w:val="center"/>
              <w:rPr>
                <w:rFonts w:cs="Tahoma"/>
                <w:b/>
              </w:rPr>
            </w:pPr>
            <w:r w:rsidRPr="00060463">
              <w:rPr>
                <w:rFonts w:cs="Tahoma"/>
                <w:b/>
              </w:rPr>
              <w:t>Respuesta</w:t>
            </w:r>
          </w:p>
        </w:tc>
        <w:tc>
          <w:tcPr>
            <w:tcW w:w="2974" w:type="dxa"/>
            <w:shd w:val="clear" w:color="auto" w:fill="F2DBDB" w:themeFill="accent2" w:themeFillTint="33"/>
          </w:tcPr>
          <w:p w14:paraId="7EF0FC17" w14:textId="14B5FF0A" w:rsidR="00FA3A3E" w:rsidRPr="00060463" w:rsidRDefault="00FA3A3E" w:rsidP="00FA3A3E">
            <w:pPr>
              <w:spacing w:line="360" w:lineRule="auto"/>
              <w:jc w:val="center"/>
              <w:rPr>
                <w:rFonts w:cs="Tahoma"/>
                <w:b/>
              </w:rPr>
            </w:pPr>
            <w:r w:rsidRPr="00060463">
              <w:rPr>
                <w:rFonts w:cs="Tahoma"/>
                <w:b/>
              </w:rPr>
              <w:t>Inconformidad</w:t>
            </w:r>
          </w:p>
        </w:tc>
      </w:tr>
      <w:tr w:rsidR="00FA3A3E" w:rsidRPr="00060463" w14:paraId="2B5D38B0" w14:textId="77777777" w:rsidTr="00FA3A3E">
        <w:tc>
          <w:tcPr>
            <w:tcW w:w="2973" w:type="dxa"/>
          </w:tcPr>
          <w:p w14:paraId="7BA2762C" w14:textId="649A21D9" w:rsidR="00FA3A3E" w:rsidRPr="00060463" w:rsidRDefault="00B37935" w:rsidP="00D7021E">
            <w:pPr>
              <w:spacing w:line="360" w:lineRule="auto"/>
              <w:rPr>
                <w:rFonts w:cs="Tahoma"/>
                <w:sz w:val="20"/>
              </w:rPr>
            </w:pPr>
            <w:r w:rsidRPr="00060463">
              <w:rPr>
                <w:rFonts w:cs="Tahoma"/>
                <w:sz w:val="20"/>
              </w:rPr>
              <w:t xml:space="preserve">1. Todos los documentos que den cuenta del procedimiento de alta y baja del personal y que </w:t>
            </w:r>
            <w:r w:rsidRPr="00060463">
              <w:rPr>
                <w:rFonts w:cs="Tahoma"/>
                <w:sz w:val="20"/>
              </w:rPr>
              <w:lastRenderedPageBreak/>
              <w:t>tenga información del movimiento de todo el personal (temporal, confianza, base, contrato, etc.), del mes de enero y febrero de dos mil veinticinco.</w:t>
            </w:r>
          </w:p>
        </w:tc>
        <w:tc>
          <w:tcPr>
            <w:tcW w:w="2974" w:type="dxa"/>
          </w:tcPr>
          <w:p w14:paraId="706554B7" w14:textId="5F47F700" w:rsidR="00FA3A3E" w:rsidRPr="00060463" w:rsidRDefault="0011584F" w:rsidP="00D7021E">
            <w:pPr>
              <w:spacing w:line="360" w:lineRule="auto"/>
              <w:rPr>
                <w:rFonts w:cs="Tahoma"/>
                <w:sz w:val="20"/>
              </w:rPr>
            </w:pPr>
            <w:r w:rsidRPr="00060463">
              <w:rPr>
                <w:rFonts w:cs="Tahoma"/>
                <w:sz w:val="20"/>
              </w:rPr>
              <w:lastRenderedPageBreak/>
              <w:t xml:space="preserve">i. A través del Subdirector de Administración adjuntó cincuenta y cinco Avisos de </w:t>
            </w:r>
            <w:r w:rsidRPr="00060463">
              <w:rPr>
                <w:rFonts w:cs="Tahoma"/>
                <w:sz w:val="20"/>
              </w:rPr>
              <w:lastRenderedPageBreak/>
              <w:t xml:space="preserve">Movimientos de Alta del </w:t>
            </w:r>
            <w:proofErr w:type="spellStart"/>
            <w:r w:rsidRPr="00060463">
              <w:rPr>
                <w:rFonts w:cs="Tahoma"/>
                <w:sz w:val="20"/>
              </w:rPr>
              <w:t>Issemym</w:t>
            </w:r>
            <w:proofErr w:type="spellEnd"/>
            <w:r w:rsidRPr="00060463">
              <w:rPr>
                <w:rFonts w:cs="Tahoma"/>
                <w:sz w:val="20"/>
              </w:rPr>
              <w:t>, en versión pública.</w:t>
            </w:r>
          </w:p>
          <w:p w14:paraId="7A6FE969" w14:textId="77777777" w:rsidR="0011584F" w:rsidRPr="00060463" w:rsidRDefault="0011584F" w:rsidP="00D7021E">
            <w:pPr>
              <w:spacing w:line="360" w:lineRule="auto"/>
              <w:rPr>
                <w:rFonts w:cs="Tahoma"/>
                <w:sz w:val="20"/>
              </w:rPr>
            </w:pPr>
          </w:p>
          <w:p w14:paraId="66DBA612" w14:textId="1CE99288" w:rsidR="0011584F" w:rsidRPr="00060463" w:rsidRDefault="0011584F" w:rsidP="00D7021E">
            <w:pPr>
              <w:spacing w:line="360" w:lineRule="auto"/>
              <w:rPr>
                <w:rFonts w:cs="Tahoma"/>
                <w:sz w:val="20"/>
              </w:rPr>
            </w:pPr>
            <w:r w:rsidRPr="00060463">
              <w:rPr>
                <w:rFonts w:cs="Tahoma"/>
                <w:sz w:val="20"/>
              </w:rPr>
              <w:t>ii. A través del Encargado de la Dirección Jurídica y Consultiva adjuntó treinta y un cartas de renuncia, en versión pública, del primero de enero al treinta de agosto de dos mil veinticinco.</w:t>
            </w:r>
          </w:p>
          <w:p w14:paraId="47A71ECF" w14:textId="77777777" w:rsidR="0011584F" w:rsidRPr="00060463" w:rsidRDefault="0011584F" w:rsidP="00D7021E">
            <w:pPr>
              <w:spacing w:line="360" w:lineRule="auto"/>
              <w:rPr>
                <w:rFonts w:cs="Tahoma"/>
                <w:sz w:val="20"/>
              </w:rPr>
            </w:pPr>
          </w:p>
          <w:p w14:paraId="229C80FA" w14:textId="47D85C39" w:rsidR="0011584F" w:rsidRPr="00060463" w:rsidRDefault="0011584F" w:rsidP="00D7021E">
            <w:pPr>
              <w:spacing w:line="360" w:lineRule="auto"/>
              <w:rPr>
                <w:rFonts w:cs="Tahoma"/>
                <w:sz w:val="20"/>
              </w:rPr>
            </w:pPr>
            <w:r w:rsidRPr="00060463">
              <w:rPr>
                <w:rFonts w:cs="Tahoma"/>
                <w:sz w:val="20"/>
              </w:rPr>
              <w:t xml:space="preserve">iii. </w:t>
            </w:r>
            <w:r w:rsidRPr="00060463">
              <w:rPr>
                <w:color w:val="000000"/>
                <w:sz w:val="20"/>
              </w:rPr>
              <w:t>Acta de la Décima Sexta Sesión Extraordinaria emitida por el Comité de Transparencia, por medio del cual se confirma la clasificación de la información como confidencial.</w:t>
            </w:r>
          </w:p>
        </w:tc>
        <w:tc>
          <w:tcPr>
            <w:tcW w:w="2974" w:type="dxa"/>
          </w:tcPr>
          <w:p w14:paraId="690CCE8F" w14:textId="71E2D977" w:rsidR="00FA3A3E" w:rsidRPr="00060463" w:rsidRDefault="00724390" w:rsidP="00724390">
            <w:pPr>
              <w:spacing w:line="360" w:lineRule="auto"/>
              <w:rPr>
                <w:rFonts w:cs="Tahoma"/>
                <w:sz w:val="20"/>
              </w:rPr>
            </w:pPr>
            <w:r w:rsidRPr="00060463">
              <w:rPr>
                <w:rFonts w:cs="Tahoma"/>
                <w:sz w:val="20"/>
                <w:lang w:val="es-ES"/>
              </w:rPr>
              <w:lastRenderedPageBreak/>
              <w:t xml:space="preserve">Ante dicha circunstancia, el Particular se inconformó de la entrega de información </w:t>
            </w:r>
            <w:r w:rsidRPr="00060463">
              <w:rPr>
                <w:rFonts w:cs="Tahoma"/>
                <w:sz w:val="20"/>
                <w:lang w:val="es-ES"/>
              </w:rPr>
              <w:lastRenderedPageBreak/>
              <w:t xml:space="preserve">incompleta al mencionar que no le entregaron todos los documentos que conforman los procedimientos de alta y baja, lo cual </w:t>
            </w:r>
            <w:r w:rsidRPr="00060463">
              <w:rPr>
                <w:rFonts w:eastAsia="Calibri" w:cs="Tahoma"/>
                <w:sz w:val="20"/>
              </w:rPr>
              <w:t>actualiza la causal de procedencia prevista en la fracción V, del artículo 179 de la Ley de Transparencia y Acceso a la Información Pública del Estado de México y Municipios.</w:t>
            </w:r>
          </w:p>
        </w:tc>
      </w:tr>
      <w:tr w:rsidR="00FA3A3E" w:rsidRPr="00060463" w14:paraId="5823EC28" w14:textId="77777777" w:rsidTr="00FA3A3E">
        <w:tc>
          <w:tcPr>
            <w:tcW w:w="2973" w:type="dxa"/>
          </w:tcPr>
          <w:p w14:paraId="325491A1" w14:textId="603C3759" w:rsidR="00FA3A3E" w:rsidRPr="00060463" w:rsidRDefault="00B37935" w:rsidP="00B37935">
            <w:pPr>
              <w:spacing w:line="360" w:lineRule="auto"/>
              <w:rPr>
                <w:rFonts w:cs="Tahoma"/>
                <w:sz w:val="20"/>
              </w:rPr>
            </w:pPr>
            <w:r w:rsidRPr="00060463">
              <w:rPr>
                <w:rFonts w:cs="Tahoma"/>
                <w:sz w:val="20"/>
              </w:rPr>
              <w:lastRenderedPageBreak/>
              <w:t>2. Todos los documentos que den cuenta del procedimiento de alta y baja del personal y que tenga información del movimiento de todo el personal (temporal, confianza, base, contrato, etc.), del mes de marzo y abril de dos mil veinticinco.</w:t>
            </w:r>
          </w:p>
        </w:tc>
        <w:tc>
          <w:tcPr>
            <w:tcW w:w="2974" w:type="dxa"/>
          </w:tcPr>
          <w:p w14:paraId="1EECE44E" w14:textId="020E8DB7" w:rsidR="00855513" w:rsidRPr="00060463" w:rsidRDefault="00855513" w:rsidP="00855513">
            <w:pPr>
              <w:spacing w:line="360" w:lineRule="auto"/>
              <w:rPr>
                <w:rFonts w:cs="Tahoma"/>
                <w:sz w:val="20"/>
              </w:rPr>
            </w:pPr>
            <w:r w:rsidRPr="00060463">
              <w:rPr>
                <w:rFonts w:cs="Tahoma"/>
                <w:sz w:val="20"/>
              </w:rPr>
              <w:t xml:space="preserve">i. A través del Subdirector de Administración adjuntó catorce Avisos de Movimientos de Alta del </w:t>
            </w:r>
            <w:proofErr w:type="spellStart"/>
            <w:r w:rsidRPr="00060463">
              <w:rPr>
                <w:rFonts w:cs="Tahoma"/>
                <w:sz w:val="20"/>
              </w:rPr>
              <w:t>Issemym</w:t>
            </w:r>
            <w:proofErr w:type="spellEnd"/>
            <w:r w:rsidRPr="00060463">
              <w:rPr>
                <w:rFonts w:cs="Tahoma"/>
                <w:sz w:val="20"/>
              </w:rPr>
              <w:t>, en versión pública.</w:t>
            </w:r>
          </w:p>
          <w:p w14:paraId="00FF3604" w14:textId="77777777" w:rsidR="00855513" w:rsidRPr="00060463" w:rsidRDefault="00855513" w:rsidP="00855513">
            <w:pPr>
              <w:spacing w:line="360" w:lineRule="auto"/>
              <w:rPr>
                <w:rFonts w:cs="Tahoma"/>
                <w:sz w:val="20"/>
              </w:rPr>
            </w:pPr>
          </w:p>
          <w:p w14:paraId="59C7FB56" w14:textId="77777777" w:rsidR="00855513" w:rsidRPr="00060463" w:rsidRDefault="00855513" w:rsidP="00855513">
            <w:pPr>
              <w:spacing w:line="360" w:lineRule="auto"/>
              <w:rPr>
                <w:rFonts w:cs="Tahoma"/>
                <w:sz w:val="20"/>
              </w:rPr>
            </w:pPr>
            <w:r w:rsidRPr="00060463">
              <w:rPr>
                <w:rFonts w:cs="Tahoma"/>
                <w:sz w:val="20"/>
              </w:rPr>
              <w:t xml:space="preserve">ii. A través del Encargado de la Dirección Jurídica y Consultiva adjuntó treinta y un cartas de renuncia, en versión pública, </w:t>
            </w:r>
            <w:r w:rsidRPr="00060463">
              <w:rPr>
                <w:rFonts w:cs="Tahoma"/>
                <w:sz w:val="20"/>
              </w:rPr>
              <w:lastRenderedPageBreak/>
              <w:t>del primero de enero al treinta de agosto de dos mil veinticinco.</w:t>
            </w:r>
          </w:p>
          <w:p w14:paraId="680201CF" w14:textId="77777777" w:rsidR="00855513" w:rsidRPr="00060463" w:rsidRDefault="00855513" w:rsidP="00855513">
            <w:pPr>
              <w:spacing w:line="360" w:lineRule="auto"/>
              <w:rPr>
                <w:rFonts w:cs="Tahoma"/>
                <w:sz w:val="20"/>
              </w:rPr>
            </w:pPr>
          </w:p>
          <w:p w14:paraId="71639139" w14:textId="300C5943" w:rsidR="00FA3A3E" w:rsidRPr="00060463" w:rsidRDefault="00855513" w:rsidP="00855513">
            <w:pPr>
              <w:spacing w:line="360" w:lineRule="auto"/>
              <w:rPr>
                <w:rFonts w:cs="Tahoma"/>
                <w:sz w:val="20"/>
              </w:rPr>
            </w:pPr>
            <w:r w:rsidRPr="00060463">
              <w:rPr>
                <w:rFonts w:cs="Tahoma"/>
                <w:sz w:val="20"/>
              </w:rPr>
              <w:t xml:space="preserve">iii. </w:t>
            </w:r>
            <w:r w:rsidRPr="00060463">
              <w:rPr>
                <w:color w:val="000000"/>
                <w:sz w:val="20"/>
              </w:rPr>
              <w:t>Acta de la Décima Sexta Sesión Extraordinaria emitida por el Comité de Transparencia, por medio del cual se confirma la clasificación de la información como confidencial.</w:t>
            </w:r>
          </w:p>
        </w:tc>
        <w:tc>
          <w:tcPr>
            <w:tcW w:w="2974" w:type="dxa"/>
          </w:tcPr>
          <w:p w14:paraId="13C71957" w14:textId="77777777" w:rsidR="00FA3A3E" w:rsidRPr="00060463" w:rsidRDefault="00FA3A3E" w:rsidP="00D7021E">
            <w:pPr>
              <w:spacing w:line="360" w:lineRule="auto"/>
              <w:rPr>
                <w:rFonts w:cs="Tahoma"/>
                <w:sz w:val="20"/>
              </w:rPr>
            </w:pPr>
          </w:p>
        </w:tc>
      </w:tr>
      <w:tr w:rsidR="00FA3A3E" w:rsidRPr="00060463" w14:paraId="46E0E920" w14:textId="77777777" w:rsidTr="00FA3A3E">
        <w:tc>
          <w:tcPr>
            <w:tcW w:w="2973" w:type="dxa"/>
          </w:tcPr>
          <w:p w14:paraId="7527944B" w14:textId="765ECDD4" w:rsidR="00FA3A3E" w:rsidRPr="00060463" w:rsidRDefault="00B37935" w:rsidP="00D7021E">
            <w:pPr>
              <w:spacing w:line="360" w:lineRule="auto"/>
              <w:rPr>
                <w:rFonts w:cs="Tahoma"/>
                <w:sz w:val="20"/>
              </w:rPr>
            </w:pPr>
            <w:r w:rsidRPr="00060463">
              <w:rPr>
                <w:rFonts w:cs="Tahoma"/>
                <w:sz w:val="20"/>
              </w:rPr>
              <w:t>3. Todos los documentos que den cuenta del procedimiento de alta y baja del personal y que tenga información del movimiento de todo el personal (temporal, confianza, base, contrato, etc.), del mes de mayo y junio de dos mil veinticinco.</w:t>
            </w:r>
          </w:p>
        </w:tc>
        <w:tc>
          <w:tcPr>
            <w:tcW w:w="2974" w:type="dxa"/>
          </w:tcPr>
          <w:p w14:paraId="6FA7DC0F" w14:textId="78E9F275" w:rsidR="00855513" w:rsidRPr="00060463" w:rsidRDefault="00855513" w:rsidP="00855513">
            <w:pPr>
              <w:spacing w:line="360" w:lineRule="auto"/>
              <w:rPr>
                <w:rFonts w:cs="Tahoma"/>
                <w:sz w:val="20"/>
              </w:rPr>
            </w:pPr>
            <w:r w:rsidRPr="00060463">
              <w:rPr>
                <w:rFonts w:cs="Tahoma"/>
                <w:sz w:val="20"/>
              </w:rPr>
              <w:t xml:space="preserve">i. A través del Subdirector de Administración adjuntó quince Avisos de Movimientos de Alta del </w:t>
            </w:r>
            <w:proofErr w:type="spellStart"/>
            <w:r w:rsidRPr="00060463">
              <w:rPr>
                <w:rFonts w:cs="Tahoma"/>
                <w:sz w:val="20"/>
              </w:rPr>
              <w:t>Issemym</w:t>
            </w:r>
            <w:proofErr w:type="spellEnd"/>
            <w:r w:rsidRPr="00060463">
              <w:rPr>
                <w:rFonts w:cs="Tahoma"/>
                <w:sz w:val="20"/>
              </w:rPr>
              <w:t>, en versión pública.</w:t>
            </w:r>
          </w:p>
          <w:p w14:paraId="15B21613" w14:textId="77777777" w:rsidR="00855513" w:rsidRPr="00060463" w:rsidRDefault="00855513" w:rsidP="00855513">
            <w:pPr>
              <w:spacing w:line="360" w:lineRule="auto"/>
              <w:rPr>
                <w:rFonts w:cs="Tahoma"/>
                <w:sz w:val="20"/>
              </w:rPr>
            </w:pPr>
          </w:p>
          <w:p w14:paraId="6C059CA9" w14:textId="77777777" w:rsidR="00855513" w:rsidRPr="00060463" w:rsidRDefault="00855513" w:rsidP="00855513">
            <w:pPr>
              <w:spacing w:line="360" w:lineRule="auto"/>
              <w:rPr>
                <w:rFonts w:cs="Tahoma"/>
                <w:sz w:val="20"/>
              </w:rPr>
            </w:pPr>
            <w:r w:rsidRPr="00060463">
              <w:rPr>
                <w:rFonts w:cs="Tahoma"/>
                <w:sz w:val="20"/>
              </w:rPr>
              <w:t>ii. A través del Encargado de la Dirección Jurídica y Consultiva adjuntó treinta y un cartas de renuncia, en versión pública, del primero de enero al treinta de agosto de dos mil veinticinco.</w:t>
            </w:r>
          </w:p>
          <w:p w14:paraId="2E57DD5B" w14:textId="77777777" w:rsidR="00855513" w:rsidRPr="00060463" w:rsidRDefault="00855513" w:rsidP="00855513">
            <w:pPr>
              <w:spacing w:line="360" w:lineRule="auto"/>
              <w:rPr>
                <w:rFonts w:cs="Tahoma"/>
                <w:sz w:val="20"/>
              </w:rPr>
            </w:pPr>
          </w:p>
          <w:p w14:paraId="0A70F251" w14:textId="7BD3BD81" w:rsidR="00FA3A3E" w:rsidRPr="00060463" w:rsidRDefault="00855513" w:rsidP="00855513">
            <w:pPr>
              <w:spacing w:line="360" w:lineRule="auto"/>
              <w:rPr>
                <w:rFonts w:cs="Tahoma"/>
                <w:sz w:val="20"/>
              </w:rPr>
            </w:pPr>
            <w:r w:rsidRPr="00060463">
              <w:rPr>
                <w:rFonts w:cs="Tahoma"/>
                <w:sz w:val="20"/>
              </w:rPr>
              <w:t xml:space="preserve">iii. </w:t>
            </w:r>
            <w:r w:rsidRPr="00060463">
              <w:rPr>
                <w:color w:val="000000"/>
                <w:sz w:val="20"/>
              </w:rPr>
              <w:t xml:space="preserve">Acta de la Décima Sexta Sesión Extraordinaria emitida por el Comité de </w:t>
            </w:r>
            <w:r w:rsidRPr="00060463">
              <w:rPr>
                <w:color w:val="000000"/>
                <w:sz w:val="20"/>
              </w:rPr>
              <w:lastRenderedPageBreak/>
              <w:t>Transparencia, por medio del cual se confirma la clasificación de la información como confidencial.</w:t>
            </w:r>
          </w:p>
        </w:tc>
        <w:tc>
          <w:tcPr>
            <w:tcW w:w="2974" w:type="dxa"/>
          </w:tcPr>
          <w:p w14:paraId="2A0CC4A6" w14:textId="77777777" w:rsidR="00FA3A3E" w:rsidRPr="00060463" w:rsidRDefault="00FA3A3E" w:rsidP="00D7021E">
            <w:pPr>
              <w:spacing w:line="360" w:lineRule="auto"/>
              <w:rPr>
                <w:rFonts w:cs="Tahoma"/>
                <w:sz w:val="20"/>
              </w:rPr>
            </w:pPr>
          </w:p>
        </w:tc>
      </w:tr>
      <w:tr w:rsidR="00FA3A3E" w:rsidRPr="00060463" w14:paraId="10CF402F" w14:textId="77777777" w:rsidTr="00FA3A3E">
        <w:tc>
          <w:tcPr>
            <w:tcW w:w="2973" w:type="dxa"/>
          </w:tcPr>
          <w:p w14:paraId="3D5C3BC7" w14:textId="0AE6D151" w:rsidR="00FA3A3E" w:rsidRPr="00060463" w:rsidRDefault="00B37935" w:rsidP="00D7021E">
            <w:pPr>
              <w:spacing w:line="360" w:lineRule="auto"/>
              <w:rPr>
                <w:rFonts w:cs="Tahoma"/>
                <w:sz w:val="20"/>
              </w:rPr>
            </w:pPr>
            <w:r w:rsidRPr="00060463">
              <w:rPr>
                <w:rFonts w:cs="Tahoma"/>
                <w:sz w:val="20"/>
              </w:rPr>
              <w:t>4. Todos los documentos que den cuenta del procedimiento de alta y baja del personal y que tenga información del movimiento de todo el personal (temporal, confianza, base, contrato, etc.), del mes de julio y agosto de dos mil veinticinco.</w:t>
            </w:r>
          </w:p>
        </w:tc>
        <w:tc>
          <w:tcPr>
            <w:tcW w:w="2974" w:type="dxa"/>
          </w:tcPr>
          <w:p w14:paraId="6DC1B971" w14:textId="35743482" w:rsidR="005C395F" w:rsidRPr="00060463" w:rsidRDefault="005C395F" w:rsidP="005C395F">
            <w:pPr>
              <w:spacing w:line="360" w:lineRule="auto"/>
              <w:rPr>
                <w:rFonts w:cs="Tahoma"/>
                <w:sz w:val="20"/>
              </w:rPr>
            </w:pPr>
            <w:r w:rsidRPr="00060463">
              <w:rPr>
                <w:rFonts w:cs="Tahoma"/>
                <w:sz w:val="20"/>
              </w:rPr>
              <w:t xml:space="preserve">i. A través del Subdirector de Administración adjuntó siete Avisos de Movimientos de Alta del </w:t>
            </w:r>
            <w:proofErr w:type="spellStart"/>
            <w:r w:rsidRPr="00060463">
              <w:rPr>
                <w:rFonts w:cs="Tahoma"/>
                <w:sz w:val="20"/>
              </w:rPr>
              <w:t>Issemym</w:t>
            </w:r>
            <w:proofErr w:type="spellEnd"/>
            <w:r w:rsidRPr="00060463">
              <w:rPr>
                <w:rFonts w:cs="Tahoma"/>
                <w:sz w:val="20"/>
              </w:rPr>
              <w:t>, en versión pública.</w:t>
            </w:r>
          </w:p>
          <w:p w14:paraId="3BF4041C" w14:textId="77777777" w:rsidR="005C395F" w:rsidRPr="00060463" w:rsidRDefault="005C395F" w:rsidP="005C395F">
            <w:pPr>
              <w:spacing w:line="360" w:lineRule="auto"/>
              <w:rPr>
                <w:rFonts w:cs="Tahoma"/>
                <w:sz w:val="20"/>
              </w:rPr>
            </w:pPr>
          </w:p>
          <w:p w14:paraId="1B4E7AEB" w14:textId="77777777" w:rsidR="005C395F" w:rsidRPr="00060463" w:rsidRDefault="005C395F" w:rsidP="005C395F">
            <w:pPr>
              <w:spacing w:line="360" w:lineRule="auto"/>
              <w:rPr>
                <w:rFonts w:cs="Tahoma"/>
                <w:sz w:val="20"/>
              </w:rPr>
            </w:pPr>
            <w:r w:rsidRPr="00060463">
              <w:rPr>
                <w:rFonts w:cs="Tahoma"/>
                <w:sz w:val="20"/>
              </w:rPr>
              <w:t>ii. A través del Encargado de la Dirección Jurídica y Consultiva adjuntó treinta y un cartas de renuncia, en versión pública, del primero de enero al treinta de agosto de dos mil veinticinco.</w:t>
            </w:r>
          </w:p>
          <w:p w14:paraId="2CCE4D8F" w14:textId="77777777" w:rsidR="005C395F" w:rsidRPr="00060463" w:rsidRDefault="005C395F" w:rsidP="005C395F">
            <w:pPr>
              <w:spacing w:line="360" w:lineRule="auto"/>
              <w:rPr>
                <w:rFonts w:cs="Tahoma"/>
                <w:sz w:val="20"/>
              </w:rPr>
            </w:pPr>
          </w:p>
          <w:p w14:paraId="166E2241" w14:textId="018225AB" w:rsidR="00FA3A3E" w:rsidRPr="00060463" w:rsidRDefault="005C395F" w:rsidP="005C395F">
            <w:pPr>
              <w:spacing w:line="360" w:lineRule="auto"/>
              <w:rPr>
                <w:rFonts w:cs="Tahoma"/>
                <w:sz w:val="20"/>
              </w:rPr>
            </w:pPr>
            <w:r w:rsidRPr="00060463">
              <w:rPr>
                <w:rFonts w:cs="Tahoma"/>
                <w:sz w:val="20"/>
              </w:rPr>
              <w:t xml:space="preserve">iii. </w:t>
            </w:r>
            <w:r w:rsidRPr="00060463">
              <w:rPr>
                <w:color w:val="000000"/>
                <w:sz w:val="20"/>
              </w:rPr>
              <w:t>Acta de la Décima Sexta Sesión Extraordinaria emitida por el Comité de Transparencia, por medio del cual se confirma la clasificación de la información como confidencial.</w:t>
            </w:r>
          </w:p>
        </w:tc>
        <w:tc>
          <w:tcPr>
            <w:tcW w:w="2974" w:type="dxa"/>
          </w:tcPr>
          <w:p w14:paraId="1A24CCBD" w14:textId="77777777" w:rsidR="00FA3A3E" w:rsidRPr="00060463" w:rsidRDefault="00FA3A3E" w:rsidP="00D7021E">
            <w:pPr>
              <w:spacing w:line="360" w:lineRule="auto"/>
              <w:rPr>
                <w:rFonts w:cs="Tahoma"/>
                <w:sz w:val="20"/>
              </w:rPr>
            </w:pPr>
          </w:p>
        </w:tc>
      </w:tr>
      <w:tr w:rsidR="00B37935" w:rsidRPr="00060463" w14:paraId="4A388E4B" w14:textId="77777777" w:rsidTr="00FA3A3E">
        <w:tc>
          <w:tcPr>
            <w:tcW w:w="2973" w:type="dxa"/>
          </w:tcPr>
          <w:p w14:paraId="271F07E8" w14:textId="6DC74E41" w:rsidR="00B37935" w:rsidRPr="00060463" w:rsidRDefault="00B37935" w:rsidP="00B37935">
            <w:pPr>
              <w:spacing w:line="360" w:lineRule="auto"/>
              <w:rPr>
                <w:rFonts w:cs="Tahoma"/>
                <w:sz w:val="20"/>
              </w:rPr>
            </w:pPr>
            <w:r w:rsidRPr="00060463">
              <w:rPr>
                <w:rFonts w:cs="Tahoma"/>
                <w:sz w:val="20"/>
              </w:rPr>
              <w:t xml:space="preserve">5. Todos los documentos que den cuenta del procedimiento de baja del personal, del </w:t>
            </w:r>
            <w:r w:rsidRPr="00060463">
              <w:rPr>
                <w:rFonts w:cs="Tahoma"/>
                <w:sz w:val="20"/>
              </w:rPr>
              <w:lastRenderedPageBreak/>
              <w:t>primero de junio al veintiséis de agosto de dos mil veinticinco.</w:t>
            </w:r>
          </w:p>
        </w:tc>
        <w:tc>
          <w:tcPr>
            <w:tcW w:w="2974" w:type="dxa"/>
          </w:tcPr>
          <w:p w14:paraId="4B981060" w14:textId="787E4425" w:rsidR="005C395F" w:rsidRPr="00060463" w:rsidRDefault="005C395F" w:rsidP="005C395F">
            <w:pPr>
              <w:spacing w:line="360" w:lineRule="auto"/>
              <w:rPr>
                <w:rFonts w:cs="Tahoma"/>
                <w:sz w:val="20"/>
              </w:rPr>
            </w:pPr>
            <w:r w:rsidRPr="00060463">
              <w:rPr>
                <w:rFonts w:cs="Tahoma"/>
                <w:sz w:val="20"/>
              </w:rPr>
              <w:lastRenderedPageBreak/>
              <w:t xml:space="preserve">i. A través del Encargado de la Dirección Jurídica y Consultiva adjuntó treinta y un cartas de </w:t>
            </w:r>
            <w:r w:rsidRPr="00060463">
              <w:rPr>
                <w:rFonts w:cs="Tahoma"/>
                <w:sz w:val="20"/>
              </w:rPr>
              <w:lastRenderedPageBreak/>
              <w:t>renuncia, en versión pública, del primero de enero al treinta de agosto de dos mil veinticinco.</w:t>
            </w:r>
          </w:p>
          <w:p w14:paraId="23B90992" w14:textId="77777777" w:rsidR="005C395F" w:rsidRPr="00060463" w:rsidRDefault="005C395F" w:rsidP="005C395F">
            <w:pPr>
              <w:spacing w:line="360" w:lineRule="auto"/>
              <w:rPr>
                <w:rFonts w:cs="Tahoma"/>
                <w:sz w:val="20"/>
              </w:rPr>
            </w:pPr>
          </w:p>
          <w:p w14:paraId="6C7F169C" w14:textId="1F094AA9" w:rsidR="00B37935" w:rsidRPr="00060463" w:rsidRDefault="005C395F" w:rsidP="005C395F">
            <w:pPr>
              <w:spacing w:line="360" w:lineRule="auto"/>
              <w:rPr>
                <w:rFonts w:cs="Tahoma"/>
                <w:sz w:val="20"/>
              </w:rPr>
            </w:pPr>
            <w:r w:rsidRPr="00060463">
              <w:rPr>
                <w:rFonts w:cs="Tahoma"/>
                <w:sz w:val="20"/>
              </w:rPr>
              <w:t xml:space="preserve">ii. </w:t>
            </w:r>
            <w:r w:rsidRPr="00060463">
              <w:rPr>
                <w:color w:val="000000"/>
                <w:sz w:val="20"/>
              </w:rPr>
              <w:t>Acta de la Décima Sexta Sesión Extraordinaria emitida por el Comité de Transparencia, por medio del cual se confirma la clasificación de la información como confidencial.</w:t>
            </w:r>
          </w:p>
        </w:tc>
        <w:tc>
          <w:tcPr>
            <w:tcW w:w="2974" w:type="dxa"/>
          </w:tcPr>
          <w:p w14:paraId="62935BE0" w14:textId="77777777" w:rsidR="00B37935" w:rsidRPr="00060463" w:rsidRDefault="00B37935" w:rsidP="00D7021E">
            <w:pPr>
              <w:spacing w:line="360" w:lineRule="auto"/>
              <w:rPr>
                <w:rFonts w:cs="Tahoma"/>
                <w:sz w:val="20"/>
              </w:rPr>
            </w:pPr>
          </w:p>
        </w:tc>
      </w:tr>
    </w:tbl>
    <w:p w14:paraId="04F062BD" w14:textId="77777777" w:rsidR="00115496" w:rsidRPr="00060463" w:rsidRDefault="00115496" w:rsidP="00D7021E">
      <w:pPr>
        <w:spacing w:after="0" w:line="360" w:lineRule="auto"/>
        <w:rPr>
          <w:rFonts w:cs="Tahoma"/>
        </w:rPr>
      </w:pPr>
    </w:p>
    <w:p w14:paraId="268A52DD" w14:textId="6876EEA4" w:rsidR="0085664C" w:rsidRPr="00060463" w:rsidRDefault="0085664C" w:rsidP="0085664C">
      <w:pPr>
        <w:spacing w:after="0" w:line="360" w:lineRule="auto"/>
        <w:rPr>
          <w:color w:val="000000"/>
          <w:lang w:eastAsia="es-ES_tradnl"/>
        </w:rPr>
      </w:pPr>
      <w:r w:rsidRPr="00060463">
        <w:rPr>
          <w:color w:val="000000"/>
          <w:lang w:eastAsia="es-ES_tradnl"/>
        </w:rPr>
        <w:t xml:space="preserve">Conforme a lo anterior, se logra vislumbrar que </w:t>
      </w:r>
      <w:r w:rsidRPr="00060463">
        <w:rPr>
          <w:rFonts w:eastAsia="Calibri" w:cs="Tahoma"/>
          <w:bCs/>
          <w:iCs/>
        </w:rPr>
        <w:t>la persona</w:t>
      </w:r>
      <w:r w:rsidRPr="00060463">
        <w:rPr>
          <w:color w:val="000000"/>
          <w:lang w:eastAsia="es-ES_tradnl"/>
        </w:rPr>
        <w:t xml:space="preserve"> Recurrente no se agravió del total de servidores públicos que se dieron de alta y baja mencionado en respuesta, sino de que no le entregaron todos los documentos que conformen los procedimientos de alta y baja;</w:t>
      </w:r>
      <w:r w:rsidRPr="00060463">
        <w:rPr>
          <w:rFonts w:eastAsia="Calibri" w:cs="Tahoma"/>
          <w:color w:val="000000"/>
          <w:szCs w:val="24"/>
          <w:lang w:val="es-ES"/>
        </w:rPr>
        <w:t xml:space="preserve"> p</w:t>
      </w:r>
      <w:r w:rsidRPr="00060463">
        <w:rPr>
          <w:color w:val="000000"/>
          <w:lang w:eastAsia="es-ES_tradnl"/>
        </w:rPr>
        <w:t>or lo que, no se hará pronunciamiento alguno, respecto a la información entregada,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w:t>
      </w:r>
      <w:r w:rsidRPr="00060463">
        <w:rPr>
          <w:b/>
          <w:bCs/>
          <w:color w:val="000000"/>
          <w:lang w:eastAsia="es-ES_tradnl"/>
        </w:rPr>
        <w:t>los actos que se hayan consentido tácitamente,</w:t>
      </w:r>
      <w:r w:rsidRPr="00060463">
        <w:rPr>
          <w:color w:val="000000"/>
          <w:lang w:eastAsia="es-ES_tradnl"/>
        </w:rPr>
        <w:t> entendiéndose por estos cuando el agravio no se haya promovido en el plazo señalado para el efecto.</w:t>
      </w:r>
    </w:p>
    <w:p w14:paraId="2399B790" w14:textId="77777777" w:rsidR="0085664C" w:rsidRPr="00060463" w:rsidRDefault="0085664C" w:rsidP="0085664C">
      <w:pPr>
        <w:spacing w:after="0" w:line="360" w:lineRule="auto"/>
        <w:rPr>
          <w:rFonts w:cs="Times New Roman"/>
          <w:color w:val="000000"/>
          <w:lang w:eastAsia="es-ES_tradnl"/>
        </w:rPr>
      </w:pPr>
      <w:r w:rsidRPr="00060463">
        <w:rPr>
          <w:color w:val="000000"/>
          <w:lang w:eastAsia="es-ES_tradnl"/>
        </w:rPr>
        <w:t> </w:t>
      </w:r>
    </w:p>
    <w:p w14:paraId="5B23C988" w14:textId="77777777" w:rsidR="0085664C" w:rsidRPr="00060463" w:rsidRDefault="0085664C" w:rsidP="0085664C">
      <w:pPr>
        <w:spacing w:after="0" w:line="360" w:lineRule="auto"/>
        <w:rPr>
          <w:color w:val="000000"/>
          <w:lang w:eastAsia="es-ES_tradnl"/>
        </w:rPr>
      </w:pPr>
      <w:r w:rsidRPr="00060463">
        <w:rPr>
          <w:color w:val="000000"/>
          <w:lang w:eastAsia="es-ES_tradnl"/>
        </w:rPr>
        <w:t>De la misma manera resulta aplicable el criterio sostenido por el Poder Judicial de la Federación de rubro </w:t>
      </w:r>
      <w:r w:rsidRPr="00060463">
        <w:rPr>
          <w:b/>
          <w:bCs/>
          <w:color w:val="000000"/>
          <w:lang w:eastAsia="es-ES_tradnl"/>
        </w:rPr>
        <w:t>ACTOS CONSENTIDOS TÁCITAMENTE</w:t>
      </w:r>
      <w:r w:rsidRPr="00060463">
        <w:rPr>
          <w:color w:val="000000"/>
          <w:lang w:eastAsia="es-ES_tradnl"/>
        </w:rPr>
        <w:t xml:space="preserve">, Tesis VI.2o. J/21, emitida en la novena época, por el Segundo Tribunal Colegiado del Sexto Circuito, publicada en la Gaceta del Semanario Judicial de la Federación en agosto de 1995, página 291, número de </w:t>
      </w:r>
      <w:r w:rsidRPr="00060463">
        <w:rPr>
          <w:color w:val="000000"/>
          <w:lang w:eastAsia="es-ES_tradnl"/>
        </w:rPr>
        <w:lastRenderedPageBreak/>
        <w:t>registro 204707, del que se desprende que cuando no se reclaman los actos de autoridad en la vía y plazos establecidos en la Ley, se presume que el Particular está conforme con los mismos.</w:t>
      </w:r>
    </w:p>
    <w:p w14:paraId="06F7456B" w14:textId="77777777" w:rsidR="0085664C" w:rsidRPr="00060463" w:rsidRDefault="0085664C" w:rsidP="0085664C">
      <w:pPr>
        <w:spacing w:after="0" w:line="360" w:lineRule="auto"/>
        <w:rPr>
          <w:color w:val="000000"/>
          <w:lang w:eastAsia="es-ES_tradnl"/>
        </w:rPr>
      </w:pPr>
      <w:r w:rsidRPr="00060463">
        <w:rPr>
          <w:color w:val="000000"/>
          <w:lang w:eastAsia="es-ES_tradnl"/>
        </w:rPr>
        <w:t> </w:t>
      </w:r>
    </w:p>
    <w:p w14:paraId="572ED9A2" w14:textId="77777777" w:rsidR="0085664C" w:rsidRPr="00060463" w:rsidRDefault="0085664C" w:rsidP="0085664C">
      <w:pPr>
        <w:spacing w:after="0" w:line="360" w:lineRule="auto"/>
        <w:rPr>
          <w:color w:val="000000"/>
          <w:lang w:eastAsia="es-ES_tradnl"/>
        </w:rPr>
      </w:pPr>
      <w:r w:rsidRPr="00060463">
        <w:rPr>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3B600BCC" w14:textId="77777777" w:rsidR="0085664C" w:rsidRPr="00060463" w:rsidRDefault="0085664C" w:rsidP="0085664C">
      <w:pPr>
        <w:spacing w:after="0" w:line="360" w:lineRule="auto"/>
        <w:rPr>
          <w:color w:val="000000"/>
          <w:lang w:eastAsia="es-ES_tradnl"/>
        </w:rPr>
      </w:pPr>
    </w:p>
    <w:p w14:paraId="167131AB" w14:textId="637E2AE3" w:rsidR="00FA3A3E" w:rsidRPr="00060463" w:rsidRDefault="0085664C" w:rsidP="00D7021E">
      <w:pPr>
        <w:spacing w:after="0" w:line="360" w:lineRule="auto"/>
        <w:rPr>
          <w:rFonts w:cs="Tahoma"/>
        </w:rPr>
      </w:pPr>
      <w:r w:rsidRPr="00060463">
        <w:rPr>
          <w:color w:val="000000"/>
          <w:lang w:eastAsia="es-ES_tradnl"/>
        </w:rPr>
        <w:t xml:space="preserve"> Asimismo, resulta relevante traer a colación el Criterio Orientador, de la Segunda Época, con número de registro SO/001/2020, emitido por el entonces Instituto Nacional de Transparencia, Acceso a la Información y Protección de Datos Personales </w:t>
      </w:r>
      <w:r w:rsidRPr="00060463">
        <w:rPr>
          <w:bCs/>
          <w:iCs/>
          <w:color w:val="000000"/>
          <w:lang w:eastAsia="es-ES_tradnl"/>
        </w:rPr>
        <w:t>vigente a la fecha de la solicitud</w:t>
      </w:r>
      <w:r w:rsidRPr="00060463">
        <w:rPr>
          <w:color w:val="000000"/>
          <w:lang w:eastAsia="es-ES_tradnl"/>
        </w:rPr>
        <w:t xml:space="preserve">, el cual establece que es improcedente entrar al análisis de las partes de la respuesta del Sujeto Obligado que no fueron impugnadas por </w:t>
      </w:r>
      <w:r w:rsidRPr="00060463">
        <w:rPr>
          <w:rFonts w:eastAsia="Calibri" w:cs="Tahoma"/>
          <w:bCs/>
          <w:iCs/>
        </w:rPr>
        <w:t>la persona</w:t>
      </w:r>
      <w:r w:rsidRPr="00060463">
        <w:rPr>
          <w:color w:val="000000"/>
          <w:lang w:eastAsia="es-ES_tradnl"/>
        </w:rPr>
        <w:t xml:space="preserve"> Recurrente; por lo que, en el presente caso, se tienen por consentido el total de servidores públicos que se dieron de alta y baja mencionados en respuesta, y se entrará al análisis de los documentos que conformen los procedimientos de alta y baja.</w:t>
      </w:r>
      <w:r w:rsidRPr="00060463">
        <w:rPr>
          <w:rFonts w:cs="Tahoma"/>
        </w:rPr>
        <w:t xml:space="preserve"> </w:t>
      </w:r>
      <w:r w:rsidR="00FA3A3E" w:rsidRPr="00060463">
        <w:rPr>
          <w:rFonts w:eastAsia="Calibri" w:cs="Tahoma"/>
        </w:rPr>
        <w:t>Así, las cosas, una vez admitido y notificado el Recurso de Revisión a las partes, el Sujeto Obligado ratifico su respuesta.</w:t>
      </w:r>
    </w:p>
    <w:p w14:paraId="47800DAE" w14:textId="77777777" w:rsidR="00FA3A3E" w:rsidRPr="00060463" w:rsidRDefault="00FA3A3E" w:rsidP="00D7021E">
      <w:pPr>
        <w:spacing w:after="0" w:line="360" w:lineRule="auto"/>
        <w:rPr>
          <w:rFonts w:cs="Tahoma"/>
          <w:lang w:val="es-ES"/>
        </w:rPr>
      </w:pPr>
    </w:p>
    <w:p w14:paraId="22C5958E" w14:textId="6210C22E" w:rsidR="007C7BAF" w:rsidRPr="00060463" w:rsidRDefault="007C7BAF" w:rsidP="00D7021E">
      <w:pPr>
        <w:tabs>
          <w:tab w:val="left" w:pos="4962"/>
        </w:tabs>
        <w:spacing w:after="0" w:line="360" w:lineRule="auto"/>
        <w:rPr>
          <w:rFonts w:eastAsia="Calibri" w:cs="Tahoma"/>
          <w:bCs/>
        </w:rPr>
      </w:pPr>
      <w:r w:rsidRPr="00060463">
        <w:rPr>
          <w:rFonts w:eastAsia="Calibri" w:cs="Tahoma"/>
          <w:iCs/>
          <w:lang w:val="es-ES" w:eastAsia="es-ES_tradnl"/>
        </w:rPr>
        <w:t>Lo anterior, se desprende de las documentales que obran en el expediente de referencia, materia de la presente resolución, consistente en: la solic</w:t>
      </w:r>
      <w:r w:rsidR="00BB3F28" w:rsidRPr="00060463">
        <w:rPr>
          <w:rFonts w:eastAsia="Calibri" w:cs="Tahoma"/>
          <w:iCs/>
          <w:lang w:val="es-ES" w:eastAsia="es-ES_tradnl"/>
        </w:rPr>
        <w:t>i</w:t>
      </w:r>
      <w:r w:rsidR="0076190F" w:rsidRPr="00060463">
        <w:rPr>
          <w:rFonts w:eastAsia="Calibri" w:cs="Tahoma"/>
          <w:iCs/>
          <w:lang w:val="es-ES" w:eastAsia="es-ES_tradnl"/>
        </w:rPr>
        <w:t xml:space="preserve">tud de acceso a </w:t>
      </w:r>
      <w:r w:rsidR="003C46A9" w:rsidRPr="00060463">
        <w:rPr>
          <w:rFonts w:eastAsia="Calibri" w:cs="Tahoma"/>
          <w:iCs/>
          <w:lang w:val="es-ES" w:eastAsia="es-ES_tradnl"/>
        </w:rPr>
        <w:t>la información</w:t>
      </w:r>
      <w:r w:rsidR="00F921B3" w:rsidRPr="00060463">
        <w:rPr>
          <w:rFonts w:eastAsia="Calibri" w:cs="Tahoma"/>
          <w:iCs/>
          <w:lang w:val="es-ES" w:eastAsia="es-ES_tradnl"/>
        </w:rPr>
        <w:t xml:space="preserve">, </w:t>
      </w:r>
      <w:r w:rsidRPr="00060463">
        <w:rPr>
          <w:rFonts w:eastAsia="Calibri" w:cs="Tahoma"/>
          <w:iCs/>
          <w:lang w:eastAsia="es-ES_tradnl"/>
        </w:rPr>
        <w:t>el escrito recursal</w:t>
      </w:r>
      <w:r w:rsidR="00F921B3" w:rsidRPr="00060463">
        <w:rPr>
          <w:rFonts w:eastAsia="Calibri" w:cs="Tahoma"/>
          <w:iCs/>
          <w:lang w:eastAsia="es-ES_tradnl"/>
        </w:rPr>
        <w:t xml:space="preserve"> y el Informe Justificado</w:t>
      </w:r>
      <w:r w:rsidRPr="00060463">
        <w:rPr>
          <w:rFonts w:eastAsia="Calibri" w:cs="Tahoma"/>
          <w:iCs/>
          <w:lang w:eastAsia="es-ES_tradnl"/>
        </w:rPr>
        <w:t xml:space="preserve">; </w:t>
      </w:r>
      <w:r w:rsidRPr="000604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060463" w:rsidRDefault="00C672CD" w:rsidP="00D7021E">
      <w:pPr>
        <w:pStyle w:val="Ttulo2"/>
        <w:spacing w:before="0" w:after="0" w:line="360" w:lineRule="auto"/>
        <w:rPr>
          <w:sz w:val="22"/>
          <w:szCs w:val="22"/>
        </w:rPr>
      </w:pPr>
    </w:p>
    <w:p w14:paraId="36DCBD9D" w14:textId="0AA8912A" w:rsidR="005C690F" w:rsidRPr="00060463" w:rsidRDefault="007D6307" w:rsidP="00D7021E">
      <w:pPr>
        <w:pStyle w:val="Ttulo2"/>
        <w:spacing w:before="0" w:after="0" w:line="360" w:lineRule="auto"/>
        <w:rPr>
          <w:sz w:val="22"/>
          <w:szCs w:val="22"/>
        </w:rPr>
      </w:pPr>
      <w:bookmarkStart w:id="16" w:name="_Toc216353026"/>
      <w:r w:rsidRPr="00060463">
        <w:rPr>
          <w:sz w:val="22"/>
          <w:szCs w:val="22"/>
        </w:rPr>
        <w:t xml:space="preserve">CUARTO. Marco normativo aplicable en materia de transparencia y </w:t>
      </w:r>
      <w:r w:rsidR="00CD6238" w:rsidRPr="00060463">
        <w:rPr>
          <w:sz w:val="22"/>
          <w:szCs w:val="22"/>
        </w:rPr>
        <w:t>acceso a la información pública</w:t>
      </w:r>
      <w:bookmarkEnd w:id="16"/>
    </w:p>
    <w:p w14:paraId="4D62F8F1" w14:textId="77777777" w:rsidR="005C690F" w:rsidRPr="00060463" w:rsidRDefault="005C690F" w:rsidP="00D7021E">
      <w:pPr>
        <w:spacing w:after="0" w:line="360" w:lineRule="auto"/>
        <w:rPr>
          <w:color w:val="000000"/>
        </w:rPr>
      </w:pPr>
    </w:p>
    <w:p w14:paraId="68F50546" w14:textId="77777777" w:rsidR="005C690F" w:rsidRPr="00060463" w:rsidRDefault="007D6307" w:rsidP="00D7021E">
      <w:pPr>
        <w:spacing w:after="0" w:line="360" w:lineRule="auto"/>
        <w:rPr>
          <w:color w:val="000000"/>
        </w:rPr>
      </w:pPr>
      <w:r w:rsidRPr="00060463">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060463" w:rsidRDefault="005C690F" w:rsidP="00D7021E">
      <w:pPr>
        <w:spacing w:after="0" w:line="360" w:lineRule="auto"/>
        <w:rPr>
          <w:color w:val="000000"/>
        </w:rPr>
      </w:pPr>
    </w:p>
    <w:p w14:paraId="69458899" w14:textId="77777777" w:rsidR="005C690F" w:rsidRPr="00060463" w:rsidRDefault="007D6307" w:rsidP="00D7021E">
      <w:pPr>
        <w:spacing w:after="0" w:line="360" w:lineRule="auto"/>
        <w:rPr>
          <w:color w:val="000000"/>
        </w:rPr>
      </w:pPr>
      <w:r w:rsidRPr="00060463">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060463" w:rsidRDefault="005C690F" w:rsidP="00D7021E">
      <w:pPr>
        <w:spacing w:after="0" w:line="360" w:lineRule="auto"/>
        <w:rPr>
          <w:color w:val="000000"/>
        </w:rPr>
      </w:pPr>
    </w:p>
    <w:p w14:paraId="3D8EBDEC" w14:textId="77777777" w:rsidR="005C690F" w:rsidRPr="00060463" w:rsidRDefault="007D6307" w:rsidP="00D7021E">
      <w:pPr>
        <w:spacing w:after="0" w:line="360" w:lineRule="auto"/>
        <w:rPr>
          <w:color w:val="000000"/>
        </w:rPr>
      </w:pPr>
      <w:r w:rsidRPr="00060463">
        <w:rPr>
          <w:color w:val="000000"/>
        </w:rPr>
        <w:t>Por su parte, la Ley de Transparencia y Acceso a la Información Pública del Estado de México y Municipios (Reglamentaria del artículo 5° de la Constitución Local), establece lo siguiente:</w:t>
      </w:r>
    </w:p>
    <w:p w14:paraId="5BD9CB2E" w14:textId="77777777" w:rsidR="005C690F" w:rsidRPr="00060463" w:rsidRDefault="007D6307" w:rsidP="00D7021E">
      <w:pPr>
        <w:spacing w:after="0" w:line="360" w:lineRule="auto"/>
        <w:rPr>
          <w:color w:val="000000"/>
        </w:rPr>
      </w:pPr>
      <w:r w:rsidRPr="00060463">
        <w:rPr>
          <w:color w:val="000000"/>
        </w:rPr>
        <w:t>El artículo 12, que, quienes generen, recopilen, administren, manejen, procesen, archiven o conserven información pública serán responsables de la misma.</w:t>
      </w:r>
    </w:p>
    <w:p w14:paraId="09F7A0E2" w14:textId="77777777" w:rsidR="00B86EDE" w:rsidRPr="00060463" w:rsidRDefault="00B86EDE" w:rsidP="00D7021E">
      <w:pPr>
        <w:spacing w:after="0" w:line="360" w:lineRule="auto"/>
        <w:rPr>
          <w:color w:val="000000"/>
        </w:rPr>
      </w:pPr>
    </w:p>
    <w:p w14:paraId="3D899A16" w14:textId="77777777" w:rsidR="005C690F" w:rsidRPr="00060463" w:rsidRDefault="007D6307" w:rsidP="00D7021E">
      <w:pPr>
        <w:widowControl w:val="0"/>
        <w:spacing w:after="0" w:line="360" w:lineRule="auto"/>
        <w:rPr>
          <w:color w:val="000000"/>
        </w:rPr>
      </w:pPr>
      <w:r w:rsidRPr="00060463">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060463" w:rsidRDefault="00B153FA" w:rsidP="00D7021E">
      <w:pPr>
        <w:widowControl w:val="0"/>
        <w:spacing w:after="0" w:line="360" w:lineRule="auto"/>
        <w:rPr>
          <w:color w:val="000000"/>
        </w:rPr>
      </w:pPr>
    </w:p>
    <w:p w14:paraId="70E5B643" w14:textId="378E2A57" w:rsidR="00B04A35" w:rsidRPr="00060463" w:rsidRDefault="007D6307" w:rsidP="00D7021E">
      <w:pPr>
        <w:spacing w:after="0" w:line="360" w:lineRule="auto"/>
        <w:rPr>
          <w:color w:val="000000"/>
        </w:rPr>
      </w:pPr>
      <w:r w:rsidRPr="00060463">
        <w:rPr>
          <w:color w:val="000000"/>
        </w:rPr>
        <w:t xml:space="preserve">El artículo 19, que, se presume que la información debe existir si se refiere a las facultades, competencias y funciones que los ordenamientos jurídicos aplicables otorgan a los sujetos </w:t>
      </w:r>
      <w:r w:rsidRPr="00060463">
        <w:rPr>
          <w:color w:val="000000"/>
        </w:rPr>
        <w:lastRenderedPageBreak/>
        <w:t>obligados y en caso de que dichas facultades no se hayan ejercido, se deberá motivar la respuesta en función de las causas que motivaron tal circunstancia.</w:t>
      </w:r>
    </w:p>
    <w:p w14:paraId="30795D2E" w14:textId="77777777" w:rsidR="005C690F" w:rsidRPr="00060463" w:rsidRDefault="005C690F" w:rsidP="00D7021E">
      <w:pPr>
        <w:spacing w:after="0" w:line="360" w:lineRule="auto"/>
      </w:pPr>
    </w:p>
    <w:p w14:paraId="3AF871E5" w14:textId="6FEB966D" w:rsidR="005C690F" w:rsidRPr="00060463" w:rsidRDefault="00CD6238" w:rsidP="00D7021E">
      <w:pPr>
        <w:pStyle w:val="Ttulo2"/>
        <w:spacing w:before="0" w:after="0" w:line="360" w:lineRule="auto"/>
        <w:rPr>
          <w:sz w:val="22"/>
          <w:szCs w:val="22"/>
        </w:rPr>
      </w:pPr>
      <w:bookmarkStart w:id="17" w:name="_Toc216353027"/>
      <w:r w:rsidRPr="00060463">
        <w:rPr>
          <w:sz w:val="22"/>
          <w:szCs w:val="22"/>
        </w:rPr>
        <w:t>Q</w:t>
      </w:r>
      <w:r w:rsidR="0044017B" w:rsidRPr="00060463">
        <w:rPr>
          <w:sz w:val="22"/>
          <w:szCs w:val="22"/>
        </w:rPr>
        <w:t>UINTO</w:t>
      </w:r>
      <w:r w:rsidRPr="00060463">
        <w:rPr>
          <w:sz w:val="22"/>
          <w:szCs w:val="22"/>
        </w:rPr>
        <w:t>. Estudio de Fondo</w:t>
      </w:r>
      <w:bookmarkEnd w:id="17"/>
    </w:p>
    <w:p w14:paraId="2596B212" w14:textId="77777777" w:rsidR="00A56228" w:rsidRPr="00060463" w:rsidRDefault="00A56228" w:rsidP="00D7021E">
      <w:pPr>
        <w:spacing w:after="0" w:line="360" w:lineRule="auto"/>
        <w:rPr>
          <w:b/>
          <w:color w:val="000000"/>
        </w:rPr>
      </w:pPr>
    </w:p>
    <w:p w14:paraId="5F490A49" w14:textId="71CC9B98" w:rsidR="007F4407" w:rsidRPr="00060463" w:rsidRDefault="0064067B" w:rsidP="00D7021E">
      <w:pPr>
        <w:spacing w:after="0" w:line="360" w:lineRule="auto"/>
        <w:rPr>
          <w:rFonts w:eastAsia="Times New Roman" w:cs="Tahoma"/>
          <w:bCs/>
          <w:iCs/>
          <w:lang w:eastAsia="es-ES"/>
        </w:rPr>
      </w:pPr>
      <w:r w:rsidRPr="00060463">
        <w:rPr>
          <w:color w:val="000000"/>
        </w:rPr>
        <w:t>Expuestas las posturas de las partes, se procede al análisis de los agravios hechos valer por la persona Recurrente</w:t>
      </w:r>
      <w:r w:rsidR="00731FB9" w:rsidRPr="00060463">
        <w:t xml:space="preserve">, </w:t>
      </w:r>
      <w:r w:rsidR="007F4407" w:rsidRPr="00060463">
        <w:rPr>
          <w:rFonts w:eastAsia="Times New Roman" w:cs="Tahoma"/>
          <w:bCs/>
          <w:iCs/>
          <w:lang w:eastAsia="es-ES"/>
        </w:rPr>
        <w:t>por lo que, en principio es necesario contextualizar la solicitud de información.</w:t>
      </w:r>
    </w:p>
    <w:p w14:paraId="0BC54DEB" w14:textId="77777777" w:rsidR="007C56EC" w:rsidRPr="00060463" w:rsidRDefault="007C56EC" w:rsidP="00D7021E">
      <w:pPr>
        <w:spacing w:after="0" w:line="360" w:lineRule="auto"/>
        <w:rPr>
          <w:rFonts w:eastAsia="Times New Roman" w:cs="Tahoma"/>
          <w:bCs/>
          <w:iCs/>
          <w:lang w:eastAsia="es-ES"/>
        </w:rPr>
      </w:pPr>
    </w:p>
    <w:p w14:paraId="71CEFC1D" w14:textId="77777777" w:rsidR="007C56EC" w:rsidRPr="00060463" w:rsidRDefault="007C56EC" w:rsidP="007C56EC">
      <w:pPr>
        <w:spacing w:after="0" w:line="360" w:lineRule="auto"/>
        <w:rPr>
          <w:rFonts w:eastAsia="Times New Roman" w:cs="Tahoma"/>
          <w:bCs/>
          <w:iCs/>
          <w:color w:val="000000"/>
          <w:lang w:eastAsia="es-ES"/>
        </w:rPr>
      </w:pPr>
      <w:r w:rsidRPr="00060463">
        <w:rPr>
          <w:rFonts w:eastAsia="Times New Roman" w:cs="Tahoma"/>
          <w:bCs/>
          <w:iCs/>
          <w:color w:val="000000"/>
          <w:lang w:eastAsia="es-ES"/>
        </w:rPr>
        <w:t>En ese contexto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2CAAE99C" w14:textId="77777777" w:rsidR="007C56EC" w:rsidRPr="00060463" w:rsidRDefault="007C56EC" w:rsidP="007C56EC">
      <w:pPr>
        <w:spacing w:after="0" w:line="360" w:lineRule="auto"/>
        <w:rPr>
          <w:rFonts w:eastAsia="Times New Roman" w:cs="Tahoma"/>
          <w:bCs/>
          <w:iCs/>
          <w:color w:val="000000"/>
          <w:lang w:eastAsia="es-ES"/>
        </w:rPr>
      </w:pPr>
    </w:p>
    <w:p w14:paraId="6CC59129" w14:textId="0BDCB102" w:rsidR="007C56EC" w:rsidRPr="00060463" w:rsidRDefault="007C56EC" w:rsidP="007C56EC">
      <w:pPr>
        <w:spacing w:after="0" w:line="360" w:lineRule="auto"/>
        <w:rPr>
          <w:rFonts w:eastAsia="Times New Roman" w:cs="Tahoma"/>
          <w:bCs/>
          <w:iCs/>
          <w:color w:val="000000"/>
          <w:lang w:eastAsia="es-ES"/>
        </w:rPr>
      </w:pPr>
      <w:r w:rsidRPr="00060463">
        <w:rPr>
          <w:rFonts w:eastAsia="Times New Roman" w:cs="Tahoma"/>
          <w:bCs/>
          <w:iCs/>
          <w:color w:val="000000"/>
          <w:lang w:eastAsia="es-ES"/>
        </w:rPr>
        <w:t xml:space="preserve">Asimismo, los artículos 4, 5 y 6, de la Ley del Trabajo de los servidores públicos del Estado y Municipios, precisa que son servidores públicos, todas las personas físicas que preste a una institución pública un trabajo personal subordinado, mediante el pago de un sueldo y que la </w:t>
      </w:r>
      <w:r w:rsidRPr="00060463">
        <w:t>relación de trabajo entre las instituciones públicas y sus servidores públicos se entiende establecida mediante no</w:t>
      </w:r>
      <w:r w:rsidRPr="00060463">
        <w:rPr>
          <w:b/>
        </w:rPr>
        <w:t>mbramiento, formato único de movimiento de personal, contrato</w:t>
      </w:r>
      <w:r w:rsidRPr="00060463">
        <w:t xml:space="preserve"> o por cualquier otro acto que tenga como consecuencia la prestación personal subordinada del servicio y la percepción de un sueldo, además, se clasifican por servidores públicos generales y de confianza, los cuales, de acuerdo con la duración de sus relaciones de trabajo pueden ser: por tiempo u obra determinados o por tiempo indeterminado.</w:t>
      </w:r>
    </w:p>
    <w:p w14:paraId="454DF4D6" w14:textId="77777777" w:rsidR="007C56EC" w:rsidRPr="00060463" w:rsidRDefault="007C56EC" w:rsidP="007C56EC">
      <w:pPr>
        <w:spacing w:after="0" w:line="360" w:lineRule="auto"/>
        <w:rPr>
          <w:rFonts w:eastAsia="Times New Roman" w:cs="Tahoma"/>
          <w:bCs/>
          <w:iCs/>
          <w:color w:val="000000"/>
          <w:lang w:eastAsia="es-ES"/>
        </w:rPr>
      </w:pPr>
    </w:p>
    <w:p w14:paraId="51073CDA" w14:textId="77777777" w:rsidR="007E2AA7" w:rsidRPr="00060463" w:rsidRDefault="007E2AA7" w:rsidP="007C56EC">
      <w:pPr>
        <w:spacing w:after="0" w:line="360" w:lineRule="auto"/>
      </w:pPr>
      <w:r w:rsidRPr="00060463">
        <w:t>En ese contexto, el artículo 47, de la Ley mencionada, precisa que, para ingresar al servicio público se requieren los requisitos siguientes:</w:t>
      </w:r>
    </w:p>
    <w:p w14:paraId="51EC416A" w14:textId="77777777" w:rsidR="007E2AA7" w:rsidRPr="00060463" w:rsidRDefault="007E2AA7" w:rsidP="007C56EC">
      <w:pPr>
        <w:spacing w:after="0" w:line="360" w:lineRule="auto"/>
      </w:pPr>
    </w:p>
    <w:p w14:paraId="76527C9F" w14:textId="77777777" w:rsidR="007E2AA7" w:rsidRPr="00060463" w:rsidRDefault="007E2AA7" w:rsidP="007E2AA7">
      <w:pPr>
        <w:pStyle w:val="Prrafodelista"/>
        <w:numPr>
          <w:ilvl w:val="0"/>
          <w:numId w:val="19"/>
        </w:numPr>
        <w:spacing w:line="360" w:lineRule="auto"/>
        <w:rPr>
          <w:rFonts w:cs="Tahoma"/>
          <w:bCs/>
          <w:iCs/>
          <w:color w:val="000000"/>
        </w:rPr>
      </w:pPr>
      <w:r w:rsidRPr="00060463">
        <w:t xml:space="preserve">Presentar una solicitud utilizando la forma oficial que se autorice por la institución pública o dependencia correspondiente, a la cual se le prohíbe incluir la fotografía de quien solicita el empleo; </w:t>
      </w:r>
    </w:p>
    <w:p w14:paraId="48638C23" w14:textId="77777777" w:rsidR="007E2AA7" w:rsidRPr="00060463" w:rsidRDefault="007E2AA7" w:rsidP="007E2AA7">
      <w:pPr>
        <w:pStyle w:val="Prrafodelista"/>
        <w:numPr>
          <w:ilvl w:val="0"/>
          <w:numId w:val="19"/>
        </w:numPr>
        <w:spacing w:line="360" w:lineRule="auto"/>
        <w:rPr>
          <w:rFonts w:cs="Tahoma"/>
          <w:bCs/>
          <w:iCs/>
          <w:color w:val="000000"/>
        </w:rPr>
      </w:pPr>
      <w:r w:rsidRPr="00060463">
        <w:t xml:space="preserve">Ser de nacionalidad mexicana, con la excepción prevista en el artículo 17 de la presente ley; </w:t>
      </w:r>
    </w:p>
    <w:p w14:paraId="13FB339F" w14:textId="77777777" w:rsidR="007E2AA7" w:rsidRPr="00060463" w:rsidRDefault="007E2AA7" w:rsidP="007E2AA7">
      <w:pPr>
        <w:pStyle w:val="Prrafodelista"/>
        <w:numPr>
          <w:ilvl w:val="0"/>
          <w:numId w:val="19"/>
        </w:numPr>
        <w:spacing w:line="360" w:lineRule="auto"/>
        <w:rPr>
          <w:rFonts w:cs="Tahoma"/>
          <w:bCs/>
          <w:iCs/>
          <w:color w:val="000000"/>
        </w:rPr>
      </w:pPr>
      <w:r w:rsidRPr="00060463">
        <w:t xml:space="preserve">Estar en pleno ejercicio de sus derechos civiles y políticos, en su caso; </w:t>
      </w:r>
    </w:p>
    <w:p w14:paraId="2B4FBE01" w14:textId="5C19F076" w:rsidR="007E2AA7" w:rsidRPr="00060463" w:rsidRDefault="007E2AA7" w:rsidP="007E2AA7">
      <w:pPr>
        <w:pStyle w:val="Prrafodelista"/>
        <w:numPr>
          <w:ilvl w:val="0"/>
          <w:numId w:val="19"/>
        </w:numPr>
        <w:spacing w:line="360" w:lineRule="auto"/>
        <w:rPr>
          <w:rFonts w:cs="Tahoma"/>
          <w:bCs/>
          <w:iCs/>
          <w:color w:val="000000"/>
        </w:rPr>
      </w:pPr>
      <w:r w:rsidRPr="00060463">
        <w:t>Acreditar, cuando proceda, el cumplimiento de la Ley del Servicio Militar Nacional;</w:t>
      </w:r>
    </w:p>
    <w:p w14:paraId="5753C5E4" w14:textId="77777777" w:rsidR="007E2AA7" w:rsidRPr="00060463" w:rsidRDefault="007E2AA7" w:rsidP="007E2AA7">
      <w:pPr>
        <w:pStyle w:val="Prrafodelista"/>
        <w:numPr>
          <w:ilvl w:val="0"/>
          <w:numId w:val="19"/>
        </w:numPr>
        <w:spacing w:line="360" w:lineRule="auto"/>
        <w:rPr>
          <w:rFonts w:cs="Tahoma"/>
          <w:bCs/>
          <w:iCs/>
          <w:color w:val="000000"/>
        </w:rPr>
      </w:pPr>
      <w:r w:rsidRPr="00060463">
        <w:t xml:space="preserve">No haber sido separado anteriormente del servicio por las causas previstas en el artículo 93 de la presente ley; </w:t>
      </w:r>
    </w:p>
    <w:p w14:paraId="046F7D2A" w14:textId="77777777" w:rsidR="007E2AA7" w:rsidRPr="00060463" w:rsidRDefault="007E2AA7" w:rsidP="007E2AA7">
      <w:pPr>
        <w:pStyle w:val="Prrafodelista"/>
        <w:numPr>
          <w:ilvl w:val="0"/>
          <w:numId w:val="19"/>
        </w:numPr>
        <w:spacing w:line="360" w:lineRule="auto"/>
        <w:rPr>
          <w:rFonts w:cs="Tahoma"/>
          <w:bCs/>
          <w:iCs/>
          <w:color w:val="000000"/>
        </w:rPr>
      </w:pPr>
      <w:r w:rsidRPr="00060463">
        <w:t xml:space="preserve">Tener buena salud, lo que se comprobará con los certificados médicos correspondientes, en la forma en que se establezca en cada institución pública; </w:t>
      </w:r>
    </w:p>
    <w:p w14:paraId="1A8FC691" w14:textId="77777777" w:rsidR="007E2AA7" w:rsidRPr="00060463" w:rsidRDefault="007E2AA7" w:rsidP="007E2AA7">
      <w:pPr>
        <w:pStyle w:val="Prrafodelista"/>
        <w:numPr>
          <w:ilvl w:val="0"/>
          <w:numId w:val="19"/>
        </w:numPr>
        <w:spacing w:line="360" w:lineRule="auto"/>
        <w:rPr>
          <w:rFonts w:cs="Tahoma"/>
          <w:bCs/>
          <w:iCs/>
          <w:color w:val="000000"/>
        </w:rPr>
      </w:pPr>
      <w:r w:rsidRPr="00060463">
        <w:t xml:space="preserve">Cumplir con los requisitos que se establezcan para los diferentes puestos; </w:t>
      </w:r>
    </w:p>
    <w:p w14:paraId="50C1DD9A" w14:textId="77777777" w:rsidR="007E2AA7" w:rsidRPr="00060463" w:rsidRDefault="007E2AA7" w:rsidP="007E2AA7">
      <w:pPr>
        <w:pStyle w:val="Prrafodelista"/>
        <w:numPr>
          <w:ilvl w:val="0"/>
          <w:numId w:val="19"/>
        </w:numPr>
        <w:spacing w:line="360" w:lineRule="auto"/>
        <w:rPr>
          <w:rFonts w:cs="Tahoma"/>
          <w:bCs/>
          <w:iCs/>
          <w:color w:val="000000"/>
        </w:rPr>
      </w:pPr>
      <w:r w:rsidRPr="00060463">
        <w:t xml:space="preserve">Acreditar por medio de los exámenes correspondientes los conocimientos y aptitudes necesarios para el desempeño del puesto; y </w:t>
      </w:r>
    </w:p>
    <w:p w14:paraId="3C9239B1" w14:textId="77777777" w:rsidR="007E2AA7" w:rsidRPr="00060463" w:rsidRDefault="007E2AA7" w:rsidP="007E2AA7">
      <w:pPr>
        <w:pStyle w:val="Prrafodelista"/>
        <w:numPr>
          <w:ilvl w:val="0"/>
          <w:numId w:val="19"/>
        </w:numPr>
        <w:spacing w:line="360" w:lineRule="auto"/>
        <w:rPr>
          <w:rFonts w:cs="Tahoma"/>
          <w:bCs/>
          <w:iCs/>
          <w:color w:val="000000"/>
        </w:rPr>
      </w:pPr>
      <w:r w:rsidRPr="00060463">
        <w:t>No estar inhabilitado para el ejercicio del servicio público.</w:t>
      </w:r>
    </w:p>
    <w:p w14:paraId="2F96FC61" w14:textId="77777777" w:rsidR="007E2AA7" w:rsidRPr="00060463" w:rsidRDefault="007E2AA7" w:rsidP="002C1C68">
      <w:pPr>
        <w:pStyle w:val="Prrafodelista"/>
        <w:numPr>
          <w:ilvl w:val="0"/>
          <w:numId w:val="19"/>
        </w:numPr>
        <w:spacing w:line="360" w:lineRule="auto"/>
        <w:rPr>
          <w:rFonts w:cs="Tahoma"/>
          <w:bCs/>
          <w:iCs/>
          <w:color w:val="000000"/>
        </w:rPr>
      </w:pPr>
      <w:r w:rsidRPr="00060463">
        <w:t xml:space="preserve">Presentar certificado expedido por la Unidad del Registro de Deudores Alimentarios Morosos en el que conste, si se encuentra inscrito o no en el mismo. </w:t>
      </w:r>
    </w:p>
    <w:p w14:paraId="354F428C" w14:textId="77777777" w:rsidR="007C56EC" w:rsidRPr="00060463" w:rsidRDefault="007C56EC" w:rsidP="007C56EC">
      <w:pPr>
        <w:spacing w:after="0" w:line="360" w:lineRule="auto"/>
        <w:rPr>
          <w:rFonts w:eastAsia="Times New Roman" w:cs="Tahoma"/>
          <w:bCs/>
          <w:iCs/>
          <w:color w:val="000000"/>
          <w:lang w:eastAsia="es-ES"/>
        </w:rPr>
      </w:pPr>
    </w:p>
    <w:p w14:paraId="3CB8BB38" w14:textId="77777777" w:rsidR="007C56EC" w:rsidRPr="00060463" w:rsidRDefault="007C56EC" w:rsidP="007C56EC">
      <w:pPr>
        <w:spacing w:after="0" w:line="360" w:lineRule="auto"/>
        <w:rPr>
          <w:rFonts w:eastAsia="Calibri" w:cs="Tahoma"/>
          <w:bCs/>
          <w:color w:val="000000"/>
        </w:rPr>
      </w:pPr>
      <w:r w:rsidRPr="00060463">
        <w:rPr>
          <w:rFonts w:eastAsia="Calibri" w:cs="Tahoma"/>
          <w:bCs/>
          <w:color w:val="000000"/>
        </w:rPr>
        <w:t>Además, la Ley de Transparencia y Acceso a la Información Pública del Estado de México y Municipios ha establecido que el</w:t>
      </w:r>
      <w:r w:rsidRPr="00060463">
        <w:rPr>
          <w:rFonts w:eastAsia="Calibri" w:cs="Tahoma"/>
          <w:color w:val="000000"/>
        </w:rPr>
        <w:t xml:space="preserve"> nombre completo, cargo, fecha de alta en el cargo, </w:t>
      </w:r>
      <w:r w:rsidRPr="00060463">
        <w:rPr>
          <w:rFonts w:eastAsia="Calibri" w:cs="Tahoma"/>
          <w:bCs/>
          <w:color w:val="000000"/>
        </w:rPr>
        <w:t>constituyen una obligación de transparencia por parte de los sujetos obligados.</w:t>
      </w:r>
    </w:p>
    <w:p w14:paraId="15F31C54" w14:textId="77777777" w:rsidR="007C56EC" w:rsidRPr="00060463" w:rsidRDefault="007C56EC" w:rsidP="007C56EC">
      <w:pPr>
        <w:tabs>
          <w:tab w:val="left" w:pos="4962"/>
        </w:tabs>
        <w:spacing w:after="0" w:line="360" w:lineRule="auto"/>
        <w:rPr>
          <w:rFonts w:eastAsia="Cambria" w:cs="Times New Roman"/>
          <w:color w:val="000000"/>
        </w:rPr>
      </w:pPr>
    </w:p>
    <w:p w14:paraId="2A9272D9" w14:textId="77777777" w:rsidR="007C56EC" w:rsidRPr="00060463" w:rsidRDefault="007C56EC" w:rsidP="007C56EC">
      <w:pPr>
        <w:spacing w:after="0" w:line="360" w:lineRule="auto"/>
        <w:rPr>
          <w:bCs/>
          <w:color w:val="000000"/>
        </w:rPr>
      </w:pPr>
      <w:r w:rsidRPr="00060463">
        <w:rPr>
          <w:rFonts w:eastAsia="Calibri" w:cs="Times New Roman"/>
          <w:bCs/>
          <w:iCs/>
          <w:color w:val="000000"/>
          <w:lang w:val="es-ES"/>
        </w:rPr>
        <w:lastRenderedPageBreak/>
        <w:t>En ese contexto, el artículo 92, fracción III y VII, de la Ley de Transparencia y Acceso a la Información Pública del Estado de México y Municipios, establece que los Sujetos Obligados tienen la obligación de poner a disposición del público de manera permanente y actualizada, la información de los servidores públicos, tales como, nombre, cargo</w:t>
      </w:r>
      <w:r w:rsidRPr="00060463">
        <w:rPr>
          <w:bCs/>
          <w:color w:val="000000"/>
        </w:rPr>
        <w:t>, fecha de alta en el cargo.</w:t>
      </w:r>
    </w:p>
    <w:p w14:paraId="4F4CA860" w14:textId="77777777" w:rsidR="007C56EC" w:rsidRPr="00060463" w:rsidRDefault="007C56EC" w:rsidP="007C56EC">
      <w:pPr>
        <w:spacing w:after="0" w:line="360" w:lineRule="auto"/>
        <w:rPr>
          <w:bCs/>
          <w:color w:val="000000"/>
        </w:rPr>
      </w:pPr>
    </w:p>
    <w:p w14:paraId="4AE457E5" w14:textId="77777777" w:rsidR="007C56EC" w:rsidRPr="00060463" w:rsidRDefault="007C56EC" w:rsidP="007C56EC">
      <w:pPr>
        <w:spacing w:after="0" w:line="360" w:lineRule="auto"/>
        <w:rPr>
          <w:rFonts w:eastAsia="Times New Roman" w:cs="Tahoma"/>
          <w:bCs/>
          <w:iCs/>
          <w:lang w:eastAsia="es-ES"/>
        </w:rPr>
      </w:pPr>
      <w:r w:rsidRPr="00060463">
        <w:rPr>
          <w:rFonts w:eastAsia="Times New Roman" w:cs="Tahoma"/>
          <w:bCs/>
          <w:iCs/>
          <w:lang w:eastAsia="es-ES"/>
        </w:rPr>
        <w:t>Ahora bien, la Guía técnica 07 “La administración del personal municipal” del Instituto Nacional de Administración Pública define a la baja laboral como el proceso de Terminación de la relación laboral que sucede cuando un empleado puede dejar de prestar sus servicios al municipio por diferentes casusas, como son: jubilación, renuncia, terminación, suspensión o rescisión del contrato.</w:t>
      </w:r>
    </w:p>
    <w:p w14:paraId="350CD10C" w14:textId="77777777" w:rsidR="007C56EC" w:rsidRPr="00060463" w:rsidRDefault="007C56EC" w:rsidP="007C56EC">
      <w:pPr>
        <w:spacing w:after="0" w:line="360" w:lineRule="auto"/>
        <w:rPr>
          <w:rFonts w:eastAsia="Times New Roman" w:cs="Tahoma"/>
          <w:bCs/>
          <w:iCs/>
          <w:lang w:eastAsia="es-ES"/>
        </w:rPr>
      </w:pPr>
    </w:p>
    <w:p w14:paraId="47BC7F91" w14:textId="77777777" w:rsidR="007C56EC" w:rsidRPr="00060463" w:rsidRDefault="007C56EC" w:rsidP="007E2AA7">
      <w:pPr>
        <w:tabs>
          <w:tab w:val="left" w:pos="4962"/>
        </w:tabs>
        <w:spacing w:after="0" w:line="360" w:lineRule="auto"/>
        <w:rPr>
          <w:rFonts w:eastAsia="Calibri" w:cs="Tahoma"/>
          <w:color w:val="auto"/>
          <w:lang w:eastAsia="es-ES"/>
        </w:rPr>
      </w:pPr>
      <w:r w:rsidRPr="00060463">
        <w:rPr>
          <w:rFonts w:eastAsia="Times New Roman" w:cs="Tahoma"/>
          <w:bCs/>
          <w:iCs/>
          <w:lang w:eastAsia="es-ES"/>
        </w:rPr>
        <w:t xml:space="preserve">En ese sentido, </w:t>
      </w:r>
      <w:r w:rsidRPr="00060463">
        <w:rPr>
          <w:rFonts w:eastAsia="Calibri" w:cs="Tahoma"/>
          <w:color w:val="auto"/>
          <w:lang w:eastAsia="es-ES"/>
        </w:rPr>
        <w:t xml:space="preserve">el artículo 89, de la Ley del Trabajo de los Servidores Públicos del Estado y Municipios, precisa que son causas de terminación de la relación laboral sin responsabilidad para las instituciones públicas: </w:t>
      </w:r>
    </w:p>
    <w:p w14:paraId="0CAF86A9" w14:textId="77777777" w:rsidR="007E2AA7" w:rsidRPr="00060463" w:rsidRDefault="007E2AA7" w:rsidP="007E2AA7">
      <w:pPr>
        <w:tabs>
          <w:tab w:val="left" w:pos="4962"/>
        </w:tabs>
        <w:spacing w:after="0" w:line="360" w:lineRule="auto"/>
        <w:rPr>
          <w:rFonts w:eastAsia="Calibri" w:cs="Tahoma"/>
          <w:color w:val="auto"/>
          <w:lang w:eastAsia="es-ES"/>
        </w:rPr>
      </w:pPr>
    </w:p>
    <w:p w14:paraId="2576BF16" w14:textId="77777777" w:rsidR="007C56EC" w:rsidRPr="00060463" w:rsidRDefault="007C56EC" w:rsidP="007C56EC">
      <w:pPr>
        <w:numPr>
          <w:ilvl w:val="0"/>
          <w:numId w:val="18"/>
        </w:numPr>
        <w:tabs>
          <w:tab w:val="left" w:pos="4962"/>
        </w:tabs>
        <w:spacing w:after="0" w:line="360" w:lineRule="auto"/>
        <w:contextualSpacing/>
        <w:jc w:val="left"/>
        <w:rPr>
          <w:rFonts w:eastAsia="Calibri" w:cs="Tahoma"/>
          <w:color w:val="auto"/>
          <w:lang w:eastAsia="es-ES"/>
        </w:rPr>
      </w:pPr>
      <w:r w:rsidRPr="00060463">
        <w:rPr>
          <w:rFonts w:eastAsia="Calibri" w:cs="Tahoma"/>
          <w:color w:val="auto"/>
          <w:lang w:eastAsia="es-ES"/>
        </w:rPr>
        <w:t>La renuncia del servidor público;</w:t>
      </w:r>
    </w:p>
    <w:p w14:paraId="578D6790" w14:textId="77777777" w:rsidR="007C56EC" w:rsidRPr="00060463" w:rsidRDefault="007C56EC" w:rsidP="007C56EC">
      <w:pPr>
        <w:numPr>
          <w:ilvl w:val="0"/>
          <w:numId w:val="18"/>
        </w:numPr>
        <w:tabs>
          <w:tab w:val="left" w:pos="4962"/>
        </w:tabs>
        <w:spacing w:after="0" w:line="360" w:lineRule="auto"/>
        <w:contextualSpacing/>
        <w:jc w:val="left"/>
        <w:rPr>
          <w:rFonts w:eastAsia="Calibri" w:cs="Tahoma"/>
          <w:color w:val="auto"/>
          <w:lang w:eastAsia="es-ES"/>
        </w:rPr>
      </w:pPr>
      <w:r w:rsidRPr="00060463">
        <w:rPr>
          <w:rFonts w:eastAsia="Calibri" w:cs="Tahoma"/>
          <w:color w:val="auto"/>
          <w:lang w:eastAsia="es-ES"/>
        </w:rPr>
        <w:t xml:space="preserve">El mutuo consentimiento de las partes; </w:t>
      </w:r>
    </w:p>
    <w:p w14:paraId="66CADE78" w14:textId="77777777" w:rsidR="007C56EC" w:rsidRPr="00060463" w:rsidRDefault="007C56EC" w:rsidP="007C56EC">
      <w:pPr>
        <w:numPr>
          <w:ilvl w:val="0"/>
          <w:numId w:val="18"/>
        </w:numPr>
        <w:tabs>
          <w:tab w:val="left" w:pos="4962"/>
        </w:tabs>
        <w:spacing w:after="0" w:line="360" w:lineRule="auto"/>
        <w:contextualSpacing/>
        <w:jc w:val="left"/>
        <w:rPr>
          <w:rFonts w:eastAsia="Calibri" w:cs="Tahoma"/>
          <w:color w:val="auto"/>
          <w:lang w:eastAsia="es-ES"/>
        </w:rPr>
      </w:pPr>
      <w:r w:rsidRPr="00060463">
        <w:rPr>
          <w:rFonts w:eastAsia="Calibri" w:cs="Tahoma"/>
          <w:color w:val="auto"/>
          <w:lang w:eastAsia="es-ES"/>
        </w:rPr>
        <w:t xml:space="preserve">El vencimiento del término o conclusión de la obra determinantes de la contratación; </w:t>
      </w:r>
    </w:p>
    <w:p w14:paraId="0FC595A9" w14:textId="77777777" w:rsidR="007C56EC" w:rsidRPr="00060463" w:rsidRDefault="007C56EC" w:rsidP="007C56EC">
      <w:pPr>
        <w:numPr>
          <w:ilvl w:val="0"/>
          <w:numId w:val="18"/>
        </w:numPr>
        <w:tabs>
          <w:tab w:val="left" w:pos="4962"/>
        </w:tabs>
        <w:spacing w:after="0" w:line="360" w:lineRule="auto"/>
        <w:contextualSpacing/>
        <w:jc w:val="left"/>
        <w:rPr>
          <w:rFonts w:eastAsia="Calibri" w:cs="Tahoma"/>
          <w:color w:val="auto"/>
          <w:lang w:eastAsia="es-ES"/>
        </w:rPr>
      </w:pPr>
      <w:r w:rsidRPr="00060463">
        <w:rPr>
          <w:rFonts w:eastAsia="Calibri" w:cs="Tahoma"/>
          <w:color w:val="auto"/>
          <w:lang w:eastAsia="es-ES"/>
        </w:rPr>
        <w:t xml:space="preserve">El término o conclusión de la administración en la cual fue contratado el servidor público a que se refiere el artículo 8 de ésta Ley; </w:t>
      </w:r>
    </w:p>
    <w:p w14:paraId="2A0B35BC" w14:textId="77777777" w:rsidR="007C56EC" w:rsidRPr="00060463" w:rsidRDefault="007C56EC" w:rsidP="007C56EC">
      <w:pPr>
        <w:numPr>
          <w:ilvl w:val="0"/>
          <w:numId w:val="18"/>
        </w:numPr>
        <w:tabs>
          <w:tab w:val="left" w:pos="4962"/>
        </w:tabs>
        <w:spacing w:after="0" w:line="360" w:lineRule="auto"/>
        <w:contextualSpacing/>
        <w:jc w:val="left"/>
        <w:rPr>
          <w:rFonts w:eastAsia="Calibri" w:cs="Tahoma"/>
          <w:color w:val="auto"/>
          <w:lang w:eastAsia="es-ES"/>
        </w:rPr>
      </w:pPr>
      <w:r w:rsidRPr="00060463">
        <w:rPr>
          <w:rFonts w:eastAsia="Calibri" w:cs="Tahoma"/>
          <w:color w:val="auto"/>
          <w:lang w:eastAsia="es-ES"/>
        </w:rPr>
        <w:t xml:space="preserve">La muerte del servidor público; y  </w:t>
      </w:r>
    </w:p>
    <w:p w14:paraId="0B192FC3" w14:textId="77777777" w:rsidR="007C56EC" w:rsidRPr="00060463" w:rsidRDefault="007C56EC" w:rsidP="007C56EC">
      <w:pPr>
        <w:numPr>
          <w:ilvl w:val="0"/>
          <w:numId w:val="18"/>
        </w:numPr>
        <w:tabs>
          <w:tab w:val="left" w:pos="4962"/>
        </w:tabs>
        <w:spacing w:after="0" w:line="360" w:lineRule="auto"/>
        <w:contextualSpacing/>
        <w:jc w:val="left"/>
        <w:rPr>
          <w:rFonts w:eastAsia="Calibri" w:cs="Tahoma"/>
          <w:color w:val="auto"/>
          <w:lang w:eastAsia="es-ES"/>
        </w:rPr>
      </w:pPr>
      <w:r w:rsidRPr="00060463">
        <w:rPr>
          <w:rFonts w:eastAsia="Calibri" w:cs="Tahoma"/>
          <w:color w:val="auto"/>
          <w:lang w:eastAsia="es-ES"/>
        </w:rPr>
        <w:t>La incapacidad permanente del servidor público que le impida el desempeño de sus labores.</w:t>
      </w:r>
    </w:p>
    <w:p w14:paraId="2B4ADB62" w14:textId="77777777" w:rsidR="007C56EC" w:rsidRPr="00060463" w:rsidRDefault="007C56EC" w:rsidP="00D7021E">
      <w:pPr>
        <w:spacing w:after="0" w:line="360" w:lineRule="auto"/>
        <w:rPr>
          <w:rFonts w:eastAsia="Times New Roman" w:cs="Tahoma"/>
          <w:bCs/>
          <w:iCs/>
          <w:lang w:eastAsia="es-ES"/>
        </w:rPr>
      </w:pPr>
    </w:p>
    <w:p w14:paraId="7510C535" w14:textId="0C0D1D96" w:rsidR="00F54B6F" w:rsidRPr="00060463" w:rsidRDefault="00F54B6F" w:rsidP="00F54B6F">
      <w:pPr>
        <w:tabs>
          <w:tab w:val="left" w:pos="4962"/>
        </w:tabs>
        <w:spacing w:after="0" w:line="360" w:lineRule="auto"/>
        <w:rPr>
          <w:rFonts w:eastAsia="Calibri" w:cs="Tahoma"/>
          <w:color w:val="auto"/>
          <w:szCs w:val="20"/>
          <w:lang w:eastAsia="es-ES"/>
        </w:rPr>
      </w:pPr>
      <w:r w:rsidRPr="00060463">
        <w:rPr>
          <w:rFonts w:eastAsia="Calibri" w:cs="Tahoma"/>
          <w:color w:val="auto"/>
          <w:szCs w:val="20"/>
          <w:lang w:eastAsia="es-ES"/>
        </w:rPr>
        <w:lastRenderedPageBreak/>
        <w:t>Así, de conformidad con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los Avisos de Movimiento (Alta y Baja), para realizar sus respectivos trámites ante el Instituto de Seguridad Social del Estado de México y Municipios.</w:t>
      </w:r>
    </w:p>
    <w:p w14:paraId="6E34AFB3" w14:textId="77777777" w:rsidR="00F54B6F" w:rsidRPr="00060463" w:rsidRDefault="00F54B6F" w:rsidP="00F54B6F">
      <w:pPr>
        <w:tabs>
          <w:tab w:val="left" w:pos="4962"/>
        </w:tabs>
        <w:spacing w:after="0" w:line="360" w:lineRule="auto"/>
        <w:rPr>
          <w:rFonts w:eastAsia="Calibri" w:cs="Tahoma"/>
          <w:color w:val="auto"/>
          <w:szCs w:val="20"/>
          <w:lang w:eastAsia="es-ES"/>
        </w:rPr>
      </w:pPr>
    </w:p>
    <w:p w14:paraId="149FB891" w14:textId="77777777" w:rsidR="00F54B6F" w:rsidRPr="00060463" w:rsidRDefault="00F54B6F" w:rsidP="00F54B6F">
      <w:pPr>
        <w:tabs>
          <w:tab w:val="left" w:pos="4962"/>
        </w:tabs>
        <w:spacing w:after="0" w:line="360" w:lineRule="auto"/>
      </w:pPr>
      <w:r w:rsidRPr="00060463">
        <w:rPr>
          <w:rFonts w:eastAsia="Calibri" w:cs="Tahoma"/>
          <w:color w:val="auto"/>
          <w:szCs w:val="20"/>
          <w:lang w:eastAsia="es-ES"/>
        </w:rPr>
        <w:t>Ahora bien, el artículo 23, del Bando Municipal de Rayón, dos mil veinticinco, precisa que, l</w:t>
      </w:r>
      <w:r w:rsidRPr="00060463">
        <w:t>a Administración Pública Centralizada es una forma de organización de la Administración Pública del Municipio, la cual se integrará conforme a lo siguiente:</w:t>
      </w:r>
    </w:p>
    <w:p w14:paraId="775BD582" w14:textId="77777777" w:rsidR="00F54B6F" w:rsidRPr="00060463" w:rsidRDefault="00F54B6F" w:rsidP="00F54B6F">
      <w:pPr>
        <w:tabs>
          <w:tab w:val="left" w:pos="4962"/>
        </w:tabs>
        <w:spacing w:after="0" w:line="360" w:lineRule="auto"/>
      </w:pPr>
    </w:p>
    <w:p w14:paraId="35004E5F" w14:textId="77777777" w:rsidR="00F54B6F" w:rsidRPr="00060463" w:rsidRDefault="00F54B6F" w:rsidP="00F54B6F">
      <w:pPr>
        <w:pStyle w:val="Prrafodelista"/>
        <w:numPr>
          <w:ilvl w:val="0"/>
          <w:numId w:val="20"/>
        </w:numPr>
        <w:tabs>
          <w:tab w:val="left" w:pos="4962"/>
        </w:tabs>
        <w:spacing w:line="360" w:lineRule="auto"/>
        <w:rPr>
          <w:rFonts w:eastAsia="Calibri" w:cs="Tahoma"/>
          <w:color w:val="auto"/>
          <w:szCs w:val="20"/>
        </w:rPr>
      </w:pPr>
      <w:r w:rsidRPr="00060463">
        <w:t xml:space="preserve">Secretaría del Ayuntamiento; </w:t>
      </w:r>
    </w:p>
    <w:p w14:paraId="210D52EA" w14:textId="77777777" w:rsidR="00F54B6F" w:rsidRPr="00060463" w:rsidRDefault="00F54B6F" w:rsidP="00F54B6F">
      <w:pPr>
        <w:pStyle w:val="Prrafodelista"/>
        <w:numPr>
          <w:ilvl w:val="0"/>
          <w:numId w:val="20"/>
        </w:numPr>
        <w:tabs>
          <w:tab w:val="left" w:pos="4962"/>
        </w:tabs>
        <w:spacing w:line="360" w:lineRule="auto"/>
        <w:rPr>
          <w:rFonts w:eastAsia="Calibri" w:cs="Tahoma"/>
          <w:color w:val="auto"/>
          <w:szCs w:val="20"/>
        </w:rPr>
      </w:pPr>
      <w:r w:rsidRPr="00060463">
        <w:t xml:space="preserve">Tesorería y Administración </w:t>
      </w:r>
    </w:p>
    <w:p w14:paraId="606EABF4" w14:textId="77777777" w:rsidR="00F54B6F" w:rsidRPr="00060463" w:rsidRDefault="00F54B6F" w:rsidP="00F54B6F">
      <w:pPr>
        <w:pStyle w:val="Prrafodelista"/>
        <w:numPr>
          <w:ilvl w:val="0"/>
          <w:numId w:val="20"/>
        </w:numPr>
        <w:tabs>
          <w:tab w:val="left" w:pos="4962"/>
        </w:tabs>
        <w:spacing w:line="360" w:lineRule="auto"/>
        <w:rPr>
          <w:rFonts w:eastAsia="Calibri" w:cs="Tahoma"/>
          <w:color w:val="auto"/>
          <w:szCs w:val="20"/>
        </w:rPr>
      </w:pPr>
      <w:r w:rsidRPr="00060463">
        <w:t xml:space="preserve">Contraloría Municipal; </w:t>
      </w:r>
    </w:p>
    <w:p w14:paraId="0CC11E79" w14:textId="77777777" w:rsidR="00F54B6F" w:rsidRPr="00060463" w:rsidRDefault="00F54B6F" w:rsidP="00F54B6F">
      <w:pPr>
        <w:pStyle w:val="Prrafodelista"/>
        <w:numPr>
          <w:ilvl w:val="0"/>
          <w:numId w:val="20"/>
        </w:numPr>
        <w:tabs>
          <w:tab w:val="left" w:pos="4962"/>
        </w:tabs>
        <w:spacing w:line="360" w:lineRule="auto"/>
        <w:rPr>
          <w:rFonts w:eastAsia="Calibri" w:cs="Tahoma"/>
          <w:color w:val="auto"/>
          <w:szCs w:val="20"/>
        </w:rPr>
      </w:pPr>
      <w:r w:rsidRPr="00060463">
        <w:t xml:space="preserve">Secretaría Técnica; </w:t>
      </w:r>
    </w:p>
    <w:p w14:paraId="28E1D878" w14:textId="77777777" w:rsidR="00F54B6F" w:rsidRPr="00060463" w:rsidRDefault="00F54B6F" w:rsidP="00F54B6F">
      <w:pPr>
        <w:pStyle w:val="Prrafodelista"/>
        <w:numPr>
          <w:ilvl w:val="0"/>
          <w:numId w:val="20"/>
        </w:numPr>
        <w:tabs>
          <w:tab w:val="left" w:pos="4962"/>
        </w:tabs>
        <w:spacing w:line="360" w:lineRule="auto"/>
        <w:rPr>
          <w:rFonts w:eastAsia="Calibri" w:cs="Tahoma"/>
          <w:color w:val="auto"/>
          <w:szCs w:val="20"/>
        </w:rPr>
      </w:pPr>
      <w:r w:rsidRPr="00060463">
        <w:t xml:space="preserve">Secretaría Particular; </w:t>
      </w:r>
    </w:p>
    <w:p w14:paraId="61E64E98" w14:textId="77777777" w:rsidR="00F54B6F" w:rsidRPr="00060463" w:rsidRDefault="00F54B6F" w:rsidP="00F54B6F">
      <w:pPr>
        <w:pStyle w:val="Prrafodelista"/>
        <w:numPr>
          <w:ilvl w:val="0"/>
          <w:numId w:val="20"/>
        </w:numPr>
        <w:tabs>
          <w:tab w:val="left" w:pos="4962"/>
        </w:tabs>
        <w:spacing w:line="360" w:lineRule="auto"/>
        <w:rPr>
          <w:rFonts w:eastAsia="Calibri" w:cs="Tahoma"/>
          <w:color w:val="auto"/>
          <w:szCs w:val="20"/>
        </w:rPr>
      </w:pPr>
      <w:r w:rsidRPr="00060463">
        <w:t xml:space="preserve">Las Direcciones: a) Obras Públicas e Infraestructura; b) Desarrollo Urbano; c) De Desarrollo Económico; d) De Medio Ambiente; e) De las Mujeres; f) Del Bienestar Social; g) De Educación; h) De Logística; i) De Seguridad Pública Municipal; j) De Protección Civil; k) De Cultura; l) Jurídica y Consultiva; m) De Comunicación; n) Del Campo. </w:t>
      </w:r>
    </w:p>
    <w:p w14:paraId="75D97692" w14:textId="77777777" w:rsidR="00F54B6F" w:rsidRPr="00060463" w:rsidRDefault="00F54B6F" w:rsidP="00F54B6F">
      <w:pPr>
        <w:pStyle w:val="Prrafodelista"/>
        <w:numPr>
          <w:ilvl w:val="0"/>
          <w:numId w:val="20"/>
        </w:numPr>
        <w:tabs>
          <w:tab w:val="left" w:pos="4962"/>
        </w:tabs>
        <w:spacing w:line="360" w:lineRule="auto"/>
        <w:rPr>
          <w:rFonts w:eastAsia="Calibri" w:cs="Tahoma"/>
          <w:color w:val="auto"/>
          <w:szCs w:val="20"/>
        </w:rPr>
      </w:pPr>
      <w:r w:rsidRPr="00060463">
        <w:t xml:space="preserve">Las Coordinaciones de: a) Catastro; b) Mejora Regulatoria, Transparencia y Acceso a la Información; c) De Movilidad; d) De Artesanías y turismo; e) De Juventud; f) De Eventos; g) De Salud Pública. </w:t>
      </w:r>
    </w:p>
    <w:p w14:paraId="7645464F" w14:textId="32A6AFF5" w:rsidR="00F54B6F" w:rsidRPr="00060463" w:rsidRDefault="00F54B6F" w:rsidP="00F54B6F">
      <w:pPr>
        <w:pStyle w:val="Prrafodelista"/>
        <w:numPr>
          <w:ilvl w:val="0"/>
          <w:numId w:val="20"/>
        </w:numPr>
        <w:tabs>
          <w:tab w:val="left" w:pos="4962"/>
        </w:tabs>
        <w:spacing w:line="360" w:lineRule="auto"/>
        <w:rPr>
          <w:rFonts w:eastAsia="Calibri" w:cs="Tahoma"/>
          <w:color w:val="auto"/>
          <w:szCs w:val="20"/>
        </w:rPr>
      </w:pPr>
      <w:r w:rsidRPr="00060463">
        <w:t>Órganos Autónomos: a) Defensoría de Derechos Humanos.</w:t>
      </w:r>
    </w:p>
    <w:p w14:paraId="3203532A" w14:textId="77777777" w:rsidR="00522798" w:rsidRPr="00060463" w:rsidRDefault="00522798" w:rsidP="00D7021E">
      <w:pPr>
        <w:spacing w:after="0" w:line="360" w:lineRule="auto"/>
      </w:pPr>
    </w:p>
    <w:p w14:paraId="1B646A04" w14:textId="4F124E79" w:rsidR="006D16D9" w:rsidRPr="00060463" w:rsidRDefault="007179C4" w:rsidP="00D7021E">
      <w:pPr>
        <w:spacing w:after="0" w:line="360" w:lineRule="auto"/>
        <w:rPr>
          <w:rFonts w:cs="Tahoma"/>
        </w:rPr>
      </w:pPr>
      <w:r w:rsidRPr="00060463">
        <w:rPr>
          <w:rFonts w:eastAsia="Times New Roman" w:cs="Tahoma"/>
          <w:bCs/>
          <w:color w:val="auto"/>
          <w:lang w:val="es-ES_tradnl" w:eastAsia="es-ES"/>
        </w:rPr>
        <w:lastRenderedPageBreak/>
        <w:t xml:space="preserve">De tales circunstancias, se logra vislumbrar que la pretensión de la persona </w:t>
      </w:r>
      <w:r w:rsidR="00D43A3A" w:rsidRPr="00060463">
        <w:rPr>
          <w:rFonts w:eastAsia="Times New Roman" w:cs="Tahoma"/>
          <w:bCs/>
          <w:color w:val="auto"/>
          <w:lang w:val="es-ES_tradnl" w:eastAsia="es-ES"/>
        </w:rPr>
        <w:t>Recurrente</w:t>
      </w:r>
      <w:r w:rsidRPr="00060463">
        <w:rPr>
          <w:rFonts w:eastAsia="Times New Roman" w:cs="Tahoma"/>
          <w:bCs/>
          <w:color w:val="auto"/>
          <w:lang w:val="es-ES_tradnl" w:eastAsia="es-ES"/>
        </w:rPr>
        <w:t xml:space="preserve"> es obtener</w:t>
      </w:r>
      <w:r w:rsidR="00D43A3A" w:rsidRPr="00060463">
        <w:rPr>
          <w:rFonts w:eastAsia="Times New Roman" w:cs="Tahoma"/>
          <w:bCs/>
          <w:color w:val="auto"/>
          <w:lang w:val="es-ES_tradnl" w:eastAsia="es-ES"/>
        </w:rPr>
        <w:t xml:space="preserve">, </w:t>
      </w:r>
      <w:r w:rsidR="00F54B6F" w:rsidRPr="00060463">
        <w:rPr>
          <w:rFonts w:cs="Tahoma"/>
        </w:rPr>
        <w:t>del primero de enero al veintiséis de agosto de dos mil veinticinco, lo siguiente:</w:t>
      </w:r>
    </w:p>
    <w:p w14:paraId="0C5949A2" w14:textId="77777777" w:rsidR="00F54B6F" w:rsidRPr="00060463" w:rsidRDefault="00F54B6F" w:rsidP="00D7021E">
      <w:pPr>
        <w:spacing w:after="0" w:line="360" w:lineRule="auto"/>
        <w:rPr>
          <w:rFonts w:cs="Tahoma"/>
        </w:rPr>
      </w:pPr>
    </w:p>
    <w:p w14:paraId="586A7EE0" w14:textId="0BE14A84" w:rsidR="00F54B6F" w:rsidRPr="00060463" w:rsidRDefault="00F54B6F" w:rsidP="00F54B6F">
      <w:pPr>
        <w:pStyle w:val="Prrafodelista"/>
        <w:numPr>
          <w:ilvl w:val="0"/>
          <w:numId w:val="21"/>
        </w:numPr>
        <w:spacing w:line="360" w:lineRule="auto"/>
        <w:rPr>
          <w:rFonts w:cs="Tahoma"/>
          <w:sz w:val="24"/>
        </w:rPr>
      </w:pPr>
      <w:r w:rsidRPr="00060463">
        <w:rPr>
          <w:rFonts w:eastAsia="Palatino Linotype" w:cs="Tahoma"/>
          <w:color w:val="000000"/>
          <w:szCs w:val="22"/>
          <w:lang w:eastAsia="es-MX"/>
        </w:rPr>
        <w:t>Todos los documentos que conformen los procedimientos de alta y baja del personal mencionado en respuesta.</w:t>
      </w:r>
    </w:p>
    <w:p w14:paraId="2F73AB32" w14:textId="77777777" w:rsidR="000A5E35" w:rsidRPr="00060463" w:rsidRDefault="000A5E35" w:rsidP="00D7021E">
      <w:pPr>
        <w:spacing w:after="0" w:line="360" w:lineRule="auto"/>
        <w:rPr>
          <w:color w:val="000000"/>
          <w:lang w:eastAsia="es-ES_tradnl"/>
        </w:rPr>
      </w:pPr>
    </w:p>
    <w:p w14:paraId="2F43139B" w14:textId="59D1AA2F" w:rsidR="001805A9" w:rsidRPr="00060463" w:rsidRDefault="001805A9" w:rsidP="00D7021E">
      <w:pPr>
        <w:spacing w:after="0" w:line="360" w:lineRule="auto"/>
        <w:rPr>
          <w:color w:val="0D0D0D"/>
        </w:rPr>
      </w:pPr>
      <w:r w:rsidRPr="00060463">
        <w:rPr>
          <w:color w:val="000000"/>
          <w:lang w:eastAsia="es-ES_tradnl"/>
        </w:rPr>
        <w:t>Establecida dicha circunstancia</w:t>
      </w:r>
      <w:r w:rsidRPr="00060463">
        <w:rPr>
          <w:color w:val="000000"/>
        </w:rPr>
        <w:t>, de las constancias que obran en el expediente electrónico, se advierte que el Sujeto Obligado</w:t>
      </w:r>
      <w:r w:rsidRPr="00060463">
        <w:rPr>
          <w:color w:val="0D0D0D"/>
        </w:rPr>
        <w:t xml:space="preserve"> </w:t>
      </w:r>
      <w:r w:rsidR="006D16D9" w:rsidRPr="00060463">
        <w:rPr>
          <w:color w:val="0D0D0D"/>
        </w:rPr>
        <w:t xml:space="preserve">turno la solicitud de información </w:t>
      </w:r>
      <w:r w:rsidR="004A2B01" w:rsidRPr="00060463">
        <w:rPr>
          <w:color w:val="0D0D0D"/>
        </w:rPr>
        <w:t xml:space="preserve"> a la</w:t>
      </w:r>
      <w:r w:rsidR="0018705D" w:rsidRPr="00060463">
        <w:rPr>
          <w:color w:val="0D0D0D"/>
        </w:rPr>
        <w:t xml:space="preserve"> Tesorería y Administración y a la Dirección Jurídica y Consultiva</w:t>
      </w:r>
      <w:r w:rsidRPr="00060463">
        <w:rPr>
          <w:color w:val="000000"/>
        </w:rPr>
        <w:t xml:space="preserve">; </w:t>
      </w:r>
      <w:r w:rsidRPr="00060463">
        <w:t xml:space="preserve">por lo que, es oportuno hacer referencia al </w:t>
      </w:r>
      <w:r w:rsidRPr="00060463">
        <w:rPr>
          <w:b/>
        </w:rPr>
        <w:t>procedimiento de búsqueda que deben de seguir los Sujetos Obligados para localizar la información</w:t>
      </w:r>
      <w:r w:rsidRPr="00060463">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060463" w:rsidRDefault="001805A9" w:rsidP="00D7021E">
      <w:pPr>
        <w:spacing w:after="0" w:line="360" w:lineRule="auto"/>
      </w:pPr>
    </w:p>
    <w:p w14:paraId="6B53BCA2" w14:textId="77777777" w:rsidR="0018705D" w:rsidRPr="00060463" w:rsidRDefault="001805A9" w:rsidP="00D7021E">
      <w:pPr>
        <w:spacing w:after="0" w:line="360" w:lineRule="auto"/>
      </w:pPr>
      <w:r w:rsidRPr="00060463">
        <w:t>Así y de lo plasmado en párrafos anteriores, se logra colegir que el Sujeto Obligado</w:t>
      </w:r>
      <w:r w:rsidR="00D43A3A" w:rsidRPr="00060463">
        <w:t xml:space="preserve"> </w:t>
      </w:r>
      <w:r w:rsidRPr="00060463">
        <w:t>cumplió con el procedimiento de búsqueda establecido en el artículo 162 de la Ley de Transparencia y Acceso a la Información Pública del Estado de México y Municipios, toda vez, qu</w:t>
      </w:r>
      <w:r w:rsidR="006C1C90" w:rsidRPr="00060463">
        <w:t>e</w:t>
      </w:r>
      <w:r w:rsidR="003F29C6" w:rsidRPr="00060463">
        <w:t xml:space="preserve"> </w:t>
      </w:r>
      <w:r w:rsidRPr="00060463">
        <w:t xml:space="preserve">gestionó el requerimiento de información </w:t>
      </w:r>
      <w:r w:rsidR="0018705D" w:rsidRPr="00060463">
        <w:t>con las</w:t>
      </w:r>
      <w:r w:rsidR="006D16D9" w:rsidRPr="00060463">
        <w:t xml:space="preserve"> área</w:t>
      </w:r>
      <w:r w:rsidR="0018705D" w:rsidRPr="00060463">
        <w:t>s</w:t>
      </w:r>
      <w:r w:rsidR="006D16D9" w:rsidRPr="00060463">
        <w:t xml:space="preserve"> competente</w:t>
      </w:r>
      <w:r w:rsidR="0018705D" w:rsidRPr="00060463">
        <w:t>s</w:t>
      </w:r>
      <w:r w:rsidR="006D16D9" w:rsidRPr="00060463">
        <w:t xml:space="preserve"> de conocer la información.</w:t>
      </w:r>
      <w:r w:rsidR="00BA58BE" w:rsidRPr="00060463">
        <w:t xml:space="preserve"> </w:t>
      </w:r>
    </w:p>
    <w:p w14:paraId="57BA53C5" w14:textId="77777777" w:rsidR="0018705D" w:rsidRPr="00060463" w:rsidRDefault="0018705D" w:rsidP="00D7021E">
      <w:pPr>
        <w:spacing w:after="0" w:line="360" w:lineRule="auto"/>
      </w:pPr>
    </w:p>
    <w:p w14:paraId="5093F9E1" w14:textId="77777777" w:rsidR="0018705D" w:rsidRPr="00060463" w:rsidRDefault="0018705D" w:rsidP="00D7021E">
      <w:pPr>
        <w:spacing w:after="0" w:line="360" w:lineRule="auto"/>
      </w:pPr>
      <w:r w:rsidRPr="00060463">
        <w:t xml:space="preserve">Ahora bien, en respuesta como en Informe Justificado, la Subdirección de Administración adjuntó en total noventa y un movimientos de Alta del </w:t>
      </w:r>
      <w:proofErr w:type="spellStart"/>
      <w:r w:rsidRPr="00060463">
        <w:t>Issemym</w:t>
      </w:r>
      <w:proofErr w:type="spellEnd"/>
      <w:r w:rsidRPr="00060463">
        <w:t xml:space="preserve"> y treinta y un cartas de renuncia, de la temporalidad solicitada, como se muestra en los extractos siguientes:</w:t>
      </w:r>
    </w:p>
    <w:p w14:paraId="31E4476B" w14:textId="77777777" w:rsidR="0018705D" w:rsidRPr="00060463" w:rsidRDefault="0018705D" w:rsidP="00D7021E">
      <w:pPr>
        <w:spacing w:after="0" w:line="360" w:lineRule="auto"/>
      </w:pPr>
    </w:p>
    <w:p w14:paraId="222C8FA0" w14:textId="686F181A" w:rsidR="0018705D" w:rsidRPr="00060463" w:rsidRDefault="0018705D" w:rsidP="00D7021E">
      <w:pPr>
        <w:spacing w:after="0" w:line="360" w:lineRule="auto"/>
      </w:pPr>
      <w:r w:rsidRPr="00060463">
        <w:rPr>
          <w:noProof/>
        </w:rPr>
        <w:lastRenderedPageBreak/>
        <w:drawing>
          <wp:inline distT="0" distB="0" distL="0" distR="0" wp14:anchorId="08FC9004" wp14:editId="7B65B010">
            <wp:extent cx="5671185" cy="1541145"/>
            <wp:effectExtent l="0" t="0" r="5715"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B42ECA.tmp"/>
                    <pic:cNvPicPr/>
                  </pic:nvPicPr>
                  <pic:blipFill>
                    <a:blip r:embed="rId11">
                      <a:extLst>
                        <a:ext uri="{28A0092B-C50C-407E-A947-70E740481C1C}">
                          <a14:useLocalDpi xmlns:a14="http://schemas.microsoft.com/office/drawing/2010/main" val="0"/>
                        </a:ext>
                      </a:extLst>
                    </a:blip>
                    <a:stretch>
                      <a:fillRect/>
                    </a:stretch>
                  </pic:blipFill>
                  <pic:spPr>
                    <a:xfrm>
                      <a:off x="0" y="0"/>
                      <a:ext cx="5671185" cy="1541145"/>
                    </a:xfrm>
                    <a:prstGeom prst="rect">
                      <a:avLst/>
                    </a:prstGeom>
                  </pic:spPr>
                </pic:pic>
              </a:graphicData>
            </a:graphic>
          </wp:inline>
        </w:drawing>
      </w:r>
      <w:r w:rsidRPr="00060463">
        <w:t xml:space="preserve"> </w:t>
      </w:r>
    </w:p>
    <w:p w14:paraId="07203EB7" w14:textId="77777777" w:rsidR="0018705D" w:rsidRPr="00060463" w:rsidRDefault="0018705D" w:rsidP="00D7021E">
      <w:pPr>
        <w:spacing w:after="0" w:line="360" w:lineRule="auto"/>
      </w:pPr>
    </w:p>
    <w:p w14:paraId="7B12B158" w14:textId="50989AC4" w:rsidR="0018705D" w:rsidRPr="00060463" w:rsidRDefault="0018705D" w:rsidP="0018705D">
      <w:pPr>
        <w:spacing w:after="0" w:line="360" w:lineRule="auto"/>
        <w:jc w:val="center"/>
      </w:pPr>
      <w:r w:rsidRPr="00060463">
        <w:rPr>
          <w:noProof/>
        </w:rPr>
        <w:drawing>
          <wp:inline distT="0" distB="0" distL="0" distR="0" wp14:anchorId="09763FF3" wp14:editId="1117A45E">
            <wp:extent cx="3476625" cy="379427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B48547.tmp"/>
                    <pic:cNvPicPr/>
                  </pic:nvPicPr>
                  <pic:blipFill>
                    <a:blip r:embed="rId12">
                      <a:extLst>
                        <a:ext uri="{28A0092B-C50C-407E-A947-70E740481C1C}">
                          <a14:useLocalDpi xmlns:a14="http://schemas.microsoft.com/office/drawing/2010/main" val="0"/>
                        </a:ext>
                      </a:extLst>
                    </a:blip>
                    <a:stretch>
                      <a:fillRect/>
                    </a:stretch>
                  </pic:blipFill>
                  <pic:spPr>
                    <a:xfrm>
                      <a:off x="0" y="0"/>
                      <a:ext cx="3480275" cy="3798257"/>
                    </a:xfrm>
                    <a:prstGeom prst="rect">
                      <a:avLst/>
                    </a:prstGeom>
                  </pic:spPr>
                </pic:pic>
              </a:graphicData>
            </a:graphic>
          </wp:inline>
        </w:drawing>
      </w:r>
    </w:p>
    <w:p w14:paraId="530958AE" w14:textId="77777777" w:rsidR="0018705D" w:rsidRPr="00060463" w:rsidRDefault="0018705D" w:rsidP="0018705D">
      <w:pPr>
        <w:spacing w:after="0" w:line="360" w:lineRule="auto"/>
        <w:jc w:val="center"/>
      </w:pPr>
    </w:p>
    <w:p w14:paraId="26F577B6" w14:textId="6B0BF877" w:rsidR="00DE50EF" w:rsidRPr="00060463" w:rsidRDefault="002C1C68" w:rsidP="00D7021E">
      <w:pPr>
        <w:spacing w:after="0" w:line="360" w:lineRule="auto"/>
      </w:pPr>
      <w:r w:rsidRPr="00060463">
        <w:t>De lo anteri</w:t>
      </w:r>
      <w:r w:rsidR="007667B1" w:rsidRPr="00060463">
        <w:t xml:space="preserve">or se observa que, si bien entregó parte de la información que corresponde con lo solicitado, está incompleta pues no son todos los documentos que conforman el procedimiento de altas y bajas de los servidores públicos, por lo que, no se puede validar la respuesta y el agravio resulta </w:t>
      </w:r>
      <w:r w:rsidR="007667B1" w:rsidRPr="00060463">
        <w:rPr>
          <w:b/>
        </w:rPr>
        <w:t>FUNDADO</w:t>
      </w:r>
      <w:r w:rsidR="007667B1" w:rsidRPr="00060463">
        <w:t xml:space="preserve">. </w:t>
      </w:r>
    </w:p>
    <w:p w14:paraId="4547D528" w14:textId="77777777" w:rsidR="007667B1" w:rsidRPr="00060463" w:rsidRDefault="007667B1" w:rsidP="00D7021E">
      <w:pPr>
        <w:spacing w:after="0" w:line="360" w:lineRule="auto"/>
      </w:pPr>
    </w:p>
    <w:p w14:paraId="6120B314" w14:textId="77777777" w:rsidR="007667B1" w:rsidRPr="00060463" w:rsidRDefault="008401F3" w:rsidP="007667B1">
      <w:pPr>
        <w:spacing w:after="0" w:line="360" w:lineRule="auto"/>
        <w:rPr>
          <w:rFonts w:cs="Tahoma"/>
        </w:rPr>
      </w:pPr>
      <w:r w:rsidRPr="00060463">
        <w:rPr>
          <w:rFonts w:eastAsia="Calibri" w:cs="Times New Roman"/>
        </w:rPr>
        <w:t>Por tal circunstancia</w:t>
      </w:r>
      <w:r w:rsidR="006D16D9" w:rsidRPr="00060463">
        <w:rPr>
          <w:rFonts w:eastAsia="Calibri" w:cs="Times New Roman"/>
        </w:rPr>
        <w:t xml:space="preserve">, </w:t>
      </w:r>
      <w:r w:rsidR="006D16D9" w:rsidRPr="00060463">
        <w:t>p</w:t>
      </w:r>
      <w:r w:rsidR="006D16D9" w:rsidRPr="00060463">
        <w:rPr>
          <w:color w:val="000000"/>
        </w:rPr>
        <w:t>ara atender el requerimiento de la información, el Sujeto Obligado deberá realizar una búsqueda exhaustiva y razonable, en los archivos de la</w:t>
      </w:r>
      <w:r w:rsidR="007667B1" w:rsidRPr="00060463">
        <w:rPr>
          <w:color w:val="000000"/>
        </w:rPr>
        <w:t xml:space="preserve"> Subdirección de Administración</w:t>
      </w:r>
      <w:r w:rsidR="00A05B76" w:rsidRPr="00060463">
        <w:rPr>
          <w:color w:val="000000"/>
        </w:rPr>
        <w:t xml:space="preserve">, </w:t>
      </w:r>
      <w:r w:rsidR="006D16D9" w:rsidRPr="00060463">
        <w:rPr>
          <w:color w:val="000000"/>
        </w:rPr>
        <w:t>a efecto de que proporcione</w:t>
      </w:r>
      <w:r w:rsidR="00A05B76" w:rsidRPr="00060463">
        <w:rPr>
          <w:color w:val="000000"/>
        </w:rPr>
        <w:t>,</w:t>
      </w:r>
      <w:r w:rsidR="000B5B08" w:rsidRPr="00060463">
        <w:rPr>
          <w:color w:val="000000"/>
        </w:rPr>
        <w:t xml:space="preserve"> </w:t>
      </w:r>
      <w:r w:rsidR="007667B1" w:rsidRPr="00060463">
        <w:rPr>
          <w:rFonts w:cs="Tahoma"/>
        </w:rPr>
        <w:t>del primero de enero al veintiséis de agosto de dos mil veinticinco, lo siguiente:</w:t>
      </w:r>
    </w:p>
    <w:p w14:paraId="3E82E653" w14:textId="77777777" w:rsidR="007667B1" w:rsidRPr="00060463" w:rsidRDefault="007667B1" w:rsidP="007667B1">
      <w:pPr>
        <w:spacing w:after="0" w:line="360" w:lineRule="auto"/>
        <w:rPr>
          <w:rFonts w:cs="Tahoma"/>
        </w:rPr>
      </w:pPr>
    </w:p>
    <w:p w14:paraId="3ECAD2BF" w14:textId="44EDF5CA" w:rsidR="007667B1" w:rsidRPr="00060463" w:rsidRDefault="007667B1" w:rsidP="00BA79F7">
      <w:pPr>
        <w:pStyle w:val="Prrafodelista"/>
        <w:numPr>
          <w:ilvl w:val="0"/>
          <w:numId w:val="30"/>
        </w:numPr>
        <w:spacing w:line="360" w:lineRule="auto"/>
        <w:rPr>
          <w:rFonts w:cs="Tahoma"/>
          <w:sz w:val="24"/>
        </w:rPr>
      </w:pPr>
      <w:r w:rsidRPr="00060463">
        <w:rPr>
          <w:rFonts w:eastAsia="Palatino Linotype" w:cs="Tahoma"/>
          <w:color w:val="000000"/>
          <w:szCs w:val="22"/>
          <w:lang w:eastAsia="es-MX"/>
        </w:rPr>
        <w:t>Todos los documentos que conformen los procedimientos de alta y baja del personal mencionado en respuesta.</w:t>
      </w:r>
    </w:p>
    <w:p w14:paraId="695D3379" w14:textId="77777777" w:rsidR="007667B1" w:rsidRPr="00060463" w:rsidRDefault="007667B1" w:rsidP="007667B1">
      <w:pPr>
        <w:spacing w:after="0" w:line="360" w:lineRule="auto"/>
        <w:rPr>
          <w:color w:val="000000"/>
        </w:rPr>
      </w:pPr>
    </w:p>
    <w:p w14:paraId="52BF6D9C" w14:textId="77777777" w:rsidR="00177B6A" w:rsidRPr="00060463" w:rsidRDefault="00177B6A" w:rsidP="00D7021E">
      <w:pPr>
        <w:spacing w:after="0" w:line="360" w:lineRule="auto"/>
        <w:ind w:right="-93"/>
      </w:pPr>
      <w:r w:rsidRPr="00060463">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DCD11E" w14:textId="77777777" w:rsidR="00177B6A" w:rsidRPr="00060463" w:rsidRDefault="00177B6A" w:rsidP="00D7021E">
      <w:pPr>
        <w:widowControl w:val="0"/>
        <w:autoSpaceDE w:val="0"/>
        <w:autoSpaceDN w:val="0"/>
        <w:adjustRightInd w:val="0"/>
        <w:spacing w:after="0" w:line="360" w:lineRule="auto"/>
        <w:contextualSpacing/>
      </w:pPr>
    </w:p>
    <w:p w14:paraId="764F1E66" w14:textId="77777777" w:rsidR="00177B6A" w:rsidRPr="00060463" w:rsidRDefault="00177B6A" w:rsidP="00D7021E">
      <w:pPr>
        <w:widowControl w:val="0"/>
        <w:autoSpaceDE w:val="0"/>
        <w:autoSpaceDN w:val="0"/>
        <w:adjustRightInd w:val="0"/>
        <w:spacing w:after="0" w:line="360" w:lineRule="auto"/>
        <w:contextualSpacing/>
      </w:pPr>
      <w:r w:rsidRPr="00060463">
        <w:t xml:space="preserve">De esta manera, el derecho de acceso a la información pública se satisface en aquellos casos en que se entregue el soporte documental en el que conste la información solicitada, sin necesidad de elaborar documentos </w:t>
      </w:r>
      <w:r w:rsidRPr="00060463">
        <w:rPr>
          <w:i/>
        </w:rPr>
        <w:t>ad hoc</w:t>
      </w:r>
      <w:r w:rsidRPr="00060463">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544E193A" w14:textId="77777777" w:rsidR="00177B6A" w:rsidRPr="00060463" w:rsidRDefault="00177B6A" w:rsidP="00D7021E">
      <w:pPr>
        <w:widowControl w:val="0"/>
        <w:autoSpaceDE w:val="0"/>
        <w:autoSpaceDN w:val="0"/>
        <w:adjustRightInd w:val="0"/>
        <w:spacing w:after="0" w:line="360" w:lineRule="auto"/>
        <w:contextualSpacing/>
      </w:pPr>
    </w:p>
    <w:p w14:paraId="532AAEBF" w14:textId="71D5E7FE" w:rsidR="00177B6A" w:rsidRPr="00060463" w:rsidRDefault="00177B6A" w:rsidP="00D7021E">
      <w:pPr>
        <w:widowControl w:val="0"/>
        <w:autoSpaceDE w:val="0"/>
        <w:autoSpaceDN w:val="0"/>
        <w:adjustRightInd w:val="0"/>
        <w:spacing w:after="0" w:line="360" w:lineRule="auto"/>
        <w:contextualSpacing/>
      </w:pPr>
      <w:r w:rsidRPr="00060463">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w:t>
      </w:r>
      <w:r w:rsidRPr="00060463">
        <w:lastRenderedPageBreak/>
        <w:t>lo que, en el presente caso, deberá entregar la información solicitada</w:t>
      </w:r>
      <w:r w:rsidR="007667B1" w:rsidRPr="00060463">
        <w:t xml:space="preserve"> de manera completa</w:t>
      </w:r>
      <w:r w:rsidRPr="00060463">
        <w:t>.</w:t>
      </w:r>
    </w:p>
    <w:p w14:paraId="03F92BFE" w14:textId="77777777" w:rsidR="00F70AB6" w:rsidRPr="00060463" w:rsidRDefault="00F70AB6" w:rsidP="00D7021E">
      <w:pPr>
        <w:spacing w:after="0" w:line="360" w:lineRule="auto"/>
        <w:rPr>
          <w:rFonts w:eastAsia="Calibri" w:cs="Tahoma"/>
          <w:bCs/>
          <w:color w:val="auto"/>
          <w:lang w:val="x-none"/>
        </w:rPr>
      </w:pPr>
      <w:bookmarkStart w:id="18" w:name="_Hlk153453607"/>
    </w:p>
    <w:p w14:paraId="1F6922EE" w14:textId="5204E4C9" w:rsidR="007667B1" w:rsidRPr="00060463" w:rsidRDefault="00F70AB6" w:rsidP="00D7021E">
      <w:pPr>
        <w:spacing w:after="0" w:line="360" w:lineRule="auto"/>
        <w:rPr>
          <w:rFonts w:eastAsia="Calibri" w:cs="Tahoma"/>
          <w:bCs/>
          <w:color w:val="auto"/>
        </w:rPr>
      </w:pPr>
      <w:r w:rsidRPr="00060463">
        <w:rPr>
          <w:rFonts w:eastAsia="Calibri" w:cs="Tahoma"/>
          <w:bCs/>
          <w:color w:val="auto"/>
          <w:lang w:val="x-none"/>
        </w:rPr>
        <w:t xml:space="preserve">Ahora bien, de los </w:t>
      </w:r>
      <w:r w:rsidR="007667B1" w:rsidRPr="00060463">
        <w:rPr>
          <w:rFonts w:eastAsia="Calibri" w:cs="Tahoma"/>
          <w:bCs/>
          <w:color w:val="auto"/>
        </w:rPr>
        <w:t>documentos a entregar pudiera ser que contengan lo siguiente:</w:t>
      </w:r>
    </w:p>
    <w:p w14:paraId="20C9CF09" w14:textId="77777777" w:rsidR="007667B1" w:rsidRPr="00060463" w:rsidRDefault="007667B1" w:rsidP="00D7021E">
      <w:pPr>
        <w:spacing w:after="0" w:line="360" w:lineRule="auto"/>
        <w:rPr>
          <w:rFonts w:eastAsia="Calibri" w:cs="Tahoma"/>
          <w:bCs/>
          <w:color w:val="auto"/>
        </w:rPr>
      </w:pPr>
    </w:p>
    <w:p w14:paraId="0F4890AB" w14:textId="30210BDC" w:rsidR="0097677E" w:rsidRPr="00060463" w:rsidRDefault="0097677E" w:rsidP="0097677E">
      <w:pPr>
        <w:pStyle w:val="Prrafodelista"/>
        <w:numPr>
          <w:ilvl w:val="0"/>
          <w:numId w:val="29"/>
        </w:numPr>
        <w:spacing w:line="360" w:lineRule="auto"/>
      </w:pPr>
      <w:r w:rsidRPr="00060463">
        <w:t>Firma de Servidores Públicos;</w:t>
      </w:r>
    </w:p>
    <w:p w14:paraId="6DE2B6DA" w14:textId="7ED0D1CE" w:rsidR="0097677E" w:rsidRPr="00060463" w:rsidRDefault="0097677E" w:rsidP="0097677E">
      <w:pPr>
        <w:pStyle w:val="Prrafodelista"/>
        <w:numPr>
          <w:ilvl w:val="0"/>
          <w:numId w:val="29"/>
        </w:numPr>
        <w:spacing w:line="360" w:lineRule="auto"/>
      </w:pPr>
      <w:r w:rsidRPr="00060463">
        <w:t>Fotografía de servidores públicos;</w:t>
      </w:r>
    </w:p>
    <w:p w14:paraId="2D8DB505" w14:textId="563F0A3F" w:rsidR="0097677E" w:rsidRPr="00060463" w:rsidRDefault="0097677E" w:rsidP="0097677E">
      <w:pPr>
        <w:pStyle w:val="Prrafodelista"/>
        <w:numPr>
          <w:ilvl w:val="0"/>
          <w:numId w:val="29"/>
        </w:numPr>
        <w:spacing w:line="360" w:lineRule="auto"/>
      </w:pPr>
      <w:r w:rsidRPr="00060463">
        <w:t>Número telefónico particular;</w:t>
      </w:r>
    </w:p>
    <w:p w14:paraId="306642FB" w14:textId="4B78FA10" w:rsidR="0097677E" w:rsidRPr="00060463" w:rsidRDefault="0097677E" w:rsidP="0097677E">
      <w:pPr>
        <w:pStyle w:val="Prrafodelista"/>
        <w:numPr>
          <w:ilvl w:val="0"/>
          <w:numId w:val="29"/>
        </w:numPr>
        <w:spacing w:line="360" w:lineRule="auto"/>
      </w:pPr>
      <w:r w:rsidRPr="00060463">
        <w:t>Correo electrónico particular;</w:t>
      </w:r>
    </w:p>
    <w:p w14:paraId="5E245992" w14:textId="7B1E1638" w:rsidR="0097677E" w:rsidRPr="00060463" w:rsidRDefault="0097677E" w:rsidP="0097677E">
      <w:pPr>
        <w:pStyle w:val="Prrafodelista"/>
        <w:numPr>
          <w:ilvl w:val="0"/>
          <w:numId w:val="29"/>
        </w:numPr>
        <w:spacing w:line="360" w:lineRule="auto"/>
      </w:pPr>
      <w:r w:rsidRPr="00060463">
        <w:t>Estado civil;</w:t>
      </w:r>
    </w:p>
    <w:p w14:paraId="338D0D55" w14:textId="4C475D73" w:rsidR="0097677E" w:rsidRPr="00060463" w:rsidRDefault="0097677E" w:rsidP="0097677E">
      <w:pPr>
        <w:pStyle w:val="Prrafodelista"/>
        <w:numPr>
          <w:ilvl w:val="0"/>
          <w:numId w:val="29"/>
        </w:numPr>
        <w:spacing w:line="360" w:lineRule="auto"/>
      </w:pPr>
      <w:r w:rsidRPr="00060463">
        <w:t>Edad;</w:t>
      </w:r>
    </w:p>
    <w:p w14:paraId="454540CF" w14:textId="68D8EF66" w:rsidR="0097677E" w:rsidRPr="00060463" w:rsidRDefault="0097677E" w:rsidP="0097677E">
      <w:pPr>
        <w:pStyle w:val="Prrafodelista"/>
        <w:numPr>
          <w:ilvl w:val="0"/>
          <w:numId w:val="29"/>
        </w:numPr>
        <w:spacing w:line="360" w:lineRule="auto"/>
      </w:pPr>
      <w:r w:rsidRPr="00060463">
        <w:t>Fecha de nacimiento;</w:t>
      </w:r>
    </w:p>
    <w:p w14:paraId="0CD41141" w14:textId="65650819" w:rsidR="0097677E" w:rsidRPr="00060463" w:rsidRDefault="0097677E" w:rsidP="0097677E">
      <w:pPr>
        <w:pStyle w:val="Prrafodelista"/>
        <w:numPr>
          <w:ilvl w:val="0"/>
          <w:numId w:val="29"/>
        </w:numPr>
        <w:spacing w:line="360" w:lineRule="auto"/>
      </w:pPr>
      <w:r w:rsidRPr="00060463">
        <w:t>Documentos de grado de estudio;</w:t>
      </w:r>
    </w:p>
    <w:p w14:paraId="3EA6AC1A" w14:textId="6FF4A46F" w:rsidR="0097677E" w:rsidRPr="00060463" w:rsidRDefault="0097677E" w:rsidP="0097677E">
      <w:pPr>
        <w:pStyle w:val="Prrafodelista"/>
        <w:numPr>
          <w:ilvl w:val="0"/>
          <w:numId w:val="29"/>
        </w:numPr>
        <w:spacing w:line="360" w:lineRule="auto"/>
      </w:pPr>
      <w:r w:rsidRPr="00060463">
        <w:t>Constancia de No Inhabilitación;</w:t>
      </w:r>
    </w:p>
    <w:p w14:paraId="1B2531D9" w14:textId="1755321C" w:rsidR="0097677E" w:rsidRPr="00060463" w:rsidRDefault="0097677E" w:rsidP="0097677E">
      <w:pPr>
        <w:pStyle w:val="Prrafodelista"/>
        <w:numPr>
          <w:ilvl w:val="0"/>
          <w:numId w:val="29"/>
        </w:numPr>
        <w:spacing w:line="360" w:lineRule="auto"/>
      </w:pPr>
      <w:r w:rsidRPr="00060463">
        <w:t>Certificado o Informe de No Antecedentes Penales;</w:t>
      </w:r>
    </w:p>
    <w:p w14:paraId="7CF6017C" w14:textId="3A701258" w:rsidR="0097677E" w:rsidRPr="00060463" w:rsidRDefault="0097677E" w:rsidP="0097677E">
      <w:pPr>
        <w:pStyle w:val="Prrafodelista"/>
        <w:numPr>
          <w:ilvl w:val="0"/>
          <w:numId w:val="29"/>
        </w:numPr>
        <w:spacing w:line="360" w:lineRule="auto"/>
      </w:pPr>
      <w:r w:rsidRPr="00060463">
        <w:t>Currículum Vitae;</w:t>
      </w:r>
    </w:p>
    <w:p w14:paraId="04A3DFF8" w14:textId="787CA051" w:rsidR="0097677E" w:rsidRPr="00060463" w:rsidRDefault="0097677E" w:rsidP="0097677E">
      <w:pPr>
        <w:pStyle w:val="Prrafodelista"/>
        <w:numPr>
          <w:ilvl w:val="0"/>
          <w:numId w:val="29"/>
        </w:numPr>
        <w:spacing w:line="360" w:lineRule="auto"/>
      </w:pPr>
      <w:r w:rsidRPr="00060463">
        <w:t>Solicitud de empleo;</w:t>
      </w:r>
    </w:p>
    <w:p w14:paraId="1DD3F28E" w14:textId="601F4846" w:rsidR="0097677E" w:rsidRPr="00060463" w:rsidRDefault="0097677E" w:rsidP="0097677E">
      <w:pPr>
        <w:pStyle w:val="Prrafodelista"/>
        <w:numPr>
          <w:ilvl w:val="0"/>
          <w:numId w:val="29"/>
        </w:numPr>
        <w:spacing w:line="360" w:lineRule="auto"/>
      </w:pPr>
      <w:r w:rsidRPr="00060463">
        <w:t>CURP;</w:t>
      </w:r>
    </w:p>
    <w:p w14:paraId="670CF3AC" w14:textId="2B248138" w:rsidR="0097677E" w:rsidRPr="00060463" w:rsidRDefault="0097677E" w:rsidP="0097677E">
      <w:pPr>
        <w:pStyle w:val="Prrafodelista"/>
        <w:numPr>
          <w:ilvl w:val="0"/>
          <w:numId w:val="29"/>
        </w:numPr>
        <w:spacing w:line="360" w:lineRule="auto"/>
      </w:pPr>
      <w:r w:rsidRPr="00060463">
        <w:t>Certificado Médico;</w:t>
      </w:r>
    </w:p>
    <w:p w14:paraId="76ECEF43" w14:textId="327E0860" w:rsidR="0097677E" w:rsidRPr="00060463" w:rsidRDefault="0097677E" w:rsidP="0097677E">
      <w:pPr>
        <w:pStyle w:val="Prrafodelista"/>
        <w:numPr>
          <w:ilvl w:val="0"/>
          <w:numId w:val="29"/>
        </w:numPr>
        <w:spacing w:line="360" w:lineRule="auto"/>
      </w:pPr>
      <w:r w:rsidRPr="00060463">
        <w:t>Acta de nacimiento;</w:t>
      </w:r>
    </w:p>
    <w:p w14:paraId="7AA3DF1D" w14:textId="28142C35" w:rsidR="0097677E" w:rsidRPr="00060463" w:rsidRDefault="0097677E" w:rsidP="0097677E">
      <w:pPr>
        <w:pStyle w:val="Prrafodelista"/>
        <w:numPr>
          <w:ilvl w:val="0"/>
          <w:numId w:val="29"/>
        </w:numPr>
        <w:spacing w:line="360" w:lineRule="auto"/>
      </w:pPr>
      <w:r w:rsidRPr="00060463">
        <w:t>Comprobante de domicilio;</w:t>
      </w:r>
    </w:p>
    <w:p w14:paraId="7BB34C73" w14:textId="28F0C539" w:rsidR="0097677E" w:rsidRPr="00060463" w:rsidRDefault="0097677E" w:rsidP="0097677E">
      <w:pPr>
        <w:pStyle w:val="Prrafodelista"/>
        <w:numPr>
          <w:ilvl w:val="0"/>
          <w:numId w:val="29"/>
        </w:numPr>
        <w:spacing w:line="360" w:lineRule="auto"/>
      </w:pPr>
      <w:r w:rsidRPr="00060463">
        <w:t>Credencial para votar;</w:t>
      </w:r>
    </w:p>
    <w:p w14:paraId="750B7B3F" w14:textId="77777777" w:rsidR="0097677E" w:rsidRPr="00060463" w:rsidRDefault="0097677E" w:rsidP="0097677E">
      <w:pPr>
        <w:pStyle w:val="Prrafodelista"/>
        <w:spacing w:line="360" w:lineRule="auto"/>
        <w:rPr>
          <w:rFonts w:eastAsia="Calibri" w:cs="Tahoma"/>
          <w:bCs/>
          <w:color w:val="auto"/>
        </w:rPr>
      </w:pPr>
    </w:p>
    <w:p w14:paraId="21B3F0F0" w14:textId="77777777" w:rsidR="007667B1" w:rsidRPr="00060463" w:rsidRDefault="007667B1" w:rsidP="007667B1">
      <w:pPr>
        <w:spacing w:after="0" w:line="360" w:lineRule="auto"/>
        <w:ind w:right="-28"/>
        <w:rPr>
          <w:color w:val="000000"/>
        </w:rPr>
      </w:pPr>
      <w:r w:rsidRPr="00060463">
        <w:rPr>
          <w:color w:val="000000"/>
        </w:rPr>
        <w:t xml:space="preserve">De lo anterior,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w:t>
      </w:r>
      <w:r w:rsidRPr="00060463">
        <w:rPr>
          <w:color w:val="000000"/>
        </w:rPr>
        <w:lastRenderedPageBreak/>
        <w:t xml:space="preserve">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0F2EE4B5" w14:textId="77777777" w:rsidR="007667B1" w:rsidRPr="00060463" w:rsidRDefault="007667B1" w:rsidP="007667B1">
      <w:pPr>
        <w:spacing w:after="0" w:line="360" w:lineRule="auto"/>
        <w:ind w:right="-28"/>
        <w:rPr>
          <w:color w:val="000000"/>
        </w:rPr>
      </w:pPr>
    </w:p>
    <w:p w14:paraId="1508AC1A" w14:textId="77777777" w:rsidR="007667B1" w:rsidRPr="00060463" w:rsidRDefault="007667B1" w:rsidP="007667B1">
      <w:pPr>
        <w:spacing w:after="0" w:line="360" w:lineRule="auto"/>
        <w:rPr>
          <w:color w:val="000000"/>
        </w:rPr>
      </w:pPr>
      <w:r w:rsidRPr="00060463">
        <w:rPr>
          <w:color w:val="000000"/>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8BF2BB4" w14:textId="77777777" w:rsidR="007667B1" w:rsidRPr="00060463" w:rsidRDefault="007667B1" w:rsidP="007667B1">
      <w:pPr>
        <w:spacing w:after="0" w:line="360" w:lineRule="auto"/>
        <w:rPr>
          <w:color w:val="000000"/>
        </w:rPr>
      </w:pPr>
    </w:p>
    <w:p w14:paraId="28FC4C18" w14:textId="77777777" w:rsidR="007667B1" w:rsidRPr="00060463" w:rsidRDefault="007667B1" w:rsidP="007667B1">
      <w:pPr>
        <w:spacing w:after="0" w:line="360" w:lineRule="auto"/>
        <w:rPr>
          <w:color w:val="000000"/>
        </w:rPr>
      </w:pPr>
      <w:r w:rsidRPr="00060463">
        <w:rPr>
          <w:color w:val="000000"/>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1FFF4EE" w14:textId="77777777" w:rsidR="007667B1" w:rsidRPr="00060463" w:rsidRDefault="007667B1" w:rsidP="007667B1">
      <w:pPr>
        <w:spacing w:after="0" w:line="360" w:lineRule="auto"/>
        <w:rPr>
          <w:color w:val="000000"/>
        </w:rPr>
      </w:pPr>
    </w:p>
    <w:p w14:paraId="036441DB" w14:textId="77777777" w:rsidR="007667B1" w:rsidRPr="00060463" w:rsidRDefault="007667B1" w:rsidP="007667B1">
      <w:pPr>
        <w:spacing w:after="0" w:line="360" w:lineRule="auto"/>
        <w:rPr>
          <w:color w:val="000000"/>
        </w:rPr>
      </w:pPr>
      <w:r w:rsidRPr="00060463">
        <w:rPr>
          <w:color w:val="000000"/>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83F178C" w14:textId="77777777" w:rsidR="007667B1" w:rsidRPr="00060463" w:rsidRDefault="007667B1" w:rsidP="007667B1">
      <w:pPr>
        <w:spacing w:after="0" w:line="360" w:lineRule="auto"/>
        <w:rPr>
          <w:color w:val="000000"/>
        </w:rPr>
      </w:pPr>
    </w:p>
    <w:p w14:paraId="6777170B" w14:textId="77777777" w:rsidR="007667B1" w:rsidRPr="00060463" w:rsidRDefault="007667B1" w:rsidP="007667B1">
      <w:pPr>
        <w:spacing w:after="0" w:line="360" w:lineRule="auto"/>
        <w:rPr>
          <w:color w:val="000000"/>
        </w:rPr>
      </w:pPr>
      <w:r w:rsidRPr="00060463">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w:t>
      </w:r>
      <w:r w:rsidRPr="00060463">
        <w:rPr>
          <w:color w:val="000000"/>
        </w:rPr>
        <w:lastRenderedPageBreak/>
        <w:t>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EBC023F" w14:textId="77777777" w:rsidR="007667B1" w:rsidRPr="00060463" w:rsidRDefault="007667B1" w:rsidP="007667B1">
      <w:pPr>
        <w:spacing w:after="0" w:line="360" w:lineRule="auto"/>
        <w:rPr>
          <w:color w:val="000000"/>
        </w:rPr>
      </w:pPr>
    </w:p>
    <w:p w14:paraId="6DAF1163" w14:textId="77777777" w:rsidR="007667B1" w:rsidRPr="00060463" w:rsidRDefault="007667B1" w:rsidP="007667B1">
      <w:pPr>
        <w:spacing w:after="0" w:line="360" w:lineRule="auto"/>
        <w:rPr>
          <w:color w:val="000000"/>
        </w:rPr>
      </w:pPr>
      <w:r w:rsidRPr="00060463">
        <w:rPr>
          <w:color w:val="000000"/>
        </w:rPr>
        <w:t>En términos de lo expuesto, la documentación y aquellos datos que se consideren confidenciales, serán una limitante del derecho de acceso a la información, siempre y cuando:</w:t>
      </w:r>
    </w:p>
    <w:p w14:paraId="703AEF62" w14:textId="77777777" w:rsidR="007667B1" w:rsidRPr="00060463" w:rsidRDefault="007667B1" w:rsidP="007667B1">
      <w:pPr>
        <w:spacing w:after="0" w:line="360" w:lineRule="auto"/>
        <w:rPr>
          <w:color w:val="000000"/>
        </w:rPr>
      </w:pPr>
    </w:p>
    <w:p w14:paraId="1FFE7C83" w14:textId="77777777" w:rsidR="007667B1" w:rsidRPr="00060463" w:rsidRDefault="007667B1" w:rsidP="007667B1">
      <w:pPr>
        <w:numPr>
          <w:ilvl w:val="0"/>
          <w:numId w:val="7"/>
        </w:numPr>
        <w:spacing w:after="0" w:line="360" w:lineRule="auto"/>
        <w:rPr>
          <w:color w:val="000000"/>
        </w:rPr>
      </w:pPr>
      <w:r w:rsidRPr="00060463">
        <w:rPr>
          <w:color w:val="000000"/>
        </w:rPr>
        <w:t xml:space="preserve">Se trate de datos personales o información privada; esto es, información concerniente a una persona física o jurídico colectiva y que esta sea identificada o identificable. </w:t>
      </w:r>
    </w:p>
    <w:p w14:paraId="00FB7573" w14:textId="77777777" w:rsidR="007667B1" w:rsidRPr="00060463" w:rsidRDefault="007667B1" w:rsidP="007667B1">
      <w:pPr>
        <w:numPr>
          <w:ilvl w:val="0"/>
          <w:numId w:val="7"/>
        </w:numPr>
        <w:spacing w:after="0" w:line="360" w:lineRule="auto"/>
        <w:rPr>
          <w:color w:val="000000"/>
        </w:rPr>
      </w:pPr>
      <w:r w:rsidRPr="00060463">
        <w:rPr>
          <w:color w:val="000000"/>
        </w:rPr>
        <w:t xml:space="preserve">Para la difusión de los datos, se requiera el consentimiento del titular. </w:t>
      </w:r>
    </w:p>
    <w:p w14:paraId="49D577AC" w14:textId="77777777" w:rsidR="007667B1" w:rsidRPr="00060463" w:rsidRDefault="007667B1" w:rsidP="007667B1">
      <w:pPr>
        <w:spacing w:after="0" w:line="360" w:lineRule="auto"/>
        <w:rPr>
          <w:color w:val="000000"/>
        </w:rPr>
      </w:pPr>
    </w:p>
    <w:p w14:paraId="1D5CD27C" w14:textId="77777777" w:rsidR="007667B1" w:rsidRPr="00060463" w:rsidRDefault="007667B1" w:rsidP="007667B1">
      <w:pPr>
        <w:spacing w:after="0" w:line="360" w:lineRule="auto"/>
        <w:rPr>
          <w:color w:val="000000"/>
        </w:rPr>
      </w:pPr>
      <w:r w:rsidRPr="00060463">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D03AB8D" w14:textId="77777777" w:rsidR="007667B1" w:rsidRPr="00060463" w:rsidRDefault="007667B1" w:rsidP="007667B1">
      <w:pPr>
        <w:spacing w:after="0" w:line="360" w:lineRule="auto"/>
        <w:rPr>
          <w:color w:val="000000"/>
        </w:rPr>
      </w:pPr>
    </w:p>
    <w:p w14:paraId="60D90528" w14:textId="77777777" w:rsidR="007667B1" w:rsidRPr="00060463" w:rsidRDefault="007667B1" w:rsidP="007667B1">
      <w:pPr>
        <w:spacing w:after="0" w:line="360" w:lineRule="auto"/>
        <w:rPr>
          <w:color w:val="000000"/>
        </w:rPr>
      </w:pPr>
      <w:r w:rsidRPr="00060463">
        <w:rPr>
          <w:color w:val="000000"/>
        </w:rPr>
        <w:t>Además, en el artículo 5° de dicho ordenamiento jurídico, establece que es la Ley aplicable para todo tratamiento de datos personales.</w:t>
      </w:r>
    </w:p>
    <w:p w14:paraId="00A7AD92" w14:textId="77777777" w:rsidR="007667B1" w:rsidRPr="00060463" w:rsidRDefault="007667B1" w:rsidP="007667B1">
      <w:pPr>
        <w:spacing w:after="0" w:line="360" w:lineRule="auto"/>
        <w:rPr>
          <w:color w:val="000000"/>
        </w:rPr>
      </w:pPr>
    </w:p>
    <w:p w14:paraId="3BBA6BF1" w14:textId="77777777" w:rsidR="007667B1" w:rsidRPr="00060463" w:rsidRDefault="007667B1" w:rsidP="007667B1">
      <w:pPr>
        <w:spacing w:after="0" w:line="360" w:lineRule="auto"/>
        <w:rPr>
          <w:color w:val="000000"/>
        </w:rPr>
      </w:pPr>
      <w:r w:rsidRPr="00060463">
        <w:rPr>
          <w:color w:val="000000"/>
        </w:rPr>
        <w:t xml:space="preserve">En ese orden de ideas, los artículos 6°, 7°, 8° y 14 de la Ley de Protección de Datos Personales en Posesión de Sujetos Obligados del Estado de México y Municipios disponen que los </w:t>
      </w:r>
      <w:r w:rsidRPr="00060463">
        <w:rPr>
          <w:color w:val="000000"/>
        </w:rPr>
        <w:lastRenderedPageBreak/>
        <w:t>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9CBD557" w14:textId="77777777" w:rsidR="007667B1" w:rsidRPr="00060463" w:rsidRDefault="007667B1" w:rsidP="007667B1">
      <w:pPr>
        <w:spacing w:after="0" w:line="360" w:lineRule="auto"/>
        <w:rPr>
          <w:color w:val="000000"/>
        </w:rPr>
      </w:pPr>
    </w:p>
    <w:p w14:paraId="791841D7" w14:textId="1BC45947" w:rsidR="007667B1" w:rsidRPr="00060463" w:rsidRDefault="007667B1" w:rsidP="007667B1">
      <w:pPr>
        <w:spacing w:after="0" w:line="360" w:lineRule="auto"/>
        <w:rPr>
          <w:color w:val="000000"/>
        </w:rPr>
      </w:pPr>
      <w:r w:rsidRPr="00060463">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56A1B735" w14:textId="77777777" w:rsidR="007667B1" w:rsidRPr="00060463" w:rsidRDefault="007667B1" w:rsidP="007667B1">
      <w:pPr>
        <w:spacing w:after="0" w:line="360" w:lineRule="auto"/>
        <w:rPr>
          <w:color w:val="000000"/>
        </w:rPr>
      </w:pPr>
    </w:p>
    <w:p w14:paraId="7D30CF05" w14:textId="77777777" w:rsidR="007667B1" w:rsidRPr="00060463" w:rsidRDefault="007667B1" w:rsidP="007667B1">
      <w:pPr>
        <w:spacing w:after="0" w:line="360" w:lineRule="auto"/>
        <w:rPr>
          <w:rFonts w:eastAsia="Times New Roman" w:cs="Tahoma"/>
          <w:b/>
          <w:bCs/>
          <w:color w:val="auto"/>
          <w:lang w:eastAsia="es-ES"/>
        </w:rPr>
      </w:pPr>
      <w:r w:rsidRPr="00060463">
        <w:rPr>
          <w:rFonts w:eastAsia="Times New Roman" w:cs="Tahoma"/>
          <w:b/>
          <w:bCs/>
          <w:color w:val="auto"/>
          <w:lang w:eastAsia="es-ES"/>
        </w:rPr>
        <w:t>Documentos clasificados en su totalidad</w:t>
      </w:r>
    </w:p>
    <w:p w14:paraId="5482DBF1" w14:textId="77777777" w:rsidR="007667B1" w:rsidRPr="00060463" w:rsidRDefault="007667B1" w:rsidP="007667B1">
      <w:pPr>
        <w:spacing w:after="0" w:line="360" w:lineRule="auto"/>
        <w:rPr>
          <w:rFonts w:eastAsia="Times New Roman" w:cs="Tahoma"/>
          <w:b/>
          <w:bCs/>
          <w:color w:val="auto"/>
          <w:lang w:eastAsia="es-ES"/>
        </w:rPr>
      </w:pPr>
    </w:p>
    <w:p w14:paraId="3B3C8065" w14:textId="77777777" w:rsidR="007667B1" w:rsidRPr="00060463" w:rsidRDefault="007667B1" w:rsidP="007667B1">
      <w:pPr>
        <w:numPr>
          <w:ilvl w:val="0"/>
          <w:numId w:val="25"/>
        </w:numPr>
        <w:spacing w:after="0" w:line="360" w:lineRule="auto"/>
        <w:contextualSpacing/>
        <w:rPr>
          <w:rFonts w:eastAsia="Calibri" w:cs="Times New Roman"/>
          <w:b/>
          <w:bCs/>
          <w:szCs w:val="24"/>
          <w:lang w:val="x-none" w:eastAsia="es-ES"/>
        </w:rPr>
      </w:pPr>
      <w:r w:rsidRPr="00060463">
        <w:rPr>
          <w:rFonts w:eastAsia="Times New Roman" w:cs="Times New Roman"/>
          <w:b/>
          <w:bCs/>
          <w:szCs w:val="24"/>
          <w:lang w:eastAsia="es-ES"/>
        </w:rPr>
        <w:t>Credencial para Votar</w:t>
      </w:r>
    </w:p>
    <w:p w14:paraId="1B168659" w14:textId="77777777" w:rsidR="007667B1" w:rsidRPr="00060463" w:rsidRDefault="007667B1" w:rsidP="007667B1">
      <w:pPr>
        <w:spacing w:after="0" w:line="360" w:lineRule="auto"/>
        <w:ind w:left="780"/>
        <w:contextualSpacing/>
        <w:rPr>
          <w:rFonts w:eastAsia="Calibri" w:cs="Times New Roman"/>
          <w:b/>
          <w:bCs/>
          <w:szCs w:val="24"/>
          <w:lang w:val="x-none" w:eastAsia="es-ES"/>
        </w:rPr>
      </w:pPr>
    </w:p>
    <w:p w14:paraId="4A2CCE23" w14:textId="77777777" w:rsidR="007667B1" w:rsidRPr="00060463" w:rsidRDefault="007667B1" w:rsidP="007667B1">
      <w:pPr>
        <w:spacing w:after="0" w:line="360" w:lineRule="auto"/>
        <w:ind w:left="60"/>
        <w:rPr>
          <w:rFonts w:eastAsiaTheme="minorHAnsi" w:cs="Tahoma"/>
          <w:color w:val="auto"/>
        </w:rPr>
      </w:pPr>
      <w:r w:rsidRPr="00060463">
        <w:rPr>
          <w:rFonts w:eastAsiaTheme="minorHAnsi" w:cs="Tahoma"/>
          <w:color w:val="auto"/>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33ECEB55" w14:textId="77777777" w:rsidR="007667B1" w:rsidRPr="00060463" w:rsidRDefault="007667B1" w:rsidP="007667B1">
      <w:pPr>
        <w:spacing w:after="0" w:line="360" w:lineRule="auto"/>
        <w:ind w:left="60"/>
        <w:rPr>
          <w:rFonts w:eastAsiaTheme="minorHAnsi" w:cs="Tahoma"/>
          <w:color w:val="auto"/>
        </w:rPr>
      </w:pPr>
    </w:p>
    <w:p w14:paraId="230CF4D2" w14:textId="77777777" w:rsidR="007667B1" w:rsidRPr="00060463" w:rsidRDefault="007667B1" w:rsidP="007667B1">
      <w:pPr>
        <w:spacing w:after="0" w:line="360" w:lineRule="auto"/>
        <w:ind w:left="60"/>
        <w:rPr>
          <w:rFonts w:eastAsiaTheme="minorHAnsi" w:cs="Tahoma"/>
          <w:b/>
          <w:bCs/>
          <w:color w:val="000000"/>
        </w:rPr>
      </w:pPr>
      <w:r w:rsidRPr="00060463">
        <w:rPr>
          <w:rFonts w:eastAsiaTheme="minorHAnsi" w:cs="Tahoma"/>
          <w:color w:val="auto"/>
        </w:rPr>
        <w:t>De manera particular el artículo 156, de la Ley General de Instituciones y Procedimientos Electorales dispone que la credencial para votar deberá contener, cuando menos, los siguientes datos:</w:t>
      </w:r>
    </w:p>
    <w:p w14:paraId="4318E711" w14:textId="77777777" w:rsidR="007667B1" w:rsidRPr="00060463" w:rsidRDefault="007667B1" w:rsidP="007667B1">
      <w:pPr>
        <w:autoSpaceDE w:val="0"/>
        <w:autoSpaceDN w:val="0"/>
        <w:adjustRightInd w:val="0"/>
        <w:spacing w:after="0" w:line="360" w:lineRule="auto"/>
        <w:ind w:left="60" w:right="567"/>
        <w:rPr>
          <w:rFonts w:eastAsiaTheme="minorHAnsi" w:cs="Tahoma"/>
          <w:color w:val="000000"/>
        </w:rPr>
      </w:pPr>
    </w:p>
    <w:p w14:paraId="2D655BA8" w14:textId="77777777" w:rsidR="007667B1" w:rsidRPr="00060463" w:rsidRDefault="007667B1" w:rsidP="007667B1">
      <w:pPr>
        <w:autoSpaceDE w:val="0"/>
        <w:autoSpaceDN w:val="0"/>
        <w:adjustRightInd w:val="0"/>
        <w:spacing w:after="0" w:line="360" w:lineRule="auto"/>
        <w:ind w:left="567" w:right="567"/>
        <w:rPr>
          <w:rFonts w:eastAsiaTheme="minorHAnsi" w:cs="Tahoma"/>
          <w:i/>
          <w:iCs/>
          <w:color w:val="000000"/>
          <w:sz w:val="20"/>
          <w:szCs w:val="20"/>
        </w:rPr>
      </w:pPr>
      <w:r w:rsidRPr="00060463">
        <w:rPr>
          <w:rFonts w:eastAsiaTheme="minorHAnsi" w:cs="Tahoma"/>
          <w:b/>
          <w:bCs/>
          <w:i/>
          <w:iCs/>
          <w:color w:val="000000"/>
          <w:sz w:val="20"/>
          <w:szCs w:val="20"/>
        </w:rPr>
        <w:lastRenderedPageBreak/>
        <w:t xml:space="preserve">a) </w:t>
      </w:r>
      <w:r w:rsidRPr="00060463">
        <w:rPr>
          <w:rFonts w:eastAsiaTheme="minorHAnsi" w:cs="Tahoma"/>
          <w:i/>
          <w:iCs/>
          <w:color w:val="000000"/>
          <w:sz w:val="20"/>
          <w:szCs w:val="20"/>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247A05C3" w14:textId="77777777" w:rsidR="007667B1" w:rsidRPr="00060463" w:rsidRDefault="007667B1" w:rsidP="007667B1">
      <w:pPr>
        <w:autoSpaceDE w:val="0"/>
        <w:autoSpaceDN w:val="0"/>
        <w:adjustRightInd w:val="0"/>
        <w:spacing w:after="0" w:line="360" w:lineRule="auto"/>
        <w:ind w:left="567" w:right="567"/>
        <w:rPr>
          <w:rFonts w:eastAsiaTheme="minorHAnsi" w:cs="Tahoma"/>
          <w:i/>
          <w:iCs/>
          <w:color w:val="000000"/>
          <w:sz w:val="20"/>
          <w:szCs w:val="20"/>
        </w:rPr>
      </w:pPr>
      <w:r w:rsidRPr="00060463">
        <w:rPr>
          <w:rFonts w:eastAsiaTheme="minorHAnsi" w:cs="Tahoma"/>
          <w:b/>
          <w:bCs/>
          <w:i/>
          <w:iCs/>
          <w:color w:val="000000"/>
          <w:sz w:val="20"/>
          <w:szCs w:val="20"/>
        </w:rPr>
        <w:t xml:space="preserve">b) </w:t>
      </w:r>
      <w:r w:rsidRPr="00060463">
        <w:rPr>
          <w:rFonts w:eastAsiaTheme="minorHAnsi" w:cs="Tahoma"/>
          <w:i/>
          <w:iCs/>
          <w:color w:val="000000"/>
          <w:sz w:val="20"/>
          <w:szCs w:val="20"/>
        </w:rPr>
        <w:t xml:space="preserve">Sección electoral en donde deberá votar el ciudadano. En el caso de los ciudadanos residentes en el extranjero no será necesario incluir este requisito; </w:t>
      </w:r>
    </w:p>
    <w:p w14:paraId="783BD97C" w14:textId="77777777" w:rsidR="007667B1" w:rsidRPr="00060463" w:rsidRDefault="007667B1" w:rsidP="007667B1">
      <w:pPr>
        <w:autoSpaceDE w:val="0"/>
        <w:autoSpaceDN w:val="0"/>
        <w:adjustRightInd w:val="0"/>
        <w:spacing w:after="0" w:line="360" w:lineRule="auto"/>
        <w:ind w:left="567" w:right="567"/>
        <w:rPr>
          <w:rFonts w:eastAsiaTheme="minorHAnsi" w:cs="Tahoma"/>
          <w:i/>
          <w:iCs/>
          <w:color w:val="000000"/>
          <w:sz w:val="20"/>
          <w:szCs w:val="20"/>
        </w:rPr>
      </w:pPr>
      <w:r w:rsidRPr="00060463">
        <w:rPr>
          <w:rFonts w:eastAsiaTheme="minorHAnsi" w:cs="Tahoma"/>
          <w:b/>
          <w:bCs/>
          <w:i/>
          <w:iCs/>
          <w:color w:val="000000"/>
          <w:sz w:val="20"/>
          <w:szCs w:val="20"/>
        </w:rPr>
        <w:t xml:space="preserve">c) </w:t>
      </w:r>
      <w:r w:rsidRPr="00060463">
        <w:rPr>
          <w:rFonts w:eastAsiaTheme="minorHAnsi" w:cs="Tahoma"/>
          <w:i/>
          <w:iCs/>
          <w:color w:val="000000"/>
          <w:sz w:val="20"/>
          <w:szCs w:val="20"/>
        </w:rPr>
        <w:t xml:space="preserve">Apellido paterno, apellido materno y nombre completo; </w:t>
      </w:r>
    </w:p>
    <w:p w14:paraId="2B136D79" w14:textId="77777777" w:rsidR="007667B1" w:rsidRPr="00060463" w:rsidRDefault="007667B1" w:rsidP="007667B1">
      <w:pPr>
        <w:autoSpaceDE w:val="0"/>
        <w:autoSpaceDN w:val="0"/>
        <w:adjustRightInd w:val="0"/>
        <w:spacing w:after="0" w:line="360" w:lineRule="auto"/>
        <w:ind w:left="567" w:right="567"/>
        <w:rPr>
          <w:rFonts w:eastAsiaTheme="minorHAnsi" w:cs="Tahoma"/>
          <w:i/>
          <w:iCs/>
          <w:color w:val="000000"/>
          <w:sz w:val="20"/>
          <w:szCs w:val="20"/>
        </w:rPr>
      </w:pPr>
      <w:r w:rsidRPr="00060463">
        <w:rPr>
          <w:rFonts w:eastAsiaTheme="minorHAnsi" w:cs="Tahoma"/>
          <w:b/>
          <w:bCs/>
          <w:i/>
          <w:iCs/>
          <w:color w:val="000000"/>
          <w:sz w:val="20"/>
          <w:szCs w:val="20"/>
        </w:rPr>
        <w:t xml:space="preserve">d) </w:t>
      </w:r>
      <w:r w:rsidRPr="00060463">
        <w:rPr>
          <w:rFonts w:eastAsiaTheme="minorHAnsi" w:cs="Tahoma"/>
          <w:i/>
          <w:iCs/>
          <w:color w:val="000000"/>
          <w:sz w:val="20"/>
          <w:szCs w:val="20"/>
        </w:rPr>
        <w:t xml:space="preserve">Domicilio; </w:t>
      </w:r>
    </w:p>
    <w:p w14:paraId="235B8583" w14:textId="77777777" w:rsidR="007667B1" w:rsidRPr="00060463" w:rsidRDefault="007667B1" w:rsidP="007667B1">
      <w:pPr>
        <w:autoSpaceDE w:val="0"/>
        <w:autoSpaceDN w:val="0"/>
        <w:adjustRightInd w:val="0"/>
        <w:spacing w:after="0" w:line="360" w:lineRule="auto"/>
        <w:ind w:left="567" w:right="567"/>
        <w:rPr>
          <w:rFonts w:eastAsiaTheme="minorHAnsi" w:cs="Tahoma"/>
          <w:i/>
          <w:iCs/>
          <w:color w:val="000000"/>
          <w:sz w:val="20"/>
          <w:szCs w:val="20"/>
        </w:rPr>
      </w:pPr>
      <w:r w:rsidRPr="00060463">
        <w:rPr>
          <w:rFonts w:eastAsiaTheme="minorHAnsi" w:cs="Tahoma"/>
          <w:b/>
          <w:bCs/>
          <w:i/>
          <w:iCs/>
          <w:color w:val="000000"/>
          <w:sz w:val="20"/>
          <w:szCs w:val="20"/>
        </w:rPr>
        <w:t xml:space="preserve">e) </w:t>
      </w:r>
      <w:r w:rsidRPr="00060463">
        <w:rPr>
          <w:rFonts w:eastAsiaTheme="minorHAnsi" w:cs="Tahoma"/>
          <w:i/>
          <w:iCs/>
          <w:color w:val="000000"/>
          <w:sz w:val="20"/>
          <w:szCs w:val="20"/>
        </w:rPr>
        <w:t xml:space="preserve">Sexo; </w:t>
      </w:r>
    </w:p>
    <w:p w14:paraId="091DC22B" w14:textId="77777777" w:rsidR="007667B1" w:rsidRPr="00060463" w:rsidRDefault="007667B1" w:rsidP="007667B1">
      <w:pPr>
        <w:spacing w:after="0" w:line="360" w:lineRule="auto"/>
        <w:ind w:left="567" w:right="567"/>
        <w:rPr>
          <w:rFonts w:eastAsiaTheme="minorHAnsi" w:cs="Tahoma"/>
          <w:i/>
          <w:iCs/>
          <w:sz w:val="20"/>
          <w:szCs w:val="20"/>
        </w:rPr>
      </w:pPr>
      <w:r w:rsidRPr="00060463">
        <w:rPr>
          <w:rFonts w:eastAsiaTheme="minorHAnsi" w:cs="Tahoma"/>
          <w:b/>
          <w:bCs/>
          <w:i/>
          <w:iCs/>
          <w:color w:val="000000"/>
          <w:sz w:val="20"/>
          <w:szCs w:val="20"/>
        </w:rPr>
        <w:t xml:space="preserve">f) </w:t>
      </w:r>
      <w:r w:rsidRPr="00060463">
        <w:rPr>
          <w:rFonts w:eastAsiaTheme="minorHAnsi" w:cs="Tahoma"/>
          <w:i/>
          <w:iCs/>
          <w:color w:val="000000"/>
          <w:sz w:val="20"/>
          <w:szCs w:val="20"/>
        </w:rPr>
        <w:t>Edad y año de registro;</w:t>
      </w:r>
    </w:p>
    <w:p w14:paraId="55AE9B59" w14:textId="77777777" w:rsidR="007667B1" w:rsidRPr="00060463" w:rsidRDefault="007667B1" w:rsidP="007667B1">
      <w:pPr>
        <w:autoSpaceDE w:val="0"/>
        <w:autoSpaceDN w:val="0"/>
        <w:adjustRightInd w:val="0"/>
        <w:spacing w:after="0" w:line="360" w:lineRule="auto"/>
        <w:ind w:left="567" w:right="567"/>
        <w:rPr>
          <w:rFonts w:eastAsiaTheme="minorHAnsi" w:cs="Tahoma"/>
          <w:i/>
          <w:iCs/>
          <w:color w:val="000000"/>
          <w:sz w:val="20"/>
          <w:szCs w:val="20"/>
        </w:rPr>
      </w:pPr>
      <w:r w:rsidRPr="00060463">
        <w:rPr>
          <w:rFonts w:eastAsiaTheme="minorHAnsi" w:cs="Tahoma"/>
          <w:b/>
          <w:bCs/>
          <w:i/>
          <w:iCs/>
          <w:color w:val="000000"/>
          <w:sz w:val="20"/>
          <w:szCs w:val="20"/>
        </w:rPr>
        <w:t xml:space="preserve">g) </w:t>
      </w:r>
      <w:r w:rsidRPr="00060463">
        <w:rPr>
          <w:rFonts w:eastAsiaTheme="minorHAnsi" w:cs="Tahoma"/>
          <w:i/>
          <w:iCs/>
          <w:color w:val="000000"/>
          <w:sz w:val="20"/>
          <w:szCs w:val="20"/>
        </w:rPr>
        <w:t xml:space="preserve">Firma, huella digital y fotografía del elector; </w:t>
      </w:r>
    </w:p>
    <w:p w14:paraId="268A9A39" w14:textId="77777777" w:rsidR="007667B1" w:rsidRPr="00060463" w:rsidRDefault="007667B1" w:rsidP="007667B1">
      <w:pPr>
        <w:autoSpaceDE w:val="0"/>
        <w:autoSpaceDN w:val="0"/>
        <w:adjustRightInd w:val="0"/>
        <w:spacing w:after="0" w:line="360" w:lineRule="auto"/>
        <w:ind w:left="567" w:right="567"/>
        <w:rPr>
          <w:rFonts w:eastAsiaTheme="minorHAnsi" w:cs="Tahoma"/>
          <w:i/>
          <w:iCs/>
          <w:color w:val="000000"/>
          <w:sz w:val="20"/>
          <w:szCs w:val="20"/>
        </w:rPr>
      </w:pPr>
      <w:r w:rsidRPr="00060463">
        <w:rPr>
          <w:rFonts w:eastAsiaTheme="minorHAnsi" w:cs="Tahoma"/>
          <w:b/>
          <w:bCs/>
          <w:i/>
          <w:iCs/>
          <w:color w:val="000000"/>
          <w:sz w:val="20"/>
          <w:szCs w:val="20"/>
        </w:rPr>
        <w:t xml:space="preserve">h) </w:t>
      </w:r>
      <w:r w:rsidRPr="00060463">
        <w:rPr>
          <w:rFonts w:eastAsiaTheme="minorHAnsi" w:cs="Tahoma"/>
          <w:i/>
          <w:iCs/>
          <w:color w:val="000000"/>
          <w:sz w:val="20"/>
          <w:szCs w:val="20"/>
        </w:rPr>
        <w:t xml:space="preserve">Clave de registro, y </w:t>
      </w:r>
    </w:p>
    <w:p w14:paraId="2E4B3DF9" w14:textId="77777777" w:rsidR="007667B1" w:rsidRPr="00060463" w:rsidRDefault="007667B1" w:rsidP="007667B1">
      <w:pPr>
        <w:autoSpaceDE w:val="0"/>
        <w:autoSpaceDN w:val="0"/>
        <w:adjustRightInd w:val="0"/>
        <w:spacing w:after="0" w:line="360" w:lineRule="auto"/>
        <w:ind w:left="567" w:right="567"/>
        <w:rPr>
          <w:rFonts w:eastAsiaTheme="minorHAnsi" w:cs="Tahoma"/>
          <w:i/>
          <w:iCs/>
          <w:color w:val="000000"/>
          <w:sz w:val="20"/>
          <w:szCs w:val="20"/>
        </w:rPr>
      </w:pPr>
      <w:r w:rsidRPr="00060463">
        <w:rPr>
          <w:rFonts w:eastAsiaTheme="minorHAnsi" w:cs="Tahoma"/>
          <w:b/>
          <w:bCs/>
          <w:i/>
          <w:iCs/>
          <w:color w:val="000000"/>
          <w:sz w:val="20"/>
          <w:szCs w:val="20"/>
        </w:rPr>
        <w:t xml:space="preserve">i) </w:t>
      </w:r>
      <w:r w:rsidRPr="00060463">
        <w:rPr>
          <w:rFonts w:eastAsiaTheme="minorHAnsi" w:cs="Tahoma"/>
          <w:i/>
          <w:iCs/>
          <w:color w:val="000000"/>
          <w:sz w:val="20"/>
          <w:szCs w:val="20"/>
        </w:rPr>
        <w:t xml:space="preserve">Clave Única del Registro de Población. </w:t>
      </w:r>
    </w:p>
    <w:p w14:paraId="179534F4" w14:textId="77777777" w:rsidR="007667B1" w:rsidRPr="00060463" w:rsidRDefault="007667B1" w:rsidP="007667B1">
      <w:pPr>
        <w:autoSpaceDE w:val="0"/>
        <w:autoSpaceDN w:val="0"/>
        <w:adjustRightInd w:val="0"/>
        <w:spacing w:after="0" w:line="360" w:lineRule="auto"/>
        <w:ind w:left="567" w:right="567"/>
        <w:rPr>
          <w:rFonts w:eastAsiaTheme="minorHAnsi" w:cs="Tahoma"/>
          <w:b/>
          <w:bCs/>
          <w:i/>
          <w:iCs/>
          <w:color w:val="000000"/>
          <w:sz w:val="20"/>
          <w:szCs w:val="20"/>
        </w:rPr>
      </w:pPr>
    </w:p>
    <w:p w14:paraId="521D30A8" w14:textId="77777777" w:rsidR="007667B1" w:rsidRPr="00060463" w:rsidRDefault="007667B1" w:rsidP="007667B1">
      <w:pPr>
        <w:autoSpaceDE w:val="0"/>
        <w:autoSpaceDN w:val="0"/>
        <w:adjustRightInd w:val="0"/>
        <w:spacing w:after="0" w:line="360" w:lineRule="auto"/>
        <w:ind w:left="567" w:right="567"/>
        <w:rPr>
          <w:rFonts w:eastAsiaTheme="minorHAnsi" w:cs="Tahoma"/>
          <w:i/>
          <w:iCs/>
          <w:color w:val="000000"/>
          <w:sz w:val="20"/>
          <w:szCs w:val="20"/>
        </w:rPr>
      </w:pPr>
      <w:r w:rsidRPr="00060463">
        <w:rPr>
          <w:rFonts w:eastAsiaTheme="minorHAnsi" w:cs="Tahoma"/>
          <w:b/>
          <w:bCs/>
          <w:i/>
          <w:iCs/>
          <w:color w:val="000000"/>
          <w:sz w:val="20"/>
          <w:szCs w:val="20"/>
        </w:rPr>
        <w:t xml:space="preserve">2. </w:t>
      </w:r>
      <w:r w:rsidRPr="00060463">
        <w:rPr>
          <w:rFonts w:eastAsiaTheme="minorHAnsi" w:cs="Tahoma"/>
          <w:i/>
          <w:iCs/>
          <w:color w:val="000000"/>
          <w:sz w:val="20"/>
          <w:szCs w:val="20"/>
        </w:rPr>
        <w:t xml:space="preserve">Además tendrá: </w:t>
      </w:r>
    </w:p>
    <w:p w14:paraId="44E089D4" w14:textId="77777777" w:rsidR="007667B1" w:rsidRPr="00060463" w:rsidRDefault="007667B1" w:rsidP="007667B1">
      <w:pPr>
        <w:autoSpaceDE w:val="0"/>
        <w:autoSpaceDN w:val="0"/>
        <w:adjustRightInd w:val="0"/>
        <w:spacing w:after="0" w:line="360" w:lineRule="auto"/>
        <w:ind w:left="567" w:right="567"/>
        <w:rPr>
          <w:rFonts w:eastAsiaTheme="minorHAnsi" w:cs="Tahoma"/>
          <w:i/>
          <w:iCs/>
          <w:color w:val="000000"/>
          <w:sz w:val="20"/>
          <w:szCs w:val="20"/>
        </w:rPr>
      </w:pPr>
      <w:r w:rsidRPr="00060463">
        <w:rPr>
          <w:rFonts w:eastAsiaTheme="minorHAnsi" w:cs="Tahoma"/>
          <w:b/>
          <w:bCs/>
          <w:i/>
          <w:iCs/>
          <w:color w:val="000000"/>
          <w:sz w:val="20"/>
          <w:szCs w:val="20"/>
        </w:rPr>
        <w:t xml:space="preserve">a) </w:t>
      </w:r>
      <w:r w:rsidRPr="00060463">
        <w:rPr>
          <w:rFonts w:eastAsiaTheme="minorHAnsi" w:cs="Tahoma"/>
          <w:i/>
          <w:iCs/>
          <w:color w:val="000000"/>
          <w:sz w:val="20"/>
          <w:szCs w:val="20"/>
        </w:rPr>
        <w:t xml:space="preserve">Espacios necesarios para marcar año y elección de que se trate; </w:t>
      </w:r>
    </w:p>
    <w:p w14:paraId="751459F6" w14:textId="77777777" w:rsidR="007667B1" w:rsidRPr="00060463" w:rsidRDefault="007667B1" w:rsidP="007667B1">
      <w:pPr>
        <w:autoSpaceDE w:val="0"/>
        <w:autoSpaceDN w:val="0"/>
        <w:adjustRightInd w:val="0"/>
        <w:spacing w:after="0" w:line="360" w:lineRule="auto"/>
        <w:ind w:left="567" w:right="567"/>
        <w:rPr>
          <w:rFonts w:eastAsiaTheme="minorHAnsi" w:cs="Tahoma"/>
          <w:i/>
          <w:iCs/>
          <w:color w:val="000000"/>
          <w:sz w:val="20"/>
          <w:szCs w:val="20"/>
        </w:rPr>
      </w:pPr>
      <w:r w:rsidRPr="00060463">
        <w:rPr>
          <w:rFonts w:eastAsiaTheme="minorHAnsi" w:cs="Tahoma"/>
          <w:b/>
          <w:bCs/>
          <w:i/>
          <w:iCs/>
          <w:color w:val="000000"/>
          <w:sz w:val="20"/>
          <w:szCs w:val="20"/>
        </w:rPr>
        <w:t xml:space="preserve">b) </w:t>
      </w:r>
      <w:r w:rsidRPr="00060463">
        <w:rPr>
          <w:rFonts w:eastAsiaTheme="minorHAnsi" w:cs="Tahoma"/>
          <w:i/>
          <w:iCs/>
          <w:color w:val="000000"/>
          <w:sz w:val="20"/>
          <w:szCs w:val="20"/>
        </w:rPr>
        <w:t xml:space="preserve">Firma impresa del Secretario Ejecutivo del Instituto; </w:t>
      </w:r>
    </w:p>
    <w:p w14:paraId="28CC2B4E" w14:textId="77777777" w:rsidR="007667B1" w:rsidRPr="00060463" w:rsidRDefault="007667B1" w:rsidP="007667B1">
      <w:pPr>
        <w:autoSpaceDE w:val="0"/>
        <w:autoSpaceDN w:val="0"/>
        <w:adjustRightInd w:val="0"/>
        <w:spacing w:after="0" w:line="360" w:lineRule="auto"/>
        <w:ind w:left="567" w:right="567"/>
        <w:rPr>
          <w:rFonts w:eastAsiaTheme="minorHAnsi" w:cs="Tahoma"/>
          <w:i/>
          <w:iCs/>
          <w:color w:val="000000"/>
          <w:sz w:val="20"/>
          <w:szCs w:val="20"/>
        </w:rPr>
      </w:pPr>
      <w:r w:rsidRPr="00060463">
        <w:rPr>
          <w:rFonts w:eastAsiaTheme="minorHAnsi" w:cs="Tahoma"/>
          <w:b/>
          <w:bCs/>
          <w:i/>
          <w:iCs/>
          <w:color w:val="000000"/>
          <w:sz w:val="20"/>
          <w:szCs w:val="20"/>
        </w:rPr>
        <w:t xml:space="preserve">c) </w:t>
      </w:r>
      <w:r w:rsidRPr="00060463">
        <w:rPr>
          <w:rFonts w:eastAsiaTheme="minorHAnsi" w:cs="Tahoma"/>
          <w:i/>
          <w:iCs/>
          <w:color w:val="000000"/>
          <w:sz w:val="20"/>
          <w:szCs w:val="20"/>
        </w:rPr>
        <w:t xml:space="preserve">Año de emisión; </w:t>
      </w:r>
    </w:p>
    <w:p w14:paraId="3BA60968" w14:textId="77777777" w:rsidR="007667B1" w:rsidRPr="00060463" w:rsidRDefault="007667B1" w:rsidP="007667B1">
      <w:pPr>
        <w:autoSpaceDE w:val="0"/>
        <w:autoSpaceDN w:val="0"/>
        <w:adjustRightInd w:val="0"/>
        <w:spacing w:after="0" w:line="360" w:lineRule="auto"/>
        <w:ind w:left="567" w:right="567"/>
        <w:rPr>
          <w:rFonts w:eastAsiaTheme="minorHAnsi" w:cs="Tahoma"/>
          <w:i/>
          <w:iCs/>
          <w:color w:val="000000"/>
          <w:sz w:val="20"/>
          <w:szCs w:val="20"/>
        </w:rPr>
      </w:pPr>
      <w:r w:rsidRPr="00060463">
        <w:rPr>
          <w:rFonts w:eastAsiaTheme="minorHAnsi" w:cs="Tahoma"/>
          <w:b/>
          <w:bCs/>
          <w:i/>
          <w:iCs/>
          <w:color w:val="000000"/>
          <w:sz w:val="20"/>
          <w:szCs w:val="20"/>
        </w:rPr>
        <w:t xml:space="preserve">d) </w:t>
      </w:r>
      <w:r w:rsidRPr="00060463">
        <w:rPr>
          <w:rFonts w:eastAsiaTheme="minorHAnsi" w:cs="Tahoma"/>
          <w:i/>
          <w:iCs/>
          <w:color w:val="000000"/>
          <w:sz w:val="20"/>
          <w:szCs w:val="20"/>
        </w:rPr>
        <w:t xml:space="preserve">Año en el que expira su vigencia, y </w:t>
      </w:r>
    </w:p>
    <w:p w14:paraId="6BC3ABDA" w14:textId="77777777" w:rsidR="007667B1" w:rsidRPr="00060463" w:rsidRDefault="007667B1" w:rsidP="007667B1">
      <w:pPr>
        <w:spacing w:after="0" w:line="360" w:lineRule="auto"/>
        <w:ind w:left="567" w:right="567"/>
        <w:rPr>
          <w:rFonts w:eastAsiaTheme="minorHAnsi" w:cs="Tahoma"/>
          <w:i/>
          <w:iCs/>
          <w:color w:val="000000"/>
          <w:sz w:val="20"/>
          <w:szCs w:val="20"/>
        </w:rPr>
      </w:pPr>
      <w:r w:rsidRPr="00060463">
        <w:rPr>
          <w:rFonts w:eastAsiaTheme="minorHAnsi" w:cs="Tahoma"/>
          <w:b/>
          <w:bCs/>
          <w:i/>
          <w:iCs/>
          <w:color w:val="000000"/>
          <w:sz w:val="20"/>
          <w:szCs w:val="20"/>
        </w:rPr>
        <w:t xml:space="preserve">e) </w:t>
      </w:r>
      <w:r w:rsidRPr="00060463">
        <w:rPr>
          <w:rFonts w:eastAsiaTheme="minorHAnsi" w:cs="Tahoma"/>
          <w:i/>
          <w:iCs/>
          <w:color w:val="000000"/>
          <w:sz w:val="20"/>
          <w:szCs w:val="20"/>
        </w:rPr>
        <w:t>En el caso de la que se expida al ciudadano residente en el extranjero, la leyenda “Para Votar desde el Extranjero”.</w:t>
      </w:r>
    </w:p>
    <w:p w14:paraId="4CA4B890" w14:textId="77777777" w:rsidR="007667B1" w:rsidRPr="00060463" w:rsidRDefault="007667B1" w:rsidP="007667B1">
      <w:pPr>
        <w:spacing w:after="0" w:line="360" w:lineRule="auto"/>
        <w:ind w:left="60"/>
        <w:rPr>
          <w:rFonts w:eastAsiaTheme="minorHAnsi" w:cs="Tahoma"/>
          <w:color w:val="auto"/>
        </w:rPr>
      </w:pPr>
    </w:p>
    <w:p w14:paraId="66495B94" w14:textId="77777777" w:rsidR="007667B1" w:rsidRPr="00060463" w:rsidRDefault="007667B1" w:rsidP="007667B1">
      <w:pPr>
        <w:spacing w:after="0" w:line="360" w:lineRule="auto"/>
        <w:ind w:left="60"/>
        <w:rPr>
          <w:rFonts w:eastAsiaTheme="minorHAnsi" w:cs="Tahoma"/>
          <w:color w:val="auto"/>
          <w:lang w:eastAsia="en-US"/>
        </w:rPr>
      </w:pPr>
      <w:r w:rsidRPr="00060463">
        <w:rPr>
          <w:rFonts w:eastAsiaTheme="minorHAnsi" w:cs="Tahoma"/>
          <w:color w:val="auto"/>
        </w:rPr>
        <w:t xml:space="preserve">Como se advierte, todos los elementos contenidos en la credencial hacen a su titular, identificado, identificable e incluso ubicable en su domicilio. </w:t>
      </w:r>
      <w:r w:rsidRPr="00060463">
        <w:rPr>
          <w:rFonts w:eastAsiaTheme="minorHAnsi" w:cs="Tahoma"/>
          <w:color w:val="auto"/>
          <w:lang w:eastAsia="en-US"/>
        </w:rPr>
        <w:t xml:space="preserve">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w:t>
      </w:r>
      <w:r w:rsidRPr="00060463">
        <w:rPr>
          <w:rFonts w:eastAsiaTheme="minorHAnsi" w:cs="Tahoma"/>
          <w:color w:val="auto"/>
          <w:lang w:eastAsia="en-US"/>
        </w:rPr>
        <w:lastRenderedPageBreak/>
        <w:t>en un documento como manera de acreditar la presentación de su titular y comprobar que la credencial se tuvo a la vista, por ello su relevancia y lo delicado de su uso.</w:t>
      </w:r>
    </w:p>
    <w:p w14:paraId="274B32DB" w14:textId="77777777" w:rsidR="007667B1" w:rsidRPr="00060463" w:rsidRDefault="007667B1" w:rsidP="007667B1">
      <w:pPr>
        <w:spacing w:after="0" w:line="360" w:lineRule="auto"/>
        <w:ind w:left="60"/>
        <w:rPr>
          <w:rFonts w:eastAsiaTheme="minorHAnsi" w:cs="Tahoma"/>
          <w:color w:val="auto"/>
          <w:lang w:eastAsia="en-US"/>
        </w:rPr>
      </w:pPr>
    </w:p>
    <w:p w14:paraId="0AEAB93A" w14:textId="77777777" w:rsidR="007667B1" w:rsidRPr="00060463" w:rsidRDefault="007667B1" w:rsidP="007667B1">
      <w:pPr>
        <w:spacing w:after="0" w:line="360" w:lineRule="auto"/>
        <w:ind w:left="60"/>
        <w:rPr>
          <w:rFonts w:eastAsiaTheme="minorHAnsi" w:cs="Tahoma"/>
          <w:color w:val="auto"/>
          <w:lang w:eastAsia="en-US"/>
        </w:rPr>
      </w:pPr>
      <w:r w:rsidRPr="00060463">
        <w:rPr>
          <w:rFonts w:eastAsiaTheme="minorHAnsi" w:cs="Tahoma"/>
          <w:color w:val="auto"/>
          <w:lang w:eastAsia="en-US"/>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69D0AC5A" w14:textId="77777777" w:rsidR="007667B1" w:rsidRPr="00060463" w:rsidRDefault="007667B1" w:rsidP="007667B1">
      <w:pPr>
        <w:spacing w:after="0" w:line="360" w:lineRule="auto"/>
        <w:ind w:left="60"/>
        <w:rPr>
          <w:rFonts w:eastAsiaTheme="minorHAnsi" w:cs="Tahoma"/>
          <w:color w:val="auto"/>
          <w:lang w:eastAsia="en-US"/>
        </w:rPr>
      </w:pPr>
    </w:p>
    <w:p w14:paraId="0570E113" w14:textId="77777777" w:rsidR="007667B1" w:rsidRPr="00060463" w:rsidRDefault="007667B1" w:rsidP="007667B1">
      <w:pPr>
        <w:spacing w:after="0" w:line="360" w:lineRule="auto"/>
        <w:ind w:left="60"/>
        <w:rPr>
          <w:rFonts w:eastAsia="Calibri" w:cs="Tahoma"/>
          <w:bCs/>
          <w:color w:val="auto"/>
          <w:lang w:val="es-ES" w:eastAsia="en-US"/>
        </w:rPr>
      </w:pPr>
      <w:r w:rsidRPr="00060463">
        <w:rPr>
          <w:rFonts w:eastAsiaTheme="minorHAnsi" w:cs="Tahoma"/>
          <w:color w:val="auto"/>
          <w:lang w:eastAsia="en-US"/>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w:t>
      </w:r>
      <w:r w:rsidRPr="00060463">
        <w:rPr>
          <w:rFonts w:eastAsia="Calibri" w:cs="Tahoma"/>
          <w:bCs/>
          <w:color w:val="auto"/>
          <w:lang w:val="es-ES" w:eastAsia="en-US"/>
        </w:rPr>
        <w:t>artículo 143, fracción I, de la Ley de Transparencia y Acceso a la Información Pública del Estado de México y Municipios.</w:t>
      </w:r>
    </w:p>
    <w:p w14:paraId="56774A5A" w14:textId="77777777" w:rsidR="007667B1" w:rsidRPr="00060463" w:rsidRDefault="007667B1" w:rsidP="007667B1">
      <w:pPr>
        <w:spacing w:after="0" w:line="360" w:lineRule="auto"/>
        <w:rPr>
          <w:rFonts w:eastAsia="Calibri"/>
          <w:b/>
          <w:bCs/>
          <w:color w:val="auto"/>
          <w:lang w:val="es-ES" w:eastAsia="en-US"/>
        </w:rPr>
      </w:pPr>
    </w:p>
    <w:p w14:paraId="396C3E3B" w14:textId="77777777" w:rsidR="007667B1" w:rsidRPr="00060463" w:rsidRDefault="007667B1" w:rsidP="007667B1">
      <w:pPr>
        <w:numPr>
          <w:ilvl w:val="0"/>
          <w:numId w:val="25"/>
        </w:numPr>
        <w:spacing w:after="0" w:line="360" w:lineRule="auto"/>
        <w:ind w:right="-93"/>
        <w:contextualSpacing/>
        <w:rPr>
          <w:rFonts w:eastAsiaTheme="minorHAnsi" w:cs="Tahoma"/>
          <w:szCs w:val="24"/>
          <w:lang w:val="es-ES" w:eastAsia="es-ES"/>
        </w:rPr>
      </w:pPr>
      <w:r w:rsidRPr="00060463">
        <w:rPr>
          <w:rFonts w:eastAsia="Times New Roman" w:cs="Times New Roman"/>
          <w:b/>
          <w:bCs/>
          <w:szCs w:val="24"/>
          <w:lang w:eastAsia="es-ES"/>
        </w:rPr>
        <w:t xml:space="preserve">Domicilio y su comprobante </w:t>
      </w:r>
    </w:p>
    <w:p w14:paraId="089C279E" w14:textId="77777777" w:rsidR="007667B1" w:rsidRPr="00060463" w:rsidRDefault="007667B1" w:rsidP="007667B1">
      <w:pPr>
        <w:spacing w:after="0" w:line="360" w:lineRule="auto"/>
        <w:ind w:left="780" w:right="-93"/>
        <w:contextualSpacing/>
        <w:rPr>
          <w:rFonts w:eastAsiaTheme="minorHAnsi" w:cs="Tahoma"/>
          <w:szCs w:val="24"/>
          <w:lang w:val="es-ES" w:eastAsia="es-ES"/>
        </w:rPr>
      </w:pPr>
    </w:p>
    <w:p w14:paraId="69A88521" w14:textId="77777777" w:rsidR="007667B1" w:rsidRPr="00060463" w:rsidRDefault="007667B1" w:rsidP="007667B1">
      <w:pPr>
        <w:spacing w:after="0" w:line="360" w:lineRule="auto"/>
        <w:ind w:right="-93"/>
        <w:rPr>
          <w:rFonts w:eastAsiaTheme="minorHAnsi" w:cs="Tahoma"/>
          <w:color w:val="auto"/>
          <w:lang w:val="es-ES" w:eastAsia="en-US"/>
        </w:rPr>
      </w:pPr>
      <w:r w:rsidRPr="00060463">
        <w:rPr>
          <w:rFonts w:eastAsiaTheme="minorHAnsi" w:cs="Tahoma"/>
          <w:color w:val="auto"/>
          <w:lang w:val="es-ES" w:eastAsia="en-U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1082DB1" w14:textId="77777777" w:rsidR="007667B1" w:rsidRPr="00060463" w:rsidRDefault="007667B1" w:rsidP="007667B1">
      <w:pPr>
        <w:spacing w:after="0" w:line="360" w:lineRule="auto"/>
        <w:ind w:right="-93"/>
        <w:rPr>
          <w:rFonts w:eastAsiaTheme="minorHAnsi" w:cs="Tahoma"/>
          <w:color w:val="auto"/>
          <w:lang w:val="es-ES" w:eastAsia="en-US"/>
        </w:rPr>
      </w:pPr>
    </w:p>
    <w:p w14:paraId="31CD8597" w14:textId="77777777" w:rsidR="007667B1" w:rsidRPr="00060463" w:rsidRDefault="007667B1" w:rsidP="007667B1">
      <w:pPr>
        <w:spacing w:after="0" w:line="360" w:lineRule="auto"/>
        <w:ind w:right="-93"/>
        <w:rPr>
          <w:rFonts w:eastAsiaTheme="minorHAnsi" w:cs="Tahoma"/>
          <w:color w:val="auto"/>
          <w:lang w:val="es-ES" w:eastAsia="en-US"/>
        </w:rPr>
      </w:pPr>
      <w:r w:rsidRPr="00060463">
        <w:rPr>
          <w:rFonts w:eastAsiaTheme="minorHAnsi" w:cs="Tahoma"/>
          <w:color w:val="auto"/>
          <w:lang w:val="es-ES" w:eastAsia="en-US"/>
        </w:rPr>
        <w:lastRenderedPageBreak/>
        <w:t>De la misma manera, lo establece el artículo 29 del Código Civil Federal, al precisar que el domicilio de personas físicas</w:t>
      </w:r>
      <w:r w:rsidRPr="00060463">
        <w:rPr>
          <w:rFonts w:eastAsiaTheme="minorHAnsi" w:cs="Tahoma"/>
          <w:b/>
          <w:color w:val="auto"/>
          <w:lang w:val="es-ES" w:eastAsia="en-US"/>
        </w:rPr>
        <w:t xml:space="preserve">, </w:t>
      </w:r>
      <w:r w:rsidRPr="00060463">
        <w:rPr>
          <w:rFonts w:eastAsiaTheme="minorHAnsi" w:cs="Tahoma"/>
          <w:color w:val="auto"/>
          <w:lang w:val="es-ES" w:eastAsia="en-US"/>
        </w:rPr>
        <w:t>es el lugar donde residen habitualmente, el lugar del centro principal de sus negocios, donde residan o el lugar donde se encuentren.</w:t>
      </w:r>
    </w:p>
    <w:p w14:paraId="348AC4BA" w14:textId="77777777" w:rsidR="007667B1" w:rsidRPr="00060463" w:rsidRDefault="007667B1" w:rsidP="007667B1">
      <w:pPr>
        <w:spacing w:after="0" w:line="360" w:lineRule="auto"/>
        <w:ind w:right="-93"/>
        <w:rPr>
          <w:rFonts w:eastAsiaTheme="minorHAnsi" w:cs="Tahoma"/>
          <w:b/>
          <w:color w:val="auto"/>
          <w:lang w:val="es-ES" w:eastAsia="en-US"/>
        </w:rPr>
      </w:pPr>
    </w:p>
    <w:p w14:paraId="4AA9F4DD" w14:textId="77777777" w:rsidR="007667B1" w:rsidRPr="00060463" w:rsidRDefault="007667B1" w:rsidP="007667B1">
      <w:pPr>
        <w:spacing w:after="0" w:line="360" w:lineRule="auto"/>
        <w:ind w:right="-93"/>
        <w:rPr>
          <w:rFonts w:eastAsiaTheme="minorHAnsi" w:cs="Tahoma"/>
          <w:color w:val="auto"/>
          <w:lang w:val="es-ES" w:eastAsia="en-US"/>
        </w:rPr>
      </w:pPr>
      <w:r w:rsidRPr="00060463">
        <w:rPr>
          <w:rFonts w:eastAsiaTheme="minorHAnsi" w:cs="Tahoma"/>
          <w:color w:val="auto"/>
          <w:lang w:val="es-ES" w:eastAsia="en-U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7523A9F2" w14:textId="77777777" w:rsidR="007667B1" w:rsidRPr="00060463" w:rsidRDefault="007667B1" w:rsidP="007667B1">
      <w:pPr>
        <w:spacing w:after="0" w:line="360" w:lineRule="auto"/>
        <w:ind w:right="-93"/>
        <w:rPr>
          <w:rFonts w:eastAsiaTheme="minorHAnsi" w:cs="Tahoma"/>
          <w:color w:val="auto"/>
          <w:lang w:val="es-ES" w:eastAsia="en-US"/>
        </w:rPr>
      </w:pPr>
    </w:p>
    <w:p w14:paraId="743BA165" w14:textId="77777777" w:rsidR="007667B1" w:rsidRPr="00060463" w:rsidRDefault="007667B1" w:rsidP="007667B1">
      <w:pPr>
        <w:spacing w:after="0" w:line="360" w:lineRule="auto"/>
        <w:ind w:right="-93"/>
        <w:rPr>
          <w:rFonts w:eastAsiaTheme="minorHAnsi" w:cs="Tahoma"/>
          <w:color w:val="auto"/>
          <w:lang w:val="es-ES" w:eastAsia="en-US"/>
        </w:rPr>
      </w:pPr>
      <w:r w:rsidRPr="00060463">
        <w:rPr>
          <w:rFonts w:eastAsiaTheme="minorHAnsi" w:cs="Tahoma"/>
          <w:color w:val="auto"/>
          <w:lang w:val="es-ES" w:eastAsia="en-US"/>
        </w:rPr>
        <w:t>La misma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2EABA2E4" w14:textId="77777777" w:rsidR="007667B1" w:rsidRPr="00060463" w:rsidRDefault="007667B1" w:rsidP="007667B1">
      <w:pPr>
        <w:spacing w:after="0" w:line="360" w:lineRule="auto"/>
        <w:ind w:right="-93"/>
        <w:rPr>
          <w:rFonts w:eastAsiaTheme="minorHAnsi" w:cs="Tahoma"/>
          <w:color w:val="auto"/>
          <w:lang w:val="es-ES" w:eastAsia="en-US"/>
        </w:rPr>
      </w:pPr>
    </w:p>
    <w:p w14:paraId="0994E0C5" w14:textId="77777777" w:rsidR="007667B1" w:rsidRPr="00060463" w:rsidRDefault="007667B1" w:rsidP="007667B1">
      <w:pPr>
        <w:spacing w:after="0" w:line="360" w:lineRule="auto"/>
        <w:ind w:right="-93"/>
        <w:rPr>
          <w:rFonts w:eastAsiaTheme="minorHAnsi" w:cs="Tahoma"/>
          <w:color w:val="auto"/>
          <w:lang w:val="es-ES" w:eastAsia="en-US"/>
        </w:rPr>
      </w:pPr>
      <w:r w:rsidRPr="00060463">
        <w:rPr>
          <w:rFonts w:eastAsiaTheme="minorHAnsi" w:cs="Tahoma"/>
          <w:color w:val="auto"/>
          <w:lang w:val="es-ES" w:eastAsia="en-US"/>
        </w:rPr>
        <w:t>Por lo tanto, se actualiza la clasificación del domicilio y su comprobante, de conformidad con la fracción I, del artículo 143 de la Ley de Transparencia y Acceso a la Información Pública del Estado de México y Municipios.</w:t>
      </w:r>
    </w:p>
    <w:p w14:paraId="2F7F942C" w14:textId="77777777" w:rsidR="007667B1" w:rsidRPr="00060463" w:rsidRDefault="007667B1" w:rsidP="007667B1">
      <w:pPr>
        <w:spacing w:after="0" w:line="360" w:lineRule="auto"/>
        <w:rPr>
          <w:rFonts w:eastAsia="Calibri"/>
          <w:b/>
          <w:bCs/>
          <w:color w:val="auto"/>
          <w:lang w:val="es-ES" w:eastAsia="en-US"/>
        </w:rPr>
      </w:pPr>
    </w:p>
    <w:p w14:paraId="4C643513" w14:textId="77777777" w:rsidR="007667B1" w:rsidRPr="00060463" w:rsidRDefault="007667B1" w:rsidP="007667B1">
      <w:pPr>
        <w:numPr>
          <w:ilvl w:val="0"/>
          <w:numId w:val="25"/>
        </w:numPr>
        <w:spacing w:after="0" w:line="360" w:lineRule="auto"/>
        <w:contextualSpacing/>
        <w:rPr>
          <w:rFonts w:eastAsia="Calibri" w:cs="Times New Roman"/>
          <w:b/>
          <w:bCs/>
          <w:szCs w:val="24"/>
          <w:lang w:val="x-none" w:eastAsia="es-ES"/>
        </w:rPr>
      </w:pPr>
      <w:r w:rsidRPr="00060463">
        <w:rPr>
          <w:rFonts w:eastAsia="Times New Roman" w:cs="Times New Roman"/>
          <w:b/>
          <w:bCs/>
          <w:szCs w:val="24"/>
          <w:lang w:eastAsia="es-ES"/>
        </w:rPr>
        <w:t>Cartas de Recomendación</w:t>
      </w:r>
    </w:p>
    <w:p w14:paraId="3B54F29E" w14:textId="77777777" w:rsidR="007667B1" w:rsidRPr="00060463" w:rsidRDefault="007667B1" w:rsidP="007667B1">
      <w:pPr>
        <w:spacing w:after="0" w:line="360" w:lineRule="auto"/>
        <w:rPr>
          <w:rFonts w:eastAsia="Calibri"/>
          <w:b/>
          <w:bCs/>
          <w:color w:val="auto"/>
          <w:lang w:val="x-none" w:eastAsia="en-US"/>
        </w:rPr>
      </w:pPr>
    </w:p>
    <w:p w14:paraId="44EC73A3" w14:textId="77777777" w:rsidR="007667B1" w:rsidRPr="00060463" w:rsidRDefault="007667B1" w:rsidP="007667B1">
      <w:pPr>
        <w:spacing w:after="0" w:line="360" w:lineRule="auto"/>
        <w:rPr>
          <w:rFonts w:eastAsia="Calibri" w:cs="Tahoma"/>
          <w:bCs/>
          <w:iCs/>
          <w:lang w:eastAsia="en-US"/>
        </w:rPr>
      </w:pPr>
      <w:r w:rsidRPr="00060463">
        <w:rPr>
          <w:rFonts w:eastAsia="Calibri" w:cs="Tahoma"/>
          <w:bCs/>
          <w:iCs/>
          <w:lang w:eastAsia="en-US"/>
        </w:rPr>
        <w:t xml:space="preserve">Sobre dichos documentos, es de señalar que corresponden aquellos documentos en donde personas particulares dan referencias o una valoración de la persona que recomiendan, las </w:t>
      </w:r>
      <w:r w:rsidRPr="00060463">
        <w:rPr>
          <w:rFonts w:eastAsia="Calibri" w:cs="Tahoma"/>
          <w:bCs/>
          <w:iCs/>
          <w:lang w:eastAsia="en-US"/>
        </w:rPr>
        <w:lastRenderedPageBreak/>
        <w:t>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3E1CFEB2" w14:textId="77777777" w:rsidR="007667B1" w:rsidRPr="00060463" w:rsidRDefault="007667B1" w:rsidP="007667B1">
      <w:pPr>
        <w:spacing w:after="0" w:line="360" w:lineRule="auto"/>
        <w:rPr>
          <w:rFonts w:eastAsia="Calibri" w:cs="Tahoma"/>
          <w:bCs/>
          <w:iCs/>
          <w:lang w:eastAsia="en-US"/>
        </w:rPr>
      </w:pPr>
    </w:p>
    <w:p w14:paraId="7963BB44" w14:textId="77777777" w:rsidR="007667B1" w:rsidRPr="00060463" w:rsidRDefault="007667B1" w:rsidP="007667B1">
      <w:pPr>
        <w:spacing w:after="0" w:line="360" w:lineRule="auto"/>
        <w:ind w:right="-93"/>
        <w:rPr>
          <w:rFonts w:eastAsiaTheme="minorHAnsi" w:cs="Tahoma"/>
          <w:lang w:val="es-ES" w:eastAsia="en-US"/>
        </w:rPr>
      </w:pPr>
      <w:r w:rsidRPr="00060463">
        <w:rPr>
          <w:rFonts w:eastAsia="Calibri" w:cs="Tahoma"/>
          <w:bCs/>
          <w:iCs/>
          <w:lang w:eastAsia="en-US"/>
        </w:rPr>
        <w:t xml:space="preserve">Por lo que, se considera que dichos documentos actualizan la clasificación, de la causal establecida en el artículo 143, fracción I, de la </w:t>
      </w:r>
      <w:r w:rsidRPr="00060463">
        <w:rPr>
          <w:rFonts w:eastAsiaTheme="minorHAnsi" w:cs="Tahoma"/>
          <w:lang w:val="es-ES" w:eastAsia="en-US"/>
        </w:rPr>
        <w:t>Ley de Transparencia y Acceso a la Información Pública del Estado de México y Municipios.</w:t>
      </w:r>
    </w:p>
    <w:p w14:paraId="02142049" w14:textId="77777777" w:rsidR="007667B1" w:rsidRPr="00060463" w:rsidRDefault="007667B1" w:rsidP="007667B1">
      <w:pPr>
        <w:spacing w:after="0" w:line="360" w:lineRule="auto"/>
        <w:rPr>
          <w:rFonts w:eastAsia="Calibri"/>
          <w:b/>
          <w:bCs/>
          <w:color w:val="auto"/>
          <w:lang w:val="es-ES" w:eastAsia="en-US"/>
        </w:rPr>
      </w:pPr>
    </w:p>
    <w:p w14:paraId="5927384E" w14:textId="77777777" w:rsidR="007667B1" w:rsidRPr="00060463" w:rsidRDefault="007667B1" w:rsidP="007667B1">
      <w:pPr>
        <w:numPr>
          <w:ilvl w:val="0"/>
          <w:numId w:val="25"/>
        </w:numPr>
        <w:spacing w:after="0" w:line="360" w:lineRule="auto"/>
        <w:contextualSpacing/>
        <w:rPr>
          <w:rFonts w:eastAsia="Calibri" w:cs="Times New Roman"/>
          <w:b/>
          <w:bCs/>
          <w:szCs w:val="24"/>
          <w:lang w:val="x-none" w:eastAsia="es-ES"/>
        </w:rPr>
      </w:pPr>
      <w:r w:rsidRPr="00060463">
        <w:rPr>
          <w:rFonts w:eastAsia="Times New Roman" w:cs="Times New Roman"/>
          <w:b/>
          <w:bCs/>
          <w:szCs w:val="24"/>
          <w:lang w:eastAsia="es-ES"/>
        </w:rPr>
        <w:t>Acta de Nacimiento</w:t>
      </w:r>
    </w:p>
    <w:p w14:paraId="50A7F37C" w14:textId="77777777" w:rsidR="007667B1" w:rsidRPr="00060463" w:rsidRDefault="007667B1" w:rsidP="007667B1">
      <w:pPr>
        <w:spacing w:after="0" w:line="360" w:lineRule="auto"/>
        <w:ind w:left="780"/>
        <w:contextualSpacing/>
        <w:rPr>
          <w:rFonts w:eastAsia="Calibri" w:cs="Times New Roman"/>
          <w:b/>
          <w:bCs/>
          <w:szCs w:val="24"/>
          <w:lang w:val="x-none" w:eastAsia="es-ES"/>
        </w:rPr>
      </w:pPr>
    </w:p>
    <w:p w14:paraId="5634C326" w14:textId="77777777" w:rsidR="007667B1" w:rsidRPr="00060463" w:rsidRDefault="007667B1" w:rsidP="007667B1">
      <w:pPr>
        <w:spacing w:after="0" w:line="360" w:lineRule="auto"/>
        <w:ind w:left="60"/>
        <w:rPr>
          <w:rFonts w:eastAsia="Calibri" w:cs="Tahoma"/>
          <w:bCs/>
          <w:color w:val="auto"/>
          <w:lang w:eastAsia="en-US"/>
        </w:rPr>
      </w:pPr>
      <w:r w:rsidRPr="00060463">
        <w:rPr>
          <w:rFonts w:eastAsia="Calibri" w:cs="Tahoma"/>
          <w:bCs/>
          <w:color w:val="auto"/>
          <w:lang w:eastAsia="en-US"/>
        </w:rPr>
        <w:t xml:space="preserve">Las actas emitidas por el Registro Civil dan cuenta de un atributo de la personalidad, tal como lo establece el artículo 2.3 del Código Civil del Estado México. En ese orden de ideas, el artículo 3.5 del del citado Código Civil establece que el estado civil de las personas sólo se comprueba con las constancias relativas del Registro Civil, tal como lo es el Acta de Nacimiento. </w:t>
      </w:r>
    </w:p>
    <w:p w14:paraId="412F603F" w14:textId="77777777" w:rsidR="007667B1" w:rsidRPr="00060463" w:rsidRDefault="007667B1" w:rsidP="007667B1">
      <w:pPr>
        <w:spacing w:after="0" w:line="360" w:lineRule="auto"/>
        <w:ind w:left="60"/>
        <w:rPr>
          <w:rFonts w:eastAsia="Calibri" w:cs="Tahoma"/>
          <w:bCs/>
          <w:color w:val="auto"/>
          <w:lang w:eastAsia="en-US"/>
        </w:rPr>
      </w:pPr>
    </w:p>
    <w:p w14:paraId="518C29C0" w14:textId="77777777" w:rsidR="007667B1" w:rsidRPr="00060463" w:rsidRDefault="007667B1" w:rsidP="007667B1">
      <w:pPr>
        <w:spacing w:after="0" w:line="360" w:lineRule="auto"/>
        <w:ind w:left="60"/>
        <w:rPr>
          <w:rFonts w:eastAsia="Calibri" w:cs="Tahoma"/>
          <w:bCs/>
          <w:color w:val="auto"/>
          <w:lang w:eastAsia="en-US"/>
        </w:rPr>
      </w:pPr>
      <w:r w:rsidRPr="00060463">
        <w:rPr>
          <w:rFonts w:eastAsia="Calibri" w:cs="Tahoma"/>
          <w:bCs/>
          <w:color w:val="auto"/>
          <w:lang w:eastAsia="en-US"/>
        </w:rPr>
        <w:t xml:space="preserve">Ahora bien, de acuerdo con el Formato Único del Acta de Nacimiento publicado por la Secretaría de Gobernación en el enlace http://www.diputados.gob.mx/documentos/N_Acta_Nacimiento.pdf, se advierte que el Acta de Nacimiento se componte de quince elementos siendo los siguientes: </w:t>
      </w:r>
    </w:p>
    <w:p w14:paraId="092A94ED" w14:textId="77777777" w:rsidR="007667B1" w:rsidRPr="00060463" w:rsidRDefault="007667B1" w:rsidP="007667B1">
      <w:pPr>
        <w:spacing w:after="0" w:line="360" w:lineRule="auto"/>
        <w:ind w:left="60"/>
        <w:rPr>
          <w:rFonts w:eastAsia="Calibri" w:cs="Tahoma"/>
          <w:bCs/>
          <w:color w:val="auto"/>
          <w:lang w:eastAsia="en-US"/>
        </w:rPr>
      </w:pPr>
    </w:p>
    <w:p w14:paraId="41A00A56" w14:textId="77777777" w:rsidR="007667B1" w:rsidRPr="00060463" w:rsidRDefault="007667B1" w:rsidP="007667B1">
      <w:pPr>
        <w:numPr>
          <w:ilvl w:val="0"/>
          <w:numId w:val="26"/>
        </w:numPr>
        <w:spacing w:after="0" w:line="360" w:lineRule="auto"/>
        <w:contextualSpacing/>
        <w:rPr>
          <w:rFonts w:eastAsia="Calibri" w:cs="Tahoma"/>
          <w:bCs/>
          <w:szCs w:val="24"/>
          <w:lang w:eastAsia="es-ES"/>
        </w:rPr>
      </w:pPr>
      <w:r w:rsidRPr="00060463">
        <w:rPr>
          <w:rFonts w:eastAsia="Calibri" w:cs="Tahoma"/>
          <w:bCs/>
          <w:szCs w:val="24"/>
          <w:lang w:eastAsia="es-ES"/>
        </w:rPr>
        <w:t>Folio de Impresión.</w:t>
      </w:r>
    </w:p>
    <w:p w14:paraId="33B94E99" w14:textId="77777777" w:rsidR="007667B1" w:rsidRPr="00060463" w:rsidRDefault="007667B1" w:rsidP="007667B1">
      <w:pPr>
        <w:numPr>
          <w:ilvl w:val="0"/>
          <w:numId w:val="26"/>
        </w:numPr>
        <w:spacing w:after="0" w:line="360" w:lineRule="auto"/>
        <w:contextualSpacing/>
        <w:rPr>
          <w:rFonts w:eastAsia="Calibri" w:cs="Tahoma"/>
          <w:bCs/>
          <w:szCs w:val="24"/>
          <w:lang w:eastAsia="es-ES"/>
        </w:rPr>
      </w:pPr>
      <w:r w:rsidRPr="00060463">
        <w:rPr>
          <w:rFonts w:eastAsia="Calibri" w:cs="Tahoma"/>
          <w:bCs/>
          <w:szCs w:val="24"/>
          <w:lang w:eastAsia="es-ES"/>
        </w:rPr>
        <w:t>Denominación del Documento.</w:t>
      </w:r>
    </w:p>
    <w:p w14:paraId="670916C0" w14:textId="77777777" w:rsidR="007667B1" w:rsidRPr="00060463" w:rsidRDefault="007667B1" w:rsidP="007667B1">
      <w:pPr>
        <w:numPr>
          <w:ilvl w:val="0"/>
          <w:numId w:val="26"/>
        </w:numPr>
        <w:spacing w:after="0" w:line="360" w:lineRule="auto"/>
        <w:contextualSpacing/>
        <w:rPr>
          <w:rFonts w:eastAsia="Calibri" w:cs="Tahoma"/>
          <w:bCs/>
          <w:szCs w:val="24"/>
          <w:lang w:eastAsia="es-ES"/>
        </w:rPr>
      </w:pPr>
      <w:r w:rsidRPr="00060463">
        <w:rPr>
          <w:rFonts w:eastAsia="Calibri" w:cs="Tahoma"/>
          <w:bCs/>
          <w:szCs w:val="24"/>
          <w:lang w:eastAsia="es-ES"/>
        </w:rPr>
        <w:t xml:space="preserve">Identificador Electrónico. </w:t>
      </w:r>
    </w:p>
    <w:p w14:paraId="62BAB56A" w14:textId="77777777" w:rsidR="007667B1" w:rsidRPr="00060463" w:rsidRDefault="007667B1" w:rsidP="007667B1">
      <w:pPr>
        <w:numPr>
          <w:ilvl w:val="0"/>
          <w:numId w:val="26"/>
        </w:numPr>
        <w:spacing w:after="0" w:line="360" w:lineRule="auto"/>
        <w:contextualSpacing/>
        <w:rPr>
          <w:rFonts w:eastAsia="Calibri" w:cs="Tahoma"/>
          <w:bCs/>
          <w:szCs w:val="24"/>
          <w:lang w:eastAsia="es-ES"/>
        </w:rPr>
      </w:pPr>
      <w:r w:rsidRPr="00060463">
        <w:rPr>
          <w:rFonts w:eastAsia="Calibri" w:cs="Tahoma"/>
          <w:bCs/>
          <w:szCs w:val="24"/>
          <w:lang w:eastAsia="es-ES"/>
        </w:rPr>
        <w:lastRenderedPageBreak/>
        <w:t xml:space="preserve">Elementos del Registro. </w:t>
      </w:r>
    </w:p>
    <w:p w14:paraId="2FCE9267" w14:textId="77777777" w:rsidR="007667B1" w:rsidRPr="00060463" w:rsidRDefault="007667B1" w:rsidP="007667B1">
      <w:pPr>
        <w:numPr>
          <w:ilvl w:val="0"/>
          <w:numId w:val="26"/>
        </w:numPr>
        <w:spacing w:after="0" w:line="360" w:lineRule="auto"/>
        <w:contextualSpacing/>
        <w:rPr>
          <w:rFonts w:eastAsia="Calibri" w:cs="Tahoma"/>
          <w:bCs/>
          <w:szCs w:val="24"/>
          <w:lang w:eastAsia="es-ES"/>
        </w:rPr>
      </w:pPr>
      <w:r w:rsidRPr="00060463">
        <w:rPr>
          <w:rFonts w:eastAsia="Calibri" w:cs="Tahoma"/>
          <w:bCs/>
          <w:szCs w:val="24"/>
          <w:lang w:eastAsia="es-ES"/>
        </w:rPr>
        <w:t xml:space="preserve">Datos de la Persona Registrada. </w:t>
      </w:r>
    </w:p>
    <w:p w14:paraId="22D34CAA" w14:textId="77777777" w:rsidR="007667B1" w:rsidRPr="00060463" w:rsidRDefault="007667B1" w:rsidP="007667B1">
      <w:pPr>
        <w:numPr>
          <w:ilvl w:val="0"/>
          <w:numId w:val="26"/>
        </w:numPr>
        <w:spacing w:after="0" w:line="360" w:lineRule="auto"/>
        <w:contextualSpacing/>
        <w:rPr>
          <w:rFonts w:eastAsia="Calibri" w:cs="Tahoma"/>
          <w:bCs/>
          <w:szCs w:val="24"/>
          <w:lang w:eastAsia="es-ES"/>
        </w:rPr>
      </w:pPr>
      <w:r w:rsidRPr="00060463">
        <w:rPr>
          <w:rFonts w:eastAsia="Calibri" w:cs="Tahoma"/>
          <w:bCs/>
          <w:szCs w:val="24"/>
          <w:lang w:eastAsia="es-ES"/>
        </w:rPr>
        <w:t xml:space="preserve">Datos de Filiación de la Persona Registrada. </w:t>
      </w:r>
    </w:p>
    <w:p w14:paraId="1F30E808" w14:textId="77777777" w:rsidR="007667B1" w:rsidRPr="00060463" w:rsidRDefault="007667B1" w:rsidP="007667B1">
      <w:pPr>
        <w:numPr>
          <w:ilvl w:val="0"/>
          <w:numId w:val="26"/>
        </w:numPr>
        <w:spacing w:after="0" w:line="360" w:lineRule="auto"/>
        <w:contextualSpacing/>
        <w:rPr>
          <w:rFonts w:eastAsia="Calibri" w:cs="Tahoma"/>
          <w:bCs/>
          <w:szCs w:val="24"/>
          <w:lang w:eastAsia="es-ES"/>
        </w:rPr>
      </w:pPr>
      <w:r w:rsidRPr="00060463">
        <w:rPr>
          <w:rFonts w:eastAsia="Calibri" w:cs="Tahoma"/>
          <w:bCs/>
          <w:szCs w:val="24"/>
          <w:lang w:eastAsia="es-ES"/>
        </w:rPr>
        <w:t xml:space="preserve">Anotaciones Marginales. </w:t>
      </w:r>
    </w:p>
    <w:p w14:paraId="32423F51" w14:textId="77777777" w:rsidR="007667B1" w:rsidRPr="00060463" w:rsidRDefault="007667B1" w:rsidP="007667B1">
      <w:pPr>
        <w:numPr>
          <w:ilvl w:val="0"/>
          <w:numId w:val="26"/>
        </w:numPr>
        <w:spacing w:after="0" w:line="360" w:lineRule="auto"/>
        <w:contextualSpacing/>
        <w:rPr>
          <w:rFonts w:eastAsia="Calibri" w:cs="Tahoma"/>
          <w:bCs/>
          <w:szCs w:val="24"/>
          <w:lang w:eastAsia="es-ES"/>
        </w:rPr>
      </w:pPr>
      <w:r w:rsidRPr="00060463">
        <w:rPr>
          <w:rFonts w:eastAsia="Calibri" w:cs="Tahoma"/>
          <w:bCs/>
          <w:szCs w:val="24"/>
          <w:lang w:eastAsia="es-ES"/>
        </w:rPr>
        <w:t xml:space="preserve">Certificación. </w:t>
      </w:r>
    </w:p>
    <w:p w14:paraId="3283DA0C" w14:textId="77777777" w:rsidR="007667B1" w:rsidRPr="00060463" w:rsidRDefault="007667B1" w:rsidP="007667B1">
      <w:pPr>
        <w:numPr>
          <w:ilvl w:val="0"/>
          <w:numId w:val="26"/>
        </w:numPr>
        <w:spacing w:after="0" w:line="360" w:lineRule="auto"/>
        <w:contextualSpacing/>
        <w:rPr>
          <w:rFonts w:eastAsia="Calibri" w:cs="Tahoma"/>
          <w:bCs/>
          <w:szCs w:val="24"/>
          <w:lang w:eastAsia="es-ES"/>
        </w:rPr>
      </w:pPr>
      <w:r w:rsidRPr="00060463">
        <w:rPr>
          <w:rFonts w:eastAsia="Calibri" w:cs="Tahoma"/>
          <w:bCs/>
          <w:szCs w:val="24"/>
          <w:lang w:eastAsia="es-ES"/>
        </w:rPr>
        <w:t xml:space="preserve">Código Bidimensional QR que contiene información encriptada del acta. </w:t>
      </w:r>
    </w:p>
    <w:p w14:paraId="0750CD1D" w14:textId="77777777" w:rsidR="007667B1" w:rsidRPr="00060463" w:rsidRDefault="007667B1" w:rsidP="007667B1">
      <w:pPr>
        <w:numPr>
          <w:ilvl w:val="0"/>
          <w:numId w:val="26"/>
        </w:numPr>
        <w:spacing w:after="0" w:line="360" w:lineRule="auto"/>
        <w:contextualSpacing/>
        <w:rPr>
          <w:rFonts w:eastAsia="Calibri" w:cs="Tahoma"/>
          <w:bCs/>
          <w:szCs w:val="24"/>
          <w:lang w:eastAsia="es-ES"/>
        </w:rPr>
      </w:pPr>
      <w:r w:rsidRPr="00060463">
        <w:rPr>
          <w:rFonts w:eastAsia="Calibri" w:cs="Tahoma"/>
          <w:bCs/>
          <w:szCs w:val="24"/>
          <w:lang w:eastAsia="es-ES"/>
        </w:rPr>
        <w:t xml:space="preserve">Leyenda “Soy México” </w:t>
      </w:r>
    </w:p>
    <w:p w14:paraId="41D98157" w14:textId="77777777" w:rsidR="007667B1" w:rsidRPr="00060463" w:rsidRDefault="007667B1" w:rsidP="007667B1">
      <w:pPr>
        <w:numPr>
          <w:ilvl w:val="0"/>
          <w:numId w:val="26"/>
        </w:numPr>
        <w:spacing w:after="0" w:line="360" w:lineRule="auto"/>
        <w:contextualSpacing/>
        <w:rPr>
          <w:rFonts w:eastAsia="Calibri" w:cs="Tahoma"/>
          <w:bCs/>
          <w:szCs w:val="24"/>
          <w:lang w:eastAsia="es-ES"/>
        </w:rPr>
      </w:pPr>
      <w:r w:rsidRPr="00060463">
        <w:rPr>
          <w:rFonts w:eastAsia="Calibri" w:cs="Tahoma"/>
          <w:bCs/>
          <w:szCs w:val="24"/>
          <w:lang w:eastAsia="es-ES"/>
        </w:rPr>
        <w:t xml:space="preserve">Firma Electrónica Avanzada. </w:t>
      </w:r>
    </w:p>
    <w:p w14:paraId="5043BC19" w14:textId="77777777" w:rsidR="007667B1" w:rsidRPr="00060463" w:rsidRDefault="007667B1" w:rsidP="007667B1">
      <w:pPr>
        <w:numPr>
          <w:ilvl w:val="0"/>
          <w:numId w:val="26"/>
        </w:numPr>
        <w:spacing w:after="0" w:line="360" w:lineRule="auto"/>
        <w:contextualSpacing/>
        <w:rPr>
          <w:rFonts w:eastAsia="Calibri" w:cs="Tahoma"/>
          <w:bCs/>
          <w:szCs w:val="24"/>
          <w:lang w:eastAsia="es-ES"/>
        </w:rPr>
      </w:pPr>
      <w:r w:rsidRPr="00060463">
        <w:rPr>
          <w:rFonts w:eastAsia="Calibri" w:cs="Tahoma"/>
          <w:bCs/>
          <w:szCs w:val="24"/>
          <w:lang w:eastAsia="es-ES"/>
        </w:rPr>
        <w:t xml:space="preserve">Firma y datos de la autoridad emisora. </w:t>
      </w:r>
    </w:p>
    <w:p w14:paraId="5193EE96" w14:textId="77777777" w:rsidR="007667B1" w:rsidRPr="00060463" w:rsidRDefault="007667B1" w:rsidP="007667B1">
      <w:pPr>
        <w:numPr>
          <w:ilvl w:val="0"/>
          <w:numId w:val="26"/>
        </w:numPr>
        <w:spacing w:after="0" w:line="360" w:lineRule="auto"/>
        <w:contextualSpacing/>
        <w:rPr>
          <w:rFonts w:eastAsia="Calibri" w:cs="Tahoma"/>
          <w:bCs/>
          <w:szCs w:val="24"/>
          <w:lang w:eastAsia="es-ES"/>
        </w:rPr>
      </w:pPr>
      <w:r w:rsidRPr="00060463">
        <w:rPr>
          <w:rFonts w:eastAsia="Calibri" w:cs="Tahoma"/>
          <w:bCs/>
          <w:szCs w:val="24"/>
          <w:lang w:eastAsia="es-ES"/>
        </w:rPr>
        <w:t xml:space="preserve">Código QR. </w:t>
      </w:r>
    </w:p>
    <w:p w14:paraId="3334D2B9" w14:textId="77777777" w:rsidR="007667B1" w:rsidRPr="00060463" w:rsidRDefault="007667B1" w:rsidP="007667B1">
      <w:pPr>
        <w:numPr>
          <w:ilvl w:val="0"/>
          <w:numId w:val="26"/>
        </w:numPr>
        <w:spacing w:after="0" w:line="360" w:lineRule="auto"/>
        <w:contextualSpacing/>
        <w:rPr>
          <w:rFonts w:eastAsia="Calibri" w:cs="Tahoma"/>
          <w:bCs/>
          <w:szCs w:val="24"/>
          <w:lang w:eastAsia="es-ES"/>
        </w:rPr>
      </w:pPr>
      <w:r w:rsidRPr="00060463">
        <w:rPr>
          <w:rFonts w:eastAsia="Calibri" w:cs="Tahoma"/>
          <w:bCs/>
          <w:szCs w:val="24"/>
          <w:lang w:eastAsia="es-ES"/>
        </w:rPr>
        <w:t>Código de Verificación.</w:t>
      </w:r>
    </w:p>
    <w:p w14:paraId="0C84E212" w14:textId="77777777" w:rsidR="007667B1" w:rsidRPr="00060463" w:rsidRDefault="007667B1" w:rsidP="007667B1">
      <w:pPr>
        <w:numPr>
          <w:ilvl w:val="0"/>
          <w:numId w:val="26"/>
        </w:numPr>
        <w:spacing w:after="0" w:line="360" w:lineRule="auto"/>
        <w:contextualSpacing/>
        <w:rPr>
          <w:rFonts w:eastAsia="Calibri" w:cs="Tahoma"/>
          <w:bCs/>
          <w:szCs w:val="24"/>
          <w:lang w:eastAsia="es-ES"/>
        </w:rPr>
      </w:pPr>
      <w:r w:rsidRPr="00060463">
        <w:rPr>
          <w:rFonts w:eastAsia="Calibri" w:cs="Tahoma"/>
          <w:bCs/>
          <w:szCs w:val="24"/>
          <w:lang w:eastAsia="es-ES"/>
        </w:rPr>
        <w:t xml:space="preserve">Leyenda de instrucciones para la verificación del documento. </w:t>
      </w:r>
    </w:p>
    <w:p w14:paraId="60E17E5D" w14:textId="77777777" w:rsidR="007667B1" w:rsidRPr="00060463" w:rsidRDefault="007667B1" w:rsidP="007667B1">
      <w:pPr>
        <w:spacing w:after="0" w:line="360" w:lineRule="auto"/>
        <w:ind w:left="60"/>
        <w:rPr>
          <w:rFonts w:eastAsia="Calibri" w:cs="Tahoma"/>
          <w:bCs/>
          <w:color w:val="auto"/>
          <w:lang w:eastAsia="en-US"/>
        </w:rPr>
      </w:pPr>
    </w:p>
    <w:p w14:paraId="45B9ADF8" w14:textId="77777777" w:rsidR="007667B1" w:rsidRPr="00060463" w:rsidRDefault="007667B1" w:rsidP="007667B1">
      <w:pPr>
        <w:spacing w:after="0" w:line="360" w:lineRule="auto"/>
        <w:ind w:left="60"/>
        <w:rPr>
          <w:rFonts w:eastAsia="Calibri" w:cs="Tahoma"/>
          <w:bCs/>
          <w:color w:val="auto"/>
          <w:lang w:eastAsia="en-US"/>
        </w:rPr>
      </w:pPr>
      <w:r w:rsidRPr="00060463">
        <w:rPr>
          <w:rFonts w:eastAsia="Calibri" w:cs="Tahoma"/>
          <w:bCs/>
          <w:color w:val="auto"/>
          <w:lang w:eastAsia="en-US"/>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7F53EA6B" w14:textId="77777777" w:rsidR="007667B1" w:rsidRPr="00060463" w:rsidRDefault="007667B1" w:rsidP="007667B1">
      <w:pPr>
        <w:spacing w:after="0" w:line="360" w:lineRule="auto"/>
        <w:ind w:left="60"/>
        <w:rPr>
          <w:rFonts w:eastAsia="Calibri" w:cs="Tahoma"/>
          <w:bCs/>
          <w:color w:val="auto"/>
          <w:lang w:eastAsia="en-US"/>
        </w:rPr>
      </w:pPr>
    </w:p>
    <w:p w14:paraId="5154F737" w14:textId="77777777" w:rsidR="007667B1" w:rsidRPr="00060463" w:rsidRDefault="007667B1" w:rsidP="007667B1">
      <w:pPr>
        <w:spacing w:after="0" w:line="360" w:lineRule="auto"/>
        <w:ind w:left="60"/>
        <w:rPr>
          <w:rFonts w:eastAsia="Calibri" w:cs="Tahoma"/>
          <w:bCs/>
          <w:color w:val="auto"/>
          <w:lang w:eastAsia="en-US"/>
        </w:rPr>
      </w:pPr>
      <w:r w:rsidRPr="00060463">
        <w:rPr>
          <w:rFonts w:eastAsia="Calibri" w:cs="Tahoma"/>
          <w:bCs/>
          <w:color w:val="auto"/>
          <w:lang w:eastAsia="en-US"/>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w:t>
      </w:r>
      <w:r w:rsidRPr="00060463">
        <w:rPr>
          <w:rFonts w:eastAsia="Calibri" w:cs="Tahoma"/>
          <w:bCs/>
          <w:color w:val="auto"/>
          <w:lang w:eastAsia="en-US"/>
        </w:rPr>
        <w:lastRenderedPageBreak/>
        <w:t>irrelevante, ya que tener uno u otro no influye en el mejor o menor desempeño de un cargo público.</w:t>
      </w:r>
    </w:p>
    <w:p w14:paraId="439CEBFF" w14:textId="77777777" w:rsidR="007667B1" w:rsidRPr="00060463" w:rsidRDefault="007667B1" w:rsidP="007667B1">
      <w:pPr>
        <w:spacing w:after="0" w:line="360" w:lineRule="auto"/>
        <w:ind w:left="60"/>
        <w:rPr>
          <w:rFonts w:eastAsia="Calibri" w:cs="Tahoma"/>
          <w:bCs/>
          <w:color w:val="auto"/>
          <w:lang w:eastAsia="en-US"/>
        </w:rPr>
      </w:pPr>
    </w:p>
    <w:p w14:paraId="76166881" w14:textId="77777777" w:rsidR="007667B1" w:rsidRPr="00060463" w:rsidRDefault="007667B1" w:rsidP="007667B1">
      <w:pPr>
        <w:spacing w:after="0" w:line="360" w:lineRule="auto"/>
        <w:ind w:left="60"/>
        <w:rPr>
          <w:rFonts w:eastAsia="Calibri" w:cs="Tahoma"/>
          <w:bCs/>
          <w:color w:val="auto"/>
          <w:lang w:eastAsia="en-US"/>
        </w:rPr>
      </w:pPr>
      <w:r w:rsidRPr="00060463">
        <w:rPr>
          <w:rFonts w:eastAsia="Calibri" w:cs="Tahoma"/>
          <w:bCs/>
          <w:color w:val="auto"/>
          <w:lang w:eastAsia="en-US"/>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54B41905" w14:textId="77777777" w:rsidR="007667B1" w:rsidRPr="00060463" w:rsidRDefault="007667B1" w:rsidP="007667B1">
      <w:pPr>
        <w:spacing w:after="0" w:line="360" w:lineRule="auto"/>
        <w:rPr>
          <w:rFonts w:eastAsia="Calibri"/>
          <w:b/>
          <w:bCs/>
          <w:color w:val="auto"/>
          <w:lang w:eastAsia="en-US"/>
        </w:rPr>
      </w:pPr>
    </w:p>
    <w:p w14:paraId="1C30ADE9" w14:textId="77777777" w:rsidR="007667B1" w:rsidRPr="00060463" w:rsidRDefault="007667B1" w:rsidP="007667B1">
      <w:pPr>
        <w:numPr>
          <w:ilvl w:val="0"/>
          <w:numId w:val="25"/>
        </w:numPr>
        <w:spacing w:after="0" w:line="360" w:lineRule="auto"/>
        <w:contextualSpacing/>
        <w:rPr>
          <w:rFonts w:eastAsia="Calibri" w:cs="Times New Roman"/>
          <w:b/>
          <w:bCs/>
          <w:szCs w:val="24"/>
          <w:lang w:val="x-none" w:eastAsia="es-ES"/>
        </w:rPr>
      </w:pPr>
      <w:r w:rsidRPr="00060463">
        <w:rPr>
          <w:rFonts w:eastAsia="Times New Roman" w:cs="Times New Roman"/>
          <w:b/>
          <w:bCs/>
          <w:szCs w:val="24"/>
          <w:lang w:eastAsia="es-ES"/>
        </w:rPr>
        <w:t>Certificado Médico</w:t>
      </w:r>
    </w:p>
    <w:p w14:paraId="128C7600" w14:textId="77777777" w:rsidR="007667B1" w:rsidRPr="00060463" w:rsidRDefault="007667B1" w:rsidP="007667B1">
      <w:pPr>
        <w:spacing w:after="0" w:line="360" w:lineRule="auto"/>
        <w:ind w:left="780"/>
        <w:contextualSpacing/>
        <w:rPr>
          <w:rFonts w:eastAsia="Calibri" w:cs="Times New Roman"/>
          <w:b/>
          <w:bCs/>
          <w:szCs w:val="24"/>
          <w:lang w:val="x-none" w:eastAsia="es-ES"/>
        </w:rPr>
      </w:pPr>
    </w:p>
    <w:p w14:paraId="319793E0" w14:textId="77777777" w:rsidR="007667B1" w:rsidRPr="00060463" w:rsidRDefault="007667B1" w:rsidP="007667B1">
      <w:pPr>
        <w:spacing w:after="0" w:line="360" w:lineRule="auto"/>
        <w:rPr>
          <w:rFonts w:eastAsiaTheme="minorHAnsi" w:cs="Tahoma"/>
          <w:b/>
          <w:bCs/>
          <w:lang w:eastAsia="en-US"/>
        </w:rPr>
      </w:pPr>
      <w:r w:rsidRPr="00060463">
        <w:rPr>
          <w:rFonts w:eastAsiaTheme="minorHAnsi" w:cs="Tahoma"/>
          <w:lang w:eastAsia="en-US"/>
        </w:rPr>
        <w:t xml:space="preserve">En principio, es de señalar que cualquier información que dé cuenta del </w:t>
      </w:r>
      <w:r w:rsidRPr="00060463">
        <w:rPr>
          <w:rFonts w:eastAsiaTheme="minorHAnsi" w:cs="Tahoma"/>
          <w:b/>
          <w:bCs/>
          <w:lang w:eastAsia="en-US"/>
        </w:rPr>
        <w:t>estado de salud de una persona</w:t>
      </w:r>
      <w:r w:rsidRPr="00060463">
        <w:rPr>
          <w:rFonts w:eastAsiaTheme="minorHAnsi" w:cs="Tahoma"/>
          <w:lang w:eastAsia="en-US"/>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060463">
        <w:rPr>
          <w:rFonts w:eastAsiaTheme="minorHAnsi" w:cs="Tahoma"/>
          <w:b/>
          <w:bCs/>
          <w:lang w:eastAsia="en-US"/>
        </w:rPr>
        <w:t>den cuenta del estado de salud, ya sea físico o mental.</w:t>
      </w:r>
    </w:p>
    <w:p w14:paraId="1F10C2DB" w14:textId="77777777" w:rsidR="007667B1" w:rsidRPr="00060463" w:rsidRDefault="007667B1" w:rsidP="007667B1">
      <w:pPr>
        <w:spacing w:after="0" w:line="360" w:lineRule="auto"/>
        <w:rPr>
          <w:rFonts w:eastAsiaTheme="minorHAnsi" w:cs="Tahoma"/>
          <w:b/>
          <w:bCs/>
          <w:lang w:eastAsia="en-US"/>
        </w:rPr>
      </w:pPr>
    </w:p>
    <w:p w14:paraId="6110142A" w14:textId="77777777" w:rsidR="007667B1" w:rsidRPr="00060463" w:rsidRDefault="007667B1" w:rsidP="007667B1">
      <w:pPr>
        <w:widowControl w:val="0"/>
        <w:autoSpaceDE w:val="0"/>
        <w:autoSpaceDN w:val="0"/>
        <w:adjustRightInd w:val="0"/>
        <w:spacing w:after="0" w:line="360" w:lineRule="auto"/>
        <w:rPr>
          <w:rFonts w:eastAsiaTheme="minorHAnsi" w:cs="Tahoma"/>
          <w:b/>
          <w:lang w:eastAsia="en-US"/>
        </w:rPr>
      </w:pPr>
      <w:r w:rsidRPr="00060463">
        <w:rPr>
          <w:rFonts w:eastAsia="Calibri" w:cs="Tahoma"/>
          <w:lang w:val="es-ES" w:eastAsia="en-US"/>
        </w:rPr>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14:paraId="69B4B7BB" w14:textId="77777777" w:rsidR="007667B1" w:rsidRPr="00060463" w:rsidRDefault="007667B1" w:rsidP="007667B1">
      <w:pPr>
        <w:spacing w:after="0" w:line="360" w:lineRule="auto"/>
        <w:rPr>
          <w:rFonts w:eastAsiaTheme="minorHAnsi" w:cs="Tahoma"/>
          <w:bCs/>
          <w:lang w:eastAsia="en-US"/>
        </w:rPr>
      </w:pPr>
    </w:p>
    <w:p w14:paraId="54F973F3" w14:textId="77777777" w:rsidR="007667B1" w:rsidRPr="00060463" w:rsidRDefault="007667B1" w:rsidP="007667B1">
      <w:pPr>
        <w:numPr>
          <w:ilvl w:val="0"/>
          <w:numId w:val="27"/>
        </w:numPr>
        <w:tabs>
          <w:tab w:val="left" w:pos="4962"/>
        </w:tabs>
        <w:spacing w:after="0" w:line="360" w:lineRule="auto"/>
        <w:ind w:right="-28"/>
        <w:contextualSpacing/>
        <w:rPr>
          <w:rFonts w:eastAsia="Calibri" w:cs="Tahoma"/>
          <w:b/>
          <w:iCs/>
          <w:color w:val="auto"/>
          <w:szCs w:val="24"/>
          <w:lang w:eastAsia="es-ES_tradnl"/>
        </w:rPr>
      </w:pPr>
      <w:r w:rsidRPr="00060463">
        <w:rPr>
          <w:rFonts w:eastAsia="Calibri" w:cs="Tahoma"/>
          <w:b/>
          <w:iCs/>
          <w:color w:val="auto"/>
          <w:szCs w:val="24"/>
          <w:lang w:eastAsia="es-ES_tradnl"/>
        </w:rPr>
        <w:t>Constancia y Clave Única de Registro de Población.</w:t>
      </w:r>
    </w:p>
    <w:p w14:paraId="00E20427" w14:textId="77777777" w:rsidR="007667B1" w:rsidRPr="00060463" w:rsidRDefault="007667B1" w:rsidP="007667B1">
      <w:pPr>
        <w:tabs>
          <w:tab w:val="left" w:pos="4962"/>
        </w:tabs>
        <w:spacing w:after="0" w:line="360" w:lineRule="auto"/>
        <w:ind w:right="-28"/>
        <w:rPr>
          <w:rFonts w:eastAsia="Calibri" w:cs="Tahoma"/>
          <w:b/>
          <w:iCs/>
          <w:color w:val="auto"/>
          <w:szCs w:val="24"/>
          <w:lang w:eastAsia="es-ES_tradnl"/>
        </w:rPr>
      </w:pPr>
    </w:p>
    <w:p w14:paraId="79C5FB98" w14:textId="77777777" w:rsidR="007667B1" w:rsidRPr="00060463" w:rsidRDefault="007667B1" w:rsidP="007667B1">
      <w:pPr>
        <w:spacing w:after="0" w:line="360" w:lineRule="auto"/>
        <w:rPr>
          <w:rFonts w:eastAsia="Calibri" w:cs="Tahoma"/>
          <w:bCs/>
          <w:color w:val="000000"/>
          <w:lang w:eastAsia="en-US"/>
        </w:rPr>
      </w:pPr>
      <w:r w:rsidRPr="00060463">
        <w:rPr>
          <w:rFonts w:eastAsia="Calibri" w:cs="Tahoma"/>
          <w:bCs/>
          <w:color w:val="000000"/>
          <w:lang w:eastAsia="en-US"/>
        </w:rPr>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B51F599" w14:textId="77777777" w:rsidR="007667B1" w:rsidRPr="00060463" w:rsidRDefault="007667B1" w:rsidP="007667B1">
      <w:pPr>
        <w:spacing w:after="0" w:line="360" w:lineRule="auto"/>
        <w:rPr>
          <w:rFonts w:eastAsia="Calibri" w:cs="Tahoma"/>
          <w:bCs/>
          <w:color w:val="000000"/>
          <w:lang w:eastAsia="en-US"/>
        </w:rPr>
      </w:pPr>
    </w:p>
    <w:p w14:paraId="5247CBDE" w14:textId="77777777" w:rsidR="007667B1" w:rsidRPr="00060463" w:rsidRDefault="007667B1" w:rsidP="007667B1">
      <w:pPr>
        <w:spacing w:after="0" w:line="360" w:lineRule="auto"/>
        <w:rPr>
          <w:rFonts w:eastAsia="Calibri" w:cs="Tahoma"/>
          <w:bCs/>
          <w:color w:val="000000"/>
          <w:lang w:eastAsia="en-US"/>
        </w:rPr>
      </w:pPr>
      <w:r w:rsidRPr="00060463">
        <w:rPr>
          <w:rFonts w:eastAsia="Calibri" w:cs="Tahoma"/>
          <w:bCs/>
          <w:color w:val="000000"/>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764E2F6" w14:textId="77777777" w:rsidR="007667B1" w:rsidRPr="00060463" w:rsidRDefault="007667B1" w:rsidP="007667B1">
      <w:pPr>
        <w:spacing w:after="0" w:line="360" w:lineRule="auto"/>
        <w:rPr>
          <w:rFonts w:eastAsia="Calibri" w:cs="Tahoma"/>
          <w:bCs/>
          <w:iCs/>
          <w:color w:val="000000"/>
          <w:lang w:eastAsia="en-US"/>
        </w:rPr>
      </w:pPr>
    </w:p>
    <w:p w14:paraId="6463ACA4" w14:textId="77777777" w:rsidR="007667B1" w:rsidRPr="00060463" w:rsidRDefault="007667B1" w:rsidP="007667B1">
      <w:pPr>
        <w:spacing w:after="0" w:line="360" w:lineRule="auto"/>
        <w:rPr>
          <w:rFonts w:eastAsia="Calibri" w:cs="Tahoma"/>
          <w:bCs/>
          <w:color w:val="000000"/>
          <w:lang w:eastAsia="en-US"/>
        </w:rPr>
      </w:pPr>
      <w:r w:rsidRPr="00060463">
        <w:rPr>
          <w:rFonts w:eastAsia="Calibri" w:cs="Tahoma"/>
          <w:color w:val="000000"/>
          <w:lang w:eastAsia="en-US"/>
        </w:rPr>
        <w:t xml:space="preserve">En ese orden de ideas, la Secretaría de Gobernación en las direcciones </w:t>
      </w:r>
      <w:hyperlink r:id="rId13" w:history="1">
        <w:r w:rsidRPr="00060463">
          <w:rPr>
            <w:rFonts w:eastAsia="Calibri" w:cs="Tahoma"/>
            <w:color w:val="0563C1"/>
            <w:u w:val="single"/>
            <w:lang w:eastAsia="en-US"/>
          </w:rPr>
          <w:t>https://consultas.curp.gob.mx/CurpSP/html/informacionecurpPS.html</w:t>
        </w:r>
      </w:hyperlink>
      <w:r w:rsidRPr="00060463">
        <w:rPr>
          <w:rFonts w:eastAsia="Calibri" w:cs="Tahoma"/>
          <w:color w:val="000000"/>
          <w:lang w:eastAsia="en-US"/>
        </w:rPr>
        <w:t xml:space="preserve"> y </w:t>
      </w:r>
      <w:hyperlink r:id="rId14" w:history="1">
        <w:r w:rsidRPr="00060463">
          <w:rPr>
            <w:rFonts w:eastAsia="Calibri" w:cs="Tahoma"/>
            <w:color w:val="0563C1"/>
            <w:u w:val="single"/>
            <w:lang w:eastAsia="en-US"/>
          </w:rPr>
          <w:t>https://www.gob.mx/segob/renapo/acciones-y-programas/clave-unica-de-registro-de-poblacion-curp-142226</w:t>
        </w:r>
      </w:hyperlink>
      <w:r w:rsidRPr="00060463">
        <w:rPr>
          <w:rFonts w:eastAsia="Calibri" w:cs="Tahoma"/>
          <w:color w:val="000000"/>
          <w:u w:val="single"/>
          <w:lang w:eastAsia="en-US"/>
        </w:rPr>
        <w:t xml:space="preserve"> </w:t>
      </w:r>
      <w:r w:rsidRPr="00060463">
        <w:rPr>
          <w:rFonts w:eastAsia="Calibri" w:cs="Tahoma"/>
          <w:bCs/>
          <w:color w:val="000000"/>
          <w:lang w:eastAsia="en-US"/>
        </w:rPr>
        <w:t>(consultadas el diecisiete de mayo de dos mil veintitrés,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5EE2EF09" w14:textId="77777777" w:rsidR="007667B1" w:rsidRPr="00060463" w:rsidRDefault="007667B1" w:rsidP="007667B1">
      <w:pPr>
        <w:spacing w:after="0" w:line="360" w:lineRule="auto"/>
        <w:rPr>
          <w:rFonts w:eastAsia="Calibri" w:cs="Tahoma"/>
          <w:bCs/>
          <w:color w:val="000000"/>
          <w:lang w:eastAsia="en-US"/>
        </w:rPr>
      </w:pPr>
    </w:p>
    <w:p w14:paraId="42F915D8" w14:textId="77777777" w:rsidR="007667B1" w:rsidRPr="00060463" w:rsidRDefault="007667B1" w:rsidP="007667B1">
      <w:pPr>
        <w:numPr>
          <w:ilvl w:val="0"/>
          <w:numId w:val="28"/>
        </w:numPr>
        <w:spacing w:after="0" w:line="360" w:lineRule="auto"/>
        <w:rPr>
          <w:rFonts w:eastAsia="Calibri" w:cs="Tahoma"/>
          <w:bCs/>
          <w:color w:val="000000"/>
          <w:lang w:eastAsia="en-US"/>
        </w:rPr>
      </w:pPr>
      <w:r w:rsidRPr="00060463">
        <w:rPr>
          <w:rFonts w:eastAsia="Calibri" w:cs="Tahoma"/>
          <w:bCs/>
          <w:color w:val="000000"/>
          <w:lang w:eastAsia="en-US"/>
        </w:rPr>
        <w:t>El primero y segundo apellidos, así como al nombre de pila;</w:t>
      </w:r>
    </w:p>
    <w:p w14:paraId="68C7D6AF" w14:textId="77777777" w:rsidR="007667B1" w:rsidRPr="00060463" w:rsidRDefault="007667B1" w:rsidP="007667B1">
      <w:pPr>
        <w:numPr>
          <w:ilvl w:val="0"/>
          <w:numId w:val="28"/>
        </w:numPr>
        <w:spacing w:after="0" w:line="360" w:lineRule="auto"/>
        <w:rPr>
          <w:rFonts w:eastAsia="Calibri" w:cs="Tahoma"/>
          <w:bCs/>
          <w:color w:val="000000"/>
          <w:lang w:eastAsia="en-US"/>
        </w:rPr>
      </w:pPr>
      <w:r w:rsidRPr="00060463">
        <w:rPr>
          <w:rFonts w:eastAsia="Calibri" w:cs="Tahoma"/>
          <w:bCs/>
          <w:color w:val="000000"/>
          <w:lang w:eastAsia="en-US"/>
        </w:rPr>
        <w:t>La fecha de nacimiento;</w:t>
      </w:r>
    </w:p>
    <w:p w14:paraId="5583E1E5" w14:textId="77777777" w:rsidR="007667B1" w:rsidRPr="00060463" w:rsidRDefault="007667B1" w:rsidP="007667B1">
      <w:pPr>
        <w:numPr>
          <w:ilvl w:val="0"/>
          <w:numId w:val="28"/>
        </w:numPr>
        <w:spacing w:after="0" w:line="360" w:lineRule="auto"/>
        <w:rPr>
          <w:rFonts w:eastAsia="Calibri" w:cs="Tahoma"/>
          <w:bCs/>
          <w:color w:val="000000"/>
          <w:lang w:eastAsia="en-US"/>
        </w:rPr>
      </w:pPr>
      <w:r w:rsidRPr="00060463">
        <w:rPr>
          <w:rFonts w:eastAsia="Calibri" w:cs="Tahoma"/>
          <w:bCs/>
          <w:color w:val="000000"/>
          <w:lang w:eastAsia="en-US"/>
        </w:rPr>
        <w:t>El sexo, y</w:t>
      </w:r>
    </w:p>
    <w:p w14:paraId="3F7E04BA" w14:textId="77777777" w:rsidR="007667B1" w:rsidRPr="00060463" w:rsidRDefault="007667B1" w:rsidP="007667B1">
      <w:pPr>
        <w:numPr>
          <w:ilvl w:val="0"/>
          <w:numId w:val="28"/>
        </w:numPr>
        <w:spacing w:after="0" w:line="360" w:lineRule="auto"/>
        <w:rPr>
          <w:rFonts w:eastAsia="Calibri" w:cs="Tahoma"/>
          <w:bCs/>
          <w:color w:val="000000"/>
          <w:lang w:eastAsia="en-US"/>
        </w:rPr>
      </w:pPr>
      <w:r w:rsidRPr="00060463">
        <w:rPr>
          <w:rFonts w:eastAsia="Calibri" w:cs="Tahoma"/>
          <w:bCs/>
          <w:color w:val="000000"/>
          <w:lang w:eastAsia="en-US"/>
        </w:rPr>
        <w:lastRenderedPageBreak/>
        <w:t>La entidad federativa de nacimiento.</w:t>
      </w:r>
    </w:p>
    <w:p w14:paraId="60883B0B" w14:textId="77777777" w:rsidR="007667B1" w:rsidRPr="00060463" w:rsidRDefault="007667B1" w:rsidP="007667B1">
      <w:pPr>
        <w:spacing w:after="0" w:line="360" w:lineRule="auto"/>
        <w:rPr>
          <w:rFonts w:eastAsia="Calibri" w:cs="Tahoma"/>
          <w:bCs/>
          <w:color w:val="000000"/>
          <w:lang w:eastAsia="en-US"/>
        </w:rPr>
      </w:pPr>
    </w:p>
    <w:p w14:paraId="654E0F47" w14:textId="77777777" w:rsidR="007667B1" w:rsidRPr="00060463" w:rsidRDefault="007667B1" w:rsidP="007667B1">
      <w:pPr>
        <w:spacing w:after="0" w:line="360" w:lineRule="auto"/>
        <w:rPr>
          <w:rFonts w:eastAsia="Calibri" w:cs="Tahoma"/>
          <w:bCs/>
          <w:color w:val="000000"/>
          <w:lang w:eastAsia="en-US"/>
        </w:rPr>
      </w:pPr>
      <w:r w:rsidRPr="00060463">
        <w:rPr>
          <w:rFonts w:eastAsia="Calibri" w:cs="Tahoma"/>
          <w:bCs/>
          <w:color w:val="000000"/>
          <w:lang w:eastAsia="en-US"/>
        </w:rPr>
        <w:t>Los dos últimos elementos de la Clave Única de Registro de Población evitan la duplicidad de la Clave y garantizan su correcta integración.</w:t>
      </w:r>
    </w:p>
    <w:p w14:paraId="7EAD016A" w14:textId="77777777" w:rsidR="007667B1" w:rsidRPr="00060463" w:rsidRDefault="007667B1" w:rsidP="007667B1">
      <w:pPr>
        <w:spacing w:after="0" w:line="360" w:lineRule="auto"/>
        <w:rPr>
          <w:rFonts w:eastAsia="Calibri" w:cs="Tahoma"/>
          <w:bCs/>
          <w:color w:val="000000"/>
          <w:lang w:eastAsia="en-US"/>
        </w:rPr>
      </w:pPr>
    </w:p>
    <w:p w14:paraId="4E1C2B8E" w14:textId="77777777" w:rsidR="007667B1" w:rsidRPr="00060463" w:rsidRDefault="007667B1" w:rsidP="007667B1">
      <w:pPr>
        <w:spacing w:after="0" w:line="360" w:lineRule="auto"/>
        <w:rPr>
          <w:rFonts w:eastAsia="Calibri" w:cs="Tahoma"/>
          <w:bCs/>
          <w:color w:val="000000"/>
          <w:lang w:eastAsia="en-US"/>
        </w:rPr>
      </w:pPr>
      <w:r w:rsidRPr="00060463">
        <w:rPr>
          <w:rFonts w:eastAsia="Calibri" w:cs="Tahoma"/>
          <w:bCs/>
          <w:color w:val="000000"/>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9BFBDBB" w14:textId="77777777" w:rsidR="007667B1" w:rsidRPr="00060463" w:rsidRDefault="007667B1" w:rsidP="007667B1">
      <w:pPr>
        <w:spacing w:after="0" w:line="360" w:lineRule="auto"/>
        <w:rPr>
          <w:rFonts w:eastAsia="Calibri" w:cs="Tahoma"/>
          <w:bCs/>
          <w:color w:val="000000"/>
          <w:lang w:eastAsia="en-US"/>
        </w:rPr>
      </w:pPr>
    </w:p>
    <w:p w14:paraId="3BDE6BED" w14:textId="77777777" w:rsidR="007667B1" w:rsidRPr="00060463" w:rsidRDefault="007667B1" w:rsidP="007667B1">
      <w:pPr>
        <w:spacing w:after="0" w:line="360" w:lineRule="auto"/>
        <w:rPr>
          <w:rFonts w:eastAsia="Calibri" w:cs="Tahoma"/>
          <w:bCs/>
          <w:color w:val="000000"/>
          <w:lang w:eastAsia="en-US"/>
        </w:rPr>
      </w:pPr>
      <w:r w:rsidRPr="00060463">
        <w:rPr>
          <w:rFonts w:eastAsia="Calibri" w:cs="Tahoma"/>
          <w:bCs/>
          <w:color w:val="000000"/>
          <w:lang w:eastAsia="en-US"/>
        </w:rPr>
        <w:t xml:space="preserve">Situación que se robustece, con el Criterio </w:t>
      </w:r>
      <w:r w:rsidRPr="00060463">
        <w:rPr>
          <w:rFonts w:eastAsia="Times New Roman" w:cs="Tahoma"/>
          <w:iCs/>
          <w:color w:val="auto"/>
          <w:lang w:eastAsia="es-ES"/>
        </w:rPr>
        <w:t>de Interpretación, de la Segunda Época, con número de registro SO/018/2017</w:t>
      </w:r>
      <w:r w:rsidRPr="00060463">
        <w:rPr>
          <w:rFonts w:eastAsia="Calibri" w:cs="Tahoma"/>
          <w:bCs/>
          <w:color w:val="000000"/>
          <w:lang w:eastAsia="en-US"/>
        </w:rPr>
        <w:t>, emitido por el Instituto Nacional de Transparencia, Acceso a la Información y Protección de Datos Personales, que establece lo siguiente:</w:t>
      </w:r>
    </w:p>
    <w:p w14:paraId="5EDF3764" w14:textId="77777777" w:rsidR="007667B1" w:rsidRPr="00060463" w:rsidRDefault="007667B1" w:rsidP="007667B1">
      <w:pPr>
        <w:spacing w:after="0" w:line="360" w:lineRule="auto"/>
        <w:ind w:left="567" w:right="567"/>
        <w:rPr>
          <w:rFonts w:eastAsia="Calibri" w:cs="Tahoma"/>
          <w:bCs/>
          <w:iCs/>
          <w:color w:val="000000"/>
          <w:lang w:eastAsia="en-US"/>
        </w:rPr>
      </w:pPr>
    </w:p>
    <w:p w14:paraId="345CDE6E" w14:textId="77777777" w:rsidR="007667B1" w:rsidRPr="00060463" w:rsidRDefault="007667B1" w:rsidP="007667B1">
      <w:pPr>
        <w:spacing w:after="0" w:line="360" w:lineRule="auto"/>
        <w:ind w:left="567" w:right="567"/>
        <w:rPr>
          <w:rFonts w:eastAsia="Calibri" w:cs="Tahoma"/>
          <w:bCs/>
          <w:i/>
          <w:iCs/>
          <w:color w:val="000000"/>
          <w:sz w:val="20"/>
          <w:szCs w:val="20"/>
          <w:lang w:eastAsia="en-US"/>
        </w:rPr>
      </w:pPr>
      <w:r w:rsidRPr="00060463">
        <w:rPr>
          <w:rFonts w:eastAsia="Calibri" w:cs="Tahoma"/>
          <w:b/>
          <w:bCs/>
          <w:i/>
          <w:iCs/>
          <w:color w:val="000000"/>
          <w:sz w:val="20"/>
          <w:szCs w:val="20"/>
          <w:lang w:eastAsia="en-US"/>
        </w:rPr>
        <w:t xml:space="preserve">“Clave Única de Registro de Población (CURP). </w:t>
      </w:r>
      <w:r w:rsidRPr="00060463">
        <w:rPr>
          <w:rFonts w:eastAsia="Calibri" w:cs="Tahoma"/>
          <w:bCs/>
          <w:i/>
          <w:iCs/>
          <w:color w:val="000000"/>
          <w:sz w:val="20"/>
          <w:szCs w:val="20"/>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9CDF966" w14:textId="77777777" w:rsidR="007667B1" w:rsidRPr="00060463" w:rsidRDefault="007667B1" w:rsidP="007667B1">
      <w:pPr>
        <w:spacing w:after="0" w:line="360" w:lineRule="auto"/>
        <w:rPr>
          <w:rFonts w:eastAsia="Calibri" w:cs="Tahoma"/>
          <w:bCs/>
          <w:color w:val="000000"/>
          <w:lang w:eastAsia="en-US"/>
        </w:rPr>
      </w:pPr>
    </w:p>
    <w:p w14:paraId="1DE5BD49" w14:textId="77777777" w:rsidR="007667B1" w:rsidRPr="00060463" w:rsidRDefault="007667B1" w:rsidP="007667B1">
      <w:pPr>
        <w:spacing w:after="0" w:line="360" w:lineRule="auto"/>
        <w:rPr>
          <w:rFonts w:eastAsia="Calibri" w:cs="Tahoma"/>
          <w:bCs/>
          <w:color w:val="000000"/>
          <w:lang w:eastAsia="en-US"/>
        </w:rPr>
      </w:pPr>
      <w:r w:rsidRPr="00060463">
        <w:rPr>
          <w:rFonts w:eastAsia="Calibri" w:cs="Tahoma"/>
          <w:bCs/>
          <w:color w:val="000000"/>
          <w:lang w:eastAsia="en-US"/>
        </w:rPr>
        <w:t xml:space="preserve">De acuerdo con lo anterior, resulta procedente la clasificación de la Clave Única de Registro de Población; por lo que, la constancia de dicho dato corre al misma suerte, pues únicamente contiene datos que hacen identificables a la servidora pública, que en nada abonan a la transparencia y no rinden cuantas de la forma de actuar, por lo que, es un documento </w:t>
      </w:r>
      <w:r w:rsidRPr="00060463">
        <w:rPr>
          <w:rFonts w:eastAsia="Calibri" w:cs="Tahoma"/>
          <w:bCs/>
          <w:color w:val="000000"/>
          <w:lang w:eastAsia="en-US"/>
        </w:rPr>
        <w:lastRenderedPageBreak/>
        <w:t xml:space="preserve">privado, en términos del artículo 143, fracción I, de la Ley de Transparencia y Acceso a la Información Pública del Estado de México y Municipios. </w:t>
      </w:r>
    </w:p>
    <w:p w14:paraId="119B5D55" w14:textId="77777777" w:rsidR="007667B1" w:rsidRPr="00060463" w:rsidRDefault="007667B1" w:rsidP="007667B1">
      <w:pPr>
        <w:spacing w:after="0" w:line="360" w:lineRule="auto"/>
        <w:rPr>
          <w:rFonts w:eastAsiaTheme="minorHAnsi" w:cs="Tahoma"/>
          <w:bCs/>
          <w:lang w:eastAsia="en-US"/>
        </w:rPr>
      </w:pPr>
    </w:p>
    <w:p w14:paraId="1058481E" w14:textId="77777777" w:rsidR="007667B1" w:rsidRPr="00060463" w:rsidRDefault="007667B1" w:rsidP="007667B1">
      <w:pPr>
        <w:spacing w:after="0" w:line="360" w:lineRule="auto"/>
        <w:rPr>
          <w:rFonts w:eastAsia="Calibri"/>
          <w:b/>
          <w:bCs/>
          <w:color w:val="auto"/>
          <w:lang w:val="x-none" w:eastAsia="en-US"/>
        </w:rPr>
      </w:pPr>
      <w:r w:rsidRPr="00060463">
        <w:rPr>
          <w:rFonts w:eastAsia="Calibri"/>
          <w:b/>
          <w:bCs/>
          <w:color w:val="auto"/>
          <w:lang w:val="x-none" w:eastAsia="en-US"/>
        </w:rPr>
        <w:t>Documentos Clasificados de manera parcial</w:t>
      </w:r>
    </w:p>
    <w:p w14:paraId="25D37041" w14:textId="77777777" w:rsidR="007667B1" w:rsidRPr="00060463" w:rsidRDefault="007667B1" w:rsidP="007667B1">
      <w:pPr>
        <w:spacing w:after="0" w:line="360" w:lineRule="auto"/>
        <w:rPr>
          <w:rFonts w:eastAsia="Calibri"/>
          <w:b/>
          <w:bCs/>
          <w:color w:val="auto"/>
          <w:lang w:val="x-none" w:eastAsia="en-US"/>
        </w:rPr>
      </w:pPr>
    </w:p>
    <w:p w14:paraId="3B8640C9" w14:textId="77777777" w:rsidR="007667B1" w:rsidRPr="00060463" w:rsidRDefault="007667B1" w:rsidP="007667B1">
      <w:pPr>
        <w:numPr>
          <w:ilvl w:val="0"/>
          <w:numId w:val="25"/>
        </w:numPr>
        <w:spacing w:after="0" w:line="360" w:lineRule="auto"/>
        <w:contextualSpacing/>
        <w:rPr>
          <w:rFonts w:eastAsia="Calibri" w:cs="Times New Roman"/>
          <w:b/>
          <w:bCs/>
          <w:szCs w:val="24"/>
          <w:lang w:val="x-none" w:eastAsia="es-ES"/>
        </w:rPr>
      </w:pPr>
      <w:r w:rsidRPr="00060463">
        <w:rPr>
          <w:rFonts w:eastAsia="Calibri" w:cs="Times New Roman"/>
          <w:b/>
          <w:bCs/>
          <w:szCs w:val="24"/>
          <w:lang w:val="x-none" w:eastAsia="es-ES"/>
        </w:rPr>
        <w:t>Solicitud de Empleo</w:t>
      </w:r>
    </w:p>
    <w:p w14:paraId="28702A53" w14:textId="77777777" w:rsidR="007667B1" w:rsidRPr="00060463" w:rsidRDefault="007667B1" w:rsidP="007667B1">
      <w:pPr>
        <w:widowControl w:val="0"/>
        <w:autoSpaceDE w:val="0"/>
        <w:autoSpaceDN w:val="0"/>
        <w:adjustRightInd w:val="0"/>
        <w:spacing w:after="0" w:line="360" w:lineRule="auto"/>
        <w:ind w:left="60"/>
        <w:rPr>
          <w:rFonts w:eastAsia="Calibri" w:cs="Tahoma"/>
          <w:bCs/>
          <w:color w:val="auto"/>
          <w:lang w:eastAsia="en-US"/>
        </w:rPr>
      </w:pPr>
    </w:p>
    <w:p w14:paraId="72147AAE" w14:textId="77777777" w:rsidR="007667B1" w:rsidRPr="00060463" w:rsidRDefault="007667B1" w:rsidP="007667B1">
      <w:pPr>
        <w:widowControl w:val="0"/>
        <w:autoSpaceDE w:val="0"/>
        <w:autoSpaceDN w:val="0"/>
        <w:adjustRightInd w:val="0"/>
        <w:spacing w:after="0" w:line="360" w:lineRule="auto"/>
        <w:ind w:left="60"/>
        <w:rPr>
          <w:rFonts w:eastAsia="Calibri" w:cs="Tahoma"/>
          <w:bCs/>
          <w:color w:val="auto"/>
          <w:lang w:eastAsia="en-US"/>
        </w:rPr>
      </w:pPr>
      <w:r w:rsidRPr="00060463">
        <w:rPr>
          <w:rFonts w:eastAsia="Calibri" w:cs="Tahoma"/>
          <w:bCs/>
          <w:color w:val="auto"/>
          <w:lang w:eastAsia="en-US"/>
        </w:rPr>
        <w:t xml:space="preserve">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w:t>
      </w:r>
    </w:p>
    <w:p w14:paraId="16B35ED3" w14:textId="77777777" w:rsidR="007667B1" w:rsidRPr="00060463" w:rsidRDefault="007667B1" w:rsidP="007667B1">
      <w:pPr>
        <w:widowControl w:val="0"/>
        <w:autoSpaceDE w:val="0"/>
        <w:autoSpaceDN w:val="0"/>
        <w:adjustRightInd w:val="0"/>
        <w:spacing w:after="0" w:line="360" w:lineRule="auto"/>
        <w:ind w:left="60"/>
        <w:rPr>
          <w:rFonts w:eastAsia="Calibri" w:cs="Tahoma"/>
          <w:bCs/>
          <w:color w:val="auto"/>
          <w:lang w:eastAsia="en-US"/>
        </w:rPr>
      </w:pPr>
    </w:p>
    <w:p w14:paraId="7A4970A2" w14:textId="77777777" w:rsidR="007667B1" w:rsidRPr="00060463" w:rsidRDefault="007667B1" w:rsidP="007667B1">
      <w:pPr>
        <w:widowControl w:val="0"/>
        <w:autoSpaceDE w:val="0"/>
        <w:autoSpaceDN w:val="0"/>
        <w:adjustRightInd w:val="0"/>
        <w:spacing w:after="0" w:line="360" w:lineRule="auto"/>
        <w:ind w:left="60"/>
        <w:rPr>
          <w:rFonts w:eastAsia="Calibri" w:cs="Tahoma"/>
          <w:bCs/>
          <w:color w:val="auto"/>
          <w:lang w:eastAsia="en-US"/>
        </w:rPr>
      </w:pPr>
    </w:p>
    <w:p w14:paraId="6E72E897" w14:textId="77777777" w:rsidR="007667B1" w:rsidRPr="00060463" w:rsidRDefault="007667B1" w:rsidP="007667B1">
      <w:pPr>
        <w:widowControl w:val="0"/>
        <w:autoSpaceDE w:val="0"/>
        <w:autoSpaceDN w:val="0"/>
        <w:adjustRightInd w:val="0"/>
        <w:spacing w:after="0" w:line="360" w:lineRule="auto"/>
        <w:ind w:left="60"/>
        <w:rPr>
          <w:rFonts w:eastAsia="Calibri" w:cs="Tahoma"/>
          <w:bCs/>
          <w:color w:val="auto"/>
          <w:lang w:eastAsia="en-US"/>
        </w:rPr>
      </w:pPr>
      <w:r w:rsidRPr="00060463">
        <w:rPr>
          <w:rFonts w:eastAsia="Calibri" w:cs="Tahoma"/>
          <w:bCs/>
          <w:color w:val="auto"/>
          <w:lang w:eastAsia="en-US"/>
        </w:rPr>
        <w:t xml:space="preserve">Por otro lado, es necesario referir que de acuerdo con el artículo 47 de la Ley de Trabajo de los Servidores Públicos del Estado de México y el 5.4 del Código Reglamentario de Metepec, para ingresar al servicio público se requiere presentar una solicitud por escrito, es decir, la entrega de este documento resulta ser un requisito indispensable para poder prestar servicios dentro de la Administración Pública. </w:t>
      </w:r>
    </w:p>
    <w:p w14:paraId="4951DEDE" w14:textId="77777777" w:rsidR="007667B1" w:rsidRPr="00060463" w:rsidRDefault="007667B1" w:rsidP="007667B1">
      <w:pPr>
        <w:widowControl w:val="0"/>
        <w:autoSpaceDE w:val="0"/>
        <w:autoSpaceDN w:val="0"/>
        <w:adjustRightInd w:val="0"/>
        <w:spacing w:after="0" w:line="360" w:lineRule="auto"/>
        <w:ind w:left="60"/>
        <w:rPr>
          <w:rFonts w:eastAsia="Calibri" w:cs="Tahoma"/>
          <w:bCs/>
          <w:color w:val="auto"/>
          <w:lang w:eastAsia="en-US"/>
        </w:rPr>
      </w:pPr>
    </w:p>
    <w:p w14:paraId="64DFC7C8" w14:textId="77777777" w:rsidR="007667B1" w:rsidRPr="00060463" w:rsidRDefault="007667B1" w:rsidP="007667B1">
      <w:pPr>
        <w:spacing w:after="0" w:line="360" w:lineRule="auto"/>
        <w:ind w:left="60"/>
        <w:rPr>
          <w:rFonts w:eastAsiaTheme="minorHAnsi" w:cs="Arial"/>
          <w:color w:val="auto"/>
          <w:lang w:eastAsia="en-US"/>
        </w:rPr>
      </w:pPr>
      <w:r w:rsidRPr="00060463">
        <w:rPr>
          <w:rFonts w:cs="Arial"/>
          <w:color w:val="auto"/>
          <w:lang w:eastAsia="en-US"/>
        </w:rPr>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w:t>
      </w:r>
      <w:r w:rsidRPr="00060463">
        <w:rPr>
          <w:rFonts w:cs="Arial"/>
          <w:color w:val="auto"/>
          <w:lang w:eastAsia="en-US"/>
        </w:rPr>
        <w:lastRenderedPageBreak/>
        <w:t xml:space="preserve">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78003B63" w14:textId="77777777" w:rsidR="007667B1" w:rsidRPr="00060463" w:rsidRDefault="007667B1" w:rsidP="007667B1">
      <w:pPr>
        <w:spacing w:after="0" w:line="360" w:lineRule="auto"/>
        <w:ind w:left="60"/>
        <w:rPr>
          <w:rFonts w:eastAsia="Calibri" w:cs="Tahoma"/>
          <w:bCs/>
          <w:color w:val="auto"/>
          <w:lang w:eastAsia="en-US"/>
        </w:rPr>
      </w:pPr>
      <w:r w:rsidRPr="00060463">
        <w:rPr>
          <w:rFonts w:eastAsia="Calibri" w:cs="Tahoma"/>
          <w:bCs/>
          <w:color w:val="auto"/>
          <w:lang w:eastAsia="en-US"/>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14:paraId="3BF34F35" w14:textId="77777777" w:rsidR="007667B1" w:rsidRPr="00060463" w:rsidRDefault="007667B1" w:rsidP="007667B1">
      <w:pPr>
        <w:spacing w:after="0" w:line="360" w:lineRule="auto"/>
        <w:rPr>
          <w:rFonts w:eastAsia="Calibri"/>
          <w:color w:val="auto"/>
          <w:lang w:eastAsia="en-US"/>
        </w:rPr>
      </w:pPr>
    </w:p>
    <w:p w14:paraId="0032830B" w14:textId="77777777" w:rsidR="007667B1" w:rsidRPr="00060463" w:rsidRDefault="007667B1" w:rsidP="007667B1">
      <w:pPr>
        <w:numPr>
          <w:ilvl w:val="0"/>
          <w:numId w:val="25"/>
        </w:numPr>
        <w:spacing w:after="0" w:line="360" w:lineRule="auto"/>
        <w:contextualSpacing/>
        <w:rPr>
          <w:rFonts w:eastAsia="Calibri" w:cs="Times New Roman"/>
          <w:b/>
          <w:bCs/>
          <w:i/>
          <w:iCs/>
          <w:szCs w:val="24"/>
          <w:lang w:val="x-none" w:eastAsia="es-ES"/>
        </w:rPr>
      </w:pPr>
      <w:r w:rsidRPr="00060463">
        <w:rPr>
          <w:rFonts w:eastAsia="Times New Roman" w:cs="Times New Roman"/>
          <w:b/>
          <w:bCs/>
          <w:i/>
          <w:iCs/>
          <w:szCs w:val="24"/>
          <w:lang w:eastAsia="es-ES"/>
        </w:rPr>
        <w:t>Currículum Vitae</w:t>
      </w:r>
    </w:p>
    <w:p w14:paraId="2CD9E7DB" w14:textId="77777777" w:rsidR="007667B1" w:rsidRPr="00060463" w:rsidRDefault="007667B1" w:rsidP="007667B1">
      <w:pPr>
        <w:autoSpaceDE w:val="0"/>
        <w:autoSpaceDN w:val="0"/>
        <w:adjustRightInd w:val="0"/>
        <w:spacing w:after="0" w:line="360" w:lineRule="auto"/>
        <w:ind w:left="720" w:right="539"/>
        <w:contextualSpacing/>
        <w:rPr>
          <w:rFonts w:eastAsia="Times New Roman" w:cs="Tahoma"/>
          <w:szCs w:val="24"/>
          <w:lang w:val="es-ES" w:eastAsia="es-ES"/>
        </w:rPr>
      </w:pPr>
    </w:p>
    <w:p w14:paraId="3EA09281" w14:textId="77777777" w:rsidR="007667B1" w:rsidRPr="00060463" w:rsidRDefault="007667B1" w:rsidP="007667B1">
      <w:pPr>
        <w:spacing w:after="0" w:line="360" w:lineRule="auto"/>
        <w:rPr>
          <w:rFonts w:eastAsia="Calibri" w:cs="Tahoma"/>
          <w:bCs/>
          <w:color w:val="auto"/>
          <w:lang w:val="es-ES" w:eastAsia="en-US"/>
        </w:rPr>
      </w:pPr>
      <w:r w:rsidRPr="00060463">
        <w:rPr>
          <w:rFonts w:cs="Tahoma"/>
          <w:color w:val="auto"/>
          <w:lang w:val="es-ES" w:eastAsia="en-US"/>
        </w:rPr>
        <w:t>Al respecto, cabe precisar que el Sujeto Obligado dejó visibles datos personales como son fecha de nacimiento, edad y domicilio particular, por lo que este Instituto considera que se trata de datos confidenciales pues</w:t>
      </w:r>
      <w:r w:rsidRPr="00060463">
        <w:rPr>
          <w:rFonts w:eastAsia="Calibri" w:cs="Tahoma"/>
          <w:bCs/>
          <w:color w:val="auto"/>
          <w:lang w:val="es-ES" w:eastAsia="en-US"/>
        </w:rPr>
        <w:t xml:space="preserve"> corresponden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31212DD7" w14:textId="77777777" w:rsidR="007667B1" w:rsidRPr="00060463" w:rsidRDefault="007667B1" w:rsidP="007667B1">
      <w:pPr>
        <w:autoSpaceDE w:val="0"/>
        <w:autoSpaceDN w:val="0"/>
        <w:adjustRightInd w:val="0"/>
        <w:spacing w:after="0" w:line="360" w:lineRule="auto"/>
        <w:rPr>
          <w:rFonts w:cs="Tahoma"/>
          <w:color w:val="auto"/>
          <w:lang w:val="es-ES" w:eastAsia="en-US"/>
        </w:rPr>
      </w:pPr>
    </w:p>
    <w:p w14:paraId="60E855D0" w14:textId="77777777" w:rsidR="007667B1" w:rsidRPr="00060463" w:rsidRDefault="007667B1" w:rsidP="007667B1">
      <w:pPr>
        <w:spacing w:after="0" w:line="360" w:lineRule="auto"/>
        <w:rPr>
          <w:rFonts w:cs="Tahoma"/>
          <w:color w:val="auto"/>
          <w:lang w:val="es-ES" w:eastAsia="en-US"/>
        </w:rPr>
      </w:pPr>
    </w:p>
    <w:p w14:paraId="4C30FC0E" w14:textId="77777777" w:rsidR="007667B1" w:rsidRPr="00060463" w:rsidRDefault="007667B1" w:rsidP="007667B1">
      <w:pPr>
        <w:spacing w:after="0" w:line="360" w:lineRule="auto"/>
        <w:rPr>
          <w:rFonts w:eastAsia="Calibri" w:cs="Tahoma"/>
          <w:bCs/>
          <w:color w:val="auto"/>
          <w:lang w:eastAsia="en-US"/>
        </w:rPr>
      </w:pPr>
      <w:r w:rsidRPr="00060463">
        <w:rPr>
          <w:rFonts w:cs="Tahoma"/>
          <w:color w:val="auto"/>
          <w:lang w:val="es-ES" w:eastAsia="en-US"/>
        </w:rPr>
        <w:t xml:space="preserve">Ahora bien, </w:t>
      </w:r>
      <w:r w:rsidRPr="00060463">
        <w:rPr>
          <w:rFonts w:eastAsia="Calibri" w:cs="Tahoma"/>
          <w:i/>
          <w:color w:val="auto"/>
          <w:lang w:val="es-ES"/>
        </w:rPr>
        <w:t>el Currículum Vitae</w:t>
      </w:r>
      <w:r w:rsidRPr="00060463">
        <w:rPr>
          <w:rFonts w:eastAsia="Calibri" w:cs="Tahoma"/>
          <w:bCs/>
          <w:color w:val="auto"/>
          <w:lang w:val="es-ES" w:eastAsia="en-US"/>
        </w:rPr>
        <w:t xml:space="preserve">, corresponde aquel que las personas elaboran con los datos de identificación y contacto, preparación académica y experiencia profesional, para presentarse ante un posible empleador. </w:t>
      </w:r>
      <w:r w:rsidRPr="00060463">
        <w:rPr>
          <w:rFonts w:eastAsia="Calibri" w:cs="Tahoma"/>
          <w:bCs/>
          <w:color w:val="auto"/>
          <w:lang w:eastAsia="en-US"/>
        </w:rPr>
        <w:t>Por lo que, dicho documento da cuenta de la preparación académica y la experiencia laboral, lo cual permite identificar el nivel de conocimientos de su titular, así como, su perfil profesional o laboral.</w:t>
      </w:r>
    </w:p>
    <w:p w14:paraId="0E4289B8" w14:textId="77777777" w:rsidR="007667B1" w:rsidRPr="00060463" w:rsidRDefault="007667B1" w:rsidP="007667B1">
      <w:pPr>
        <w:spacing w:after="0" w:line="360" w:lineRule="auto"/>
        <w:ind w:right="-28"/>
        <w:contextualSpacing/>
        <w:rPr>
          <w:rFonts w:eastAsia="Calibri" w:cs="Tahoma"/>
          <w:bCs/>
          <w:color w:val="auto"/>
          <w:lang w:eastAsia="en-US"/>
        </w:rPr>
      </w:pPr>
    </w:p>
    <w:p w14:paraId="29AA0926" w14:textId="77777777" w:rsidR="007667B1" w:rsidRPr="00060463" w:rsidRDefault="007667B1" w:rsidP="007667B1">
      <w:pPr>
        <w:spacing w:after="0" w:line="360" w:lineRule="auto"/>
        <w:ind w:right="-28"/>
        <w:contextualSpacing/>
        <w:rPr>
          <w:rFonts w:eastAsia="Calibri" w:cs="Tahoma"/>
          <w:bCs/>
          <w:color w:val="auto"/>
          <w:lang w:val="es-ES" w:eastAsia="en-US"/>
        </w:rPr>
      </w:pPr>
      <w:r w:rsidRPr="00060463">
        <w:rPr>
          <w:rFonts w:eastAsia="Calibri" w:cs="Tahoma"/>
          <w:bCs/>
          <w:color w:val="auto"/>
          <w:lang w:eastAsia="en-US"/>
        </w:rPr>
        <w:t xml:space="preserve">En ese sentido, </w:t>
      </w:r>
      <w:r w:rsidRPr="00060463">
        <w:rPr>
          <w:rFonts w:eastAsia="Calibri" w:cs="Tahoma"/>
          <w:bCs/>
          <w:color w:val="auto"/>
          <w:lang w:val="es-ES" w:eastAsia="en-US"/>
        </w:rPr>
        <w:t xml:space="preserve">si bien el </w:t>
      </w:r>
      <w:r w:rsidRPr="00060463">
        <w:rPr>
          <w:rFonts w:eastAsia="Calibri" w:cs="Tahoma"/>
          <w:bCs/>
          <w:i/>
          <w:iCs/>
          <w:color w:val="auto"/>
          <w:lang w:val="es-ES" w:eastAsia="en-US"/>
        </w:rPr>
        <w:t>currículum</w:t>
      </w:r>
      <w:r w:rsidRPr="00060463">
        <w:rPr>
          <w:rFonts w:eastAsia="Calibri" w:cs="Tahoma"/>
          <w:bCs/>
          <w:color w:val="auto"/>
          <w:lang w:val="es-ES" w:eastAsia="en-US"/>
        </w:rPr>
        <w:t xml:space="preserve">, se trata de aquel elaborado por cada persona, sin ninguna validez oficial, también lo es, que tiene por objetivo que las personas puedan conocer la </w:t>
      </w:r>
      <w:r w:rsidRPr="00060463">
        <w:rPr>
          <w:rFonts w:eastAsia="Calibri" w:cs="Tahoma"/>
          <w:bCs/>
          <w:color w:val="auto"/>
          <w:lang w:val="es-ES" w:eastAsia="en-US"/>
        </w:rPr>
        <w:lastRenderedPageBreak/>
        <w:t>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7B2DBE35" w14:textId="77777777" w:rsidR="007667B1" w:rsidRPr="00060463" w:rsidRDefault="007667B1" w:rsidP="007667B1">
      <w:pPr>
        <w:autoSpaceDE w:val="0"/>
        <w:autoSpaceDN w:val="0"/>
        <w:adjustRightInd w:val="0"/>
        <w:spacing w:after="0" w:line="360" w:lineRule="auto"/>
        <w:rPr>
          <w:rFonts w:cs="Tahoma"/>
          <w:color w:val="auto"/>
          <w:lang w:eastAsia="en-US"/>
        </w:rPr>
      </w:pPr>
    </w:p>
    <w:p w14:paraId="24E6FB6E" w14:textId="77777777" w:rsidR="007667B1" w:rsidRPr="00060463" w:rsidRDefault="007667B1" w:rsidP="007667B1">
      <w:pPr>
        <w:spacing w:after="0" w:line="360" w:lineRule="auto"/>
        <w:rPr>
          <w:rFonts w:eastAsia="Calibri" w:cs="Tahoma"/>
          <w:bCs/>
          <w:color w:val="auto"/>
          <w:lang w:val="es-ES" w:eastAsia="en-US"/>
        </w:rPr>
      </w:pPr>
      <w:r w:rsidRPr="00060463">
        <w:rPr>
          <w:rFonts w:cs="Tahoma"/>
          <w:color w:val="auto"/>
          <w:lang w:val="es-ES" w:eastAsia="en-US"/>
        </w:rPr>
        <w:t xml:space="preserve"> </w:t>
      </w:r>
      <w:r w:rsidRPr="00060463">
        <w:rPr>
          <w:rFonts w:eastAsia="Calibri" w:cs="Tahoma"/>
          <w:bCs/>
          <w:color w:val="auto"/>
          <w:lang w:val="es-ES" w:eastAsia="en-US"/>
        </w:rPr>
        <w:t xml:space="preserve">Lo anterior, se robustece con la fracción </w:t>
      </w:r>
      <w:r w:rsidRPr="00060463">
        <w:rPr>
          <w:rFonts w:eastAsia="Calibri" w:cs="Tahoma"/>
          <w:b/>
          <w:color w:val="auto"/>
          <w:lang w:val="es-ES" w:eastAsia="en-US"/>
        </w:rPr>
        <w:t>XXI</w:t>
      </w:r>
      <w:r w:rsidRPr="00060463">
        <w:rPr>
          <w:rFonts w:eastAsia="Calibri" w:cs="Tahoma"/>
          <w:bCs/>
          <w:color w:val="auto"/>
          <w:lang w:val="es-ES" w:eastAsia="en-US"/>
        </w:rPr>
        <w:t>, del a</w:t>
      </w:r>
      <w:r w:rsidRPr="00060463">
        <w:rPr>
          <w:rFonts w:eastAsia="Calibri" w:cs="Tahoma"/>
          <w:b/>
          <w:color w:val="auto"/>
          <w:lang w:val="es-ES" w:eastAsia="en-US"/>
        </w:rPr>
        <w:t>rtículo 92</w:t>
      </w:r>
      <w:r w:rsidRPr="00060463">
        <w:rPr>
          <w:rFonts w:eastAsia="Calibri" w:cs="Tahoma"/>
          <w:bCs/>
          <w:color w:val="auto"/>
          <w:lang w:val="es-ES" w:eastAsia="en-US"/>
        </w:rPr>
        <w:t xml:space="preserve"> de la </w:t>
      </w:r>
      <w:r w:rsidRPr="00060463">
        <w:rPr>
          <w:rFonts w:eastAsia="Calibri" w:cs="Tahoma"/>
          <w:b/>
          <w:color w:val="auto"/>
          <w:lang w:val="es-ES" w:eastAsia="en-US"/>
        </w:rPr>
        <w:t>Ley de Transparencia y Acceso a la Información Pública del Estado de México y Municipios</w:t>
      </w:r>
      <w:r w:rsidRPr="00060463">
        <w:rPr>
          <w:rFonts w:eastAsia="Calibri" w:cs="Tahoma"/>
          <w:bCs/>
          <w:color w:val="auto"/>
          <w:lang w:val="es-ES" w:eastAsia="en-US"/>
        </w:rPr>
        <w:t xml:space="preserve">, que establece que la </w:t>
      </w:r>
      <w:r w:rsidRPr="00060463">
        <w:rPr>
          <w:rFonts w:eastAsia="Calibri" w:cs="Tahoma"/>
          <w:b/>
          <w:bCs/>
          <w:color w:val="auto"/>
          <w:lang w:val="es-ES" w:eastAsia="en-US"/>
        </w:rPr>
        <w:t>información curricular</w:t>
      </w:r>
      <w:r w:rsidRPr="00060463">
        <w:rPr>
          <w:rFonts w:eastAsia="Calibri" w:cs="Tahoma"/>
          <w:bCs/>
          <w:color w:val="auto"/>
          <w:lang w:val="es-ES" w:eastAsia="en-US"/>
        </w:rPr>
        <w:t xml:space="preserve"> es información que deben de poner a disposición del público los sujetos obligados, en el presente caso, el</w:t>
      </w:r>
      <w:r w:rsidRPr="00060463">
        <w:rPr>
          <w:rFonts w:eastAsia="Calibri" w:cs="Tahoma"/>
          <w:color w:val="000000"/>
          <w:lang w:eastAsia="en-US"/>
        </w:rPr>
        <w:t xml:space="preserve"> </w:t>
      </w:r>
      <w:r w:rsidRPr="00060463">
        <w:rPr>
          <w:color w:val="auto"/>
          <w:lang w:eastAsia="en-US"/>
        </w:rPr>
        <w:t>Sistema Municipal para el Desarrollo Integral de la Familia de Huehuetoca</w:t>
      </w:r>
      <w:r w:rsidRPr="00060463">
        <w:rPr>
          <w:rFonts w:eastAsia="Calibri" w:cs="Tahoma"/>
          <w:color w:val="000000"/>
          <w:lang w:eastAsia="en-US"/>
        </w:rPr>
        <w:t>.</w:t>
      </w:r>
    </w:p>
    <w:p w14:paraId="4C486E52" w14:textId="77777777" w:rsidR="007667B1" w:rsidRPr="00060463" w:rsidRDefault="007667B1" w:rsidP="007667B1">
      <w:pPr>
        <w:spacing w:after="0" w:line="360" w:lineRule="auto"/>
        <w:rPr>
          <w:rFonts w:eastAsia="Calibri" w:cs="Times New Roman"/>
          <w:color w:val="auto"/>
          <w:sz w:val="20"/>
          <w:lang w:eastAsia="es-ES"/>
        </w:rPr>
      </w:pPr>
    </w:p>
    <w:p w14:paraId="11BD24F2" w14:textId="77777777" w:rsidR="007667B1" w:rsidRPr="00060463" w:rsidRDefault="007667B1" w:rsidP="007667B1">
      <w:pPr>
        <w:spacing w:after="0" w:line="360" w:lineRule="auto"/>
        <w:rPr>
          <w:rFonts w:eastAsia="Times New Roman" w:cs="Tahoma"/>
          <w:bCs/>
          <w:iCs/>
          <w:color w:val="auto"/>
          <w:lang w:eastAsia="es-ES"/>
        </w:rPr>
      </w:pPr>
      <w:r w:rsidRPr="00060463">
        <w:rPr>
          <w:rFonts w:eastAsia="Times New Roman" w:cs="Tahoma"/>
          <w:bCs/>
          <w:color w:val="auto"/>
          <w:lang w:val="es-ES" w:eastAsia="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060463">
        <w:rPr>
          <w:rFonts w:eastAsia="Times New Roman" w:cs="Tahoma"/>
          <w:bCs/>
          <w:iCs/>
          <w:color w:val="auto"/>
          <w:lang w:eastAsia="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14:paraId="203F13A2" w14:textId="77777777" w:rsidR="007667B1" w:rsidRPr="00060463" w:rsidRDefault="007667B1" w:rsidP="007667B1">
      <w:pPr>
        <w:spacing w:after="0" w:line="360" w:lineRule="auto"/>
        <w:rPr>
          <w:rFonts w:eastAsia="Times New Roman" w:cs="Tahoma"/>
          <w:bCs/>
          <w:iCs/>
          <w:color w:val="auto"/>
          <w:lang w:eastAsia="es-ES"/>
        </w:rPr>
      </w:pPr>
    </w:p>
    <w:p w14:paraId="2EE0FEC7" w14:textId="77777777" w:rsidR="007667B1" w:rsidRPr="00060463" w:rsidRDefault="007667B1" w:rsidP="007667B1">
      <w:pPr>
        <w:spacing w:after="0" w:line="360" w:lineRule="auto"/>
        <w:jc w:val="center"/>
        <w:rPr>
          <w:rFonts w:eastAsia="Calibri" w:cs="Arial"/>
          <w:color w:val="auto"/>
          <w:lang w:eastAsia="en-US"/>
        </w:rPr>
      </w:pPr>
      <w:r w:rsidRPr="00060463">
        <w:rPr>
          <w:rFonts w:ascii="Times New Roman" w:eastAsia="Times New Roman" w:hAnsi="Times New Roman" w:cs="Times New Roman"/>
          <w:noProof/>
          <w:color w:val="auto"/>
        </w:rPr>
        <w:lastRenderedPageBreak/>
        <w:drawing>
          <wp:inline distT="0" distB="0" distL="0" distR="0" wp14:anchorId="7097F908" wp14:editId="113990A9">
            <wp:extent cx="4167963" cy="1486949"/>
            <wp:effectExtent l="0" t="0" r="4445" b="0"/>
            <wp:docPr id="1148933322" name="Imagen 3"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33322" name="Imagen 3" descr="Interfaz de usuario gráfica, Aplicación, Tabla&#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4470" cy="1503541"/>
                    </a:xfrm>
                    <a:prstGeom prst="rect">
                      <a:avLst/>
                    </a:prstGeom>
                    <a:noFill/>
                    <a:ln>
                      <a:noFill/>
                    </a:ln>
                  </pic:spPr>
                </pic:pic>
              </a:graphicData>
            </a:graphic>
          </wp:inline>
        </w:drawing>
      </w:r>
    </w:p>
    <w:p w14:paraId="089AD25E" w14:textId="77777777" w:rsidR="007667B1" w:rsidRPr="00060463" w:rsidRDefault="007667B1" w:rsidP="007667B1">
      <w:pPr>
        <w:spacing w:after="0" w:line="360" w:lineRule="auto"/>
        <w:jc w:val="center"/>
        <w:rPr>
          <w:rFonts w:eastAsia="Calibri" w:cs="Arial"/>
          <w:color w:val="auto"/>
          <w:lang w:eastAsia="en-US"/>
        </w:rPr>
      </w:pPr>
    </w:p>
    <w:p w14:paraId="36850ADC" w14:textId="77777777" w:rsidR="007667B1" w:rsidRPr="00060463" w:rsidRDefault="007667B1" w:rsidP="007667B1">
      <w:pPr>
        <w:spacing w:after="0" w:line="360" w:lineRule="auto"/>
        <w:contextualSpacing/>
        <w:rPr>
          <w:rFonts w:eastAsia="Times New Roman" w:cs="Tahoma"/>
          <w:bCs/>
          <w:color w:val="auto"/>
          <w:lang w:val="es-ES" w:eastAsia="es-ES"/>
        </w:rPr>
      </w:pPr>
      <w:bookmarkStart w:id="19" w:name="_Hlk150952833"/>
      <w:r w:rsidRPr="00060463">
        <w:rPr>
          <w:rFonts w:eastAsia="Times New Roman" w:cs="Tahoma"/>
          <w:bCs/>
          <w:color w:val="auto"/>
          <w:lang w:val="es-ES" w:eastAsia="es-ES"/>
        </w:rPr>
        <w:t xml:space="preserve">Así, este Instituto considera, que los datos personales que se dejaron visibles en el </w:t>
      </w:r>
      <w:r w:rsidRPr="00060463">
        <w:rPr>
          <w:rFonts w:eastAsia="Times New Roman" w:cs="Tahoma"/>
          <w:bCs/>
          <w:i/>
          <w:iCs/>
          <w:color w:val="auto"/>
          <w:lang w:val="es-ES" w:eastAsia="es-ES"/>
        </w:rPr>
        <w:t xml:space="preserve">Currículo Vitae </w:t>
      </w:r>
      <w:r w:rsidRPr="00060463">
        <w:rPr>
          <w:rFonts w:eastAsia="Times New Roman" w:cs="Tahoma"/>
          <w:bCs/>
          <w:color w:val="auto"/>
          <w:lang w:val="es-ES" w:eastAsia="es-ES"/>
        </w:rPr>
        <w:t xml:space="preserve">son datos que invaden la privacidad del Servidor Público, pues no rinden cuentas de transparencia, por lo que dichos datos deben ser clasificados, y en cuanto al resto del contenido del documento, nos </w:t>
      </w:r>
      <w:r w:rsidRPr="00060463">
        <w:rPr>
          <w:rFonts w:cs="Tahoma"/>
          <w:color w:val="auto"/>
          <w:lang w:eastAsia="en-US"/>
        </w:rPr>
        <w:t>permite identificar si la persona que se ostenta como profesional, es la que se localiza en los documentos comprobatorios</w:t>
      </w:r>
      <w:r w:rsidRPr="00060463">
        <w:rPr>
          <w:rFonts w:eastAsia="Times New Roman" w:cs="Tahoma"/>
          <w:bCs/>
          <w:color w:val="auto"/>
          <w:lang w:val="es-ES" w:eastAsia="es-ES"/>
        </w:rPr>
        <w:t>, por lo que, no actualizan la causal de clasificación establecida en el artículo 143, fracción I, de la Ley de Transparencia y Acceso a la Información Pública del Estado de México y Municipios.</w:t>
      </w:r>
    </w:p>
    <w:bookmarkEnd w:id="19"/>
    <w:p w14:paraId="28FE61EE" w14:textId="77777777" w:rsidR="007667B1" w:rsidRPr="00060463" w:rsidRDefault="007667B1" w:rsidP="007667B1">
      <w:pPr>
        <w:spacing w:after="0" w:line="360" w:lineRule="auto"/>
        <w:rPr>
          <w:rFonts w:eastAsia="Calibri"/>
          <w:b/>
          <w:bCs/>
          <w:color w:val="auto"/>
          <w:lang w:val="es-ES" w:eastAsia="en-US"/>
        </w:rPr>
      </w:pPr>
    </w:p>
    <w:p w14:paraId="41FFB04B" w14:textId="77777777" w:rsidR="007667B1" w:rsidRPr="00060463" w:rsidRDefault="007667B1" w:rsidP="007667B1">
      <w:pPr>
        <w:numPr>
          <w:ilvl w:val="0"/>
          <w:numId w:val="25"/>
        </w:numPr>
        <w:spacing w:after="0" w:line="360" w:lineRule="auto"/>
        <w:contextualSpacing/>
        <w:rPr>
          <w:rFonts w:eastAsia="Calibri" w:cs="Times New Roman"/>
          <w:b/>
          <w:bCs/>
          <w:szCs w:val="24"/>
          <w:lang w:val="x-none" w:eastAsia="es-ES"/>
        </w:rPr>
      </w:pPr>
      <w:r w:rsidRPr="00060463">
        <w:rPr>
          <w:rFonts w:eastAsia="Times New Roman" w:cs="Times New Roman"/>
          <w:b/>
          <w:bCs/>
          <w:szCs w:val="24"/>
          <w:lang w:eastAsia="es-ES"/>
        </w:rPr>
        <w:t>Certificado o Informe de No Antecedentes Penales</w:t>
      </w:r>
    </w:p>
    <w:p w14:paraId="091AF601" w14:textId="77777777" w:rsidR="007667B1" w:rsidRPr="00060463" w:rsidRDefault="007667B1" w:rsidP="007667B1">
      <w:pPr>
        <w:spacing w:after="0" w:line="360" w:lineRule="auto"/>
        <w:ind w:left="780"/>
        <w:contextualSpacing/>
        <w:rPr>
          <w:rFonts w:eastAsia="Calibri" w:cs="Times New Roman"/>
          <w:b/>
          <w:bCs/>
          <w:szCs w:val="24"/>
          <w:lang w:val="x-none" w:eastAsia="es-ES"/>
        </w:rPr>
      </w:pPr>
    </w:p>
    <w:p w14:paraId="6A5C4626" w14:textId="77777777" w:rsidR="007667B1" w:rsidRPr="00060463" w:rsidRDefault="007667B1" w:rsidP="007667B1">
      <w:pPr>
        <w:widowControl w:val="0"/>
        <w:autoSpaceDE w:val="0"/>
        <w:autoSpaceDN w:val="0"/>
        <w:adjustRightInd w:val="0"/>
        <w:spacing w:after="0" w:line="360" w:lineRule="auto"/>
        <w:ind w:left="60"/>
        <w:rPr>
          <w:rFonts w:eastAsiaTheme="minorHAnsi" w:cs="Tahoma"/>
          <w:color w:val="auto"/>
          <w:lang w:eastAsia="en-US"/>
        </w:rPr>
      </w:pPr>
      <w:r w:rsidRPr="00060463">
        <w:rPr>
          <w:rFonts w:eastAsiaTheme="minorHAnsi" w:cs="Tahoma"/>
          <w:color w:val="auto"/>
          <w:lang w:eastAsia="en-US"/>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14:paraId="70FC0C13" w14:textId="77777777" w:rsidR="007667B1" w:rsidRPr="00060463" w:rsidRDefault="007667B1" w:rsidP="007667B1">
      <w:pPr>
        <w:widowControl w:val="0"/>
        <w:autoSpaceDE w:val="0"/>
        <w:autoSpaceDN w:val="0"/>
        <w:adjustRightInd w:val="0"/>
        <w:spacing w:after="0" w:line="360" w:lineRule="auto"/>
        <w:ind w:left="60"/>
        <w:rPr>
          <w:rFonts w:eastAsiaTheme="minorHAnsi" w:cs="Tahoma"/>
          <w:color w:val="auto"/>
          <w:lang w:eastAsia="en-US"/>
        </w:rPr>
      </w:pPr>
      <w:r w:rsidRPr="00060463">
        <w:rPr>
          <w:rFonts w:eastAsiaTheme="minorHAnsi" w:cs="Tahoma"/>
          <w:color w:val="auto"/>
          <w:lang w:eastAsia="en-US"/>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106820CD" w14:textId="77777777" w:rsidR="007667B1" w:rsidRPr="00060463" w:rsidRDefault="007667B1" w:rsidP="007667B1">
      <w:pPr>
        <w:widowControl w:val="0"/>
        <w:autoSpaceDE w:val="0"/>
        <w:autoSpaceDN w:val="0"/>
        <w:adjustRightInd w:val="0"/>
        <w:spacing w:after="0" w:line="360" w:lineRule="auto"/>
        <w:ind w:left="60"/>
        <w:rPr>
          <w:rFonts w:eastAsiaTheme="minorHAnsi" w:cs="Tahoma"/>
          <w:color w:val="auto"/>
          <w:lang w:eastAsia="en-US"/>
        </w:rPr>
      </w:pPr>
    </w:p>
    <w:p w14:paraId="05BF2188" w14:textId="77777777" w:rsidR="007667B1" w:rsidRPr="00060463" w:rsidRDefault="007667B1" w:rsidP="007667B1">
      <w:pPr>
        <w:widowControl w:val="0"/>
        <w:autoSpaceDE w:val="0"/>
        <w:autoSpaceDN w:val="0"/>
        <w:adjustRightInd w:val="0"/>
        <w:spacing w:after="0" w:line="360" w:lineRule="auto"/>
        <w:ind w:left="60"/>
        <w:rPr>
          <w:rFonts w:eastAsiaTheme="minorHAnsi" w:cs="Tahoma"/>
          <w:color w:val="auto"/>
          <w:lang w:eastAsia="en-US"/>
        </w:rPr>
      </w:pPr>
      <w:r w:rsidRPr="00060463">
        <w:rPr>
          <w:rFonts w:eastAsiaTheme="minorHAnsi" w:cs="Tahoma"/>
          <w:color w:val="auto"/>
          <w:lang w:eastAsia="en-US"/>
        </w:rPr>
        <w:t xml:space="preserve">Ahora bien, de acuerdo con el artículo 47 de la Ley del Trabajo de los Servidores Públicos del Estado de México, fracciones III y X, para ingresar al servicio público se requiere estar en pleno ejercicio de derechos civiles y políticos y no encontrarse inhabilitado para el desempeño de servicio público, asimismo, el artículo 5.4, fracciones IV y V, establecen que es requisito indispensable para ingresar al servicio público municipal, gozar plenamente de los derechos civiles y políticos y presentar Certificado de No Antecedentes Penales. </w:t>
      </w:r>
    </w:p>
    <w:p w14:paraId="107615B5" w14:textId="77777777" w:rsidR="007667B1" w:rsidRPr="00060463" w:rsidRDefault="007667B1" w:rsidP="007667B1">
      <w:pPr>
        <w:widowControl w:val="0"/>
        <w:autoSpaceDE w:val="0"/>
        <w:autoSpaceDN w:val="0"/>
        <w:adjustRightInd w:val="0"/>
        <w:spacing w:after="0" w:line="360" w:lineRule="auto"/>
        <w:ind w:left="60"/>
        <w:rPr>
          <w:rFonts w:eastAsiaTheme="minorHAnsi" w:cs="Tahoma"/>
          <w:color w:val="auto"/>
          <w:lang w:eastAsia="en-US"/>
        </w:rPr>
      </w:pPr>
    </w:p>
    <w:p w14:paraId="1D2B762E" w14:textId="77777777" w:rsidR="007667B1" w:rsidRPr="00060463" w:rsidRDefault="007667B1" w:rsidP="007667B1">
      <w:pPr>
        <w:widowControl w:val="0"/>
        <w:autoSpaceDE w:val="0"/>
        <w:autoSpaceDN w:val="0"/>
        <w:adjustRightInd w:val="0"/>
        <w:spacing w:after="0" w:line="360" w:lineRule="auto"/>
        <w:ind w:left="60"/>
        <w:rPr>
          <w:rFonts w:eastAsiaTheme="minorHAnsi" w:cs="Arial"/>
          <w:color w:val="auto"/>
          <w:lang w:eastAsia="en-US"/>
        </w:rPr>
      </w:pPr>
      <w:r w:rsidRPr="00060463">
        <w:rPr>
          <w:rFonts w:eastAsiaTheme="minorHAnsi" w:cs="Tahoma"/>
          <w:color w:val="auto"/>
          <w:lang w:eastAsia="en-US"/>
        </w:rPr>
        <w:t xml:space="preserve">En ese sentido, este documento se constituye de diversos datos personales como: nombre, fecha de nacimiento, Clave Única de Registro de Población, domicilio particular, entre otros, </w:t>
      </w:r>
      <w:r w:rsidRPr="00060463">
        <w:rPr>
          <w:rFonts w:eastAsiaTheme="minorHAnsi" w:cs="Arial"/>
          <w:color w:val="auto"/>
          <w:lang w:eastAsia="en-US"/>
        </w:rPr>
        <w:t xml:space="preserve">que atañen únicamente a la esfera privada del servidor público, sin embargo, también constituye un requisito indispensable de ingreso al servicio público municipal, por lo que, guarda relación directa con la contratación del servidor público y con el ejercicio de sus atribuciones. </w:t>
      </w:r>
    </w:p>
    <w:p w14:paraId="276189BF" w14:textId="77777777" w:rsidR="007667B1" w:rsidRPr="00060463" w:rsidRDefault="007667B1" w:rsidP="007667B1">
      <w:pPr>
        <w:spacing w:after="0" w:line="360" w:lineRule="auto"/>
        <w:ind w:left="60"/>
        <w:rPr>
          <w:rFonts w:cs="Arial"/>
          <w:color w:val="auto"/>
          <w:lang w:eastAsia="en-US"/>
        </w:rPr>
      </w:pPr>
    </w:p>
    <w:p w14:paraId="63EE1F5A" w14:textId="77777777" w:rsidR="007667B1" w:rsidRPr="00060463" w:rsidRDefault="007667B1" w:rsidP="007667B1">
      <w:pPr>
        <w:spacing w:after="0" w:line="360" w:lineRule="auto"/>
        <w:ind w:left="60"/>
        <w:rPr>
          <w:rFonts w:eastAsia="Calibri" w:cs="Tahoma"/>
          <w:bCs/>
          <w:color w:val="auto"/>
          <w:lang w:eastAsia="en-US"/>
        </w:rPr>
      </w:pPr>
      <w:r w:rsidRPr="00060463">
        <w:rPr>
          <w:rFonts w:eastAsia="Calibri" w:cs="Tahoma"/>
          <w:bCs/>
          <w:color w:val="auto"/>
          <w:lang w:eastAsia="en-US"/>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 proporcionarse en versión pública. </w:t>
      </w:r>
    </w:p>
    <w:p w14:paraId="4135BE06" w14:textId="77777777" w:rsidR="007667B1" w:rsidRPr="00060463" w:rsidRDefault="007667B1" w:rsidP="007667B1">
      <w:pPr>
        <w:spacing w:after="0" w:line="360" w:lineRule="auto"/>
        <w:rPr>
          <w:rFonts w:eastAsia="Calibri"/>
          <w:b/>
          <w:bCs/>
          <w:color w:val="auto"/>
          <w:lang w:eastAsia="en-US"/>
        </w:rPr>
      </w:pPr>
    </w:p>
    <w:p w14:paraId="45C7CF76" w14:textId="77777777" w:rsidR="007667B1" w:rsidRPr="00060463" w:rsidRDefault="007667B1" w:rsidP="007667B1">
      <w:pPr>
        <w:numPr>
          <w:ilvl w:val="0"/>
          <w:numId w:val="25"/>
        </w:numPr>
        <w:spacing w:after="0" w:line="360" w:lineRule="auto"/>
        <w:contextualSpacing/>
        <w:rPr>
          <w:rFonts w:eastAsia="Calibri" w:cs="Times New Roman"/>
          <w:b/>
          <w:bCs/>
          <w:szCs w:val="24"/>
          <w:lang w:val="x-none" w:eastAsia="es-ES"/>
        </w:rPr>
      </w:pPr>
      <w:r w:rsidRPr="00060463">
        <w:rPr>
          <w:rFonts w:eastAsia="Times New Roman" w:cs="Times New Roman"/>
          <w:b/>
          <w:bCs/>
          <w:szCs w:val="24"/>
          <w:lang w:eastAsia="es-ES"/>
        </w:rPr>
        <w:t>Constancia de No Inhabilitación</w:t>
      </w:r>
    </w:p>
    <w:p w14:paraId="1D6EAF32" w14:textId="77777777" w:rsidR="007667B1" w:rsidRPr="00060463" w:rsidRDefault="007667B1" w:rsidP="007667B1">
      <w:pPr>
        <w:spacing w:after="0" w:line="360" w:lineRule="auto"/>
        <w:ind w:left="780"/>
        <w:contextualSpacing/>
        <w:rPr>
          <w:rFonts w:eastAsia="Calibri" w:cs="Times New Roman"/>
          <w:b/>
          <w:bCs/>
          <w:szCs w:val="24"/>
          <w:lang w:val="x-none" w:eastAsia="es-ES"/>
        </w:rPr>
      </w:pPr>
    </w:p>
    <w:p w14:paraId="3A43D606" w14:textId="77777777" w:rsidR="007667B1" w:rsidRPr="00060463" w:rsidRDefault="007667B1" w:rsidP="007667B1">
      <w:pPr>
        <w:spacing w:after="0" w:line="360" w:lineRule="auto"/>
        <w:ind w:left="60"/>
        <w:rPr>
          <w:rFonts w:cs="Tahoma"/>
          <w:bCs/>
          <w:color w:val="auto"/>
          <w:lang w:eastAsia="en-US"/>
        </w:rPr>
      </w:pPr>
      <w:r w:rsidRPr="00060463">
        <w:rPr>
          <w:rFonts w:cs="Tahoma"/>
          <w:color w:val="auto"/>
          <w:lang w:val="es-ES" w:eastAsia="en-US"/>
        </w:rPr>
        <w:t xml:space="preserve">Al respecto, se logra vislumbrara que el sujeto Obligado clasificó el Registro Federal de Contribuyentes, sobre dicha circunstancia, cabe precisar que el </w:t>
      </w:r>
      <w:r w:rsidRPr="00060463">
        <w:rPr>
          <w:rFonts w:cs="Tahoma"/>
          <w:bCs/>
          <w:color w:val="auto"/>
          <w:lang w:eastAsia="en-US"/>
        </w:rPr>
        <w:t>Registro Federal de Contribuyentes, es un dato personal, que hace a las personas físicas identificas e identificables, además de que las relaciona como contribuyentes de las autoridades fiscales.</w:t>
      </w:r>
    </w:p>
    <w:p w14:paraId="57767B3F" w14:textId="77777777" w:rsidR="007667B1" w:rsidRPr="00060463" w:rsidRDefault="007667B1" w:rsidP="007667B1">
      <w:pPr>
        <w:spacing w:after="0" w:line="360" w:lineRule="auto"/>
        <w:ind w:left="60"/>
        <w:rPr>
          <w:rFonts w:cs="Tahoma"/>
          <w:bCs/>
          <w:color w:val="auto"/>
          <w:lang w:eastAsia="en-US"/>
        </w:rPr>
      </w:pPr>
    </w:p>
    <w:p w14:paraId="7762FC45" w14:textId="77777777" w:rsidR="007667B1" w:rsidRPr="00060463" w:rsidRDefault="007667B1" w:rsidP="007667B1">
      <w:pPr>
        <w:spacing w:after="0" w:line="360" w:lineRule="auto"/>
        <w:ind w:left="60"/>
        <w:rPr>
          <w:rFonts w:cs="Tahoma"/>
          <w:bCs/>
          <w:color w:val="auto"/>
          <w:lang w:eastAsia="en-US"/>
        </w:rPr>
      </w:pPr>
      <w:r w:rsidRPr="00060463">
        <w:rPr>
          <w:rFonts w:cs="Tahoma"/>
          <w:bCs/>
          <w:color w:val="auto"/>
          <w:lang w:eastAsia="en-US"/>
        </w:rPr>
        <w:t xml:space="preserve"> Es de destacar que dicho dato únicamente sirve para efectos fiscales y pago de contribuciones, por lo que se trata de un dato relevante únicamente para las personas involucrada, en el pago de estos, en el presente caso, del pago del Impuesto Sobre el Producto del Trabajo y no guarda relación con la transparencia de los recursos públicos, así como tampoco con el desempeño laboral que pueda tener una persona, por lo que constituye un dato personal confidencial. </w:t>
      </w:r>
    </w:p>
    <w:p w14:paraId="2B74E1D9" w14:textId="77777777" w:rsidR="007667B1" w:rsidRPr="00060463" w:rsidRDefault="007667B1" w:rsidP="007667B1">
      <w:pPr>
        <w:spacing w:after="0" w:line="360" w:lineRule="auto"/>
        <w:ind w:left="60"/>
        <w:rPr>
          <w:rFonts w:cs="Tahoma"/>
          <w:bCs/>
          <w:color w:val="auto"/>
          <w:lang w:eastAsia="en-US"/>
        </w:rPr>
      </w:pPr>
    </w:p>
    <w:p w14:paraId="3E090232" w14:textId="77777777" w:rsidR="007667B1" w:rsidRPr="00060463" w:rsidRDefault="007667B1" w:rsidP="007667B1">
      <w:pPr>
        <w:spacing w:after="0" w:line="360" w:lineRule="auto"/>
        <w:ind w:left="60"/>
        <w:rPr>
          <w:rFonts w:cs="Tahoma"/>
          <w:bCs/>
          <w:color w:val="auto"/>
          <w:lang w:eastAsia="en-US"/>
        </w:rPr>
      </w:pPr>
      <w:r w:rsidRPr="00060463">
        <w:rPr>
          <w:rFonts w:cs="Tahoma"/>
          <w:bCs/>
          <w:color w:val="auto"/>
          <w:lang w:eastAsia="en-US"/>
        </w:rPr>
        <w:t>No obstante este Instituto considera que la fecha de elaboración y el código de barras de autenticación, pues c</w:t>
      </w:r>
      <w:r w:rsidRPr="00060463">
        <w:rPr>
          <w:rFonts w:eastAsia="Calibri" w:cs="Tahoma"/>
          <w:bCs/>
          <w:iCs/>
          <w:color w:val="000000"/>
          <w:lang w:eastAsia="en-US"/>
        </w:rPr>
        <w:t xml:space="preserve">orresponde al identificador electrónico de verificación de la constancia, que de su acceso, no arroja algún tipo de dato personal, por lo que, al no desprenderse información de la vida privada del servidor público, mismas que no actualiza algún supuesto  de clasificación, no bastante toda vez que contiene datos personales como el RFC , actualiza lo previsto en el artículo 143, fracción I de la Ley en la materia, por lo que, resulta procedente su clasificación. </w:t>
      </w:r>
    </w:p>
    <w:p w14:paraId="7AA61320" w14:textId="77777777" w:rsidR="007667B1" w:rsidRPr="00060463" w:rsidRDefault="007667B1" w:rsidP="007667B1">
      <w:pPr>
        <w:spacing w:after="0" w:line="360" w:lineRule="auto"/>
        <w:rPr>
          <w:rFonts w:eastAsia="Calibri"/>
          <w:b/>
          <w:bCs/>
          <w:color w:val="auto"/>
          <w:lang w:val="x-none" w:eastAsia="en-US"/>
        </w:rPr>
      </w:pPr>
    </w:p>
    <w:p w14:paraId="5038A018" w14:textId="77777777" w:rsidR="007667B1" w:rsidRPr="00060463" w:rsidRDefault="007667B1" w:rsidP="007667B1">
      <w:pPr>
        <w:numPr>
          <w:ilvl w:val="0"/>
          <w:numId w:val="25"/>
        </w:numPr>
        <w:spacing w:after="0" w:line="360" w:lineRule="auto"/>
        <w:contextualSpacing/>
        <w:rPr>
          <w:rFonts w:eastAsia="Calibri" w:cs="Times New Roman"/>
          <w:b/>
          <w:bCs/>
          <w:szCs w:val="24"/>
          <w:lang w:val="x-none" w:eastAsia="es-ES"/>
        </w:rPr>
      </w:pPr>
      <w:r w:rsidRPr="00060463">
        <w:rPr>
          <w:rFonts w:eastAsia="Times New Roman" w:cs="Times New Roman"/>
          <w:b/>
          <w:bCs/>
          <w:szCs w:val="24"/>
          <w:lang w:eastAsia="es-ES"/>
        </w:rPr>
        <w:t>Cédula Profesional</w:t>
      </w:r>
    </w:p>
    <w:p w14:paraId="2762A118" w14:textId="77777777" w:rsidR="007667B1" w:rsidRPr="00060463" w:rsidRDefault="007667B1" w:rsidP="007667B1">
      <w:pPr>
        <w:tabs>
          <w:tab w:val="left" w:pos="4962"/>
        </w:tabs>
        <w:spacing w:after="0" w:line="360" w:lineRule="auto"/>
        <w:ind w:right="-28"/>
        <w:rPr>
          <w:rFonts w:eastAsia="Times New Roman" w:cs="Times New Roman"/>
          <w:color w:val="auto"/>
          <w:lang w:val="es-ES"/>
        </w:rPr>
      </w:pPr>
    </w:p>
    <w:p w14:paraId="0DCAF089" w14:textId="77777777" w:rsidR="007667B1" w:rsidRPr="00060463" w:rsidRDefault="007667B1" w:rsidP="007667B1">
      <w:pPr>
        <w:spacing w:after="0" w:line="360" w:lineRule="auto"/>
        <w:rPr>
          <w:color w:val="auto"/>
          <w:lang w:eastAsia="en-US"/>
        </w:rPr>
      </w:pPr>
      <w:r w:rsidRPr="00060463">
        <w:rPr>
          <w:rFonts w:eastAsia="Times New Roman" w:cs="Tahoma"/>
          <w:color w:val="auto"/>
          <w:szCs w:val="24"/>
          <w:lang w:val="es-ES" w:eastAsia="es-ES"/>
        </w:rPr>
        <w:t xml:space="preserve">La </w:t>
      </w:r>
      <w:r w:rsidRPr="00060463">
        <w:rPr>
          <w:rFonts w:eastAsia="Times New Roman" w:cs="Tahoma"/>
          <w:b/>
          <w:bCs/>
          <w:color w:val="auto"/>
          <w:szCs w:val="24"/>
          <w:lang w:val="es-ES" w:eastAsia="es-ES"/>
        </w:rPr>
        <w:t>cédula profesional</w:t>
      </w:r>
      <w:r w:rsidRPr="00060463">
        <w:rPr>
          <w:rFonts w:eastAsia="Times New Roman" w:cs="Tahoma"/>
          <w:color w:val="auto"/>
          <w:szCs w:val="24"/>
          <w:lang w:val="es-ES" w:eastAsia="es-ES"/>
        </w:rPr>
        <w:t xml:space="preserve"> es </w:t>
      </w:r>
      <w:r w:rsidRPr="00060463">
        <w:rPr>
          <w:color w:val="auto"/>
          <w:lang w:eastAsia="en-US"/>
        </w:rPr>
        <w:t xml:space="preserve">es aquella expresión documental con validez legal, para certificar o demostrar que efectivamente una persona está calificado para ejercer la profesión para la cual se ha preparado y ha recibido un </w:t>
      </w:r>
      <w:r w:rsidRPr="00060463">
        <w:rPr>
          <w:color w:val="auto"/>
          <w:u w:val="single"/>
          <w:lang w:eastAsia="en-US"/>
        </w:rPr>
        <w:t>título profesional</w:t>
      </w:r>
      <w:r w:rsidRPr="00060463">
        <w:rPr>
          <w:color w:val="auto"/>
          <w:lang w:eastAsia="en-US"/>
        </w:rPr>
        <w:t>, conforme a lo referido en la página oficial de la Secretaría de Educación Pública.</w:t>
      </w:r>
    </w:p>
    <w:p w14:paraId="3AC8AB6F" w14:textId="77777777" w:rsidR="0097677E" w:rsidRPr="00060463" w:rsidRDefault="0097677E" w:rsidP="007667B1">
      <w:pPr>
        <w:spacing w:after="0" w:line="360" w:lineRule="auto"/>
        <w:rPr>
          <w:color w:val="auto"/>
          <w:lang w:eastAsia="en-US"/>
        </w:rPr>
      </w:pPr>
    </w:p>
    <w:p w14:paraId="3D7A70F1" w14:textId="77777777" w:rsidR="007667B1" w:rsidRPr="00060463" w:rsidRDefault="007667B1" w:rsidP="007667B1">
      <w:pPr>
        <w:spacing w:after="0" w:line="360" w:lineRule="auto"/>
        <w:rPr>
          <w:color w:val="auto"/>
          <w:lang w:eastAsia="en-US"/>
        </w:rPr>
      </w:pPr>
      <w:r w:rsidRPr="00060463">
        <w:rPr>
          <w:color w:val="auto"/>
          <w:lang w:eastAsia="en-US"/>
        </w:rPr>
        <w:t xml:space="preserve">Por lo que dicho documento, </w:t>
      </w:r>
      <w:r w:rsidRPr="00060463">
        <w:rPr>
          <w:color w:val="auto"/>
          <w:u w:val="single"/>
          <w:lang w:eastAsia="en-US"/>
        </w:rPr>
        <w:t>es aquel que adquiere toda persona a quien legalmente se le haya expedido título profesional o grado académico equivalente</w:t>
      </w:r>
      <w:r w:rsidRPr="00060463">
        <w:rPr>
          <w:color w:val="auto"/>
          <w:lang w:eastAsia="en-US"/>
        </w:rPr>
        <w:t xml:space="preserve">, con efectos de patente, previo registro de dicho título o grado la cual es otorgada por la Dirección General de </w:t>
      </w:r>
      <w:r w:rsidRPr="00060463">
        <w:rPr>
          <w:color w:val="auto"/>
          <w:lang w:eastAsia="en-US"/>
        </w:rPr>
        <w:lastRenderedPageBreak/>
        <w:t>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1D4B97BB" w14:textId="77777777" w:rsidR="007667B1" w:rsidRPr="00060463" w:rsidRDefault="007667B1" w:rsidP="007667B1">
      <w:pPr>
        <w:spacing w:after="0" w:line="360" w:lineRule="auto"/>
        <w:ind w:right="-28"/>
        <w:contextualSpacing/>
        <w:rPr>
          <w:rFonts w:eastAsia="Times New Roman" w:cs="Tahoma"/>
          <w:color w:val="auto"/>
          <w:lang w:eastAsia="es-ES"/>
        </w:rPr>
      </w:pPr>
    </w:p>
    <w:p w14:paraId="7808B407" w14:textId="77777777" w:rsidR="007667B1" w:rsidRPr="00060463" w:rsidRDefault="007667B1" w:rsidP="007667B1">
      <w:pPr>
        <w:spacing w:after="0" w:line="360" w:lineRule="auto"/>
        <w:rPr>
          <w:rFonts w:eastAsia="Calibri" w:cs="Times New Roman"/>
          <w:b/>
          <w:color w:val="000000"/>
          <w:lang w:eastAsia="en-US"/>
        </w:rPr>
      </w:pPr>
      <w:r w:rsidRPr="00060463">
        <w:rPr>
          <w:rFonts w:eastAsia="Calibri" w:cs="Times New Roman"/>
          <w:color w:val="000000"/>
          <w:lang w:eastAsia="en-US"/>
        </w:rPr>
        <w:t xml:space="preserve">Así, los documentos que </w:t>
      </w:r>
      <w:r w:rsidRPr="00060463">
        <w:rPr>
          <w:rFonts w:eastAsia="Calibri" w:cs="Times New Roman"/>
          <w:b/>
          <w:color w:val="000000"/>
          <w:lang w:eastAsia="en-US"/>
        </w:rPr>
        <w:t xml:space="preserve">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00EF5B3F" w14:textId="77777777" w:rsidR="007667B1" w:rsidRPr="00060463" w:rsidRDefault="007667B1" w:rsidP="007667B1">
      <w:pPr>
        <w:spacing w:after="0" w:line="360" w:lineRule="auto"/>
        <w:rPr>
          <w:rFonts w:eastAsia="Calibri" w:cs="Times New Roman"/>
          <w:b/>
          <w:color w:val="000000"/>
          <w:lang w:eastAsia="en-US"/>
        </w:rPr>
      </w:pPr>
    </w:p>
    <w:p w14:paraId="798C262C" w14:textId="77777777" w:rsidR="007667B1" w:rsidRPr="00060463" w:rsidRDefault="007667B1" w:rsidP="007667B1">
      <w:pPr>
        <w:spacing w:after="0" w:line="360" w:lineRule="auto"/>
        <w:rPr>
          <w:rFonts w:eastAsia="Calibri" w:cs="Times New Roman"/>
          <w:b/>
          <w:color w:val="000000"/>
          <w:lang w:eastAsia="en-US"/>
        </w:rPr>
      </w:pPr>
      <w:r w:rsidRPr="00060463">
        <w:rPr>
          <w:rFonts w:eastAsia="Calibri" w:cs="Times New Roman"/>
          <w:color w:val="000000"/>
          <w:lang w:eastAsia="en-US"/>
        </w:rPr>
        <w:t>Además, debe tenerse presente que la naturaleza del título profesional y c</w:t>
      </w:r>
      <w:proofErr w:type="spellStart"/>
      <w:r w:rsidRPr="00060463">
        <w:rPr>
          <w:rFonts w:eastAsia="Calibri" w:cs="Times New Roman"/>
          <w:color w:val="000000"/>
          <w:lang w:val="x-none" w:eastAsia="en-US"/>
        </w:rPr>
        <w:t>édula</w:t>
      </w:r>
      <w:proofErr w:type="spellEnd"/>
      <w:r w:rsidRPr="00060463">
        <w:rPr>
          <w:rFonts w:eastAsia="Calibri" w:cs="Times New Roman"/>
          <w:color w:val="000000"/>
          <w:lang w:val="x-none" w:eastAsia="en-US"/>
        </w:rPr>
        <w:t xml:space="preserve"> profesional</w:t>
      </w:r>
      <w:r w:rsidRPr="00060463">
        <w:rPr>
          <w:rFonts w:eastAsia="Calibri" w:cs="Times New Roman"/>
          <w:color w:val="000000"/>
          <w:lang w:eastAsia="en-US"/>
        </w:rPr>
        <w:t xml:space="preserve">, consiste en la de ser documentos de identificación para que a sus titulares, los acrediten como profesionales o expertos en algún área de estudio o conocimiento frente a terceros; por lo que, proporcionar dicha información </w:t>
      </w:r>
      <w:r w:rsidRPr="00060463">
        <w:rPr>
          <w:rFonts w:eastAsia="Calibri" w:cs="Times New Roman"/>
          <w:bCs/>
          <w:color w:val="000000"/>
          <w:lang w:eastAsia="en-US"/>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10A15F39" w14:textId="77777777" w:rsidR="007667B1" w:rsidRPr="00060463" w:rsidRDefault="007667B1" w:rsidP="007667B1">
      <w:pPr>
        <w:spacing w:after="0" w:line="360" w:lineRule="auto"/>
        <w:rPr>
          <w:rFonts w:eastAsia="Calibri" w:cs="Arial"/>
          <w:color w:val="auto"/>
          <w:lang w:eastAsia="en-US"/>
        </w:rPr>
      </w:pPr>
    </w:p>
    <w:p w14:paraId="2CF56CD1" w14:textId="77777777" w:rsidR="007667B1" w:rsidRPr="00060463" w:rsidRDefault="007667B1" w:rsidP="007667B1">
      <w:pPr>
        <w:spacing w:after="0" w:line="360" w:lineRule="auto"/>
        <w:rPr>
          <w:rFonts w:eastAsiaTheme="minorHAnsi" w:cs="Tahoma"/>
          <w:bCs/>
          <w:lang w:eastAsia="en-US"/>
        </w:rPr>
      </w:pPr>
    </w:p>
    <w:p w14:paraId="5E5C4AD7" w14:textId="77777777" w:rsidR="007667B1" w:rsidRPr="00060463" w:rsidRDefault="007667B1" w:rsidP="007667B1">
      <w:pPr>
        <w:numPr>
          <w:ilvl w:val="0"/>
          <w:numId w:val="10"/>
        </w:numPr>
        <w:spacing w:after="0" w:line="360" w:lineRule="auto"/>
        <w:contextualSpacing/>
        <w:jc w:val="left"/>
        <w:rPr>
          <w:rFonts w:eastAsia="Calibri" w:cs="Tahoma"/>
          <w:b/>
          <w:bCs/>
          <w:color w:val="auto"/>
          <w:lang w:eastAsia="en-US"/>
        </w:rPr>
      </w:pPr>
      <w:r w:rsidRPr="00060463">
        <w:rPr>
          <w:rFonts w:eastAsia="Calibri" w:cs="Tahoma"/>
          <w:b/>
          <w:bCs/>
          <w:color w:val="auto"/>
          <w:lang w:eastAsia="en-US"/>
        </w:rPr>
        <w:t>Fecha de nacimiento</w:t>
      </w:r>
    </w:p>
    <w:p w14:paraId="7D36CFA3" w14:textId="77777777" w:rsidR="0097677E" w:rsidRPr="00060463" w:rsidRDefault="0097677E" w:rsidP="0097677E">
      <w:pPr>
        <w:spacing w:after="0" w:line="360" w:lineRule="auto"/>
        <w:ind w:left="720"/>
        <w:contextualSpacing/>
        <w:jc w:val="left"/>
        <w:rPr>
          <w:rFonts w:eastAsia="Calibri" w:cs="Tahoma"/>
          <w:b/>
          <w:bCs/>
          <w:color w:val="auto"/>
          <w:lang w:eastAsia="en-US"/>
        </w:rPr>
      </w:pPr>
    </w:p>
    <w:p w14:paraId="15B00DCC" w14:textId="77777777" w:rsidR="007667B1" w:rsidRPr="00060463" w:rsidRDefault="007667B1" w:rsidP="007667B1">
      <w:pPr>
        <w:spacing w:after="0" w:line="360" w:lineRule="auto"/>
        <w:rPr>
          <w:rFonts w:eastAsia="Calibri" w:cs="Tahoma"/>
          <w:bCs/>
          <w:color w:val="auto"/>
          <w:lang w:val="es-ES_tradnl" w:eastAsia="en-US"/>
        </w:rPr>
      </w:pPr>
      <w:r w:rsidRPr="00060463">
        <w:rPr>
          <w:rFonts w:eastAsia="Calibri" w:cs="Tahoma"/>
          <w:bCs/>
          <w:color w:val="auto"/>
          <w:lang w:val="es-ES_tradnl" w:eastAsia="en-US"/>
        </w:rPr>
        <w:t xml:space="preserve">La fecha de nacimiento es un dato personal, toda vez que consiste en información concerniente a una persona física identificada o identificable, toda vez que revela el día exacto en que nació así como, la edad de la persona, que tal como se analizó previamente es </w:t>
      </w:r>
      <w:r w:rsidRPr="00060463">
        <w:rPr>
          <w:rFonts w:eastAsia="Calibri" w:cs="Tahoma"/>
          <w:bCs/>
          <w:color w:val="auto"/>
          <w:lang w:val="es-ES_tradnl" w:eastAsia="en-US"/>
        </w:rPr>
        <w:lastRenderedPageBreak/>
        <w:t>clasificada, más aún cuando este dato se encuentra vinculado con el nombre de una persona en específico.</w:t>
      </w:r>
    </w:p>
    <w:p w14:paraId="1E0E0FF9" w14:textId="77777777" w:rsidR="007667B1" w:rsidRPr="00060463" w:rsidRDefault="007667B1" w:rsidP="007667B1">
      <w:pPr>
        <w:spacing w:after="0" w:line="360" w:lineRule="auto"/>
        <w:rPr>
          <w:rFonts w:eastAsia="Calibri" w:cs="Tahoma"/>
          <w:bCs/>
          <w:color w:val="auto"/>
          <w:lang w:val="es-ES_tradnl" w:eastAsia="en-US"/>
        </w:rPr>
      </w:pPr>
    </w:p>
    <w:p w14:paraId="1C87742A" w14:textId="77777777" w:rsidR="007667B1" w:rsidRPr="00060463" w:rsidRDefault="007667B1" w:rsidP="007667B1">
      <w:pPr>
        <w:spacing w:after="0" w:line="360" w:lineRule="auto"/>
        <w:rPr>
          <w:rFonts w:eastAsia="Calibri" w:cs="Tahoma"/>
          <w:bCs/>
          <w:color w:val="auto"/>
          <w:lang w:val="es-ES_tradnl" w:eastAsia="en-US"/>
        </w:rPr>
      </w:pPr>
      <w:r w:rsidRPr="00060463">
        <w:rPr>
          <w:rFonts w:eastAsia="Calibri" w:cs="Tahoma"/>
          <w:bCs/>
          <w:color w:val="auto"/>
          <w:lang w:val="es-ES_tradnl" w:eastAsia="en-US"/>
        </w:rPr>
        <w:t xml:space="preserve"> Conforme a lo anterior, se colige que se trate de un dato concerniente a la vida privada de la persona, en virtud de que darlo a conocer se afectaría la intimidad de la misma; por lo tanto, es considerado un dato de carácter confidencial, en términos de lo dispuesto en el artículo 143, fracción I de la Ley de Transparencia y Acceso a la Información Pública del Estado de México y Municipios.</w:t>
      </w:r>
    </w:p>
    <w:p w14:paraId="13802549" w14:textId="77777777" w:rsidR="007667B1" w:rsidRPr="00060463" w:rsidRDefault="007667B1" w:rsidP="007667B1">
      <w:pPr>
        <w:spacing w:after="0" w:line="360" w:lineRule="auto"/>
        <w:rPr>
          <w:rFonts w:eastAsia="Calibri" w:cs="Tahoma"/>
          <w:b/>
          <w:bCs/>
          <w:color w:val="auto"/>
          <w:sz w:val="20"/>
          <w:lang w:eastAsia="en-US"/>
        </w:rPr>
      </w:pPr>
    </w:p>
    <w:p w14:paraId="36231393" w14:textId="77777777" w:rsidR="007667B1" w:rsidRPr="00060463" w:rsidRDefault="007667B1" w:rsidP="007667B1">
      <w:pPr>
        <w:numPr>
          <w:ilvl w:val="0"/>
          <w:numId w:val="10"/>
        </w:numPr>
        <w:spacing w:after="0" w:line="360" w:lineRule="auto"/>
        <w:contextualSpacing/>
        <w:jc w:val="left"/>
        <w:rPr>
          <w:rFonts w:eastAsia="Calibri" w:cs="Tahoma"/>
          <w:b/>
          <w:bCs/>
          <w:color w:val="auto"/>
          <w:lang w:eastAsia="en-US"/>
        </w:rPr>
      </w:pPr>
      <w:r w:rsidRPr="00060463">
        <w:rPr>
          <w:rFonts w:eastAsia="Calibri" w:cs="Tahoma"/>
          <w:b/>
          <w:bCs/>
          <w:color w:val="auto"/>
          <w:lang w:eastAsia="en-US"/>
        </w:rPr>
        <w:t>Edad</w:t>
      </w:r>
    </w:p>
    <w:p w14:paraId="7AB2AEC3" w14:textId="77777777" w:rsidR="007667B1" w:rsidRPr="00060463" w:rsidRDefault="007667B1" w:rsidP="007667B1">
      <w:pPr>
        <w:spacing w:after="0" w:line="360" w:lineRule="auto"/>
        <w:rPr>
          <w:rFonts w:eastAsia="Calibri" w:cs="Tahoma"/>
          <w:b/>
          <w:bCs/>
          <w:color w:val="auto"/>
          <w:sz w:val="20"/>
          <w:lang w:eastAsia="en-US"/>
        </w:rPr>
      </w:pPr>
    </w:p>
    <w:p w14:paraId="33E7702B" w14:textId="77777777" w:rsidR="007667B1" w:rsidRPr="00060463" w:rsidRDefault="007667B1" w:rsidP="007667B1">
      <w:pPr>
        <w:spacing w:after="0" w:line="360" w:lineRule="auto"/>
        <w:rPr>
          <w:rFonts w:eastAsia="Calibri" w:cs="Tahoma"/>
          <w:bCs/>
          <w:color w:val="auto"/>
          <w:lang w:eastAsia="en-US"/>
        </w:rPr>
      </w:pPr>
      <w:r w:rsidRPr="00060463">
        <w:rPr>
          <w:rFonts w:eastAsia="Calibri" w:cs="Tahoma"/>
          <w:bCs/>
          <w:color w:val="auto"/>
          <w:lang w:eastAsia="en-US"/>
        </w:rPr>
        <w:t>Al respecto, este Instituto advierte que la edad es información referida a la esfera privada de los particulares, dado que la misma da cuenta de los años cumplidos, el nivel de madurez, las características físicas y de raciocinio de una persona, por lo que resulta procedente clasificar dicho dato en términos del artículo 143, fracción I de la Ley de Transparencia y Acceso a la Información Pública del Estado de México y Municipios. Lo anterior toma sustento, con el hecho de que se realizó una búsqueda de información pública y no se localizó que la edad sea un requisito para obtener el cargo.</w:t>
      </w:r>
    </w:p>
    <w:p w14:paraId="50C6E8E1" w14:textId="77777777" w:rsidR="007667B1" w:rsidRPr="00060463" w:rsidRDefault="007667B1" w:rsidP="007667B1">
      <w:pPr>
        <w:spacing w:after="0" w:line="360" w:lineRule="auto"/>
        <w:rPr>
          <w:rFonts w:eastAsia="Calibri" w:cs="Tahoma"/>
          <w:bCs/>
          <w:color w:val="auto"/>
          <w:lang w:eastAsia="en-US"/>
        </w:rPr>
      </w:pPr>
    </w:p>
    <w:p w14:paraId="79E0CF9C" w14:textId="77777777" w:rsidR="007667B1" w:rsidRPr="00060463" w:rsidRDefault="007667B1" w:rsidP="007667B1">
      <w:pPr>
        <w:numPr>
          <w:ilvl w:val="0"/>
          <w:numId w:val="10"/>
        </w:numPr>
        <w:spacing w:after="0" w:line="360" w:lineRule="auto"/>
        <w:contextualSpacing/>
        <w:jc w:val="left"/>
        <w:rPr>
          <w:rFonts w:eastAsia="Calibri" w:cs="Tahoma"/>
          <w:b/>
          <w:bCs/>
          <w:color w:val="auto"/>
          <w:lang w:eastAsia="en-US"/>
        </w:rPr>
      </w:pPr>
      <w:r w:rsidRPr="00060463">
        <w:rPr>
          <w:rFonts w:eastAsia="Calibri" w:cs="Tahoma"/>
          <w:b/>
          <w:bCs/>
          <w:color w:val="auto"/>
          <w:lang w:eastAsia="en-US"/>
        </w:rPr>
        <w:t>Estado civil</w:t>
      </w:r>
    </w:p>
    <w:p w14:paraId="408985A3" w14:textId="77777777" w:rsidR="007667B1" w:rsidRPr="00060463" w:rsidRDefault="007667B1" w:rsidP="007667B1">
      <w:pPr>
        <w:spacing w:after="0" w:line="360" w:lineRule="auto"/>
        <w:rPr>
          <w:rFonts w:eastAsia="Calibri" w:cs="Tahoma"/>
          <w:b/>
          <w:bCs/>
          <w:color w:val="auto"/>
          <w:sz w:val="20"/>
          <w:lang w:eastAsia="en-US"/>
        </w:rPr>
      </w:pPr>
    </w:p>
    <w:p w14:paraId="76D8A2B1" w14:textId="77777777" w:rsidR="007667B1" w:rsidRPr="00060463" w:rsidRDefault="007667B1" w:rsidP="007667B1">
      <w:pPr>
        <w:spacing w:after="0" w:line="360" w:lineRule="auto"/>
        <w:rPr>
          <w:rFonts w:eastAsia="Calibri" w:cs="Tahoma"/>
          <w:bCs/>
          <w:color w:val="auto"/>
          <w:lang w:val="es-ES" w:eastAsia="en-US"/>
        </w:rPr>
      </w:pPr>
      <w:r w:rsidRPr="00060463">
        <w:rPr>
          <w:rFonts w:eastAsia="Calibri" w:cs="Tahoma"/>
          <w:bCs/>
          <w:color w:val="auto"/>
          <w:lang w:val="es-ES" w:eastAsia="en-US"/>
        </w:rPr>
        <w:t xml:space="preserve">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w:t>
      </w:r>
      <w:r w:rsidRPr="00060463">
        <w:rPr>
          <w:rFonts w:eastAsia="Calibri" w:cs="Tahoma"/>
          <w:bCs/>
          <w:color w:val="auto"/>
          <w:lang w:val="es-ES" w:eastAsia="en-US"/>
        </w:rPr>
        <w:lastRenderedPageBreak/>
        <w:t>irrelevante, ya que tener uno u otro no influye en el mejor o menor desempeño de un cargo público.</w:t>
      </w:r>
    </w:p>
    <w:p w14:paraId="6FE65064" w14:textId="77777777" w:rsidR="007667B1" w:rsidRPr="00060463" w:rsidRDefault="007667B1" w:rsidP="007667B1">
      <w:pPr>
        <w:spacing w:after="0" w:line="360" w:lineRule="auto"/>
        <w:rPr>
          <w:rFonts w:eastAsia="Calibri" w:cs="Tahoma"/>
          <w:bCs/>
          <w:color w:val="auto"/>
          <w:lang w:val="es-ES" w:eastAsia="en-US"/>
        </w:rPr>
      </w:pPr>
    </w:p>
    <w:p w14:paraId="71A70256" w14:textId="77777777" w:rsidR="007667B1" w:rsidRPr="00060463" w:rsidRDefault="007667B1" w:rsidP="007667B1">
      <w:pPr>
        <w:spacing w:after="0" w:line="360" w:lineRule="auto"/>
        <w:rPr>
          <w:rFonts w:eastAsia="Calibri" w:cs="Tahoma"/>
          <w:bCs/>
          <w:color w:val="auto"/>
          <w:lang w:val="es-ES" w:eastAsia="en-US"/>
        </w:rPr>
      </w:pPr>
      <w:r w:rsidRPr="00060463">
        <w:rPr>
          <w:rFonts w:eastAsia="Calibri" w:cs="Tahoma"/>
          <w:bCs/>
          <w:color w:val="auto"/>
          <w:lang w:val="es-ES" w:eastAsia="en-US"/>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2F11A0BE" w14:textId="77777777" w:rsidR="007667B1" w:rsidRPr="00060463" w:rsidRDefault="007667B1" w:rsidP="007667B1">
      <w:pPr>
        <w:spacing w:after="0" w:line="360" w:lineRule="auto"/>
        <w:rPr>
          <w:rFonts w:eastAsia="Calibri" w:cs="Tahoma"/>
          <w:bCs/>
          <w:color w:val="auto"/>
          <w:lang w:eastAsia="en-US"/>
        </w:rPr>
      </w:pPr>
    </w:p>
    <w:p w14:paraId="52506A78" w14:textId="77777777" w:rsidR="007667B1" w:rsidRPr="00060463" w:rsidRDefault="007667B1" w:rsidP="007667B1">
      <w:pPr>
        <w:numPr>
          <w:ilvl w:val="0"/>
          <w:numId w:val="10"/>
        </w:numPr>
        <w:spacing w:after="0" w:line="360" w:lineRule="auto"/>
        <w:contextualSpacing/>
        <w:jc w:val="left"/>
        <w:rPr>
          <w:rFonts w:eastAsia="Times New Roman" w:cs="Tahoma"/>
          <w:color w:val="auto"/>
          <w:lang w:eastAsia="es-ES"/>
        </w:rPr>
      </w:pPr>
      <w:r w:rsidRPr="00060463">
        <w:rPr>
          <w:rFonts w:eastAsia="Times New Roman" w:cs="Tahoma"/>
          <w:b/>
          <w:color w:val="auto"/>
          <w:lang w:eastAsia="es-ES"/>
        </w:rPr>
        <w:t>Correo electrónico particular</w:t>
      </w:r>
    </w:p>
    <w:p w14:paraId="72116870" w14:textId="77777777" w:rsidR="007667B1" w:rsidRPr="00060463" w:rsidRDefault="007667B1" w:rsidP="007667B1">
      <w:pPr>
        <w:spacing w:after="0" w:line="360" w:lineRule="auto"/>
        <w:rPr>
          <w:rFonts w:eastAsia="Calibri" w:cs="Tahoma"/>
          <w:bCs/>
          <w:color w:val="auto"/>
          <w:lang w:val="es-ES" w:eastAsia="en-US"/>
        </w:rPr>
      </w:pPr>
    </w:p>
    <w:p w14:paraId="20E091A4" w14:textId="77777777" w:rsidR="007667B1" w:rsidRPr="00060463" w:rsidRDefault="007667B1" w:rsidP="007667B1">
      <w:pPr>
        <w:spacing w:after="0" w:line="360" w:lineRule="auto"/>
        <w:rPr>
          <w:rFonts w:eastAsia="Calibri" w:cs="Tahoma"/>
          <w:bCs/>
          <w:color w:val="auto"/>
          <w:lang w:val="es-ES" w:eastAsia="en-US"/>
        </w:rPr>
      </w:pPr>
      <w:r w:rsidRPr="00060463">
        <w:rPr>
          <w:rFonts w:eastAsia="Calibri" w:cs="Tahoma"/>
          <w:bCs/>
          <w:color w:val="auto"/>
          <w:lang w:val="es-ES"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62400B48" w14:textId="77777777" w:rsidR="007667B1" w:rsidRPr="00060463" w:rsidRDefault="007667B1" w:rsidP="007667B1">
      <w:pPr>
        <w:spacing w:after="0" w:line="360" w:lineRule="auto"/>
        <w:rPr>
          <w:rFonts w:eastAsia="Calibri" w:cs="Tahoma"/>
          <w:bCs/>
          <w:color w:val="auto"/>
          <w:lang w:val="es-ES" w:eastAsia="en-US"/>
        </w:rPr>
      </w:pPr>
    </w:p>
    <w:p w14:paraId="4DFDA6AB" w14:textId="77777777" w:rsidR="007667B1" w:rsidRPr="00060463" w:rsidRDefault="007667B1" w:rsidP="007667B1">
      <w:pPr>
        <w:spacing w:after="0" w:line="360" w:lineRule="auto"/>
        <w:rPr>
          <w:rFonts w:eastAsia="Calibri" w:cs="Tahoma"/>
          <w:bCs/>
          <w:color w:val="auto"/>
          <w:lang w:val="es-ES" w:eastAsia="en-US"/>
        </w:rPr>
      </w:pPr>
      <w:r w:rsidRPr="00060463">
        <w:rPr>
          <w:rFonts w:eastAsia="Calibri" w:cs="Tahoma"/>
          <w:bCs/>
          <w:color w:val="auto"/>
          <w:lang w:val="es-ES" w:eastAsia="en-US"/>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16EFBBF9" w14:textId="77777777" w:rsidR="007667B1" w:rsidRPr="00060463" w:rsidRDefault="007667B1" w:rsidP="007667B1">
      <w:pPr>
        <w:spacing w:after="0" w:line="360" w:lineRule="auto"/>
        <w:rPr>
          <w:rFonts w:eastAsia="Calibri" w:cs="Tahoma"/>
          <w:bCs/>
          <w:color w:val="auto"/>
          <w:lang w:val="es-ES" w:eastAsia="en-US"/>
        </w:rPr>
      </w:pPr>
    </w:p>
    <w:p w14:paraId="060B0EBC" w14:textId="77777777" w:rsidR="007667B1" w:rsidRPr="00060463" w:rsidRDefault="007667B1" w:rsidP="007667B1">
      <w:pPr>
        <w:numPr>
          <w:ilvl w:val="0"/>
          <w:numId w:val="10"/>
        </w:numPr>
        <w:spacing w:after="0" w:line="360" w:lineRule="auto"/>
        <w:contextualSpacing/>
        <w:jc w:val="left"/>
        <w:rPr>
          <w:rFonts w:eastAsia="Times New Roman" w:cs="Tahoma"/>
          <w:color w:val="auto"/>
          <w:lang w:eastAsia="es-ES"/>
        </w:rPr>
      </w:pPr>
      <w:r w:rsidRPr="00060463">
        <w:rPr>
          <w:rFonts w:eastAsia="Times New Roman" w:cs="Tahoma"/>
          <w:b/>
          <w:color w:val="auto"/>
          <w:lang w:eastAsia="es-ES"/>
        </w:rPr>
        <w:t>Teléfono y celular particular</w:t>
      </w:r>
    </w:p>
    <w:p w14:paraId="7140FC83" w14:textId="77777777" w:rsidR="007667B1" w:rsidRPr="00060463" w:rsidRDefault="007667B1" w:rsidP="007667B1">
      <w:pPr>
        <w:spacing w:after="0" w:line="360" w:lineRule="auto"/>
        <w:rPr>
          <w:rFonts w:eastAsia="Times New Roman" w:cs="Tahoma"/>
          <w:color w:val="auto"/>
          <w:lang w:eastAsia="es-ES"/>
        </w:rPr>
      </w:pPr>
    </w:p>
    <w:p w14:paraId="652432F6" w14:textId="77777777" w:rsidR="007667B1" w:rsidRPr="00060463" w:rsidRDefault="007667B1" w:rsidP="007667B1">
      <w:pPr>
        <w:spacing w:after="0" w:line="360" w:lineRule="auto"/>
        <w:rPr>
          <w:rFonts w:eastAsia="Times New Roman" w:cs="Tahoma"/>
          <w:color w:val="auto"/>
          <w:lang w:eastAsia="es-ES"/>
        </w:rPr>
      </w:pPr>
      <w:r w:rsidRPr="00060463">
        <w:rPr>
          <w:rFonts w:eastAsia="Times New Roman" w:cs="Tahoma"/>
          <w:color w:val="auto"/>
          <w:lang w:eastAsia="es-ES"/>
        </w:rPr>
        <w:lastRenderedPageBreak/>
        <w:t xml:space="preserve">Al igual que el correo electrónico, el número asignado a un teléfono particular o celular permite localizar a una persona física identificada o identificable, ya sea a través de un dispositivo móvil o bien, en un lugar como el domicilio. </w:t>
      </w:r>
    </w:p>
    <w:p w14:paraId="38C3ED7F" w14:textId="77777777" w:rsidR="007667B1" w:rsidRPr="00060463" w:rsidRDefault="007667B1" w:rsidP="007667B1">
      <w:pPr>
        <w:spacing w:after="0" w:line="360" w:lineRule="auto"/>
        <w:rPr>
          <w:rFonts w:eastAsia="Times New Roman" w:cs="Tahoma"/>
          <w:color w:val="auto"/>
          <w:lang w:eastAsia="es-ES"/>
        </w:rPr>
      </w:pPr>
    </w:p>
    <w:p w14:paraId="4F7AEAB7" w14:textId="77777777" w:rsidR="007667B1" w:rsidRPr="00060463" w:rsidRDefault="007667B1" w:rsidP="007667B1">
      <w:pPr>
        <w:spacing w:after="0" w:line="360" w:lineRule="auto"/>
        <w:rPr>
          <w:rFonts w:eastAsia="Times New Roman" w:cs="Tahoma"/>
          <w:color w:val="auto"/>
          <w:lang w:eastAsia="es-ES"/>
        </w:rPr>
      </w:pPr>
      <w:r w:rsidRPr="00060463">
        <w:rPr>
          <w:rFonts w:eastAsia="Times New Roman" w:cs="Tahoma"/>
          <w:color w:val="auto"/>
          <w:lang w:eastAsia="es-ES"/>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398B568E" w14:textId="77777777" w:rsidR="007667B1" w:rsidRPr="00060463" w:rsidRDefault="007667B1" w:rsidP="007667B1">
      <w:pPr>
        <w:spacing w:after="0" w:line="360" w:lineRule="auto"/>
        <w:rPr>
          <w:rFonts w:eastAsia="Times New Roman" w:cs="Tahoma"/>
          <w:color w:val="auto"/>
          <w:lang w:eastAsia="es-ES"/>
        </w:rPr>
      </w:pPr>
    </w:p>
    <w:p w14:paraId="31846AE4" w14:textId="77777777" w:rsidR="007667B1" w:rsidRPr="00060463" w:rsidRDefault="007667B1" w:rsidP="007667B1">
      <w:pPr>
        <w:spacing w:after="0" w:line="360" w:lineRule="auto"/>
        <w:rPr>
          <w:rFonts w:eastAsia="Times New Roman" w:cs="Tahoma"/>
          <w:color w:val="auto"/>
          <w:lang w:eastAsia="es-ES"/>
        </w:rPr>
      </w:pPr>
      <w:r w:rsidRPr="00060463">
        <w:rPr>
          <w:rFonts w:eastAsia="Times New Roman" w:cs="Tahoma"/>
          <w:color w:val="auto"/>
          <w:lang w:eastAsia="es-ES"/>
        </w:rPr>
        <w:t>En tales consideraciones, dicho dato personal es susceptible de ser clasificado como confidencial, con fundamento en el artículo 143, fracción I de la Ley de Transparencia y Acceso a la Información Pública.</w:t>
      </w:r>
    </w:p>
    <w:p w14:paraId="4005767C" w14:textId="77777777" w:rsidR="007667B1" w:rsidRPr="00060463" w:rsidRDefault="007667B1" w:rsidP="007667B1">
      <w:pPr>
        <w:spacing w:after="0" w:line="360" w:lineRule="auto"/>
        <w:rPr>
          <w:rFonts w:eastAsia="Calibri" w:cs="Arial"/>
          <w:b/>
          <w:bCs/>
          <w:color w:val="auto"/>
          <w:lang w:eastAsia="en-US"/>
        </w:rPr>
      </w:pPr>
    </w:p>
    <w:p w14:paraId="2C9F3BBB" w14:textId="77777777" w:rsidR="007667B1" w:rsidRPr="00060463" w:rsidRDefault="007667B1" w:rsidP="007667B1">
      <w:pPr>
        <w:numPr>
          <w:ilvl w:val="0"/>
          <w:numId w:val="10"/>
        </w:numPr>
        <w:spacing w:after="0" w:line="360" w:lineRule="auto"/>
        <w:jc w:val="left"/>
        <w:rPr>
          <w:rFonts w:eastAsia="Calibri" w:cs="Tahoma"/>
          <w:b/>
          <w:bCs/>
          <w:iCs/>
          <w:color w:val="000000"/>
          <w:lang w:eastAsia="en-US"/>
        </w:rPr>
      </w:pPr>
      <w:r w:rsidRPr="00060463">
        <w:rPr>
          <w:rFonts w:eastAsia="Calibri" w:cs="Tahoma"/>
          <w:b/>
          <w:bCs/>
          <w:iCs/>
          <w:color w:val="000000"/>
          <w:lang w:eastAsia="en-US"/>
        </w:rPr>
        <w:t xml:space="preserve">Fotografía de servidores públicos </w:t>
      </w:r>
    </w:p>
    <w:p w14:paraId="73C32FC0" w14:textId="77777777" w:rsidR="007667B1" w:rsidRPr="00060463" w:rsidRDefault="007667B1" w:rsidP="007667B1">
      <w:pPr>
        <w:spacing w:after="0" w:line="360" w:lineRule="auto"/>
        <w:rPr>
          <w:rFonts w:eastAsia="Calibri" w:cs="Tahoma"/>
          <w:b/>
          <w:bCs/>
          <w:iCs/>
          <w:color w:val="000000"/>
          <w:lang w:eastAsia="en-US"/>
        </w:rPr>
      </w:pPr>
    </w:p>
    <w:p w14:paraId="220BC925" w14:textId="77777777" w:rsidR="007667B1" w:rsidRPr="00060463" w:rsidRDefault="007667B1" w:rsidP="007667B1">
      <w:pPr>
        <w:tabs>
          <w:tab w:val="left" w:pos="4962"/>
        </w:tabs>
        <w:spacing w:after="0" w:line="360" w:lineRule="auto"/>
        <w:rPr>
          <w:rFonts w:eastAsia="Calibri" w:cs="Tahoma"/>
          <w:bCs/>
          <w:color w:val="auto"/>
          <w:lang w:val="es-ES" w:eastAsia="en-US"/>
        </w:rPr>
      </w:pPr>
      <w:r w:rsidRPr="00060463">
        <w:rPr>
          <w:rFonts w:eastAsia="Calibri" w:cs="Tahoma"/>
          <w:bCs/>
          <w:color w:val="auto"/>
          <w:lang w:val="es-ES" w:eastAsia="en-U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930559A" w14:textId="77777777" w:rsidR="007667B1" w:rsidRPr="00060463" w:rsidRDefault="007667B1" w:rsidP="007667B1">
      <w:pPr>
        <w:tabs>
          <w:tab w:val="left" w:pos="4962"/>
        </w:tabs>
        <w:spacing w:after="0" w:line="360" w:lineRule="auto"/>
        <w:rPr>
          <w:rFonts w:eastAsia="Calibri" w:cs="Tahoma"/>
          <w:bCs/>
          <w:color w:val="auto"/>
          <w:lang w:val="es-ES" w:eastAsia="en-US"/>
        </w:rPr>
      </w:pPr>
    </w:p>
    <w:p w14:paraId="0E50C186" w14:textId="77777777" w:rsidR="007667B1" w:rsidRPr="00060463" w:rsidRDefault="007667B1" w:rsidP="007667B1">
      <w:pPr>
        <w:tabs>
          <w:tab w:val="left" w:pos="4962"/>
        </w:tabs>
        <w:spacing w:after="0" w:line="360" w:lineRule="auto"/>
        <w:rPr>
          <w:rFonts w:eastAsia="Calibri" w:cs="Tahoma"/>
          <w:bCs/>
          <w:color w:val="auto"/>
          <w:lang w:val="es-ES" w:eastAsia="en-US"/>
        </w:rPr>
      </w:pPr>
      <w:r w:rsidRPr="00060463">
        <w:rPr>
          <w:rFonts w:eastAsia="Calibri" w:cs="Tahoma"/>
          <w:bCs/>
          <w:color w:val="auto"/>
          <w:lang w:val="es-ES" w:eastAsia="en-US"/>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w:t>
      </w:r>
      <w:r w:rsidRPr="00060463">
        <w:rPr>
          <w:rFonts w:eastAsia="Calibri" w:cs="Tahoma"/>
          <w:bCs/>
          <w:color w:val="auto"/>
          <w:lang w:val="es-ES" w:eastAsia="en-US"/>
        </w:rPr>
        <w:lastRenderedPageBreak/>
        <w:t>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B1CFD95" w14:textId="77777777" w:rsidR="007667B1" w:rsidRPr="00060463" w:rsidRDefault="007667B1" w:rsidP="007667B1">
      <w:pPr>
        <w:tabs>
          <w:tab w:val="left" w:pos="4962"/>
        </w:tabs>
        <w:spacing w:after="0" w:line="360" w:lineRule="auto"/>
        <w:rPr>
          <w:rFonts w:eastAsia="Calibri" w:cs="Tahoma"/>
          <w:bCs/>
          <w:color w:val="auto"/>
          <w:lang w:val="es-ES" w:eastAsia="en-US"/>
        </w:rPr>
      </w:pPr>
    </w:p>
    <w:p w14:paraId="3239170B" w14:textId="77777777" w:rsidR="007667B1" w:rsidRPr="00060463" w:rsidRDefault="007667B1" w:rsidP="007667B1">
      <w:pPr>
        <w:tabs>
          <w:tab w:val="left" w:pos="4962"/>
        </w:tabs>
        <w:spacing w:after="0" w:line="360" w:lineRule="auto"/>
        <w:rPr>
          <w:rFonts w:eastAsia="Calibri" w:cs="Tahoma"/>
          <w:bCs/>
          <w:color w:val="auto"/>
          <w:lang w:val="es-ES" w:eastAsia="en-US"/>
        </w:rPr>
      </w:pPr>
      <w:r w:rsidRPr="00060463">
        <w:rPr>
          <w:rFonts w:eastAsia="Calibri" w:cs="Tahoma"/>
          <w:bCs/>
          <w:color w:val="auto"/>
          <w:lang w:val="es-ES" w:eastAsia="en-US"/>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335D9A3" w14:textId="77777777" w:rsidR="007667B1" w:rsidRPr="00060463" w:rsidRDefault="007667B1" w:rsidP="007667B1">
      <w:pPr>
        <w:tabs>
          <w:tab w:val="left" w:pos="4962"/>
        </w:tabs>
        <w:spacing w:after="0" w:line="360" w:lineRule="auto"/>
        <w:rPr>
          <w:rFonts w:eastAsia="Calibri" w:cs="Tahoma"/>
          <w:bCs/>
          <w:color w:val="auto"/>
          <w:lang w:val="es-ES" w:eastAsia="en-US"/>
        </w:rPr>
      </w:pPr>
    </w:p>
    <w:p w14:paraId="53EB177B" w14:textId="77777777" w:rsidR="007667B1" w:rsidRPr="00060463" w:rsidRDefault="007667B1" w:rsidP="007667B1">
      <w:pPr>
        <w:tabs>
          <w:tab w:val="left" w:pos="4962"/>
        </w:tabs>
        <w:spacing w:after="0" w:line="360" w:lineRule="auto"/>
        <w:rPr>
          <w:rFonts w:eastAsia="Calibri" w:cs="Tahoma"/>
          <w:bCs/>
          <w:color w:val="auto"/>
          <w:lang w:val="es-ES" w:eastAsia="en-US"/>
        </w:rPr>
      </w:pPr>
      <w:r w:rsidRPr="00060463">
        <w:rPr>
          <w:rFonts w:eastAsia="Calibri" w:cs="Tahoma"/>
          <w:bCs/>
          <w:color w:val="auto"/>
          <w:lang w:val="es-ES" w:eastAsia="en-US"/>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CF0BEA5" w14:textId="77777777" w:rsidR="007667B1" w:rsidRPr="00060463" w:rsidRDefault="007667B1" w:rsidP="007667B1">
      <w:pPr>
        <w:tabs>
          <w:tab w:val="left" w:pos="4962"/>
        </w:tabs>
        <w:spacing w:after="0" w:line="360" w:lineRule="auto"/>
        <w:rPr>
          <w:rFonts w:eastAsia="Calibri" w:cs="Tahoma"/>
          <w:bCs/>
          <w:color w:val="auto"/>
          <w:lang w:val="es-ES" w:eastAsia="en-US"/>
        </w:rPr>
      </w:pPr>
    </w:p>
    <w:p w14:paraId="3ACEAE89" w14:textId="77777777" w:rsidR="007667B1" w:rsidRPr="00060463" w:rsidRDefault="007667B1" w:rsidP="007667B1">
      <w:pPr>
        <w:tabs>
          <w:tab w:val="left" w:pos="4962"/>
        </w:tabs>
        <w:spacing w:after="0" w:line="360" w:lineRule="auto"/>
        <w:rPr>
          <w:rFonts w:eastAsia="Calibri" w:cs="Tahoma"/>
          <w:bCs/>
          <w:color w:val="auto"/>
          <w:lang w:val="es-ES" w:eastAsia="en-US"/>
        </w:rPr>
      </w:pPr>
      <w:r w:rsidRPr="00060463">
        <w:rPr>
          <w:rFonts w:eastAsia="Calibri" w:cs="Tahoma"/>
          <w:bCs/>
          <w:color w:val="auto"/>
          <w:lang w:val="es-ES" w:eastAsia="en-U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w:t>
      </w:r>
      <w:r w:rsidRPr="00060463">
        <w:rPr>
          <w:rFonts w:eastAsia="Calibri" w:cs="Tahoma"/>
          <w:bCs/>
          <w:color w:val="auto"/>
          <w:lang w:val="es-ES" w:eastAsia="en-US"/>
        </w:rPr>
        <w:lastRenderedPageBreak/>
        <w:t xml:space="preserve">archivos de los sujetos obligados y que además están directamente relacionados con el cumplimiento de disposiciones normativas o el ejercicio de funciones revisten un interés público. </w:t>
      </w:r>
    </w:p>
    <w:p w14:paraId="260A9B82" w14:textId="77777777" w:rsidR="007667B1" w:rsidRPr="00060463" w:rsidRDefault="007667B1" w:rsidP="007667B1">
      <w:pPr>
        <w:tabs>
          <w:tab w:val="left" w:pos="4962"/>
        </w:tabs>
        <w:spacing w:after="0" w:line="360" w:lineRule="auto"/>
        <w:rPr>
          <w:rFonts w:eastAsia="Calibri" w:cs="Tahoma"/>
          <w:bCs/>
          <w:color w:val="auto"/>
          <w:lang w:val="es-ES" w:eastAsia="en-US"/>
        </w:rPr>
      </w:pPr>
    </w:p>
    <w:p w14:paraId="7FFC869D" w14:textId="77777777" w:rsidR="007667B1" w:rsidRPr="00060463" w:rsidRDefault="007667B1" w:rsidP="007667B1">
      <w:pPr>
        <w:tabs>
          <w:tab w:val="left" w:pos="4962"/>
        </w:tabs>
        <w:spacing w:after="0" w:line="360" w:lineRule="auto"/>
        <w:rPr>
          <w:rFonts w:eastAsia="Calibri" w:cs="Tahoma"/>
          <w:bCs/>
          <w:color w:val="auto"/>
          <w:lang w:val="es-ES" w:eastAsia="en-US"/>
        </w:rPr>
      </w:pPr>
      <w:r w:rsidRPr="00060463">
        <w:rPr>
          <w:rFonts w:eastAsia="Calibri" w:cs="Tahoma"/>
          <w:bCs/>
          <w:color w:val="auto"/>
          <w:lang w:val="es-ES" w:eastAsia="en-US"/>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5C544AD" w14:textId="77777777" w:rsidR="007667B1" w:rsidRPr="00060463" w:rsidRDefault="007667B1" w:rsidP="007667B1">
      <w:pPr>
        <w:tabs>
          <w:tab w:val="left" w:pos="4962"/>
        </w:tabs>
        <w:spacing w:after="0" w:line="360" w:lineRule="auto"/>
        <w:rPr>
          <w:rFonts w:eastAsia="Calibri" w:cs="Tahoma"/>
          <w:bCs/>
          <w:color w:val="auto"/>
          <w:lang w:val="es-ES" w:eastAsia="en-US"/>
        </w:rPr>
      </w:pPr>
    </w:p>
    <w:p w14:paraId="4BE85C44" w14:textId="77777777" w:rsidR="007667B1" w:rsidRPr="00060463" w:rsidRDefault="007667B1" w:rsidP="007667B1">
      <w:pPr>
        <w:tabs>
          <w:tab w:val="left" w:pos="4962"/>
        </w:tabs>
        <w:spacing w:after="0" w:line="360" w:lineRule="auto"/>
        <w:rPr>
          <w:rFonts w:eastAsia="Calibri" w:cs="Tahoma"/>
          <w:bCs/>
          <w:color w:val="auto"/>
          <w:lang w:val="es-ES" w:eastAsia="en-US"/>
        </w:rPr>
      </w:pPr>
      <w:r w:rsidRPr="00060463">
        <w:rPr>
          <w:rFonts w:eastAsia="Calibri" w:cs="Tahoma"/>
          <w:bCs/>
          <w:color w:val="auto"/>
          <w:lang w:val="es-ES" w:eastAsia="en-US"/>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2C28781E" w14:textId="77777777" w:rsidR="007667B1" w:rsidRPr="00060463" w:rsidRDefault="007667B1" w:rsidP="007667B1">
      <w:pPr>
        <w:tabs>
          <w:tab w:val="left" w:pos="4962"/>
        </w:tabs>
        <w:spacing w:after="0" w:line="360" w:lineRule="auto"/>
        <w:rPr>
          <w:rFonts w:eastAsia="Calibri" w:cs="Tahoma"/>
          <w:bCs/>
          <w:color w:val="auto"/>
          <w:lang w:val="es-ES" w:eastAsia="en-US"/>
        </w:rPr>
      </w:pPr>
    </w:p>
    <w:p w14:paraId="2794E174" w14:textId="5578252B" w:rsidR="007667B1" w:rsidRPr="00060463" w:rsidRDefault="007667B1" w:rsidP="007667B1">
      <w:pPr>
        <w:tabs>
          <w:tab w:val="left" w:pos="4962"/>
        </w:tabs>
        <w:spacing w:after="0" w:line="360" w:lineRule="auto"/>
        <w:rPr>
          <w:rFonts w:eastAsia="Calibri" w:cs="Tahoma"/>
          <w:b/>
          <w:bCs/>
          <w:color w:val="auto"/>
          <w:lang w:val="es-ES" w:eastAsia="en-US"/>
        </w:rPr>
      </w:pPr>
      <w:r w:rsidRPr="00060463">
        <w:rPr>
          <w:rFonts w:eastAsia="Calibri" w:cs="Tahoma"/>
          <w:bCs/>
          <w:color w:val="auto"/>
          <w:lang w:val="es-ES" w:eastAsia="en-US"/>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p>
    <w:p w14:paraId="1CA215C7" w14:textId="77777777" w:rsidR="0097677E" w:rsidRPr="00060463" w:rsidRDefault="0097677E" w:rsidP="007667B1">
      <w:pPr>
        <w:tabs>
          <w:tab w:val="left" w:pos="4962"/>
        </w:tabs>
        <w:spacing w:after="0" w:line="360" w:lineRule="auto"/>
        <w:rPr>
          <w:rFonts w:eastAsia="Calibri" w:cs="Tahoma"/>
          <w:bCs/>
          <w:color w:val="auto"/>
          <w:lang w:val="es-ES" w:eastAsia="en-US"/>
        </w:rPr>
      </w:pPr>
    </w:p>
    <w:p w14:paraId="1599EEB8" w14:textId="77777777" w:rsidR="007667B1" w:rsidRPr="00060463" w:rsidRDefault="007667B1" w:rsidP="007667B1">
      <w:pPr>
        <w:numPr>
          <w:ilvl w:val="0"/>
          <w:numId w:val="24"/>
        </w:numPr>
        <w:spacing w:after="0" w:line="360" w:lineRule="auto"/>
        <w:contextualSpacing/>
        <w:rPr>
          <w:b/>
          <w:color w:val="auto"/>
          <w:lang w:eastAsia="en-US"/>
        </w:rPr>
      </w:pPr>
      <w:r w:rsidRPr="00060463">
        <w:rPr>
          <w:b/>
          <w:color w:val="auto"/>
          <w:lang w:eastAsia="en-US"/>
        </w:rPr>
        <w:t>Firma de servidores públicos.</w:t>
      </w:r>
    </w:p>
    <w:p w14:paraId="4D67B893" w14:textId="77777777" w:rsidR="007667B1" w:rsidRPr="00060463" w:rsidRDefault="007667B1" w:rsidP="007667B1">
      <w:pPr>
        <w:tabs>
          <w:tab w:val="left" w:pos="4962"/>
        </w:tabs>
        <w:spacing w:after="0" w:line="360" w:lineRule="auto"/>
        <w:rPr>
          <w:rFonts w:eastAsia="Calibri" w:cs="Tahoma"/>
          <w:bCs/>
          <w:color w:val="auto"/>
          <w:lang w:val="es-ES" w:eastAsia="en-US"/>
        </w:rPr>
      </w:pPr>
      <w:r w:rsidRPr="00060463">
        <w:rPr>
          <w:rFonts w:eastAsia="Times New Roman" w:cs="Times New Roman"/>
          <w:color w:val="000000"/>
          <w:lang w:eastAsia="en-US"/>
        </w:rPr>
        <w:t> </w:t>
      </w:r>
    </w:p>
    <w:p w14:paraId="1F20ADEE" w14:textId="77777777" w:rsidR="007667B1" w:rsidRPr="00060463" w:rsidRDefault="007667B1" w:rsidP="007667B1">
      <w:pPr>
        <w:tabs>
          <w:tab w:val="left" w:pos="4962"/>
        </w:tabs>
        <w:spacing w:after="0" w:line="360" w:lineRule="auto"/>
        <w:rPr>
          <w:rFonts w:eastAsia="Calibri" w:cs="Tahoma"/>
          <w:bCs/>
          <w:color w:val="auto"/>
          <w:lang w:val="es-ES" w:eastAsia="en-US"/>
        </w:rPr>
      </w:pPr>
      <w:r w:rsidRPr="00060463">
        <w:rPr>
          <w:rFonts w:eastAsia="Calibri" w:cs="Tahoma"/>
          <w:bCs/>
          <w:color w:val="auto"/>
          <w:lang w:val="es-ES" w:eastAsia="en-US"/>
        </w:rPr>
        <w:lastRenderedPageBreak/>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43BD44B9" w14:textId="77777777" w:rsidR="007667B1" w:rsidRPr="00060463" w:rsidRDefault="007667B1" w:rsidP="007667B1">
      <w:pPr>
        <w:tabs>
          <w:tab w:val="left" w:pos="4962"/>
        </w:tabs>
        <w:spacing w:after="0" w:line="360" w:lineRule="auto"/>
        <w:rPr>
          <w:rFonts w:eastAsia="Calibri" w:cs="Tahoma"/>
          <w:bCs/>
          <w:color w:val="auto"/>
          <w:lang w:val="es-ES" w:eastAsia="en-US"/>
        </w:rPr>
      </w:pPr>
      <w:r w:rsidRPr="00060463">
        <w:rPr>
          <w:rFonts w:eastAsia="Calibri" w:cs="Tahoma"/>
          <w:bCs/>
          <w:color w:val="auto"/>
          <w:lang w:val="es-ES" w:eastAsia="en-US"/>
        </w:rPr>
        <w:t> </w:t>
      </w:r>
    </w:p>
    <w:p w14:paraId="4F024F10" w14:textId="77777777" w:rsidR="007667B1" w:rsidRPr="00060463" w:rsidRDefault="007667B1" w:rsidP="007667B1">
      <w:pPr>
        <w:tabs>
          <w:tab w:val="left" w:pos="4962"/>
        </w:tabs>
        <w:spacing w:after="0" w:line="360" w:lineRule="auto"/>
        <w:rPr>
          <w:rFonts w:eastAsia="Calibri" w:cs="Tahoma"/>
          <w:bCs/>
          <w:color w:val="auto"/>
          <w:lang w:val="es-ES" w:eastAsia="en-US"/>
        </w:rPr>
      </w:pPr>
      <w:r w:rsidRPr="00060463">
        <w:rPr>
          <w:rFonts w:eastAsia="Calibri" w:cs="Tahoma"/>
          <w:bCs/>
          <w:color w:val="auto"/>
          <w:lang w:val="es-ES" w:eastAsia="en-U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269FFB32" w14:textId="77777777" w:rsidR="007667B1" w:rsidRPr="00060463" w:rsidRDefault="007667B1" w:rsidP="007667B1">
      <w:pPr>
        <w:tabs>
          <w:tab w:val="left" w:pos="4962"/>
        </w:tabs>
        <w:spacing w:after="0" w:line="360" w:lineRule="auto"/>
        <w:rPr>
          <w:rFonts w:eastAsia="Calibri" w:cs="Tahoma"/>
          <w:bCs/>
          <w:color w:val="auto"/>
          <w:lang w:val="es-ES" w:eastAsia="en-US"/>
        </w:rPr>
      </w:pPr>
      <w:r w:rsidRPr="00060463">
        <w:rPr>
          <w:rFonts w:eastAsia="Calibri" w:cs="Tahoma"/>
          <w:bCs/>
          <w:color w:val="auto"/>
          <w:lang w:val="es-ES" w:eastAsia="en-US"/>
        </w:rPr>
        <w:t> </w:t>
      </w:r>
    </w:p>
    <w:p w14:paraId="62747398" w14:textId="77777777" w:rsidR="007667B1" w:rsidRPr="00060463" w:rsidRDefault="007667B1" w:rsidP="007667B1">
      <w:pPr>
        <w:shd w:val="clear" w:color="auto" w:fill="FFFFFF"/>
        <w:spacing w:after="0" w:line="360" w:lineRule="auto"/>
        <w:rPr>
          <w:rFonts w:eastAsia="Times New Roman" w:cs="Times New Roman"/>
          <w:color w:val="000000"/>
          <w:lang w:eastAsia="en-US"/>
        </w:rPr>
      </w:pPr>
      <w:r w:rsidRPr="00060463">
        <w:rPr>
          <w:rFonts w:eastAsia="Times New Roman" w:cs="Times New Roman"/>
          <w:color w:val="auto"/>
          <w:bdr w:val="none" w:sz="0" w:space="0" w:color="auto" w:frame="1"/>
          <w:lang w:eastAsia="en-US"/>
        </w:rPr>
        <w:t>La publicidad de dichos datos, se robustece, con el </w:t>
      </w:r>
      <w:r w:rsidRPr="00060463">
        <w:rPr>
          <w:rFonts w:eastAsia="Times New Roman" w:cs="Times New Roman"/>
          <w:color w:val="000000"/>
          <w:bdr w:val="none" w:sz="0" w:space="0" w:color="auto" w:frame="1"/>
          <w:lang w:val="es-ES" w:eastAsia="en-US"/>
        </w:rPr>
        <w:t>Criterio de Interpretación, de la Segunda Época, con clave de control </w:t>
      </w:r>
      <w:r w:rsidRPr="00060463">
        <w:rPr>
          <w:rFonts w:eastAsia="Times New Roman" w:cs="Times New Roman"/>
          <w:color w:val="000000"/>
          <w:lang w:eastAsia="en-US"/>
        </w:rPr>
        <w:t>SO/002/2019</w:t>
      </w:r>
      <w:r w:rsidRPr="00060463">
        <w:rPr>
          <w:rFonts w:eastAsia="Times New Roman" w:cs="Times New Roman"/>
          <w:color w:val="auto"/>
          <w:bdr w:val="none" w:sz="0" w:space="0" w:color="auto" w:frame="1"/>
          <w:lang w:eastAsia="en-US"/>
        </w:rPr>
        <w:t>, emitido por el Instituto Nacional de Transparencia, Acceso a la Información y Protección de Datos Personales, que establece lo siguiente:</w:t>
      </w:r>
    </w:p>
    <w:p w14:paraId="28838488" w14:textId="77777777" w:rsidR="007667B1" w:rsidRPr="00060463" w:rsidRDefault="007667B1" w:rsidP="007667B1">
      <w:pPr>
        <w:shd w:val="clear" w:color="auto" w:fill="FFFFFF"/>
        <w:spacing w:after="0" w:line="360" w:lineRule="auto"/>
        <w:rPr>
          <w:rFonts w:eastAsia="Times New Roman" w:cs="Times New Roman"/>
          <w:color w:val="000000"/>
          <w:lang w:eastAsia="en-US"/>
        </w:rPr>
      </w:pPr>
      <w:r w:rsidRPr="00060463">
        <w:rPr>
          <w:rFonts w:eastAsia="Times New Roman" w:cs="Times New Roman"/>
          <w:color w:val="auto"/>
          <w:bdr w:val="none" w:sz="0" w:space="0" w:color="auto" w:frame="1"/>
          <w:lang w:eastAsia="en-US"/>
        </w:rPr>
        <w:t> </w:t>
      </w:r>
    </w:p>
    <w:p w14:paraId="588027FA" w14:textId="77777777" w:rsidR="007667B1" w:rsidRPr="00060463" w:rsidRDefault="007667B1" w:rsidP="007667B1">
      <w:pPr>
        <w:spacing w:after="0" w:line="360" w:lineRule="auto"/>
        <w:ind w:left="567" w:right="567"/>
        <w:rPr>
          <w:rFonts w:eastAsia="Times New Roman" w:cs="Times New Roman"/>
          <w:color w:val="000000"/>
          <w:sz w:val="20"/>
          <w:lang w:eastAsia="en-US"/>
        </w:rPr>
      </w:pPr>
      <w:r w:rsidRPr="00060463">
        <w:rPr>
          <w:rFonts w:eastAsia="Times New Roman" w:cs="Times New Roman"/>
          <w:b/>
          <w:bCs/>
          <w:i/>
          <w:iCs/>
          <w:color w:val="auto"/>
          <w:sz w:val="20"/>
          <w:bdr w:val="none" w:sz="0" w:space="0" w:color="auto" w:frame="1"/>
          <w:lang w:eastAsia="en-US"/>
        </w:rPr>
        <w:t>“Firma y rúbrica de servidores públicos.</w:t>
      </w:r>
      <w:r w:rsidRPr="00060463">
        <w:rPr>
          <w:rFonts w:eastAsia="Times New Roman" w:cs="Times New Roman"/>
          <w:i/>
          <w:iCs/>
          <w:color w:val="auto"/>
          <w:sz w:val="20"/>
          <w:bdr w:val="none" w:sz="0" w:space="0" w:color="auto" w:frame="1"/>
          <w:lang w:eastAsia="en-US"/>
        </w:rPr>
        <w:t> Si bien la firma y la rúbrica son datos personales confidenciales, cuando un servidor público emite un acto como autoridad, en ejercicio de las funciones que tiene conferidas, la firma o rúbrica mediante la cual se valida dicho acto es pública.”</w:t>
      </w:r>
    </w:p>
    <w:p w14:paraId="478A821A" w14:textId="77777777" w:rsidR="007667B1" w:rsidRPr="00060463" w:rsidRDefault="007667B1" w:rsidP="007667B1">
      <w:pPr>
        <w:tabs>
          <w:tab w:val="left" w:pos="4962"/>
        </w:tabs>
        <w:spacing w:after="0" w:line="360" w:lineRule="auto"/>
        <w:rPr>
          <w:rFonts w:eastAsia="Calibri" w:cs="Tahoma"/>
          <w:bCs/>
          <w:color w:val="auto"/>
          <w:lang w:val="es-ES" w:eastAsia="en-US"/>
        </w:rPr>
      </w:pPr>
      <w:r w:rsidRPr="00060463">
        <w:rPr>
          <w:rFonts w:eastAsia="Calibri" w:cs="Tahoma"/>
          <w:bCs/>
          <w:color w:val="auto"/>
          <w:lang w:val="es-ES" w:eastAsia="en-US"/>
        </w:rPr>
        <w:t> </w:t>
      </w:r>
    </w:p>
    <w:p w14:paraId="27AE08F2" w14:textId="77777777" w:rsidR="007667B1" w:rsidRPr="00060463" w:rsidRDefault="007667B1" w:rsidP="007667B1">
      <w:pPr>
        <w:tabs>
          <w:tab w:val="left" w:pos="4962"/>
        </w:tabs>
        <w:spacing w:after="0" w:line="360" w:lineRule="auto"/>
        <w:rPr>
          <w:rFonts w:eastAsia="Calibri" w:cs="Tahoma"/>
          <w:bCs/>
          <w:color w:val="auto"/>
          <w:lang w:val="es-ES" w:eastAsia="en-US"/>
        </w:rPr>
      </w:pPr>
      <w:r w:rsidRPr="00060463">
        <w:rPr>
          <w:rFonts w:eastAsia="Calibri" w:cs="Tahoma"/>
          <w:bCs/>
          <w:color w:val="auto"/>
          <w:lang w:val="es-ES" w:eastAsia="en-US"/>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5A99FC29" w14:textId="77777777" w:rsidR="007667B1" w:rsidRPr="00060463" w:rsidRDefault="007667B1" w:rsidP="007667B1">
      <w:pPr>
        <w:spacing w:after="0" w:line="360" w:lineRule="auto"/>
        <w:rPr>
          <w:rFonts w:eastAsia="Calibri" w:cs="Arial"/>
          <w:color w:val="auto"/>
          <w:lang w:val="es-ES" w:eastAsia="en-US"/>
        </w:rPr>
      </w:pPr>
    </w:p>
    <w:p w14:paraId="587960AA" w14:textId="77777777" w:rsidR="0079011C" w:rsidRPr="00060463" w:rsidRDefault="007667B1" w:rsidP="0079011C">
      <w:pPr>
        <w:spacing w:after="0" w:line="360" w:lineRule="auto"/>
        <w:ind w:right="-28"/>
        <w:rPr>
          <w:rFonts w:eastAsia="Calibri" w:cs="Times New Roman"/>
          <w:color w:val="000000"/>
          <w:lang w:eastAsia="en-US"/>
        </w:rPr>
      </w:pPr>
      <w:r w:rsidRPr="00060463">
        <w:rPr>
          <w:rFonts w:eastAsia="Times New Roman" w:cs="Tahoma"/>
          <w:bCs/>
          <w:color w:val="auto"/>
          <w:lang w:val="es-ES" w:eastAsia="es-ES"/>
        </w:rPr>
        <w:t>Así, este Instituto considera que deberá proporcionar el Acuerdo emitido por el Comité de Transparencia donde confirme la clasificación en su totalidad</w:t>
      </w:r>
      <w:r w:rsidR="0079011C" w:rsidRPr="00060463">
        <w:rPr>
          <w:rFonts w:eastAsia="Times New Roman" w:cs="Tahoma"/>
          <w:bCs/>
          <w:color w:val="auto"/>
          <w:lang w:val="es-ES" w:eastAsia="es-ES"/>
        </w:rPr>
        <w:t xml:space="preserve"> de los documentos </w:t>
      </w:r>
      <w:r w:rsidR="0079011C" w:rsidRPr="00060463">
        <w:rPr>
          <w:rFonts w:eastAsia="Times New Roman" w:cs="Tahoma"/>
          <w:bCs/>
          <w:color w:val="auto"/>
          <w:lang w:val="es-ES" w:eastAsia="es-ES"/>
        </w:rPr>
        <w:lastRenderedPageBreak/>
        <w:t>mencionados</w:t>
      </w:r>
      <w:r w:rsidRPr="00060463">
        <w:rPr>
          <w:rFonts w:eastAsia="Times New Roman" w:cs="Tahoma"/>
          <w:bCs/>
          <w:color w:val="auto"/>
          <w:lang w:val="es-ES" w:eastAsia="es-ES"/>
        </w:rPr>
        <w:t xml:space="preserve">, así como, en los datos testados en los documentos que se deban entregar en versión pública; </w:t>
      </w:r>
      <w:r w:rsidR="0079011C" w:rsidRPr="00060463">
        <w:rPr>
          <w:rFonts w:eastAsia="Calibri" w:cs="Times New Roman"/>
          <w:color w:val="000000"/>
          <w:lang w:eastAsia="en-U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437E4C9F" w14:textId="77777777" w:rsidR="0079011C" w:rsidRPr="00060463" w:rsidRDefault="0079011C" w:rsidP="0079011C">
      <w:pPr>
        <w:spacing w:after="0" w:line="360" w:lineRule="auto"/>
        <w:rPr>
          <w:rFonts w:eastAsia="Calibri" w:cs="Times New Roman"/>
          <w:b/>
          <w:bCs/>
          <w:color w:val="000000"/>
          <w:lang w:eastAsia="en-US"/>
        </w:rPr>
      </w:pPr>
    </w:p>
    <w:p w14:paraId="606B9F56" w14:textId="5F4E5B0F" w:rsidR="007667B1" w:rsidRPr="00060463" w:rsidRDefault="0079011C" w:rsidP="0079011C">
      <w:pPr>
        <w:spacing w:after="0" w:line="360" w:lineRule="auto"/>
        <w:contextualSpacing/>
        <w:rPr>
          <w:rFonts w:eastAsia="Times New Roman" w:cs="Tahoma"/>
          <w:color w:val="auto"/>
        </w:rPr>
      </w:pPr>
      <w:r w:rsidRPr="00060463">
        <w:rPr>
          <w:rFonts w:eastAsia="Times New Roman" w:cs="Tahoma"/>
          <w:bCs/>
          <w:iCs/>
          <w:color w:val="000000"/>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bookmarkEnd w:id="18"/>
    <w:p w14:paraId="1CB4858E" w14:textId="77777777" w:rsidR="001A3C87" w:rsidRPr="00060463" w:rsidRDefault="001A3C87" w:rsidP="00D7021E">
      <w:pPr>
        <w:spacing w:after="0" w:line="360" w:lineRule="auto"/>
        <w:ind w:right="-28"/>
        <w:rPr>
          <w:color w:val="auto"/>
        </w:rPr>
      </w:pPr>
    </w:p>
    <w:p w14:paraId="0CCF70E8" w14:textId="77777777" w:rsidR="00D1318A" w:rsidRPr="00060463" w:rsidRDefault="00D1318A" w:rsidP="00D7021E">
      <w:pPr>
        <w:pStyle w:val="Ttulo2"/>
        <w:spacing w:before="0" w:after="0" w:line="360" w:lineRule="auto"/>
        <w:rPr>
          <w:sz w:val="22"/>
          <w:szCs w:val="22"/>
        </w:rPr>
      </w:pPr>
      <w:bookmarkStart w:id="20" w:name="_Toc216353028"/>
      <w:r w:rsidRPr="00060463">
        <w:rPr>
          <w:sz w:val="22"/>
          <w:szCs w:val="22"/>
        </w:rPr>
        <w:t>SEXTO. Decisión</w:t>
      </w:r>
      <w:bookmarkEnd w:id="20"/>
    </w:p>
    <w:p w14:paraId="0D2B29DC" w14:textId="77777777" w:rsidR="00D1318A" w:rsidRPr="00060463" w:rsidRDefault="00D1318A" w:rsidP="00D7021E">
      <w:pPr>
        <w:spacing w:after="0" w:line="360" w:lineRule="auto"/>
        <w:contextualSpacing/>
        <w:rPr>
          <w:rFonts w:eastAsia="Calibri" w:cs="Tahoma"/>
          <w:b/>
        </w:rPr>
      </w:pPr>
    </w:p>
    <w:p w14:paraId="4BF18B87" w14:textId="40B42512" w:rsidR="00D1318A" w:rsidRPr="00060463" w:rsidRDefault="00D1318A" w:rsidP="00D7021E">
      <w:pPr>
        <w:spacing w:after="0" w:line="360" w:lineRule="auto"/>
      </w:pPr>
      <w:r w:rsidRPr="00060463">
        <w:t xml:space="preserve">De acuerdo con lo expuesto y, con fundamento en el artículo 186, fracción III, de la Ley de Transparencia y Acceso a la Información Pública del Estado de México y Municipios, este Instituto considera procedente </w:t>
      </w:r>
      <w:r w:rsidR="00D7021E" w:rsidRPr="00060463">
        <w:rPr>
          <w:b/>
          <w:bCs/>
        </w:rPr>
        <w:t>MODIFICAR</w:t>
      </w:r>
      <w:r w:rsidRPr="00060463">
        <w:rPr>
          <w:b/>
        </w:rPr>
        <w:t xml:space="preserve"> </w:t>
      </w:r>
      <w:r w:rsidRPr="00060463">
        <w:t>la</w:t>
      </w:r>
      <w:r w:rsidR="00523DD5" w:rsidRPr="00060463">
        <w:t>s</w:t>
      </w:r>
      <w:r w:rsidRPr="00060463">
        <w:t xml:space="preserve"> resp</w:t>
      </w:r>
      <w:r w:rsidR="00655068" w:rsidRPr="00060463">
        <w:t>uesta</w:t>
      </w:r>
      <w:r w:rsidR="00523DD5" w:rsidRPr="00060463">
        <w:t>s</w:t>
      </w:r>
      <w:r w:rsidR="00655068" w:rsidRPr="00060463">
        <w:t xml:space="preserve"> del</w:t>
      </w:r>
      <w:r w:rsidR="00F66940" w:rsidRPr="00060463">
        <w:t xml:space="preserve"> Ayuntamiento de </w:t>
      </w:r>
      <w:r w:rsidR="00CF45D1" w:rsidRPr="00060463">
        <w:t>Rayón</w:t>
      </w:r>
      <w:r w:rsidRPr="00060463">
        <w:rPr>
          <w:b/>
        </w:rPr>
        <w:t xml:space="preserve">, </w:t>
      </w:r>
      <w:r w:rsidRPr="00060463">
        <w:t xml:space="preserve">a efecto de que </w:t>
      </w:r>
      <w:r w:rsidR="004076BD" w:rsidRPr="00060463">
        <w:t xml:space="preserve">entregue la información </w:t>
      </w:r>
      <w:r w:rsidR="00F0031F" w:rsidRPr="00060463">
        <w:t>solicitada</w:t>
      </w:r>
      <w:r w:rsidR="00CF45D1" w:rsidRPr="00060463">
        <w:t xml:space="preserve"> de manera completa</w:t>
      </w:r>
      <w:r w:rsidR="00715343" w:rsidRPr="00060463">
        <w:t>.</w:t>
      </w:r>
    </w:p>
    <w:p w14:paraId="26CBC7EA" w14:textId="77777777" w:rsidR="00D7021E" w:rsidRPr="00060463" w:rsidRDefault="00D7021E" w:rsidP="00D7021E">
      <w:pPr>
        <w:spacing w:after="0" w:line="360" w:lineRule="auto"/>
      </w:pPr>
    </w:p>
    <w:p w14:paraId="01EE9041" w14:textId="77777777" w:rsidR="00D7021E" w:rsidRPr="00060463" w:rsidRDefault="00D7021E" w:rsidP="00D7021E">
      <w:pPr>
        <w:spacing w:after="0" w:line="360" w:lineRule="auto"/>
        <w:rPr>
          <w:rFonts w:cs="Tahoma"/>
          <w:bCs/>
          <w:iCs/>
        </w:rPr>
      </w:pPr>
      <w:r w:rsidRPr="00060463">
        <w:rPr>
          <w:rFonts w:cs="Tahoma"/>
          <w:b/>
          <w:bCs/>
          <w:iCs/>
        </w:rPr>
        <w:t>SÉPTIMO. Vista a la Dirección General de Protección de Datos Personales.</w:t>
      </w:r>
    </w:p>
    <w:p w14:paraId="3820C0DD" w14:textId="77777777" w:rsidR="00D7021E" w:rsidRPr="00060463" w:rsidRDefault="00D7021E" w:rsidP="00D7021E">
      <w:pPr>
        <w:spacing w:after="0" w:line="360" w:lineRule="auto"/>
        <w:rPr>
          <w:rFonts w:cs="Tahoma"/>
          <w:bCs/>
          <w:iCs/>
        </w:rPr>
      </w:pPr>
    </w:p>
    <w:p w14:paraId="5B93C16B" w14:textId="71C56D31" w:rsidR="00D7021E" w:rsidRPr="00060463" w:rsidRDefault="00D7021E" w:rsidP="00D7021E">
      <w:pPr>
        <w:spacing w:after="0" w:line="360" w:lineRule="auto"/>
        <w:rPr>
          <w:rFonts w:cs="Tahoma"/>
          <w:bCs/>
          <w:iCs/>
        </w:rPr>
      </w:pPr>
      <w:r w:rsidRPr="00060463">
        <w:rPr>
          <w:rFonts w:cs="Tahoma"/>
          <w:bCs/>
          <w:iCs/>
        </w:rPr>
        <w:t xml:space="preserve">Ahora bien, toda vez que el Sujeto Obligado </w:t>
      </w:r>
      <w:r w:rsidR="0083376D" w:rsidRPr="00060463">
        <w:rPr>
          <w:rFonts w:cs="Tahoma"/>
          <w:bCs/>
          <w:iCs/>
        </w:rPr>
        <w:t xml:space="preserve">en todos los archivos que contienen los movimientos de alta y las renuncias, dejó </w:t>
      </w:r>
      <w:r w:rsidR="00BA79F7" w:rsidRPr="00060463">
        <w:rPr>
          <w:rFonts w:cs="Tahoma"/>
          <w:bCs/>
          <w:iCs/>
        </w:rPr>
        <w:t>datos accesibles</w:t>
      </w:r>
      <w:r w:rsidRPr="00060463">
        <w:rPr>
          <w:rFonts w:cs="Tahoma"/>
          <w:bCs/>
          <w:iCs/>
        </w:rPr>
        <w:t xml:space="preserve">, circunstancias que vulneran lo previsto en el artículo 143, fracción I, de la Ley de Transparencia y Acceso a la Información Pública del Estado de México y Municipios. Por lo tanto, el Ente Recurrido, inobservó la Ley </w:t>
      </w:r>
      <w:r w:rsidRPr="00060463">
        <w:rPr>
          <w:rFonts w:cs="Tahoma"/>
          <w:bCs/>
          <w:iCs/>
        </w:rPr>
        <w:lastRenderedPageBreak/>
        <w:t>de Transparencia y Acceso a la Información Pública del Estado de México y Municipios y la Ley de Protección de Datos Personales en Posesión de Sujetos Obligados del Estado de México y Municipios.</w:t>
      </w:r>
    </w:p>
    <w:p w14:paraId="4E6FFC43" w14:textId="77777777" w:rsidR="00D7021E" w:rsidRPr="00060463" w:rsidRDefault="00D7021E" w:rsidP="00D7021E">
      <w:pPr>
        <w:spacing w:after="0" w:line="360" w:lineRule="auto"/>
        <w:rPr>
          <w:rFonts w:cs="Tahoma"/>
          <w:bCs/>
          <w:iCs/>
        </w:rPr>
      </w:pPr>
      <w:r w:rsidRPr="00060463">
        <w:rPr>
          <w:rFonts w:cs="Tahoma"/>
          <w:bCs/>
          <w:iCs/>
        </w:rPr>
        <w:t> </w:t>
      </w:r>
    </w:p>
    <w:p w14:paraId="78AEBDD6" w14:textId="392D80BD" w:rsidR="00D7021E" w:rsidRPr="00060463" w:rsidRDefault="00D7021E" w:rsidP="00D7021E">
      <w:pPr>
        <w:spacing w:after="0" w:line="360" w:lineRule="auto"/>
      </w:pPr>
      <w:r w:rsidRPr="00060463">
        <w:rPr>
          <w:rFonts w:cs="Tahoma"/>
          <w:bCs/>
          <w:iCs/>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13D4A44D" w14:textId="77777777" w:rsidR="004306AC" w:rsidRPr="00060463" w:rsidRDefault="004306AC" w:rsidP="00D7021E">
      <w:pPr>
        <w:spacing w:after="0" w:line="360" w:lineRule="auto"/>
      </w:pPr>
    </w:p>
    <w:p w14:paraId="0C829323" w14:textId="77777777" w:rsidR="00D1318A" w:rsidRPr="00060463" w:rsidRDefault="00D1318A" w:rsidP="00D7021E">
      <w:pPr>
        <w:spacing w:after="0" w:line="360" w:lineRule="auto"/>
        <w:contextualSpacing/>
        <w:rPr>
          <w:rFonts w:eastAsia="Calibri" w:cs="Tahoma"/>
          <w:b/>
          <w:bCs/>
        </w:rPr>
      </w:pPr>
      <w:r w:rsidRPr="00060463">
        <w:rPr>
          <w:rFonts w:eastAsia="Calibri" w:cs="Tahoma"/>
          <w:b/>
          <w:bCs/>
        </w:rPr>
        <w:t>Términos de la Resolución para conocimiento del Particular</w:t>
      </w:r>
    </w:p>
    <w:p w14:paraId="462BA748" w14:textId="77777777" w:rsidR="00B441BD" w:rsidRPr="00060463" w:rsidRDefault="00B441BD" w:rsidP="00D7021E">
      <w:pPr>
        <w:spacing w:after="0" w:line="360" w:lineRule="auto"/>
        <w:contextualSpacing/>
        <w:rPr>
          <w:rFonts w:eastAsia="Calibri" w:cs="Tahoma"/>
          <w:b/>
          <w:bCs/>
        </w:rPr>
      </w:pPr>
    </w:p>
    <w:p w14:paraId="3B668E85" w14:textId="7C1DFE11" w:rsidR="00D1318A" w:rsidRPr="00060463" w:rsidRDefault="00D1318A" w:rsidP="00D7021E">
      <w:pPr>
        <w:spacing w:after="0" w:line="360" w:lineRule="auto"/>
      </w:pPr>
      <w:r w:rsidRPr="00060463">
        <w:t>Se le hace del conocimiento a la persona Recurrente que, en el presente asunto, se le da la razón, pues</w:t>
      </w:r>
      <w:r w:rsidR="00715343" w:rsidRPr="00060463">
        <w:t xml:space="preserve"> </w:t>
      </w:r>
      <w:r w:rsidR="007B0E53" w:rsidRPr="00060463">
        <w:rPr>
          <w:rFonts w:eastAsia="Calibri" w:cs="Tahoma"/>
          <w:lang w:eastAsia="en-US"/>
        </w:rPr>
        <w:t xml:space="preserve">si bien </w:t>
      </w:r>
      <w:r w:rsidR="00A64498" w:rsidRPr="00060463">
        <w:rPr>
          <w:rFonts w:eastAsia="Calibri" w:cs="Tahoma"/>
          <w:lang w:eastAsia="en-US"/>
        </w:rPr>
        <w:t xml:space="preserve">el Sujeto Obligado </w:t>
      </w:r>
      <w:r w:rsidR="007B0E53" w:rsidRPr="00060463">
        <w:rPr>
          <w:rFonts w:eastAsia="Calibri" w:cs="Tahoma"/>
          <w:lang w:eastAsia="en-US"/>
        </w:rPr>
        <w:t>entrego parte de la información, omitió pronunciarse de la faltante,</w:t>
      </w:r>
      <w:r w:rsidRPr="00060463">
        <w:t xml:space="preserve"> por lo que, deberá hacer la entre</w:t>
      </w:r>
      <w:r w:rsidR="00655068" w:rsidRPr="00060463">
        <w:t>ga de la información</w:t>
      </w:r>
      <w:r w:rsidR="00F0031F" w:rsidRPr="00060463">
        <w:t xml:space="preserve"> solicitada</w:t>
      </w:r>
      <w:r w:rsidR="00655068" w:rsidRPr="00060463">
        <w:t>.</w:t>
      </w:r>
      <w:r w:rsidR="00D1305D" w:rsidRPr="00060463">
        <w:t xml:space="preserve"> </w:t>
      </w:r>
      <w:r w:rsidR="000F161C" w:rsidRPr="00060463">
        <w:rPr>
          <w:color w:val="000000"/>
        </w:rPr>
        <w:t xml:space="preserve">Además, se le informa que </w:t>
      </w:r>
      <w:r w:rsidRPr="00060463">
        <w:rPr>
          <w:color w:val="000000"/>
        </w:rPr>
        <w:t>la labor del Instituto, es apoyar a la población a acceder a la información pública y garantizar la protección de sus datos personales.</w:t>
      </w:r>
    </w:p>
    <w:p w14:paraId="687646A0" w14:textId="77777777" w:rsidR="00D1318A" w:rsidRPr="00060463" w:rsidRDefault="00D1318A" w:rsidP="00D7021E">
      <w:pPr>
        <w:spacing w:after="0" w:line="360" w:lineRule="auto"/>
      </w:pPr>
    </w:p>
    <w:p w14:paraId="1C805ED0" w14:textId="77777777" w:rsidR="00D1318A" w:rsidRPr="00060463" w:rsidRDefault="00D1318A" w:rsidP="00D7021E">
      <w:pPr>
        <w:spacing w:after="0" w:line="360" w:lineRule="auto"/>
        <w:contextualSpacing/>
        <w:rPr>
          <w:rFonts w:eastAsia="Calibri"/>
        </w:rPr>
      </w:pPr>
      <w:r w:rsidRPr="00060463">
        <w:rPr>
          <w:rFonts w:eastAsia="Calibri"/>
        </w:rPr>
        <w:t>Por lo expuesto y fundado, este Pleno:</w:t>
      </w:r>
    </w:p>
    <w:p w14:paraId="7E4B6E8F" w14:textId="77777777" w:rsidR="00057905" w:rsidRPr="00060463" w:rsidRDefault="00057905" w:rsidP="00D7021E">
      <w:pPr>
        <w:spacing w:after="0" w:line="360" w:lineRule="auto"/>
        <w:contextualSpacing/>
        <w:rPr>
          <w:rFonts w:eastAsia="Calibri"/>
        </w:rPr>
      </w:pPr>
    </w:p>
    <w:p w14:paraId="4969F2B6" w14:textId="77777777" w:rsidR="00D1318A" w:rsidRPr="00060463" w:rsidRDefault="00D1318A" w:rsidP="00D7021E">
      <w:pPr>
        <w:pStyle w:val="Ttulo1"/>
        <w:spacing w:before="0" w:after="0" w:line="360" w:lineRule="auto"/>
        <w:jc w:val="center"/>
        <w:rPr>
          <w:sz w:val="22"/>
          <w:szCs w:val="22"/>
        </w:rPr>
      </w:pPr>
      <w:bookmarkStart w:id="21" w:name="_Toc216353029"/>
      <w:r w:rsidRPr="00060463">
        <w:rPr>
          <w:sz w:val="22"/>
          <w:szCs w:val="22"/>
        </w:rPr>
        <w:t>R E S U E L V E</w:t>
      </w:r>
      <w:bookmarkEnd w:id="21"/>
    </w:p>
    <w:p w14:paraId="00911B7E" w14:textId="77777777" w:rsidR="00D1318A" w:rsidRPr="00060463" w:rsidRDefault="00D1318A" w:rsidP="00D7021E">
      <w:pPr>
        <w:spacing w:after="0" w:line="360" w:lineRule="auto"/>
        <w:contextualSpacing/>
        <w:rPr>
          <w:rFonts w:eastAsia="Calibri"/>
          <w:b/>
          <w:bCs/>
        </w:rPr>
      </w:pPr>
    </w:p>
    <w:p w14:paraId="0B310DFA" w14:textId="77DD58E6" w:rsidR="00A64498" w:rsidRPr="00060463" w:rsidRDefault="0004550F" w:rsidP="00A64498">
      <w:pPr>
        <w:spacing w:after="0" w:line="360" w:lineRule="auto"/>
        <w:rPr>
          <w:rFonts w:cs="Tahoma"/>
          <w:b/>
          <w:bCs/>
        </w:rPr>
      </w:pPr>
      <w:r w:rsidRPr="00060463">
        <w:rPr>
          <w:b/>
          <w:bCs/>
        </w:rPr>
        <w:lastRenderedPageBreak/>
        <w:t>PRIMERO.</w:t>
      </w:r>
      <w:r w:rsidRPr="00060463">
        <w:t xml:space="preserve"> </w:t>
      </w:r>
      <w:r w:rsidR="00A64498" w:rsidRPr="00060463">
        <w:t xml:space="preserve">Se </w:t>
      </w:r>
      <w:r w:rsidR="00A64498" w:rsidRPr="00060463">
        <w:rPr>
          <w:b/>
          <w:bCs/>
        </w:rPr>
        <w:t>MODIFICA</w:t>
      </w:r>
      <w:r w:rsidR="00A64498" w:rsidRPr="00060463">
        <w:t xml:space="preserve"> la respuesta entregada por el Ayuntamiento de Rayón, a las solicitudes de información con número 00067/RAYON/IP/2025, 00068/RAYON/IP/2025, 00069/RAYON/IP/2025, 00070/RAYON/IP/2025 y 00071/RAYON/IP/2025, por resultar FUNDADOS los motivos de inconformidad vertidos por el Recurrente, en términos de los Considerandos QUINTO y SEXTO de la presente Resolución.</w:t>
      </w:r>
    </w:p>
    <w:p w14:paraId="5950CEE3" w14:textId="77777777" w:rsidR="0004550F" w:rsidRPr="00060463" w:rsidRDefault="0004550F" w:rsidP="00D7021E">
      <w:pPr>
        <w:spacing w:after="0" w:line="360" w:lineRule="auto"/>
        <w:contextualSpacing/>
        <w:rPr>
          <w:rFonts w:cs="Tahoma"/>
          <w:b/>
          <w:bCs/>
        </w:rPr>
      </w:pPr>
    </w:p>
    <w:p w14:paraId="7BF501CB" w14:textId="77777777" w:rsidR="00A64498" w:rsidRPr="00060463" w:rsidRDefault="00056835" w:rsidP="00A64498">
      <w:pPr>
        <w:spacing w:after="0" w:line="360" w:lineRule="auto"/>
        <w:rPr>
          <w:rFonts w:cs="Tahoma"/>
        </w:rPr>
      </w:pPr>
      <w:r w:rsidRPr="00060463">
        <w:rPr>
          <w:rFonts w:cs="Tahoma"/>
          <w:b/>
          <w:bCs/>
        </w:rPr>
        <w:t>SEGUNDO</w:t>
      </w:r>
      <w:r w:rsidR="00D1318A" w:rsidRPr="00060463">
        <w:rPr>
          <w:rFonts w:cs="Tahoma"/>
          <w:b/>
          <w:bCs/>
        </w:rPr>
        <w:t xml:space="preserve">. </w:t>
      </w:r>
      <w:r w:rsidR="00D1318A" w:rsidRPr="00060463">
        <w:t xml:space="preserve">Se </w:t>
      </w:r>
      <w:r w:rsidR="00D1318A" w:rsidRPr="00060463">
        <w:rPr>
          <w:b/>
        </w:rPr>
        <w:t>ORDENA</w:t>
      </w:r>
      <w:r w:rsidR="00D1318A" w:rsidRPr="00060463">
        <w:t xml:space="preserve"> al Ente Recurrido</w:t>
      </w:r>
      <w:r w:rsidR="00D1318A" w:rsidRPr="00060463">
        <w:rPr>
          <w:b/>
        </w:rPr>
        <w:t xml:space="preserve">, </w:t>
      </w:r>
      <w:r w:rsidR="004068E7" w:rsidRPr="00060463">
        <w:t>a efecto de que</w:t>
      </w:r>
      <w:r w:rsidR="00AB3C0B" w:rsidRPr="00060463">
        <w:t>, previa búsqueda exhaustiva y razonable en sus archivos</w:t>
      </w:r>
      <w:r w:rsidR="004068E7" w:rsidRPr="00060463">
        <w:t xml:space="preserve"> </w:t>
      </w:r>
      <w:r w:rsidR="00D1318A" w:rsidRPr="00060463">
        <w:t>entregue</w:t>
      </w:r>
      <w:r w:rsidR="00AB3C0B" w:rsidRPr="00060463">
        <w:t>,</w:t>
      </w:r>
      <w:r w:rsidR="00D1318A" w:rsidRPr="00060463">
        <w:t xml:space="preserve"> a través del Sistema de Acceso a la I</w:t>
      </w:r>
      <w:r w:rsidR="00715343" w:rsidRPr="00060463">
        <w:t>nformación Mexiquense (SAIMEX)</w:t>
      </w:r>
      <w:r w:rsidR="002F16B6" w:rsidRPr="00060463">
        <w:t xml:space="preserve">, </w:t>
      </w:r>
      <w:r w:rsidR="00B17B55" w:rsidRPr="00060463">
        <w:t>en versión pública,</w:t>
      </w:r>
      <w:r w:rsidR="008401F3" w:rsidRPr="00060463">
        <w:t xml:space="preserve"> </w:t>
      </w:r>
      <w:r w:rsidR="00A64498" w:rsidRPr="00060463">
        <w:rPr>
          <w:rFonts w:cs="Tahoma"/>
        </w:rPr>
        <w:t>del primero de enero al veintiséis de agosto de dos mil veinticinco, lo siguiente:</w:t>
      </w:r>
    </w:p>
    <w:p w14:paraId="0152CF06" w14:textId="77777777" w:rsidR="00A64498" w:rsidRPr="00060463" w:rsidRDefault="00A64498" w:rsidP="00A64498">
      <w:pPr>
        <w:spacing w:after="0" w:line="360" w:lineRule="auto"/>
        <w:rPr>
          <w:rFonts w:cs="Tahoma"/>
        </w:rPr>
      </w:pPr>
    </w:p>
    <w:p w14:paraId="67ACBA15" w14:textId="2E6BBB64" w:rsidR="004E7B40" w:rsidRPr="00060463" w:rsidRDefault="00A64498" w:rsidP="00BA79F7">
      <w:pPr>
        <w:pStyle w:val="Prrafodelista"/>
        <w:numPr>
          <w:ilvl w:val="0"/>
          <w:numId w:val="24"/>
        </w:numPr>
        <w:spacing w:line="360" w:lineRule="auto"/>
        <w:rPr>
          <w:color w:val="000000"/>
        </w:rPr>
      </w:pPr>
      <w:r w:rsidRPr="00060463">
        <w:rPr>
          <w:rFonts w:cs="Tahoma"/>
          <w:color w:val="000000"/>
        </w:rPr>
        <w:t>Todos los documentos que conformen los procedimientos de alta y baja del personal mencionado en respuesta.</w:t>
      </w:r>
    </w:p>
    <w:p w14:paraId="5DE25446" w14:textId="77777777" w:rsidR="00523DD5" w:rsidRPr="00060463" w:rsidRDefault="00523DD5" w:rsidP="00D7021E">
      <w:pPr>
        <w:pStyle w:val="Prrafodelista"/>
        <w:spacing w:line="360" w:lineRule="auto"/>
      </w:pPr>
    </w:p>
    <w:p w14:paraId="67653411" w14:textId="3B4B4911" w:rsidR="004068E7" w:rsidRPr="00060463" w:rsidRDefault="00B17B55" w:rsidP="00D7021E">
      <w:pPr>
        <w:spacing w:after="0" w:line="360" w:lineRule="auto"/>
        <w:rPr>
          <w:rFonts w:cs="Tahoma"/>
          <w:bCs/>
          <w:iCs/>
          <w:lang w:eastAsia="es-ES"/>
        </w:rPr>
      </w:pPr>
      <w:r w:rsidRPr="00060463">
        <w:rPr>
          <w:color w:val="000000"/>
        </w:rPr>
        <w:t>Además</w:t>
      </w:r>
      <w:r w:rsidR="00523DD5" w:rsidRPr="00060463">
        <w:rPr>
          <w:color w:val="000000"/>
        </w:rPr>
        <w:t>,</w:t>
      </w:r>
      <w:r w:rsidR="000F161C" w:rsidRPr="00060463">
        <w:rPr>
          <w:color w:val="000000"/>
        </w:rPr>
        <w:t xml:space="preserve"> </w:t>
      </w:r>
      <w:r w:rsidRPr="00060463">
        <w:rPr>
          <w:rFonts w:cs="Tahoma"/>
          <w:bCs/>
          <w:iCs/>
          <w:lang w:eastAsia="es-ES"/>
        </w:rPr>
        <w:t xml:space="preserve">deberá proporcionar el Acuerdo de Clasificación donde el Comité de Transparencia, confirme </w:t>
      </w:r>
      <w:r w:rsidR="00A64498" w:rsidRPr="00060463">
        <w:rPr>
          <w:rFonts w:cs="Tahoma"/>
          <w:bCs/>
          <w:iCs/>
          <w:lang w:eastAsia="es-ES"/>
        </w:rPr>
        <w:t xml:space="preserve">la clasificación en su totalidad de los documentos mencionados en el Considerando QUINTO y </w:t>
      </w:r>
      <w:r w:rsidRPr="00060463">
        <w:rPr>
          <w:rFonts w:cs="Tahoma"/>
          <w:bCs/>
          <w:iCs/>
          <w:lang w:eastAsia="es-ES"/>
        </w:rPr>
        <w:t>la eliminación de los datos o información clasificada, en la versión pública, de conformidad con los artículos 49, fracciones II y VIII y 132, fracción II de la Ley de Transparencia y Acceso a la Información Pública del Estado de México y Municipios.</w:t>
      </w:r>
    </w:p>
    <w:p w14:paraId="7786B45E" w14:textId="77777777" w:rsidR="00B17B55" w:rsidRPr="00060463" w:rsidRDefault="00B17B55" w:rsidP="00D7021E">
      <w:pPr>
        <w:spacing w:after="0" w:line="360" w:lineRule="auto"/>
        <w:rPr>
          <w:rFonts w:cs="Tahoma"/>
          <w:bCs/>
          <w:iCs/>
          <w:lang w:eastAsia="es-ES"/>
        </w:rPr>
      </w:pPr>
    </w:p>
    <w:p w14:paraId="3EAE0142" w14:textId="5D89B5DE" w:rsidR="00D1318A" w:rsidRPr="00060463" w:rsidRDefault="00D1318A" w:rsidP="00D7021E">
      <w:pPr>
        <w:spacing w:after="0" w:line="360" w:lineRule="auto"/>
        <w:ind w:right="-28"/>
        <w:contextualSpacing/>
        <w:rPr>
          <w:rFonts w:cs="Tahoma"/>
          <w:bCs/>
          <w:iCs/>
        </w:rPr>
      </w:pPr>
      <w:r w:rsidRPr="00060463">
        <w:rPr>
          <w:rFonts w:eastAsia="Calibri" w:cs="Tahoma"/>
          <w:b/>
          <w:bCs/>
        </w:rPr>
        <w:t xml:space="preserve">TERCERO. </w:t>
      </w:r>
      <w:r w:rsidRPr="00060463">
        <w:rPr>
          <w:rFonts w:cs="Tahoma"/>
          <w:b/>
          <w:bCs/>
          <w:iCs/>
        </w:rPr>
        <w:t xml:space="preserve">NOTIFÍQUESE POR SAIMEX </w:t>
      </w:r>
      <w:r w:rsidRPr="00060463">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060463">
        <w:rPr>
          <w:rFonts w:cs="Tahoma"/>
          <w:bCs/>
          <w:iCs/>
        </w:rPr>
        <w:lastRenderedPageBreak/>
        <w:t>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060463">
        <w:rPr>
          <w:rFonts w:cs="Tahoma"/>
          <w:bCs/>
          <w:iCs/>
        </w:rPr>
        <w:t xml:space="preserve"> </w:t>
      </w:r>
      <w:r w:rsidRPr="00060463">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060463" w:rsidRDefault="00D1318A" w:rsidP="00D7021E">
      <w:pPr>
        <w:spacing w:after="0" w:line="360" w:lineRule="auto"/>
        <w:contextualSpacing/>
        <w:rPr>
          <w:rFonts w:eastAsia="Calibri" w:cs="Tahoma"/>
          <w:color w:val="000000"/>
          <w:lang w:val="es-ES"/>
        </w:rPr>
      </w:pPr>
    </w:p>
    <w:p w14:paraId="3F59EFC7" w14:textId="77777777" w:rsidR="00D1318A" w:rsidRPr="00060463" w:rsidRDefault="00D1318A" w:rsidP="00D7021E">
      <w:pPr>
        <w:spacing w:after="0" w:line="360" w:lineRule="auto"/>
        <w:contextualSpacing/>
        <w:rPr>
          <w:rFonts w:cs="Tahoma"/>
        </w:rPr>
      </w:pPr>
      <w:r w:rsidRPr="00060463">
        <w:rPr>
          <w:rFonts w:eastAsia="Calibri" w:cs="Tahoma"/>
          <w:b/>
        </w:rPr>
        <w:t>CUARTO</w:t>
      </w:r>
      <w:r w:rsidRPr="00060463">
        <w:rPr>
          <w:rFonts w:eastAsia="Calibri" w:cs="Tahoma"/>
          <w:b/>
          <w:bCs/>
        </w:rPr>
        <w:t xml:space="preserve">. </w:t>
      </w:r>
      <w:r w:rsidRPr="00060463">
        <w:rPr>
          <w:rFonts w:cs="Tahoma"/>
          <w:b/>
        </w:rPr>
        <w:t>NOTIFÍQUESE POR SAIMEX</w:t>
      </w:r>
      <w:r w:rsidRPr="00060463">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474B24C" w14:textId="77777777" w:rsidR="00524F02" w:rsidRPr="00060463" w:rsidRDefault="00524F02" w:rsidP="00D7021E">
      <w:pPr>
        <w:spacing w:after="0" w:line="360" w:lineRule="auto"/>
        <w:contextualSpacing/>
        <w:rPr>
          <w:rFonts w:cs="Tahoma"/>
        </w:rPr>
      </w:pPr>
    </w:p>
    <w:p w14:paraId="1BE8F709" w14:textId="2C55C306" w:rsidR="00524F02" w:rsidRPr="00060463" w:rsidRDefault="00524F02" w:rsidP="00D7021E">
      <w:pPr>
        <w:spacing w:after="0" w:line="360" w:lineRule="auto"/>
        <w:contextualSpacing/>
        <w:rPr>
          <w:rFonts w:cs="Tahoma"/>
        </w:rPr>
      </w:pPr>
      <w:r w:rsidRPr="00060463">
        <w:rPr>
          <w:b/>
          <w:bCs/>
        </w:rPr>
        <w:t>QUINTO.</w:t>
      </w:r>
      <w:r w:rsidRPr="00060463">
        <w:t xml:space="preserve"> 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SÉPTIMO de la presente Resolución.</w:t>
      </w:r>
    </w:p>
    <w:p w14:paraId="7850850C" w14:textId="77777777" w:rsidR="00D1318A" w:rsidRPr="00060463" w:rsidRDefault="00D1318A" w:rsidP="00D7021E">
      <w:pPr>
        <w:spacing w:after="0" w:line="360" w:lineRule="auto"/>
        <w:contextualSpacing/>
        <w:rPr>
          <w:rFonts w:cs="Arial"/>
          <w:b/>
          <w:bCs/>
        </w:rPr>
      </w:pPr>
    </w:p>
    <w:p w14:paraId="440D22CF" w14:textId="2C5B62A5" w:rsidR="00D1318A" w:rsidRDefault="00D1318A" w:rsidP="00D7021E">
      <w:pPr>
        <w:spacing w:after="0" w:line="360" w:lineRule="auto"/>
        <w:contextualSpacing/>
        <w:rPr>
          <w:rFonts w:cs="Tahoma"/>
          <w:b/>
          <w:bCs/>
        </w:rPr>
      </w:pPr>
      <w:r w:rsidRPr="00060463">
        <w:rPr>
          <w:rFonts w:eastAsia="Calibri" w:cs="Tahoma"/>
          <w:bCs/>
        </w:rPr>
        <w:t>ASÍ LO RESUELVE, POR </w:t>
      </w:r>
      <w:r w:rsidRPr="00060463">
        <w:rPr>
          <w:rFonts w:eastAsia="Calibri" w:cs="Tahoma"/>
          <w:b/>
          <w:bCs/>
        </w:rPr>
        <w:t>UNANIMIDAD</w:t>
      </w:r>
      <w:r w:rsidRPr="00060463">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060463">
        <w:rPr>
          <w:rFonts w:eastAsia="Calibri" w:cs="Tahoma"/>
          <w:bCs/>
        </w:rPr>
        <w:t xml:space="preserve"> </w:t>
      </w:r>
      <w:r w:rsidR="00060463" w:rsidRPr="00060463">
        <w:rPr>
          <w:rFonts w:eastAsia="Calibri" w:cs="Tahoma"/>
          <w:bCs/>
        </w:rPr>
        <w:t>(AUSENCIA JUSTIFICADA)</w:t>
      </w:r>
      <w:r w:rsidR="00CF7AA5" w:rsidRPr="00060463">
        <w:rPr>
          <w:rFonts w:eastAsia="Calibri" w:cs="Tahoma"/>
          <w:bCs/>
        </w:rPr>
        <w:t xml:space="preserve">, EN LA </w:t>
      </w:r>
      <w:r w:rsidR="00524F02" w:rsidRPr="00060463">
        <w:rPr>
          <w:rFonts w:eastAsia="Calibri" w:cs="Tahoma"/>
          <w:bCs/>
        </w:rPr>
        <w:t>CUADRAGÉSIMA QUINTA</w:t>
      </w:r>
      <w:r w:rsidR="00715343" w:rsidRPr="00060463">
        <w:rPr>
          <w:rFonts w:eastAsia="Calibri" w:cs="Tahoma"/>
          <w:bCs/>
        </w:rPr>
        <w:t xml:space="preserve"> </w:t>
      </w:r>
      <w:r w:rsidRPr="00060463">
        <w:rPr>
          <w:rFonts w:eastAsia="Calibri" w:cs="Tahoma"/>
          <w:bCs/>
        </w:rPr>
        <w:t>SESIÓN ORDINA</w:t>
      </w:r>
      <w:r w:rsidR="00715343" w:rsidRPr="00060463">
        <w:rPr>
          <w:rFonts w:eastAsia="Calibri" w:cs="Tahoma"/>
          <w:bCs/>
        </w:rPr>
        <w:t>RIA, C</w:t>
      </w:r>
      <w:r w:rsidR="0052714E" w:rsidRPr="00060463">
        <w:rPr>
          <w:rFonts w:eastAsia="Calibri" w:cs="Tahoma"/>
          <w:bCs/>
        </w:rPr>
        <w:t xml:space="preserve">ELEBRADA EL </w:t>
      </w:r>
      <w:r w:rsidR="00524F02" w:rsidRPr="00060463">
        <w:rPr>
          <w:rFonts w:eastAsia="Calibri" w:cs="Tahoma"/>
          <w:bCs/>
        </w:rPr>
        <w:t>DIECISIETE</w:t>
      </w:r>
      <w:r w:rsidR="00A16BAF" w:rsidRPr="00060463">
        <w:rPr>
          <w:rFonts w:eastAsia="Calibri" w:cs="Tahoma"/>
          <w:bCs/>
        </w:rPr>
        <w:t xml:space="preserve"> DE </w:t>
      </w:r>
      <w:r w:rsidR="00A16BAF" w:rsidRPr="00060463">
        <w:rPr>
          <w:rFonts w:eastAsia="Calibri" w:cs="Tahoma"/>
          <w:bCs/>
        </w:rPr>
        <w:lastRenderedPageBreak/>
        <w:t>DICIEMBRE</w:t>
      </w:r>
      <w:r w:rsidR="00655068" w:rsidRPr="00060463">
        <w:rPr>
          <w:rFonts w:eastAsia="Calibri" w:cs="Tahoma"/>
          <w:bCs/>
        </w:rPr>
        <w:t xml:space="preserve"> </w:t>
      </w:r>
      <w:r w:rsidRPr="00060463">
        <w:rPr>
          <w:rFonts w:eastAsia="Calibri" w:cs="Tahoma"/>
          <w:bCs/>
        </w:rPr>
        <w:t>DE DOS MIL VEINTICINCO, ANTE EL SECRETARIO TÉCNICO DEL PLENO, ALEXIS TAPIA RAMÍREZ.</w:t>
      </w:r>
    </w:p>
    <w:p w14:paraId="2BA380C7" w14:textId="77777777" w:rsidR="00D1318A" w:rsidRPr="00D1318A" w:rsidRDefault="00D1318A" w:rsidP="00D7021E">
      <w:pPr>
        <w:spacing w:after="0" w:line="360" w:lineRule="auto"/>
        <w:ind w:right="-28"/>
        <w:rPr>
          <w:color w:val="auto"/>
        </w:rPr>
      </w:pPr>
    </w:p>
    <w:p w14:paraId="1FFCF4F3" w14:textId="77777777" w:rsidR="00B02499" w:rsidRDefault="00B02499" w:rsidP="00D7021E">
      <w:pPr>
        <w:spacing w:after="0" w:line="360" w:lineRule="auto"/>
        <w:rPr>
          <w:rFonts w:eastAsia="Calibri" w:cs="Times New Roman"/>
          <w:b/>
          <w:bCs/>
        </w:rPr>
      </w:pPr>
    </w:p>
    <w:p w14:paraId="654C889D" w14:textId="77777777" w:rsidR="00B02499" w:rsidRPr="00681B34" w:rsidRDefault="00B02499" w:rsidP="00D7021E">
      <w:pPr>
        <w:spacing w:after="0" w:line="360" w:lineRule="auto"/>
        <w:rPr>
          <w:rFonts w:eastAsia="Calibri" w:cs="Times New Roman"/>
          <w:b/>
          <w:bCs/>
        </w:rPr>
      </w:pPr>
    </w:p>
    <w:p w14:paraId="097C707A" w14:textId="77777777" w:rsidR="004A10B0" w:rsidRDefault="004A10B0" w:rsidP="00D7021E">
      <w:pPr>
        <w:spacing w:after="0" w:line="360" w:lineRule="auto"/>
        <w:contextualSpacing/>
        <w:rPr>
          <w:rFonts w:eastAsia="Calibri" w:cs="Times New Roman"/>
          <w:color w:val="000000"/>
        </w:rPr>
      </w:pPr>
    </w:p>
    <w:p w14:paraId="3677DBED" w14:textId="77777777" w:rsidR="004A10B0" w:rsidRDefault="004A10B0" w:rsidP="00D7021E">
      <w:pPr>
        <w:spacing w:after="0" w:line="360" w:lineRule="auto"/>
        <w:contextualSpacing/>
        <w:rPr>
          <w:color w:val="000000"/>
        </w:rPr>
      </w:pPr>
    </w:p>
    <w:p w14:paraId="74E8DB3F" w14:textId="77777777" w:rsidR="00C556AB" w:rsidRDefault="00C556AB" w:rsidP="00D7021E">
      <w:pPr>
        <w:spacing w:after="0" w:line="360" w:lineRule="auto"/>
      </w:pPr>
    </w:p>
    <w:p w14:paraId="1A555613" w14:textId="77777777" w:rsidR="00023BBD" w:rsidRPr="00E64957" w:rsidRDefault="00023BBD" w:rsidP="00D7021E">
      <w:pPr>
        <w:spacing w:after="0" w:line="360" w:lineRule="auto"/>
      </w:pPr>
    </w:p>
    <w:p w14:paraId="2DB71CAF" w14:textId="49BEE08C" w:rsidR="001D4F21" w:rsidRDefault="001D4F21" w:rsidP="00D7021E">
      <w:pPr>
        <w:spacing w:after="0" w:line="360" w:lineRule="auto"/>
        <w:rPr>
          <w:color w:val="000000"/>
        </w:rPr>
      </w:pPr>
    </w:p>
    <w:p w14:paraId="38B4EF2E" w14:textId="77777777" w:rsidR="001D4F21" w:rsidRDefault="001D4F21" w:rsidP="00D7021E">
      <w:pPr>
        <w:spacing w:after="0" w:line="360" w:lineRule="auto"/>
        <w:rPr>
          <w:color w:val="000000"/>
        </w:rPr>
      </w:pPr>
    </w:p>
    <w:p w14:paraId="4201A0A0" w14:textId="77777777" w:rsidR="00E864E9" w:rsidRDefault="00E864E9" w:rsidP="00D7021E">
      <w:pPr>
        <w:tabs>
          <w:tab w:val="right" w:pos="8931"/>
        </w:tabs>
        <w:spacing w:after="0" w:line="360" w:lineRule="auto"/>
      </w:pPr>
    </w:p>
    <w:p w14:paraId="543728D1" w14:textId="77777777" w:rsidR="00E864E9" w:rsidRDefault="00E864E9" w:rsidP="00D7021E">
      <w:pPr>
        <w:tabs>
          <w:tab w:val="right" w:pos="8931"/>
        </w:tabs>
        <w:spacing w:after="0" w:line="360" w:lineRule="auto"/>
      </w:pPr>
    </w:p>
    <w:p w14:paraId="0E4439D0" w14:textId="5248D3C9" w:rsidR="007B58B9" w:rsidRDefault="007B58B9" w:rsidP="00D7021E">
      <w:pPr>
        <w:spacing w:after="0" w:line="360" w:lineRule="auto"/>
      </w:pPr>
    </w:p>
    <w:p w14:paraId="26916C77" w14:textId="77777777" w:rsidR="00A37EDE" w:rsidRDefault="00A37EDE" w:rsidP="00D7021E">
      <w:pPr>
        <w:spacing w:after="0" w:line="360" w:lineRule="auto"/>
      </w:pPr>
    </w:p>
    <w:p w14:paraId="423CE4B2" w14:textId="77777777" w:rsidR="00295DE7" w:rsidRDefault="00295DE7" w:rsidP="00D7021E">
      <w:pPr>
        <w:spacing w:after="0" w:line="360" w:lineRule="auto"/>
      </w:pPr>
    </w:p>
    <w:p w14:paraId="69CA89CA" w14:textId="77777777" w:rsidR="00295DE7" w:rsidRDefault="00295DE7" w:rsidP="00D7021E">
      <w:pPr>
        <w:spacing w:after="0" w:line="360" w:lineRule="auto"/>
      </w:pPr>
    </w:p>
    <w:p w14:paraId="32C87F3C" w14:textId="77777777" w:rsidR="00295DE7" w:rsidRDefault="00295DE7" w:rsidP="00D7021E">
      <w:pPr>
        <w:spacing w:after="0" w:line="360" w:lineRule="auto"/>
      </w:pPr>
    </w:p>
    <w:p w14:paraId="572445C3" w14:textId="77777777" w:rsidR="00295DE7" w:rsidRDefault="00295DE7" w:rsidP="00D7021E">
      <w:pPr>
        <w:spacing w:after="0" w:line="360" w:lineRule="auto"/>
      </w:pPr>
    </w:p>
    <w:p w14:paraId="69D66A38" w14:textId="77777777" w:rsidR="00295DE7" w:rsidRDefault="00295DE7" w:rsidP="00D7021E">
      <w:pPr>
        <w:spacing w:after="0" w:line="360" w:lineRule="auto"/>
      </w:pPr>
    </w:p>
    <w:p w14:paraId="18D92BDD" w14:textId="77777777" w:rsidR="00295DE7" w:rsidRDefault="00295DE7" w:rsidP="00D7021E">
      <w:pPr>
        <w:spacing w:after="0" w:line="360" w:lineRule="auto"/>
      </w:pPr>
    </w:p>
    <w:p w14:paraId="364A212A" w14:textId="77777777" w:rsidR="00295DE7" w:rsidRDefault="00295DE7" w:rsidP="00D7021E">
      <w:pPr>
        <w:spacing w:after="0" w:line="360" w:lineRule="auto"/>
      </w:pPr>
    </w:p>
    <w:p w14:paraId="41B22F27" w14:textId="77777777" w:rsidR="00295DE7" w:rsidRDefault="00295DE7" w:rsidP="00D7021E">
      <w:pPr>
        <w:spacing w:after="0" w:line="360" w:lineRule="auto"/>
      </w:pPr>
    </w:p>
    <w:p w14:paraId="67CCC731" w14:textId="77777777" w:rsidR="00295DE7" w:rsidRDefault="00295DE7" w:rsidP="00D7021E">
      <w:pPr>
        <w:spacing w:after="0" w:line="360" w:lineRule="auto"/>
      </w:pPr>
    </w:p>
    <w:p w14:paraId="1CCFBF13" w14:textId="77777777" w:rsidR="00295DE7" w:rsidRDefault="00295DE7" w:rsidP="00D7021E">
      <w:pPr>
        <w:spacing w:after="0" w:line="360" w:lineRule="auto"/>
      </w:pPr>
    </w:p>
    <w:p w14:paraId="406F597A" w14:textId="77777777" w:rsidR="00295DE7" w:rsidRDefault="00295DE7" w:rsidP="00D7021E">
      <w:pPr>
        <w:spacing w:after="0" w:line="360" w:lineRule="auto"/>
      </w:pPr>
    </w:p>
    <w:p w14:paraId="47A73088" w14:textId="77777777" w:rsidR="00295DE7" w:rsidRPr="007B58B9" w:rsidRDefault="00295DE7" w:rsidP="00D7021E">
      <w:pPr>
        <w:spacing w:after="0" w:line="360" w:lineRule="auto"/>
      </w:pPr>
    </w:p>
    <w:sectPr w:rsidR="00295DE7" w:rsidRPr="007B58B9" w:rsidSect="000B49C4">
      <w:headerReference w:type="even" r:id="rId16"/>
      <w:headerReference w:type="default" r:id="rId17"/>
      <w:footerReference w:type="even" r:id="rId18"/>
      <w:footerReference w:type="default" r:id="rId19"/>
      <w:headerReference w:type="first" r:id="rId20"/>
      <w:footerReference w:type="first" r:id="rId21"/>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C0444" w14:textId="77777777" w:rsidR="00B34761" w:rsidRDefault="00B34761">
      <w:pPr>
        <w:spacing w:after="0" w:line="240" w:lineRule="auto"/>
      </w:pPr>
      <w:r>
        <w:separator/>
      </w:r>
    </w:p>
  </w:endnote>
  <w:endnote w:type="continuationSeparator" w:id="0">
    <w:p w14:paraId="13B576B4" w14:textId="77777777" w:rsidR="00B34761" w:rsidRDefault="00B3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CF45D1" w:rsidRDefault="00CF45D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C4E2D">
      <w:rPr>
        <w:b/>
        <w:noProof/>
        <w:color w:val="000000"/>
        <w:sz w:val="24"/>
        <w:szCs w:val="24"/>
      </w:rPr>
      <w:t>66</w:t>
    </w:r>
    <w:r>
      <w:rPr>
        <w:b/>
        <w:color w:val="000000"/>
        <w:sz w:val="24"/>
        <w:szCs w:val="24"/>
      </w:rPr>
      <w:fldChar w:fldCharType="end"/>
    </w:r>
  </w:p>
  <w:p w14:paraId="7EB9860B" w14:textId="77777777" w:rsidR="00CF45D1" w:rsidRDefault="00CF45D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CF45D1" w:rsidRDefault="00CF45D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E2B97">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E2B97">
      <w:rPr>
        <w:b/>
        <w:noProof/>
        <w:color w:val="000000"/>
        <w:sz w:val="24"/>
        <w:szCs w:val="24"/>
      </w:rPr>
      <w:t>66</w:t>
    </w:r>
    <w:r>
      <w:rPr>
        <w:b/>
        <w:color w:val="000000"/>
        <w:sz w:val="24"/>
        <w:szCs w:val="24"/>
      </w:rPr>
      <w:fldChar w:fldCharType="end"/>
    </w:r>
  </w:p>
  <w:p w14:paraId="0D7FA8D9" w14:textId="77777777" w:rsidR="00CF45D1" w:rsidRDefault="00CF45D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CF45D1" w:rsidRDefault="00CF45D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E2B9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E2B97">
      <w:rPr>
        <w:b/>
        <w:noProof/>
        <w:color w:val="000000"/>
        <w:sz w:val="24"/>
        <w:szCs w:val="24"/>
      </w:rPr>
      <w:t>66</w:t>
    </w:r>
    <w:r>
      <w:rPr>
        <w:b/>
        <w:color w:val="000000"/>
        <w:sz w:val="24"/>
        <w:szCs w:val="24"/>
      </w:rPr>
      <w:fldChar w:fldCharType="end"/>
    </w:r>
  </w:p>
  <w:p w14:paraId="6796AF5F" w14:textId="77777777" w:rsidR="00CF45D1" w:rsidRDefault="00CF45D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F033E" w14:textId="77777777" w:rsidR="00B34761" w:rsidRDefault="00B34761">
      <w:pPr>
        <w:spacing w:after="0" w:line="240" w:lineRule="auto"/>
      </w:pPr>
      <w:r>
        <w:separator/>
      </w:r>
    </w:p>
  </w:footnote>
  <w:footnote w:type="continuationSeparator" w:id="0">
    <w:p w14:paraId="05650A11" w14:textId="77777777" w:rsidR="00B34761" w:rsidRDefault="00B34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CF45D1" w:rsidRDefault="00CF45D1">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F45D1" w14:paraId="10C29E94" w14:textId="77777777">
      <w:trPr>
        <w:trHeight w:val="132"/>
      </w:trPr>
      <w:tc>
        <w:tcPr>
          <w:tcW w:w="2691" w:type="dxa"/>
        </w:tcPr>
        <w:p w14:paraId="7D85A4B8" w14:textId="77777777" w:rsidR="00CF45D1" w:rsidRDefault="00CF45D1">
          <w:pPr>
            <w:tabs>
              <w:tab w:val="right" w:pos="8838"/>
            </w:tabs>
            <w:ind w:right="-105"/>
            <w:rPr>
              <w:b/>
            </w:rPr>
          </w:pPr>
          <w:r>
            <w:rPr>
              <w:b/>
            </w:rPr>
            <w:t>Recurso de Revisión:</w:t>
          </w:r>
        </w:p>
      </w:tc>
      <w:tc>
        <w:tcPr>
          <w:tcW w:w="3405" w:type="dxa"/>
        </w:tcPr>
        <w:p w14:paraId="0B0D1A9D" w14:textId="77777777" w:rsidR="00CF45D1" w:rsidRDefault="00CF45D1">
          <w:pPr>
            <w:tabs>
              <w:tab w:val="right" w:pos="8838"/>
            </w:tabs>
            <w:ind w:left="-28" w:right="-32"/>
          </w:pPr>
          <w:r>
            <w:t>03846/INFOEM/IP/RR/2020</w:t>
          </w:r>
        </w:p>
      </w:tc>
    </w:tr>
    <w:tr w:rsidR="00CF45D1" w14:paraId="2F47AC72" w14:textId="77777777">
      <w:trPr>
        <w:trHeight w:val="261"/>
      </w:trPr>
      <w:tc>
        <w:tcPr>
          <w:tcW w:w="2691" w:type="dxa"/>
        </w:tcPr>
        <w:p w14:paraId="154A4752" w14:textId="77777777" w:rsidR="00CF45D1" w:rsidRDefault="00CF45D1">
          <w:pPr>
            <w:tabs>
              <w:tab w:val="right" w:pos="8838"/>
            </w:tabs>
            <w:ind w:right="-105"/>
            <w:rPr>
              <w:b/>
            </w:rPr>
          </w:pPr>
          <w:r>
            <w:rPr>
              <w:b/>
            </w:rPr>
            <w:t>Sujeto Obligado:</w:t>
          </w:r>
        </w:p>
      </w:tc>
      <w:tc>
        <w:tcPr>
          <w:tcW w:w="3405" w:type="dxa"/>
        </w:tcPr>
        <w:p w14:paraId="5D9EC711" w14:textId="77777777" w:rsidR="00CF45D1" w:rsidRDefault="00CF45D1">
          <w:pPr>
            <w:tabs>
              <w:tab w:val="right" w:pos="8838"/>
            </w:tabs>
            <w:ind w:right="-32"/>
          </w:pPr>
          <w:r>
            <w:t>Ayuntamiento de Temascalcingo</w:t>
          </w:r>
        </w:p>
      </w:tc>
    </w:tr>
    <w:tr w:rsidR="00CF45D1" w14:paraId="11FBB450" w14:textId="77777777">
      <w:trPr>
        <w:trHeight w:val="261"/>
      </w:trPr>
      <w:tc>
        <w:tcPr>
          <w:tcW w:w="2691" w:type="dxa"/>
        </w:tcPr>
        <w:p w14:paraId="6BAF6003" w14:textId="77777777" w:rsidR="00CF45D1" w:rsidRDefault="00CF45D1">
          <w:pPr>
            <w:tabs>
              <w:tab w:val="right" w:pos="8838"/>
            </w:tabs>
            <w:ind w:right="-105"/>
            <w:rPr>
              <w:b/>
            </w:rPr>
          </w:pPr>
          <w:r>
            <w:rPr>
              <w:b/>
            </w:rPr>
            <w:t>Comisionado Ponente:</w:t>
          </w:r>
        </w:p>
      </w:tc>
      <w:tc>
        <w:tcPr>
          <w:tcW w:w="3405" w:type="dxa"/>
        </w:tcPr>
        <w:p w14:paraId="420341AF" w14:textId="77777777" w:rsidR="00CF45D1" w:rsidRDefault="00CF45D1">
          <w:pPr>
            <w:tabs>
              <w:tab w:val="right" w:pos="8838"/>
            </w:tabs>
            <w:ind w:right="-32"/>
            <w:rPr>
              <w:b/>
            </w:rPr>
          </w:pPr>
          <w:r>
            <w:t>Luis Gustavo Parra Noriega</w:t>
          </w:r>
        </w:p>
      </w:tc>
    </w:tr>
  </w:tbl>
  <w:p w14:paraId="00411D75" w14:textId="77777777" w:rsidR="00CF45D1" w:rsidRDefault="008E2B97">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CF45D1" w:rsidRDefault="008E2B97">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5670"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268"/>
      <w:gridCol w:w="3402"/>
    </w:tblGrid>
    <w:tr w:rsidR="00CF45D1" w14:paraId="40D5D5A3" w14:textId="77777777" w:rsidTr="002136F6">
      <w:trPr>
        <w:trHeight w:val="138"/>
      </w:trPr>
      <w:tc>
        <w:tcPr>
          <w:tcW w:w="2268" w:type="dxa"/>
          <w:vAlign w:val="center"/>
        </w:tcPr>
        <w:p w14:paraId="43377EBE" w14:textId="77777777" w:rsidR="00CF45D1" w:rsidRDefault="00CF45D1" w:rsidP="008C266D">
          <w:pPr>
            <w:tabs>
              <w:tab w:val="right" w:pos="8838"/>
            </w:tabs>
            <w:ind w:left="-108" w:right="-105"/>
            <w:jc w:val="left"/>
            <w:rPr>
              <w:b/>
            </w:rPr>
          </w:pPr>
        </w:p>
        <w:p w14:paraId="1DB5C8D0" w14:textId="7E98B3D2" w:rsidR="00CF45D1" w:rsidRDefault="00CF45D1" w:rsidP="008C266D">
          <w:pPr>
            <w:tabs>
              <w:tab w:val="right" w:pos="8838"/>
            </w:tabs>
            <w:ind w:left="-108" w:right="-105"/>
            <w:jc w:val="left"/>
            <w:rPr>
              <w:b/>
            </w:rPr>
          </w:pPr>
          <w:r>
            <w:rPr>
              <w:b/>
            </w:rPr>
            <w:t>Recurso de Revisión:</w:t>
          </w:r>
        </w:p>
      </w:tc>
      <w:tc>
        <w:tcPr>
          <w:tcW w:w="3402" w:type="dxa"/>
        </w:tcPr>
        <w:p w14:paraId="5BCC69C4" w14:textId="77777777" w:rsidR="00CF45D1" w:rsidRPr="00EF0C39" w:rsidRDefault="00CF45D1" w:rsidP="008C266D">
          <w:pPr>
            <w:tabs>
              <w:tab w:val="right" w:pos="8838"/>
            </w:tabs>
            <w:ind w:right="57"/>
          </w:pPr>
        </w:p>
        <w:p w14:paraId="61E59D71" w14:textId="095BEACF" w:rsidR="00CF45D1" w:rsidRPr="00EF0C39" w:rsidRDefault="00CF45D1" w:rsidP="008C266D">
          <w:pPr>
            <w:tabs>
              <w:tab w:val="right" w:pos="8838"/>
            </w:tabs>
            <w:ind w:right="57"/>
          </w:pPr>
          <w:r>
            <w:t>11196/INFOEM/IP/RR/2025 y acumulados</w:t>
          </w:r>
        </w:p>
      </w:tc>
    </w:tr>
    <w:tr w:rsidR="00CF45D1" w14:paraId="7A281F30" w14:textId="77777777" w:rsidTr="002136F6">
      <w:trPr>
        <w:trHeight w:val="273"/>
      </w:trPr>
      <w:tc>
        <w:tcPr>
          <w:tcW w:w="2268" w:type="dxa"/>
        </w:tcPr>
        <w:p w14:paraId="6671A308" w14:textId="77777777" w:rsidR="00CF45D1" w:rsidRDefault="00CF45D1" w:rsidP="008C266D">
          <w:pPr>
            <w:tabs>
              <w:tab w:val="right" w:pos="8838"/>
            </w:tabs>
            <w:ind w:left="-108" w:right="-105"/>
            <w:rPr>
              <w:b/>
            </w:rPr>
          </w:pPr>
          <w:r>
            <w:rPr>
              <w:b/>
            </w:rPr>
            <w:t>Sujeto Obligado:</w:t>
          </w:r>
        </w:p>
      </w:tc>
      <w:tc>
        <w:tcPr>
          <w:tcW w:w="3402" w:type="dxa"/>
        </w:tcPr>
        <w:p w14:paraId="30885B6D" w14:textId="4C190AEC" w:rsidR="00CF45D1" w:rsidRPr="00EF0C39" w:rsidRDefault="00CF45D1" w:rsidP="007B4717">
          <w:pPr>
            <w:tabs>
              <w:tab w:val="right" w:pos="8838"/>
            </w:tabs>
            <w:ind w:right="180"/>
          </w:pPr>
          <w:r>
            <w:t>Ayuntamiento de Rayón</w:t>
          </w:r>
        </w:p>
      </w:tc>
    </w:tr>
    <w:tr w:rsidR="00CF45D1" w14:paraId="00C22F2F" w14:textId="77777777" w:rsidTr="002136F6">
      <w:trPr>
        <w:trHeight w:val="273"/>
      </w:trPr>
      <w:tc>
        <w:tcPr>
          <w:tcW w:w="2268" w:type="dxa"/>
        </w:tcPr>
        <w:p w14:paraId="70417649" w14:textId="77777777" w:rsidR="00CF45D1" w:rsidRDefault="00CF45D1" w:rsidP="008C266D">
          <w:pPr>
            <w:tabs>
              <w:tab w:val="right" w:pos="8838"/>
            </w:tabs>
            <w:ind w:left="-108" w:right="-105"/>
            <w:rPr>
              <w:b/>
            </w:rPr>
          </w:pPr>
          <w:r>
            <w:rPr>
              <w:b/>
            </w:rPr>
            <w:t>Comisionado Ponente:</w:t>
          </w:r>
        </w:p>
      </w:tc>
      <w:tc>
        <w:tcPr>
          <w:tcW w:w="3402" w:type="dxa"/>
        </w:tcPr>
        <w:p w14:paraId="5E6EB38B" w14:textId="77777777" w:rsidR="00CF45D1" w:rsidRPr="00EF0C39" w:rsidRDefault="00CF45D1" w:rsidP="008C266D">
          <w:pPr>
            <w:tabs>
              <w:tab w:val="right" w:pos="8838"/>
            </w:tabs>
            <w:ind w:right="-170"/>
          </w:pPr>
          <w:r w:rsidRPr="00EF0C39">
            <w:t>Luis Gustavo Parra Noriega</w:t>
          </w:r>
        </w:p>
        <w:p w14:paraId="1A63C67B" w14:textId="77777777" w:rsidR="00CF45D1" w:rsidRPr="00EF0C39" w:rsidRDefault="00CF45D1" w:rsidP="008C266D">
          <w:pPr>
            <w:tabs>
              <w:tab w:val="right" w:pos="8838"/>
            </w:tabs>
            <w:ind w:right="-170"/>
            <w:rPr>
              <w:b/>
            </w:rPr>
          </w:pPr>
        </w:p>
      </w:tc>
    </w:tr>
  </w:tbl>
  <w:p w14:paraId="3498D107" w14:textId="7E17876C" w:rsidR="00CF45D1" w:rsidRDefault="00CF45D1"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CF45D1" w:rsidRDefault="008E2B97">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CF45D1" w14:paraId="6B3232BD" w14:textId="77777777" w:rsidTr="002136F6">
      <w:trPr>
        <w:trHeight w:val="132"/>
      </w:trPr>
      <w:tc>
        <w:tcPr>
          <w:tcW w:w="2551" w:type="dxa"/>
        </w:tcPr>
        <w:p w14:paraId="38F16E2F" w14:textId="77777777" w:rsidR="00CF45D1" w:rsidRDefault="00CF45D1">
          <w:pPr>
            <w:tabs>
              <w:tab w:val="right" w:pos="8838"/>
            </w:tabs>
            <w:ind w:right="-105"/>
            <w:rPr>
              <w:b/>
            </w:rPr>
          </w:pPr>
          <w:r>
            <w:rPr>
              <w:b/>
            </w:rPr>
            <w:t>Recurso de Revisión:</w:t>
          </w:r>
        </w:p>
      </w:tc>
      <w:tc>
        <w:tcPr>
          <w:tcW w:w="3402" w:type="dxa"/>
        </w:tcPr>
        <w:p w14:paraId="211CDC0A" w14:textId="4674CF53" w:rsidR="00CF45D1" w:rsidRPr="00026C6B" w:rsidRDefault="00CF45D1" w:rsidP="002136F6">
          <w:pPr>
            <w:ind w:right="33"/>
          </w:pPr>
          <w:r>
            <w:t>11196/INFOEM/IP/RR/2025 y acumulados</w:t>
          </w:r>
        </w:p>
      </w:tc>
    </w:tr>
    <w:tr w:rsidR="00CF45D1" w14:paraId="6AA3CC58" w14:textId="77777777" w:rsidTr="002136F6">
      <w:trPr>
        <w:trHeight w:val="132"/>
      </w:trPr>
      <w:tc>
        <w:tcPr>
          <w:tcW w:w="2551" w:type="dxa"/>
        </w:tcPr>
        <w:p w14:paraId="7FD164F5" w14:textId="77777777" w:rsidR="00CF45D1" w:rsidRDefault="00CF45D1">
          <w:pPr>
            <w:tabs>
              <w:tab w:val="left" w:pos="1875"/>
            </w:tabs>
            <w:ind w:right="-105"/>
            <w:rPr>
              <w:b/>
            </w:rPr>
          </w:pPr>
          <w:r>
            <w:rPr>
              <w:b/>
            </w:rPr>
            <w:t>Recurrente:</w:t>
          </w:r>
          <w:r>
            <w:rPr>
              <w:b/>
            </w:rPr>
            <w:tab/>
          </w:r>
        </w:p>
      </w:tc>
      <w:tc>
        <w:tcPr>
          <w:tcW w:w="3402" w:type="dxa"/>
        </w:tcPr>
        <w:p w14:paraId="1F1B0537" w14:textId="0F3895B2" w:rsidR="00CF45D1" w:rsidRPr="00EF0C39" w:rsidRDefault="008E2B97" w:rsidP="00F8299C">
          <w:pPr>
            <w:tabs>
              <w:tab w:val="right" w:pos="8838"/>
            </w:tabs>
          </w:pPr>
          <w:r>
            <w:t xml:space="preserve"> </w:t>
          </w:r>
          <w:r w:rsidRPr="008E2B97">
            <w:rPr>
              <w:highlight w:val="black"/>
            </w:rPr>
            <w:t>XXXXXXXXXXX</w:t>
          </w:r>
        </w:p>
      </w:tc>
    </w:tr>
    <w:tr w:rsidR="00CF45D1" w14:paraId="5113CAA6" w14:textId="77777777" w:rsidTr="002136F6">
      <w:trPr>
        <w:trHeight w:val="261"/>
      </w:trPr>
      <w:tc>
        <w:tcPr>
          <w:tcW w:w="2551" w:type="dxa"/>
        </w:tcPr>
        <w:p w14:paraId="28E3431B" w14:textId="30EC7C18" w:rsidR="00CF45D1" w:rsidRDefault="00CF45D1">
          <w:pPr>
            <w:tabs>
              <w:tab w:val="right" w:pos="8838"/>
            </w:tabs>
            <w:ind w:right="-105"/>
            <w:rPr>
              <w:b/>
            </w:rPr>
          </w:pPr>
          <w:r>
            <w:rPr>
              <w:b/>
            </w:rPr>
            <w:t>Sujeto Obligado:</w:t>
          </w:r>
        </w:p>
      </w:tc>
      <w:tc>
        <w:tcPr>
          <w:tcW w:w="3402" w:type="dxa"/>
        </w:tcPr>
        <w:p w14:paraId="3192354E" w14:textId="52F583CF" w:rsidR="00CF45D1" w:rsidRPr="00026C6B" w:rsidRDefault="00CF45D1" w:rsidP="00026C6B">
          <w:r>
            <w:t>Ayuntamiento de Rayón</w:t>
          </w:r>
        </w:p>
      </w:tc>
    </w:tr>
    <w:tr w:rsidR="00CF45D1" w14:paraId="5D4C2A35" w14:textId="77777777" w:rsidTr="002136F6">
      <w:trPr>
        <w:trHeight w:val="74"/>
      </w:trPr>
      <w:tc>
        <w:tcPr>
          <w:tcW w:w="2551" w:type="dxa"/>
        </w:tcPr>
        <w:p w14:paraId="7F522FEC" w14:textId="77777777" w:rsidR="00CF45D1" w:rsidRDefault="00CF45D1">
          <w:pPr>
            <w:tabs>
              <w:tab w:val="right" w:pos="8838"/>
            </w:tabs>
            <w:ind w:right="-105"/>
            <w:rPr>
              <w:b/>
            </w:rPr>
          </w:pPr>
          <w:r>
            <w:rPr>
              <w:b/>
            </w:rPr>
            <w:t>Comisionado Ponente:</w:t>
          </w:r>
        </w:p>
      </w:tc>
      <w:tc>
        <w:tcPr>
          <w:tcW w:w="3402" w:type="dxa"/>
        </w:tcPr>
        <w:p w14:paraId="0F0566F9" w14:textId="77777777" w:rsidR="00CF45D1" w:rsidRPr="00EF0C39" w:rsidRDefault="00CF45D1" w:rsidP="00C46A25">
          <w:pPr>
            <w:tabs>
              <w:tab w:val="right" w:pos="8838"/>
            </w:tabs>
            <w:ind w:right="-32"/>
            <w:rPr>
              <w:b/>
            </w:rPr>
          </w:pPr>
          <w:r w:rsidRPr="00EF0C39">
            <w:t>Luis Gustavo Parra Noriega</w:t>
          </w:r>
        </w:p>
      </w:tc>
    </w:tr>
  </w:tbl>
  <w:p w14:paraId="4DFC2598" w14:textId="568AC85F" w:rsidR="00CF45D1" w:rsidRDefault="00CF45D1">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4"/>
  </w:num>
  <w:num w:numId="10">
    <w:abstractNumId w:val="8"/>
  </w:num>
  <w:num w:numId="11">
    <w:abstractNumId w:val="6"/>
  </w:num>
  <w:num w:numId="12">
    <w:abstractNumId w:val="3"/>
  </w:num>
  <w:num w:numId="13">
    <w:abstractNumId w:val="10"/>
  </w:num>
  <w:num w:numId="14">
    <w:abstractNumId w:val="0"/>
  </w:num>
  <w:num w:numId="15">
    <w:abstractNumId w:val="9"/>
  </w:num>
  <w:num w:numId="16">
    <w:abstractNumId w:val="26"/>
  </w:num>
  <w:num w:numId="17">
    <w:abstractNumId w:val="15"/>
  </w:num>
  <w:num w:numId="18">
    <w:abstractNumId w:val="22"/>
  </w:num>
  <w:num w:numId="19">
    <w:abstractNumId w:val="13"/>
  </w:num>
  <w:num w:numId="20">
    <w:abstractNumId w:val="7"/>
  </w:num>
  <w:num w:numId="21">
    <w:abstractNumId w:val="11"/>
  </w:num>
  <w:num w:numId="22">
    <w:abstractNumId w:val="5"/>
  </w:num>
  <w:num w:numId="23">
    <w:abstractNumId w:val="24"/>
  </w:num>
  <w:num w:numId="24">
    <w:abstractNumId w:val="18"/>
  </w:num>
  <w:num w:numId="25">
    <w:abstractNumId w:val="19"/>
  </w:num>
  <w:num w:numId="26">
    <w:abstractNumId w:val="2"/>
  </w:num>
  <w:num w:numId="27">
    <w:abstractNumId w:val="1"/>
  </w:num>
  <w:num w:numId="28">
    <w:abstractNumId w:val="17"/>
  </w:num>
  <w:num w:numId="29">
    <w:abstractNumId w:val="21"/>
  </w:num>
  <w:num w:numId="3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426E"/>
    <w:rsid w:val="0004550F"/>
    <w:rsid w:val="00050E2E"/>
    <w:rsid w:val="000514D8"/>
    <w:rsid w:val="000519DD"/>
    <w:rsid w:val="00056835"/>
    <w:rsid w:val="0005769F"/>
    <w:rsid w:val="00057905"/>
    <w:rsid w:val="000602BA"/>
    <w:rsid w:val="00060463"/>
    <w:rsid w:val="0006109C"/>
    <w:rsid w:val="00061123"/>
    <w:rsid w:val="00063246"/>
    <w:rsid w:val="000633CA"/>
    <w:rsid w:val="0006401D"/>
    <w:rsid w:val="00064919"/>
    <w:rsid w:val="000677EA"/>
    <w:rsid w:val="000709AA"/>
    <w:rsid w:val="0007311B"/>
    <w:rsid w:val="000735F0"/>
    <w:rsid w:val="00073949"/>
    <w:rsid w:val="00075996"/>
    <w:rsid w:val="00075A71"/>
    <w:rsid w:val="00075CAF"/>
    <w:rsid w:val="00076D5F"/>
    <w:rsid w:val="00080524"/>
    <w:rsid w:val="00081D01"/>
    <w:rsid w:val="0008295C"/>
    <w:rsid w:val="00082B5B"/>
    <w:rsid w:val="00083169"/>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EA2"/>
    <w:rsid w:val="000A38C2"/>
    <w:rsid w:val="000A3910"/>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10A2"/>
    <w:rsid w:val="000C42E8"/>
    <w:rsid w:val="000C4A35"/>
    <w:rsid w:val="000C567D"/>
    <w:rsid w:val="000C7D5D"/>
    <w:rsid w:val="000D04D2"/>
    <w:rsid w:val="000D0539"/>
    <w:rsid w:val="000D1EFD"/>
    <w:rsid w:val="000D2154"/>
    <w:rsid w:val="000D257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E36"/>
    <w:rsid w:val="001055EA"/>
    <w:rsid w:val="0010587F"/>
    <w:rsid w:val="001061B1"/>
    <w:rsid w:val="001065C6"/>
    <w:rsid w:val="0011010D"/>
    <w:rsid w:val="001135C1"/>
    <w:rsid w:val="001140EB"/>
    <w:rsid w:val="001150A1"/>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3B67"/>
    <w:rsid w:val="00134465"/>
    <w:rsid w:val="00135091"/>
    <w:rsid w:val="001418BD"/>
    <w:rsid w:val="00141BAD"/>
    <w:rsid w:val="001425CB"/>
    <w:rsid w:val="001434E7"/>
    <w:rsid w:val="0014369D"/>
    <w:rsid w:val="001479C0"/>
    <w:rsid w:val="00147F25"/>
    <w:rsid w:val="001502AB"/>
    <w:rsid w:val="001507E8"/>
    <w:rsid w:val="0015162D"/>
    <w:rsid w:val="00151964"/>
    <w:rsid w:val="00153139"/>
    <w:rsid w:val="001548D6"/>
    <w:rsid w:val="001558BD"/>
    <w:rsid w:val="00155BD1"/>
    <w:rsid w:val="001566D4"/>
    <w:rsid w:val="001578F5"/>
    <w:rsid w:val="0016373E"/>
    <w:rsid w:val="00163D9F"/>
    <w:rsid w:val="001657D3"/>
    <w:rsid w:val="0016597B"/>
    <w:rsid w:val="00165AB2"/>
    <w:rsid w:val="0016642B"/>
    <w:rsid w:val="00166452"/>
    <w:rsid w:val="00166907"/>
    <w:rsid w:val="00166A42"/>
    <w:rsid w:val="0016727D"/>
    <w:rsid w:val="00167989"/>
    <w:rsid w:val="00170ACC"/>
    <w:rsid w:val="001710E2"/>
    <w:rsid w:val="0017245F"/>
    <w:rsid w:val="00172F3C"/>
    <w:rsid w:val="00174212"/>
    <w:rsid w:val="00175607"/>
    <w:rsid w:val="00175910"/>
    <w:rsid w:val="00175C9A"/>
    <w:rsid w:val="00177B6A"/>
    <w:rsid w:val="001805A9"/>
    <w:rsid w:val="001819E1"/>
    <w:rsid w:val="00181D59"/>
    <w:rsid w:val="00184025"/>
    <w:rsid w:val="00184ED6"/>
    <w:rsid w:val="00185925"/>
    <w:rsid w:val="0018624D"/>
    <w:rsid w:val="0018705D"/>
    <w:rsid w:val="00192C48"/>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FB9"/>
    <w:rsid w:val="001D4C64"/>
    <w:rsid w:val="001D4F21"/>
    <w:rsid w:val="001D5DBE"/>
    <w:rsid w:val="001D7D0E"/>
    <w:rsid w:val="001D7F0C"/>
    <w:rsid w:val="001E4284"/>
    <w:rsid w:val="001E4ECA"/>
    <w:rsid w:val="001E6077"/>
    <w:rsid w:val="001F0936"/>
    <w:rsid w:val="001F285F"/>
    <w:rsid w:val="001F3210"/>
    <w:rsid w:val="001F376C"/>
    <w:rsid w:val="001F4DC1"/>
    <w:rsid w:val="001F5043"/>
    <w:rsid w:val="001F52BC"/>
    <w:rsid w:val="001F6FD5"/>
    <w:rsid w:val="00200E63"/>
    <w:rsid w:val="002019AA"/>
    <w:rsid w:val="002025F4"/>
    <w:rsid w:val="00203520"/>
    <w:rsid w:val="00203CBA"/>
    <w:rsid w:val="00203F8C"/>
    <w:rsid w:val="00204DE3"/>
    <w:rsid w:val="0020727C"/>
    <w:rsid w:val="002075C1"/>
    <w:rsid w:val="00211554"/>
    <w:rsid w:val="00211CD8"/>
    <w:rsid w:val="002136F6"/>
    <w:rsid w:val="00213A0B"/>
    <w:rsid w:val="002162F4"/>
    <w:rsid w:val="002207FA"/>
    <w:rsid w:val="002217AE"/>
    <w:rsid w:val="00222381"/>
    <w:rsid w:val="00223487"/>
    <w:rsid w:val="002238B8"/>
    <w:rsid w:val="00227456"/>
    <w:rsid w:val="002305D3"/>
    <w:rsid w:val="00230985"/>
    <w:rsid w:val="00230B8F"/>
    <w:rsid w:val="002330AE"/>
    <w:rsid w:val="00234825"/>
    <w:rsid w:val="00243764"/>
    <w:rsid w:val="0024468A"/>
    <w:rsid w:val="00246A77"/>
    <w:rsid w:val="002475DE"/>
    <w:rsid w:val="00250532"/>
    <w:rsid w:val="00251665"/>
    <w:rsid w:val="00252910"/>
    <w:rsid w:val="002529AD"/>
    <w:rsid w:val="00252A2A"/>
    <w:rsid w:val="00253448"/>
    <w:rsid w:val="00253A9C"/>
    <w:rsid w:val="0025520C"/>
    <w:rsid w:val="00256242"/>
    <w:rsid w:val="00257C2B"/>
    <w:rsid w:val="00257D7B"/>
    <w:rsid w:val="0026163E"/>
    <w:rsid w:val="00261B92"/>
    <w:rsid w:val="00261CB4"/>
    <w:rsid w:val="00261DF6"/>
    <w:rsid w:val="0026250F"/>
    <w:rsid w:val="0026345D"/>
    <w:rsid w:val="00266E26"/>
    <w:rsid w:val="00267457"/>
    <w:rsid w:val="00270216"/>
    <w:rsid w:val="00271E85"/>
    <w:rsid w:val="002731D2"/>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266B"/>
    <w:rsid w:val="0029291C"/>
    <w:rsid w:val="0029310D"/>
    <w:rsid w:val="00293A22"/>
    <w:rsid w:val="00294B64"/>
    <w:rsid w:val="00294C03"/>
    <w:rsid w:val="00295482"/>
    <w:rsid w:val="00295DE7"/>
    <w:rsid w:val="0029784D"/>
    <w:rsid w:val="002A02CD"/>
    <w:rsid w:val="002A1DF2"/>
    <w:rsid w:val="002A31E6"/>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013"/>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745E1"/>
    <w:rsid w:val="00376AEF"/>
    <w:rsid w:val="00381132"/>
    <w:rsid w:val="003814AE"/>
    <w:rsid w:val="0038398F"/>
    <w:rsid w:val="00384E94"/>
    <w:rsid w:val="00385DD2"/>
    <w:rsid w:val="003860AA"/>
    <w:rsid w:val="003876F1"/>
    <w:rsid w:val="00390A24"/>
    <w:rsid w:val="00391317"/>
    <w:rsid w:val="003918E5"/>
    <w:rsid w:val="0039615C"/>
    <w:rsid w:val="00397991"/>
    <w:rsid w:val="003A103F"/>
    <w:rsid w:val="003A2B31"/>
    <w:rsid w:val="003A47C4"/>
    <w:rsid w:val="003A4BB8"/>
    <w:rsid w:val="003A4CF8"/>
    <w:rsid w:val="003A4EEC"/>
    <w:rsid w:val="003B3C6F"/>
    <w:rsid w:val="003B41B2"/>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2432"/>
    <w:rsid w:val="0044320C"/>
    <w:rsid w:val="0044451C"/>
    <w:rsid w:val="004458D7"/>
    <w:rsid w:val="00445A40"/>
    <w:rsid w:val="00446CA3"/>
    <w:rsid w:val="004472DD"/>
    <w:rsid w:val="004475C6"/>
    <w:rsid w:val="004479B9"/>
    <w:rsid w:val="0045046D"/>
    <w:rsid w:val="0045493C"/>
    <w:rsid w:val="00455EA5"/>
    <w:rsid w:val="00456B23"/>
    <w:rsid w:val="00461DF2"/>
    <w:rsid w:val="00462ED0"/>
    <w:rsid w:val="004649E0"/>
    <w:rsid w:val="0046597D"/>
    <w:rsid w:val="00467659"/>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5F4E"/>
    <w:rsid w:val="004962E7"/>
    <w:rsid w:val="0049696B"/>
    <w:rsid w:val="0049788F"/>
    <w:rsid w:val="004A10B0"/>
    <w:rsid w:val="004A10E6"/>
    <w:rsid w:val="004A23DC"/>
    <w:rsid w:val="004A2B01"/>
    <w:rsid w:val="004A403D"/>
    <w:rsid w:val="004B07B8"/>
    <w:rsid w:val="004B0C65"/>
    <w:rsid w:val="004B27E7"/>
    <w:rsid w:val="004B33EF"/>
    <w:rsid w:val="004B58D3"/>
    <w:rsid w:val="004B7343"/>
    <w:rsid w:val="004B73FB"/>
    <w:rsid w:val="004C21E6"/>
    <w:rsid w:val="004C465F"/>
    <w:rsid w:val="004C56AA"/>
    <w:rsid w:val="004C5C56"/>
    <w:rsid w:val="004C6321"/>
    <w:rsid w:val="004C6FCE"/>
    <w:rsid w:val="004C75C7"/>
    <w:rsid w:val="004D1D8F"/>
    <w:rsid w:val="004D243B"/>
    <w:rsid w:val="004D4E7A"/>
    <w:rsid w:val="004D63D9"/>
    <w:rsid w:val="004E06A4"/>
    <w:rsid w:val="004E0AD6"/>
    <w:rsid w:val="004E0E99"/>
    <w:rsid w:val="004E22FF"/>
    <w:rsid w:val="004E3063"/>
    <w:rsid w:val="004E47CC"/>
    <w:rsid w:val="004E7B40"/>
    <w:rsid w:val="004F0490"/>
    <w:rsid w:val="004F1682"/>
    <w:rsid w:val="004F28FF"/>
    <w:rsid w:val="004F29C8"/>
    <w:rsid w:val="004F2DE2"/>
    <w:rsid w:val="004F56D3"/>
    <w:rsid w:val="004F59FB"/>
    <w:rsid w:val="004F76F4"/>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98B"/>
    <w:rsid w:val="00531A8A"/>
    <w:rsid w:val="00533874"/>
    <w:rsid w:val="00533DD1"/>
    <w:rsid w:val="00535A8D"/>
    <w:rsid w:val="00536382"/>
    <w:rsid w:val="00536941"/>
    <w:rsid w:val="00537C32"/>
    <w:rsid w:val="00545D04"/>
    <w:rsid w:val="005501BA"/>
    <w:rsid w:val="00550C0B"/>
    <w:rsid w:val="005520E3"/>
    <w:rsid w:val="00552C67"/>
    <w:rsid w:val="00556479"/>
    <w:rsid w:val="005569DD"/>
    <w:rsid w:val="00556A90"/>
    <w:rsid w:val="00562D89"/>
    <w:rsid w:val="0056443F"/>
    <w:rsid w:val="00565861"/>
    <w:rsid w:val="005673D1"/>
    <w:rsid w:val="00572946"/>
    <w:rsid w:val="005732F8"/>
    <w:rsid w:val="0057523E"/>
    <w:rsid w:val="005800CC"/>
    <w:rsid w:val="00580345"/>
    <w:rsid w:val="005816DE"/>
    <w:rsid w:val="00582FC0"/>
    <w:rsid w:val="00585C29"/>
    <w:rsid w:val="005867A9"/>
    <w:rsid w:val="005871E7"/>
    <w:rsid w:val="0058767A"/>
    <w:rsid w:val="00590332"/>
    <w:rsid w:val="005905A3"/>
    <w:rsid w:val="00590FB7"/>
    <w:rsid w:val="005914EE"/>
    <w:rsid w:val="0059222F"/>
    <w:rsid w:val="00595FCC"/>
    <w:rsid w:val="005A0A77"/>
    <w:rsid w:val="005A3456"/>
    <w:rsid w:val="005A39F4"/>
    <w:rsid w:val="005A79D9"/>
    <w:rsid w:val="005A7C36"/>
    <w:rsid w:val="005B0203"/>
    <w:rsid w:val="005B21C9"/>
    <w:rsid w:val="005B31FA"/>
    <w:rsid w:val="005B3AED"/>
    <w:rsid w:val="005B6BFA"/>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3B0"/>
    <w:rsid w:val="005D7325"/>
    <w:rsid w:val="005D73EF"/>
    <w:rsid w:val="005E0BD4"/>
    <w:rsid w:val="005E16CC"/>
    <w:rsid w:val="005E7DC9"/>
    <w:rsid w:val="005F199D"/>
    <w:rsid w:val="005F36FE"/>
    <w:rsid w:val="005F38B6"/>
    <w:rsid w:val="005F4B93"/>
    <w:rsid w:val="005F5498"/>
    <w:rsid w:val="005F773E"/>
    <w:rsid w:val="005F785A"/>
    <w:rsid w:val="00600038"/>
    <w:rsid w:val="00600A20"/>
    <w:rsid w:val="00600FDB"/>
    <w:rsid w:val="00602E5C"/>
    <w:rsid w:val="006033D0"/>
    <w:rsid w:val="006037C1"/>
    <w:rsid w:val="00604CC7"/>
    <w:rsid w:val="006059DA"/>
    <w:rsid w:val="00605E25"/>
    <w:rsid w:val="00606B1A"/>
    <w:rsid w:val="00607076"/>
    <w:rsid w:val="00612916"/>
    <w:rsid w:val="0061303E"/>
    <w:rsid w:val="00613B5B"/>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4BD"/>
    <w:rsid w:val="00632F61"/>
    <w:rsid w:val="006335BD"/>
    <w:rsid w:val="00635A27"/>
    <w:rsid w:val="00637867"/>
    <w:rsid w:val="00637B1E"/>
    <w:rsid w:val="00640115"/>
    <w:rsid w:val="0064067B"/>
    <w:rsid w:val="006418B3"/>
    <w:rsid w:val="006430B1"/>
    <w:rsid w:val="00644832"/>
    <w:rsid w:val="00644B2E"/>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3F59"/>
    <w:rsid w:val="00684E30"/>
    <w:rsid w:val="00684E69"/>
    <w:rsid w:val="00687BCB"/>
    <w:rsid w:val="00690202"/>
    <w:rsid w:val="0069037C"/>
    <w:rsid w:val="00692763"/>
    <w:rsid w:val="00692CEE"/>
    <w:rsid w:val="00693E89"/>
    <w:rsid w:val="00694971"/>
    <w:rsid w:val="0069657C"/>
    <w:rsid w:val="006A0CDD"/>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25E4"/>
    <w:rsid w:val="006C3470"/>
    <w:rsid w:val="006C43E9"/>
    <w:rsid w:val="006C6EBC"/>
    <w:rsid w:val="006C7CD1"/>
    <w:rsid w:val="006C7E76"/>
    <w:rsid w:val="006D0C72"/>
    <w:rsid w:val="006D16BD"/>
    <w:rsid w:val="006D16D9"/>
    <w:rsid w:val="006D1CE7"/>
    <w:rsid w:val="006D2366"/>
    <w:rsid w:val="006D2960"/>
    <w:rsid w:val="006D2DF0"/>
    <w:rsid w:val="006D2EC5"/>
    <w:rsid w:val="006D2F26"/>
    <w:rsid w:val="006D49E4"/>
    <w:rsid w:val="006D63A6"/>
    <w:rsid w:val="006D65A5"/>
    <w:rsid w:val="006D6790"/>
    <w:rsid w:val="006D7FDA"/>
    <w:rsid w:val="006E1578"/>
    <w:rsid w:val="006E33C5"/>
    <w:rsid w:val="006E5084"/>
    <w:rsid w:val="006E5B7E"/>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D5F"/>
    <w:rsid w:val="00703BCE"/>
    <w:rsid w:val="007041E5"/>
    <w:rsid w:val="007041F9"/>
    <w:rsid w:val="00704B14"/>
    <w:rsid w:val="00705FBB"/>
    <w:rsid w:val="0070680E"/>
    <w:rsid w:val="0071036C"/>
    <w:rsid w:val="00712ED6"/>
    <w:rsid w:val="00715343"/>
    <w:rsid w:val="00716DFD"/>
    <w:rsid w:val="007179C4"/>
    <w:rsid w:val="00717D87"/>
    <w:rsid w:val="00720109"/>
    <w:rsid w:val="0072145C"/>
    <w:rsid w:val="00724390"/>
    <w:rsid w:val="007248C4"/>
    <w:rsid w:val="007279D2"/>
    <w:rsid w:val="0073003B"/>
    <w:rsid w:val="00730D6D"/>
    <w:rsid w:val="007310CC"/>
    <w:rsid w:val="00731FB9"/>
    <w:rsid w:val="007331D2"/>
    <w:rsid w:val="00733E46"/>
    <w:rsid w:val="00735ABA"/>
    <w:rsid w:val="00741385"/>
    <w:rsid w:val="00741DC7"/>
    <w:rsid w:val="007428C7"/>
    <w:rsid w:val="00743915"/>
    <w:rsid w:val="0074523A"/>
    <w:rsid w:val="00745BEA"/>
    <w:rsid w:val="007465C9"/>
    <w:rsid w:val="00747318"/>
    <w:rsid w:val="00747CDF"/>
    <w:rsid w:val="00751A94"/>
    <w:rsid w:val="00752A36"/>
    <w:rsid w:val="00754B31"/>
    <w:rsid w:val="0075653B"/>
    <w:rsid w:val="00760A34"/>
    <w:rsid w:val="0076190F"/>
    <w:rsid w:val="00761DC6"/>
    <w:rsid w:val="007625C2"/>
    <w:rsid w:val="00762755"/>
    <w:rsid w:val="00762A7C"/>
    <w:rsid w:val="00764BBE"/>
    <w:rsid w:val="00765204"/>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3A6"/>
    <w:rsid w:val="00782D16"/>
    <w:rsid w:val="00783335"/>
    <w:rsid w:val="00784CEA"/>
    <w:rsid w:val="0078663B"/>
    <w:rsid w:val="0079011C"/>
    <w:rsid w:val="00792220"/>
    <w:rsid w:val="00792309"/>
    <w:rsid w:val="00794774"/>
    <w:rsid w:val="00794B3F"/>
    <w:rsid w:val="00796030"/>
    <w:rsid w:val="007962A6"/>
    <w:rsid w:val="00796712"/>
    <w:rsid w:val="007A097D"/>
    <w:rsid w:val="007A0BC3"/>
    <w:rsid w:val="007A1ACB"/>
    <w:rsid w:val="007A1B8A"/>
    <w:rsid w:val="007A2872"/>
    <w:rsid w:val="007A3334"/>
    <w:rsid w:val="007A540E"/>
    <w:rsid w:val="007A6A27"/>
    <w:rsid w:val="007A6BA6"/>
    <w:rsid w:val="007A7448"/>
    <w:rsid w:val="007B0293"/>
    <w:rsid w:val="007B0E53"/>
    <w:rsid w:val="007B1B84"/>
    <w:rsid w:val="007B38A7"/>
    <w:rsid w:val="007B4143"/>
    <w:rsid w:val="007B4717"/>
    <w:rsid w:val="007B4E28"/>
    <w:rsid w:val="007B58B9"/>
    <w:rsid w:val="007B5B46"/>
    <w:rsid w:val="007B5CE4"/>
    <w:rsid w:val="007B65AB"/>
    <w:rsid w:val="007B6891"/>
    <w:rsid w:val="007B6C6F"/>
    <w:rsid w:val="007B6F45"/>
    <w:rsid w:val="007C02D1"/>
    <w:rsid w:val="007C4E2D"/>
    <w:rsid w:val="007C56EC"/>
    <w:rsid w:val="007C636E"/>
    <w:rsid w:val="007C76F2"/>
    <w:rsid w:val="007C7BAF"/>
    <w:rsid w:val="007D04B8"/>
    <w:rsid w:val="007D086D"/>
    <w:rsid w:val="007D354B"/>
    <w:rsid w:val="007D3928"/>
    <w:rsid w:val="007D6307"/>
    <w:rsid w:val="007E0603"/>
    <w:rsid w:val="007E172B"/>
    <w:rsid w:val="007E1EF5"/>
    <w:rsid w:val="007E25E4"/>
    <w:rsid w:val="007E2AA7"/>
    <w:rsid w:val="007E56C0"/>
    <w:rsid w:val="007E6087"/>
    <w:rsid w:val="007E6354"/>
    <w:rsid w:val="007E64DE"/>
    <w:rsid w:val="007E6532"/>
    <w:rsid w:val="007E65E1"/>
    <w:rsid w:val="007E7059"/>
    <w:rsid w:val="007E79A0"/>
    <w:rsid w:val="007E7B3F"/>
    <w:rsid w:val="007E7D61"/>
    <w:rsid w:val="007F15C3"/>
    <w:rsid w:val="007F4407"/>
    <w:rsid w:val="007F6027"/>
    <w:rsid w:val="007F6273"/>
    <w:rsid w:val="007F75BA"/>
    <w:rsid w:val="00800641"/>
    <w:rsid w:val="00801809"/>
    <w:rsid w:val="008027F2"/>
    <w:rsid w:val="00802C8A"/>
    <w:rsid w:val="00803119"/>
    <w:rsid w:val="00803884"/>
    <w:rsid w:val="00806629"/>
    <w:rsid w:val="00807B1F"/>
    <w:rsid w:val="0081186D"/>
    <w:rsid w:val="00812FF1"/>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1725"/>
    <w:rsid w:val="00832312"/>
    <w:rsid w:val="0083376D"/>
    <w:rsid w:val="00836749"/>
    <w:rsid w:val="008401F3"/>
    <w:rsid w:val="0084033B"/>
    <w:rsid w:val="00840B5B"/>
    <w:rsid w:val="0084143D"/>
    <w:rsid w:val="008415EA"/>
    <w:rsid w:val="008416D9"/>
    <w:rsid w:val="00841A50"/>
    <w:rsid w:val="008429BD"/>
    <w:rsid w:val="008441D0"/>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7213E"/>
    <w:rsid w:val="008738D1"/>
    <w:rsid w:val="00874D8A"/>
    <w:rsid w:val="008758D4"/>
    <w:rsid w:val="00877B42"/>
    <w:rsid w:val="00877D7C"/>
    <w:rsid w:val="00881288"/>
    <w:rsid w:val="0088400C"/>
    <w:rsid w:val="00884148"/>
    <w:rsid w:val="00884812"/>
    <w:rsid w:val="00884B61"/>
    <w:rsid w:val="008870EB"/>
    <w:rsid w:val="00887A45"/>
    <w:rsid w:val="008902C8"/>
    <w:rsid w:val="008932E1"/>
    <w:rsid w:val="00893D68"/>
    <w:rsid w:val="00894181"/>
    <w:rsid w:val="008956AA"/>
    <w:rsid w:val="00897A05"/>
    <w:rsid w:val="008A1159"/>
    <w:rsid w:val="008A1573"/>
    <w:rsid w:val="008A233A"/>
    <w:rsid w:val="008A3205"/>
    <w:rsid w:val="008A460F"/>
    <w:rsid w:val="008A60AE"/>
    <w:rsid w:val="008A64DD"/>
    <w:rsid w:val="008B21BC"/>
    <w:rsid w:val="008B270A"/>
    <w:rsid w:val="008B4F0B"/>
    <w:rsid w:val="008B7D4E"/>
    <w:rsid w:val="008C1F18"/>
    <w:rsid w:val="008C266D"/>
    <w:rsid w:val="008C37E8"/>
    <w:rsid w:val="008C40B1"/>
    <w:rsid w:val="008C56C3"/>
    <w:rsid w:val="008C63D5"/>
    <w:rsid w:val="008D28E1"/>
    <w:rsid w:val="008D3B3F"/>
    <w:rsid w:val="008D43A8"/>
    <w:rsid w:val="008D46FC"/>
    <w:rsid w:val="008D58F4"/>
    <w:rsid w:val="008D7C22"/>
    <w:rsid w:val="008E0D53"/>
    <w:rsid w:val="008E0DC4"/>
    <w:rsid w:val="008E2B97"/>
    <w:rsid w:val="008E589D"/>
    <w:rsid w:val="008E59DB"/>
    <w:rsid w:val="008E5E71"/>
    <w:rsid w:val="008E736C"/>
    <w:rsid w:val="008E7959"/>
    <w:rsid w:val="008E7A96"/>
    <w:rsid w:val="008F0749"/>
    <w:rsid w:val="008F4E82"/>
    <w:rsid w:val="008F5A51"/>
    <w:rsid w:val="008F6A1B"/>
    <w:rsid w:val="00900916"/>
    <w:rsid w:val="009019A8"/>
    <w:rsid w:val="0090220A"/>
    <w:rsid w:val="00903E21"/>
    <w:rsid w:val="0090431D"/>
    <w:rsid w:val="009048A7"/>
    <w:rsid w:val="00905638"/>
    <w:rsid w:val="0090589B"/>
    <w:rsid w:val="00905F25"/>
    <w:rsid w:val="0091086E"/>
    <w:rsid w:val="00910872"/>
    <w:rsid w:val="00913279"/>
    <w:rsid w:val="00913AC7"/>
    <w:rsid w:val="00915E1E"/>
    <w:rsid w:val="00916347"/>
    <w:rsid w:val="009203DF"/>
    <w:rsid w:val="00921054"/>
    <w:rsid w:val="009215C2"/>
    <w:rsid w:val="00922F61"/>
    <w:rsid w:val="00922F8C"/>
    <w:rsid w:val="00926758"/>
    <w:rsid w:val="00927131"/>
    <w:rsid w:val="009319F4"/>
    <w:rsid w:val="00933813"/>
    <w:rsid w:val="00933E27"/>
    <w:rsid w:val="00934D26"/>
    <w:rsid w:val="00937325"/>
    <w:rsid w:val="00937C87"/>
    <w:rsid w:val="00940831"/>
    <w:rsid w:val="00940E97"/>
    <w:rsid w:val="009417FA"/>
    <w:rsid w:val="00942FBA"/>
    <w:rsid w:val="00943435"/>
    <w:rsid w:val="00943CB1"/>
    <w:rsid w:val="00945CB8"/>
    <w:rsid w:val="00945DB2"/>
    <w:rsid w:val="00946920"/>
    <w:rsid w:val="00946C63"/>
    <w:rsid w:val="00947B5C"/>
    <w:rsid w:val="009502F9"/>
    <w:rsid w:val="00950D76"/>
    <w:rsid w:val="00950ED4"/>
    <w:rsid w:val="00951B0D"/>
    <w:rsid w:val="0095477E"/>
    <w:rsid w:val="00954B79"/>
    <w:rsid w:val="0095571A"/>
    <w:rsid w:val="00956E0E"/>
    <w:rsid w:val="009600C3"/>
    <w:rsid w:val="00960DEA"/>
    <w:rsid w:val="00960E46"/>
    <w:rsid w:val="00962C51"/>
    <w:rsid w:val="0096342B"/>
    <w:rsid w:val="00963E6F"/>
    <w:rsid w:val="009643D0"/>
    <w:rsid w:val="00965741"/>
    <w:rsid w:val="00966423"/>
    <w:rsid w:val="00966BF0"/>
    <w:rsid w:val="00971C14"/>
    <w:rsid w:val="00972243"/>
    <w:rsid w:val="009739BA"/>
    <w:rsid w:val="0097583D"/>
    <w:rsid w:val="0097677E"/>
    <w:rsid w:val="00977989"/>
    <w:rsid w:val="00983208"/>
    <w:rsid w:val="00983A37"/>
    <w:rsid w:val="00983F77"/>
    <w:rsid w:val="00986D91"/>
    <w:rsid w:val="00990817"/>
    <w:rsid w:val="00992901"/>
    <w:rsid w:val="009948FA"/>
    <w:rsid w:val="00995139"/>
    <w:rsid w:val="0099564B"/>
    <w:rsid w:val="00995AE1"/>
    <w:rsid w:val="00996BDA"/>
    <w:rsid w:val="0099716B"/>
    <w:rsid w:val="009973CB"/>
    <w:rsid w:val="009A08E5"/>
    <w:rsid w:val="009A3F7D"/>
    <w:rsid w:val="009A5A8E"/>
    <w:rsid w:val="009A67EB"/>
    <w:rsid w:val="009A6F95"/>
    <w:rsid w:val="009A7D25"/>
    <w:rsid w:val="009B19D8"/>
    <w:rsid w:val="009B1B0E"/>
    <w:rsid w:val="009B2DAB"/>
    <w:rsid w:val="009B356F"/>
    <w:rsid w:val="009B3CF8"/>
    <w:rsid w:val="009B3E17"/>
    <w:rsid w:val="009B5F7A"/>
    <w:rsid w:val="009B614F"/>
    <w:rsid w:val="009C04AF"/>
    <w:rsid w:val="009C11B4"/>
    <w:rsid w:val="009C1C11"/>
    <w:rsid w:val="009C1F1B"/>
    <w:rsid w:val="009C3818"/>
    <w:rsid w:val="009C3A1D"/>
    <w:rsid w:val="009C3C89"/>
    <w:rsid w:val="009C53E0"/>
    <w:rsid w:val="009C5A71"/>
    <w:rsid w:val="009C5B23"/>
    <w:rsid w:val="009C6467"/>
    <w:rsid w:val="009D07C4"/>
    <w:rsid w:val="009D0E1A"/>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63E"/>
    <w:rsid w:val="009E29E8"/>
    <w:rsid w:val="009E2E2A"/>
    <w:rsid w:val="009E4128"/>
    <w:rsid w:val="009E4A04"/>
    <w:rsid w:val="009F2202"/>
    <w:rsid w:val="009F3790"/>
    <w:rsid w:val="009F39DF"/>
    <w:rsid w:val="009F6813"/>
    <w:rsid w:val="009F7DFF"/>
    <w:rsid w:val="00A03F8F"/>
    <w:rsid w:val="00A042BC"/>
    <w:rsid w:val="00A045F2"/>
    <w:rsid w:val="00A05B76"/>
    <w:rsid w:val="00A071E9"/>
    <w:rsid w:val="00A1369B"/>
    <w:rsid w:val="00A13D94"/>
    <w:rsid w:val="00A15402"/>
    <w:rsid w:val="00A16BAF"/>
    <w:rsid w:val="00A16D8E"/>
    <w:rsid w:val="00A20875"/>
    <w:rsid w:val="00A2104C"/>
    <w:rsid w:val="00A244C7"/>
    <w:rsid w:val="00A2672B"/>
    <w:rsid w:val="00A26E75"/>
    <w:rsid w:val="00A277B7"/>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5B5"/>
    <w:rsid w:val="00A576F9"/>
    <w:rsid w:val="00A57A60"/>
    <w:rsid w:val="00A57E96"/>
    <w:rsid w:val="00A60433"/>
    <w:rsid w:val="00A60BDF"/>
    <w:rsid w:val="00A60F23"/>
    <w:rsid w:val="00A620E2"/>
    <w:rsid w:val="00A63444"/>
    <w:rsid w:val="00A63E30"/>
    <w:rsid w:val="00A64498"/>
    <w:rsid w:val="00A6488A"/>
    <w:rsid w:val="00A660B5"/>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BA1"/>
    <w:rsid w:val="00AB0BA1"/>
    <w:rsid w:val="00AB1C9F"/>
    <w:rsid w:val="00AB1F36"/>
    <w:rsid w:val="00AB328F"/>
    <w:rsid w:val="00AB3C0B"/>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C4E"/>
    <w:rsid w:val="00B02499"/>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52B1"/>
    <w:rsid w:val="00B27131"/>
    <w:rsid w:val="00B27951"/>
    <w:rsid w:val="00B31892"/>
    <w:rsid w:val="00B32689"/>
    <w:rsid w:val="00B331EC"/>
    <w:rsid w:val="00B34761"/>
    <w:rsid w:val="00B35F83"/>
    <w:rsid w:val="00B36A30"/>
    <w:rsid w:val="00B37935"/>
    <w:rsid w:val="00B37A6D"/>
    <w:rsid w:val="00B42016"/>
    <w:rsid w:val="00B42F31"/>
    <w:rsid w:val="00B43C12"/>
    <w:rsid w:val="00B43D92"/>
    <w:rsid w:val="00B441BD"/>
    <w:rsid w:val="00B51050"/>
    <w:rsid w:val="00B52CAD"/>
    <w:rsid w:val="00B53EAF"/>
    <w:rsid w:val="00B54BBC"/>
    <w:rsid w:val="00B554D6"/>
    <w:rsid w:val="00B56A69"/>
    <w:rsid w:val="00B61CB0"/>
    <w:rsid w:val="00B62EE3"/>
    <w:rsid w:val="00B6454E"/>
    <w:rsid w:val="00B65BCA"/>
    <w:rsid w:val="00B6639B"/>
    <w:rsid w:val="00B66F84"/>
    <w:rsid w:val="00B675A3"/>
    <w:rsid w:val="00B67947"/>
    <w:rsid w:val="00B7570D"/>
    <w:rsid w:val="00B75C77"/>
    <w:rsid w:val="00B80E36"/>
    <w:rsid w:val="00B84F6E"/>
    <w:rsid w:val="00B86EDE"/>
    <w:rsid w:val="00B901B7"/>
    <w:rsid w:val="00B90713"/>
    <w:rsid w:val="00B90DCF"/>
    <w:rsid w:val="00B92069"/>
    <w:rsid w:val="00B9500B"/>
    <w:rsid w:val="00B970C0"/>
    <w:rsid w:val="00BA011A"/>
    <w:rsid w:val="00BA1D80"/>
    <w:rsid w:val="00BA4B48"/>
    <w:rsid w:val="00BA4DA7"/>
    <w:rsid w:val="00BA4E6F"/>
    <w:rsid w:val="00BA56A8"/>
    <w:rsid w:val="00BA58BE"/>
    <w:rsid w:val="00BA784F"/>
    <w:rsid w:val="00BA79F7"/>
    <w:rsid w:val="00BA7A1E"/>
    <w:rsid w:val="00BB05C0"/>
    <w:rsid w:val="00BB3F28"/>
    <w:rsid w:val="00BB4FD9"/>
    <w:rsid w:val="00BB5711"/>
    <w:rsid w:val="00BB5722"/>
    <w:rsid w:val="00BB5ADE"/>
    <w:rsid w:val="00BB6693"/>
    <w:rsid w:val="00BB6BB6"/>
    <w:rsid w:val="00BB6CD0"/>
    <w:rsid w:val="00BC02E9"/>
    <w:rsid w:val="00BC038B"/>
    <w:rsid w:val="00BC17E4"/>
    <w:rsid w:val="00BC3EC5"/>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18"/>
    <w:rsid w:val="00BF0C25"/>
    <w:rsid w:val="00BF362A"/>
    <w:rsid w:val="00BF381B"/>
    <w:rsid w:val="00BF5AD6"/>
    <w:rsid w:val="00BF5CC6"/>
    <w:rsid w:val="00BF6934"/>
    <w:rsid w:val="00BF77B5"/>
    <w:rsid w:val="00BF7869"/>
    <w:rsid w:val="00C06004"/>
    <w:rsid w:val="00C06389"/>
    <w:rsid w:val="00C06C06"/>
    <w:rsid w:val="00C10E96"/>
    <w:rsid w:val="00C11279"/>
    <w:rsid w:val="00C11A18"/>
    <w:rsid w:val="00C12B98"/>
    <w:rsid w:val="00C13A67"/>
    <w:rsid w:val="00C13CD5"/>
    <w:rsid w:val="00C157A7"/>
    <w:rsid w:val="00C16735"/>
    <w:rsid w:val="00C2045C"/>
    <w:rsid w:val="00C218B8"/>
    <w:rsid w:val="00C21EF3"/>
    <w:rsid w:val="00C22B5A"/>
    <w:rsid w:val="00C231AA"/>
    <w:rsid w:val="00C231EB"/>
    <w:rsid w:val="00C24634"/>
    <w:rsid w:val="00C24DAF"/>
    <w:rsid w:val="00C26633"/>
    <w:rsid w:val="00C27AAC"/>
    <w:rsid w:val="00C335A8"/>
    <w:rsid w:val="00C34810"/>
    <w:rsid w:val="00C362E2"/>
    <w:rsid w:val="00C4052B"/>
    <w:rsid w:val="00C409B6"/>
    <w:rsid w:val="00C40CD5"/>
    <w:rsid w:val="00C40DD3"/>
    <w:rsid w:val="00C41F61"/>
    <w:rsid w:val="00C42A8E"/>
    <w:rsid w:val="00C42EF8"/>
    <w:rsid w:val="00C4414F"/>
    <w:rsid w:val="00C44308"/>
    <w:rsid w:val="00C45AE6"/>
    <w:rsid w:val="00C46A25"/>
    <w:rsid w:val="00C47ADE"/>
    <w:rsid w:val="00C47E88"/>
    <w:rsid w:val="00C500A8"/>
    <w:rsid w:val="00C51B7F"/>
    <w:rsid w:val="00C529B0"/>
    <w:rsid w:val="00C52E9B"/>
    <w:rsid w:val="00C53D9F"/>
    <w:rsid w:val="00C53E88"/>
    <w:rsid w:val="00C540CA"/>
    <w:rsid w:val="00C556AB"/>
    <w:rsid w:val="00C56B62"/>
    <w:rsid w:val="00C579AA"/>
    <w:rsid w:val="00C57D4C"/>
    <w:rsid w:val="00C57F18"/>
    <w:rsid w:val="00C60D14"/>
    <w:rsid w:val="00C627B9"/>
    <w:rsid w:val="00C64E46"/>
    <w:rsid w:val="00C650CF"/>
    <w:rsid w:val="00C65690"/>
    <w:rsid w:val="00C659E6"/>
    <w:rsid w:val="00C66F2D"/>
    <w:rsid w:val="00C66FF2"/>
    <w:rsid w:val="00C672CD"/>
    <w:rsid w:val="00C67A41"/>
    <w:rsid w:val="00C67B84"/>
    <w:rsid w:val="00C67C95"/>
    <w:rsid w:val="00C67CE6"/>
    <w:rsid w:val="00C71154"/>
    <w:rsid w:val="00C71160"/>
    <w:rsid w:val="00C7208B"/>
    <w:rsid w:val="00C737F2"/>
    <w:rsid w:val="00C742EC"/>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C1606"/>
    <w:rsid w:val="00CC1C87"/>
    <w:rsid w:val="00CC1F8C"/>
    <w:rsid w:val="00CC29B3"/>
    <w:rsid w:val="00CC2EA8"/>
    <w:rsid w:val="00CC5500"/>
    <w:rsid w:val="00CC6E48"/>
    <w:rsid w:val="00CD2B96"/>
    <w:rsid w:val="00CD32B3"/>
    <w:rsid w:val="00CD4DE8"/>
    <w:rsid w:val="00CD5560"/>
    <w:rsid w:val="00CD5841"/>
    <w:rsid w:val="00CD5A8F"/>
    <w:rsid w:val="00CD611D"/>
    <w:rsid w:val="00CD6238"/>
    <w:rsid w:val="00CD6617"/>
    <w:rsid w:val="00CD6876"/>
    <w:rsid w:val="00CD6D28"/>
    <w:rsid w:val="00CE0F1F"/>
    <w:rsid w:val="00CE2494"/>
    <w:rsid w:val="00CE2973"/>
    <w:rsid w:val="00CE3A3E"/>
    <w:rsid w:val="00CE3BC3"/>
    <w:rsid w:val="00CE4073"/>
    <w:rsid w:val="00CE5435"/>
    <w:rsid w:val="00CE6AE0"/>
    <w:rsid w:val="00CE719D"/>
    <w:rsid w:val="00CE724E"/>
    <w:rsid w:val="00CE7470"/>
    <w:rsid w:val="00CE7DD9"/>
    <w:rsid w:val="00CE7F68"/>
    <w:rsid w:val="00CF1FC5"/>
    <w:rsid w:val="00CF23A0"/>
    <w:rsid w:val="00CF45D1"/>
    <w:rsid w:val="00CF4EFF"/>
    <w:rsid w:val="00CF55B7"/>
    <w:rsid w:val="00CF5F2B"/>
    <w:rsid w:val="00CF6B54"/>
    <w:rsid w:val="00CF6E56"/>
    <w:rsid w:val="00CF723E"/>
    <w:rsid w:val="00CF74E9"/>
    <w:rsid w:val="00CF7AA5"/>
    <w:rsid w:val="00D02831"/>
    <w:rsid w:val="00D03CED"/>
    <w:rsid w:val="00D04C47"/>
    <w:rsid w:val="00D069F8"/>
    <w:rsid w:val="00D07E4B"/>
    <w:rsid w:val="00D110EE"/>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419C"/>
    <w:rsid w:val="00D3496C"/>
    <w:rsid w:val="00D36A13"/>
    <w:rsid w:val="00D36A9F"/>
    <w:rsid w:val="00D41F3C"/>
    <w:rsid w:val="00D41F5F"/>
    <w:rsid w:val="00D42E23"/>
    <w:rsid w:val="00D43A3A"/>
    <w:rsid w:val="00D44204"/>
    <w:rsid w:val="00D466A8"/>
    <w:rsid w:val="00D46E14"/>
    <w:rsid w:val="00D474D0"/>
    <w:rsid w:val="00D50E69"/>
    <w:rsid w:val="00D51004"/>
    <w:rsid w:val="00D5128D"/>
    <w:rsid w:val="00D52E5B"/>
    <w:rsid w:val="00D52EC1"/>
    <w:rsid w:val="00D56DB6"/>
    <w:rsid w:val="00D579E6"/>
    <w:rsid w:val="00D607BF"/>
    <w:rsid w:val="00D60A01"/>
    <w:rsid w:val="00D61CB8"/>
    <w:rsid w:val="00D61FF9"/>
    <w:rsid w:val="00D62480"/>
    <w:rsid w:val="00D629E3"/>
    <w:rsid w:val="00D6319D"/>
    <w:rsid w:val="00D64273"/>
    <w:rsid w:val="00D64322"/>
    <w:rsid w:val="00D64C4F"/>
    <w:rsid w:val="00D66DDB"/>
    <w:rsid w:val="00D7021E"/>
    <w:rsid w:val="00D70766"/>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3868"/>
    <w:rsid w:val="00DA3A68"/>
    <w:rsid w:val="00DA4E7C"/>
    <w:rsid w:val="00DB271D"/>
    <w:rsid w:val="00DB277C"/>
    <w:rsid w:val="00DB2B42"/>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732B"/>
    <w:rsid w:val="00DD73A4"/>
    <w:rsid w:val="00DE00CB"/>
    <w:rsid w:val="00DE02CA"/>
    <w:rsid w:val="00DE224D"/>
    <w:rsid w:val="00DE41C5"/>
    <w:rsid w:val="00DE50EF"/>
    <w:rsid w:val="00DF226F"/>
    <w:rsid w:val="00DF43D9"/>
    <w:rsid w:val="00DF4574"/>
    <w:rsid w:val="00DF59CE"/>
    <w:rsid w:val="00DF7F60"/>
    <w:rsid w:val="00DF7F84"/>
    <w:rsid w:val="00E00BC4"/>
    <w:rsid w:val="00E022A1"/>
    <w:rsid w:val="00E0245B"/>
    <w:rsid w:val="00E02A52"/>
    <w:rsid w:val="00E0447A"/>
    <w:rsid w:val="00E052B8"/>
    <w:rsid w:val="00E10780"/>
    <w:rsid w:val="00E1133D"/>
    <w:rsid w:val="00E12804"/>
    <w:rsid w:val="00E134FA"/>
    <w:rsid w:val="00E155FC"/>
    <w:rsid w:val="00E16A58"/>
    <w:rsid w:val="00E21EC5"/>
    <w:rsid w:val="00E22006"/>
    <w:rsid w:val="00E22217"/>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4144"/>
    <w:rsid w:val="00E547F7"/>
    <w:rsid w:val="00E559DA"/>
    <w:rsid w:val="00E57404"/>
    <w:rsid w:val="00E57797"/>
    <w:rsid w:val="00E57A6E"/>
    <w:rsid w:val="00E61343"/>
    <w:rsid w:val="00E63159"/>
    <w:rsid w:val="00E64BEF"/>
    <w:rsid w:val="00E64C1F"/>
    <w:rsid w:val="00E64E18"/>
    <w:rsid w:val="00E64F39"/>
    <w:rsid w:val="00E66BEB"/>
    <w:rsid w:val="00E674AF"/>
    <w:rsid w:val="00E7099C"/>
    <w:rsid w:val="00E71771"/>
    <w:rsid w:val="00E71F80"/>
    <w:rsid w:val="00E73985"/>
    <w:rsid w:val="00E7452D"/>
    <w:rsid w:val="00E74CB0"/>
    <w:rsid w:val="00E81B7C"/>
    <w:rsid w:val="00E85AC5"/>
    <w:rsid w:val="00E864E9"/>
    <w:rsid w:val="00E865E5"/>
    <w:rsid w:val="00E878C8"/>
    <w:rsid w:val="00E909E3"/>
    <w:rsid w:val="00E90A65"/>
    <w:rsid w:val="00E91D41"/>
    <w:rsid w:val="00E921C4"/>
    <w:rsid w:val="00E9742F"/>
    <w:rsid w:val="00EA05DD"/>
    <w:rsid w:val="00EA372C"/>
    <w:rsid w:val="00EA4F0B"/>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EC4"/>
    <w:rsid w:val="00EE4A1F"/>
    <w:rsid w:val="00EE53C1"/>
    <w:rsid w:val="00EF0C39"/>
    <w:rsid w:val="00EF36E1"/>
    <w:rsid w:val="00EF4F04"/>
    <w:rsid w:val="00EF59BC"/>
    <w:rsid w:val="00EF6A3F"/>
    <w:rsid w:val="00EF6C8B"/>
    <w:rsid w:val="00F0031F"/>
    <w:rsid w:val="00F028A5"/>
    <w:rsid w:val="00F02ACE"/>
    <w:rsid w:val="00F03463"/>
    <w:rsid w:val="00F03E2D"/>
    <w:rsid w:val="00F05082"/>
    <w:rsid w:val="00F05F10"/>
    <w:rsid w:val="00F06AF6"/>
    <w:rsid w:val="00F104DF"/>
    <w:rsid w:val="00F10790"/>
    <w:rsid w:val="00F12A3F"/>
    <w:rsid w:val="00F1561E"/>
    <w:rsid w:val="00F16DD5"/>
    <w:rsid w:val="00F16F36"/>
    <w:rsid w:val="00F17302"/>
    <w:rsid w:val="00F17545"/>
    <w:rsid w:val="00F20567"/>
    <w:rsid w:val="00F21BA6"/>
    <w:rsid w:val="00F25709"/>
    <w:rsid w:val="00F26C65"/>
    <w:rsid w:val="00F316B5"/>
    <w:rsid w:val="00F378E3"/>
    <w:rsid w:val="00F41B36"/>
    <w:rsid w:val="00F42088"/>
    <w:rsid w:val="00F43789"/>
    <w:rsid w:val="00F46E6B"/>
    <w:rsid w:val="00F47855"/>
    <w:rsid w:val="00F50072"/>
    <w:rsid w:val="00F507C6"/>
    <w:rsid w:val="00F50BE8"/>
    <w:rsid w:val="00F51CCB"/>
    <w:rsid w:val="00F51D19"/>
    <w:rsid w:val="00F530A8"/>
    <w:rsid w:val="00F54B6F"/>
    <w:rsid w:val="00F550A0"/>
    <w:rsid w:val="00F56036"/>
    <w:rsid w:val="00F56168"/>
    <w:rsid w:val="00F5625B"/>
    <w:rsid w:val="00F5696D"/>
    <w:rsid w:val="00F56D39"/>
    <w:rsid w:val="00F6097F"/>
    <w:rsid w:val="00F62018"/>
    <w:rsid w:val="00F62E83"/>
    <w:rsid w:val="00F65096"/>
    <w:rsid w:val="00F657C9"/>
    <w:rsid w:val="00F65D8D"/>
    <w:rsid w:val="00F66940"/>
    <w:rsid w:val="00F669F1"/>
    <w:rsid w:val="00F70847"/>
    <w:rsid w:val="00F70A24"/>
    <w:rsid w:val="00F70AB6"/>
    <w:rsid w:val="00F71565"/>
    <w:rsid w:val="00F7237E"/>
    <w:rsid w:val="00F73D29"/>
    <w:rsid w:val="00F7642B"/>
    <w:rsid w:val="00F80790"/>
    <w:rsid w:val="00F8257C"/>
    <w:rsid w:val="00F8299C"/>
    <w:rsid w:val="00F86BF2"/>
    <w:rsid w:val="00F8788F"/>
    <w:rsid w:val="00F87926"/>
    <w:rsid w:val="00F908B7"/>
    <w:rsid w:val="00F91851"/>
    <w:rsid w:val="00F921B3"/>
    <w:rsid w:val="00F933B4"/>
    <w:rsid w:val="00F936DE"/>
    <w:rsid w:val="00F93F64"/>
    <w:rsid w:val="00F955F5"/>
    <w:rsid w:val="00F96A43"/>
    <w:rsid w:val="00FA03D1"/>
    <w:rsid w:val="00FA03EA"/>
    <w:rsid w:val="00FA2ED3"/>
    <w:rsid w:val="00FA3A0C"/>
    <w:rsid w:val="00FA3A3E"/>
    <w:rsid w:val="00FA3EA6"/>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34DC"/>
    <w:rsid w:val="00FD35EB"/>
    <w:rsid w:val="00FD3D7D"/>
    <w:rsid w:val="00FD5141"/>
    <w:rsid w:val="00FD55C3"/>
    <w:rsid w:val="00FD5CCF"/>
    <w:rsid w:val="00FD667D"/>
    <w:rsid w:val="00FE1AD7"/>
    <w:rsid w:val="00FE58DC"/>
    <w:rsid w:val="00FE609B"/>
    <w:rsid w:val="00FE62B8"/>
    <w:rsid w:val="00FE6DDA"/>
    <w:rsid w:val="00FE7174"/>
    <w:rsid w:val="00FE7308"/>
    <w:rsid w:val="00FE79E0"/>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A34"/>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D080D"/>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sultas.curp.gob.mx/CurpSP/html/informacionecurpPS.htm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tmp"/><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yperlink" Target="https://www.gob.mx/segob/renapo/acciones-y-programas/clave-unica-de-registro-de-poblacion-curp-14222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2EBC9A-BE2D-4BA0-89E0-54DA3018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14252</Words>
  <Characters>78387</Characters>
  <Application>Microsoft Office Word</Application>
  <DocSecurity>0</DocSecurity>
  <Lines>653</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4</cp:revision>
  <cp:lastPrinted>2025-12-19T17:14:00Z</cp:lastPrinted>
  <dcterms:created xsi:type="dcterms:W3CDTF">2025-12-19T17:13:00Z</dcterms:created>
  <dcterms:modified xsi:type="dcterms:W3CDTF">2026-02-05T18:32:00Z</dcterms:modified>
</cp:coreProperties>
</file>