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B23D" w14:textId="626943F4" w:rsidR="00356F83" w:rsidRPr="00972F86" w:rsidRDefault="00DD321F">
      <w:pPr>
        <w:spacing w:line="360" w:lineRule="auto"/>
        <w:ind w:left="-142"/>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103F4" w:rsidRPr="00972F86">
        <w:rPr>
          <w:rFonts w:ascii="Palatino Linotype" w:eastAsia="Palatino Linotype" w:hAnsi="Palatino Linotype" w:cs="Palatino Linotype"/>
          <w:sz w:val="22"/>
          <w:szCs w:val="22"/>
        </w:rPr>
        <w:t xml:space="preserve">veintisiete de agosto de dos mil veinticinco. </w:t>
      </w:r>
    </w:p>
    <w:p w14:paraId="4EE38C6D" w14:textId="77777777" w:rsidR="00356F83" w:rsidRPr="00972F86" w:rsidRDefault="00356F83">
      <w:pPr>
        <w:spacing w:line="360" w:lineRule="auto"/>
        <w:ind w:left="-142"/>
        <w:jc w:val="both"/>
        <w:rPr>
          <w:rFonts w:ascii="Palatino Linotype" w:eastAsia="Palatino Linotype" w:hAnsi="Palatino Linotype" w:cs="Palatino Linotype"/>
          <w:sz w:val="22"/>
          <w:szCs w:val="22"/>
        </w:rPr>
      </w:pPr>
    </w:p>
    <w:p w14:paraId="0A8F0944" w14:textId="13953F21" w:rsidR="00356F83" w:rsidRPr="00972F86" w:rsidRDefault="00DD321F">
      <w:pPr>
        <w:spacing w:line="360" w:lineRule="auto"/>
        <w:ind w:left="-142"/>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Visto</w:t>
      </w:r>
      <w:r w:rsidRPr="00972F86">
        <w:rPr>
          <w:rFonts w:ascii="Palatino Linotype" w:eastAsia="Palatino Linotype" w:hAnsi="Palatino Linotype" w:cs="Palatino Linotype"/>
          <w:sz w:val="22"/>
          <w:szCs w:val="22"/>
        </w:rPr>
        <w:t xml:space="preserve"> el expediente relativo al recurso de revisión </w:t>
      </w:r>
      <w:r w:rsidR="009103F4" w:rsidRPr="00972F86">
        <w:rPr>
          <w:rFonts w:ascii="Palatino Linotype" w:eastAsia="Palatino Linotype" w:hAnsi="Palatino Linotype" w:cs="Palatino Linotype"/>
          <w:b/>
          <w:sz w:val="22"/>
          <w:szCs w:val="22"/>
        </w:rPr>
        <w:t>07939</w:t>
      </w:r>
      <w:r w:rsidR="00A972A9" w:rsidRPr="00972F86">
        <w:rPr>
          <w:rFonts w:ascii="Palatino Linotype" w:eastAsia="Palatino Linotype" w:hAnsi="Palatino Linotype" w:cs="Palatino Linotype"/>
          <w:b/>
          <w:sz w:val="22"/>
          <w:szCs w:val="22"/>
        </w:rPr>
        <w:t>/INFOEM/IP/RR/2025</w:t>
      </w:r>
      <w:r w:rsidRPr="00972F86">
        <w:rPr>
          <w:rFonts w:ascii="Palatino Linotype" w:eastAsia="Palatino Linotype" w:hAnsi="Palatino Linotype" w:cs="Palatino Linotype"/>
          <w:sz w:val="22"/>
          <w:szCs w:val="22"/>
        </w:rPr>
        <w:t xml:space="preserve">, interpuesto </w:t>
      </w:r>
      <w:r w:rsidR="00324576">
        <w:rPr>
          <w:rFonts w:ascii="Palatino Linotype" w:eastAsia="Palatino Linotype" w:hAnsi="Palatino Linotype" w:cs="Palatino Linotype"/>
          <w:b/>
          <w:sz w:val="22"/>
          <w:szCs w:val="22"/>
        </w:rPr>
        <w:t xml:space="preserve">XX X </w:t>
      </w:r>
      <w:r w:rsidRPr="00972F86">
        <w:rPr>
          <w:rFonts w:ascii="Palatino Linotype" w:eastAsia="Palatino Linotype" w:hAnsi="Palatino Linotype" w:cs="Palatino Linotype"/>
          <w:sz w:val="22"/>
          <w:szCs w:val="22"/>
        </w:rPr>
        <w:t>en lo sucesivo se le denominará la persona</w:t>
      </w:r>
      <w:r w:rsidRPr="00972F86">
        <w:rPr>
          <w:rFonts w:ascii="Palatino Linotype" w:eastAsia="Palatino Linotype" w:hAnsi="Palatino Linotype" w:cs="Palatino Linotype"/>
          <w:b/>
          <w:sz w:val="22"/>
          <w:szCs w:val="22"/>
        </w:rPr>
        <w:t xml:space="preserve"> RECURRENTE</w:t>
      </w:r>
      <w:r w:rsidRPr="00972F86">
        <w:rPr>
          <w:rFonts w:ascii="Palatino Linotype" w:eastAsia="Palatino Linotype" w:hAnsi="Palatino Linotype" w:cs="Palatino Linotype"/>
          <w:sz w:val="22"/>
          <w:szCs w:val="22"/>
        </w:rPr>
        <w:t>, en contra de la respuesta a su solicitud de información con número de folio</w:t>
      </w:r>
      <w:r w:rsidR="009103F4" w:rsidRPr="00972F86">
        <w:rPr>
          <w:rFonts w:ascii="Palatino Linotype" w:eastAsia="Palatino Linotype" w:hAnsi="Palatino Linotype" w:cs="Palatino Linotype"/>
          <w:b/>
          <w:sz w:val="22"/>
          <w:szCs w:val="22"/>
        </w:rPr>
        <w:t xml:space="preserve"> 00341</w:t>
      </w:r>
      <w:r w:rsidRPr="00972F86">
        <w:rPr>
          <w:rFonts w:ascii="Palatino Linotype" w:eastAsia="Palatino Linotype" w:hAnsi="Palatino Linotype" w:cs="Palatino Linotype"/>
          <w:b/>
          <w:sz w:val="22"/>
          <w:szCs w:val="22"/>
        </w:rPr>
        <w:t>/</w:t>
      </w:r>
      <w:r w:rsidR="009103F4" w:rsidRPr="00972F86">
        <w:rPr>
          <w:rFonts w:ascii="Palatino Linotype" w:eastAsia="Palatino Linotype" w:hAnsi="Palatino Linotype" w:cs="Palatino Linotype"/>
          <w:b/>
          <w:sz w:val="22"/>
          <w:szCs w:val="22"/>
        </w:rPr>
        <w:t>CALIMAYA</w:t>
      </w:r>
      <w:r w:rsidR="00A972A9" w:rsidRPr="00972F86">
        <w:rPr>
          <w:rFonts w:ascii="Palatino Linotype" w:eastAsia="Palatino Linotype" w:hAnsi="Palatino Linotype" w:cs="Palatino Linotype"/>
          <w:b/>
          <w:sz w:val="22"/>
          <w:szCs w:val="22"/>
        </w:rPr>
        <w:t>/IP/2025</w:t>
      </w:r>
      <w:r w:rsidRPr="00972F86">
        <w:rPr>
          <w:rFonts w:ascii="Palatino Linotype" w:eastAsia="Palatino Linotype" w:hAnsi="Palatino Linotype" w:cs="Palatino Linotype"/>
          <w:sz w:val="22"/>
          <w:szCs w:val="22"/>
        </w:rPr>
        <w:t xml:space="preserve">, por parte del </w:t>
      </w:r>
      <w:r w:rsidR="00F610F4" w:rsidRPr="00972F86">
        <w:rPr>
          <w:rFonts w:ascii="Palatino Linotype" w:eastAsia="Palatino Linotype" w:hAnsi="Palatino Linotype" w:cs="Palatino Linotype"/>
          <w:b/>
          <w:sz w:val="22"/>
          <w:szCs w:val="22"/>
        </w:rPr>
        <w:t xml:space="preserve">Ayuntamiento de </w:t>
      </w:r>
      <w:r w:rsidR="009103F4" w:rsidRPr="00972F86">
        <w:rPr>
          <w:rFonts w:ascii="Palatino Linotype" w:eastAsia="Palatino Linotype" w:hAnsi="Palatino Linotype" w:cs="Palatino Linotype"/>
          <w:b/>
          <w:sz w:val="22"/>
          <w:szCs w:val="22"/>
        </w:rPr>
        <w:t>Calimaya</w:t>
      </w:r>
      <w:r w:rsidR="00A972A9" w:rsidRPr="00972F86">
        <w:rPr>
          <w:rFonts w:ascii="Palatino Linotype" w:eastAsia="Palatino Linotype" w:hAnsi="Palatino Linotype" w:cs="Palatino Linotype"/>
          <w:b/>
          <w:sz w:val="22"/>
          <w:szCs w:val="22"/>
        </w:rPr>
        <w:t xml:space="preserve"> </w:t>
      </w:r>
      <w:r w:rsidRPr="00972F86">
        <w:rPr>
          <w:rFonts w:ascii="Palatino Linotype" w:eastAsia="Palatino Linotype" w:hAnsi="Palatino Linotype" w:cs="Palatino Linotype"/>
          <w:sz w:val="22"/>
          <w:szCs w:val="22"/>
        </w:rPr>
        <w:t xml:space="preserve">en lo sucesivo 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w:t>
      </w:r>
      <w:r w:rsidRPr="00972F86">
        <w:rPr>
          <w:rFonts w:ascii="Palatino Linotype" w:eastAsia="Palatino Linotype" w:hAnsi="Palatino Linotype" w:cs="Palatino Linotype"/>
          <w:b/>
          <w:sz w:val="22"/>
          <w:szCs w:val="22"/>
        </w:rPr>
        <w:t xml:space="preserve"> </w:t>
      </w:r>
      <w:r w:rsidRPr="00972F86">
        <w:rPr>
          <w:rFonts w:ascii="Palatino Linotype" w:eastAsia="Palatino Linotype" w:hAnsi="Palatino Linotype" w:cs="Palatino Linotype"/>
          <w:sz w:val="22"/>
          <w:szCs w:val="22"/>
        </w:rPr>
        <w:t>se procede a dictar la presente resolución, con base en los siguientes:</w:t>
      </w:r>
    </w:p>
    <w:p w14:paraId="2C633D1C" w14:textId="77777777" w:rsidR="00356F83" w:rsidRPr="00972F86" w:rsidRDefault="00356F83">
      <w:pPr>
        <w:spacing w:line="360" w:lineRule="auto"/>
        <w:ind w:left="-142"/>
        <w:jc w:val="both"/>
        <w:rPr>
          <w:rFonts w:ascii="Palatino Linotype" w:eastAsia="Palatino Linotype" w:hAnsi="Palatino Linotype" w:cs="Palatino Linotype"/>
          <w:sz w:val="22"/>
          <w:szCs w:val="22"/>
        </w:rPr>
      </w:pPr>
    </w:p>
    <w:p w14:paraId="762C38FB" w14:textId="77777777" w:rsidR="00356F83" w:rsidRPr="00972F86" w:rsidRDefault="00DD321F">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972F86">
        <w:rPr>
          <w:rFonts w:ascii="Palatino Linotype" w:eastAsia="Palatino Linotype" w:hAnsi="Palatino Linotype" w:cs="Palatino Linotype"/>
          <w:b/>
          <w:sz w:val="22"/>
          <w:szCs w:val="22"/>
        </w:rPr>
        <w:t>A N T E C E D E N T E S:</w:t>
      </w:r>
    </w:p>
    <w:p w14:paraId="1992DEE9" w14:textId="77777777" w:rsidR="00356F83" w:rsidRPr="00972F86" w:rsidRDefault="00356F83">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27E4F83" w14:textId="2962D0D2" w:rsidR="00356F83" w:rsidRPr="00972F86" w:rsidRDefault="00DD321F">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b/>
          <w:sz w:val="22"/>
          <w:szCs w:val="22"/>
        </w:rPr>
        <w:t xml:space="preserve">Solicitud de acceso a la información. </w:t>
      </w:r>
      <w:r w:rsidRPr="00972F86">
        <w:rPr>
          <w:rFonts w:ascii="Palatino Linotype" w:eastAsia="Palatino Linotype" w:hAnsi="Palatino Linotype" w:cs="Palatino Linotype"/>
          <w:sz w:val="22"/>
          <w:szCs w:val="22"/>
        </w:rPr>
        <w:t xml:space="preserve">Con fecha </w:t>
      </w:r>
      <w:r w:rsidR="00157213" w:rsidRPr="00972F86">
        <w:rPr>
          <w:rFonts w:ascii="Palatino Linotype" w:eastAsia="Palatino Linotype" w:hAnsi="Palatino Linotype" w:cs="Palatino Linotype"/>
          <w:b/>
          <w:sz w:val="22"/>
          <w:szCs w:val="22"/>
        </w:rPr>
        <w:t xml:space="preserve">quince de junio de dos mil </w:t>
      </w:r>
      <w:r w:rsidR="00157213" w:rsidRPr="00972F86">
        <w:rPr>
          <w:rFonts w:ascii="Palatino Linotype" w:eastAsia="Palatino Linotype" w:hAnsi="Palatino Linotype" w:cs="Palatino Linotype"/>
          <w:sz w:val="22"/>
          <w:szCs w:val="22"/>
        </w:rPr>
        <w:t xml:space="preserve">veinticinco, la parte </w:t>
      </w:r>
      <w:r w:rsidR="00157213" w:rsidRPr="00972F86">
        <w:rPr>
          <w:rFonts w:ascii="Palatino Linotype" w:eastAsia="Palatino Linotype" w:hAnsi="Palatino Linotype" w:cs="Palatino Linotype"/>
          <w:b/>
          <w:sz w:val="22"/>
          <w:szCs w:val="22"/>
        </w:rPr>
        <w:t>RECURRENTE</w:t>
      </w:r>
      <w:r w:rsidR="00157213" w:rsidRPr="00972F86">
        <w:rPr>
          <w:rFonts w:ascii="Palatino Linotype" w:eastAsia="Palatino Linotype" w:hAnsi="Palatino Linotype" w:cs="Palatino Linotype"/>
          <w:sz w:val="22"/>
          <w:szCs w:val="22"/>
        </w:rPr>
        <w:t xml:space="preserve"> formuló solicitud de acceso a información pública al </w:t>
      </w:r>
      <w:r w:rsidR="00157213" w:rsidRPr="00972F86">
        <w:rPr>
          <w:rFonts w:ascii="Palatino Linotype" w:eastAsia="Palatino Linotype" w:hAnsi="Palatino Linotype" w:cs="Palatino Linotype"/>
          <w:b/>
          <w:sz w:val="22"/>
          <w:szCs w:val="22"/>
        </w:rPr>
        <w:t>SUJETO OBLIGADO</w:t>
      </w:r>
      <w:r w:rsidR="00157213" w:rsidRPr="00972F86">
        <w:rPr>
          <w:rFonts w:ascii="Palatino Linotype" w:eastAsia="Palatino Linotype" w:hAnsi="Palatino Linotype" w:cs="Palatino Linotype"/>
          <w:sz w:val="22"/>
          <w:szCs w:val="22"/>
        </w:rPr>
        <w:t xml:space="preserve"> a través del Sistema de Acceso a la Información Mexiquense, en adelante </w:t>
      </w:r>
      <w:r w:rsidR="00157213" w:rsidRPr="00972F86">
        <w:rPr>
          <w:rFonts w:ascii="Palatino Linotype" w:eastAsia="Palatino Linotype" w:hAnsi="Palatino Linotype" w:cs="Palatino Linotype"/>
          <w:b/>
          <w:sz w:val="22"/>
          <w:szCs w:val="22"/>
        </w:rPr>
        <w:t>SAIMEX</w:t>
      </w:r>
      <w:r w:rsidR="00157213" w:rsidRPr="00972F86">
        <w:rPr>
          <w:rFonts w:ascii="Palatino Linotype" w:eastAsia="Palatino Linotype" w:hAnsi="Palatino Linotype" w:cs="Palatino Linotype"/>
          <w:sz w:val="22"/>
          <w:szCs w:val="22"/>
        </w:rPr>
        <w:t xml:space="preserve">, el cual quedó registrado el </w:t>
      </w:r>
      <w:r w:rsidR="009103F4" w:rsidRPr="00972F86">
        <w:rPr>
          <w:rFonts w:ascii="Palatino Linotype" w:eastAsia="Palatino Linotype" w:hAnsi="Palatino Linotype" w:cs="Palatino Linotype"/>
          <w:b/>
          <w:sz w:val="22"/>
          <w:szCs w:val="22"/>
        </w:rPr>
        <w:t>dieciséis de junio</w:t>
      </w:r>
      <w:r w:rsidR="00A972A9" w:rsidRPr="00972F86">
        <w:rPr>
          <w:rFonts w:ascii="Palatino Linotype" w:eastAsia="Palatino Linotype" w:hAnsi="Palatino Linotype" w:cs="Palatino Linotype"/>
          <w:b/>
          <w:sz w:val="22"/>
          <w:szCs w:val="22"/>
        </w:rPr>
        <w:t xml:space="preserve"> de dos mil veinticinco</w:t>
      </w:r>
      <w:r w:rsidRPr="00972F86">
        <w:rPr>
          <w:rFonts w:ascii="Palatino Linotype" w:eastAsia="Palatino Linotype" w:hAnsi="Palatino Linotype" w:cs="Palatino Linotype"/>
          <w:sz w:val="22"/>
          <w:szCs w:val="22"/>
        </w:rPr>
        <w:t>, requiriéndole lo siguiente:</w:t>
      </w:r>
    </w:p>
    <w:p w14:paraId="32BD1747" w14:textId="77777777" w:rsidR="00356F83" w:rsidRPr="00972F86" w:rsidRDefault="00356F8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D471DC8" w14:textId="7FE3D6BD" w:rsidR="009103F4" w:rsidRPr="00972F86" w:rsidRDefault="009103F4" w:rsidP="009103F4">
      <w:pPr>
        <w:spacing w:line="276" w:lineRule="auto"/>
        <w:ind w:left="567" w:right="900"/>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 xml:space="preserve">“La información pública sobre el sueldo mensual del presidente municipal, todos los regidores, la sindico, la secretaria, la secretaria particular del Ayuntamiento en la administración 2025”. </w:t>
      </w:r>
    </w:p>
    <w:p w14:paraId="62B20911" w14:textId="77777777" w:rsidR="009103F4" w:rsidRPr="00972F86" w:rsidRDefault="009103F4">
      <w:pPr>
        <w:spacing w:line="360" w:lineRule="auto"/>
        <w:ind w:right="900"/>
        <w:jc w:val="both"/>
        <w:rPr>
          <w:rFonts w:ascii="Palatino Linotype" w:eastAsia="Palatino Linotype" w:hAnsi="Palatino Linotype" w:cs="Palatino Linotype"/>
          <w:i/>
          <w:sz w:val="22"/>
          <w:szCs w:val="22"/>
        </w:rPr>
      </w:pPr>
    </w:p>
    <w:p w14:paraId="11B24519"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Modalidad elegida para la entrega de la información: </w:t>
      </w:r>
      <w:r w:rsidRPr="00972F86">
        <w:rPr>
          <w:rFonts w:ascii="Palatino Linotype" w:eastAsia="Palatino Linotype" w:hAnsi="Palatino Linotype" w:cs="Palatino Linotype"/>
          <w:sz w:val="22"/>
          <w:szCs w:val="22"/>
        </w:rPr>
        <w:t>a través del Sistema de Acceso a la Información Mexiquense.</w:t>
      </w:r>
    </w:p>
    <w:p w14:paraId="7F11837B" w14:textId="77777777" w:rsidR="00356F83" w:rsidRPr="00972F86" w:rsidRDefault="00356F8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452D0C" w14:textId="798F745D" w:rsidR="00DA69BD" w:rsidRPr="00972F86" w:rsidRDefault="00DD321F" w:rsidP="009103F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b/>
          <w:sz w:val="22"/>
          <w:szCs w:val="22"/>
        </w:rPr>
        <w:t xml:space="preserve">Respuesta. </w:t>
      </w:r>
      <w:r w:rsidRPr="00972F86">
        <w:rPr>
          <w:rFonts w:ascii="Palatino Linotype" w:eastAsia="Palatino Linotype" w:hAnsi="Palatino Linotype" w:cs="Palatino Linotype"/>
          <w:sz w:val="22"/>
          <w:szCs w:val="22"/>
        </w:rPr>
        <w:t xml:space="preserve">Con fecha </w:t>
      </w:r>
      <w:r w:rsidR="009103F4" w:rsidRPr="00972F86">
        <w:rPr>
          <w:rFonts w:ascii="Palatino Linotype" w:eastAsia="Palatino Linotype" w:hAnsi="Palatino Linotype" w:cs="Palatino Linotype"/>
          <w:b/>
          <w:sz w:val="22"/>
          <w:szCs w:val="22"/>
        </w:rPr>
        <w:t>treinta de junio</w:t>
      </w:r>
      <w:r w:rsidR="00A972A9" w:rsidRPr="00972F86">
        <w:rPr>
          <w:rFonts w:ascii="Palatino Linotype" w:eastAsia="Palatino Linotype" w:hAnsi="Palatino Linotype" w:cs="Palatino Linotype"/>
          <w:b/>
          <w:sz w:val="22"/>
          <w:szCs w:val="22"/>
        </w:rPr>
        <w:t xml:space="preserve"> de dos mil veinticinco</w:t>
      </w:r>
      <w:r w:rsidRPr="00972F86">
        <w:rPr>
          <w:rFonts w:ascii="Palatino Linotype" w:eastAsia="Palatino Linotype" w:hAnsi="Palatino Linotype" w:cs="Palatino Linotype"/>
          <w:sz w:val="22"/>
          <w:szCs w:val="22"/>
        </w:rPr>
        <w:t xml:space="preserve">, 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xml:space="preserve"> envió su respuesta a la solicitud de acceso a la información a través del SAIMEX, </w:t>
      </w:r>
      <w:r w:rsidR="009103F4" w:rsidRPr="00972F86">
        <w:rPr>
          <w:rFonts w:ascii="Palatino Linotype" w:eastAsia="Palatino Linotype" w:hAnsi="Palatino Linotype" w:cs="Palatino Linotype"/>
          <w:sz w:val="22"/>
          <w:szCs w:val="22"/>
        </w:rPr>
        <w:t xml:space="preserve">la cual es del conocimiento de las partes. </w:t>
      </w:r>
    </w:p>
    <w:p w14:paraId="6C89DF02" w14:textId="77777777" w:rsidR="009103F4" w:rsidRPr="00972F86" w:rsidRDefault="009103F4" w:rsidP="009103F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66765C9" w14:textId="61E790CB" w:rsidR="00356F83" w:rsidRPr="00972F86" w:rsidRDefault="00DD321F">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Interposición del recurso de revisión. </w:t>
      </w:r>
      <w:r w:rsidRPr="00972F86">
        <w:rPr>
          <w:rFonts w:ascii="Palatino Linotype" w:eastAsia="Palatino Linotype" w:hAnsi="Palatino Linotype" w:cs="Palatino Linotype"/>
          <w:sz w:val="22"/>
          <w:szCs w:val="22"/>
        </w:rPr>
        <w:t xml:space="preserve">Inconforme con la respuesta del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la persona</w:t>
      </w:r>
      <w:r w:rsidRPr="00972F86">
        <w:rPr>
          <w:rFonts w:ascii="Palatino Linotype" w:eastAsia="Palatino Linotype" w:hAnsi="Palatino Linotype" w:cs="Palatino Linotype"/>
          <w:b/>
          <w:sz w:val="22"/>
          <w:szCs w:val="22"/>
        </w:rPr>
        <w:t xml:space="preserve"> RECURRENTE</w:t>
      </w:r>
      <w:r w:rsidRPr="00972F86">
        <w:rPr>
          <w:rFonts w:ascii="Palatino Linotype" w:eastAsia="Palatino Linotype" w:hAnsi="Palatino Linotype" w:cs="Palatino Linotype"/>
          <w:sz w:val="22"/>
          <w:szCs w:val="22"/>
        </w:rPr>
        <w:t xml:space="preserve"> interpuso recurso de revisión a través del Sistema de </w:t>
      </w:r>
      <w:r w:rsidRPr="00972F86">
        <w:rPr>
          <w:rFonts w:ascii="Palatino Linotype" w:eastAsia="Palatino Linotype" w:hAnsi="Palatino Linotype" w:cs="Palatino Linotype"/>
          <w:sz w:val="22"/>
          <w:szCs w:val="22"/>
        </w:rPr>
        <w:lastRenderedPageBreak/>
        <w:t xml:space="preserve">Acceso a la Información Mexiquense en fecha </w:t>
      </w:r>
      <w:r w:rsidR="009103F4" w:rsidRPr="00972F86">
        <w:rPr>
          <w:rFonts w:ascii="Palatino Linotype" w:eastAsia="Palatino Linotype" w:hAnsi="Palatino Linotype" w:cs="Palatino Linotype"/>
          <w:b/>
          <w:sz w:val="22"/>
          <w:szCs w:val="22"/>
        </w:rPr>
        <w:t>treinta de junio de dos mil veinticinco</w:t>
      </w:r>
      <w:r w:rsidRPr="00972F86">
        <w:rPr>
          <w:rFonts w:ascii="Palatino Linotype" w:eastAsia="Palatino Linotype" w:hAnsi="Palatino Linotype" w:cs="Palatino Linotype"/>
          <w:sz w:val="22"/>
          <w:szCs w:val="22"/>
        </w:rPr>
        <w:t>, a través del cual expresó lo siguiente:</w:t>
      </w:r>
    </w:p>
    <w:p w14:paraId="25788B5A" w14:textId="77777777" w:rsidR="008B32FB" w:rsidRPr="00972F86" w:rsidRDefault="008B32FB" w:rsidP="008B32FB">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6624C2E1" w14:textId="3ABB6D5B" w:rsidR="00356F83" w:rsidRPr="00972F86" w:rsidRDefault="00DD321F">
      <w:pPr>
        <w:spacing w:line="276" w:lineRule="auto"/>
        <w:ind w:left="567" w:right="693"/>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sz w:val="22"/>
          <w:szCs w:val="22"/>
        </w:rPr>
        <w:t xml:space="preserve">Acto impugnado. </w:t>
      </w:r>
      <w:r w:rsidRPr="00972F86">
        <w:rPr>
          <w:rFonts w:ascii="Palatino Linotype" w:eastAsia="Palatino Linotype" w:hAnsi="Palatino Linotype" w:cs="Palatino Linotype"/>
          <w:i/>
          <w:sz w:val="22"/>
          <w:szCs w:val="22"/>
        </w:rPr>
        <w:t>“</w:t>
      </w:r>
      <w:r w:rsidR="009103F4" w:rsidRPr="00972F86">
        <w:rPr>
          <w:rFonts w:ascii="Palatino Linotype" w:eastAsia="Palatino Linotype" w:hAnsi="Palatino Linotype" w:cs="Palatino Linotype"/>
          <w:i/>
          <w:sz w:val="22"/>
          <w:szCs w:val="22"/>
        </w:rPr>
        <w:t>LA RESPUESTO 00341/CALIMAYA/IP/2025</w:t>
      </w:r>
      <w:r w:rsidRPr="00972F86">
        <w:rPr>
          <w:rFonts w:ascii="Palatino Linotype" w:eastAsia="Palatino Linotype" w:hAnsi="Palatino Linotype" w:cs="Palatino Linotype"/>
          <w:i/>
          <w:sz w:val="22"/>
          <w:szCs w:val="22"/>
        </w:rPr>
        <w:t xml:space="preserve">” </w:t>
      </w:r>
    </w:p>
    <w:p w14:paraId="2B5525A7" w14:textId="77777777" w:rsidR="00356F83" w:rsidRPr="00972F86" w:rsidRDefault="00356F83">
      <w:pPr>
        <w:spacing w:line="276" w:lineRule="auto"/>
        <w:ind w:left="567" w:right="693"/>
        <w:rPr>
          <w:sz w:val="22"/>
          <w:szCs w:val="22"/>
        </w:rPr>
      </w:pPr>
    </w:p>
    <w:p w14:paraId="7C92516E" w14:textId="4EBD7D83" w:rsidR="00356F83" w:rsidRPr="00972F86" w:rsidRDefault="00DD321F" w:rsidP="009A7078">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sz w:val="22"/>
          <w:szCs w:val="22"/>
        </w:rPr>
        <w:t xml:space="preserve">Motivos de inconformidad. </w:t>
      </w:r>
      <w:r w:rsidRPr="00972F86">
        <w:rPr>
          <w:rFonts w:ascii="Palatino Linotype" w:eastAsia="Palatino Linotype" w:hAnsi="Palatino Linotype" w:cs="Palatino Linotype"/>
          <w:i/>
          <w:sz w:val="22"/>
          <w:szCs w:val="22"/>
        </w:rPr>
        <w:t>“</w:t>
      </w:r>
      <w:r w:rsidR="009103F4" w:rsidRPr="00972F86">
        <w:rPr>
          <w:rFonts w:ascii="Palatino Linotype" w:eastAsia="Palatino Linotype" w:hAnsi="Palatino Linotype" w:cs="Palatino Linotype"/>
          <w:i/>
          <w:sz w:val="22"/>
          <w:szCs w:val="22"/>
        </w:rPr>
        <w:t>NO SE ME DA LA INFORMACIÓN PUBLICA SOLICITADA DE MANERA CLARA</w:t>
      </w:r>
      <w:r w:rsidRPr="00972F86">
        <w:rPr>
          <w:rFonts w:ascii="Palatino Linotype" w:eastAsia="Palatino Linotype" w:hAnsi="Palatino Linotype" w:cs="Palatino Linotype"/>
          <w:i/>
          <w:sz w:val="22"/>
          <w:szCs w:val="22"/>
        </w:rPr>
        <w:t xml:space="preserve">”. </w:t>
      </w:r>
    </w:p>
    <w:p w14:paraId="144ADA08" w14:textId="77777777" w:rsidR="00356F83" w:rsidRPr="00972F86" w:rsidRDefault="00356F8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9B1C22" w14:textId="331E0407" w:rsidR="00356F83" w:rsidRPr="00972F86" w:rsidRDefault="00DD321F">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Turno. </w:t>
      </w:r>
      <w:r w:rsidRPr="00972F8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103F4" w:rsidRPr="00972F86">
        <w:rPr>
          <w:rFonts w:ascii="Palatino Linotype" w:eastAsia="Palatino Linotype" w:hAnsi="Palatino Linotype" w:cs="Palatino Linotype"/>
          <w:b/>
          <w:sz w:val="22"/>
          <w:szCs w:val="22"/>
        </w:rPr>
        <w:t>07939</w:t>
      </w:r>
      <w:r w:rsidR="009A7078" w:rsidRPr="00972F86">
        <w:rPr>
          <w:rFonts w:ascii="Palatino Linotype" w:eastAsia="Palatino Linotype" w:hAnsi="Palatino Linotype" w:cs="Palatino Linotype"/>
          <w:b/>
          <w:sz w:val="22"/>
          <w:szCs w:val="22"/>
        </w:rPr>
        <w:t>/INFOEM/IP/RR/2025</w:t>
      </w:r>
      <w:r w:rsidRPr="00972F8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72F86">
        <w:rPr>
          <w:rFonts w:ascii="Palatino Linotype" w:eastAsia="Palatino Linotype" w:hAnsi="Palatino Linotype" w:cs="Palatino Linotype"/>
          <w:b/>
          <w:sz w:val="22"/>
          <w:szCs w:val="22"/>
        </w:rPr>
        <w:t>Guadalupe Ramírez Peña</w:t>
      </w:r>
      <w:r w:rsidRPr="00972F86">
        <w:rPr>
          <w:rFonts w:ascii="Palatino Linotype" w:eastAsia="Palatino Linotype" w:hAnsi="Palatino Linotype" w:cs="Palatino Linotype"/>
          <w:sz w:val="22"/>
          <w:szCs w:val="22"/>
        </w:rPr>
        <w:t>, para su análisis, estudio, elaboración del proyecto y presentación ante el Pleno de este Instituto.</w:t>
      </w:r>
    </w:p>
    <w:p w14:paraId="5792F2CE" w14:textId="77777777" w:rsidR="00356F83" w:rsidRPr="00972F86" w:rsidRDefault="00356F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79BA5A" w14:textId="3697F574" w:rsidR="00356F83" w:rsidRPr="00972F86" w:rsidRDefault="00DD321F">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972F86">
        <w:rPr>
          <w:rFonts w:ascii="Palatino Linotype" w:eastAsia="Palatino Linotype" w:hAnsi="Palatino Linotype" w:cs="Palatino Linotype"/>
          <w:b/>
          <w:sz w:val="22"/>
          <w:szCs w:val="22"/>
        </w:rPr>
        <w:t xml:space="preserve">Admisión del recurso de revisión: </w:t>
      </w:r>
      <w:r w:rsidRPr="00972F86">
        <w:rPr>
          <w:rFonts w:ascii="Palatino Linotype" w:eastAsia="Palatino Linotype" w:hAnsi="Palatino Linotype" w:cs="Palatino Linotype"/>
          <w:sz w:val="22"/>
          <w:szCs w:val="22"/>
        </w:rPr>
        <w:t xml:space="preserve">En fecha </w:t>
      </w:r>
      <w:r w:rsidR="009103F4" w:rsidRPr="00972F86">
        <w:rPr>
          <w:rFonts w:ascii="Palatino Linotype" w:eastAsia="Palatino Linotype" w:hAnsi="Palatino Linotype" w:cs="Palatino Linotype"/>
          <w:b/>
          <w:sz w:val="22"/>
          <w:szCs w:val="22"/>
        </w:rPr>
        <w:t xml:space="preserve">tres de julio </w:t>
      </w:r>
      <w:r w:rsidR="009A7078" w:rsidRPr="00972F86">
        <w:rPr>
          <w:rFonts w:ascii="Palatino Linotype" w:eastAsia="Palatino Linotype" w:hAnsi="Palatino Linotype" w:cs="Palatino Linotype"/>
          <w:b/>
          <w:sz w:val="22"/>
          <w:szCs w:val="22"/>
        </w:rPr>
        <w:t>de dos mil veinticinco</w:t>
      </w:r>
      <w:r w:rsidRPr="00972F8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xml:space="preserve"> presentara su informe justificado.</w:t>
      </w:r>
    </w:p>
    <w:p w14:paraId="47EEEFA7" w14:textId="77777777" w:rsidR="00356F83" w:rsidRPr="00972F86" w:rsidRDefault="00356F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89C27E2" w14:textId="0013AFE1" w:rsidR="00157213" w:rsidRPr="00972F86" w:rsidRDefault="00DD321F" w:rsidP="00157213">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Manifestaciones</w:t>
      </w:r>
      <w:r w:rsidR="00E92A98" w:rsidRPr="00972F86">
        <w:rPr>
          <w:rFonts w:ascii="Palatino Linotype" w:eastAsia="Palatino Linotype" w:hAnsi="Palatino Linotype" w:cs="Palatino Linotype"/>
          <w:sz w:val="22"/>
          <w:szCs w:val="22"/>
        </w:rPr>
        <w:t xml:space="preserve">. </w:t>
      </w:r>
      <w:r w:rsidR="009103F4" w:rsidRPr="00972F86">
        <w:rPr>
          <w:rFonts w:ascii="Palatino Linotype" w:eastAsia="Palatino Linotype" w:hAnsi="Palatino Linotype" w:cs="Palatino Linotype"/>
          <w:sz w:val="22"/>
          <w:szCs w:val="22"/>
        </w:rPr>
        <w:t xml:space="preserve">Las partes fueron omisas en rendir manifestaciones. </w:t>
      </w:r>
    </w:p>
    <w:p w14:paraId="424C317F" w14:textId="77777777" w:rsidR="00157213" w:rsidRPr="00972F86" w:rsidRDefault="00157213" w:rsidP="0015721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17B9BE4" w14:textId="76440A77" w:rsidR="00157213" w:rsidRPr="00972F86" w:rsidRDefault="00157213" w:rsidP="00157213">
      <w:pPr>
        <w:numPr>
          <w:ilvl w:val="0"/>
          <w:numId w:val="1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Ampliación del plazo.</w:t>
      </w:r>
      <w:r w:rsidRPr="00972F86">
        <w:rPr>
          <w:rFonts w:ascii="Palatino Linotype" w:eastAsia="Palatino Linotype" w:hAnsi="Palatino Linotype" w:cs="Palatino Linotype"/>
          <w:sz w:val="22"/>
          <w:szCs w:val="22"/>
        </w:rPr>
        <w:t xml:space="preserve"> En fecha </w:t>
      </w:r>
      <w:r w:rsidRPr="00972F86">
        <w:rPr>
          <w:rFonts w:ascii="Palatino Linotype" w:eastAsia="Palatino Linotype" w:hAnsi="Palatino Linotype" w:cs="Palatino Linotype"/>
          <w:b/>
          <w:sz w:val="22"/>
          <w:szCs w:val="22"/>
        </w:rPr>
        <w:t>veintiuno de agosto de dos mil veinticinco</w:t>
      </w:r>
      <w:r w:rsidRPr="00972F86">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E186041" w14:textId="77777777" w:rsidR="00157213" w:rsidRPr="00972F86" w:rsidRDefault="00157213" w:rsidP="00157213">
      <w:pPr>
        <w:widowControl w:val="0"/>
        <w:spacing w:line="360" w:lineRule="auto"/>
        <w:jc w:val="both"/>
        <w:rPr>
          <w:rFonts w:ascii="Palatino Linotype" w:eastAsia="Palatino Linotype" w:hAnsi="Palatino Linotype" w:cs="Palatino Linotype"/>
          <w:sz w:val="22"/>
          <w:szCs w:val="22"/>
        </w:rPr>
      </w:pPr>
    </w:p>
    <w:p w14:paraId="48318311"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w:t>
      </w:r>
      <w:r w:rsidRPr="00972F86">
        <w:rPr>
          <w:rFonts w:ascii="Palatino Linotype" w:eastAsia="Palatino Linotype" w:hAnsi="Palatino Linotype" w:cs="Palatino Linotype"/>
          <w:sz w:val="22"/>
          <w:szCs w:val="22"/>
        </w:rPr>
        <w:lastRenderedPageBreak/>
        <w:t>circunstancia atípica que ha rebasado las capacidades técnicas y humanas del personal encargado de la proyección de las resoluciones a dichos medios de impugnación.</w:t>
      </w:r>
    </w:p>
    <w:p w14:paraId="2E7DFAC5"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320A1802"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47C04B"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03A8E699"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A33DE6"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6E8A4A83"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597901"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6583F2A7" w14:textId="77777777" w:rsidR="00157213" w:rsidRPr="00972F86" w:rsidRDefault="00157213" w:rsidP="00157213">
      <w:pPr>
        <w:spacing w:line="360" w:lineRule="auto"/>
        <w:jc w:val="both"/>
        <w:rPr>
          <w:rFonts w:ascii="Palatino Linotype" w:eastAsia="Palatino Linotype" w:hAnsi="Palatino Linotype" w:cs="Palatino Linotype"/>
          <w:strike/>
          <w:sz w:val="22"/>
          <w:szCs w:val="22"/>
        </w:rPr>
      </w:pPr>
      <w:r w:rsidRPr="00972F8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200E1F6"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46E9666B" w14:textId="77777777" w:rsidR="00157213" w:rsidRPr="00972F86" w:rsidRDefault="00157213" w:rsidP="00157213">
      <w:pPr>
        <w:numPr>
          <w:ilvl w:val="0"/>
          <w:numId w:val="17"/>
        </w:num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Complejidad del Asunto:</w:t>
      </w:r>
      <w:r w:rsidRPr="00972F8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30AFEBA" w14:textId="77777777" w:rsidR="00157213" w:rsidRPr="00972F86" w:rsidRDefault="00157213" w:rsidP="00157213">
      <w:pPr>
        <w:spacing w:line="360" w:lineRule="auto"/>
        <w:ind w:left="927"/>
        <w:jc w:val="both"/>
        <w:rPr>
          <w:rFonts w:ascii="Palatino Linotype" w:eastAsia="Palatino Linotype" w:hAnsi="Palatino Linotype" w:cs="Palatino Linotype"/>
          <w:sz w:val="22"/>
          <w:szCs w:val="22"/>
        </w:rPr>
      </w:pPr>
    </w:p>
    <w:p w14:paraId="57DACF9B" w14:textId="77777777" w:rsidR="00157213" w:rsidRPr="00972F86" w:rsidRDefault="00157213" w:rsidP="00157213">
      <w:pPr>
        <w:numPr>
          <w:ilvl w:val="0"/>
          <w:numId w:val="17"/>
        </w:num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Actividad Procesal del interesado.</w:t>
      </w:r>
      <w:r w:rsidRPr="00972F86">
        <w:rPr>
          <w:rFonts w:ascii="Palatino Linotype" w:eastAsia="Palatino Linotype" w:hAnsi="Palatino Linotype" w:cs="Palatino Linotype"/>
          <w:sz w:val="22"/>
          <w:szCs w:val="22"/>
        </w:rPr>
        <w:t xml:space="preserve"> Acciones u omisiones del interesado.</w:t>
      </w:r>
    </w:p>
    <w:p w14:paraId="005B4355" w14:textId="77777777" w:rsidR="00157213" w:rsidRPr="00972F86" w:rsidRDefault="00157213" w:rsidP="00157213">
      <w:pPr>
        <w:spacing w:line="360" w:lineRule="auto"/>
        <w:ind w:left="927"/>
        <w:jc w:val="both"/>
        <w:rPr>
          <w:rFonts w:ascii="Palatino Linotype" w:eastAsia="Palatino Linotype" w:hAnsi="Palatino Linotype" w:cs="Palatino Linotype"/>
          <w:sz w:val="22"/>
          <w:szCs w:val="22"/>
        </w:rPr>
      </w:pPr>
    </w:p>
    <w:p w14:paraId="4832CC13" w14:textId="77777777" w:rsidR="00157213" w:rsidRPr="00972F86" w:rsidRDefault="00157213" w:rsidP="00157213">
      <w:pPr>
        <w:numPr>
          <w:ilvl w:val="0"/>
          <w:numId w:val="17"/>
        </w:num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Conducta de la Autoridad: </w:t>
      </w:r>
      <w:r w:rsidRPr="00972F86">
        <w:rPr>
          <w:rFonts w:ascii="Palatino Linotype" w:eastAsia="Palatino Linotype" w:hAnsi="Palatino Linotype" w:cs="Palatino Linotype"/>
          <w:sz w:val="22"/>
          <w:szCs w:val="22"/>
        </w:rPr>
        <w:t>Las Acciones u omisiones realizadas en el procedimiento. Así como si la autoridad actuó con la debida diligencia.</w:t>
      </w:r>
    </w:p>
    <w:p w14:paraId="5FCBD795" w14:textId="77777777" w:rsidR="00157213" w:rsidRPr="00972F86" w:rsidRDefault="00157213" w:rsidP="00157213">
      <w:pPr>
        <w:spacing w:line="360" w:lineRule="auto"/>
        <w:ind w:left="927"/>
        <w:jc w:val="both"/>
        <w:rPr>
          <w:rFonts w:ascii="Palatino Linotype" w:eastAsia="Palatino Linotype" w:hAnsi="Palatino Linotype" w:cs="Palatino Linotype"/>
          <w:sz w:val="22"/>
          <w:szCs w:val="22"/>
        </w:rPr>
      </w:pPr>
    </w:p>
    <w:p w14:paraId="2A1A5FD3" w14:textId="77777777" w:rsidR="00157213" w:rsidRPr="00972F86" w:rsidRDefault="00157213" w:rsidP="00157213">
      <w:pPr>
        <w:numPr>
          <w:ilvl w:val="0"/>
          <w:numId w:val="17"/>
        </w:num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 </w:t>
      </w:r>
      <w:r w:rsidRPr="00972F86">
        <w:rPr>
          <w:rFonts w:ascii="Palatino Linotype" w:eastAsia="Palatino Linotype" w:hAnsi="Palatino Linotype" w:cs="Palatino Linotype"/>
          <w:b/>
          <w:sz w:val="22"/>
          <w:szCs w:val="22"/>
        </w:rPr>
        <w:t>La afectación generada en la situación jurídica de la persona involucrada en el proceso:</w:t>
      </w:r>
      <w:r w:rsidRPr="00972F86">
        <w:rPr>
          <w:rFonts w:ascii="Palatino Linotype" w:eastAsia="Palatino Linotype" w:hAnsi="Palatino Linotype" w:cs="Palatino Linotype"/>
          <w:sz w:val="22"/>
          <w:szCs w:val="22"/>
        </w:rPr>
        <w:t xml:space="preserve"> Violación a sus derechos humanos.</w:t>
      </w:r>
    </w:p>
    <w:p w14:paraId="50DADC52"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7743183E"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05F649" w14:textId="77777777" w:rsidR="00157213" w:rsidRPr="00972F86" w:rsidRDefault="00157213" w:rsidP="00157213">
      <w:pPr>
        <w:spacing w:line="360" w:lineRule="auto"/>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72F8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72F86">
        <w:rPr>
          <w:rFonts w:ascii="Palatino Linotype" w:eastAsia="Palatino Linotype" w:hAnsi="Palatino Linotype" w:cs="Palatino Linotype"/>
          <w:sz w:val="22"/>
          <w:szCs w:val="22"/>
        </w:rPr>
        <w:t>, visible en la Gaceta del Seminario Judicial de la Federación con el registro digital 205635.</w:t>
      </w:r>
    </w:p>
    <w:p w14:paraId="53C640C9"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77B038EE"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850177"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0F960794"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9AD67F9"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p>
    <w:p w14:paraId="5C7A7F91" w14:textId="77777777" w:rsidR="00157213" w:rsidRPr="00972F86" w:rsidRDefault="00157213" w:rsidP="00157213">
      <w:pPr>
        <w:spacing w:line="360" w:lineRule="auto"/>
        <w:ind w:left="567" w:right="616"/>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lastRenderedPageBreak/>
        <w:t xml:space="preserve"> </w:t>
      </w:r>
      <w:r w:rsidRPr="00972F86">
        <w:rPr>
          <w:rFonts w:ascii="Palatino Linotype" w:eastAsia="Palatino Linotype" w:hAnsi="Palatino Linotype" w:cs="Palatino Linotype"/>
          <w:i/>
          <w:sz w:val="22"/>
          <w:szCs w:val="22"/>
        </w:rPr>
        <w:t>“PLAZO RAZONABLE PARA RESOLVER. DIMENSIÓN Y EFECTOS DE ESTE CONCEPTO CUANDO SE ADUCE EXCESIVA CARGA DE TRABAJO.”</w:t>
      </w:r>
      <w:r w:rsidRPr="00972F8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27CBBC9" w14:textId="77777777" w:rsidR="00157213" w:rsidRPr="00972F86" w:rsidRDefault="00157213" w:rsidP="00157213">
      <w:pPr>
        <w:spacing w:line="360" w:lineRule="auto"/>
        <w:ind w:left="567" w:right="616"/>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72F86">
        <w:rPr>
          <w:rFonts w:ascii="Palatino Linotype" w:eastAsia="Palatino Linotype" w:hAnsi="Palatino Linotype" w:cs="Palatino Linotype"/>
          <w:sz w:val="22"/>
          <w:szCs w:val="22"/>
        </w:rPr>
        <w:t>, visible en el Seminario Judicial de la Federación y su gaceta, con el registro digital 2002350.</w:t>
      </w:r>
    </w:p>
    <w:p w14:paraId="663CED40" w14:textId="77777777" w:rsidR="00157213" w:rsidRPr="00972F86" w:rsidRDefault="00157213" w:rsidP="00157213">
      <w:pPr>
        <w:spacing w:line="360" w:lineRule="auto"/>
        <w:ind w:left="567" w:right="616"/>
        <w:jc w:val="both"/>
        <w:rPr>
          <w:rFonts w:ascii="Palatino Linotype" w:eastAsia="Palatino Linotype" w:hAnsi="Palatino Linotype" w:cs="Palatino Linotype"/>
          <w:sz w:val="22"/>
          <w:szCs w:val="22"/>
        </w:rPr>
      </w:pPr>
    </w:p>
    <w:p w14:paraId="6FFFC027" w14:textId="5FC5CCBC"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91FE40C" w14:textId="77777777" w:rsidR="00E92A98" w:rsidRPr="00972F86" w:rsidRDefault="00E92A98" w:rsidP="00E92A9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1BF918A" w14:textId="25153E87" w:rsidR="00356F83" w:rsidRPr="00972F86" w:rsidRDefault="00DD321F">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Cierre de instrucción. </w:t>
      </w:r>
      <w:r w:rsidR="00E92A98" w:rsidRPr="00972F86">
        <w:rPr>
          <w:rFonts w:ascii="Palatino Linotype" w:eastAsia="Palatino Linotype" w:hAnsi="Palatino Linotype" w:cs="Palatino Linotype"/>
          <w:sz w:val="22"/>
          <w:szCs w:val="22"/>
        </w:rPr>
        <w:t xml:space="preserve">El </w:t>
      </w:r>
      <w:r w:rsidR="00157213" w:rsidRPr="00972F86">
        <w:rPr>
          <w:rFonts w:ascii="Palatino Linotype" w:eastAsia="Palatino Linotype" w:hAnsi="Palatino Linotype" w:cs="Palatino Linotype"/>
          <w:b/>
          <w:sz w:val="22"/>
          <w:szCs w:val="22"/>
        </w:rPr>
        <w:t>veintiuno</w:t>
      </w:r>
      <w:r w:rsidR="009103F4" w:rsidRPr="00972F86">
        <w:rPr>
          <w:rFonts w:ascii="Palatino Linotype" w:eastAsia="Palatino Linotype" w:hAnsi="Palatino Linotype" w:cs="Palatino Linotype"/>
          <w:b/>
          <w:sz w:val="22"/>
          <w:szCs w:val="22"/>
        </w:rPr>
        <w:t xml:space="preserve"> de agosto</w:t>
      </w:r>
      <w:r w:rsidR="009A7078" w:rsidRPr="00972F86">
        <w:rPr>
          <w:rFonts w:ascii="Palatino Linotype" w:eastAsia="Palatino Linotype" w:hAnsi="Palatino Linotype" w:cs="Palatino Linotype"/>
          <w:b/>
          <w:sz w:val="22"/>
          <w:szCs w:val="22"/>
        </w:rPr>
        <w:t xml:space="preserve"> de dos mil veinticinco</w:t>
      </w:r>
      <w:r w:rsidRPr="00972F8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D3F319A" w14:textId="77777777" w:rsidR="00356F83" w:rsidRPr="00972F86" w:rsidRDefault="00356F8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C5EABF3"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6F75C4B"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0A9CB358" w14:textId="77777777" w:rsidR="00356F83" w:rsidRPr="00972F86" w:rsidRDefault="00DD321F">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1" w:name="_heading=h.30j0zll" w:colFirst="0" w:colLast="0"/>
      <w:bookmarkEnd w:id="1"/>
      <w:r w:rsidRPr="00972F86">
        <w:rPr>
          <w:rFonts w:ascii="Palatino Linotype" w:eastAsia="Palatino Linotype" w:hAnsi="Palatino Linotype" w:cs="Palatino Linotype"/>
          <w:b/>
          <w:sz w:val="22"/>
          <w:szCs w:val="22"/>
        </w:rPr>
        <w:t>C O N S I D E R A N D O:</w:t>
      </w:r>
    </w:p>
    <w:p w14:paraId="3898E174" w14:textId="77777777" w:rsidR="00356F83" w:rsidRPr="00972F86" w:rsidRDefault="00356F83">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04CC0811" w14:textId="77777777" w:rsidR="00157213" w:rsidRPr="00972F86" w:rsidRDefault="00157213" w:rsidP="0015721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Primero. Competencia.</w:t>
      </w:r>
      <w:r w:rsidRPr="00972F8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w:t>
      </w:r>
      <w:r w:rsidRPr="00972F86">
        <w:rPr>
          <w:rFonts w:ascii="Palatino Linotype" w:eastAsia="Palatino Linotype" w:hAnsi="Palatino Linotype" w:cs="Palatino Linotype"/>
          <w:sz w:val="22"/>
          <w:szCs w:val="22"/>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1F072781" w14:textId="77777777" w:rsidR="00356F83" w:rsidRPr="00972F86" w:rsidRDefault="00356F83">
      <w:pPr>
        <w:spacing w:line="360" w:lineRule="auto"/>
        <w:jc w:val="both"/>
        <w:rPr>
          <w:rFonts w:ascii="Palatino Linotype" w:eastAsia="Palatino Linotype" w:hAnsi="Palatino Linotype" w:cs="Palatino Linotype"/>
          <w:b/>
          <w:sz w:val="22"/>
          <w:szCs w:val="22"/>
        </w:rPr>
      </w:pPr>
    </w:p>
    <w:p w14:paraId="7083477E"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Segundo. Oportunidad y Procedibilidad del Recurso de Revisión</w:t>
      </w:r>
      <w:r w:rsidRPr="00972F8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5A9F7C"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6AA55BD8" w14:textId="55FDBF75" w:rsidR="00356F83" w:rsidRPr="00972F86" w:rsidRDefault="00DD321F">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xml:space="preserve"> proporcionó su respuesta a la solicitud de información el </w:t>
      </w:r>
      <w:r w:rsidR="009103F4" w:rsidRPr="00972F86">
        <w:rPr>
          <w:rFonts w:ascii="Palatino Linotype" w:eastAsia="Palatino Linotype" w:hAnsi="Palatino Linotype" w:cs="Palatino Linotype"/>
          <w:b/>
          <w:sz w:val="22"/>
          <w:szCs w:val="22"/>
        </w:rPr>
        <w:t>treinta de junio</w:t>
      </w:r>
      <w:r w:rsidR="009A7078" w:rsidRPr="00972F86">
        <w:rPr>
          <w:rFonts w:ascii="Palatino Linotype" w:eastAsia="Palatino Linotype" w:hAnsi="Palatino Linotype" w:cs="Palatino Linotype"/>
          <w:b/>
          <w:sz w:val="22"/>
          <w:szCs w:val="22"/>
        </w:rPr>
        <w:t xml:space="preserve"> de dos mil veinticinco</w:t>
      </w:r>
      <w:r w:rsidRPr="00972F86">
        <w:rPr>
          <w:rFonts w:ascii="Palatino Linotype" w:eastAsia="Palatino Linotype" w:hAnsi="Palatino Linotype" w:cs="Palatino Linotype"/>
          <w:sz w:val="22"/>
          <w:szCs w:val="22"/>
        </w:rPr>
        <w:t xml:space="preserve">, y la persona </w:t>
      </w:r>
      <w:r w:rsidRPr="00972F86">
        <w:rPr>
          <w:rFonts w:ascii="Palatino Linotype" w:eastAsia="Palatino Linotype" w:hAnsi="Palatino Linotype" w:cs="Palatino Linotype"/>
          <w:b/>
          <w:sz w:val="22"/>
          <w:szCs w:val="22"/>
        </w:rPr>
        <w:t>RECURRENTE</w:t>
      </w:r>
      <w:r w:rsidRPr="00972F86">
        <w:rPr>
          <w:rFonts w:ascii="Palatino Linotype" w:eastAsia="Palatino Linotype" w:hAnsi="Palatino Linotype" w:cs="Palatino Linotype"/>
          <w:sz w:val="22"/>
          <w:szCs w:val="22"/>
        </w:rPr>
        <w:t xml:space="preserve"> presentó su recurso de revisión </w:t>
      </w:r>
      <w:r w:rsidR="00DA69BD" w:rsidRPr="00972F86">
        <w:rPr>
          <w:rFonts w:ascii="Palatino Linotype" w:eastAsia="Palatino Linotype" w:hAnsi="Palatino Linotype" w:cs="Palatino Linotype"/>
          <w:sz w:val="22"/>
          <w:szCs w:val="22"/>
        </w:rPr>
        <w:t xml:space="preserve">el </w:t>
      </w:r>
      <w:r w:rsidR="009103F4" w:rsidRPr="00972F86">
        <w:rPr>
          <w:rFonts w:ascii="Palatino Linotype" w:eastAsia="Palatino Linotype" w:hAnsi="Palatino Linotype" w:cs="Palatino Linotype"/>
          <w:b/>
          <w:sz w:val="22"/>
          <w:szCs w:val="22"/>
        </w:rPr>
        <w:t>treinta de junio</w:t>
      </w:r>
      <w:r w:rsidR="009A7078" w:rsidRPr="00972F86">
        <w:rPr>
          <w:rFonts w:ascii="Palatino Linotype" w:eastAsia="Palatino Linotype" w:hAnsi="Palatino Linotype" w:cs="Palatino Linotype"/>
          <w:b/>
          <w:sz w:val="22"/>
          <w:szCs w:val="22"/>
        </w:rPr>
        <w:t xml:space="preserve"> de dos mil veinticinco</w:t>
      </w:r>
      <w:r w:rsidRPr="00972F86">
        <w:rPr>
          <w:rFonts w:ascii="Palatino Linotype" w:eastAsia="Palatino Linotype" w:hAnsi="Palatino Linotype" w:cs="Palatino Linotype"/>
          <w:sz w:val="22"/>
          <w:szCs w:val="22"/>
        </w:rPr>
        <w:t>;</w:t>
      </w:r>
      <w:r w:rsidRPr="00972F86">
        <w:rPr>
          <w:rFonts w:ascii="Palatino Linotype" w:eastAsia="Palatino Linotype" w:hAnsi="Palatino Linotype" w:cs="Palatino Linotype"/>
          <w:b/>
          <w:sz w:val="22"/>
          <w:szCs w:val="22"/>
        </w:rPr>
        <w:t xml:space="preserve"> </w:t>
      </w:r>
      <w:r w:rsidR="009A7078" w:rsidRPr="00972F86">
        <w:rPr>
          <w:rFonts w:ascii="Palatino Linotype" w:eastAsia="Palatino Linotype" w:hAnsi="Palatino Linotype" w:cs="Palatino Linotype"/>
          <w:sz w:val="22"/>
          <w:szCs w:val="22"/>
        </w:rPr>
        <w:t xml:space="preserve">esto es </w:t>
      </w:r>
      <w:r w:rsidR="00396AA2" w:rsidRPr="00972F86">
        <w:rPr>
          <w:rFonts w:ascii="Palatino Linotype" w:eastAsia="Palatino Linotype" w:hAnsi="Palatino Linotype" w:cs="Palatino Linotype"/>
          <w:sz w:val="22"/>
          <w:szCs w:val="22"/>
        </w:rPr>
        <w:t>el mismo día</w:t>
      </w:r>
      <w:r w:rsidRPr="00972F86">
        <w:rPr>
          <w:rFonts w:ascii="Palatino Linotype" w:eastAsia="Palatino Linotype" w:hAnsi="Palatino Linotype" w:cs="Palatino Linotype"/>
          <w:sz w:val="22"/>
          <w:szCs w:val="22"/>
        </w:rPr>
        <w:t xml:space="preserve"> hábil en que </w:t>
      </w:r>
      <w:r w:rsidR="00396AA2" w:rsidRPr="00972F86">
        <w:rPr>
          <w:rFonts w:ascii="Palatino Linotype" w:eastAsia="Palatino Linotype" w:hAnsi="Palatino Linotype" w:cs="Palatino Linotype"/>
          <w:sz w:val="22"/>
          <w:szCs w:val="22"/>
        </w:rPr>
        <w:t xml:space="preserve">se </w:t>
      </w:r>
      <w:r w:rsidRPr="00972F86">
        <w:rPr>
          <w:rFonts w:ascii="Palatino Linotype" w:eastAsia="Palatino Linotype" w:hAnsi="Palatino Linotype" w:cs="Palatino Linotype"/>
          <w:sz w:val="22"/>
          <w:szCs w:val="22"/>
        </w:rPr>
        <w:t xml:space="preserve">tuvo conocimiento de la respuesta. </w:t>
      </w:r>
    </w:p>
    <w:p w14:paraId="64C15ACA" w14:textId="77777777" w:rsidR="00356F83" w:rsidRPr="00972F86" w:rsidRDefault="00356F83">
      <w:pPr>
        <w:spacing w:line="276" w:lineRule="auto"/>
        <w:ind w:right="843"/>
        <w:jc w:val="both"/>
        <w:rPr>
          <w:rFonts w:ascii="Palatino Linotype" w:eastAsia="Palatino Linotype" w:hAnsi="Palatino Linotype" w:cs="Palatino Linotype"/>
          <w:i/>
          <w:sz w:val="22"/>
          <w:szCs w:val="22"/>
        </w:rPr>
      </w:pPr>
    </w:p>
    <w:p w14:paraId="68C4D1BF"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1AF6879" w14:textId="5529D1D3" w:rsidR="00356F83" w:rsidRPr="00972F86" w:rsidRDefault="00356F83">
      <w:pPr>
        <w:spacing w:line="360" w:lineRule="auto"/>
        <w:jc w:val="both"/>
        <w:rPr>
          <w:rFonts w:ascii="Palatino Linotype" w:eastAsia="Palatino Linotype" w:hAnsi="Palatino Linotype" w:cs="Palatino Linotype"/>
          <w:sz w:val="22"/>
          <w:szCs w:val="22"/>
        </w:rPr>
      </w:pPr>
    </w:p>
    <w:p w14:paraId="2ED2423C" w14:textId="3EFD7D17" w:rsidR="00E92A98" w:rsidRPr="00972F86" w:rsidRDefault="00E92A98" w:rsidP="00E92A98">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Es de suma importancia mencionar que, si bien, la parte</w:t>
      </w:r>
      <w:r w:rsidR="009103F4" w:rsidRPr="00972F86">
        <w:rPr>
          <w:rFonts w:ascii="Palatino Linotype" w:eastAsia="Palatino Linotype" w:hAnsi="Palatino Linotype" w:cs="Palatino Linotype"/>
          <w:sz w:val="22"/>
          <w:szCs w:val="22"/>
        </w:rPr>
        <w:t xml:space="preserve"> Recurrente </w:t>
      </w:r>
      <w:r w:rsidRPr="00972F86">
        <w:rPr>
          <w:rFonts w:ascii="Palatino Linotype" w:eastAsia="Palatino Linotype" w:hAnsi="Palatino Linotype" w:cs="Palatino Linotype"/>
          <w:sz w:val="22"/>
          <w:szCs w:val="22"/>
        </w:rPr>
        <w:t>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43CD84" w14:textId="77777777" w:rsidR="00E92A98" w:rsidRPr="00972F86" w:rsidRDefault="00E92A98" w:rsidP="00E92A98">
      <w:pPr>
        <w:spacing w:line="360" w:lineRule="auto"/>
        <w:jc w:val="both"/>
        <w:rPr>
          <w:rFonts w:ascii="Palatino Linotype" w:eastAsia="Palatino Linotype" w:hAnsi="Palatino Linotype" w:cs="Palatino Linotype"/>
          <w:sz w:val="22"/>
          <w:szCs w:val="22"/>
        </w:rPr>
      </w:pPr>
    </w:p>
    <w:p w14:paraId="6B3012FF" w14:textId="77777777" w:rsidR="00E92A98" w:rsidRPr="00972F86" w:rsidRDefault="00E92A98" w:rsidP="00E92A98">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02A96AEA" w14:textId="77777777" w:rsidR="00FB652E" w:rsidRPr="00972F86" w:rsidRDefault="00FB652E">
      <w:pPr>
        <w:spacing w:line="360" w:lineRule="auto"/>
        <w:jc w:val="both"/>
        <w:rPr>
          <w:rFonts w:ascii="Palatino Linotype" w:eastAsia="Palatino Linotype" w:hAnsi="Palatino Linotype" w:cs="Palatino Linotype"/>
          <w:sz w:val="22"/>
          <w:szCs w:val="22"/>
        </w:rPr>
      </w:pPr>
    </w:p>
    <w:p w14:paraId="2147CCDD" w14:textId="40E386A9"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396AA2" w:rsidRPr="00972F86">
        <w:rPr>
          <w:rFonts w:ascii="Palatino Linotype" w:eastAsia="Palatino Linotype" w:hAnsi="Palatino Linotype" w:cs="Palatino Linotype"/>
          <w:sz w:val="22"/>
          <w:szCs w:val="22"/>
        </w:rPr>
        <w:t>I</w:t>
      </w:r>
      <w:r w:rsidRPr="00972F86">
        <w:rPr>
          <w:rFonts w:ascii="Palatino Linotype" w:eastAsia="Palatino Linotype" w:hAnsi="Palatino Linotype" w:cs="Palatino Linotype"/>
          <w:sz w:val="22"/>
          <w:szCs w:val="22"/>
        </w:rPr>
        <w:t xml:space="preserve"> de la ley de la materia, que a la letra dice:</w:t>
      </w:r>
    </w:p>
    <w:p w14:paraId="5A8B0B22" w14:textId="77777777" w:rsidR="00356F83" w:rsidRPr="00972F86" w:rsidRDefault="00356F83">
      <w:pPr>
        <w:spacing w:line="360" w:lineRule="auto"/>
        <w:ind w:left="567"/>
        <w:jc w:val="both"/>
        <w:rPr>
          <w:rFonts w:ascii="Palatino Linotype" w:eastAsia="Palatino Linotype" w:hAnsi="Palatino Linotype" w:cs="Palatino Linotype"/>
          <w:sz w:val="22"/>
          <w:szCs w:val="22"/>
        </w:rPr>
      </w:pPr>
    </w:p>
    <w:p w14:paraId="2336F0D1" w14:textId="77777777" w:rsidR="00356F83" w:rsidRPr="00972F86" w:rsidRDefault="00DD321F">
      <w:pPr>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r w:rsidRPr="00972F86">
        <w:rPr>
          <w:rFonts w:ascii="Palatino Linotype" w:eastAsia="Palatino Linotype" w:hAnsi="Palatino Linotype" w:cs="Palatino Linotype"/>
          <w:b/>
          <w:i/>
          <w:sz w:val="22"/>
          <w:szCs w:val="22"/>
        </w:rPr>
        <w:t xml:space="preserve">Artículo 179. </w:t>
      </w:r>
      <w:r w:rsidRPr="00972F8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C1571F" w14:textId="77777777" w:rsidR="00356F83" w:rsidRPr="00972F86" w:rsidRDefault="00DD321F">
      <w:pPr>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p>
    <w:p w14:paraId="4D3807E5" w14:textId="7CC41E79" w:rsidR="00356F83" w:rsidRPr="00972F86" w:rsidRDefault="00396AA2">
      <w:pPr>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I. La negativa de entrega de la información;</w:t>
      </w:r>
    </w:p>
    <w:p w14:paraId="7993A88A" w14:textId="77777777" w:rsidR="00356F83" w:rsidRPr="00972F86" w:rsidRDefault="00DD321F">
      <w:pPr>
        <w:spacing w:line="360"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 xml:space="preserve">…” </w:t>
      </w:r>
    </w:p>
    <w:p w14:paraId="30B5B9DC" w14:textId="77777777" w:rsidR="00356F83" w:rsidRPr="00972F86" w:rsidRDefault="00356F83">
      <w:pPr>
        <w:spacing w:line="360" w:lineRule="auto"/>
        <w:ind w:right="616"/>
        <w:jc w:val="both"/>
        <w:rPr>
          <w:rFonts w:ascii="Palatino Linotype" w:eastAsia="Palatino Linotype" w:hAnsi="Palatino Linotype" w:cs="Palatino Linotype"/>
          <w:i/>
          <w:sz w:val="22"/>
          <w:szCs w:val="22"/>
        </w:rPr>
      </w:pPr>
    </w:p>
    <w:p w14:paraId="46A7ECFC" w14:textId="05FE4376"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Tercero. Materia de Revisión</w:t>
      </w:r>
      <w:r w:rsidRPr="00972F86">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396AA2" w:rsidRPr="00972F86">
        <w:rPr>
          <w:rFonts w:ascii="Palatino Linotype" w:eastAsia="Palatino Linotype" w:hAnsi="Palatino Linotype" w:cs="Palatino Linotype"/>
          <w:sz w:val="22"/>
          <w:szCs w:val="22"/>
        </w:rPr>
        <w:t xml:space="preserve">ar si se actualiza la fracción </w:t>
      </w:r>
      <w:r w:rsidR="00DA69BD" w:rsidRPr="00972F86">
        <w:rPr>
          <w:rFonts w:ascii="Palatino Linotype" w:eastAsia="Palatino Linotype" w:hAnsi="Palatino Linotype" w:cs="Palatino Linotype"/>
          <w:sz w:val="22"/>
          <w:szCs w:val="22"/>
        </w:rPr>
        <w:t>I</w:t>
      </w:r>
      <w:r w:rsidRPr="00972F86">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333B6500"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089E8898"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Cuarto. Estudio de fondo del asunto. </w:t>
      </w:r>
      <w:r w:rsidRPr="00972F86">
        <w:rPr>
          <w:rFonts w:ascii="Palatino Linotype" w:eastAsia="Palatino Linotype" w:hAnsi="Palatino Linotype" w:cs="Palatino Linotype"/>
          <w:sz w:val="22"/>
          <w:szCs w:val="22"/>
        </w:rPr>
        <w:t>Es conveniente analizar si la respuesta del Sujeto Obligado</w:t>
      </w:r>
      <w:r w:rsidRPr="00972F86">
        <w:rPr>
          <w:rFonts w:ascii="Palatino Linotype" w:eastAsia="Palatino Linotype" w:hAnsi="Palatino Linotype" w:cs="Palatino Linotype"/>
          <w:b/>
          <w:sz w:val="22"/>
          <w:szCs w:val="22"/>
        </w:rPr>
        <w:t xml:space="preserve"> </w:t>
      </w:r>
      <w:r w:rsidRPr="00972F8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4EAEFA8"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03F8E1F7" w14:textId="77777777" w:rsidR="00356F83" w:rsidRPr="00972F86" w:rsidRDefault="00DD321F">
      <w:pPr>
        <w:tabs>
          <w:tab w:val="left" w:pos="851"/>
        </w:tabs>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r w:rsidRPr="00972F86">
        <w:rPr>
          <w:rFonts w:ascii="Palatino Linotype" w:eastAsia="Palatino Linotype" w:hAnsi="Palatino Linotype" w:cs="Palatino Linotype"/>
          <w:b/>
          <w:i/>
          <w:sz w:val="22"/>
          <w:szCs w:val="22"/>
        </w:rPr>
        <w:t>Artículo 4</w:t>
      </w:r>
      <w:r w:rsidRPr="00972F8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0183B7" w14:textId="77777777" w:rsidR="00356F83" w:rsidRPr="00972F86" w:rsidRDefault="00DD321F">
      <w:pPr>
        <w:tabs>
          <w:tab w:val="left" w:pos="851"/>
        </w:tabs>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972F8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26EC28" w14:textId="77777777" w:rsidR="00356F83" w:rsidRPr="00972F86" w:rsidRDefault="00DD321F">
      <w:pPr>
        <w:tabs>
          <w:tab w:val="left" w:pos="851"/>
        </w:tabs>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72F86">
        <w:rPr>
          <w:rFonts w:ascii="Palatino Linotype" w:eastAsia="Palatino Linotype" w:hAnsi="Palatino Linotype" w:cs="Palatino Linotype"/>
          <w:i/>
          <w:sz w:val="22"/>
          <w:szCs w:val="22"/>
        </w:rPr>
        <w:t>.”</w:t>
      </w:r>
    </w:p>
    <w:p w14:paraId="3F3E8AEE"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5D64A27A"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BA103D" w14:textId="77777777" w:rsidR="00356F83" w:rsidRPr="00972F86" w:rsidRDefault="00356F83">
      <w:pPr>
        <w:spacing w:line="360" w:lineRule="auto"/>
        <w:ind w:right="616"/>
        <w:jc w:val="both"/>
        <w:rPr>
          <w:rFonts w:ascii="Palatino Linotype" w:eastAsia="Palatino Linotype" w:hAnsi="Palatino Linotype" w:cs="Palatino Linotype"/>
          <w:sz w:val="22"/>
          <w:szCs w:val="22"/>
        </w:rPr>
      </w:pPr>
    </w:p>
    <w:p w14:paraId="150DDFE9" w14:textId="77777777" w:rsidR="00356F83" w:rsidRPr="00972F86" w:rsidRDefault="00DD321F">
      <w:pPr>
        <w:tabs>
          <w:tab w:val="left" w:pos="6804"/>
        </w:tabs>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r w:rsidRPr="00972F86">
        <w:rPr>
          <w:rFonts w:ascii="Palatino Linotype" w:eastAsia="Palatino Linotype" w:hAnsi="Palatino Linotype" w:cs="Palatino Linotype"/>
          <w:b/>
          <w:i/>
          <w:sz w:val="22"/>
          <w:szCs w:val="22"/>
        </w:rPr>
        <w:t>Artículo 12.-</w:t>
      </w:r>
      <w:r w:rsidRPr="00972F8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053A8EA" w14:textId="77777777" w:rsidR="00356F83" w:rsidRPr="00972F86" w:rsidRDefault="00DD321F">
      <w:pPr>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72F86">
        <w:rPr>
          <w:rFonts w:ascii="Palatino Linotype" w:eastAsia="Palatino Linotype" w:hAnsi="Palatino Linotype" w:cs="Palatino Linotype"/>
          <w:i/>
          <w:sz w:val="22"/>
          <w:szCs w:val="22"/>
        </w:rPr>
        <w:t xml:space="preserve">. </w:t>
      </w:r>
      <w:r w:rsidRPr="00972F8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72F86">
        <w:rPr>
          <w:rFonts w:ascii="Palatino Linotype" w:eastAsia="Palatino Linotype" w:hAnsi="Palatino Linotype" w:cs="Palatino Linotype"/>
          <w:i/>
          <w:sz w:val="22"/>
          <w:szCs w:val="22"/>
        </w:rPr>
        <w:t xml:space="preserve">.” </w:t>
      </w:r>
    </w:p>
    <w:p w14:paraId="3483E67C" w14:textId="77777777" w:rsidR="00356F83" w:rsidRPr="00972F86" w:rsidRDefault="00356F83">
      <w:pPr>
        <w:spacing w:line="360" w:lineRule="auto"/>
        <w:ind w:right="-93"/>
        <w:jc w:val="both"/>
        <w:rPr>
          <w:rFonts w:ascii="Palatino Linotype" w:eastAsia="Palatino Linotype" w:hAnsi="Palatino Linotype" w:cs="Palatino Linotype"/>
          <w:sz w:val="22"/>
          <w:szCs w:val="22"/>
        </w:rPr>
      </w:pPr>
    </w:p>
    <w:p w14:paraId="432DF5D8" w14:textId="77777777" w:rsidR="00356F83" w:rsidRPr="00972F86" w:rsidRDefault="00DD321F">
      <w:pPr>
        <w:spacing w:line="360" w:lineRule="auto"/>
        <w:ind w:right="-93"/>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w:t>
      </w:r>
      <w:r w:rsidRPr="00972F86">
        <w:rPr>
          <w:rFonts w:ascii="Palatino Linotype" w:eastAsia="Palatino Linotype" w:hAnsi="Palatino Linotype" w:cs="Palatino Linotype"/>
          <w:sz w:val="22"/>
          <w:szCs w:val="22"/>
        </w:rPr>
        <w:lastRenderedPageBreak/>
        <w:t>concretarán a proporcionar la información solicitada que tengan en su poder en el estado que se encuentran, sin necesidad de concretarse al interés o términos específicos del solicitante.</w:t>
      </w:r>
    </w:p>
    <w:p w14:paraId="553D2E4B" w14:textId="77777777" w:rsidR="00356F83" w:rsidRPr="00972F86" w:rsidRDefault="00356F83">
      <w:pPr>
        <w:spacing w:line="360" w:lineRule="auto"/>
        <w:ind w:right="-93"/>
        <w:jc w:val="both"/>
        <w:rPr>
          <w:rFonts w:ascii="Palatino Linotype" w:eastAsia="Palatino Linotype" w:hAnsi="Palatino Linotype" w:cs="Palatino Linotype"/>
          <w:sz w:val="22"/>
          <w:szCs w:val="22"/>
        </w:rPr>
      </w:pPr>
    </w:p>
    <w:p w14:paraId="2725D062" w14:textId="77777777" w:rsidR="00356F83" w:rsidRPr="00972F86" w:rsidRDefault="00DD321F">
      <w:pPr>
        <w:spacing w:line="360" w:lineRule="auto"/>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972F86">
        <w:rPr>
          <w:rFonts w:ascii="Palatino Linotype" w:eastAsia="Palatino Linotype" w:hAnsi="Palatino Linotype" w:cs="Palatino Linotype"/>
          <w:b/>
          <w:sz w:val="22"/>
          <w:szCs w:val="22"/>
        </w:rPr>
        <w:t xml:space="preserve"> </w:t>
      </w:r>
    </w:p>
    <w:p w14:paraId="70B810F9" w14:textId="77777777" w:rsidR="00356F83" w:rsidRPr="00972F86" w:rsidRDefault="00356F83">
      <w:pPr>
        <w:spacing w:line="276" w:lineRule="auto"/>
        <w:ind w:right="850"/>
        <w:jc w:val="both"/>
        <w:rPr>
          <w:rFonts w:ascii="Palatino Linotype" w:eastAsia="Palatino Linotype" w:hAnsi="Palatino Linotype" w:cs="Palatino Linotype"/>
          <w:sz w:val="22"/>
          <w:szCs w:val="22"/>
        </w:rPr>
      </w:pPr>
    </w:p>
    <w:p w14:paraId="60700456" w14:textId="77777777" w:rsidR="00356F83" w:rsidRPr="00972F86" w:rsidRDefault="00DD321F">
      <w:pPr>
        <w:spacing w:line="276" w:lineRule="auto"/>
        <w:ind w:left="567" w:right="616"/>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r w:rsidRPr="00972F86">
        <w:rPr>
          <w:rFonts w:ascii="Palatino Linotype" w:eastAsia="Palatino Linotype" w:hAnsi="Palatino Linotype" w:cs="Palatino Linotype"/>
          <w:b/>
          <w:i/>
          <w:sz w:val="22"/>
          <w:szCs w:val="22"/>
        </w:rPr>
        <w:t>No existe obligación de elaborar documentos ad hoc para atender las solicitudes de acceso a la información.</w:t>
      </w:r>
      <w:r w:rsidRPr="00972F8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4633607" w14:textId="77777777" w:rsidR="00356F83" w:rsidRPr="00972F86" w:rsidRDefault="00356F83">
      <w:pPr>
        <w:spacing w:line="276" w:lineRule="auto"/>
        <w:ind w:right="616"/>
        <w:jc w:val="both"/>
        <w:rPr>
          <w:rFonts w:ascii="Palatino Linotype" w:eastAsia="Palatino Linotype" w:hAnsi="Palatino Linotype" w:cs="Palatino Linotype"/>
          <w:i/>
          <w:sz w:val="22"/>
          <w:szCs w:val="22"/>
        </w:rPr>
      </w:pPr>
    </w:p>
    <w:p w14:paraId="2D1C7BC4"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4E426"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74714664" w14:textId="77777777" w:rsidR="00356F83" w:rsidRPr="00972F86" w:rsidRDefault="00DD321F">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8A65A32" w14:textId="77777777" w:rsidR="00356F83" w:rsidRPr="00972F86" w:rsidRDefault="00356F83">
      <w:pPr>
        <w:spacing w:line="360" w:lineRule="auto"/>
        <w:ind w:right="49"/>
        <w:jc w:val="both"/>
        <w:rPr>
          <w:rFonts w:ascii="Palatino Linotype" w:eastAsia="Palatino Linotype" w:hAnsi="Palatino Linotype" w:cs="Palatino Linotype"/>
          <w:sz w:val="22"/>
          <w:szCs w:val="22"/>
        </w:rPr>
      </w:pPr>
    </w:p>
    <w:p w14:paraId="60DF1158"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w:t>
      </w:r>
      <w:r w:rsidRPr="00972F86">
        <w:rPr>
          <w:rFonts w:ascii="Palatino Linotype" w:eastAsia="Palatino Linotype" w:hAnsi="Palatino Linotype" w:cs="Palatino Linotype"/>
          <w:sz w:val="22"/>
          <w:szCs w:val="22"/>
        </w:rPr>
        <w:lastRenderedPageBreak/>
        <w:t xml:space="preserve">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A94D5C" w14:textId="77777777" w:rsidR="00356F83" w:rsidRPr="00972F86" w:rsidRDefault="00356F83">
      <w:pPr>
        <w:spacing w:line="360" w:lineRule="auto"/>
        <w:jc w:val="both"/>
        <w:rPr>
          <w:rFonts w:ascii="Palatino Linotype" w:eastAsia="Palatino Linotype" w:hAnsi="Palatino Linotype" w:cs="Palatino Linotype"/>
          <w:sz w:val="22"/>
          <w:szCs w:val="22"/>
        </w:rPr>
      </w:pPr>
    </w:p>
    <w:p w14:paraId="4209ADF2" w14:textId="77777777" w:rsidR="00356F83" w:rsidRPr="00972F86" w:rsidRDefault="00DD321F">
      <w:pPr>
        <w:spacing w:line="276" w:lineRule="auto"/>
        <w:ind w:left="567" w:right="899"/>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r w:rsidRPr="00972F86">
        <w:rPr>
          <w:rFonts w:ascii="Palatino Linotype" w:eastAsia="Palatino Linotype" w:hAnsi="Palatino Linotype" w:cs="Palatino Linotype"/>
          <w:b/>
          <w:i/>
          <w:sz w:val="22"/>
          <w:szCs w:val="22"/>
        </w:rPr>
        <w:t xml:space="preserve">Artículo 3. </w:t>
      </w:r>
      <w:r w:rsidRPr="00972F86">
        <w:rPr>
          <w:rFonts w:ascii="Palatino Linotype" w:eastAsia="Palatino Linotype" w:hAnsi="Palatino Linotype" w:cs="Palatino Linotype"/>
          <w:i/>
          <w:sz w:val="22"/>
          <w:szCs w:val="22"/>
        </w:rPr>
        <w:t>Para los efectos de la presente Ley se entenderá por:</w:t>
      </w:r>
    </w:p>
    <w:p w14:paraId="0862E97F" w14:textId="77777777" w:rsidR="00356F83" w:rsidRPr="00972F86" w:rsidRDefault="00DD321F">
      <w:pPr>
        <w:spacing w:line="276" w:lineRule="auto"/>
        <w:ind w:left="567" w:right="899"/>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p>
    <w:p w14:paraId="55A452AD" w14:textId="77777777" w:rsidR="00356F83" w:rsidRPr="00972F86" w:rsidRDefault="00DD321F">
      <w:pPr>
        <w:spacing w:line="276" w:lineRule="auto"/>
        <w:ind w:left="567" w:right="899"/>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i/>
          <w:sz w:val="22"/>
          <w:szCs w:val="22"/>
        </w:rPr>
        <w:t>XI. Documento:</w:t>
      </w:r>
      <w:r w:rsidRPr="00972F86">
        <w:rPr>
          <w:rFonts w:ascii="Palatino Linotype" w:eastAsia="Palatino Linotype" w:hAnsi="Palatino Linotype" w:cs="Palatino Linotype"/>
          <w:i/>
          <w:sz w:val="22"/>
          <w:szCs w:val="22"/>
        </w:rPr>
        <w:t xml:space="preserve"> Los expedientes, reportes, estudios, actas</w:t>
      </w:r>
      <w:r w:rsidRPr="00972F86">
        <w:rPr>
          <w:rFonts w:ascii="Palatino Linotype" w:eastAsia="Palatino Linotype" w:hAnsi="Palatino Linotype" w:cs="Palatino Linotype"/>
          <w:b/>
          <w:i/>
          <w:sz w:val="22"/>
          <w:szCs w:val="22"/>
        </w:rPr>
        <w:t>,</w:t>
      </w:r>
      <w:r w:rsidRPr="00972F8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0490C4" w14:textId="77777777" w:rsidR="00356F83" w:rsidRPr="00972F86" w:rsidRDefault="00356F83">
      <w:pPr>
        <w:spacing w:line="360" w:lineRule="auto"/>
        <w:ind w:right="899"/>
        <w:jc w:val="both"/>
        <w:rPr>
          <w:rFonts w:ascii="Palatino Linotype" w:eastAsia="Palatino Linotype" w:hAnsi="Palatino Linotype" w:cs="Palatino Linotype"/>
          <w:sz w:val="22"/>
          <w:szCs w:val="22"/>
        </w:rPr>
      </w:pPr>
    </w:p>
    <w:p w14:paraId="7632617A" w14:textId="77777777" w:rsidR="00356F83" w:rsidRPr="00972F86" w:rsidRDefault="00DD321F">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D280F5" w14:textId="77777777" w:rsidR="00356F83" w:rsidRPr="00972F86" w:rsidRDefault="00356F83">
      <w:pPr>
        <w:spacing w:line="360" w:lineRule="auto"/>
        <w:ind w:right="899"/>
        <w:jc w:val="both"/>
        <w:rPr>
          <w:rFonts w:ascii="Palatino Linotype" w:eastAsia="Palatino Linotype" w:hAnsi="Palatino Linotype" w:cs="Palatino Linotype"/>
          <w:sz w:val="22"/>
          <w:szCs w:val="22"/>
        </w:rPr>
      </w:pPr>
    </w:p>
    <w:p w14:paraId="77A9DF63" w14:textId="77777777" w:rsidR="00356F83" w:rsidRPr="00972F86" w:rsidRDefault="00DD321F">
      <w:pPr>
        <w:spacing w:line="276" w:lineRule="auto"/>
        <w:ind w:left="567" w:right="899"/>
        <w:jc w:val="both"/>
        <w:rPr>
          <w:rFonts w:ascii="Palatino Linotype" w:eastAsia="Palatino Linotype" w:hAnsi="Palatino Linotype" w:cs="Palatino Linotype"/>
          <w:b/>
          <w:i/>
          <w:sz w:val="22"/>
          <w:szCs w:val="22"/>
        </w:rPr>
      </w:pPr>
      <w:r w:rsidRPr="00972F86">
        <w:rPr>
          <w:rFonts w:ascii="Palatino Linotype" w:eastAsia="Palatino Linotype" w:hAnsi="Palatino Linotype" w:cs="Palatino Linotype"/>
          <w:b/>
          <w:sz w:val="22"/>
          <w:szCs w:val="22"/>
        </w:rPr>
        <w:t>“</w:t>
      </w:r>
      <w:r w:rsidRPr="00972F8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72F8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EBD57F" w14:textId="77777777" w:rsidR="00356F83" w:rsidRPr="00972F86" w:rsidRDefault="00DD321F">
      <w:pPr>
        <w:spacing w:line="276" w:lineRule="auto"/>
        <w:ind w:left="567" w:right="899"/>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46A3EC7" w14:textId="77777777" w:rsidR="00356F83" w:rsidRPr="00972F86" w:rsidRDefault="00DD321F">
      <w:pPr>
        <w:spacing w:line="276" w:lineRule="auto"/>
        <w:ind w:left="567" w:right="899"/>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0AF749BD" w14:textId="77777777" w:rsidR="00356F83" w:rsidRPr="00972F86" w:rsidRDefault="00DD321F">
      <w:pPr>
        <w:spacing w:line="276" w:lineRule="auto"/>
        <w:ind w:left="567" w:right="899"/>
        <w:jc w:val="both"/>
        <w:rPr>
          <w:rFonts w:ascii="Palatino Linotype" w:eastAsia="Palatino Linotype" w:hAnsi="Palatino Linotype" w:cs="Palatino Linotype"/>
          <w:b/>
          <w:i/>
          <w:sz w:val="22"/>
          <w:szCs w:val="22"/>
        </w:rPr>
      </w:pPr>
      <w:r w:rsidRPr="00972F8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D48B49" w14:textId="77777777" w:rsidR="00356F83" w:rsidRPr="00972F86" w:rsidRDefault="00DD321F">
      <w:pPr>
        <w:spacing w:line="276" w:lineRule="auto"/>
        <w:ind w:left="567" w:right="899"/>
        <w:jc w:val="both"/>
        <w:rPr>
          <w:rFonts w:ascii="Palatino Linotype" w:eastAsia="Palatino Linotype" w:hAnsi="Palatino Linotype" w:cs="Palatino Linotype"/>
          <w:b/>
          <w:i/>
          <w:sz w:val="22"/>
          <w:szCs w:val="22"/>
        </w:rPr>
      </w:pPr>
      <w:r w:rsidRPr="00972F8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3F04F21" w14:textId="77777777" w:rsidR="00356F83" w:rsidRPr="00972F86" w:rsidRDefault="00356F83">
      <w:pPr>
        <w:spacing w:line="360" w:lineRule="auto"/>
        <w:ind w:left="567"/>
        <w:jc w:val="both"/>
        <w:rPr>
          <w:rFonts w:ascii="Palatino Linotype" w:eastAsia="Palatino Linotype" w:hAnsi="Palatino Linotype" w:cs="Palatino Linotype"/>
          <w:sz w:val="22"/>
          <w:szCs w:val="22"/>
        </w:rPr>
      </w:pPr>
    </w:p>
    <w:p w14:paraId="33E4F7CE" w14:textId="048D68E8" w:rsidR="00DA69BD" w:rsidRPr="00972F86" w:rsidRDefault="00DD321F" w:rsidP="00DA69BD">
      <w:pPr>
        <w:spacing w:line="360" w:lineRule="auto"/>
        <w:ind w:right="12"/>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sz w:val="22"/>
          <w:szCs w:val="22"/>
        </w:rPr>
        <w:t xml:space="preserve">Dicho lo anterior, resulta necesario recordar </w:t>
      </w:r>
      <w:r w:rsidR="009103F4" w:rsidRPr="00972F86">
        <w:rPr>
          <w:rFonts w:ascii="Palatino Linotype" w:eastAsia="Palatino Linotype" w:hAnsi="Palatino Linotype" w:cs="Palatino Linotype"/>
          <w:sz w:val="22"/>
          <w:szCs w:val="22"/>
        </w:rPr>
        <w:t xml:space="preserve">que la pretensión de la parte Recurrente es obtener </w:t>
      </w:r>
      <w:r w:rsidR="009103F4" w:rsidRPr="00972F86">
        <w:rPr>
          <w:rFonts w:ascii="Palatino Linotype" w:eastAsia="Palatino Linotype" w:hAnsi="Palatino Linotype" w:cs="Palatino Linotype"/>
          <w:b/>
          <w:sz w:val="22"/>
          <w:szCs w:val="22"/>
        </w:rPr>
        <w:t xml:space="preserve">el sueldo mensual del Presidente Municipal, Regidores, Síndico, Secretaría, Secretaria Particular del Ayuntamiento de la Administración Municipal 2025. </w:t>
      </w:r>
    </w:p>
    <w:p w14:paraId="415DC395" w14:textId="77777777" w:rsidR="009103F4" w:rsidRPr="00972F86" w:rsidRDefault="009103F4" w:rsidP="00DA69BD">
      <w:pPr>
        <w:spacing w:line="360" w:lineRule="auto"/>
        <w:jc w:val="both"/>
        <w:rPr>
          <w:rFonts w:ascii="Palatino Linotype" w:eastAsia="Palatino Linotype" w:hAnsi="Palatino Linotype" w:cs="Palatino Linotype"/>
          <w:b/>
          <w:sz w:val="22"/>
          <w:szCs w:val="22"/>
        </w:rPr>
      </w:pPr>
    </w:p>
    <w:p w14:paraId="3FFE399D" w14:textId="6B14100C" w:rsidR="009103F4" w:rsidRPr="00972F86" w:rsidRDefault="009103F4" w:rsidP="00DA69BD">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respuesta, el Tesorero Municipal informó que, la información pública solicitada se encuentra en el Tabulador de Sueldos y proporcionó una liga electrónica en formato cerrado, con la finalidad de dar respuesta a la solicitud de información. </w:t>
      </w:r>
    </w:p>
    <w:p w14:paraId="7BB881BC" w14:textId="77777777" w:rsidR="009103F4" w:rsidRPr="00972F86" w:rsidRDefault="009103F4" w:rsidP="00DA69BD">
      <w:pPr>
        <w:spacing w:line="360" w:lineRule="auto"/>
        <w:jc w:val="both"/>
        <w:rPr>
          <w:rFonts w:ascii="Palatino Linotype" w:eastAsia="Palatino Linotype" w:hAnsi="Palatino Linotype" w:cs="Palatino Linotype"/>
          <w:sz w:val="22"/>
          <w:szCs w:val="22"/>
        </w:rPr>
      </w:pPr>
    </w:p>
    <w:p w14:paraId="7056005B" w14:textId="60721341" w:rsidR="009103F4" w:rsidRPr="00972F86" w:rsidRDefault="009103F4" w:rsidP="00DA69BD">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Derivado de ello, la parte Recurrente se inconformó arguyendo que no se le había dado la información solicitada de manera clara. </w:t>
      </w:r>
    </w:p>
    <w:p w14:paraId="225E3990" w14:textId="77777777" w:rsidR="00157213" w:rsidRPr="00972F86" w:rsidRDefault="00157213" w:rsidP="00DA69BD">
      <w:pPr>
        <w:spacing w:line="360" w:lineRule="auto"/>
        <w:jc w:val="both"/>
        <w:rPr>
          <w:rFonts w:ascii="Palatino Linotype" w:eastAsia="Palatino Linotype" w:hAnsi="Palatino Linotype" w:cs="Palatino Linotype"/>
          <w:sz w:val="22"/>
          <w:szCs w:val="22"/>
        </w:rPr>
      </w:pPr>
    </w:p>
    <w:p w14:paraId="135995E8" w14:textId="695DE5F0" w:rsidR="009103F4" w:rsidRPr="00972F86" w:rsidRDefault="009103F4" w:rsidP="00DA69BD">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Las partes fueron omisas en rendir manifestaciones. </w:t>
      </w:r>
    </w:p>
    <w:p w14:paraId="524B2385" w14:textId="77777777" w:rsidR="009103F4" w:rsidRPr="00972F86" w:rsidRDefault="009103F4" w:rsidP="00DA69BD">
      <w:pPr>
        <w:spacing w:line="360" w:lineRule="auto"/>
        <w:jc w:val="both"/>
        <w:rPr>
          <w:rFonts w:ascii="Palatino Linotype" w:eastAsia="Palatino Linotype" w:hAnsi="Palatino Linotype" w:cs="Palatino Linotype"/>
          <w:sz w:val="22"/>
          <w:szCs w:val="22"/>
        </w:rPr>
      </w:pPr>
    </w:p>
    <w:p w14:paraId="4DA7AF65" w14:textId="6B99888F" w:rsidR="00F77983" w:rsidRPr="00972F86" w:rsidRDefault="009103F4" w:rsidP="009103F4">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Dicho lo anterior, se procede a contextualizar la información solicitada, para ello, es menester traer a colación lo que establece </w:t>
      </w:r>
      <w:r w:rsidR="00F77983" w:rsidRPr="00972F86">
        <w:rPr>
          <w:rFonts w:ascii="Palatino Linotype" w:eastAsia="Palatino Linotype" w:hAnsi="Palatino Linotype" w:cs="Palatino Linotype"/>
          <w:sz w:val="22"/>
          <w:szCs w:val="22"/>
        </w:rPr>
        <w:t xml:space="preserve">el Glosario localizado en la página de Transparencia Presupuestaria de la Secretaría de Hacienda y Crédito Público (consultado en </w:t>
      </w:r>
      <w:hyperlink r:id="rId9">
        <w:r w:rsidR="00F77983" w:rsidRPr="00972F86">
          <w:rPr>
            <w:rFonts w:ascii="Palatino Linotype" w:eastAsia="Palatino Linotype" w:hAnsi="Palatino Linotype" w:cs="Palatino Linotype"/>
            <w:sz w:val="22"/>
            <w:szCs w:val="22"/>
            <w:u w:val="single"/>
          </w:rPr>
          <w:t>https://www.transparenciapresupuestaria.gob.mx/es/PTP/Glosario</w:t>
        </w:r>
      </w:hyperlink>
      <w:r w:rsidR="00F77983" w:rsidRPr="00972F86">
        <w:rPr>
          <w:rFonts w:ascii="Palatino Linotype" w:eastAsia="Palatino Linotype" w:hAnsi="Palatino Linotype" w:cs="Palatino Linotype"/>
          <w:sz w:val="22"/>
          <w:szCs w:val="22"/>
        </w:rPr>
        <w:t xml:space="preserve">), </w:t>
      </w:r>
      <w:r w:rsidRPr="00972F86">
        <w:rPr>
          <w:rFonts w:ascii="Palatino Linotype" w:eastAsia="Palatino Linotype" w:hAnsi="Palatino Linotype" w:cs="Palatino Linotype"/>
          <w:sz w:val="22"/>
          <w:szCs w:val="22"/>
        </w:rPr>
        <w:t>que precisa</w:t>
      </w:r>
      <w:r w:rsidR="00F77983" w:rsidRPr="00972F86">
        <w:rPr>
          <w:rFonts w:ascii="Palatino Linotype" w:eastAsia="Palatino Linotype" w:hAnsi="Palatino Linotype" w:cs="Palatino Linotype"/>
          <w:sz w:val="22"/>
          <w:szCs w:val="22"/>
        </w:rPr>
        <w:t xml:space="preserve"> que:</w:t>
      </w:r>
    </w:p>
    <w:p w14:paraId="3500990C" w14:textId="77777777" w:rsidR="00F77983" w:rsidRPr="00972F86" w:rsidRDefault="00F77983" w:rsidP="00F77983">
      <w:pPr>
        <w:tabs>
          <w:tab w:val="left" w:pos="3261"/>
        </w:tabs>
        <w:spacing w:line="360" w:lineRule="auto"/>
        <w:jc w:val="both"/>
        <w:rPr>
          <w:rFonts w:ascii="Palatino Linotype" w:eastAsia="Palatino Linotype" w:hAnsi="Palatino Linotype" w:cs="Palatino Linotype"/>
          <w:sz w:val="22"/>
          <w:szCs w:val="22"/>
        </w:rPr>
      </w:pPr>
    </w:p>
    <w:p w14:paraId="72FC35A7" w14:textId="77777777" w:rsidR="00F77983" w:rsidRPr="00972F86" w:rsidRDefault="00F77983" w:rsidP="00F77983">
      <w:pPr>
        <w:spacing w:line="360" w:lineRule="auto"/>
        <w:jc w:val="center"/>
        <w:rPr>
          <w:rFonts w:ascii="Palatino Linotype" w:eastAsia="Palatino Linotype" w:hAnsi="Palatino Linotype" w:cs="Palatino Linotype"/>
          <w:sz w:val="22"/>
          <w:szCs w:val="22"/>
        </w:rPr>
      </w:pPr>
      <w:r w:rsidRPr="00972F86">
        <w:rPr>
          <w:rFonts w:ascii="Palatino Linotype" w:eastAsia="Palatino Linotype" w:hAnsi="Palatino Linotype" w:cs="Palatino Linotype"/>
          <w:noProof/>
          <w:sz w:val="22"/>
          <w:szCs w:val="22"/>
          <w:lang w:val="es-MX"/>
        </w:rPr>
        <w:lastRenderedPageBreak/>
        <w:drawing>
          <wp:inline distT="0" distB="0" distL="0" distR="0" wp14:anchorId="18BC7EA9" wp14:editId="1253D497">
            <wp:extent cx="4186953" cy="119743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50A32EC5"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p>
    <w:p w14:paraId="1F461303"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972F86">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972F86">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5E540C97"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p>
    <w:p w14:paraId="5973E707"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Conforme a lo anterior, se puede advertir que la nómina se puede referir a lo siguiente:</w:t>
      </w:r>
    </w:p>
    <w:p w14:paraId="4E72E024"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 </w:t>
      </w:r>
    </w:p>
    <w:p w14:paraId="280DB4CC" w14:textId="77777777" w:rsidR="00F77983" w:rsidRPr="00972F86" w:rsidRDefault="00F77983" w:rsidP="00F77983">
      <w:pPr>
        <w:tabs>
          <w:tab w:val="left" w:pos="8222"/>
        </w:tabs>
        <w:ind w:left="567" w:right="70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a)      Relación de trabajadores con las percepciones monetarias de cada uno.</w:t>
      </w:r>
    </w:p>
    <w:p w14:paraId="30DDC948" w14:textId="77777777" w:rsidR="00F77983" w:rsidRPr="00972F86" w:rsidRDefault="00F77983" w:rsidP="00F77983">
      <w:pPr>
        <w:tabs>
          <w:tab w:val="left" w:pos="8222"/>
        </w:tabs>
        <w:ind w:left="567" w:right="709"/>
        <w:jc w:val="both"/>
        <w:rPr>
          <w:rFonts w:ascii="Palatino Linotype" w:eastAsia="Palatino Linotype" w:hAnsi="Palatino Linotype" w:cs="Palatino Linotype"/>
          <w:b/>
          <w:sz w:val="22"/>
          <w:szCs w:val="22"/>
          <w:u w:val="single"/>
        </w:rPr>
      </w:pPr>
      <w:r w:rsidRPr="00972F86">
        <w:rPr>
          <w:rFonts w:ascii="Palatino Linotype" w:eastAsia="Palatino Linotype" w:hAnsi="Palatino Linotype" w:cs="Palatino Linotype"/>
          <w:b/>
          <w:sz w:val="22"/>
          <w:szCs w:val="22"/>
          <w:u w:val="single"/>
        </w:rPr>
        <w:t>b)      Recibo individual que contiene las prestaciones y deducciones de un trabajador.</w:t>
      </w:r>
    </w:p>
    <w:p w14:paraId="477F9A76" w14:textId="77777777" w:rsidR="00F77983" w:rsidRPr="00972F86" w:rsidRDefault="00F77983" w:rsidP="00F77983">
      <w:pPr>
        <w:tabs>
          <w:tab w:val="left" w:pos="8222"/>
        </w:tabs>
        <w:ind w:left="567" w:right="70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4D5FB8D7" w14:textId="77777777" w:rsidR="00F77983" w:rsidRPr="00972F86" w:rsidRDefault="00F77983" w:rsidP="00F77983">
      <w:pPr>
        <w:spacing w:line="360" w:lineRule="auto"/>
        <w:ind w:right="49"/>
        <w:jc w:val="both"/>
        <w:rPr>
          <w:rFonts w:ascii="Palatino Linotype" w:eastAsia="Palatino Linotype" w:hAnsi="Palatino Linotype" w:cs="Palatino Linotype"/>
          <w:sz w:val="22"/>
          <w:szCs w:val="22"/>
        </w:rPr>
      </w:pPr>
    </w:p>
    <w:p w14:paraId="05556967" w14:textId="77777777" w:rsidR="00F77983" w:rsidRPr="00972F86" w:rsidRDefault="00F77983" w:rsidP="00F77983">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8B9414D" w14:textId="77777777" w:rsidR="00F77983" w:rsidRPr="00972F86" w:rsidRDefault="00F77983" w:rsidP="00F77983">
      <w:pPr>
        <w:spacing w:line="360" w:lineRule="auto"/>
        <w:ind w:right="49"/>
        <w:jc w:val="both"/>
        <w:rPr>
          <w:rFonts w:ascii="Palatino Linotype" w:eastAsia="Palatino Linotype" w:hAnsi="Palatino Linotype" w:cs="Palatino Linotype"/>
          <w:sz w:val="22"/>
          <w:szCs w:val="22"/>
        </w:rPr>
      </w:pPr>
    </w:p>
    <w:p w14:paraId="360AF93F" w14:textId="77777777" w:rsidR="00F77983" w:rsidRPr="00972F86" w:rsidRDefault="00F77983" w:rsidP="00F77983">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E08AA4B" w14:textId="77777777" w:rsidR="00F77983" w:rsidRPr="00972F86" w:rsidRDefault="00F77983" w:rsidP="00F77983">
      <w:pPr>
        <w:spacing w:line="360" w:lineRule="auto"/>
        <w:ind w:right="49"/>
        <w:jc w:val="both"/>
        <w:rPr>
          <w:rFonts w:ascii="Palatino Linotype" w:eastAsia="Palatino Linotype" w:hAnsi="Palatino Linotype" w:cs="Palatino Linotype"/>
          <w:sz w:val="22"/>
          <w:szCs w:val="22"/>
        </w:rPr>
      </w:pPr>
    </w:p>
    <w:p w14:paraId="0D79F93C"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lastRenderedPageBreak/>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1B5B1B30" w14:textId="77777777" w:rsidR="00F77983" w:rsidRPr="00972F86" w:rsidRDefault="00F77983" w:rsidP="00F77983">
      <w:pPr>
        <w:spacing w:line="360" w:lineRule="auto"/>
        <w:ind w:right="843"/>
        <w:jc w:val="both"/>
        <w:rPr>
          <w:rFonts w:ascii="Palatino Linotype" w:eastAsia="Palatino Linotype" w:hAnsi="Palatino Linotype" w:cs="Palatino Linotype"/>
          <w:i/>
          <w:sz w:val="22"/>
          <w:szCs w:val="22"/>
        </w:rPr>
      </w:pPr>
    </w:p>
    <w:p w14:paraId="112EB03F"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472C1004"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p>
    <w:p w14:paraId="006F4CF6"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i/>
          <w:sz w:val="22"/>
          <w:szCs w:val="22"/>
        </w:rPr>
        <w:t>ARTÍCULO 220 K</w:t>
      </w:r>
      <w:r w:rsidRPr="00972F86">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48E8353C"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p>
    <w:p w14:paraId="0F4F1DA9"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693199AF"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p>
    <w:p w14:paraId="2EE1BEBE"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 xml:space="preserve">IV. Recibos o las constancias de </w:t>
      </w:r>
      <w:proofErr w:type="spellStart"/>
      <w:r w:rsidRPr="00972F86">
        <w:rPr>
          <w:rFonts w:ascii="Palatino Linotype" w:eastAsia="Palatino Linotype" w:hAnsi="Palatino Linotype" w:cs="Palatino Linotype"/>
          <w:i/>
          <w:sz w:val="22"/>
          <w:szCs w:val="22"/>
        </w:rPr>
        <w:t>deposito</w:t>
      </w:r>
      <w:proofErr w:type="spellEnd"/>
      <w:r w:rsidRPr="00972F86">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255F55A4" w14:textId="77777777" w:rsidR="00F77983" w:rsidRPr="00972F86" w:rsidRDefault="00F77983" w:rsidP="00F77983">
      <w:pPr>
        <w:spacing w:line="360" w:lineRule="auto"/>
        <w:ind w:left="567" w:right="843"/>
        <w:jc w:val="both"/>
        <w:rPr>
          <w:rFonts w:ascii="Palatino Linotype" w:eastAsia="Palatino Linotype" w:hAnsi="Palatino Linotype" w:cs="Palatino Linotype"/>
          <w:i/>
          <w:sz w:val="22"/>
          <w:szCs w:val="22"/>
        </w:rPr>
      </w:pPr>
    </w:p>
    <w:p w14:paraId="55654D84" w14:textId="77777777"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w:t>
      </w:r>
      <w:r w:rsidRPr="00972F86">
        <w:rPr>
          <w:rFonts w:ascii="Palatino Linotype" w:eastAsia="Palatino Linotype" w:hAnsi="Palatino Linotype" w:cs="Palatino Linotype"/>
          <w:b/>
          <w:sz w:val="22"/>
          <w:szCs w:val="22"/>
          <w:u w:val="single"/>
        </w:rPr>
        <w:t>que sean utilizadas para el pago de salarios, prima vacacional, aguinaldo y demás prestaciones.</w:t>
      </w:r>
    </w:p>
    <w:p w14:paraId="2A5BB219" w14:textId="77777777" w:rsidR="00F77983" w:rsidRPr="00972F86" w:rsidRDefault="00F77983" w:rsidP="00F77983">
      <w:pPr>
        <w:spacing w:line="360" w:lineRule="auto"/>
        <w:ind w:right="49"/>
        <w:jc w:val="both"/>
        <w:rPr>
          <w:rFonts w:ascii="Palatino Linotype" w:eastAsia="Palatino Linotype" w:hAnsi="Palatino Linotype" w:cs="Palatino Linotype"/>
          <w:sz w:val="22"/>
          <w:szCs w:val="22"/>
        </w:rPr>
      </w:pPr>
    </w:p>
    <w:p w14:paraId="1ACC2733" w14:textId="7C18C4FD" w:rsidR="00F77983" w:rsidRPr="00972F86" w:rsidRDefault="00F77983" w:rsidP="00F77983">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D4A259B" w14:textId="77777777" w:rsidR="009103F4" w:rsidRPr="00972F86" w:rsidRDefault="009103F4" w:rsidP="00F77983">
      <w:pPr>
        <w:ind w:left="567" w:right="843"/>
        <w:jc w:val="center"/>
        <w:rPr>
          <w:rFonts w:ascii="Palatino Linotype" w:eastAsia="Palatino Linotype" w:hAnsi="Palatino Linotype" w:cs="Palatino Linotype"/>
          <w:b/>
          <w:i/>
          <w:sz w:val="22"/>
          <w:szCs w:val="22"/>
        </w:rPr>
      </w:pPr>
    </w:p>
    <w:p w14:paraId="42C2B985" w14:textId="77777777" w:rsidR="00F77983" w:rsidRPr="00972F86" w:rsidRDefault="00F77983" w:rsidP="00F77983">
      <w:pPr>
        <w:ind w:left="567" w:right="843"/>
        <w:jc w:val="center"/>
        <w:rPr>
          <w:rFonts w:ascii="Palatino Linotype" w:eastAsia="Palatino Linotype" w:hAnsi="Palatino Linotype" w:cs="Palatino Linotype"/>
          <w:b/>
          <w:i/>
          <w:sz w:val="22"/>
          <w:szCs w:val="22"/>
        </w:rPr>
      </w:pPr>
      <w:r w:rsidRPr="00972F86">
        <w:rPr>
          <w:rFonts w:ascii="Palatino Linotype" w:eastAsia="Palatino Linotype" w:hAnsi="Palatino Linotype" w:cs="Palatino Linotype"/>
          <w:b/>
          <w:i/>
          <w:sz w:val="22"/>
          <w:szCs w:val="22"/>
        </w:rPr>
        <w:t>Ley de Transparencia y Acceso a la Información Pública del Estado de México y Municipios</w:t>
      </w:r>
    </w:p>
    <w:p w14:paraId="435403E6" w14:textId="77777777" w:rsidR="00F77983" w:rsidRPr="00972F86" w:rsidRDefault="00F77983" w:rsidP="00F77983">
      <w:pPr>
        <w:ind w:left="567" w:right="843"/>
        <w:jc w:val="both"/>
        <w:rPr>
          <w:rFonts w:ascii="Palatino Linotype" w:eastAsia="Palatino Linotype" w:hAnsi="Palatino Linotype" w:cs="Palatino Linotype"/>
          <w:i/>
          <w:sz w:val="22"/>
          <w:szCs w:val="22"/>
        </w:rPr>
      </w:pPr>
    </w:p>
    <w:p w14:paraId="09266D91"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b/>
          <w:i/>
          <w:sz w:val="22"/>
          <w:szCs w:val="22"/>
        </w:rPr>
        <w:t>Artículo 92.</w:t>
      </w:r>
      <w:r w:rsidRPr="00972F8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461371"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w:t>
      </w:r>
    </w:p>
    <w:p w14:paraId="75649FA1" w14:textId="77777777" w:rsidR="00F77983" w:rsidRPr="00972F86" w:rsidRDefault="00F77983" w:rsidP="00F77983">
      <w:pPr>
        <w:ind w:left="567" w:right="843"/>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C42F0C3" w14:textId="77777777" w:rsidR="00F77983" w:rsidRPr="00972F86" w:rsidRDefault="00F77983" w:rsidP="00F77983">
      <w:pPr>
        <w:spacing w:line="360" w:lineRule="auto"/>
        <w:ind w:right="134"/>
        <w:jc w:val="both"/>
        <w:rPr>
          <w:rFonts w:ascii="Palatino Linotype" w:eastAsia="Palatino Linotype" w:hAnsi="Palatino Linotype" w:cs="Palatino Linotype"/>
          <w:sz w:val="22"/>
          <w:szCs w:val="22"/>
        </w:rPr>
      </w:pPr>
    </w:p>
    <w:p w14:paraId="76233855" w14:textId="5CC5A46F" w:rsidR="009103F4" w:rsidRPr="00972F86" w:rsidRDefault="00F77983" w:rsidP="009103F4">
      <w:pPr>
        <w:spacing w:line="360" w:lineRule="auto"/>
        <w:ind w:right="134"/>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w:t>
      </w:r>
      <w:r w:rsidR="00295C46" w:rsidRPr="00972F86">
        <w:rPr>
          <w:rFonts w:ascii="Palatino Linotype" w:eastAsia="Palatino Linotype" w:hAnsi="Palatino Linotype" w:cs="Palatino Linotype"/>
          <w:sz w:val="22"/>
          <w:szCs w:val="22"/>
        </w:rPr>
        <w:t xml:space="preserve">nera actualizada y permanente. </w:t>
      </w:r>
    </w:p>
    <w:p w14:paraId="023BD8C8" w14:textId="77777777" w:rsidR="009103F4" w:rsidRPr="00972F86" w:rsidRDefault="009103F4" w:rsidP="009103F4">
      <w:pPr>
        <w:spacing w:line="360" w:lineRule="auto"/>
        <w:ind w:right="49"/>
        <w:jc w:val="both"/>
        <w:rPr>
          <w:rFonts w:ascii="Palatino Linotype" w:eastAsia="Palatino Linotype" w:hAnsi="Palatino Linotype" w:cs="Palatino Linotype"/>
          <w:sz w:val="22"/>
          <w:szCs w:val="22"/>
        </w:rPr>
      </w:pPr>
    </w:p>
    <w:p w14:paraId="607C139A" w14:textId="5BADFC1B" w:rsidR="00371D66" w:rsidRPr="00972F86" w:rsidRDefault="00371D66" w:rsidP="009103F4">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En lo que respecta al Sujeto Obligado, del Bando Municipal de Calimaya 2025, se advierte que la administración pública municipal se integrará por los siguientes: </w:t>
      </w:r>
    </w:p>
    <w:p w14:paraId="3CAD74F2" w14:textId="77777777" w:rsidR="00371D66" w:rsidRPr="00972F86" w:rsidRDefault="00371D66" w:rsidP="009103F4">
      <w:pPr>
        <w:spacing w:line="360" w:lineRule="auto"/>
        <w:ind w:right="49"/>
        <w:jc w:val="both"/>
        <w:rPr>
          <w:rFonts w:ascii="Palatino Linotype" w:eastAsia="Palatino Linotype" w:hAnsi="Palatino Linotype" w:cs="Palatino Linotype"/>
          <w:sz w:val="22"/>
          <w:szCs w:val="22"/>
        </w:rPr>
      </w:pPr>
    </w:p>
    <w:p w14:paraId="656C3949" w14:textId="3BB0CCEE" w:rsidR="00371D66" w:rsidRPr="00972F86" w:rsidRDefault="00371D66" w:rsidP="00371D66">
      <w:pPr>
        <w:spacing w:line="360" w:lineRule="auto"/>
        <w:ind w:right="49"/>
        <w:jc w:val="center"/>
        <w:rPr>
          <w:rFonts w:ascii="Palatino Linotype" w:eastAsia="Palatino Linotype" w:hAnsi="Palatino Linotype" w:cs="Palatino Linotype"/>
          <w:sz w:val="22"/>
          <w:szCs w:val="22"/>
        </w:rPr>
      </w:pPr>
      <w:r w:rsidRPr="00972F86">
        <w:rPr>
          <w:rFonts w:ascii="Palatino Linotype" w:eastAsia="Palatino Linotype" w:hAnsi="Palatino Linotype" w:cs="Palatino Linotype"/>
          <w:noProof/>
          <w:sz w:val="22"/>
          <w:szCs w:val="22"/>
          <w:lang w:val="es-MX"/>
        </w:rPr>
        <w:lastRenderedPageBreak/>
        <w:drawing>
          <wp:inline distT="0" distB="0" distL="0" distR="0" wp14:anchorId="08B287A7" wp14:editId="1D234AE9">
            <wp:extent cx="4381500" cy="5543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2113" cy="5544326"/>
                    </a:xfrm>
                    <a:prstGeom prst="rect">
                      <a:avLst/>
                    </a:prstGeom>
                  </pic:spPr>
                </pic:pic>
              </a:graphicData>
            </a:graphic>
          </wp:inline>
        </w:drawing>
      </w:r>
    </w:p>
    <w:p w14:paraId="6DFD7FBE" w14:textId="77777777" w:rsidR="00371D66" w:rsidRPr="00972F86" w:rsidRDefault="00371D66" w:rsidP="00371D66">
      <w:pPr>
        <w:spacing w:line="360" w:lineRule="auto"/>
        <w:ind w:right="49"/>
        <w:rPr>
          <w:rFonts w:ascii="Palatino Linotype" w:eastAsia="Palatino Linotype" w:hAnsi="Palatino Linotype" w:cs="Palatino Linotype"/>
          <w:sz w:val="22"/>
          <w:szCs w:val="22"/>
        </w:rPr>
      </w:pPr>
    </w:p>
    <w:p w14:paraId="0DD11564"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Asimismo, en el artículo 56 del Bando Municipal se establece que, para el despacho de los asuntos de la Administración Pública Municipal, esta se auxiliará de unidades administrativas de apoyo en las que se encuentra:</w:t>
      </w:r>
    </w:p>
    <w:p w14:paraId="11EB228A" w14:textId="77777777" w:rsidR="00371D66" w:rsidRPr="00972F86" w:rsidRDefault="00371D66" w:rsidP="00371D66">
      <w:pPr>
        <w:spacing w:line="276" w:lineRule="auto"/>
        <w:ind w:left="567" w:right="579"/>
        <w:jc w:val="both"/>
        <w:rPr>
          <w:rFonts w:ascii="Palatino Linotype" w:eastAsia="Palatino Linotype" w:hAnsi="Palatino Linotype" w:cs="Palatino Linotype"/>
          <w:i/>
          <w:sz w:val="22"/>
          <w:szCs w:val="22"/>
        </w:rPr>
      </w:pPr>
    </w:p>
    <w:p w14:paraId="3358960E" w14:textId="42ECCFC2" w:rsidR="00371D66" w:rsidRPr="00972F86" w:rsidRDefault="00371D66" w:rsidP="00371D66">
      <w:pPr>
        <w:spacing w:line="276" w:lineRule="auto"/>
        <w:ind w:left="567" w:right="579"/>
        <w:jc w:val="both"/>
        <w:rPr>
          <w:rFonts w:ascii="Palatino Linotype" w:eastAsia="Palatino Linotype" w:hAnsi="Palatino Linotype" w:cs="Palatino Linotype"/>
          <w:i/>
          <w:sz w:val="22"/>
          <w:szCs w:val="22"/>
        </w:rPr>
      </w:pPr>
      <w:r w:rsidRPr="00972F86">
        <w:rPr>
          <w:rFonts w:ascii="Palatino Linotype" w:hAnsi="Palatino Linotype"/>
          <w:i/>
          <w:sz w:val="22"/>
          <w:szCs w:val="22"/>
        </w:rPr>
        <w:t>Artículo 56. Para el despacho de los asuntos de la Administración Pública Municipal, el Ayuntamiento contará con Dependencias Administrativas Centralizadas, Organismos Públicos Descentralizados y Organismos Autónomos que se consideren necesarios. El Presidente Municipal para el ejercicio de sus atribuciones y funcionamiento de la Administración Pública Municipal, se auxiliará de las Dependencias, Unidades y Organismos siguientes:</w:t>
      </w:r>
      <w:r w:rsidRPr="00972F86">
        <w:rPr>
          <w:rFonts w:ascii="Palatino Linotype" w:eastAsia="Palatino Linotype" w:hAnsi="Palatino Linotype" w:cs="Palatino Linotype"/>
          <w:i/>
          <w:sz w:val="22"/>
          <w:szCs w:val="22"/>
        </w:rPr>
        <w:t xml:space="preserve"> </w:t>
      </w:r>
    </w:p>
    <w:p w14:paraId="7DA78D29" w14:textId="215219F3" w:rsidR="00371D66" w:rsidRPr="00972F86" w:rsidRDefault="00371D66" w:rsidP="00371D66">
      <w:pPr>
        <w:spacing w:line="276" w:lineRule="auto"/>
        <w:ind w:left="567" w:right="579"/>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lastRenderedPageBreak/>
        <w:t>…</w:t>
      </w:r>
    </w:p>
    <w:p w14:paraId="19E9883A" w14:textId="77777777" w:rsidR="00371D66" w:rsidRPr="00972F86" w:rsidRDefault="00371D66" w:rsidP="00371D66">
      <w:pPr>
        <w:spacing w:line="276" w:lineRule="auto"/>
        <w:ind w:left="567" w:right="579"/>
        <w:jc w:val="both"/>
        <w:rPr>
          <w:rFonts w:ascii="Palatino Linotype" w:hAnsi="Palatino Linotype"/>
          <w:i/>
          <w:sz w:val="22"/>
          <w:szCs w:val="22"/>
        </w:rPr>
      </w:pPr>
      <w:r w:rsidRPr="00972F86">
        <w:rPr>
          <w:rFonts w:ascii="Palatino Linotype" w:hAnsi="Palatino Linotype"/>
          <w:i/>
          <w:sz w:val="22"/>
          <w:szCs w:val="22"/>
        </w:rPr>
        <w:t xml:space="preserve">B) UNIDADES ADMINISTRATIVAS DE APOYO: Adicionalmente, para el mejor desarrollo de sus funciones y en el cumplimiento de las responsabilidades marcadas en los diversos ordenamientos jurídicos, el área de Presidencia contará con las siguientes Unidades administrativas de apoyo </w:t>
      </w:r>
    </w:p>
    <w:p w14:paraId="1FDF5E53" w14:textId="2F1BD8D6" w:rsidR="00371D66" w:rsidRPr="00972F86" w:rsidRDefault="00371D66" w:rsidP="00371D66">
      <w:pPr>
        <w:spacing w:line="276" w:lineRule="auto"/>
        <w:ind w:left="567" w:right="579"/>
        <w:jc w:val="both"/>
        <w:rPr>
          <w:rFonts w:ascii="Palatino Linotype" w:hAnsi="Palatino Linotype"/>
          <w:b/>
          <w:i/>
          <w:sz w:val="22"/>
          <w:szCs w:val="22"/>
          <w:u w:val="single"/>
        </w:rPr>
      </w:pPr>
      <w:r w:rsidRPr="00972F86">
        <w:rPr>
          <w:rFonts w:ascii="Palatino Linotype" w:hAnsi="Palatino Linotype"/>
          <w:b/>
          <w:i/>
          <w:sz w:val="22"/>
          <w:szCs w:val="22"/>
          <w:u w:val="single"/>
        </w:rPr>
        <w:t>I. Secretaría Particular;</w:t>
      </w:r>
    </w:p>
    <w:p w14:paraId="5A5A5352" w14:textId="09C2DB67" w:rsidR="00371D66" w:rsidRPr="00972F86" w:rsidRDefault="00371D66" w:rsidP="00371D66">
      <w:pPr>
        <w:spacing w:line="276" w:lineRule="auto"/>
        <w:ind w:left="567" w:right="579"/>
        <w:jc w:val="both"/>
        <w:rPr>
          <w:rFonts w:ascii="Palatino Linotype" w:hAnsi="Palatino Linotype"/>
          <w:b/>
          <w:sz w:val="22"/>
          <w:szCs w:val="22"/>
        </w:rPr>
      </w:pPr>
      <w:r w:rsidRPr="00972F86">
        <w:rPr>
          <w:rFonts w:ascii="Palatino Linotype" w:hAnsi="Palatino Linotype"/>
          <w:b/>
          <w:sz w:val="22"/>
          <w:szCs w:val="22"/>
        </w:rPr>
        <w:t>…</w:t>
      </w:r>
    </w:p>
    <w:p w14:paraId="35115294"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p>
    <w:p w14:paraId="1367B006" w14:textId="7F113C07" w:rsidR="00371D66" w:rsidRPr="00972F86" w:rsidRDefault="00371D66" w:rsidP="00371D66">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Atento a lo anterior, del análisis a la solicitud de información, se advierte que el Recurrente solicitó información del Presidente Municipal, Regidores, Síndico y de la Secretaria Particular, sin embargo, también solicitó información de </w:t>
      </w:r>
      <w:r w:rsidRPr="00972F86">
        <w:rPr>
          <w:rFonts w:ascii="Palatino Linotype" w:eastAsia="Palatino Linotype" w:hAnsi="Palatino Linotype" w:cs="Palatino Linotype"/>
          <w:b/>
          <w:i/>
          <w:sz w:val="22"/>
          <w:szCs w:val="22"/>
        </w:rPr>
        <w:t>“la Secretaria”,</w:t>
      </w:r>
      <w:r w:rsidRPr="00972F86">
        <w:rPr>
          <w:rFonts w:ascii="Palatino Linotype" w:eastAsia="Palatino Linotype" w:hAnsi="Palatino Linotype" w:cs="Palatino Linotype"/>
          <w:sz w:val="22"/>
          <w:szCs w:val="22"/>
        </w:rPr>
        <w:t xml:space="preserve"> por lo que, en atención a lo establecido en el artículo 13 de la Ley de Transparencia y Acceso a la Información del Estado de México y Municipios, se colige que, su pretensión es obtener información de la</w:t>
      </w:r>
      <w:r w:rsidR="00157213" w:rsidRPr="00972F86">
        <w:rPr>
          <w:rFonts w:ascii="Palatino Linotype" w:eastAsia="Palatino Linotype" w:hAnsi="Palatino Linotype" w:cs="Palatino Linotype"/>
          <w:sz w:val="22"/>
          <w:szCs w:val="22"/>
        </w:rPr>
        <w:t xml:space="preserve"> personal titular de la Secretarí</w:t>
      </w:r>
      <w:r w:rsidRPr="00972F86">
        <w:rPr>
          <w:rFonts w:ascii="Palatino Linotype" w:eastAsia="Palatino Linotype" w:hAnsi="Palatino Linotype" w:cs="Palatino Linotype"/>
          <w:sz w:val="22"/>
          <w:szCs w:val="22"/>
        </w:rPr>
        <w:t xml:space="preserve">a del Ayuntamiento. </w:t>
      </w:r>
    </w:p>
    <w:p w14:paraId="138F062C"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p>
    <w:p w14:paraId="41A38959" w14:textId="39D8EC1B" w:rsidR="00371D66" w:rsidRPr="00972F86" w:rsidRDefault="00371D66" w:rsidP="00371D66">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Dicho lo anterior, se considera que, el Sujeto Obligado es competente para generar, administrar y poseer la información solicitada por la parte Recurrente. </w:t>
      </w:r>
    </w:p>
    <w:p w14:paraId="0962DF33" w14:textId="77777777" w:rsidR="00371D66" w:rsidRPr="00972F86" w:rsidRDefault="00371D66" w:rsidP="00371D66">
      <w:pPr>
        <w:spacing w:line="360" w:lineRule="auto"/>
        <w:ind w:right="-7"/>
        <w:jc w:val="both"/>
        <w:rPr>
          <w:rFonts w:ascii="Palatino Linotype" w:hAnsi="Palatino Linotype"/>
          <w:sz w:val="22"/>
          <w:szCs w:val="22"/>
        </w:rPr>
      </w:pPr>
    </w:p>
    <w:p w14:paraId="31195C6E" w14:textId="607C3C0F" w:rsidR="00371D66" w:rsidRPr="00972F86" w:rsidRDefault="00371D66" w:rsidP="00371D66">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Del mismo modo, es dable recordar que, de las constancias que obran en el expediente se logra vislumbrar que el Sujeto Obligado, turnó la solicitud de información a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4FBA494"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p>
    <w:p w14:paraId="34E59995" w14:textId="77777777" w:rsidR="00371D66" w:rsidRPr="00972F86" w:rsidRDefault="00371D66" w:rsidP="00371D66">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972F86">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741BE78" w14:textId="77777777" w:rsidR="00371D66" w:rsidRPr="00972F86" w:rsidRDefault="00371D66" w:rsidP="00371D66">
      <w:pPr>
        <w:spacing w:line="360" w:lineRule="auto"/>
        <w:ind w:left="567" w:right="560"/>
        <w:jc w:val="both"/>
        <w:rPr>
          <w:rFonts w:ascii="Palatino Linotype" w:eastAsia="Palatino Linotype" w:hAnsi="Palatino Linotype" w:cs="Palatino Linotype"/>
          <w:sz w:val="22"/>
          <w:szCs w:val="22"/>
        </w:rPr>
      </w:pPr>
    </w:p>
    <w:p w14:paraId="6034FD86" w14:textId="77777777" w:rsidR="00371D66" w:rsidRPr="00972F86" w:rsidRDefault="00371D66" w:rsidP="00371D66">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972F86">
        <w:rPr>
          <w:rFonts w:ascii="Palatino Linotype" w:eastAsia="Palatino Linotype" w:hAnsi="Palatino Linotype" w:cs="Palatino Linotype"/>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BEEE827"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p>
    <w:p w14:paraId="474CFE47"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25E62695" w14:textId="77777777" w:rsidR="00371D66" w:rsidRPr="00972F86" w:rsidRDefault="00371D66" w:rsidP="00371D66">
      <w:pPr>
        <w:spacing w:line="360" w:lineRule="auto"/>
        <w:ind w:right="49"/>
        <w:jc w:val="both"/>
        <w:rPr>
          <w:rFonts w:ascii="Palatino Linotype" w:eastAsia="Palatino Linotype" w:hAnsi="Palatino Linotype" w:cs="Palatino Linotype"/>
          <w:sz w:val="22"/>
          <w:szCs w:val="22"/>
        </w:rPr>
      </w:pPr>
    </w:p>
    <w:p w14:paraId="65BA3F0A" w14:textId="7499B97A" w:rsidR="00371D66" w:rsidRPr="00972F86" w:rsidRDefault="009103F4" w:rsidP="009103F4">
      <w:pPr>
        <w:spacing w:line="360" w:lineRule="auto"/>
        <w:ind w:right="49"/>
        <w:jc w:val="both"/>
        <w:rPr>
          <w:rFonts w:ascii="Palatino Linotype" w:eastAsia="Palatino Linotype" w:hAnsi="Palatino Linotype" w:cs="Palatino Linotype"/>
          <w:bCs/>
          <w:sz w:val="22"/>
          <w:szCs w:val="22"/>
        </w:rPr>
      </w:pPr>
      <w:r w:rsidRPr="00972F86">
        <w:rPr>
          <w:rFonts w:ascii="Palatino Linotype" w:eastAsia="Palatino Linotype" w:hAnsi="Palatino Linotype" w:cs="Palatino Linotype"/>
          <w:bCs/>
          <w:sz w:val="22"/>
          <w:szCs w:val="22"/>
        </w:rPr>
        <w:t xml:space="preserve">Ahora bien, en cuanto hace a los agravios hechos valer por la parte Recurrente, es de recordar que el Sujeto Obligado, en respuesta refirió a través de la Tesorería Municipal que la información solicitada se podía encontrar en el Tabulador de Sueldos y remitió una liga electrónica en formato cerrado, tal como se advierte a continuación: </w:t>
      </w:r>
    </w:p>
    <w:p w14:paraId="67DF4EE4" w14:textId="77777777" w:rsidR="009103F4" w:rsidRPr="00972F86" w:rsidRDefault="009103F4" w:rsidP="009103F4">
      <w:pPr>
        <w:spacing w:line="360" w:lineRule="auto"/>
        <w:ind w:right="49"/>
        <w:jc w:val="both"/>
        <w:rPr>
          <w:rFonts w:ascii="Palatino Linotype" w:eastAsia="Palatino Linotype" w:hAnsi="Palatino Linotype" w:cs="Palatino Linotype"/>
          <w:bCs/>
          <w:sz w:val="22"/>
          <w:szCs w:val="22"/>
        </w:rPr>
      </w:pPr>
    </w:p>
    <w:p w14:paraId="7CE281C7" w14:textId="7C5ADB86" w:rsidR="009103F4" w:rsidRPr="00972F86" w:rsidRDefault="009103F4" w:rsidP="009103F4">
      <w:pPr>
        <w:spacing w:line="360" w:lineRule="auto"/>
        <w:ind w:right="49"/>
        <w:jc w:val="center"/>
        <w:rPr>
          <w:rFonts w:ascii="Palatino Linotype" w:eastAsia="Palatino Linotype" w:hAnsi="Palatino Linotype" w:cs="Palatino Linotype"/>
          <w:bCs/>
          <w:sz w:val="22"/>
          <w:szCs w:val="22"/>
        </w:rPr>
      </w:pPr>
      <w:r w:rsidRPr="00972F86">
        <w:rPr>
          <w:rFonts w:ascii="Palatino Linotype" w:eastAsia="Palatino Linotype" w:hAnsi="Palatino Linotype" w:cs="Palatino Linotype"/>
          <w:bCs/>
          <w:noProof/>
          <w:sz w:val="22"/>
          <w:szCs w:val="22"/>
          <w:lang w:val="es-MX"/>
        </w:rPr>
        <w:drawing>
          <wp:inline distT="0" distB="0" distL="0" distR="0" wp14:anchorId="44A497BE" wp14:editId="57720EA1">
            <wp:extent cx="5948680" cy="7994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8680" cy="799465"/>
                    </a:xfrm>
                    <a:prstGeom prst="rect">
                      <a:avLst/>
                    </a:prstGeom>
                  </pic:spPr>
                </pic:pic>
              </a:graphicData>
            </a:graphic>
          </wp:inline>
        </w:drawing>
      </w:r>
    </w:p>
    <w:p w14:paraId="1899A04A" w14:textId="77777777" w:rsidR="009103F4" w:rsidRPr="00972F86" w:rsidRDefault="009103F4" w:rsidP="009103F4">
      <w:pPr>
        <w:spacing w:line="360" w:lineRule="auto"/>
        <w:ind w:right="49"/>
        <w:jc w:val="center"/>
        <w:rPr>
          <w:rFonts w:ascii="Palatino Linotype" w:eastAsia="Palatino Linotype" w:hAnsi="Palatino Linotype" w:cs="Palatino Linotype"/>
          <w:bCs/>
          <w:sz w:val="22"/>
          <w:szCs w:val="22"/>
        </w:rPr>
      </w:pPr>
    </w:p>
    <w:p w14:paraId="58A6E70F" w14:textId="77777777" w:rsidR="009103F4" w:rsidRPr="00972F86" w:rsidRDefault="009103F4" w:rsidP="009103F4">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Atento a esto, en principio es menester referir que de conformidad con el artículo 161 </w:t>
      </w:r>
      <w:r w:rsidRPr="00972F86">
        <w:rPr>
          <w:rFonts w:ascii="Palatino Linotype" w:hAnsi="Palatino Linotype" w:cs="Arial"/>
          <w:sz w:val="22"/>
          <w:szCs w:val="22"/>
        </w:rPr>
        <w:t xml:space="preserve">de la </w:t>
      </w:r>
      <w:r w:rsidRPr="00972F86">
        <w:rPr>
          <w:rFonts w:ascii="Palatino Linotype" w:hAnsi="Palatino Linotype"/>
          <w:sz w:val="22"/>
          <w:szCs w:val="22"/>
        </w:rPr>
        <w:t>Ley de Transparencia y Acceso a la Información Pública del Estado de México y Municipios</w:t>
      </w:r>
      <w:r w:rsidRPr="00972F86">
        <w:rPr>
          <w:rFonts w:ascii="Palatino Linotype" w:hAnsi="Palatino Linotype"/>
          <w:i/>
          <w:sz w:val="22"/>
          <w:szCs w:val="22"/>
        </w:rPr>
        <w:t>,</w:t>
      </w:r>
      <w:r w:rsidRPr="00972F86">
        <w:rPr>
          <w:rFonts w:ascii="Palatino Linotype" w:hAnsi="Palatino Linotype"/>
          <w:sz w:val="22"/>
          <w:szCs w:val="22"/>
        </w:rPr>
        <w:t xml:space="preserve"> cuando </w:t>
      </w:r>
      <w:r w:rsidRPr="00972F86">
        <w:rPr>
          <w:rFonts w:ascii="Palatino Linotype" w:eastAsia="Palatino Linotype" w:hAnsi="Palatino Linotype" w:cs="Palatino Linotype"/>
          <w:sz w:val="22"/>
          <w:szCs w:val="22"/>
        </w:rPr>
        <w:t>la información que es del interés de las personas solicitantes se encuentre disponible al público en medios impresos, tales como libros, compendios, trípticos, registros públicos, en formatos electrónicos disponibles en internet o en cualquier otro medio, los Sujetos Obligados cuentan con la prerrogativa de informar a los peticionarios por el medio requerido la fuente, el lugar y la forma en que puede consultar, reproducir o adquirir dicha información; en este caso el sistema SAIMEX, dicha fuente debe ser precisa, concreta y no debe implicar que la persona solicitante realice una búsqueda en toda la información que se encuentre disponible.</w:t>
      </w:r>
    </w:p>
    <w:p w14:paraId="15FB22C9" w14:textId="77777777" w:rsidR="009103F4" w:rsidRPr="00972F86" w:rsidRDefault="009103F4" w:rsidP="009103F4">
      <w:pPr>
        <w:spacing w:line="360" w:lineRule="auto"/>
        <w:jc w:val="both"/>
        <w:rPr>
          <w:rFonts w:ascii="Palatino Linotype" w:eastAsia="Palatino Linotype" w:hAnsi="Palatino Linotype" w:cs="Palatino Linotype"/>
          <w:sz w:val="22"/>
          <w:szCs w:val="22"/>
        </w:rPr>
      </w:pPr>
    </w:p>
    <w:p w14:paraId="5E7247EB" w14:textId="3746E93B" w:rsidR="009103F4" w:rsidRPr="00972F86" w:rsidRDefault="009103F4" w:rsidP="009103F4">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lastRenderedPageBreak/>
        <w:t xml:space="preserve">En el presente caso, </w:t>
      </w:r>
      <w:r w:rsidRPr="00972F86">
        <w:rPr>
          <w:rFonts w:ascii="Palatino Linotype" w:eastAsia="Palatino Linotype" w:hAnsi="Palatino Linotype" w:cs="Palatino Linotype"/>
          <w:b/>
          <w:sz w:val="22"/>
          <w:szCs w:val="22"/>
          <w:u w:val="single"/>
        </w:rPr>
        <w:t>la dirección electrónica se proporcionó a través de un documento digitalizado</w:t>
      </w:r>
      <w:r w:rsidRPr="00972F86">
        <w:rPr>
          <w:rFonts w:ascii="Palatino Linotype" w:eastAsia="Palatino Linotype" w:hAnsi="Palatino Linotype" w:cs="Palatino Linotype"/>
          <w:sz w:val="22"/>
          <w:szCs w:val="22"/>
        </w:rPr>
        <w:t>, el cual no permite su manipulación, esto es, no permite copiar, editar, modificar o procesar su contenido, por lo que, es necesario realizar la captura carácter por carácter, tarea que se dificulta si tomamos en consideración que las direcciones están compuestas por una cantidad considerable de caracteres, por consiguiente, el enviar ligas electrónicas en un formato digitalizado no cumple con lo previsto en el artículo 161 de la Ley de la Materia, pues el acceso a la información se encuentra restringido, ya que la información no se entregó en formato abierto.</w:t>
      </w:r>
    </w:p>
    <w:p w14:paraId="40350BF1" w14:textId="77777777" w:rsidR="009103F4" w:rsidRPr="00972F86" w:rsidRDefault="009103F4" w:rsidP="009103F4">
      <w:pPr>
        <w:spacing w:line="360" w:lineRule="auto"/>
        <w:jc w:val="both"/>
        <w:rPr>
          <w:rFonts w:ascii="Palatino Linotype" w:eastAsia="Palatino Linotype" w:hAnsi="Palatino Linotype" w:cs="Palatino Linotype"/>
          <w:sz w:val="22"/>
          <w:szCs w:val="22"/>
        </w:rPr>
      </w:pPr>
    </w:p>
    <w:p w14:paraId="24EF0EA7" w14:textId="77777777" w:rsidR="009103F4" w:rsidRPr="00972F86" w:rsidRDefault="009103F4" w:rsidP="009103F4">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En ese sentido, se considera que, el derecho de acceso a la información no fue garantizado por parte del Sujeto Obligado y, e</w:t>
      </w:r>
      <w:r w:rsidR="00295C46" w:rsidRPr="00972F86">
        <w:rPr>
          <w:rFonts w:ascii="Palatino Linotype" w:eastAsia="Palatino Linotype" w:hAnsi="Palatino Linotype" w:cs="Palatino Linotype"/>
          <w:sz w:val="22"/>
          <w:szCs w:val="22"/>
        </w:rPr>
        <w:t>n consecuencia, se determina que los agravios hechos valer por el Solicitante devienen</w:t>
      </w:r>
      <w:r w:rsidR="0076204D" w:rsidRPr="00972F86">
        <w:rPr>
          <w:rFonts w:ascii="Palatino Linotype" w:eastAsia="Palatino Linotype" w:hAnsi="Palatino Linotype" w:cs="Palatino Linotype"/>
          <w:sz w:val="22"/>
          <w:szCs w:val="22"/>
        </w:rPr>
        <w:t xml:space="preserve"> </w:t>
      </w:r>
      <w:r w:rsidR="00295C46" w:rsidRPr="00972F86">
        <w:rPr>
          <w:rFonts w:ascii="Palatino Linotype" w:eastAsia="Palatino Linotype" w:hAnsi="Palatino Linotype" w:cs="Palatino Linotype"/>
          <w:b/>
          <w:sz w:val="22"/>
          <w:szCs w:val="22"/>
        </w:rPr>
        <w:t>FUNDADOS</w:t>
      </w:r>
      <w:r w:rsidR="00295C46" w:rsidRPr="00972F86">
        <w:rPr>
          <w:rFonts w:ascii="Palatino Linotype" w:eastAsia="Palatino Linotype" w:hAnsi="Palatino Linotype" w:cs="Palatino Linotype"/>
          <w:sz w:val="22"/>
          <w:szCs w:val="22"/>
        </w:rPr>
        <w:t xml:space="preserve"> y, en consecuencia, se </w:t>
      </w:r>
      <w:r w:rsidRPr="00972F86">
        <w:rPr>
          <w:rFonts w:ascii="Palatino Linotype" w:eastAsia="Palatino Linotype" w:hAnsi="Palatino Linotype" w:cs="Palatino Linotype"/>
          <w:b/>
          <w:sz w:val="22"/>
          <w:szCs w:val="22"/>
        </w:rPr>
        <w:t>REVOCAR</w:t>
      </w:r>
      <w:r w:rsidR="00295C46" w:rsidRPr="00972F86">
        <w:rPr>
          <w:rFonts w:ascii="Palatino Linotype" w:eastAsia="Palatino Linotype" w:hAnsi="Palatino Linotype" w:cs="Palatino Linotype"/>
          <w:b/>
          <w:sz w:val="22"/>
          <w:szCs w:val="22"/>
        </w:rPr>
        <w:t xml:space="preserve"> </w:t>
      </w:r>
      <w:r w:rsidR="00295C46" w:rsidRPr="00972F86">
        <w:rPr>
          <w:rFonts w:ascii="Palatino Linotype" w:eastAsia="Palatino Linotype" w:hAnsi="Palatino Linotype" w:cs="Palatino Linotype"/>
          <w:sz w:val="22"/>
          <w:szCs w:val="22"/>
        </w:rPr>
        <w:t xml:space="preserve">la respuesta otorgada por </w:t>
      </w:r>
      <w:r w:rsidRPr="00972F86">
        <w:rPr>
          <w:rFonts w:ascii="Palatino Linotype" w:eastAsia="Palatino Linotype" w:hAnsi="Palatino Linotype" w:cs="Palatino Linotype"/>
          <w:sz w:val="22"/>
          <w:szCs w:val="22"/>
        </w:rPr>
        <w:t>el Sujeto Obligado</w:t>
      </w:r>
      <w:r w:rsidR="00295C46" w:rsidRPr="00972F86">
        <w:rPr>
          <w:rFonts w:ascii="Palatino Linotype" w:eastAsia="Palatino Linotype" w:hAnsi="Palatino Linotype" w:cs="Palatino Linotype"/>
          <w:sz w:val="22"/>
          <w:szCs w:val="22"/>
        </w:rPr>
        <w:t xml:space="preserve"> y, se le </w:t>
      </w:r>
      <w:r w:rsidR="00295C46" w:rsidRPr="00972F86">
        <w:rPr>
          <w:rFonts w:ascii="Palatino Linotype" w:eastAsia="Palatino Linotype" w:hAnsi="Palatino Linotype" w:cs="Palatino Linotype"/>
          <w:b/>
          <w:sz w:val="22"/>
          <w:szCs w:val="22"/>
        </w:rPr>
        <w:t xml:space="preserve">ORDENA </w:t>
      </w:r>
      <w:r w:rsidR="00295C46" w:rsidRPr="00972F86">
        <w:rPr>
          <w:rFonts w:ascii="Palatino Linotype" w:eastAsia="Palatino Linotype" w:hAnsi="Palatino Linotype" w:cs="Palatino Linotype"/>
          <w:sz w:val="22"/>
          <w:szCs w:val="22"/>
        </w:rPr>
        <w:t>haga entrega, vía Sistema de Acces</w:t>
      </w:r>
      <w:r w:rsidR="0076204D" w:rsidRPr="00972F86">
        <w:rPr>
          <w:rFonts w:ascii="Palatino Linotype" w:eastAsia="Palatino Linotype" w:hAnsi="Palatino Linotype" w:cs="Palatino Linotype"/>
          <w:sz w:val="22"/>
          <w:szCs w:val="22"/>
        </w:rPr>
        <w:t xml:space="preserve">o a la Información Mexiquense, </w:t>
      </w:r>
      <w:r w:rsidR="00295C46" w:rsidRPr="00972F86">
        <w:rPr>
          <w:rFonts w:ascii="Palatino Linotype" w:eastAsia="Palatino Linotype" w:hAnsi="Palatino Linotype" w:cs="Palatino Linotype"/>
          <w:sz w:val="22"/>
          <w:szCs w:val="22"/>
        </w:rPr>
        <w:t xml:space="preserve">de ser el caso, en versión pública, </w:t>
      </w:r>
      <w:r w:rsidRPr="00972F86">
        <w:rPr>
          <w:rFonts w:ascii="Palatino Linotype" w:eastAsia="Palatino Linotype" w:hAnsi="Palatino Linotype" w:cs="Palatino Linotype"/>
          <w:sz w:val="22"/>
          <w:szCs w:val="22"/>
        </w:rPr>
        <w:t xml:space="preserve">el documento donde conste el sueldo mensual bruto y neto del Presidente Municipal, Regidores, Síndico, Secretaria del Ayuntamiento y Secretaria Particular en funciones al dieciséis de junio de dos mil veinticinco. </w:t>
      </w:r>
    </w:p>
    <w:p w14:paraId="1918FBFF" w14:textId="77777777" w:rsidR="00371D66" w:rsidRPr="00972F86" w:rsidRDefault="00371D66" w:rsidP="009103F4">
      <w:pPr>
        <w:spacing w:line="360" w:lineRule="auto"/>
        <w:jc w:val="both"/>
        <w:rPr>
          <w:rFonts w:ascii="Palatino Linotype" w:hAnsi="Palatino Linotype"/>
          <w:sz w:val="22"/>
          <w:szCs w:val="22"/>
        </w:rPr>
      </w:pPr>
    </w:p>
    <w:p w14:paraId="4107E53A" w14:textId="0211D28C" w:rsidR="00295C46" w:rsidRPr="00972F86" w:rsidRDefault="00295C46" w:rsidP="009103F4">
      <w:pPr>
        <w:spacing w:line="360" w:lineRule="auto"/>
        <w:jc w:val="both"/>
        <w:rPr>
          <w:rFonts w:ascii="Palatino Linotype" w:hAnsi="Palatino Linotype"/>
          <w:sz w:val="22"/>
          <w:szCs w:val="22"/>
        </w:rPr>
      </w:pPr>
      <w:r w:rsidRPr="00972F86">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0EA4FF" w14:textId="77777777" w:rsidR="009103F4" w:rsidRPr="00972F86" w:rsidRDefault="009103F4" w:rsidP="009103F4">
      <w:pPr>
        <w:spacing w:line="360" w:lineRule="auto"/>
        <w:jc w:val="both"/>
        <w:rPr>
          <w:rFonts w:ascii="Palatino Linotype" w:eastAsia="Palatino Linotype" w:hAnsi="Palatino Linotype" w:cs="Palatino Linotype"/>
          <w:sz w:val="22"/>
          <w:szCs w:val="22"/>
        </w:rPr>
      </w:pPr>
    </w:p>
    <w:p w14:paraId="5DDC921E" w14:textId="77777777" w:rsidR="009103F4" w:rsidRPr="00972F86" w:rsidRDefault="009103F4" w:rsidP="009103F4">
      <w:pPr>
        <w:spacing w:line="360" w:lineRule="auto"/>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b/>
          <w:sz w:val="22"/>
          <w:szCs w:val="22"/>
        </w:rPr>
        <w:t xml:space="preserve">Quinto. Versión Pública. </w:t>
      </w:r>
      <w:r w:rsidRPr="00972F86">
        <w:rPr>
          <w:rFonts w:ascii="Palatino Linotype" w:hAnsi="Palatino Linotype"/>
          <w:sz w:val="22"/>
          <w:szCs w:val="22"/>
        </w:rPr>
        <w:t>Como fue debidamente apuntado, el </w:t>
      </w:r>
      <w:r w:rsidRPr="00972F86">
        <w:rPr>
          <w:rFonts w:ascii="Palatino Linotype" w:hAnsi="Palatino Linotype"/>
          <w:b/>
          <w:bCs/>
          <w:sz w:val="22"/>
          <w:szCs w:val="22"/>
        </w:rPr>
        <w:t>Sujeto Obligado</w:t>
      </w:r>
      <w:r w:rsidRPr="00972F86">
        <w:rPr>
          <w:rFonts w:ascii="Palatino Linotype" w:hAnsi="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1DE6DAD" w14:textId="77777777" w:rsidR="009103F4" w:rsidRPr="00972F86" w:rsidRDefault="009103F4" w:rsidP="009103F4">
      <w:pPr>
        <w:pStyle w:val="NormalWeb"/>
        <w:spacing w:before="240" w:beforeAutospacing="0" w:after="240" w:afterAutospacing="0" w:line="360" w:lineRule="auto"/>
        <w:ind w:right="49"/>
        <w:jc w:val="both"/>
        <w:rPr>
          <w:sz w:val="22"/>
          <w:szCs w:val="22"/>
        </w:rPr>
      </w:pPr>
      <w:r w:rsidRPr="00972F86">
        <w:rPr>
          <w:rFonts w:ascii="Palatino Linotype" w:hAnsi="Palatino Linotype"/>
          <w:sz w:val="22"/>
          <w:szCs w:val="22"/>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D226B72" w14:textId="77777777" w:rsidR="009103F4" w:rsidRPr="00972F86" w:rsidRDefault="009103F4" w:rsidP="009103F4">
      <w:pPr>
        <w:pStyle w:val="NormalWeb"/>
        <w:spacing w:before="240" w:beforeAutospacing="0" w:after="240" w:afterAutospacing="0" w:line="360" w:lineRule="auto"/>
        <w:ind w:right="49"/>
        <w:jc w:val="both"/>
        <w:rPr>
          <w:sz w:val="22"/>
          <w:szCs w:val="22"/>
        </w:rPr>
      </w:pPr>
      <w:r w:rsidRPr="00972F86">
        <w:rPr>
          <w:rFonts w:ascii="Palatino Linotype" w:hAnsi="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C81004F" w14:textId="77777777" w:rsidR="009103F4" w:rsidRPr="00972F86" w:rsidRDefault="009103F4" w:rsidP="009103F4">
      <w:pPr>
        <w:pStyle w:val="NormalWeb"/>
        <w:spacing w:before="240" w:beforeAutospacing="0" w:after="240" w:afterAutospacing="0" w:line="360" w:lineRule="auto"/>
        <w:ind w:right="49"/>
        <w:jc w:val="both"/>
        <w:rPr>
          <w:sz w:val="22"/>
          <w:szCs w:val="22"/>
        </w:rPr>
      </w:pPr>
      <w:r w:rsidRPr="00972F86">
        <w:rPr>
          <w:rFonts w:ascii="Palatino Linotype" w:hAnsi="Palatino Linotype"/>
          <w:sz w:val="22"/>
          <w:szCs w:val="22"/>
        </w:rPr>
        <w:t>Al respecto, los artículos 3, fracciones IX, XX, XXI, XXXII, XLV; 6, 91, 132, 137, 143, fracción I, de la Ley de Transparencia y Acceso a la Información Pública del Estado de México y Municipios vigente establecen:</w:t>
      </w:r>
    </w:p>
    <w:p w14:paraId="6BF58EF8"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sz w:val="22"/>
          <w:szCs w:val="22"/>
        </w:rPr>
        <w:t> </w:t>
      </w:r>
      <w:r w:rsidRPr="00972F86">
        <w:rPr>
          <w:rFonts w:ascii="Palatino Linotype" w:hAnsi="Palatino Linotype"/>
          <w:i/>
          <w:iCs/>
          <w:sz w:val="22"/>
          <w:szCs w:val="22"/>
        </w:rPr>
        <w:t>“</w:t>
      </w:r>
      <w:r w:rsidRPr="00972F86">
        <w:rPr>
          <w:rFonts w:ascii="Palatino Linotype" w:hAnsi="Palatino Linotype"/>
          <w:b/>
          <w:bCs/>
          <w:i/>
          <w:iCs/>
          <w:sz w:val="22"/>
          <w:szCs w:val="22"/>
        </w:rPr>
        <w:t>Artículo 3.</w:t>
      </w:r>
      <w:r w:rsidRPr="00972F86">
        <w:rPr>
          <w:rFonts w:ascii="Palatino Linotype" w:hAnsi="Palatino Linotype"/>
          <w:i/>
          <w:iCs/>
          <w:sz w:val="22"/>
          <w:szCs w:val="22"/>
        </w:rPr>
        <w:t xml:space="preserve"> Para los efectos de la presente Ley se entenderá por:</w:t>
      </w:r>
    </w:p>
    <w:p w14:paraId="467AA9BE"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i/>
          <w:iCs/>
          <w:sz w:val="22"/>
          <w:szCs w:val="22"/>
        </w:rPr>
        <w:t>…</w:t>
      </w:r>
    </w:p>
    <w:p w14:paraId="6ACEBC5B"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IX. Datos personales</w:t>
      </w:r>
      <w:r w:rsidRPr="00972F86">
        <w:rPr>
          <w:rFonts w:ascii="Palatino Linotype" w:hAnsi="Palatino Linotype"/>
          <w:i/>
          <w:iCs/>
          <w:sz w:val="22"/>
          <w:szCs w:val="22"/>
        </w:rPr>
        <w:t>: La información concerniente a una persona, identificada o identificable según lo dispuesto por la Ley de Protección de Datos Personales del Estado de México;</w:t>
      </w:r>
    </w:p>
    <w:p w14:paraId="181CE333"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i/>
          <w:iCs/>
          <w:sz w:val="22"/>
          <w:szCs w:val="22"/>
        </w:rPr>
        <w:t>…</w:t>
      </w:r>
    </w:p>
    <w:p w14:paraId="2744E3FC"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XX. Información clasificada</w:t>
      </w:r>
      <w:r w:rsidRPr="00972F86">
        <w:rPr>
          <w:rFonts w:ascii="Palatino Linotype" w:hAnsi="Palatino Linotype"/>
          <w:i/>
          <w:iCs/>
          <w:sz w:val="22"/>
          <w:szCs w:val="22"/>
        </w:rPr>
        <w:t>: Aquella considerada por la presente Ley como reservada o confidencial;</w:t>
      </w:r>
    </w:p>
    <w:p w14:paraId="18EB06D4"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XXI. Información confidencial</w:t>
      </w:r>
      <w:r w:rsidRPr="00972F86">
        <w:rPr>
          <w:rFonts w:ascii="Palatino Linotype" w:hAnsi="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71A30C"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i/>
          <w:iCs/>
          <w:sz w:val="22"/>
          <w:szCs w:val="22"/>
        </w:rPr>
        <w:t>…</w:t>
      </w:r>
    </w:p>
    <w:p w14:paraId="2188C765"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XXXII. Protección de Datos Personales</w:t>
      </w:r>
      <w:r w:rsidRPr="00972F86">
        <w:rPr>
          <w:rFonts w:ascii="Palatino Linotype" w:hAnsi="Palatino Linotype"/>
          <w:i/>
          <w:iCs/>
          <w:sz w:val="22"/>
          <w:szCs w:val="22"/>
        </w:rPr>
        <w:t>: Derecho humano que tutela la privacidad de datos personales en poder de los sujetos obligados y sujetos particulares;</w:t>
      </w:r>
    </w:p>
    <w:p w14:paraId="175644D6"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i/>
          <w:iCs/>
          <w:sz w:val="22"/>
          <w:szCs w:val="22"/>
        </w:rPr>
        <w:t>…</w:t>
      </w:r>
    </w:p>
    <w:p w14:paraId="639B82BB"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XLV. Versión pública</w:t>
      </w:r>
      <w:r w:rsidRPr="00972F86">
        <w:rPr>
          <w:rFonts w:ascii="Palatino Linotype" w:hAnsi="Palatino Linotype"/>
          <w:i/>
          <w:iCs/>
          <w:sz w:val="22"/>
          <w:szCs w:val="22"/>
        </w:rPr>
        <w:t>: Documento en el que se elimine, suprime o borra la información clasificada como reservada o confidencial para permitir su acceso.</w:t>
      </w:r>
    </w:p>
    <w:p w14:paraId="5FF33A97"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lastRenderedPageBreak/>
        <w:t> Artículo 6</w:t>
      </w:r>
      <w:r w:rsidRPr="00972F86">
        <w:rPr>
          <w:rFonts w:ascii="Palatino Linotype" w:hAnsi="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1B99F6"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w:t>
      </w:r>
    </w:p>
    <w:p w14:paraId="6AEE2371"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Artículo 91.</w:t>
      </w:r>
      <w:r w:rsidRPr="00972F86">
        <w:rPr>
          <w:rFonts w:ascii="Palatino Linotype" w:hAnsi="Palatino Linotype"/>
          <w:i/>
          <w:iCs/>
          <w:sz w:val="22"/>
          <w:szCs w:val="22"/>
        </w:rPr>
        <w:t xml:space="preserve"> El acceso a la información pública será restringido excepcionalmente, cuando ésta sea clasificada como reservada o confidencial.</w:t>
      </w:r>
      <w:r w:rsidRPr="00972F86">
        <w:rPr>
          <w:rFonts w:ascii="Palatino Linotype" w:hAnsi="Palatino Linotype"/>
          <w:i/>
          <w:iCs/>
          <w:sz w:val="22"/>
          <w:szCs w:val="22"/>
        </w:rPr>
        <w:br/>
        <w:t>…</w:t>
      </w:r>
    </w:p>
    <w:p w14:paraId="4CD2A547"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Artículo 132.</w:t>
      </w:r>
      <w:r w:rsidRPr="00972F86">
        <w:rPr>
          <w:rFonts w:ascii="Palatino Linotype" w:hAnsi="Palatino Linotype"/>
          <w:i/>
          <w:iCs/>
          <w:sz w:val="22"/>
          <w:szCs w:val="22"/>
        </w:rPr>
        <w:t xml:space="preserve"> La clasificación de la información se llevará a cabo en el momento en que:</w:t>
      </w:r>
    </w:p>
    <w:p w14:paraId="481B7F1E"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Se reciba una solicitud de acceso a la información;</w:t>
      </w:r>
    </w:p>
    <w:p w14:paraId="61E87212"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w:t>
      </w:r>
      <w:r w:rsidRPr="00972F86">
        <w:rPr>
          <w:rFonts w:ascii="Palatino Linotype" w:hAnsi="Palatino Linotype"/>
          <w:i/>
          <w:iCs/>
          <w:sz w:val="22"/>
          <w:szCs w:val="22"/>
        </w:rPr>
        <w:t xml:space="preserve"> Se determine mediante resolución de autoridad competente; o</w:t>
      </w:r>
    </w:p>
    <w:p w14:paraId="2D6D0404"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III.</w:t>
      </w:r>
      <w:r w:rsidRPr="00972F86">
        <w:rPr>
          <w:rFonts w:ascii="Palatino Linotype" w:hAnsi="Palatino Linotype"/>
          <w:i/>
          <w:iCs/>
          <w:sz w:val="22"/>
          <w:szCs w:val="22"/>
        </w:rPr>
        <w:t xml:space="preserve"> Se generen versiones públicas para dar cumplimiento a las obligaciones de transparencia previstas en esta Ley.</w:t>
      </w:r>
    </w:p>
    <w:p w14:paraId="4A3FE15F"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w:t>
      </w:r>
    </w:p>
    <w:p w14:paraId="0FB5E423"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Artículo 137.</w:t>
      </w:r>
      <w:r w:rsidRPr="00972F86">
        <w:rPr>
          <w:rFonts w:ascii="Palatino Linotype" w:hAnsi="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FFDD866"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 Artículo 143.</w:t>
      </w:r>
      <w:r w:rsidRPr="00972F86">
        <w:rPr>
          <w:rFonts w:ascii="Palatino Linotype" w:hAnsi="Palatino Linotype"/>
          <w:i/>
          <w:iCs/>
          <w:sz w:val="22"/>
          <w:szCs w:val="22"/>
        </w:rPr>
        <w:t xml:space="preserve"> Para los efectos de esta Ley se considera información confidencial, la clasificada como tal, de manera permanente, por su naturaleza, cuando:</w:t>
      </w:r>
    </w:p>
    <w:p w14:paraId="5863980C"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xml:space="preserve"> Se refiera a la información privada y los datos personales concernientes a una persona física o jurídico colectiva identificada o identificable...”</w:t>
      </w:r>
    </w:p>
    <w:p w14:paraId="7FCCD9C6" w14:textId="77777777" w:rsidR="009103F4" w:rsidRPr="00972F86" w:rsidRDefault="009103F4" w:rsidP="009103F4">
      <w:pPr>
        <w:pStyle w:val="NormalWeb"/>
        <w:spacing w:before="240" w:beforeAutospacing="0" w:after="240" w:afterAutospacing="0" w:line="360" w:lineRule="auto"/>
        <w:ind w:right="50"/>
        <w:jc w:val="both"/>
        <w:rPr>
          <w:sz w:val="22"/>
          <w:szCs w:val="22"/>
        </w:rPr>
      </w:pPr>
      <w:r w:rsidRPr="00972F86">
        <w:rPr>
          <w:rFonts w:ascii="Palatino Linotype" w:hAnsi="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72F86">
        <w:rPr>
          <w:rFonts w:ascii="Palatino Linotype" w:hAnsi="Palatino Linotype"/>
          <w:b/>
          <w:bCs/>
          <w:sz w:val="22"/>
          <w:szCs w:val="22"/>
        </w:rPr>
        <w:t>Sujeto Obligado</w:t>
      </w:r>
      <w:r w:rsidRPr="00972F86">
        <w:rPr>
          <w:rFonts w:ascii="Palatino Linotype" w:hAnsi="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w:t>
      </w:r>
      <w:r w:rsidRPr="00972F86">
        <w:rPr>
          <w:rFonts w:ascii="Palatino Linotype" w:hAnsi="Palatino Linotype"/>
          <w:sz w:val="22"/>
          <w:szCs w:val="22"/>
        </w:rPr>
        <w:lastRenderedPageBreak/>
        <w:t>del artículo 4 de la Ley de Protección de Datos Personales en posesión de Sujeto Obligados del Estado de México.</w:t>
      </w:r>
    </w:p>
    <w:p w14:paraId="70CB83D4" w14:textId="77777777" w:rsidR="009103F4" w:rsidRPr="00972F86" w:rsidRDefault="009103F4" w:rsidP="009103F4">
      <w:pPr>
        <w:pStyle w:val="NormalWeb"/>
        <w:spacing w:before="240" w:beforeAutospacing="0" w:after="240" w:afterAutospacing="0" w:line="360" w:lineRule="auto"/>
        <w:ind w:right="50"/>
        <w:jc w:val="both"/>
        <w:rPr>
          <w:sz w:val="22"/>
          <w:szCs w:val="22"/>
        </w:rPr>
      </w:pPr>
      <w:r w:rsidRPr="00972F86">
        <w:rPr>
          <w:rFonts w:ascii="Palatino Linotype" w:hAnsi="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A8D4271"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En el caso específico, la información que se ordena si bien tiene el carácter información pública en razón de que se trata de documentos que se encuentran en posesión del </w:t>
      </w:r>
      <w:r w:rsidRPr="00972F86">
        <w:rPr>
          <w:rFonts w:ascii="Palatino Linotype" w:hAnsi="Palatino Linotype"/>
          <w:b/>
          <w:bCs/>
          <w:sz w:val="22"/>
          <w:szCs w:val="22"/>
        </w:rPr>
        <w:t>Sujeto Obligado</w:t>
      </w:r>
      <w:r w:rsidRPr="00972F86">
        <w:rPr>
          <w:rFonts w:ascii="Palatino Linotype" w:hAnsi="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72F86">
        <w:rPr>
          <w:rFonts w:ascii="Palatino Linotype" w:hAnsi="Palatino Linotype"/>
          <w:b/>
          <w:bCs/>
          <w:sz w:val="22"/>
          <w:szCs w:val="22"/>
        </w:rPr>
        <w:t>Registro Federal de Contribuyentes</w:t>
      </w:r>
      <w:r w:rsidRPr="00972F86">
        <w:rPr>
          <w:rFonts w:ascii="Palatino Linotype" w:hAnsi="Palatino Linotype"/>
          <w:sz w:val="22"/>
          <w:szCs w:val="22"/>
        </w:rPr>
        <w:t xml:space="preserve"> (RFC), la </w:t>
      </w:r>
      <w:r w:rsidRPr="00972F86">
        <w:rPr>
          <w:rFonts w:ascii="Palatino Linotype" w:hAnsi="Palatino Linotype"/>
          <w:b/>
          <w:bCs/>
          <w:sz w:val="22"/>
          <w:szCs w:val="22"/>
        </w:rPr>
        <w:t>Clave Única de Registro de Población</w:t>
      </w:r>
      <w:r w:rsidRPr="00972F86">
        <w:rPr>
          <w:rFonts w:ascii="Palatino Linotype" w:hAnsi="Palatino Linotype"/>
          <w:sz w:val="22"/>
          <w:szCs w:val="22"/>
        </w:rPr>
        <w:t xml:space="preserve"> (CURP), la </w:t>
      </w:r>
      <w:r w:rsidRPr="00972F86">
        <w:rPr>
          <w:rFonts w:ascii="Palatino Linotype" w:hAnsi="Palatino Linotype"/>
          <w:b/>
          <w:bCs/>
          <w:sz w:val="22"/>
          <w:szCs w:val="22"/>
        </w:rPr>
        <w:t>Clave de cualquier tipo de seguridad social</w:t>
      </w:r>
      <w:r w:rsidRPr="00972F86">
        <w:rPr>
          <w:rFonts w:ascii="Palatino Linotype" w:hAnsi="Palatino Linotype"/>
          <w:sz w:val="22"/>
          <w:szCs w:val="22"/>
        </w:rPr>
        <w:t xml:space="preserve"> (ISSEMYM, u otros), los </w:t>
      </w:r>
      <w:r w:rsidRPr="00972F86">
        <w:rPr>
          <w:rFonts w:ascii="Palatino Linotype" w:hAnsi="Palatino Linotype"/>
          <w:b/>
          <w:bCs/>
          <w:sz w:val="22"/>
          <w:szCs w:val="22"/>
        </w:rPr>
        <w:t>números de cuentas bancarias</w:t>
      </w:r>
      <w:r w:rsidRPr="00972F86">
        <w:rPr>
          <w:rFonts w:ascii="Palatino Linotype" w:hAnsi="Palatino Linotype"/>
          <w:sz w:val="22"/>
          <w:szCs w:val="22"/>
        </w:rPr>
        <w:t xml:space="preserve">, claves estandarizadas – interbancarias - (CLABES) y de tarjetas, los </w:t>
      </w:r>
      <w:r w:rsidRPr="00972F86">
        <w:rPr>
          <w:rFonts w:ascii="Palatino Linotype" w:hAnsi="Palatino Linotype"/>
          <w:b/>
          <w:bCs/>
          <w:sz w:val="22"/>
          <w:szCs w:val="22"/>
        </w:rPr>
        <w:t>préstamos o descuentos</w:t>
      </w:r>
      <w:r w:rsidRPr="00972F86">
        <w:rPr>
          <w:rFonts w:ascii="Palatino Linotype" w:hAnsi="Palatino Linotype"/>
          <w:sz w:val="22"/>
          <w:szCs w:val="22"/>
        </w:rPr>
        <w:t xml:space="preserve"> que se le hagan a la persona y que no tengan relación con los impuestos o la cuota por seguridad social, el</w:t>
      </w:r>
      <w:r w:rsidRPr="00972F86">
        <w:rPr>
          <w:rFonts w:ascii="Palatino Linotype" w:hAnsi="Palatino Linotype"/>
          <w:b/>
          <w:bCs/>
          <w:sz w:val="22"/>
          <w:szCs w:val="22"/>
        </w:rPr>
        <w:t xml:space="preserve"> número de empleado, </w:t>
      </w:r>
      <w:r w:rsidRPr="00972F86">
        <w:rPr>
          <w:rFonts w:ascii="Palatino Linotype" w:hAnsi="Palatino Linotype"/>
          <w:sz w:val="22"/>
          <w:szCs w:val="22"/>
        </w:rPr>
        <w:t>y cualquier información de carácter fiscal.</w:t>
      </w:r>
    </w:p>
    <w:p w14:paraId="283ACE95" w14:textId="77777777" w:rsidR="009103F4" w:rsidRPr="00972F86" w:rsidRDefault="009103F4" w:rsidP="009103F4">
      <w:pPr>
        <w:pStyle w:val="NormalWeb"/>
        <w:spacing w:before="240" w:beforeAutospacing="0" w:after="240" w:afterAutospacing="0" w:line="360" w:lineRule="auto"/>
        <w:ind w:right="50"/>
        <w:jc w:val="both"/>
        <w:rPr>
          <w:sz w:val="22"/>
          <w:szCs w:val="22"/>
        </w:rPr>
      </w:pPr>
      <w:r w:rsidRPr="00972F86">
        <w:rPr>
          <w:rFonts w:ascii="Palatino Linotype" w:hAnsi="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313E253"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Por cuanto hace al </w:t>
      </w:r>
      <w:r w:rsidRPr="00972F86">
        <w:rPr>
          <w:rFonts w:ascii="Palatino Linotype" w:hAnsi="Palatino Linotype"/>
          <w:b/>
          <w:bCs/>
          <w:sz w:val="22"/>
          <w:szCs w:val="22"/>
        </w:rPr>
        <w:t>Registro Federal de Contribuyentes, RFC,</w:t>
      </w:r>
      <w:r w:rsidRPr="00972F86">
        <w:rPr>
          <w:rFonts w:ascii="Palatino Linotype" w:hAnsi="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972F86">
        <w:rPr>
          <w:rFonts w:ascii="Palatino Linotype" w:hAnsi="Palatino Linotype"/>
          <w:sz w:val="22"/>
          <w:szCs w:val="22"/>
        </w:rPr>
        <w:t>homoclave</w:t>
      </w:r>
      <w:proofErr w:type="spellEnd"/>
      <w:r w:rsidRPr="00972F86">
        <w:rPr>
          <w:rFonts w:ascii="Palatino Linotype" w:hAnsi="Palatino Linotype"/>
          <w:sz w:val="22"/>
          <w:szCs w:val="22"/>
        </w:rPr>
        <w:t>, por lo que para su obtención es necesario acreditar ante la autoridad fiscal previamente la identidad de la persona, su fecha de nacimiento, entre otros aspectos.</w:t>
      </w:r>
    </w:p>
    <w:p w14:paraId="5CDE6CD5"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C0209C2"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553D4445"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 “Registro Federal de Contribuyentes (RFC) de personas físicas</w:t>
      </w:r>
      <w:r w:rsidRPr="00972F86">
        <w:rPr>
          <w:rFonts w:ascii="Palatino Linotype" w:hAnsi="Palatino Linotype"/>
          <w:i/>
          <w:iCs/>
          <w:sz w:val="22"/>
          <w:szCs w:val="22"/>
        </w:rPr>
        <w:t>. El RFC es una clave de carácter fiscal, única e irrepetible, que permite identificar al titular, su edad y fecha de nacimiento, por lo que es un dato personal de carácter confidencial.”</w:t>
      </w:r>
    </w:p>
    <w:p w14:paraId="2A710161"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Así, el Registro Federal de Contribuyentes, RFC, se vincula al nombre de su titular y permite identificar la edad de la persona, su fecha de nacimiento, así como su </w:t>
      </w:r>
      <w:proofErr w:type="spellStart"/>
      <w:r w:rsidRPr="00972F86">
        <w:rPr>
          <w:rFonts w:ascii="Palatino Linotype" w:hAnsi="Palatino Linotype"/>
          <w:sz w:val="22"/>
          <w:szCs w:val="22"/>
        </w:rPr>
        <w:t>homoclave</w:t>
      </w:r>
      <w:proofErr w:type="spellEnd"/>
      <w:r w:rsidRPr="00972F86">
        <w:rPr>
          <w:rFonts w:ascii="Palatino Linotype" w:hAnsi="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C4EB8CF"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De igual manera la </w:t>
      </w:r>
      <w:r w:rsidRPr="00972F86">
        <w:rPr>
          <w:rFonts w:ascii="Palatino Linotype" w:hAnsi="Palatino Linotype"/>
          <w:b/>
          <w:bCs/>
          <w:sz w:val="22"/>
          <w:szCs w:val="22"/>
        </w:rPr>
        <w:t>Clave Única de Registro de Población</w:t>
      </w:r>
      <w:r w:rsidRPr="00972F86">
        <w:rPr>
          <w:rFonts w:ascii="Palatino Linotype" w:hAnsi="Palatino Linotype"/>
          <w:sz w:val="22"/>
          <w:szCs w:val="22"/>
        </w:rPr>
        <w:t xml:space="preserve">, </w:t>
      </w:r>
      <w:r w:rsidRPr="00972F86">
        <w:rPr>
          <w:rFonts w:ascii="Palatino Linotype" w:hAnsi="Palatino Linotype"/>
          <w:b/>
          <w:bCs/>
          <w:sz w:val="22"/>
          <w:szCs w:val="22"/>
        </w:rPr>
        <w:t>CURP,</w:t>
      </w:r>
      <w:r w:rsidRPr="00972F86">
        <w:rPr>
          <w:rFonts w:ascii="Palatino Linotype" w:hAnsi="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314BD7C"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4DB6012F" w14:textId="77777777" w:rsidR="009103F4" w:rsidRPr="00972F86" w:rsidRDefault="009103F4" w:rsidP="00157213">
      <w:pPr>
        <w:pStyle w:val="NormalWeb"/>
        <w:spacing w:before="120" w:beforeAutospacing="0" w:after="120" w:afterAutospacing="0" w:line="276" w:lineRule="auto"/>
        <w:ind w:left="851" w:right="902"/>
        <w:jc w:val="both"/>
        <w:rPr>
          <w:sz w:val="22"/>
          <w:szCs w:val="22"/>
        </w:rPr>
      </w:pPr>
      <w:r w:rsidRPr="00972F86">
        <w:rPr>
          <w:rFonts w:ascii="Palatino Linotype" w:hAnsi="Palatino Linotype"/>
          <w:b/>
          <w:bCs/>
          <w:i/>
          <w:iCs/>
          <w:sz w:val="22"/>
          <w:szCs w:val="22"/>
        </w:rPr>
        <w:lastRenderedPageBreak/>
        <w:t xml:space="preserve"> “Clave Única de Registro de Población (CURP). </w:t>
      </w:r>
      <w:r w:rsidRPr="00972F86">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A583853"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Por lo que respecta a la </w:t>
      </w:r>
      <w:r w:rsidRPr="00972F86">
        <w:rPr>
          <w:rFonts w:ascii="Palatino Linotype" w:hAnsi="Palatino Linotype"/>
          <w:b/>
          <w:bCs/>
          <w:sz w:val="22"/>
          <w:szCs w:val="22"/>
        </w:rPr>
        <w:t>clave de seguridad social</w:t>
      </w:r>
      <w:r w:rsidRPr="00972F86">
        <w:rPr>
          <w:rFonts w:ascii="Palatino Linotype" w:hAnsi="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0575A73E"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Respecto de los </w:t>
      </w:r>
      <w:r w:rsidRPr="00972F86">
        <w:rPr>
          <w:rFonts w:ascii="Palatino Linotype" w:hAnsi="Palatino Linotype"/>
          <w:b/>
          <w:bCs/>
          <w:sz w:val="22"/>
          <w:szCs w:val="22"/>
        </w:rPr>
        <w:t>números de cuentas bancari</w:t>
      </w:r>
      <w:r w:rsidRPr="00972F86">
        <w:rPr>
          <w:rFonts w:ascii="Palatino Linotype" w:hAnsi="Palatino Linotype"/>
          <w:sz w:val="22"/>
          <w:szCs w:val="22"/>
        </w:rPr>
        <w:t xml:space="preserve">as, </w:t>
      </w:r>
      <w:r w:rsidRPr="00972F86">
        <w:rPr>
          <w:rFonts w:ascii="Palatino Linotype" w:hAnsi="Palatino Linotype"/>
          <w:b/>
          <w:bCs/>
          <w:sz w:val="22"/>
          <w:szCs w:val="22"/>
        </w:rPr>
        <w:t>claves estandarizadas –interbancarias- (CLABES) y de tarjetas</w:t>
      </w:r>
      <w:r w:rsidRPr="00972F86">
        <w:rPr>
          <w:rFonts w:ascii="Palatino Linotype" w:hAnsi="Palatino Linotype"/>
          <w:sz w:val="22"/>
          <w:szCs w:val="22"/>
        </w:rPr>
        <w:t>, el Pleno de este Instituto ha determinado que esa información debe clasificarse como confidencial, y elaborarse una versión pública en la que se teste la misma.</w:t>
      </w:r>
    </w:p>
    <w:p w14:paraId="0D9D95E5"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18C37A6"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B3FC3C2"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En esa virtud, este Pleno determina que dicha información no puede ser del dominio público, toda vez que se podría dar un uso inadecuado a la misma o cometer algún ilícito o fraude como ya ha sido expuesto. </w:t>
      </w:r>
    </w:p>
    <w:p w14:paraId="4845A50B"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2D98059"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lastRenderedPageBreak/>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5D1D98A4"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w:t>
      </w:r>
      <w:r w:rsidRPr="00972F86">
        <w:rPr>
          <w:rFonts w:ascii="Palatino Linotype" w:hAnsi="Palatino Linotype"/>
          <w:b/>
          <w:bCs/>
          <w:i/>
          <w:iCs/>
          <w:sz w:val="22"/>
          <w:szCs w:val="22"/>
        </w:rPr>
        <w:t>Cuentas bancarias y/o CLABE interbancaria de personas físicas y morales privadas.</w:t>
      </w:r>
      <w:r w:rsidRPr="00972F86">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375C244"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“Cuentas bancarias y/o CLABE interbancaria de sujetos obligados que reciben y/o transfieren recursos públicos, son información pública.</w:t>
      </w:r>
      <w:r w:rsidRPr="00972F86">
        <w:rPr>
          <w:rFonts w:ascii="Palatino Linotype" w:hAnsi="Palatino Linotype"/>
          <w:i/>
          <w:iCs/>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7AA79C0"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Por cuanto hace a los </w:t>
      </w:r>
      <w:r w:rsidRPr="00972F86">
        <w:rPr>
          <w:rFonts w:ascii="Palatino Linotype" w:hAnsi="Palatino Linotype"/>
          <w:b/>
          <w:bCs/>
          <w:sz w:val="22"/>
          <w:szCs w:val="22"/>
        </w:rPr>
        <w:t>préstamos o descuentos de carácter personal</w:t>
      </w:r>
      <w:r w:rsidRPr="00972F86">
        <w:rPr>
          <w:rFonts w:ascii="Palatino Linotype" w:hAnsi="Palatino Linotype"/>
          <w:sz w:val="22"/>
          <w:szCs w:val="22"/>
        </w:rPr>
        <w:t>, en virtud de no tener relación con la prestación del servicio y al no involucrar instituciones públicas, se consideran datos confidenciales.</w:t>
      </w:r>
    </w:p>
    <w:p w14:paraId="120DACCB"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Para entender los límites y alcances de esta restricción, es oportuno recurrir al artículo 84 de la Ley del Trabajo de los Servidores Públicos del Estado y Municipios:</w:t>
      </w:r>
    </w:p>
    <w:p w14:paraId="31AAACC2"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 xml:space="preserve">“ARTÍCULO 84. </w:t>
      </w:r>
      <w:r w:rsidRPr="00972F86">
        <w:rPr>
          <w:rFonts w:ascii="Palatino Linotype" w:hAnsi="Palatino Linotype"/>
          <w:i/>
          <w:iCs/>
          <w:sz w:val="22"/>
          <w:szCs w:val="22"/>
        </w:rPr>
        <w:t>Sólo podrán hacerse retenciones, descuentos o deducciones al sueldo de los servidores públicos por concepto de:</w:t>
      </w:r>
    </w:p>
    <w:p w14:paraId="7BB24D1D"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xml:space="preserve"> Gravámenes fiscales relacionados con el sueldo;</w:t>
      </w:r>
    </w:p>
    <w:p w14:paraId="02454C0C"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w:t>
      </w:r>
      <w:r w:rsidRPr="00972F86">
        <w:rPr>
          <w:rFonts w:ascii="Palatino Linotype" w:hAnsi="Palatino Linotype"/>
          <w:i/>
          <w:iCs/>
          <w:sz w:val="22"/>
          <w:szCs w:val="22"/>
        </w:rPr>
        <w:t xml:space="preserve"> Deudas contraídas con las instituciones públicas o dependencias por concepto de anticipos de sueldo, pagos hechos con exceso, errores o pérdidas debidamente comprobados;</w:t>
      </w:r>
    </w:p>
    <w:p w14:paraId="37831B3D"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III.</w:t>
      </w:r>
      <w:r w:rsidRPr="00972F86">
        <w:rPr>
          <w:rFonts w:ascii="Palatino Linotype" w:hAnsi="Palatino Linotype"/>
          <w:i/>
          <w:iCs/>
          <w:sz w:val="22"/>
          <w:szCs w:val="22"/>
        </w:rPr>
        <w:t xml:space="preserve"> </w:t>
      </w:r>
      <w:r w:rsidRPr="00972F86">
        <w:rPr>
          <w:rFonts w:ascii="Palatino Linotype" w:hAnsi="Palatino Linotype"/>
          <w:b/>
          <w:bCs/>
          <w:i/>
          <w:iCs/>
          <w:sz w:val="22"/>
          <w:szCs w:val="22"/>
        </w:rPr>
        <w:t>Cuotas sindicales</w:t>
      </w:r>
      <w:r w:rsidRPr="00972F86">
        <w:rPr>
          <w:rFonts w:ascii="Palatino Linotype" w:hAnsi="Palatino Linotype"/>
          <w:i/>
          <w:iCs/>
          <w:sz w:val="22"/>
          <w:szCs w:val="22"/>
        </w:rPr>
        <w:t>;</w:t>
      </w:r>
    </w:p>
    <w:p w14:paraId="3BB8B374"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IV.</w:t>
      </w:r>
      <w:r w:rsidRPr="00972F86">
        <w:rPr>
          <w:rFonts w:ascii="Palatino Linotype" w:hAnsi="Palatino Linotype"/>
          <w:i/>
          <w:iCs/>
          <w:sz w:val="22"/>
          <w:szCs w:val="22"/>
        </w:rPr>
        <w:t xml:space="preserve"> Cuotas de aportación a fondos para la constitución de cooperativas y de cajas de ahorro, siempre que el servidor público hubiese manifestado previamente, de manera expresa, su conformidad;</w:t>
      </w:r>
    </w:p>
    <w:p w14:paraId="37C92DC7"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V.</w:t>
      </w:r>
      <w:r w:rsidRPr="00972F86">
        <w:rPr>
          <w:rFonts w:ascii="Palatino Linotype" w:hAnsi="Palatino Linotype"/>
          <w:i/>
          <w:iCs/>
          <w:sz w:val="22"/>
          <w:szCs w:val="22"/>
        </w:rPr>
        <w:t xml:space="preserve"> Descuentos ordenados por el Instituto de Seguridad Social del Estado de México y Municipios, con motivo de cuotas y obligaciones contraídas con éste por los servidores públicos;</w:t>
      </w:r>
    </w:p>
    <w:p w14:paraId="3BEDED75"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lastRenderedPageBreak/>
        <w:t>VI.</w:t>
      </w:r>
      <w:r w:rsidRPr="00972F86">
        <w:rPr>
          <w:rFonts w:ascii="Palatino Linotype" w:hAnsi="Palatino Linotype"/>
          <w:i/>
          <w:iCs/>
          <w:sz w:val="22"/>
          <w:szCs w:val="22"/>
        </w:rPr>
        <w:t xml:space="preserve"> Obligaciones a cargo del servidor público con las que haya consentido, derivadas de la adquisición o del uso de habitaciones consideradas como de interés social;</w:t>
      </w:r>
    </w:p>
    <w:p w14:paraId="31BB63E4"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VII.</w:t>
      </w:r>
      <w:r w:rsidRPr="00972F86">
        <w:rPr>
          <w:rFonts w:ascii="Palatino Linotype" w:hAnsi="Palatino Linotype"/>
          <w:i/>
          <w:iCs/>
          <w:sz w:val="22"/>
          <w:szCs w:val="22"/>
        </w:rPr>
        <w:t xml:space="preserve"> Faltas de puntualidad o de asistencia injustificadas;</w:t>
      </w:r>
    </w:p>
    <w:p w14:paraId="7CF3F91E"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VIII. Pensiones alimenticias ordenadas por la autoridad judicial;</w:t>
      </w:r>
      <w:r w:rsidRPr="00972F86">
        <w:rPr>
          <w:rFonts w:ascii="Palatino Linotype" w:hAnsi="Palatino Linotype"/>
          <w:i/>
          <w:iCs/>
          <w:sz w:val="22"/>
          <w:szCs w:val="22"/>
        </w:rPr>
        <w:t xml:space="preserve"> o</w:t>
      </w:r>
    </w:p>
    <w:p w14:paraId="36A8E531"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IX. Cualquier otro convenido con instituciones de servicios y aceptado por el servidor público.</w:t>
      </w:r>
    </w:p>
    <w:p w14:paraId="086D54DB"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55D170B"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Como se puede observar, el precepto citado establece claramente cuáles son esos descuentos o gravámenes que directamente se relacionan con las obligaciones adquiridas como servidores públicos y aquéllos que únicamente inciden en su vida privada. </w:t>
      </w:r>
    </w:p>
    <w:p w14:paraId="3F49F7C2"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De este modo, los </w:t>
      </w:r>
      <w:r w:rsidRPr="00972F86">
        <w:rPr>
          <w:rFonts w:ascii="Palatino Linotype" w:hAnsi="Palatino Linotype"/>
          <w:b/>
          <w:bCs/>
          <w:sz w:val="22"/>
          <w:szCs w:val="22"/>
        </w:rPr>
        <w:t>descuentos o deducciones por cuotas sindicales</w:t>
      </w:r>
      <w:r w:rsidRPr="00972F86">
        <w:rPr>
          <w:rFonts w:ascii="Palatino Linotype" w:hAnsi="Palatino Linotype"/>
          <w:sz w:val="22"/>
          <w:szCs w:val="22"/>
        </w:rPr>
        <w:t xml:space="preserve">, </w:t>
      </w:r>
      <w:r w:rsidRPr="00972F86">
        <w:rPr>
          <w:rFonts w:ascii="Palatino Linotype" w:hAnsi="Palatino Linotype"/>
          <w:b/>
          <w:bCs/>
          <w:sz w:val="22"/>
          <w:szCs w:val="22"/>
        </w:rPr>
        <w:t>pensiones alimenticias</w:t>
      </w:r>
      <w:r w:rsidRPr="00972F86">
        <w:rPr>
          <w:rFonts w:ascii="Palatino Linotype" w:hAnsi="Palatino Linotype"/>
          <w:sz w:val="22"/>
          <w:szCs w:val="22"/>
        </w:rPr>
        <w:t xml:space="preserve"> o </w:t>
      </w:r>
      <w:r w:rsidRPr="00972F86">
        <w:rPr>
          <w:rFonts w:ascii="Palatino Linotype" w:hAnsi="Palatino Linotype"/>
          <w:b/>
          <w:bCs/>
          <w:sz w:val="22"/>
          <w:szCs w:val="22"/>
        </w:rPr>
        <w:t>créditos adquiridos con instituciones privadas</w:t>
      </w:r>
      <w:r w:rsidRPr="00972F86">
        <w:rPr>
          <w:rFonts w:ascii="Palatino Linotype" w:hAnsi="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972F86">
        <w:rPr>
          <w:rFonts w:ascii="Palatino Linotype" w:hAnsi="Palatino Linotype"/>
          <w:b/>
          <w:bCs/>
          <w:sz w:val="22"/>
          <w:szCs w:val="22"/>
        </w:rPr>
        <w:t>es información que no es de carácter público, sino que constituye información confidencial</w:t>
      </w:r>
      <w:r w:rsidRPr="00972F86">
        <w:rPr>
          <w:rFonts w:ascii="Palatino Linotype" w:hAnsi="Palatino Linotype"/>
          <w:sz w:val="22"/>
          <w:szCs w:val="22"/>
        </w:rPr>
        <w:t xml:space="preserve"> en virtud de que corresponde con decisiones personales, y por tanto, se debe clasificar.</w:t>
      </w:r>
    </w:p>
    <w:p w14:paraId="13B2A37F"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473706B1"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2508A00D"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Con relación al </w:t>
      </w:r>
      <w:r w:rsidRPr="00972F86">
        <w:rPr>
          <w:rFonts w:ascii="Palatino Linotype" w:hAnsi="Palatino Linotype"/>
          <w:b/>
          <w:bCs/>
          <w:sz w:val="22"/>
          <w:szCs w:val="22"/>
        </w:rPr>
        <w:t>número de empleado</w:t>
      </w:r>
      <w:r w:rsidRPr="00972F86">
        <w:rPr>
          <w:rFonts w:ascii="Palatino Linotype" w:hAnsi="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56F0CDD7"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6F159701" w14:textId="77777777" w:rsidR="009103F4" w:rsidRPr="00972F86" w:rsidRDefault="009103F4" w:rsidP="009103F4">
      <w:pPr>
        <w:pStyle w:val="NormalWeb"/>
        <w:spacing w:before="120" w:beforeAutospacing="0" w:after="120" w:afterAutospacing="0"/>
        <w:ind w:left="992" w:right="992"/>
        <w:jc w:val="both"/>
        <w:rPr>
          <w:sz w:val="22"/>
          <w:szCs w:val="22"/>
        </w:rPr>
      </w:pPr>
      <w:r w:rsidRPr="00972F86">
        <w:rPr>
          <w:rFonts w:ascii="Palatino Linotype" w:hAnsi="Palatino Linotype"/>
          <w:b/>
          <w:bCs/>
          <w:i/>
          <w:iCs/>
          <w:sz w:val="22"/>
          <w:szCs w:val="22"/>
        </w:rPr>
        <w:t xml:space="preserve">“Número de empleado. </w:t>
      </w:r>
      <w:r w:rsidRPr="00972F86">
        <w:rPr>
          <w:rFonts w:ascii="Palatino Linotype" w:hAnsi="Palatino Linotype"/>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A4F02C4" w14:textId="77777777" w:rsidR="009103F4" w:rsidRPr="00972F86" w:rsidRDefault="009103F4" w:rsidP="009103F4">
      <w:pPr>
        <w:pStyle w:val="NormalWeb"/>
        <w:spacing w:before="240" w:beforeAutospacing="0" w:after="240" w:afterAutospacing="0" w:line="360" w:lineRule="auto"/>
        <w:jc w:val="both"/>
        <w:rPr>
          <w:rFonts w:ascii="Palatino Linotype" w:hAnsi="Palatino Linotype"/>
          <w:sz w:val="22"/>
          <w:szCs w:val="22"/>
        </w:rPr>
      </w:pPr>
      <w:r w:rsidRPr="00972F86">
        <w:rPr>
          <w:rFonts w:ascii="Palatino Linotype" w:hAnsi="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72F86">
        <w:rPr>
          <w:rFonts w:ascii="Palatino Linotype" w:hAnsi="Palatino Linotype"/>
          <w:b/>
          <w:bCs/>
          <w:sz w:val="22"/>
          <w:szCs w:val="22"/>
        </w:rPr>
        <w:t>Sujeto Obligado</w:t>
      </w:r>
      <w:r w:rsidRPr="00972F86">
        <w:rPr>
          <w:rFonts w:ascii="Palatino Linotype" w:hAnsi="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429E75B" w14:textId="77777777" w:rsidR="009103F4" w:rsidRPr="00972F86" w:rsidRDefault="009103F4" w:rsidP="009103F4">
      <w:pPr>
        <w:pStyle w:val="NormalWeb"/>
        <w:spacing w:before="0" w:beforeAutospacing="0" w:after="0" w:afterAutospacing="0" w:line="360" w:lineRule="auto"/>
        <w:jc w:val="both"/>
        <w:rPr>
          <w:sz w:val="22"/>
          <w:szCs w:val="22"/>
        </w:rPr>
      </w:pPr>
      <w:r w:rsidRPr="00972F86">
        <w:rPr>
          <w:rFonts w:ascii="Palatino Linotype" w:hAnsi="Palatino Linotype"/>
          <w:b/>
          <w:bCs/>
          <w:sz w:val="22"/>
          <w:szCs w:val="22"/>
        </w:rPr>
        <w:lastRenderedPageBreak/>
        <w:t>De la información fiscal</w:t>
      </w:r>
      <w:r w:rsidRPr="00972F86">
        <w:rPr>
          <w:rFonts w:ascii="Palatino Linotype" w:hAnsi="Palatino Linotype"/>
          <w:sz w:val="22"/>
          <w:szCs w:val="22"/>
        </w:rPr>
        <w:t>: </w:t>
      </w:r>
    </w:p>
    <w:p w14:paraId="469D52D8" w14:textId="77777777" w:rsidR="009103F4" w:rsidRPr="00972F86" w:rsidRDefault="009103F4" w:rsidP="009103F4">
      <w:pPr>
        <w:spacing w:line="360" w:lineRule="auto"/>
        <w:rPr>
          <w:sz w:val="22"/>
          <w:szCs w:val="22"/>
        </w:rPr>
      </w:pPr>
    </w:p>
    <w:p w14:paraId="1C7FF892" w14:textId="77777777" w:rsidR="009103F4" w:rsidRPr="00972F86" w:rsidRDefault="009103F4" w:rsidP="009103F4">
      <w:pPr>
        <w:pStyle w:val="NormalWeb"/>
        <w:spacing w:before="0" w:beforeAutospacing="0" w:after="0" w:afterAutospacing="0" w:line="360" w:lineRule="auto"/>
        <w:jc w:val="both"/>
        <w:rPr>
          <w:sz w:val="22"/>
          <w:szCs w:val="22"/>
        </w:rPr>
      </w:pPr>
      <w:r w:rsidRPr="00972F86">
        <w:rPr>
          <w:rFonts w:ascii="Palatino Linotype" w:hAnsi="Palatino Linotype"/>
          <w:sz w:val="22"/>
          <w:szCs w:val="22"/>
        </w:rPr>
        <w:t xml:space="preserve">La </w:t>
      </w:r>
      <w:r w:rsidRPr="00972F86">
        <w:rPr>
          <w:rFonts w:ascii="Palatino Linotype" w:hAnsi="Palatino Linotype"/>
          <w:b/>
          <w:bCs/>
          <w:sz w:val="22"/>
          <w:szCs w:val="22"/>
        </w:rPr>
        <w:t>Cadena Original</w:t>
      </w:r>
      <w:r w:rsidRPr="00972F86">
        <w:rPr>
          <w:rFonts w:ascii="Palatino Linotype" w:hAnsi="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72F86">
        <w:rPr>
          <w:rFonts w:ascii="Palatino Linotype" w:hAnsi="Palatino Linotype"/>
          <w:b/>
          <w:bCs/>
          <w:sz w:val="22"/>
          <w:szCs w:val="22"/>
        </w:rPr>
        <w:t>Sujeto Obligado</w:t>
      </w:r>
      <w:r w:rsidRPr="00972F86">
        <w:rPr>
          <w:rFonts w:ascii="Palatino Linotype" w:hAnsi="Palatino Linotype"/>
          <w:sz w:val="22"/>
          <w:szCs w:val="22"/>
        </w:rPr>
        <w:t xml:space="preserve"> analizar dicha circunstancia con la finalidad de proteger, de ser el caso, la información a través de su clasificación por actualizarse el supuesto de confidencialidad.</w:t>
      </w:r>
    </w:p>
    <w:p w14:paraId="746FB32E" w14:textId="77777777" w:rsidR="009103F4" w:rsidRPr="00972F86" w:rsidRDefault="009103F4" w:rsidP="009103F4">
      <w:pPr>
        <w:spacing w:line="360" w:lineRule="auto"/>
        <w:rPr>
          <w:sz w:val="22"/>
          <w:szCs w:val="22"/>
        </w:rPr>
      </w:pPr>
    </w:p>
    <w:p w14:paraId="7C39EA1D" w14:textId="77777777" w:rsidR="009103F4" w:rsidRPr="00972F86" w:rsidRDefault="009103F4" w:rsidP="009103F4">
      <w:pPr>
        <w:pStyle w:val="NormalWeb"/>
        <w:spacing w:before="0" w:beforeAutospacing="0" w:after="0" w:afterAutospacing="0" w:line="360" w:lineRule="auto"/>
        <w:jc w:val="both"/>
        <w:rPr>
          <w:sz w:val="22"/>
          <w:szCs w:val="22"/>
        </w:rPr>
      </w:pPr>
      <w:r w:rsidRPr="00972F86">
        <w:rPr>
          <w:rFonts w:ascii="Palatino Linotype" w:hAnsi="Palatino Linotype"/>
          <w:sz w:val="22"/>
          <w:szCs w:val="22"/>
        </w:rPr>
        <w:t xml:space="preserve">Los </w:t>
      </w:r>
      <w:r w:rsidRPr="00972F86">
        <w:rPr>
          <w:rFonts w:ascii="Palatino Linotype" w:hAnsi="Palatino Linotype"/>
          <w:b/>
          <w:bCs/>
          <w:sz w:val="22"/>
          <w:szCs w:val="22"/>
        </w:rPr>
        <w:t>códigos bidimensionales</w:t>
      </w:r>
      <w:r w:rsidRPr="00972F86">
        <w:rPr>
          <w:rFonts w:ascii="Palatino Linotype" w:hAnsi="Palatino Linotype"/>
          <w:sz w:val="22"/>
          <w:szCs w:val="22"/>
        </w:rPr>
        <w:t xml:space="preserve"> o </w:t>
      </w:r>
      <w:r w:rsidRPr="00972F86">
        <w:rPr>
          <w:rFonts w:ascii="Palatino Linotype" w:hAnsi="Palatino Linotype"/>
          <w:b/>
          <w:bCs/>
          <w:sz w:val="22"/>
          <w:szCs w:val="22"/>
        </w:rPr>
        <w:t xml:space="preserve">códigos QR, </w:t>
      </w:r>
      <w:r w:rsidRPr="00972F86">
        <w:rPr>
          <w:rFonts w:ascii="Palatino Linotype" w:hAnsi="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72F86">
        <w:rPr>
          <w:rFonts w:ascii="Palatino Linotype" w:hAnsi="Palatino Linotype"/>
          <w:b/>
          <w:bCs/>
          <w:sz w:val="22"/>
          <w:szCs w:val="22"/>
        </w:rPr>
        <w:t xml:space="preserve">Sujeto Obligado </w:t>
      </w:r>
      <w:r w:rsidRPr="00972F86">
        <w:rPr>
          <w:rFonts w:ascii="Palatino Linotype" w:hAnsi="Palatino Linotype"/>
          <w:sz w:val="22"/>
          <w:szCs w:val="22"/>
        </w:rPr>
        <w:t>analizar dicha circunstancia con la finalidad de determinar si se actualiza algún supuesto de confidencialidad.</w:t>
      </w:r>
    </w:p>
    <w:p w14:paraId="54D744DC" w14:textId="77777777" w:rsidR="009103F4" w:rsidRPr="00972F86" w:rsidRDefault="009103F4" w:rsidP="009103F4">
      <w:pPr>
        <w:spacing w:line="360" w:lineRule="auto"/>
        <w:rPr>
          <w:sz w:val="22"/>
          <w:szCs w:val="22"/>
        </w:rPr>
      </w:pPr>
    </w:p>
    <w:p w14:paraId="61797C2B" w14:textId="77777777" w:rsidR="009103F4" w:rsidRPr="00972F86" w:rsidRDefault="009103F4" w:rsidP="009103F4">
      <w:pPr>
        <w:pStyle w:val="NormalWeb"/>
        <w:spacing w:before="0" w:beforeAutospacing="0" w:after="0" w:afterAutospacing="0" w:line="360" w:lineRule="auto"/>
        <w:jc w:val="both"/>
        <w:rPr>
          <w:rFonts w:ascii="Palatino Linotype" w:hAnsi="Palatino Linotype"/>
          <w:sz w:val="22"/>
          <w:szCs w:val="22"/>
        </w:rPr>
      </w:pPr>
      <w:r w:rsidRPr="00972F86">
        <w:rPr>
          <w:rFonts w:ascii="Palatino Linotype" w:hAnsi="Palatino Linotype"/>
          <w:sz w:val="22"/>
          <w:szCs w:val="22"/>
        </w:rPr>
        <w:t xml:space="preserve">En tal sentido, si derivado del análisis efectuado por </w:t>
      </w:r>
      <w:r w:rsidRPr="00972F86">
        <w:rPr>
          <w:rFonts w:ascii="Palatino Linotype" w:hAnsi="Palatino Linotype"/>
          <w:b/>
          <w:bCs/>
          <w:sz w:val="22"/>
          <w:szCs w:val="22"/>
        </w:rPr>
        <w:t xml:space="preserve">Sujeto Obligado </w:t>
      </w:r>
      <w:r w:rsidRPr="00972F86">
        <w:rPr>
          <w:rFonts w:ascii="Palatino Linotype" w:hAnsi="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2821EF12" w14:textId="7AD617B2" w:rsidR="009103F4" w:rsidRPr="00972F86" w:rsidRDefault="009103F4" w:rsidP="009103F4">
      <w:pPr>
        <w:spacing w:line="360" w:lineRule="auto"/>
        <w:jc w:val="both"/>
        <w:rPr>
          <w:rFonts w:ascii="Palatino Linotype" w:eastAsia="Palatino Linotype" w:hAnsi="Palatino Linotype" w:cs="Palatino Linotype"/>
          <w:sz w:val="22"/>
          <w:szCs w:val="22"/>
        </w:rPr>
      </w:pPr>
    </w:p>
    <w:p w14:paraId="38DD4933" w14:textId="77777777" w:rsidR="009103F4" w:rsidRPr="00972F86" w:rsidRDefault="009103F4" w:rsidP="009103F4">
      <w:pPr>
        <w:pStyle w:val="NormalWeb"/>
        <w:spacing w:before="0" w:beforeAutospacing="0" w:after="0" w:afterAutospacing="0" w:line="360" w:lineRule="auto"/>
        <w:jc w:val="both"/>
        <w:rPr>
          <w:sz w:val="22"/>
          <w:szCs w:val="22"/>
        </w:rPr>
      </w:pPr>
      <w:r w:rsidRPr="00972F86">
        <w:rPr>
          <w:rFonts w:ascii="Palatino Linotype" w:eastAsia="Palatino Linotype" w:hAnsi="Palatino Linotype" w:cs="Palatino Linotype"/>
          <w:sz w:val="22"/>
          <w:szCs w:val="22"/>
        </w:rPr>
        <w:t xml:space="preserve">En cuanto a la </w:t>
      </w:r>
      <w:r w:rsidRPr="00972F86">
        <w:rPr>
          <w:rFonts w:ascii="Palatino Linotype" w:eastAsia="Palatino Linotype" w:hAnsi="Palatino Linotype" w:cs="Palatino Linotype"/>
          <w:b/>
          <w:sz w:val="22"/>
          <w:szCs w:val="22"/>
          <w:u w:val="single"/>
        </w:rPr>
        <w:t>Firma de servidores públicos</w:t>
      </w:r>
      <w:r w:rsidRPr="00972F86">
        <w:rPr>
          <w:rFonts w:ascii="Palatino Linotype" w:eastAsia="Palatino Linotype" w:hAnsi="Palatino Linotype" w:cs="Palatino Linotype"/>
          <w:sz w:val="22"/>
          <w:szCs w:val="22"/>
        </w:rPr>
        <w:t xml:space="preserve">, contenidas en los recibos de nómina, si bien, </w:t>
      </w:r>
      <w:r w:rsidRPr="00972F86">
        <w:rPr>
          <w:rFonts w:ascii="Palatino Linotype" w:hAnsi="Palatino Linotype"/>
          <w:sz w:val="22"/>
          <w:szCs w:val="22"/>
        </w:rPr>
        <w:t>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r w:rsidRPr="00972F86">
        <w:rPr>
          <w:rFonts w:ascii="Palatino Linotype" w:hAnsi="Palatino Linotype"/>
          <w:b/>
          <w:sz w:val="22"/>
          <w:szCs w:val="22"/>
          <w:u w:val="single"/>
        </w:rPr>
        <w:t xml:space="preserve">, sin embargo, en el caso de los </w:t>
      </w:r>
      <w:r w:rsidRPr="00972F86">
        <w:rPr>
          <w:rFonts w:ascii="Palatino Linotype" w:hAnsi="Palatino Linotype"/>
          <w:b/>
          <w:sz w:val="22"/>
          <w:szCs w:val="22"/>
          <w:u w:val="single"/>
        </w:rPr>
        <w:lastRenderedPageBreak/>
        <w:t>servidores públicos,</w:t>
      </w:r>
      <w:r w:rsidRPr="00972F86">
        <w:rPr>
          <w:rFonts w:ascii="Palatino Linotype" w:hAnsi="Palatino Linotype"/>
          <w:sz w:val="22"/>
          <w:szCs w:val="22"/>
        </w:rPr>
        <w:t xml:space="preserve"> dicho dato es público cuando, en ejercicio de las atribuciones que les fueron conferidas, emiten un acto de autoridad, siendo la firma el medio por el cual se le da validez a dicho acto.</w:t>
      </w:r>
    </w:p>
    <w:p w14:paraId="1C4E0431" w14:textId="77777777" w:rsidR="009103F4" w:rsidRPr="00972F86" w:rsidRDefault="009103F4" w:rsidP="009103F4">
      <w:pPr>
        <w:spacing w:line="360" w:lineRule="auto"/>
        <w:rPr>
          <w:sz w:val="22"/>
          <w:szCs w:val="22"/>
        </w:rPr>
      </w:pPr>
    </w:p>
    <w:p w14:paraId="78039D65" w14:textId="77777777" w:rsidR="009103F4" w:rsidRPr="00972F86" w:rsidRDefault="009103F4" w:rsidP="009103F4">
      <w:pPr>
        <w:pStyle w:val="NormalWeb"/>
        <w:spacing w:before="0" w:beforeAutospacing="0" w:after="0" w:afterAutospacing="0" w:line="360" w:lineRule="auto"/>
        <w:jc w:val="both"/>
        <w:rPr>
          <w:sz w:val="22"/>
          <w:szCs w:val="22"/>
        </w:rPr>
      </w:pPr>
      <w:r w:rsidRPr="00972F86">
        <w:rPr>
          <w:rFonts w:ascii="Palatino Linotype" w:hAnsi="Palatino Linotype"/>
          <w:sz w:val="22"/>
          <w:szCs w:val="22"/>
        </w:rPr>
        <w:t>Robustece lo anterior el criterio orientador 02-19 emitido por el entonces Instituto Nacional de Transparencia, Acceso a la Información y Protección de Datos Personales, INAI, el cual refiere:</w:t>
      </w:r>
    </w:p>
    <w:p w14:paraId="3DBA247A" w14:textId="77777777" w:rsidR="009103F4" w:rsidRPr="00972F86" w:rsidRDefault="009103F4" w:rsidP="009103F4">
      <w:pPr>
        <w:rPr>
          <w:sz w:val="22"/>
          <w:szCs w:val="22"/>
        </w:rPr>
      </w:pPr>
    </w:p>
    <w:p w14:paraId="29162EAB" w14:textId="77777777" w:rsidR="009103F4" w:rsidRPr="00972F86" w:rsidRDefault="009103F4" w:rsidP="009103F4">
      <w:pPr>
        <w:pStyle w:val="NormalWeb"/>
        <w:spacing w:before="0" w:beforeAutospacing="0" w:after="0" w:afterAutospacing="0"/>
        <w:ind w:left="567" w:right="-7"/>
        <w:jc w:val="both"/>
        <w:rPr>
          <w:rFonts w:ascii="Palatino Linotype" w:hAnsi="Palatino Linotype"/>
          <w:i/>
          <w:iCs/>
          <w:sz w:val="22"/>
          <w:szCs w:val="22"/>
        </w:rPr>
      </w:pPr>
      <w:r w:rsidRPr="00972F86">
        <w:rPr>
          <w:rFonts w:ascii="Palatino Linotype" w:hAnsi="Palatino Linotype"/>
          <w:i/>
          <w:iCs/>
          <w:sz w:val="22"/>
          <w:szCs w:val="22"/>
        </w:rPr>
        <w:t>“</w:t>
      </w:r>
      <w:r w:rsidRPr="00972F86">
        <w:rPr>
          <w:rFonts w:ascii="Palatino Linotype" w:hAnsi="Palatino Linotype"/>
          <w:b/>
          <w:bCs/>
          <w:i/>
          <w:iCs/>
          <w:sz w:val="22"/>
          <w:szCs w:val="22"/>
        </w:rPr>
        <w:t>Firma y rúbrica de servidores públicos.</w:t>
      </w:r>
      <w:r w:rsidRPr="00972F86">
        <w:rPr>
          <w:rFonts w:ascii="Palatino Linotype" w:hAnsi="Palatino Linotype"/>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3092180" w14:textId="77777777" w:rsidR="009103F4" w:rsidRPr="00972F86" w:rsidRDefault="009103F4" w:rsidP="009103F4">
      <w:pPr>
        <w:pStyle w:val="NormalWeb"/>
        <w:spacing w:before="0" w:beforeAutospacing="0" w:after="0" w:afterAutospacing="0"/>
        <w:ind w:right="-7"/>
        <w:jc w:val="both"/>
        <w:rPr>
          <w:rFonts w:ascii="Palatino Linotype" w:hAnsi="Palatino Linotype"/>
          <w:i/>
          <w:iCs/>
          <w:sz w:val="22"/>
          <w:szCs w:val="22"/>
        </w:rPr>
      </w:pPr>
    </w:p>
    <w:p w14:paraId="2056FB00" w14:textId="77777777" w:rsidR="009103F4" w:rsidRPr="00972F86" w:rsidRDefault="009103F4" w:rsidP="009103F4">
      <w:pPr>
        <w:pStyle w:val="NormalWeb"/>
        <w:spacing w:before="0" w:beforeAutospacing="0" w:after="0" w:afterAutospacing="0"/>
        <w:ind w:right="-7"/>
        <w:jc w:val="both"/>
        <w:rPr>
          <w:sz w:val="22"/>
          <w:szCs w:val="22"/>
        </w:rPr>
      </w:pPr>
      <w:r w:rsidRPr="00972F86">
        <w:rPr>
          <w:rFonts w:ascii="Palatino Linotype" w:hAnsi="Palatino Linotype"/>
          <w:iCs/>
          <w:sz w:val="22"/>
          <w:szCs w:val="22"/>
        </w:rPr>
        <w:t>Por lo que en caso de plasmarse en recibos de nómina, no procede su clasificación.</w:t>
      </w:r>
    </w:p>
    <w:p w14:paraId="43E7FE20" w14:textId="77777777" w:rsidR="009103F4" w:rsidRPr="00972F86" w:rsidRDefault="009103F4" w:rsidP="009103F4">
      <w:pPr>
        <w:pStyle w:val="NormalWeb"/>
        <w:spacing w:before="0" w:beforeAutospacing="0" w:after="0" w:afterAutospacing="0"/>
        <w:jc w:val="both"/>
        <w:rPr>
          <w:sz w:val="22"/>
          <w:szCs w:val="22"/>
        </w:rPr>
      </w:pPr>
    </w:p>
    <w:p w14:paraId="360CE446"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72F86">
        <w:rPr>
          <w:rFonts w:ascii="Palatino Linotype" w:hAnsi="Palatino Linotype"/>
          <w:b/>
          <w:bCs/>
          <w:sz w:val="22"/>
          <w:szCs w:val="22"/>
          <w:u w:val="single"/>
        </w:rPr>
        <w:t>razones, motivos o circunstancias especiales</w:t>
      </w:r>
      <w:r w:rsidRPr="00972F86">
        <w:rPr>
          <w:rFonts w:ascii="Palatino Linotype" w:hAnsi="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279E1252" w14:textId="77777777" w:rsidR="009103F4" w:rsidRPr="00972F86" w:rsidRDefault="009103F4" w:rsidP="009103F4">
      <w:pPr>
        <w:pStyle w:val="NormalWeb"/>
        <w:spacing w:before="240" w:beforeAutospacing="0" w:after="240" w:afterAutospacing="0" w:line="360" w:lineRule="auto"/>
        <w:ind w:right="50"/>
        <w:jc w:val="both"/>
        <w:rPr>
          <w:sz w:val="22"/>
          <w:szCs w:val="22"/>
        </w:rPr>
      </w:pPr>
      <w:r w:rsidRPr="00972F86">
        <w:rPr>
          <w:rFonts w:ascii="Palatino Linotype" w:hAnsi="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w:t>
      </w:r>
      <w:r w:rsidRPr="00972F86">
        <w:rPr>
          <w:rFonts w:ascii="Palatino Linotype" w:hAnsi="Palatino Linotype"/>
          <w:sz w:val="22"/>
          <w:szCs w:val="22"/>
        </w:rPr>
        <w:lastRenderedPageBreak/>
        <w:t>Obligado, sino que ello deberá realizarse en términos de lo que disponen los artículos 49 fracción VIII, 53, fracción X y 59, fracción V, de la Ley en consulta, cuyo sentido literal es el siguiente:</w:t>
      </w:r>
    </w:p>
    <w:p w14:paraId="763192CD"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“Artículo 49.</w:t>
      </w:r>
      <w:r w:rsidRPr="00972F86">
        <w:rPr>
          <w:rFonts w:ascii="Palatino Linotype" w:hAnsi="Palatino Linotype"/>
          <w:i/>
          <w:iCs/>
          <w:sz w:val="22"/>
          <w:szCs w:val="22"/>
        </w:rPr>
        <w:t xml:space="preserve"> </w:t>
      </w:r>
      <w:r w:rsidRPr="00972F86">
        <w:rPr>
          <w:rFonts w:ascii="Palatino Linotype" w:hAnsi="Palatino Linotype"/>
          <w:b/>
          <w:bCs/>
          <w:i/>
          <w:iCs/>
          <w:sz w:val="22"/>
          <w:szCs w:val="22"/>
        </w:rPr>
        <w:t>Los Comités de Transparencia</w:t>
      </w:r>
      <w:r w:rsidRPr="00972F86">
        <w:rPr>
          <w:rFonts w:ascii="Palatino Linotype" w:hAnsi="Palatino Linotype"/>
          <w:i/>
          <w:iCs/>
          <w:sz w:val="22"/>
          <w:szCs w:val="22"/>
        </w:rPr>
        <w:t xml:space="preserve"> tendrán las siguientes atribuciones:</w:t>
      </w:r>
    </w:p>
    <w:p w14:paraId="66D9B975"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VIII. Aprobar, modificar o revocar la clasificación de la información</w:t>
      </w:r>
      <w:r w:rsidRPr="00972F86">
        <w:rPr>
          <w:rFonts w:ascii="Palatino Linotype" w:hAnsi="Palatino Linotype"/>
          <w:i/>
          <w:iCs/>
          <w:sz w:val="22"/>
          <w:szCs w:val="22"/>
        </w:rPr>
        <w:t>…”</w:t>
      </w:r>
    </w:p>
    <w:p w14:paraId="49ACA86D"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w:t>
      </w:r>
      <w:r w:rsidRPr="00972F86">
        <w:rPr>
          <w:rFonts w:ascii="Palatino Linotype" w:hAnsi="Palatino Linotype"/>
          <w:b/>
          <w:bCs/>
          <w:i/>
          <w:iCs/>
          <w:sz w:val="22"/>
          <w:szCs w:val="22"/>
        </w:rPr>
        <w:t>Artículo 53.</w:t>
      </w:r>
      <w:r w:rsidRPr="00972F86">
        <w:rPr>
          <w:rFonts w:ascii="Palatino Linotype" w:hAnsi="Palatino Linotype"/>
          <w:i/>
          <w:iCs/>
          <w:sz w:val="22"/>
          <w:szCs w:val="22"/>
        </w:rPr>
        <w:t xml:space="preserve"> Las </w:t>
      </w:r>
      <w:r w:rsidRPr="00972F86">
        <w:rPr>
          <w:rFonts w:ascii="Palatino Linotype" w:hAnsi="Palatino Linotype"/>
          <w:b/>
          <w:bCs/>
          <w:i/>
          <w:iCs/>
          <w:sz w:val="22"/>
          <w:szCs w:val="22"/>
        </w:rPr>
        <w:t>Unidades de Transparencia</w:t>
      </w:r>
      <w:r w:rsidRPr="00972F86">
        <w:rPr>
          <w:rFonts w:ascii="Palatino Linotype" w:hAnsi="Palatino Linotype"/>
          <w:i/>
          <w:iCs/>
          <w:sz w:val="22"/>
          <w:szCs w:val="22"/>
        </w:rPr>
        <w:t xml:space="preserve"> tendrán las siguientes </w:t>
      </w:r>
      <w:r w:rsidRPr="00972F86">
        <w:rPr>
          <w:rFonts w:ascii="Palatino Linotype" w:hAnsi="Palatino Linotype"/>
          <w:b/>
          <w:bCs/>
          <w:i/>
          <w:iCs/>
          <w:sz w:val="22"/>
          <w:szCs w:val="22"/>
        </w:rPr>
        <w:t>funciones</w:t>
      </w:r>
      <w:r w:rsidRPr="00972F86">
        <w:rPr>
          <w:rFonts w:ascii="Palatino Linotype" w:hAnsi="Palatino Linotype"/>
          <w:i/>
          <w:iCs/>
          <w:sz w:val="22"/>
          <w:szCs w:val="22"/>
        </w:rPr>
        <w:t>:</w:t>
      </w:r>
    </w:p>
    <w:p w14:paraId="7FC63F27"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X. Presentar ante el Comité, el proyecto de clasificación de información</w:t>
      </w:r>
      <w:r w:rsidRPr="00972F86">
        <w:rPr>
          <w:rFonts w:ascii="Palatino Linotype" w:hAnsi="Palatino Linotype"/>
          <w:i/>
          <w:iCs/>
          <w:sz w:val="22"/>
          <w:szCs w:val="22"/>
        </w:rPr>
        <w:t>…” </w:t>
      </w:r>
    </w:p>
    <w:p w14:paraId="7371A809"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“Artículo 59.</w:t>
      </w:r>
      <w:r w:rsidRPr="00972F86">
        <w:rPr>
          <w:rFonts w:ascii="Palatino Linotype" w:hAnsi="Palatino Linotype"/>
          <w:i/>
          <w:iCs/>
          <w:sz w:val="22"/>
          <w:szCs w:val="22"/>
        </w:rPr>
        <w:t xml:space="preserve"> Los </w:t>
      </w:r>
      <w:r w:rsidRPr="00972F86">
        <w:rPr>
          <w:rFonts w:ascii="Palatino Linotype" w:hAnsi="Palatino Linotype"/>
          <w:b/>
          <w:bCs/>
          <w:i/>
          <w:iCs/>
          <w:sz w:val="22"/>
          <w:szCs w:val="22"/>
        </w:rPr>
        <w:t>servidores públicos habilitados</w:t>
      </w:r>
      <w:r w:rsidRPr="00972F86">
        <w:rPr>
          <w:rFonts w:ascii="Palatino Linotype" w:hAnsi="Palatino Linotype"/>
          <w:i/>
          <w:iCs/>
          <w:sz w:val="22"/>
          <w:szCs w:val="22"/>
        </w:rPr>
        <w:t xml:space="preserve"> tendrán las </w:t>
      </w:r>
      <w:r w:rsidRPr="00972F86">
        <w:rPr>
          <w:rFonts w:ascii="Palatino Linotype" w:hAnsi="Palatino Linotype"/>
          <w:b/>
          <w:bCs/>
          <w:i/>
          <w:iCs/>
          <w:sz w:val="22"/>
          <w:szCs w:val="22"/>
        </w:rPr>
        <w:t>funciones</w:t>
      </w:r>
      <w:r w:rsidRPr="00972F86">
        <w:rPr>
          <w:rFonts w:ascii="Palatino Linotype" w:hAnsi="Palatino Linotype"/>
          <w:i/>
          <w:iCs/>
          <w:sz w:val="22"/>
          <w:szCs w:val="22"/>
        </w:rPr>
        <w:t xml:space="preserve"> siguientes:</w:t>
      </w:r>
    </w:p>
    <w:p w14:paraId="6A485E9F"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V. Integrar y presentar al responsable de la Unidad de Transparencia la propuesta de clasificación de información</w:t>
      </w:r>
      <w:r w:rsidRPr="00972F86">
        <w:rPr>
          <w:rFonts w:ascii="Palatino Linotype" w:hAnsi="Palatino Linotype"/>
          <w:i/>
          <w:iCs/>
          <w:sz w:val="22"/>
          <w:szCs w:val="22"/>
        </w:rPr>
        <w:t>, la cual tendrá los fundamentos y argumentos en que se basa dicha propuesta…”</w:t>
      </w:r>
    </w:p>
    <w:p w14:paraId="7562F59E"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07591E7"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Para lo cual, a su vez en el caso de información de carácter confidencial, se debe atender a lo que señala el artículo 149 de la Ley de Transparencia Local vigente, que se lee como sigue:</w:t>
      </w:r>
    </w:p>
    <w:p w14:paraId="696B2D26"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w:t>
      </w:r>
      <w:r w:rsidRPr="00972F86">
        <w:rPr>
          <w:rFonts w:ascii="Palatino Linotype" w:hAnsi="Palatino Linotype"/>
          <w:b/>
          <w:bCs/>
          <w:i/>
          <w:iCs/>
          <w:sz w:val="22"/>
          <w:szCs w:val="22"/>
        </w:rPr>
        <w:t>Artículo 149.</w:t>
      </w:r>
      <w:r w:rsidRPr="00972F86">
        <w:rPr>
          <w:rFonts w:ascii="Palatino Linotype" w:hAnsi="Palatino Linotype"/>
          <w:i/>
          <w:iCs/>
          <w:sz w:val="22"/>
          <w:szCs w:val="22"/>
        </w:rPr>
        <w:t xml:space="preserve"> El </w:t>
      </w:r>
      <w:r w:rsidRPr="00972F86">
        <w:rPr>
          <w:rFonts w:ascii="Palatino Linotype" w:hAnsi="Palatino Linotype"/>
          <w:b/>
          <w:bCs/>
          <w:i/>
          <w:iCs/>
          <w:sz w:val="22"/>
          <w:szCs w:val="22"/>
        </w:rPr>
        <w:t>acuerdo que clasifique la información como confidencial</w:t>
      </w:r>
      <w:r w:rsidRPr="00972F86">
        <w:rPr>
          <w:rFonts w:ascii="Palatino Linotype" w:hAnsi="Palatino Linotype"/>
          <w:i/>
          <w:iCs/>
          <w:sz w:val="22"/>
          <w:szCs w:val="22"/>
        </w:rPr>
        <w:t xml:space="preserve"> deberá contener un razonamiento lógico en el que demuestre que la información se encuentra en alguna o algunas de las hipótesis previstas en la presente Ley.” </w:t>
      </w:r>
    </w:p>
    <w:p w14:paraId="4FAFE9BD" w14:textId="77777777" w:rsidR="009103F4" w:rsidRPr="00972F86" w:rsidRDefault="009103F4" w:rsidP="009103F4">
      <w:pPr>
        <w:pStyle w:val="NormalWeb"/>
        <w:spacing w:before="240" w:beforeAutospacing="0" w:after="240" w:afterAutospacing="0" w:line="360" w:lineRule="auto"/>
        <w:ind w:right="51"/>
        <w:jc w:val="both"/>
        <w:rPr>
          <w:sz w:val="22"/>
          <w:szCs w:val="22"/>
        </w:rPr>
      </w:pPr>
      <w:r w:rsidRPr="00972F86">
        <w:rPr>
          <w:rFonts w:ascii="Palatino Linotype" w:hAnsi="Palatino Linotype"/>
          <w:sz w:val="22"/>
          <w:szCs w:val="22"/>
        </w:rPr>
        <w:t xml:space="preserve">Es decir, el </w:t>
      </w:r>
      <w:r w:rsidRPr="00972F86">
        <w:rPr>
          <w:rFonts w:ascii="Palatino Linotype" w:hAnsi="Palatino Linotype"/>
          <w:b/>
          <w:bCs/>
          <w:sz w:val="22"/>
          <w:szCs w:val="22"/>
        </w:rPr>
        <w:t>Sujeto Obligado</w:t>
      </w:r>
      <w:r w:rsidRPr="00972F86">
        <w:rPr>
          <w:rFonts w:ascii="Palatino Linotype" w:hAnsi="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972F86">
        <w:rPr>
          <w:rFonts w:ascii="Palatino Linotype" w:hAnsi="Palatino Linotype"/>
          <w:sz w:val="22"/>
          <w:szCs w:val="22"/>
        </w:rPr>
        <w:lastRenderedPageBreak/>
        <w:t>versión pública de la documentación entregada se estaría violentando el derecho de acceso a la información de la persona solicitante.</w:t>
      </w:r>
    </w:p>
    <w:p w14:paraId="2AA6D6D2" w14:textId="77777777" w:rsidR="009103F4" w:rsidRPr="00972F86" w:rsidRDefault="009103F4" w:rsidP="009103F4">
      <w:pPr>
        <w:pStyle w:val="NormalWeb"/>
        <w:spacing w:before="240" w:beforeAutospacing="0" w:after="240" w:afterAutospacing="0" w:line="360" w:lineRule="auto"/>
        <w:ind w:right="51"/>
        <w:jc w:val="both"/>
        <w:rPr>
          <w:sz w:val="22"/>
          <w:szCs w:val="22"/>
        </w:rPr>
      </w:pPr>
      <w:r w:rsidRPr="00972F86">
        <w:rPr>
          <w:rFonts w:ascii="Palatino Linotype" w:hAnsi="Palatino Linotype"/>
          <w:sz w:val="22"/>
          <w:szCs w:val="22"/>
        </w:rPr>
        <w:t xml:space="preserve">Asimismo, respecto a las formalidades que deberá llevar el acuerdo de clasificación que deberá emitir el </w:t>
      </w:r>
      <w:r w:rsidRPr="00972F86">
        <w:rPr>
          <w:rFonts w:ascii="Palatino Linotype" w:hAnsi="Palatino Linotype"/>
          <w:b/>
          <w:bCs/>
          <w:sz w:val="22"/>
          <w:szCs w:val="22"/>
        </w:rPr>
        <w:t>Sujeto Obligado</w:t>
      </w:r>
      <w:r w:rsidRPr="00972F86">
        <w:rPr>
          <w:rFonts w:ascii="Palatino Linotype" w:hAnsi="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5D8C03FD"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 xml:space="preserve"> “Quincuagésimo. </w:t>
      </w:r>
      <w:r w:rsidRPr="00972F86">
        <w:rPr>
          <w:rFonts w:ascii="Palatino Linotype" w:hAnsi="Palatino Linotype"/>
          <w:i/>
          <w:iCs/>
          <w:sz w:val="22"/>
          <w:szCs w:val="22"/>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F81E89C"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 xml:space="preserve">Quincuagésimo primero. </w:t>
      </w:r>
      <w:r w:rsidRPr="00972F86">
        <w:rPr>
          <w:rFonts w:ascii="Palatino Linotype" w:hAnsi="Palatino Linotype"/>
          <w:i/>
          <w:iCs/>
          <w:sz w:val="22"/>
          <w:szCs w:val="22"/>
        </w:rPr>
        <w:t>Toda acta del Comité de Transparencia deberá contener: </w:t>
      </w:r>
    </w:p>
    <w:p w14:paraId="15C59180"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xml:space="preserve"> El número de sesión y fecha; </w:t>
      </w:r>
    </w:p>
    <w:p w14:paraId="576B9365"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w:t>
      </w:r>
      <w:r w:rsidRPr="00972F86">
        <w:rPr>
          <w:rFonts w:ascii="Palatino Linotype" w:hAnsi="Palatino Linotype"/>
          <w:i/>
          <w:iCs/>
          <w:sz w:val="22"/>
          <w:szCs w:val="22"/>
        </w:rPr>
        <w:t>. El nombre del área que solicitó la clasificación de información; </w:t>
      </w:r>
    </w:p>
    <w:p w14:paraId="550276DC"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III</w:t>
      </w:r>
      <w:r w:rsidRPr="00972F86">
        <w:rPr>
          <w:rFonts w:ascii="Palatino Linotype" w:hAnsi="Palatino Linotype"/>
          <w:i/>
          <w:iCs/>
          <w:sz w:val="22"/>
          <w:szCs w:val="22"/>
        </w:rPr>
        <w:t>. La fundamentación legal y motivación correspondiente; </w:t>
      </w:r>
    </w:p>
    <w:p w14:paraId="5A96C8B6"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IV</w:t>
      </w:r>
      <w:r w:rsidRPr="00972F86">
        <w:rPr>
          <w:rFonts w:ascii="Palatino Linotype" w:hAnsi="Palatino Linotype"/>
          <w:i/>
          <w:iCs/>
          <w:sz w:val="22"/>
          <w:szCs w:val="22"/>
        </w:rPr>
        <w:t>. La resolución o resoluciones aprobadas; y </w:t>
      </w:r>
    </w:p>
    <w:p w14:paraId="659ED272"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V</w:t>
      </w:r>
      <w:r w:rsidRPr="00972F86">
        <w:rPr>
          <w:rFonts w:ascii="Palatino Linotype" w:hAnsi="Palatino Linotype"/>
          <w:i/>
          <w:iCs/>
          <w:sz w:val="22"/>
          <w:szCs w:val="22"/>
        </w:rPr>
        <w:t>. La rúbrica o firma digital de cada integrante del Comité de Transparencia. </w:t>
      </w:r>
    </w:p>
    <w:p w14:paraId="18FC4193"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Las resoluciones del Comité en las que se haya determinado confirmar o modificar la clasificación de información pública como reservada, deberán incluir, cuando menos: </w:t>
      </w:r>
    </w:p>
    <w:p w14:paraId="206C55EF"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xml:space="preserve"> Los motivos y razonamientos que sustenten la confirmación o modificación de la prueba de daño;</w:t>
      </w:r>
    </w:p>
    <w:p w14:paraId="772967C5"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w:t>
      </w:r>
      <w:r w:rsidRPr="00972F86">
        <w:rPr>
          <w:rFonts w:ascii="Palatino Linotype" w:hAnsi="Palatino Linotype"/>
          <w:i/>
          <w:iCs/>
          <w:sz w:val="22"/>
          <w:szCs w:val="22"/>
        </w:rPr>
        <w:t>. Descripción de las partes o secciones reservadas, en caso de clasificación parcial</w:t>
      </w:r>
      <w:r w:rsidRPr="00972F86">
        <w:rPr>
          <w:rFonts w:ascii="Palatino Linotype" w:hAnsi="Palatino Linotype"/>
          <w:b/>
          <w:bCs/>
          <w:i/>
          <w:iCs/>
          <w:sz w:val="22"/>
          <w:szCs w:val="22"/>
        </w:rPr>
        <w:t>; </w:t>
      </w:r>
    </w:p>
    <w:p w14:paraId="0A7EE861"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III.</w:t>
      </w:r>
      <w:r w:rsidRPr="00972F86">
        <w:rPr>
          <w:rFonts w:ascii="Palatino Linotype" w:hAnsi="Palatino Linotype"/>
          <w:i/>
          <w:iCs/>
          <w:sz w:val="22"/>
          <w:szCs w:val="22"/>
        </w:rPr>
        <w:t xml:space="preserve"> El periodo por el que mantendrá su clasificación y fecha de expiración; y </w:t>
      </w:r>
    </w:p>
    <w:p w14:paraId="41A595CC"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IV.</w:t>
      </w:r>
      <w:r w:rsidRPr="00972F86">
        <w:rPr>
          <w:rFonts w:ascii="Palatino Linotype" w:hAnsi="Palatino Linotype"/>
          <w:i/>
          <w:iCs/>
          <w:sz w:val="22"/>
          <w:szCs w:val="22"/>
        </w:rPr>
        <w:t xml:space="preserve"> El nombre del titular y área encargada de realizar la versión pública del documento, en su caso. </w:t>
      </w:r>
    </w:p>
    <w:p w14:paraId="087094AB"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En los casos en que se clasifique la información como reservada siempre se entregará o anexará la prueba de daño con la respuesta al solicitante. </w:t>
      </w:r>
    </w:p>
    <w:p w14:paraId="62042AA0"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4E43967" w14:textId="77777777" w:rsidR="009103F4" w:rsidRPr="00972F86" w:rsidRDefault="009103F4" w:rsidP="009103F4">
      <w:pPr>
        <w:pStyle w:val="NormalWeb"/>
        <w:spacing w:before="240" w:beforeAutospacing="0" w:after="240" w:afterAutospacing="0" w:line="360" w:lineRule="auto"/>
        <w:jc w:val="both"/>
        <w:rPr>
          <w:sz w:val="22"/>
          <w:szCs w:val="22"/>
        </w:rPr>
      </w:pPr>
      <w:r w:rsidRPr="00972F86">
        <w:rPr>
          <w:rFonts w:ascii="Palatino Linotype" w:hAnsi="Palatino Linotype"/>
          <w:sz w:val="22"/>
          <w:szCs w:val="22"/>
        </w:rPr>
        <w:t xml:space="preserve">Para la elaboración de las versiones públicas, además, se deberán observar las formalidades establecidas en los Lineamientos Quincuagésimo segundo, Quincuagésimo cuarto, </w:t>
      </w:r>
      <w:r w:rsidRPr="00972F86">
        <w:rPr>
          <w:rFonts w:ascii="Palatino Linotype" w:hAnsi="Palatino Linotype"/>
          <w:sz w:val="22"/>
          <w:szCs w:val="22"/>
        </w:rPr>
        <w:lastRenderedPageBreak/>
        <w:t>Quincuagésimo quinto, Quincuagésimo séptimo y Quincuagésimo octavo, que establecen lo siguiente:</w:t>
      </w:r>
    </w:p>
    <w:p w14:paraId="527B193B" w14:textId="77777777" w:rsidR="009103F4" w:rsidRPr="00972F86" w:rsidRDefault="009103F4" w:rsidP="009103F4">
      <w:pPr>
        <w:pStyle w:val="NormalWeb"/>
        <w:spacing w:before="120" w:beforeAutospacing="0" w:after="120" w:afterAutospacing="0"/>
        <w:ind w:left="851" w:right="900"/>
        <w:jc w:val="both"/>
        <w:rPr>
          <w:sz w:val="22"/>
          <w:szCs w:val="22"/>
        </w:rPr>
      </w:pPr>
      <w:r w:rsidRPr="00972F86">
        <w:rPr>
          <w:rFonts w:ascii="Palatino Linotype" w:hAnsi="Palatino Linotype"/>
          <w:i/>
          <w:iCs/>
          <w:sz w:val="22"/>
          <w:szCs w:val="22"/>
        </w:rPr>
        <w:t>“</w:t>
      </w:r>
      <w:r w:rsidRPr="00972F86">
        <w:rPr>
          <w:rFonts w:ascii="Palatino Linotype" w:hAnsi="Palatino Linotype"/>
          <w:b/>
          <w:bCs/>
          <w:i/>
          <w:iCs/>
          <w:sz w:val="22"/>
          <w:szCs w:val="22"/>
        </w:rPr>
        <w:t>Quincuagésimo segundo</w:t>
      </w:r>
      <w:r w:rsidRPr="00972F86">
        <w:rPr>
          <w:rFonts w:ascii="Palatino Linotype" w:hAnsi="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783CD17" w14:textId="77777777" w:rsidR="009103F4" w:rsidRPr="00972F86" w:rsidRDefault="009103F4" w:rsidP="009103F4">
      <w:pPr>
        <w:pStyle w:val="NormalWeb"/>
        <w:spacing w:before="120" w:beforeAutospacing="0" w:after="120" w:afterAutospacing="0"/>
        <w:ind w:left="851" w:right="900"/>
        <w:jc w:val="both"/>
        <w:rPr>
          <w:sz w:val="22"/>
          <w:szCs w:val="22"/>
        </w:rPr>
      </w:pPr>
      <w:r w:rsidRPr="00972F86">
        <w:rPr>
          <w:rFonts w:ascii="Palatino Linotype" w:hAnsi="Palatino Linotype"/>
          <w:i/>
          <w:iCs/>
          <w:sz w:val="22"/>
          <w:szCs w:val="22"/>
        </w:rPr>
        <w:t>En el caso específico de la clasificación y elaboración de versiones públicas de documentos que contengan información confidencial, las áreas de los sujetos obligados deberán: </w:t>
      </w:r>
    </w:p>
    <w:p w14:paraId="765FD154" w14:textId="77777777" w:rsidR="009103F4" w:rsidRPr="00972F86" w:rsidRDefault="009103F4" w:rsidP="009103F4">
      <w:pPr>
        <w:pStyle w:val="NormalWeb"/>
        <w:spacing w:before="120" w:beforeAutospacing="0" w:after="120" w:afterAutospacing="0"/>
        <w:ind w:left="1134" w:right="900"/>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xml:space="preserve"> Fijar la fecha en que se elaboró la versión pública y la fecha en la cual el Comité de Transparencia confirmó dicha versión;</w:t>
      </w:r>
    </w:p>
    <w:p w14:paraId="54EE8BE2" w14:textId="77777777" w:rsidR="009103F4" w:rsidRPr="00972F86" w:rsidRDefault="009103F4" w:rsidP="009103F4">
      <w:pPr>
        <w:pStyle w:val="NormalWeb"/>
        <w:spacing w:before="120" w:beforeAutospacing="0" w:after="120" w:afterAutospacing="0"/>
        <w:ind w:left="1134" w:right="900"/>
        <w:jc w:val="both"/>
        <w:rPr>
          <w:sz w:val="22"/>
          <w:szCs w:val="22"/>
        </w:rPr>
      </w:pPr>
      <w:r w:rsidRPr="00972F86">
        <w:rPr>
          <w:rFonts w:ascii="Palatino Linotype" w:hAnsi="Palatino Linotype"/>
          <w:b/>
          <w:bCs/>
          <w:i/>
          <w:iCs/>
          <w:sz w:val="22"/>
          <w:szCs w:val="22"/>
        </w:rPr>
        <w:t>II.</w:t>
      </w:r>
      <w:r w:rsidRPr="00972F86">
        <w:rPr>
          <w:rFonts w:ascii="Palatino Linotype" w:hAnsi="Palatino Linotype"/>
          <w:i/>
          <w:iCs/>
          <w:sz w:val="22"/>
          <w:szCs w:val="22"/>
        </w:rPr>
        <w:t xml:space="preserve"> Señalar dentro del documento el tipo de información confidencial que fue testada en cada caso específico, de conformidad con el lineamiento trigésimo octavo; y</w:t>
      </w:r>
    </w:p>
    <w:p w14:paraId="5E794D6B" w14:textId="77777777" w:rsidR="009103F4" w:rsidRPr="00972F86" w:rsidRDefault="009103F4" w:rsidP="009103F4">
      <w:pPr>
        <w:pStyle w:val="NormalWeb"/>
        <w:spacing w:before="120" w:beforeAutospacing="0" w:after="120" w:afterAutospacing="0"/>
        <w:ind w:left="1134" w:right="900"/>
        <w:jc w:val="both"/>
        <w:rPr>
          <w:sz w:val="22"/>
          <w:szCs w:val="22"/>
        </w:rPr>
      </w:pPr>
      <w:r w:rsidRPr="00972F86">
        <w:rPr>
          <w:rFonts w:ascii="Palatino Linotype" w:hAnsi="Palatino Linotype"/>
          <w:b/>
          <w:bCs/>
          <w:i/>
          <w:iCs/>
          <w:sz w:val="22"/>
          <w:szCs w:val="22"/>
        </w:rPr>
        <w:t>III.</w:t>
      </w:r>
      <w:r w:rsidRPr="00972F86">
        <w:rPr>
          <w:rFonts w:ascii="Palatino Linotype" w:hAnsi="Palatino Linotype"/>
          <w:i/>
          <w:iCs/>
          <w:sz w:val="22"/>
          <w:szCs w:val="22"/>
        </w:rPr>
        <w:t xml:space="preserve"> Señalar las personas o instancias autorizadas a acceder a la información clasificada.</w:t>
      </w:r>
    </w:p>
    <w:p w14:paraId="6E9BE66C" w14:textId="77777777" w:rsidR="009103F4" w:rsidRPr="00972F86" w:rsidRDefault="009103F4" w:rsidP="009103F4">
      <w:pPr>
        <w:pStyle w:val="NormalWeb"/>
        <w:spacing w:before="120" w:beforeAutospacing="0" w:after="120" w:afterAutospacing="0"/>
        <w:ind w:left="851" w:right="900"/>
        <w:jc w:val="both"/>
        <w:rPr>
          <w:sz w:val="22"/>
          <w:szCs w:val="22"/>
        </w:rPr>
      </w:pPr>
      <w:r w:rsidRPr="00972F86">
        <w:rPr>
          <w:rFonts w:ascii="Palatino Linotype" w:hAnsi="Palatino Linotype"/>
          <w:i/>
          <w:iCs/>
          <w:sz w:val="22"/>
          <w:szCs w:val="22"/>
        </w:rPr>
        <w:t>En los documentos de difusión electrónica, señalar en la primera hoja y en el nombre del archivo, que la versión pública corresponde a un documento que contiene información confidencial.”</w:t>
      </w:r>
    </w:p>
    <w:p w14:paraId="6DE3B44B" w14:textId="77777777" w:rsidR="009103F4" w:rsidRPr="00972F86" w:rsidRDefault="009103F4" w:rsidP="009103F4">
      <w:pPr>
        <w:pStyle w:val="NormalWeb"/>
        <w:spacing w:before="120" w:beforeAutospacing="0" w:after="120" w:afterAutospacing="0"/>
        <w:ind w:left="851" w:right="900"/>
        <w:jc w:val="both"/>
        <w:rPr>
          <w:sz w:val="22"/>
          <w:szCs w:val="22"/>
        </w:rPr>
      </w:pPr>
      <w:r w:rsidRPr="00972F86">
        <w:rPr>
          <w:rFonts w:ascii="Palatino Linotype" w:hAnsi="Palatino Linotype"/>
          <w:i/>
          <w:iCs/>
          <w:sz w:val="22"/>
          <w:szCs w:val="22"/>
        </w:rPr>
        <w:t>…</w:t>
      </w:r>
    </w:p>
    <w:p w14:paraId="53889336" w14:textId="77777777" w:rsidR="009103F4" w:rsidRPr="00972F86" w:rsidRDefault="009103F4" w:rsidP="009103F4">
      <w:pPr>
        <w:pStyle w:val="NormalWeb"/>
        <w:spacing w:before="120" w:beforeAutospacing="0" w:after="120" w:afterAutospacing="0"/>
        <w:ind w:left="851" w:right="900"/>
        <w:jc w:val="both"/>
        <w:rPr>
          <w:sz w:val="22"/>
          <w:szCs w:val="22"/>
        </w:rPr>
      </w:pPr>
      <w:r w:rsidRPr="00972F86">
        <w:rPr>
          <w:rFonts w:ascii="Palatino Linotype" w:hAnsi="Palatino Linotype"/>
          <w:b/>
          <w:bCs/>
          <w:i/>
          <w:iCs/>
          <w:sz w:val="22"/>
          <w:szCs w:val="22"/>
        </w:rPr>
        <w:t xml:space="preserve">Quincuagésimo cuarto. </w:t>
      </w:r>
      <w:r w:rsidRPr="00972F86">
        <w:rPr>
          <w:rFonts w:ascii="Palatino Linotype" w:hAnsi="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72F86">
        <w:rPr>
          <w:rFonts w:ascii="Palatino Linotype" w:hAnsi="Palatino Linotype"/>
          <w:b/>
          <w:bCs/>
          <w:i/>
          <w:iCs/>
          <w:sz w:val="22"/>
          <w:szCs w:val="22"/>
        </w:rPr>
        <w:t> </w:t>
      </w:r>
    </w:p>
    <w:p w14:paraId="39846319"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 xml:space="preserve">Quincuagésimo quinto. </w:t>
      </w:r>
      <w:r w:rsidRPr="00972F86">
        <w:rPr>
          <w:rFonts w:ascii="Palatino Linotype" w:hAnsi="Palatino Linotype"/>
          <w:i/>
          <w:iCs/>
          <w:sz w:val="22"/>
          <w:szCs w:val="22"/>
        </w:rPr>
        <w:t xml:space="preserve">Cada área del sujeto obligado podrá designar formalmente a una o más personas como responsables del </w:t>
      </w:r>
      <w:proofErr w:type="spellStart"/>
      <w:r w:rsidRPr="00972F86">
        <w:rPr>
          <w:rFonts w:ascii="Palatino Linotype" w:hAnsi="Palatino Linotype"/>
          <w:i/>
          <w:iCs/>
          <w:sz w:val="22"/>
          <w:szCs w:val="22"/>
        </w:rPr>
        <w:t>testado</w:t>
      </w:r>
      <w:proofErr w:type="spellEnd"/>
      <w:r w:rsidRPr="00972F86">
        <w:rPr>
          <w:rFonts w:ascii="Palatino Linotype" w:hAnsi="Palatino Linotype"/>
          <w:i/>
          <w:iCs/>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6DA7FD0"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w:t>
      </w:r>
    </w:p>
    <w:p w14:paraId="27661E37"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Quincuagésimo séptimo</w:t>
      </w:r>
      <w:r w:rsidRPr="00972F86">
        <w:rPr>
          <w:rFonts w:ascii="Palatino Linotype" w:hAnsi="Palatino Linotype"/>
          <w:i/>
          <w:iCs/>
          <w:sz w:val="22"/>
          <w:szCs w:val="22"/>
        </w:rPr>
        <w:t>. Se considera, en principio, como información pública y no podrá omitirse de las versiones públicas la siguiente: </w:t>
      </w:r>
    </w:p>
    <w:p w14:paraId="13A1DAAE"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w:t>
      </w:r>
      <w:r w:rsidRPr="00972F86">
        <w:rPr>
          <w:rFonts w:ascii="Palatino Linotype" w:hAnsi="Palatino Linotype"/>
          <w:i/>
          <w:iCs/>
          <w:sz w:val="22"/>
          <w:szCs w:val="22"/>
        </w:rPr>
        <w:t>. La relativa a las Obligaciones de Transparencia que contempla el Título V de la Ley General y las demás disposiciones legales aplicables; </w:t>
      </w:r>
    </w:p>
    <w:p w14:paraId="434F0F9D"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lastRenderedPageBreak/>
        <w:t>II.</w:t>
      </w:r>
      <w:r w:rsidRPr="00972F86">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B16E209" w14:textId="77777777" w:rsidR="009103F4" w:rsidRPr="00972F86" w:rsidRDefault="009103F4" w:rsidP="009103F4">
      <w:pPr>
        <w:pStyle w:val="NormalWeb"/>
        <w:spacing w:before="120" w:beforeAutospacing="0" w:after="120" w:afterAutospacing="0"/>
        <w:ind w:left="1134" w:right="902"/>
        <w:jc w:val="both"/>
        <w:rPr>
          <w:sz w:val="22"/>
          <w:szCs w:val="22"/>
        </w:rPr>
      </w:pPr>
      <w:r w:rsidRPr="00972F86">
        <w:rPr>
          <w:rFonts w:ascii="Palatino Linotype" w:hAnsi="Palatino Linotype"/>
          <w:b/>
          <w:bCs/>
          <w:i/>
          <w:iCs/>
          <w:sz w:val="22"/>
          <w:szCs w:val="22"/>
        </w:rPr>
        <w:t>III</w:t>
      </w:r>
      <w:r w:rsidRPr="00972F86">
        <w:rPr>
          <w:rFonts w:ascii="Palatino Linotype" w:hAnsi="Palatino Linotype"/>
          <w:i/>
          <w:iCs/>
          <w:sz w:val="22"/>
          <w:szCs w:val="22"/>
        </w:rPr>
        <w:t>. La información que documente decisiones y los actos de autoridad concluidos de los sujetos obligados, así como el ejercicio de las facultades o actividades de los servidores públicos, de manera que se pueda valorar el desempeño de los mismos. </w:t>
      </w:r>
    </w:p>
    <w:p w14:paraId="47EA519B"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i/>
          <w:iCs/>
          <w:sz w:val="22"/>
          <w:szCs w:val="22"/>
        </w:rPr>
        <w:t>Lo anterior, siempre y cuando no se acredite alguna causal de clasificación, prevista en las leyes o en los tratados internacionales suscritas por el Estado mexicano.  </w:t>
      </w:r>
    </w:p>
    <w:p w14:paraId="03497517" w14:textId="77777777" w:rsidR="009103F4" w:rsidRPr="00972F86" w:rsidRDefault="009103F4" w:rsidP="009103F4">
      <w:pPr>
        <w:pStyle w:val="NormalWeb"/>
        <w:spacing w:before="120" w:beforeAutospacing="0" w:after="120" w:afterAutospacing="0"/>
        <w:ind w:left="851" w:right="902"/>
        <w:jc w:val="both"/>
        <w:rPr>
          <w:sz w:val="22"/>
          <w:szCs w:val="22"/>
        </w:rPr>
      </w:pPr>
      <w:r w:rsidRPr="00972F86">
        <w:rPr>
          <w:rFonts w:ascii="Palatino Linotype" w:hAnsi="Palatino Linotype"/>
          <w:b/>
          <w:bCs/>
          <w:i/>
          <w:iCs/>
          <w:sz w:val="22"/>
          <w:szCs w:val="22"/>
        </w:rPr>
        <w:t>Quincuagésimo octavo</w:t>
      </w:r>
      <w:r w:rsidRPr="00972F86">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41D954D" w14:textId="77777777" w:rsidR="009103F4" w:rsidRPr="00972F86" w:rsidRDefault="009103F4" w:rsidP="009103F4">
      <w:pPr>
        <w:spacing w:line="360" w:lineRule="auto"/>
        <w:ind w:right="49"/>
        <w:jc w:val="both"/>
        <w:rPr>
          <w:rFonts w:ascii="Palatino Linotype" w:eastAsia="Palatino Linotype" w:hAnsi="Palatino Linotype" w:cs="Palatino Linotype"/>
          <w:sz w:val="22"/>
          <w:szCs w:val="22"/>
        </w:rPr>
      </w:pPr>
    </w:p>
    <w:p w14:paraId="6DF56950" w14:textId="10F1F38E" w:rsidR="009103F4" w:rsidRPr="00972F86" w:rsidRDefault="009103F4" w:rsidP="009103F4">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972F86">
        <w:rPr>
          <w:rFonts w:ascii="Palatino Linotype" w:eastAsia="Palatino Linotype" w:hAnsi="Palatino Linotype" w:cs="Palatino Linotype"/>
          <w:b/>
          <w:sz w:val="22"/>
          <w:szCs w:val="22"/>
        </w:rPr>
        <w:t>RECURRENTE</w:t>
      </w:r>
      <w:r w:rsidRPr="00972F86">
        <w:rPr>
          <w:rFonts w:ascii="Palatino Linotype" w:eastAsia="Palatino Linotype" w:hAnsi="Palatino Linotype" w:cs="Palatino Linotype"/>
          <w:sz w:val="22"/>
          <w:szCs w:val="22"/>
        </w:rPr>
        <w:t xml:space="preserve"> dentro del recurso de revisión </w:t>
      </w:r>
      <w:r w:rsidRPr="00972F86">
        <w:rPr>
          <w:rFonts w:ascii="Palatino Linotype" w:eastAsia="Palatino Linotype" w:hAnsi="Palatino Linotype" w:cs="Palatino Linotype"/>
          <w:b/>
          <w:sz w:val="22"/>
          <w:szCs w:val="22"/>
        </w:rPr>
        <w:t>07939/INFOEM/IP/RR/2025</w:t>
      </w:r>
      <w:r w:rsidRPr="00972F86">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972F86">
        <w:rPr>
          <w:rFonts w:ascii="Palatino Linotype" w:eastAsia="Palatino Linotype" w:hAnsi="Palatino Linotype" w:cs="Palatino Linotype"/>
          <w:b/>
          <w:sz w:val="22"/>
          <w:szCs w:val="22"/>
        </w:rPr>
        <w:t xml:space="preserve">REVOCA </w:t>
      </w:r>
      <w:r w:rsidRPr="00972F86">
        <w:rPr>
          <w:rFonts w:ascii="Palatino Linotype" w:eastAsia="Palatino Linotype" w:hAnsi="Palatino Linotype" w:cs="Palatino Linotype"/>
          <w:sz w:val="22"/>
          <w:szCs w:val="22"/>
        </w:rPr>
        <w:t xml:space="preserve">la respuesta del </w:t>
      </w:r>
      <w:r w:rsidRPr="00972F86">
        <w:rPr>
          <w:rFonts w:ascii="Palatino Linotype" w:eastAsia="Palatino Linotype" w:hAnsi="Palatino Linotype" w:cs="Palatino Linotype"/>
          <w:b/>
          <w:sz w:val="22"/>
          <w:szCs w:val="22"/>
        </w:rPr>
        <w:t xml:space="preserve">SUJETO OBLIGADO </w:t>
      </w:r>
      <w:r w:rsidRPr="00972F86">
        <w:rPr>
          <w:rFonts w:ascii="Palatino Linotype" w:eastAsia="Palatino Linotype" w:hAnsi="Palatino Linotype" w:cs="Palatino Linotype"/>
          <w:sz w:val="22"/>
          <w:szCs w:val="22"/>
        </w:rPr>
        <w:t xml:space="preserve">a la solicitud de información </w:t>
      </w:r>
      <w:r w:rsidRPr="00972F86">
        <w:rPr>
          <w:rFonts w:ascii="Palatino Linotype" w:eastAsia="Palatino Linotype" w:hAnsi="Palatino Linotype" w:cs="Palatino Linotype"/>
          <w:b/>
          <w:sz w:val="22"/>
          <w:szCs w:val="22"/>
        </w:rPr>
        <w:t>00341/CALIMAYA/IP/2025.</w:t>
      </w:r>
    </w:p>
    <w:p w14:paraId="3B356AF5" w14:textId="77777777" w:rsidR="00295C46" w:rsidRPr="00972F86" w:rsidRDefault="00295C46" w:rsidP="00295C46">
      <w:pPr>
        <w:spacing w:line="360" w:lineRule="auto"/>
        <w:ind w:right="49"/>
        <w:jc w:val="both"/>
        <w:rPr>
          <w:rFonts w:ascii="Palatino Linotype" w:eastAsia="Palatino Linotype" w:hAnsi="Palatino Linotype" w:cs="Palatino Linotype"/>
          <w:b/>
          <w:sz w:val="22"/>
          <w:szCs w:val="22"/>
        </w:rPr>
      </w:pPr>
    </w:p>
    <w:p w14:paraId="05ECC441" w14:textId="77777777" w:rsidR="009103F4" w:rsidRPr="00972F86" w:rsidRDefault="009103F4" w:rsidP="009103F4">
      <w:pPr>
        <w:spacing w:line="360" w:lineRule="auto"/>
        <w:ind w:right="49"/>
        <w:jc w:val="both"/>
        <w:rPr>
          <w:rFonts w:ascii="Palatino Linotype" w:eastAsia="Palatino Linotype" w:hAnsi="Palatino Linotype" w:cs="Palatino Linotype"/>
          <w:sz w:val="22"/>
        </w:rPr>
      </w:pPr>
      <w:r w:rsidRPr="00972F86">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7BB516B" w14:textId="77777777" w:rsidR="00295C46" w:rsidRPr="00972F86" w:rsidRDefault="00295C46" w:rsidP="00295C46">
      <w:pPr>
        <w:spacing w:line="360" w:lineRule="auto"/>
        <w:ind w:right="49"/>
        <w:jc w:val="center"/>
        <w:rPr>
          <w:rFonts w:ascii="Palatino Linotype" w:eastAsia="Palatino Linotype" w:hAnsi="Palatino Linotype" w:cs="Palatino Linotype"/>
          <w:b/>
          <w:sz w:val="22"/>
          <w:szCs w:val="22"/>
        </w:rPr>
      </w:pPr>
      <w:r w:rsidRPr="00972F86">
        <w:rPr>
          <w:rFonts w:ascii="Palatino Linotype" w:eastAsia="Palatino Linotype" w:hAnsi="Palatino Linotype" w:cs="Palatino Linotype"/>
          <w:b/>
          <w:sz w:val="22"/>
          <w:szCs w:val="22"/>
        </w:rPr>
        <w:t>III.</w:t>
      </w:r>
      <w:r w:rsidRPr="00972F86">
        <w:rPr>
          <w:rFonts w:ascii="Palatino Linotype" w:eastAsia="Palatino Linotype" w:hAnsi="Palatino Linotype" w:cs="Palatino Linotype"/>
          <w:b/>
          <w:sz w:val="22"/>
          <w:szCs w:val="22"/>
        </w:rPr>
        <w:tab/>
        <w:t>R E S U E L V E:</w:t>
      </w:r>
    </w:p>
    <w:p w14:paraId="482F5C26" w14:textId="77777777" w:rsidR="00295C46" w:rsidRPr="00972F86" w:rsidRDefault="00295C46" w:rsidP="00295C46">
      <w:pPr>
        <w:spacing w:line="360" w:lineRule="auto"/>
        <w:ind w:right="49"/>
        <w:jc w:val="both"/>
        <w:rPr>
          <w:rFonts w:ascii="Palatino Linotype" w:eastAsia="Palatino Linotype" w:hAnsi="Palatino Linotype" w:cs="Palatino Linotype"/>
          <w:sz w:val="22"/>
          <w:szCs w:val="22"/>
        </w:rPr>
      </w:pPr>
    </w:p>
    <w:p w14:paraId="5BEEF552" w14:textId="7BECA03E" w:rsidR="00295C46" w:rsidRPr="00972F86" w:rsidRDefault="00295C46" w:rsidP="00295C46">
      <w:pPr>
        <w:spacing w:line="360" w:lineRule="auto"/>
        <w:ind w:right="49"/>
        <w:jc w:val="both"/>
        <w:rPr>
          <w:rFonts w:ascii="Palatino Linotype" w:eastAsia="Palatino Linotype" w:hAnsi="Palatino Linotype" w:cs="Palatino Linotype"/>
          <w:b/>
          <w:sz w:val="22"/>
          <w:szCs w:val="22"/>
        </w:rPr>
      </w:pPr>
      <w:r w:rsidRPr="00972F86">
        <w:rPr>
          <w:rFonts w:ascii="Palatino Linotype" w:eastAsia="Palatino Linotype" w:hAnsi="Palatino Linotype" w:cs="Palatino Linotype"/>
          <w:b/>
          <w:sz w:val="22"/>
          <w:szCs w:val="22"/>
        </w:rPr>
        <w:t>Primero.</w:t>
      </w:r>
      <w:r w:rsidRPr="00972F86">
        <w:rPr>
          <w:rFonts w:ascii="Palatino Linotype" w:eastAsia="Palatino Linotype" w:hAnsi="Palatino Linotype" w:cs="Palatino Linotype"/>
          <w:sz w:val="22"/>
          <w:szCs w:val="22"/>
        </w:rPr>
        <w:t xml:space="preserve"> Resultan</w:t>
      </w:r>
      <w:r w:rsidRPr="00972F86">
        <w:rPr>
          <w:rFonts w:ascii="Palatino Linotype" w:eastAsia="Palatino Linotype" w:hAnsi="Palatino Linotype" w:cs="Palatino Linotype"/>
          <w:b/>
          <w:sz w:val="22"/>
          <w:szCs w:val="22"/>
        </w:rPr>
        <w:t xml:space="preserve"> FUNDADOS</w:t>
      </w:r>
      <w:r w:rsidRPr="00972F86">
        <w:rPr>
          <w:rFonts w:ascii="Palatino Linotype" w:eastAsia="Palatino Linotype" w:hAnsi="Palatino Linotype" w:cs="Palatino Linotype"/>
          <w:sz w:val="22"/>
          <w:szCs w:val="22"/>
        </w:rPr>
        <w:t xml:space="preserve"> los motivos de inconformidad hechos valer por la parte </w:t>
      </w:r>
      <w:r w:rsidRPr="00972F86">
        <w:rPr>
          <w:rFonts w:ascii="Palatino Linotype" w:eastAsia="Palatino Linotype" w:hAnsi="Palatino Linotype" w:cs="Palatino Linotype"/>
          <w:b/>
          <w:sz w:val="22"/>
          <w:szCs w:val="22"/>
        </w:rPr>
        <w:t>RECURRENTE</w:t>
      </w:r>
      <w:r w:rsidRPr="00972F86">
        <w:rPr>
          <w:rFonts w:ascii="Palatino Linotype" w:eastAsia="Palatino Linotype" w:hAnsi="Palatino Linotype" w:cs="Palatino Linotype"/>
          <w:sz w:val="22"/>
          <w:szCs w:val="22"/>
        </w:rPr>
        <w:t xml:space="preserve"> en el Recurso de Revisión </w:t>
      </w:r>
      <w:r w:rsidR="009103F4" w:rsidRPr="00972F86">
        <w:rPr>
          <w:rFonts w:ascii="Palatino Linotype" w:eastAsia="Palatino Linotype" w:hAnsi="Palatino Linotype" w:cs="Palatino Linotype"/>
          <w:b/>
          <w:sz w:val="22"/>
          <w:szCs w:val="22"/>
        </w:rPr>
        <w:t>07939</w:t>
      </w:r>
      <w:r w:rsidRPr="00972F86">
        <w:rPr>
          <w:rFonts w:ascii="Palatino Linotype" w:eastAsia="Palatino Linotype" w:hAnsi="Palatino Linotype" w:cs="Palatino Linotype"/>
          <w:b/>
          <w:sz w:val="22"/>
          <w:szCs w:val="22"/>
        </w:rPr>
        <w:t>/INFOEM/IP/RR/2025</w:t>
      </w:r>
      <w:r w:rsidRPr="00972F86">
        <w:rPr>
          <w:rFonts w:ascii="Palatino Linotype" w:eastAsia="Palatino Linotype" w:hAnsi="Palatino Linotype" w:cs="Palatino Linotype"/>
          <w:sz w:val="22"/>
          <w:szCs w:val="22"/>
        </w:rPr>
        <w:t xml:space="preserve">, por lo que, en términos del </w:t>
      </w:r>
      <w:r w:rsidRPr="00972F86">
        <w:rPr>
          <w:rFonts w:ascii="Palatino Linotype" w:eastAsia="Palatino Linotype" w:hAnsi="Palatino Linotype" w:cs="Palatino Linotype"/>
          <w:b/>
          <w:sz w:val="22"/>
          <w:szCs w:val="22"/>
        </w:rPr>
        <w:t>Considerando Cuarto</w:t>
      </w:r>
      <w:r w:rsidRPr="00972F86">
        <w:rPr>
          <w:rFonts w:ascii="Palatino Linotype" w:eastAsia="Palatino Linotype" w:hAnsi="Palatino Linotype" w:cs="Palatino Linotype"/>
          <w:sz w:val="22"/>
          <w:szCs w:val="22"/>
        </w:rPr>
        <w:t xml:space="preserve"> de esta resolución, se </w:t>
      </w:r>
      <w:r w:rsidR="009103F4" w:rsidRPr="00972F86">
        <w:rPr>
          <w:rFonts w:ascii="Palatino Linotype" w:eastAsia="Palatino Linotype" w:hAnsi="Palatino Linotype" w:cs="Palatino Linotype"/>
          <w:b/>
          <w:sz w:val="22"/>
          <w:szCs w:val="22"/>
        </w:rPr>
        <w:t>REVOCA</w:t>
      </w:r>
      <w:r w:rsidRPr="00972F86">
        <w:rPr>
          <w:rFonts w:ascii="Palatino Linotype" w:eastAsia="Palatino Linotype" w:hAnsi="Palatino Linotype" w:cs="Palatino Linotype"/>
          <w:b/>
          <w:sz w:val="22"/>
          <w:szCs w:val="22"/>
        </w:rPr>
        <w:t xml:space="preserve"> </w:t>
      </w:r>
      <w:r w:rsidRPr="00972F86">
        <w:rPr>
          <w:rFonts w:ascii="Palatino Linotype" w:eastAsia="Palatino Linotype" w:hAnsi="Palatino Linotype" w:cs="Palatino Linotype"/>
          <w:sz w:val="22"/>
          <w:szCs w:val="22"/>
        </w:rPr>
        <w:t xml:space="preserve">la respuesta emitida por 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w:t>
      </w:r>
    </w:p>
    <w:p w14:paraId="79462A9F" w14:textId="77777777" w:rsidR="00295C46" w:rsidRPr="00972F86" w:rsidRDefault="00295C46" w:rsidP="00295C46">
      <w:pPr>
        <w:spacing w:line="360" w:lineRule="auto"/>
        <w:ind w:right="49"/>
        <w:jc w:val="both"/>
        <w:rPr>
          <w:rFonts w:ascii="Palatino Linotype" w:eastAsia="Palatino Linotype" w:hAnsi="Palatino Linotype" w:cs="Palatino Linotype"/>
          <w:sz w:val="22"/>
          <w:szCs w:val="22"/>
        </w:rPr>
      </w:pPr>
    </w:p>
    <w:p w14:paraId="5CFA9482" w14:textId="46FAC9B8" w:rsidR="0076204D" w:rsidRPr="00972F86" w:rsidRDefault="00295C46" w:rsidP="0076204D">
      <w:pPr>
        <w:spacing w:line="360" w:lineRule="auto"/>
        <w:ind w:right="49"/>
        <w:jc w:val="both"/>
        <w:rPr>
          <w:rFonts w:ascii="Palatino Linotype" w:eastAsia="Palatino Linotype" w:hAnsi="Palatino Linotype" w:cs="Palatino Linotype"/>
          <w:sz w:val="22"/>
          <w:szCs w:val="22"/>
        </w:rPr>
      </w:pPr>
      <w:bookmarkStart w:id="2" w:name="_heading=h.1fob9te" w:colFirst="0" w:colLast="0"/>
      <w:bookmarkEnd w:id="2"/>
      <w:r w:rsidRPr="00972F86">
        <w:rPr>
          <w:rFonts w:ascii="Palatino Linotype" w:eastAsia="Palatino Linotype" w:hAnsi="Palatino Linotype" w:cs="Palatino Linotype"/>
          <w:b/>
          <w:sz w:val="22"/>
          <w:szCs w:val="22"/>
        </w:rPr>
        <w:lastRenderedPageBreak/>
        <w:t>Segundo</w:t>
      </w:r>
      <w:r w:rsidRPr="00972F86">
        <w:rPr>
          <w:rFonts w:ascii="Palatino Linotype" w:eastAsia="Palatino Linotype" w:hAnsi="Palatino Linotype" w:cs="Palatino Linotype"/>
          <w:sz w:val="22"/>
          <w:szCs w:val="22"/>
        </w:rPr>
        <w:t xml:space="preserve">. Se </w:t>
      </w:r>
      <w:r w:rsidRPr="00972F86">
        <w:rPr>
          <w:rFonts w:ascii="Palatino Linotype" w:eastAsia="Palatino Linotype" w:hAnsi="Palatino Linotype" w:cs="Palatino Linotype"/>
          <w:b/>
          <w:sz w:val="22"/>
          <w:szCs w:val="22"/>
        </w:rPr>
        <w:t>ORDENA</w:t>
      </w:r>
      <w:r w:rsidRPr="00972F86">
        <w:rPr>
          <w:rFonts w:ascii="Palatino Linotype" w:eastAsia="Palatino Linotype" w:hAnsi="Palatino Linotype" w:cs="Palatino Linotype"/>
          <w:sz w:val="22"/>
          <w:szCs w:val="22"/>
        </w:rPr>
        <w:t xml:space="preserve"> al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xml:space="preserve"> a que, en términos del Considerando Cuarto y Quinto, haga entrega,</w:t>
      </w:r>
      <w:r w:rsidR="00371D66" w:rsidRPr="00972F86">
        <w:rPr>
          <w:rFonts w:ascii="Palatino Linotype" w:eastAsia="Palatino Linotype" w:hAnsi="Palatino Linotype" w:cs="Palatino Linotype"/>
          <w:sz w:val="22"/>
          <w:szCs w:val="22"/>
        </w:rPr>
        <w:t xml:space="preserve"> vía Sistema de Acceso a la Información Mexiquense,</w:t>
      </w:r>
      <w:r w:rsidRPr="00972F86">
        <w:rPr>
          <w:rFonts w:ascii="Palatino Linotype" w:eastAsia="Palatino Linotype" w:hAnsi="Palatino Linotype" w:cs="Palatino Linotype"/>
          <w:sz w:val="22"/>
          <w:szCs w:val="22"/>
        </w:rPr>
        <w:t xml:space="preserve"> </w:t>
      </w:r>
      <w:r w:rsidR="0076204D" w:rsidRPr="00972F86">
        <w:rPr>
          <w:rFonts w:ascii="Palatino Linotype" w:eastAsia="Palatino Linotype" w:hAnsi="Palatino Linotype" w:cs="Palatino Linotype"/>
          <w:sz w:val="22"/>
          <w:szCs w:val="22"/>
        </w:rPr>
        <w:t xml:space="preserve">de ser el caso, en versión pública, </w:t>
      </w:r>
      <w:r w:rsidR="00371D66" w:rsidRPr="00972F86">
        <w:rPr>
          <w:rFonts w:ascii="Palatino Linotype" w:eastAsia="Palatino Linotype" w:hAnsi="Palatino Linotype" w:cs="Palatino Linotype"/>
          <w:sz w:val="22"/>
          <w:szCs w:val="22"/>
        </w:rPr>
        <w:t xml:space="preserve">la siguiente información: </w:t>
      </w:r>
    </w:p>
    <w:p w14:paraId="142018C5" w14:textId="77777777" w:rsidR="0076204D" w:rsidRPr="00972F86" w:rsidRDefault="0076204D" w:rsidP="0076204D">
      <w:pPr>
        <w:pStyle w:val="NormalWeb"/>
        <w:spacing w:before="0" w:beforeAutospacing="0" w:after="0" w:afterAutospacing="0" w:line="360" w:lineRule="auto"/>
        <w:jc w:val="both"/>
        <w:rPr>
          <w:rFonts w:ascii="Palatino Linotype" w:hAnsi="Palatino Linotype"/>
          <w:sz w:val="22"/>
          <w:szCs w:val="22"/>
        </w:rPr>
      </w:pPr>
    </w:p>
    <w:p w14:paraId="20BB3F1A" w14:textId="78AB2E0D" w:rsidR="0076204D" w:rsidRPr="00972F86" w:rsidRDefault="00371D66" w:rsidP="00371D66">
      <w:pPr>
        <w:pStyle w:val="NormalWeb"/>
        <w:numPr>
          <w:ilvl w:val="0"/>
          <w:numId w:val="16"/>
        </w:numPr>
        <w:spacing w:before="0" w:beforeAutospacing="0" w:after="0" w:afterAutospacing="0" w:line="360" w:lineRule="auto"/>
        <w:ind w:left="567" w:right="560"/>
        <w:jc w:val="both"/>
        <w:rPr>
          <w:rFonts w:ascii="Palatino Linotype" w:hAnsi="Palatino Linotype"/>
          <w:sz w:val="22"/>
          <w:szCs w:val="22"/>
        </w:rPr>
      </w:pPr>
      <w:r w:rsidRPr="00972F86">
        <w:rPr>
          <w:rFonts w:ascii="Palatino Linotype" w:hAnsi="Palatino Linotype"/>
          <w:sz w:val="22"/>
          <w:szCs w:val="22"/>
        </w:rPr>
        <w:t>El documento donde conste el sueldo mensual bruto y neto del Presidente Municipal, Regidores, Síndico, Secretaria del Ayuntamiento y Secretaria Particular</w:t>
      </w:r>
      <w:r w:rsidR="00890F95" w:rsidRPr="00972F86">
        <w:rPr>
          <w:rFonts w:ascii="Palatino Linotype" w:hAnsi="Palatino Linotype"/>
          <w:sz w:val="22"/>
          <w:szCs w:val="22"/>
        </w:rPr>
        <w:t>,</w:t>
      </w:r>
      <w:r w:rsidRPr="00972F86">
        <w:rPr>
          <w:rFonts w:ascii="Palatino Linotype" w:hAnsi="Palatino Linotype"/>
          <w:sz w:val="22"/>
          <w:szCs w:val="22"/>
        </w:rPr>
        <w:t xml:space="preserve"> en funciones al dieciséis de junio de dos mil veinticinco. </w:t>
      </w:r>
    </w:p>
    <w:p w14:paraId="6DF42894" w14:textId="77777777" w:rsidR="00371D66" w:rsidRPr="00972F86" w:rsidRDefault="00371D66" w:rsidP="00371D66">
      <w:pPr>
        <w:pStyle w:val="NormalWeb"/>
        <w:spacing w:before="0" w:beforeAutospacing="0" w:after="0" w:afterAutospacing="0" w:line="360" w:lineRule="auto"/>
        <w:ind w:left="567" w:right="560"/>
        <w:jc w:val="both"/>
        <w:rPr>
          <w:rFonts w:ascii="Palatino Linotype" w:hAnsi="Palatino Linotype"/>
          <w:sz w:val="22"/>
          <w:szCs w:val="22"/>
        </w:rPr>
      </w:pPr>
    </w:p>
    <w:p w14:paraId="4A709A1E" w14:textId="77777777" w:rsidR="0076204D" w:rsidRPr="00972F86" w:rsidRDefault="0076204D" w:rsidP="0076204D">
      <w:pPr>
        <w:spacing w:line="276" w:lineRule="auto"/>
        <w:ind w:left="567" w:right="560"/>
        <w:jc w:val="both"/>
        <w:rPr>
          <w:rFonts w:ascii="Palatino Linotype" w:eastAsia="Palatino Linotype" w:hAnsi="Palatino Linotype" w:cs="Palatino Linotype"/>
          <w:i/>
          <w:sz w:val="22"/>
          <w:szCs w:val="22"/>
        </w:rPr>
      </w:pPr>
      <w:r w:rsidRPr="00972F86">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61243B0" w14:textId="79D434CD" w:rsidR="00295C46" w:rsidRPr="00972F86" w:rsidRDefault="00295C46" w:rsidP="0076204D">
      <w:pPr>
        <w:spacing w:line="360" w:lineRule="auto"/>
        <w:ind w:right="49"/>
        <w:jc w:val="both"/>
        <w:rPr>
          <w:rFonts w:ascii="Palatino Linotype" w:eastAsia="Palatino Linotype" w:hAnsi="Palatino Linotype" w:cs="Palatino Linotype"/>
          <w:b/>
          <w:sz w:val="22"/>
          <w:szCs w:val="22"/>
        </w:rPr>
      </w:pPr>
    </w:p>
    <w:p w14:paraId="3A980F2B" w14:textId="77777777" w:rsidR="00295C46" w:rsidRPr="00972F86" w:rsidRDefault="00295C46" w:rsidP="00295C46">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Tercero.</w:t>
      </w:r>
      <w:r w:rsidRPr="00972F86">
        <w:rPr>
          <w:rFonts w:ascii="Palatino Linotype" w:eastAsia="Palatino Linotype" w:hAnsi="Palatino Linotype" w:cs="Palatino Linotype"/>
          <w:sz w:val="22"/>
          <w:szCs w:val="22"/>
        </w:rPr>
        <w:t xml:space="preserve"> </w:t>
      </w:r>
      <w:r w:rsidRPr="00972F86">
        <w:rPr>
          <w:rFonts w:ascii="Palatino Linotype" w:eastAsia="Palatino Linotype" w:hAnsi="Palatino Linotype" w:cs="Palatino Linotype"/>
          <w:b/>
          <w:sz w:val="22"/>
          <w:szCs w:val="22"/>
        </w:rPr>
        <w:t xml:space="preserve">Notifíquese vía SAIMEX </w:t>
      </w:r>
      <w:r w:rsidRPr="00972F86">
        <w:rPr>
          <w:rFonts w:ascii="Palatino Linotype" w:eastAsia="Palatino Linotype" w:hAnsi="Palatino Linotype" w:cs="Palatino Linotype"/>
          <w:sz w:val="22"/>
          <w:szCs w:val="22"/>
        </w:rPr>
        <w:t>la presente resolución al T</w:t>
      </w:r>
      <w:r w:rsidRPr="00972F86">
        <w:rPr>
          <w:rFonts w:ascii="Palatino Linotype" w:eastAsia="Palatino Linotype" w:hAnsi="Palatino Linotype" w:cs="Palatino Linotype"/>
          <w:b/>
          <w:sz w:val="22"/>
          <w:szCs w:val="22"/>
        </w:rPr>
        <w:t xml:space="preserve">itular de la Unidad de Transparencia </w:t>
      </w:r>
      <w:r w:rsidRPr="00972F86">
        <w:rPr>
          <w:rFonts w:ascii="Palatino Linotype" w:eastAsia="Palatino Linotype" w:hAnsi="Palatino Linotype" w:cs="Palatino Linotype"/>
          <w:sz w:val="22"/>
          <w:szCs w:val="22"/>
        </w:rPr>
        <w:t xml:space="preserve">del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8ABFF5" w14:textId="77777777" w:rsidR="00295C46" w:rsidRPr="00972F86" w:rsidRDefault="00295C46" w:rsidP="00295C46">
      <w:pPr>
        <w:spacing w:line="360" w:lineRule="auto"/>
        <w:ind w:right="49"/>
        <w:jc w:val="both"/>
        <w:rPr>
          <w:rFonts w:ascii="Palatino Linotype" w:eastAsia="Palatino Linotype" w:hAnsi="Palatino Linotype" w:cs="Palatino Linotype"/>
          <w:sz w:val="22"/>
          <w:szCs w:val="22"/>
        </w:rPr>
      </w:pPr>
    </w:p>
    <w:p w14:paraId="43F303F4" w14:textId="77777777" w:rsidR="00295C46" w:rsidRPr="00972F86" w:rsidRDefault="00295C46" w:rsidP="00295C46">
      <w:pPr>
        <w:spacing w:line="360" w:lineRule="auto"/>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t xml:space="preserve">Cuarto. Notifíquese vía SAIMEX </w:t>
      </w:r>
      <w:r w:rsidRPr="00972F86">
        <w:rPr>
          <w:rFonts w:ascii="Palatino Linotype" w:eastAsia="Palatino Linotype" w:hAnsi="Palatino Linotype" w:cs="Palatino Linotype"/>
          <w:sz w:val="22"/>
          <w:szCs w:val="22"/>
        </w:rPr>
        <w:t xml:space="preserve">a la parte </w:t>
      </w:r>
      <w:r w:rsidRPr="00972F86">
        <w:rPr>
          <w:rFonts w:ascii="Palatino Linotype" w:eastAsia="Palatino Linotype" w:hAnsi="Palatino Linotype" w:cs="Palatino Linotype"/>
          <w:b/>
          <w:sz w:val="22"/>
          <w:szCs w:val="22"/>
        </w:rPr>
        <w:t xml:space="preserve">Recurrente </w:t>
      </w:r>
      <w:r w:rsidRPr="00972F8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EB7B7C" w14:textId="77777777" w:rsidR="00295C46" w:rsidRPr="00972F86" w:rsidRDefault="00295C46" w:rsidP="00295C46">
      <w:pPr>
        <w:spacing w:line="360" w:lineRule="auto"/>
        <w:jc w:val="both"/>
        <w:rPr>
          <w:rFonts w:ascii="Palatino Linotype" w:eastAsia="Palatino Linotype" w:hAnsi="Palatino Linotype" w:cs="Palatino Linotype"/>
          <w:sz w:val="22"/>
          <w:szCs w:val="22"/>
        </w:rPr>
      </w:pPr>
    </w:p>
    <w:p w14:paraId="26D19A51" w14:textId="0FD648ED" w:rsidR="0050256D" w:rsidRPr="00972F86" w:rsidRDefault="00295C46" w:rsidP="0076204D">
      <w:pPr>
        <w:spacing w:line="360" w:lineRule="auto"/>
        <w:ind w:right="49"/>
        <w:jc w:val="both"/>
        <w:rPr>
          <w:rFonts w:ascii="Palatino Linotype" w:eastAsia="Palatino Linotype" w:hAnsi="Palatino Linotype" w:cs="Palatino Linotype"/>
          <w:sz w:val="22"/>
          <w:szCs w:val="22"/>
        </w:rPr>
      </w:pPr>
      <w:r w:rsidRPr="00972F86">
        <w:rPr>
          <w:rFonts w:ascii="Palatino Linotype" w:eastAsia="Palatino Linotype" w:hAnsi="Palatino Linotype" w:cs="Palatino Linotype"/>
          <w:b/>
          <w:sz w:val="22"/>
          <w:szCs w:val="22"/>
        </w:rPr>
        <w:lastRenderedPageBreak/>
        <w:t>Quinto.</w:t>
      </w:r>
      <w:r w:rsidRPr="00972F86">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972F86">
        <w:rPr>
          <w:rFonts w:ascii="Palatino Linotype" w:eastAsia="Palatino Linotype" w:hAnsi="Palatino Linotype" w:cs="Palatino Linotype"/>
          <w:b/>
          <w:sz w:val="22"/>
          <w:szCs w:val="22"/>
        </w:rPr>
        <w:t>SUJETO OBLIGADO</w:t>
      </w:r>
      <w:r w:rsidRPr="00972F86">
        <w:rPr>
          <w:rFonts w:ascii="Palatino Linotype" w:eastAsia="Palatino Linotype" w:hAnsi="Palatino Linotype" w:cs="Palatino Linotype"/>
          <w:sz w:val="22"/>
          <w:szCs w:val="22"/>
        </w:rPr>
        <w:t xml:space="preserve"> de manera fundada y motivada, podrá solicitar una ampliación de plazo para el cumplimiento de la presente resoluc</w:t>
      </w:r>
      <w:r w:rsidR="0076204D" w:rsidRPr="00972F86">
        <w:rPr>
          <w:rFonts w:ascii="Palatino Linotype" w:eastAsia="Palatino Linotype" w:hAnsi="Palatino Linotype" w:cs="Palatino Linotype"/>
          <w:sz w:val="22"/>
          <w:szCs w:val="22"/>
        </w:rPr>
        <w:t>ión.</w:t>
      </w:r>
    </w:p>
    <w:p w14:paraId="45FE665F" w14:textId="77777777" w:rsidR="00C75FA3" w:rsidRPr="00972F86" w:rsidRDefault="00C75FA3">
      <w:pPr>
        <w:spacing w:line="360" w:lineRule="auto"/>
        <w:jc w:val="both"/>
        <w:rPr>
          <w:rFonts w:ascii="Palatino Linotype" w:eastAsia="Palatino Linotype" w:hAnsi="Palatino Linotype" w:cs="Palatino Linotype"/>
          <w:sz w:val="22"/>
          <w:szCs w:val="22"/>
        </w:rPr>
      </w:pPr>
    </w:p>
    <w:p w14:paraId="4BAA29BF" w14:textId="729F3333" w:rsidR="00356F83" w:rsidRPr="003012FC" w:rsidRDefault="00DD321F">
      <w:pPr>
        <w:spacing w:line="360" w:lineRule="auto"/>
        <w:jc w:val="both"/>
        <w:rPr>
          <w:rFonts w:ascii="Palatino Linotype" w:eastAsia="Palatino Linotype" w:hAnsi="Palatino Linotype" w:cs="Palatino Linotype"/>
          <w:sz w:val="22"/>
          <w:szCs w:val="22"/>
        </w:rPr>
        <w:sectPr w:rsidR="00356F83" w:rsidRPr="003012FC">
          <w:headerReference w:type="default" r:id="rId14"/>
          <w:footerReference w:type="default" r:id="rId15"/>
          <w:headerReference w:type="first" r:id="rId16"/>
          <w:footerReference w:type="first" r:id="rId17"/>
          <w:pgSz w:w="11920" w:h="16840"/>
          <w:pgMar w:top="1599" w:right="1134" w:bottom="278" w:left="1418" w:header="720" w:footer="720" w:gutter="0"/>
          <w:pgNumType w:start="1"/>
          <w:cols w:space="720"/>
        </w:sectPr>
      </w:pPr>
      <w:r w:rsidRPr="00972F8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71D66" w:rsidRPr="00972F86">
        <w:rPr>
          <w:rFonts w:ascii="Palatino Linotype" w:eastAsia="Palatino Linotype" w:hAnsi="Palatino Linotype" w:cs="Palatino Linotype"/>
          <w:sz w:val="22"/>
          <w:szCs w:val="22"/>
        </w:rPr>
        <w:t>TRIGÉSIMA</w:t>
      </w:r>
      <w:r w:rsidR="00F82FA3" w:rsidRPr="00972F86">
        <w:rPr>
          <w:rFonts w:ascii="Palatino Linotype" w:eastAsia="Palatino Linotype" w:hAnsi="Palatino Linotype" w:cs="Palatino Linotype"/>
          <w:sz w:val="22"/>
          <w:szCs w:val="22"/>
        </w:rPr>
        <w:t xml:space="preserve"> SESIÓN</w:t>
      </w:r>
      <w:r w:rsidRPr="00972F86">
        <w:rPr>
          <w:rFonts w:ascii="Palatino Linotype" w:eastAsia="Palatino Linotype" w:hAnsi="Palatino Linotype" w:cs="Palatino Linotype"/>
          <w:sz w:val="22"/>
          <w:szCs w:val="22"/>
        </w:rPr>
        <w:t xml:space="preserve"> ORDINARIA CELEBRADA EL </w:t>
      </w:r>
      <w:r w:rsidR="00371D66" w:rsidRPr="00972F86">
        <w:rPr>
          <w:rFonts w:ascii="Palatino Linotype" w:eastAsia="Palatino Linotype" w:hAnsi="Palatino Linotype" w:cs="Palatino Linotype"/>
          <w:sz w:val="22"/>
          <w:szCs w:val="22"/>
        </w:rPr>
        <w:t>VEINTISIETE DE AGOSTO</w:t>
      </w:r>
      <w:r w:rsidR="00F82FA3" w:rsidRPr="00972F86">
        <w:rPr>
          <w:rFonts w:ascii="Palatino Linotype" w:eastAsia="Palatino Linotype" w:hAnsi="Palatino Linotype" w:cs="Palatino Linotype"/>
          <w:sz w:val="22"/>
          <w:szCs w:val="22"/>
        </w:rPr>
        <w:t xml:space="preserve"> DE DOS MIL VEINTICINCO</w:t>
      </w:r>
      <w:r w:rsidRPr="00972F86">
        <w:rPr>
          <w:rFonts w:ascii="Palatino Linotype" w:eastAsia="Palatino Linotype" w:hAnsi="Palatino Linotype" w:cs="Palatino Linotype"/>
          <w:sz w:val="22"/>
          <w:szCs w:val="22"/>
        </w:rPr>
        <w:t>, ANTE EL SECRETARIO TÉCNICO DEL PLENO ALEXIS TAPIA RAMÍREZ.</w:t>
      </w:r>
      <w:r w:rsidRPr="003012FC">
        <w:rPr>
          <w:rFonts w:ascii="Palatino Linotype" w:eastAsia="Palatino Linotype" w:hAnsi="Palatino Linotype" w:cs="Palatino Linotype"/>
          <w:sz w:val="22"/>
          <w:szCs w:val="22"/>
        </w:rPr>
        <w:t xml:space="preserve"> </w:t>
      </w:r>
    </w:p>
    <w:p w14:paraId="5A10590E" w14:textId="77777777" w:rsidR="00356F83" w:rsidRPr="003012FC" w:rsidRDefault="00356F83">
      <w:pPr>
        <w:spacing w:line="360" w:lineRule="auto"/>
        <w:jc w:val="both"/>
        <w:rPr>
          <w:rFonts w:ascii="Palatino Linotype" w:eastAsia="Palatino Linotype" w:hAnsi="Palatino Linotype" w:cs="Palatino Linotype"/>
          <w:sz w:val="22"/>
          <w:szCs w:val="22"/>
        </w:rPr>
      </w:pPr>
    </w:p>
    <w:sectPr w:rsidR="00356F83" w:rsidRPr="003012FC">
      <w:headerReference w:type="even" r:id="rId18"/>
      <w:headerReference w:type="default" r:id="rId19"/>
      <w:footerReference w:type="even" r:id="rId20"/>
      <w:footerReference w:type="default" r:id="rId21"/>
      <w:headerReference w:type="first" r:id="rId22"/>
      <w:footerReference w:type="first" r:id="rId23"/>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5664" w14:textId="77777777" w:rsidR="00CD3B1E" w:rsidRDefault="00CD3B1E">
      <w:r>
        <w:separator/>
      </w:r>
    </w:p>
  </w:endnote>
  <w:endnote w:type="continuationSeparator" w:id="0">
    <w:p w14:paraId="66B6C369" w14:textId="77777777" w:rsidR="00CD3B1E" w:rsidRDefault="00CD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9D0E" w14:textId="77777777" w:rsidR="009103F4" w:rsidRDefault="009103F4">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972F86">
      <w:rPr>
        <w:rFonts w:ascii="Calibri" w:eastAsia="Calibri" w:hAnsi="Calibri" w:cs="Calibri"/>
        <w:b/>
        <w:noProof/>
        <w:color w:val="000000"/>
      </w:rPr>
      <w:t>33</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972F86">
      <w:rPr>
        <w:rFonts w:ascii="Calibri" w:eastAsia="Calibri" w:hAnsi="Calibri" w:cs="Calibri"/>
        <w:b/>
        <w:noProof/>
        <w:color w:val="000000"/>
      </w:rPr>
      <w:t>35</w:t>
    </w:r>
    <w:r>
      <w:rPr>
        <w:rFonts w:ascii="Calibri" w:eastAsia="Calibri" w:hAnsi="Calibri" w:cs="Calibri"/>
        <w:b/>
        <w:color w:val="000000"/>
      </w:rPr>
      <w:fldChar w:fldCharType="end"/>
    </w:r>
  </w:p>
  <w:p w14:paraId="7810EB23"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A06B" w14:textId="77777777" w:rsidR="009103F4" w:rsidRDefault="009103F4">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972F86">
      <w:rPr>
        <w:rFonts w:ascii="Calibri" w:eastAsia="Calibri" w:hAnsi="Calibri" w:cs="Calibri"/>
        <w:b/>
        <w:noProof/>
        <w:color w:val="000000"/>
      </w:rPr>
      <w:t>35</w:t>
    </w:r>
    <w:r>
      <w:rPr>
        <w:rFonts w:ascii="Calibri" w:eastAsia="Calibri" w:hAnsi="Calibri" w:cs="Calibri"/>
        <w:b/>
        <w:color w:val="000000"/>
      </w:rPr>
      <w:fldChar w:fldCharType="end"/>
    </w:r>
  </w:p>
  <w:p w14:paraId="3B46F0A7"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46CC"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B39C"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4652"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5E7A" w14:textId="77777777" w:rsidR="00CD3B1E" w:rsidRDefault="00CD3B1E">
      <w:r>
        <w:separator/>
      </w:r>
    </w:p>
  </w:footnote>
  <w:footnote w:type="continuationSeparator" w:id="0">
    <w:p w14:paraId="418C29D6" w14:textId="77777777" w:rsidR="00CD3B1E" w:rsidRDefault="00CD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C8A0" w14:textId="77777777" w:rsidR="009103F4" w:rsidRDefault="009103F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56A252C3" wp14:editId="2C4DF675">
          <wp:simplePos x="0" y="0"/>
          <wp:positionH relativeFrom="column">
            <wp:posOffset>-673734</wp:posOffset>
          </wp:positionH>
          <wp:positionV relativeFrom="paragraph">
            <wp:posOffset>-322579</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9103F4" w14:paraId="1DF9FF31" w14:textId="77777777">
      <w:tc>
        <w:tcPr>
          <w:tcW w:w="2551" w:type="dxa"/>
          <w:vAlign w:val="center"/>
        </w:tcPr>
        <w:p w14:paraId="06EC6B42" w14:textId="77777777"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6DB813E" w14:textId="2A6ECE43" w:rsidR="009103F4" w:rsidRDefault="009103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07939/INFOEM/IP/RR/2025 </w:t>
          </w:r>
        </w:p>
      </w:tc>
    </w:tr>
    <w:tr w:rsidR="009103F4" w14:paraId="01E370ED" w14:textId="77777777">
      <w:trPr>
        <w:trHeight w:val="228"/>
      </w:trPr>
      <w:tc>
        <w:tcPr>
          <w:tcW w:w="2551" w:type="dxa"/>
          <w:vAlign w:val="center"/>
        </w:tcPr>
        <w:p w14:paraId="498A4910" w14:textId="00163308"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21D489" w14:textId="435D4E26" w:rsidR="009103F4" w:rsidRDefault="009103F4" w:rsidP="009103F4">
          <w:pPr>
            <w:ind w:right="27"/>
            <w:jc w:val="both"/>
            <w:rPr>
              <w:rFonts w:ascii="Palatino Linotype" w:eastAsia="Palatino Linotype" w:hAnsi="Palatino Linotype" w:cs="Palatino Linotype"/>
              <w:b/>
              <w:sz w:val="22"/>
              <w:szCs w:val="22"/>
            </w:rPr>
          </w:pPr>
          <w:r w:rsidRPr="00F610F4">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Calimaya</w:t>
          </w:r>
        </w:p>
      </w:tc>
    </w:tr>
    <w:tr w:rsidR="009103F4" w14:paraId="08977D45" w14:textId="77777777">
      <w:trPr>
        <w:trHeight w:val="228"/>
      </w:trPr>
      <w:tc>
        <w:tcPr>
          <w:tcW w:w="2551" w:type="dxa"/>
          <w:vAlign w:val="center"/>
        </w:tcPr>
        <w:p w14:paraId="0D6FEFD2" w14:textId="77777777"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1A4FF5DA" w14:textId="77267304" w:rsidR="009103F4" w:rsidRDefault="00324576" w:rsidP="00F610F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9103F4" w14:paraId="45643A0D" w14:textId="77777777">
      <w:tc>
        <w:tcPr>
          <w:tcW w:w="2551" w:type="dxa"/>
          <w:vAlign w:val="center"/>
        </w:tcPr>
        <w:p w14:paraId="36AD8813" w14:textId="77777777"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A4A09BC" w14:textId="77777777" w:rsidR="009103F4" w:rsidRDefault="009103F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13ECE0"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AB99" w14:textId="77777777" w:rsidR="009103F4" w:rsidRDefault="009103F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5F4A465" wp14:editId="555391E1">
          <wp:simplePos x="0" y="0"/>
          <wp:positionH relativeFrom="column">
            <wp:posOffset>-692784</wp:posOffset>
          </wp:positionH>
          <wp:positionV relativeFrom="paragraph">
            <wp:posOffset>-198754</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9103F4" w14:paraId="134B50C8" w14:textId="77777777">
      <w:tc>
        <w:tcPr>
          <w:tcW w:w="2551" w:type="dxa"/>
          <w:vAlign w:val="center"/>
        </w:tcPr>
        <w:p w14:paraId="50E9E18D" w14:textId="77777777"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77EB750" w14:textId="77777777" w:rsidR="009103F4" w:rsidRDefault="009103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9103F4" w14:paraId="328E9A12" w14:textId="77777777">
      <w:tc>
        <w:tcPr>
          <w:tcW w:w="2551" w:type="dxa"/>
          <w:vAlign w:val="center"/>
        </w:tcPr>
        <w:p w14:paraId="4B66BE88" w14:textId="77777777" w:rsidR="009103F4" w:rsidRDefault="009103F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FA831E3" w14:textId="77777777" w:rsidR="009103F4" w:rsidRDefault="009103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9103F4" w14:paraId="39F90C82" w14:textId="77777777">
      <w:trPr>
        <w:trHeight w:val="228"/>
      </w:trPr>
      <w:tc>
        <w:tcPr>
          <w:tcW w:w="2551" w:type="dxa"/>
          <w:vAlign w:val="center"/>
        </w:tcPr>
        <w:p w14:paraId="23B97EC1" w14:textId="77777777"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E408044" w14:textId="77777777" w:rsidR="009103F4" w:rsidRDefault="009103F4">
          <w:pPr>
            <w:rPr>
              <w:rFonts w:ascii="Palatino Linotype" w:eastAsia="Palatino Linotype" w:hAnsi="Palatino Linotype" w:cs="Palatino Linotype"/>
              <w:b/>
              <w:sz w:val="22"/>
              <w:szCs w:val="22"/>
            </w:rPr>
          </w:pPr>
        </w:p>
      </w:tc>
      <w:tc>
        <w:tcPr>
          <w:tcW w:w="3119" w:type="dxa"/>
          <w:vAlign w:val="center"/>
        </w:tcPr>
        <w:p w14:paraId="2B85757D" w14:textId="77777777" w:rsidR="009103F4" w:rsidRDefault="009103F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9103F4" w14:paraId="3B6BF07E" w14:textId="77777777">
      <w:tc>
        <w:tcPr>
          <w:tcW w:w="2551" w:type="dxa"/>
          <w:vAlign w:val="center"/>
        </w:tcPr>
        <w:p w14:paraId="2261B7BD" w14:textId="77777777" w:rsidR="009103F4" w:rsidRDefault="009103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9D27F57" w14:textId="77777777" w:rsidR="009103F4" w:rsidRDefault="009103F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F5DAFB" w14:textId="77777777" w:rsidR="009103F4" w:rsidRDefault="009103F4">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5C20"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FF5C"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1EBF" w14:textId="77777777" w:rsidR="009103F4" w:rsidRDefault="009103F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C495FFA" w14:textId="77777777" w:rsidR="009103F4" w:rsidRDefault="009103F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D19"/>
    <w:multiLevelType w:val="multilevel"/>
    <w:tmpl w:val="02EA2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318BD"/>
    <w:multiLevelType w:val="multilevel"/>
    <w:tmpl w:val="5E160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4274D"/>
    <w:multiLevelType w:val="hybridMultilevel"/>
    <w:tmpl w:val="3E56EBC4"/>
    <w:lvl w:ilvl="0" w:tplc="EBEC7C12">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23E5C"/>
    <w:multiLevelType w:val="multilevel"/>
    <w:tmpl w:val="0D802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4647209"/>
    <w:multiLevelType w:val="hybridMultilevel"/>
    <w:tmpl w:val="C0E4A21C"/>
    <w:lvl w:ilvl="0" w:tplc="1B9EC28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D66AA3"/>
    <w:multiLevelType w:val="multilevel"/>
    <w:tmpl w:val="A0845F6A"/>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276A5A"/>
    <w:multiLevelType w:val="multilevel"/>
    <w:tmpl w:val="9760AE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6F60D3"/>
    <w:multiLevelType w:val="multilevel"/>
    <w:tmpl w:val="9EC8EA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23F558D"/>
    <w:multiLevelType w:val="multilevel"/>
    <w:tmpl w:val="7D4651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61A2ED3"/>
    <w:multiLevelType w:val="multilevel"/>
    <w:tmpl w:val="33362C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007C1E"/>
    <w:multiLevelType w:val="multilevel"/>
    <w:tmpl w:val="D7544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143BD1"/>
    <w:multiLevelType w:val="multilevel"/>
    <w:tmpl w:val="F782CDC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8"/>
  </w:num>
  <w:num w:numId="2">
    <w:abstractNumId w:val="0"/>
  </w:num>
  <w:num w:numId="3">
    <w:abstractNumId w:val="11"/>
  </w:num>
  <w:num w:numId="4">
    <w:abstractNumId w:val="17"/>
  </w:num>
  <w:num w:numId="5">
    <w:abstractNumId w:val="1"/>
  </w:num>
  <w:num w:numId="6">
    <w:abstractNumId w:val="4"/>
  </w:num>
  <w:num w:numId="7">
    <w:abstractNumId w:val="7"/>
  </w:num>
  <w:num w:numId="8">
    <w:abstractNumId w:val="14"/>
  </w:num>
  <w:num w:numId="9">
    <w:abstractNumId w:val="3"/>
  </w:num>
  <w:num w:numId="10">
    <w:abstractNumId w:val="10"/>
  </w:num>
  <w:num w:numId="11">
    <w:abstractNumId w:val="15"/>
  </w:num>
  <w:num w:numId="12">
    <w:abstractNumId w:val="5"/>
  </w:num>
  <w:num w:numId="13">
    <w:abstractNumId w:val="6"/>
  </w:num>
  <w:num w:numId="14">
    <w:abstractNumId w:val="16"/>
  </w:num>
  <w:num w:numId="15">
    <w:abstractNumId w:val="2"/>
  </w:num>
  <w:num w:numId="16">
    <w:abstractNumId w:val="12"/>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83"/>
    <w:rsid w:val="00011912"/>
    <w:rsid w:val="00061307"/>
    <w:rsid w:val="00157213"/>
    <w:rsid w:val="001E1108"/>
    <w:rsid w:val="00211D9C"/>
    <w:rsid w:val="00244E6C"/>
    <w:rsid w:val="00295C46"/>
    <w:rsid w:val="002F2A2F"/>
    <w:rsid w:val="003012FC"/>
    <w:rsid w:val="0032304C"/>
    <w:rsid w:val="00324576"/>
    <w:rsid w:val="003536B1"/>
    <w:rsid w:val="00356F83"/>
    <w:rsid w:val="00371D66"/>
    <w:rsid w:val="0039027B"/>
    <w:rsid w:val="00396AA2"/>
    <w:rsid w:val="003B1B7C"/>
    <w:rsid w:val="003B50C4"/>
    <w:rsid w:val="00501FAA"/>
    <w:rsid w:val="0050256D"/>
    <w:rsid w:val="0055542D"/>
    <w:rsid w:val="005D411B"/>
    <w:rsid w:val="005E328B"/>
    <w:rsid w:val="00602573"/>
    <w:rsid w:val="00652798"/>
    <w:rsid w:val="006537F4"/>
    <w:rsid w:val="006D4DDF"/>
    <w:rsid w:val="0076204D"/>
    <w:rsid w:val="008257CD"/>
    <w:rsid w:val="00826DB8"/>
    <w:rsid w:val="0084305B"/>
    <w:rsid w:val="00890F95"/>
    <w:rsid w:val="008B32FB"/>
    <w:rsid w:val="009103F4"/>
    <w:rsid w:val="00972447"/>
    <w:rsid w:val="00972F86"/>
    <w:rsid w:val="009A7078"/>
    <w:rsid w:val="009B17BC"/>
    <w:rsid w:val="009B6A85"/>
    <w:rsid w:val="00A972A9"/>
    <w:rsid w:val="00B05BE3"/>
    <w:rsid w:val="00B5779F"/>
    <w:rsid w:val="00BE24CC"/>
    <w:rsid w:val="00C01AED"/>
    <w:rsid w:val="00C75FA3"/>
    <w:rsid w:val="00CB442F"/>
    <w:rsid w:val="00CD3B1E"/>
    <w:rsid w:val="00D2582C"/>
    <w:rsid w:val="00D66584"/>
    <w:rsid w:val="00D70C42"/>
    <w:rsid w:val="00D73018"/>
    <w:rsid w:val="00DA69BD"/>
    <w:rsid w:val="00DD321F"/>
    <w:rsid w:val="00E53FC1"/>
    <w:rsid w:val="00E90927"/>
    <w:rsid w:val="00E92A98"/>
    <w:rsid w:val="00EB7940"/>
    <w:rsid w:val="00F02436"/>
    <w:rsid w:val="00F272DB"/>
    <w:rsid w:val="00F602AE"/>
    <w:rsid w:val="00F60AFB"/>
    <w:rsid w:val="00F610F4"/>
    <w:rsid w:val="00F77983"/>
    <w:rsid w:val="00F82FA3"/>
    <w:rsid w:val="00FB652E"/>
    <w:rsid w:val="00FB6EEE"/>
    <w:rsid w:val="00FE1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0E1B0"/>
  <w15:docId w15:val="{D6DA8F82-5FDD-4F25-8575-FC6B4D71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8985">
      <w:bodyDiv w:val="1"/>
      <w:marLeft w:val="0"/>
      <w:marRight w:val="0"/>
      <w:marTop w:val="0"/>
      <w:marBottom w:val="0"/>
      <w:divBdr>
        <w:top w:val="none" w:sz="0" w:space="0" w:color="auto"/>
        <w:left w:val="none" w:sz="0" w:space="0" w:color="auto"/>
        <w:bottom w:val="none" w:sz="0" w:space="0" w:color="auto"/>
        <w:right w:val="none" w:sz="0" w:space="0" w:color="auto"/>
      </w:divBdr>
    </w:div>
    <w:div w:id="360403914">
      <w:bodyDiv w:val="1"/>
      <w:marLeft w:val="0"/>
      <w:marRight w:val="0"/>
      <w:marTop w:val="0"/>
      <w:marBottom w:val="0"/>
      <w:divBdr>
        <w:top w:val="none" w:sz="0" w:space="0" w:color="auto"/>
        <w:left w:val="none" w:sz="0" w:space="0" w:color="auto"/>
        <w:bottom w:val="none" w:sz="0" w:space="0" w:color="auto"/>
        <w:right w:val="none" w:sz="0" w:space="0" w:color="auto"/>
      </w:divBdr>
    </w:div>
    <w:div w:id="443306107">
      <w:bodyDiv w:val="1"/>
      <w:marLeft w:val="0"/>
      <w:marRight w:val="0"/>
      <w:marTop w:val="0"/>
      <w:marBottom w:val="0"/>
      <w:divBdr>
        <w:top w:val="none" w:sz="0" w:space="0" w:color="auto"/>
        <w:left w:val="none" w:sz="0" w:space="0" w:color="auto"/>
        <w:bottom w:val="none" w:sz="0" w:space="0" w:color="auto"/>
        <w:right w:val="none" w:sz="0" w:space="0" w:color="auto"/>
      </w:divBdr>
    </w:div>
    <w:div w:id="630013934">
      <w:bodyDiv w:val="1"/>
      <w:marLeft w:val="0"/>
      <w:marRight w:val="0"/>
      <w:marTop w:val="0"/>
      <w:marBottom w:val="0"/>
      <w:divBdr>
        <w:top w:val="none" w:sz="0" w:space="0" w:color="auto"/>
        <w:left w:val="none" w:sz="0" w:space="0" w:color="auto"/>
        <w:bottom w:val="none" w:sz="0" w:space="0" w:color="auto"/>
        <w:right w:val="none" w:sz="0" w:space="0" w:color="auto"/>
      </w:divBdr>
    </w:div>
    <w:div w:id="753282251">
      <w:bodyDiv w:val="1"/>
      <w:marLeft w:val="0"/>
      <w:marRight w:val="0"/>
      <w:marTop w:val="0"/>
      <w:marBottom w:val="0"/>
      <w:divBdr>
        <w:top w:val="none" w:sz="0" w:space="0" w:color="auto"/>
        <w:left w:val="none" w:sz="0" w:space="0" w:color="auto"/>
        <w:bottom w:val="none" w:sz="0" w:space="0" w:color="auto"/>
        <w:right w:val="none" w:sz="0" w:space="0" w:color="auto"/>
      </w:divBdr>
    </w:div>
    <w:div w:id="808982692">
      <w:bodyDiv w:val="1"/>
      <w:marLeft w:val="0"/>
      <w:marRight w:val="0"/>
      <w:marTop w:val="0"/>
      <w:marBottom w:val="0"/>
      <w:divBdr>
        <w:top w:val="none" w:sz="0" w:space="0" w:color="auto"/>
        <w:left w:val="none" w:sz="0" w:space="0" w:color="auto"/>
        <w:bottom w:val="none" w:sz="0" w:space="0" w:color="auto"/>
        <w:right w:val="none" w:sz="0" w:space="0" w:color="auto"/>
      </w:divBdr>
    </w:div>
    <w:div w:id="820729224">
      <w:bodyDiv w:val="1"/>
      <w:marLeft w:val="0"/>
      <w:marRight w:val="0"/>
      <w:marTop w:val="0"/>
      <w:marBottom w:val="0"/>
      <w:divBdr>
        <w:top w:val="none" w:sz="0" w:space="0" w:color="auto"/>
        <w:left w:val="none" w:sz="0" w:space="0" w:color="auto"/>
        <w:bottom w:val="none" w:sz="0" w:space="0" w:color="auto"/>
        <w:right w:val="none" w:sz="0" w:space="0" w:color="auto"/>
      </w:divBdr>
    </w:div>
    <w:div w:id="854811394">
      <w:bodyDiv w:val="1"/>
      <w:marLeft w:val="0"/>
      <w:marRight w:val="0"/>
      <w:marTop w:val="0"/>
      <w:marBottom w:val="0"/>
      <w:divBdr>
        <w:top w:val="none" w:sz="0" w:space="0" w:color="auto"/>
        <w:left w:val="none" w:sz="0" w:space="0" w:color="auto"/>
        <w:bottom w:val="none" w:sz="0" w:space="0" w:color="auto"/>
        <w:right w:val="none" w:sz="0" w:space="0" w:color="auto"/>
      </w:divBdr>
    </w:div>
    <w:div w:id="873660739">
      <w:bodyDiv w:val="1"/>
      <w:marLeft w:val="0"/>
      <w:marRight w:val="0"/>
      <w:marTop w:val="0"/>
      <w:marBottom w:val="0"/>
      <w:divBdr>
        <w:top w:val="none" w:sz="0" w:space="0" w:color="auto"/>
        <w:left w:val="none" w:sz="0" w:space="0" w:color="auto"/>
        <w:bottom w:val="none" w:sz="0" w:space="0" w:color="auto"/>
        <w:right w:val="none" w:sz="0" w:space="0" w:color="auto"/>
      </w:divBdr>
    </w:div>
    <w:div w:id="994336184">
      <w:bodyDiv w:val="1"/>
      <w:marLeft w:val="0"/>
      <w:marRight w:val="0"/>
      <w:marTop w:val="0"/>
      <w:marBottom w:val="0"/>
      <w:divBdr>
        <w:top w:val="none" w:sz="0" w:space="0" w:color="auto"/>
        <w:left w:val="none" w:sz="0" w:space="0" w:color="auto"/>
        <w:bottom w:val="none" w:sz="0" w:space="0" w:color="auto"/>
        <w:right w:val="none" w:sz="0" w:space="0" w:color="auto"/>
      </w:divBdr>
    </w:div>
    <w:div w:id="1173764177">
      <w:bodyDiv w:val="1"/>
      <w:marLeft w:val="0"/>
      <w:marRight w:val="0"/>
      <w:marTop w:val="0"/>
      <w:marBottom w:val="0"/>
      <w:divBdr>
        <w:top w:val="none" w:sz="0" w:space="0" w:color="auto"/>
        <w:left w:val="none" w:sz="0" w:space="0" w:color="auto"/>
        <w:bottom w:val="none" w:sz="0" w:space="0" w:color="auto"/>
        <w:right w:val="none" w:sz="0" w:space="0" w:color="auto"/>
      </w:divBdr>
    </w:div>
    <w:div w:id="1202935463">
      <w:bodyDiv w:val="1"/>
      <w:marLeft w:val="0"/>
      <w:marRight w:val="0"/>
      <w:marTop w:val="0"/>
      <w:marBottom w:val="0"/>
      <w:divBdr>
        <w:top w:val="none" w:sz="0" w:space="0" w:color="auto"/>
        <w:left w:val="none" w:sz="0" w:space="0" w:color="auto"/>
        <w:bottom w:val="none" w:sz="0" w:space="0" w:color="auto"/>
        <w:right w:val="none" w:sz="0" w:space="0" w:color="auto"/>
      </w:divBdr>
    </w:div>
    <w:div w:id="1272592334">
      <w:bodyDiv w:val="1"/>
      <w:marLeft w:val="0"/>
      <w:marRight w:val="0"/>
      <w:marTop w:val="0"/>
      <w:marBottom w:val="0"/>
      <w:divBdr>
        <w:top w:val="none" w:sz="0" w:space="0" w:color="auto"/>
        <w:left w:val="none" w:sz="0" w:space="0" w:color="auto"/>
        <w:bottom w:val="none" w:sz="0" w:space="0" w:color="auto"/>
        <w:right w:val="none" w:sz="0" w:space="0" w:color="auto"/>
      </w:divBdr>
    </w:div>
    <w:div w:id="1292706749">
      <w:bodyDiv w:val="1"/>
      <w:marLeft w:val="0"/>
      <w:marRight w:val="0"/>
      <w:marTop w:val="0"/>
      <w:marBottom w:val="0"/>
      <w:divBdr>
        <w:top w:val="none" w:sz="0" w:space="0" w:color="auto"/>
        <w:left w:val="none" w:sz="0" w:space="0" w:color="auto"/>
        <w:bottom w:val="none" w:sz="0" w:space="0" w:color="auto"/>
        <w:right w:val="none" w:sz="0" w:space="0" w:color="auto"/>
      </w:divBdr>
    </w:div>
    <w:div w:id="1794864394">
      <w:bodyDiv w:val="1"/>
      <w:marLeft w:val="0"/>
      <w:marRight w:val="0"/>
      <w:marTop w:val="0"/>
      <w:marBottom w:val="0"/>
      <w:divBdr>
        <w:top w:val="none" w:sz="0" w:space="0" w:color="auto"/>
        <w:left w:val="none" w:sz="0" w:space="0" w:color="auto"/>
        <w:bottom w:val="none" w:sz="0" w:space="0" w:color="auto"/>
        <w:right w:val="none" w:sz="0" w:space="0" w:color="auto"/>
      </w:divBdr>
    </w:div>
    <w:div w:id="1905950049">
      <w:bodyDiv w:val="1"/>
      <w:marLeft w:val="0"/>
      <w:marRight w:val="0"/>
      <w:marTop w:val="0"/>
      <w:marBottom w:val="0"/>
      <w:divBdr>
        <w:top w:val="none" w:sz="0" w:space="0" w:color="auto"/>
        <w:left w:val="none" w:sz="0" w:space="0" w:color="auto"/>
        <w:bottom w:val="none" w:sz="0" w:space="0" w:color="auto"/>
        <w:right w:val="none" w:sz="0" w:space="0" w:color="auto"/>
      </w:divBdr>
    </w:div>
    <w:div w:id="1931815634">
      <w:bodyDiv w:val="1"/>
      <w:marLeft w:val="0"/>
      <w:marRight w:val="0"/>
      <w:marTop w:val="0"/>
      <w:marBottom w:val="0"/>
      <w:divBdr>
        <w:top w:val="none" w:sz="0" w:space="0" w:color="auto"/>
        <w:left w:val="none" w:sz="0" w:space="0" w:color="auto"/>
        <w:bottom w:val="none" w:sz="0" w:space="0" w:color="auto"/>
        <w:right w:val="none" w:sz="0" w:space="0" w:color="auto"/>
      </w:divBdr>
    </w:div>
    <w:div w:id="1991591636">
      <w:bodyDiv w:val="1"/>
      <w:marLeft w:val="0"/>
      <w:marRight w:val="0"/>
      <w:marTop w:val="0"/>
      <w:marBottom w:val="0"/>
      <w:divBdr>
        <w:top w:val="none" w:sz="0" w:space="0" w:color="auto"/>
        <w:left w:val="none" w:sz="0" w:space="0" w:color="auto"/>
        <w:bottom w:val="none" w:sz="0" w:space="0" w:color="auto"/>
        <w:right w:val="none" w:sz="0" w:space="0" w:color="auto"/>
      </w:divBdr>
    </w:div>
    <w:div w:id="214481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0tuaajlSHKX3Aa/01mV/HV5uQ==">CgMxLjAyCWguM3pueXNoNzIIaC5namRneHMyCWguMzBqMHpsbDgAciExWnJMQjk5NmtVNlowdzM1dmhLcGxjeDNUcm9FMmlGYmE=</go:docsCustomData>
</go:gDocsCustomXmlDataStorage>
</file>

<file path=customXml/itemProps1.xml><?xml version="1.0" encoding="utf-8"?>
<ds:datastoreItem xmlns:ds="http://schemas.openxmlformats.org/officeDocument/2006/customXml" ds:itemID="{064AAAED-E9E1-41D4-A1A0-7B61B34890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10459</Words>
  <Characters>57528</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2025-08-29T19:50:00Z</cp:lastPrinted>
  <dcterms:created xsi:type="dcterms:W3CDTF">2025-09-06T00:24:00Z</dcterms:created>
  <dcterms:modified xsi:type="dcterms:W3CDTF">2025-09-06T00:24:00Z</dcterms:modified>
</cp:coreProperties>
</file>