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DA8" w:rsidRPr="00DF40A3" w:rsidRDefault="00952A01" w:rsidP="00DF40A3">
      <w:pPr>
        <w:tabs>
          <w:tab w:val="left" w:pos="0"/>
        </w:tabs>
        <w:spacing w:line="360" w:lineRule="auto"/>
        <w:jc w:val="both"/>
        <w:rPr>
          <w:rFonts w:ascii="Palatino Linotype" w:eastAsia="Palatino Linotype" w:hAnsi="Palatino Linotype" w:cs="Palatino Linotype"/>
          <w:b/>
          <w:color w:val="000000" w:themeColor="text1"/>
        </w:rPr>
      </w:pPr>
      <w:bookmarkStart w:id="0" w:name="_heading=h.sre9h05q4v0b" w:colFirst="0" w:colLast="0"/>
      <w:bookmarkStart w:id="1" w:name="_GoBack"/>
      <w:bookmarkEnd w:id="0"/>
      <w:bookmarkEnd w:id="1"/>
      <w:r w:rsidRPr="00DF40A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477DCA">
        <w:rPr>
          <w:rFonts w:ascii="Palatino Linotype" w:eastAsia="Palatino Linotype" w:hAnsi="Palatino Linotype" w:cs="Palatino Linotype"/>
          <w:b/>
          <w:color w:val="000000" w:themeColor="text1"/>
        </w:rPr>
        <w:t>uno (01)</w:t>
      </w:r>
      <w:r w:rsidRPr="00DF40A3">
        <w:rPr>
          <w:rFonts w:ascii="Palatino Linotype" w:eastAsia="Palatino Linotype" w:hAnsi="Palatino Linotype" w:cs="Palatino Linotype"/>
          <w:b/>
          <w:color w:val="000000" w:themeColor="text1"/>
        </w:rPr>
        <w:t xml:space="preserve"> de octubre de dos mil veinticinco.</w:t>
      </w:r>
    </w:p>
    <w:p w:rsidR="00334DA8" w:rsidRPr="00DF40A3" w:rsidRDefault="00334DA8" w:rsidP="00DF40A3">
      <w:pPr>
        <w:tabs>
          <w:tab w:val="left" w:pos="0"/>
        </w:tabs>
        <w:spacing w:line="360" w:lineRule="auto"/>
        <w:jc w:val="both"/>
        <w:rPr>
          <w:rFonts w:ascii="Palatino Linotype" w:eastAsia="Palatino Linotype" w:hAnsi="Palatino Linotype" w:cs="Palatino Linotype"/>
          <w:color w:val="000000" w:themeColor="text1"/>
        </w:rPr>
      </w:pPr>
      <w:bookmarkStart w:id="2" w:name="_heading=h.wj0qy8vet2ti" w:colFirst="0" w:colLast="0"/>
      <w:bookmarkEnd w:id="2"/>
    </w:p>
    <w:p w:rsidR="00334DA8" w:rsidRPr="00DF40A3" w:rsidRDefault="00334DA8" w:rsidP="00DF40A3">
      <w:pPr>
        <w:tabs>
          <w:tab w:val="left" w:pos="0"/>
          <w:tab w:val="left" w:pos="567"/>
        </w:tabs>
        <w:spacing w:line="360" w:lineRule="auto"/>
        <w:jc w:val="both"/>
        <w:rPr>
          <w:rFonts w:ascii="Palatino Linotype" w:eastAsia="Palatino Linotype" w:hAnsi="Palatino Linotype" w:cs="Palatino Linotype"/>
          <w:color w:val="000000" w:themeColor="text1"/>
        </w:rPr>
      </w:pPr>
    </w:p>
    <w:p w:rsidR="00334DA8" w:rsidRPr="00DF40A3" w:rsidRDefault="00952A01" w:rsidP="00DF40A3">
      <w:pPr>
        <w:tabs>
          <w:tab w:val="left" w:pos="0"/>
        </w:tabs>
        <w:spacing w:line="360" w:lineRule="auto"/>
        <w:jc w:val="both"/>
        <w:rPr>
          <w:rFonts w:ascii="Palatino Linotype" w:eastAsia="Palatino Linotype" w:hAnsi="Palatino Linotype" w:cs="Palatino Linotype"/>
          <w:color w:val="000000" w:themeColor="text1"/>
        </w:rPr>
      </w:pPr>
      <w:bookmarkStart w:id="3" w:name="_heading=h.gjdgxs" w:colFirst="0" w:colLast="0"/>
      <w:bookmarkEnd w:id="3"/>
      <w:r w:rsidRPr="00DF40A3">
        <w:rPr>
          <w:rFonts w:ascii="Palatino Linotype" w:eastAsia="Palatino Linotype" w:hAnsi="Palatino Linotype" w:cs="Palatino Linotype"/>
          <w:b/>
          <w:color w:val="000000" w:themeColor="text1"/>
        </w:rPr>
        <w:t>VISTO</w:t>
      </w:r>
      <w:r w:rsidRPr="00DF40A3">
        <w:rPr>
          <w:rFonts w:ascii="Palatino Linotype" w:eastAsia="Palatino Linotype" w:hAnsi="Palatino Linotype" w:cs="Palatino Linotype"/>
          <w:color w:val="000000" w:themeColor="text1"/>
        </w:rPr>
        <w:t xml:space="preserve"> el expediente electrónico formado con motivo del recurso de revisión </w:t>
      </w:r>
      <w:r w:rsidRPr="00DF40A3">
        <w:rPr>
          <w:rFonts w:ascii="Palatino Linotype" w:eastAsia="Palatino Linotype" w:hAnsi="Palatino Linotype" w:cs="Palatino Linotype"/>
          <w:b/>
          <w:color w:val="000000" w:themeColor="text1"/>
        </w:rPr>
        <w:t>10388/INFOEM/IP/RR/2025</w:t>
      </w:r>
      <w:r w:rsidRPr="00DF40A3">
        <w:rPr>
          <w:rFonts w:ascii="Palatino Linotype" w:eastAsia="Palatino Linotype" w:hAnsi="Palatino Linotype" w:cs="Palatino Linotype"/>
          <w:color w:val="000000" w:themeColor="text1"/>
        </w:rPr>
        <w:t>,</w:t>
      </w:r>
      <w:r w:rsidRPr="00DF40A3">
        <w:rPr>
          <w:rFonts w:ascii="Palatino Linotype" w:eastAsia="Palatino Linotype" w:hAnsi="Palatino Linotype" w:cs="Palatino Linotype"/>
          <w:b/>
          <w:color w:val="000000" w:themeColor="text1"/>
        </w:rPr>
        <w:t xml:space="preserve"> </w:t>
      </w:r>
      <w:r w:rsidRPr="00DF40A3">
        <w:rPr>
          <w:rFonts w:ascii="Palatino Linotype" w:eastAsia="Palatino Linotype" w:hAnsi="Palatino Linotype" w:cs="Palatino Linotype"/>
          <w:color w:val="000000" w:themeColor="text1"/>
        </w:rPr>
        <w:t xml:space="preserve">promovido por </w:t>
      </w:r>
      <w:r w:rsidR="007606B3">
        <w:rPr>
          <w:rFonts w:ascii="Palatino Linotype" w:eastAsia="Palatino Linotype" w:hAnsi="Palatino Linotype" w:cs="Palatino Linotype"/>
          <w:b/>
          <w:color w:val="000000" w:themeColor="text1"/>
        </w:rPr>
        <w:t>XXXX</w:t>
      </w:r>
      <w:r w:rsidRPr="00DF40A3">
        <w:rPr>
          <w:rFonts w:ascii="Palatino Linotype" w:eastAsia="Palatino Linotype" w:hAnsi="Palatino Linotype" w:cs="Palatino Linotype"/>
          <w:color w:val="000000" w:themeColor="text1"/>
        </w:rPr>
        <w:t>,</w:t>
      </w:r>
      <w:r w:rsidR="007606B3">
        <w:rPr>
          <w:rFonts w:ascii="Palatino Linotype" w:eastAsia="Palatino Linotype" w:hAnsi="Palatino Linotype" w:cs="Palatino Linotype"/>
          <w:color w:val="000000" w:themeColor="text1"/>
        </w:rPr>
        <w:t xml:space="preserve"> a quien denominaremos </w:t>
      </w:r>
      <w:r w:rsidR="007606B3" w:rsidRPr="007606B3">
        <w:rPr>
          <w:rFonts w:ascii="Palatino Linotype" w:eastAsia="Palatino Linotype" w:hAnsi="Palatino Linotype" w:cs="Palatino Linotype"/>
          <w:b/>
          <w:color w:val="000000" w:themeColor="text1"/>
        </w:rPr>
        <w:t>RECURRENTE</w:t>
      </w:r>
      <w:r w:rsidR="007606B3">
        <w:rPr>
          <w:rFonts w:ascii="Palatino Linotype" w:eastAsia="Palatino Linotype" w:hAnsi="Palatino Linotype" w:cs="Palatino Linotype"/>
          <w:color w:val="000000" w:themeColor="text1"/>
        </w:rPr>
        <w:t>,</w:t>
      </w:r>
      <w:r w:rsidRPr="007606B3">
        <w:rPr>
          <w:rFonts w:ascii="Palatino Linotype" w:eastAsia="Palatino Linotype" w:hAnsi="Palatino Linotype" w:cs="Palatino Linotype"/>
          <w:color w:val="000000" w:themeColor="text1"/>
        </w:rPr>
        <w:t xml:space="preserve"> </w:t>
      </w:r>
      <w:r w:rsidRPr="00DF40A3">
        <w:rPr>
          <w:rFonts w:ascii="Palatino Linotype" w:eastAsia="Palatino Linotype" w:hAnsi="Palatino Linotype" w:cs="Palatino Linotype"/>
          <w:color w:val="000000" w:themeColor="text1"/>
        </w:rPr>
        <w:t xml:space="preserve">en contra de la respuesta del </w:t>
      </w:r>
      <w:r w:rsidRPr="00DF40A3">
        <w:rPr>
          <w:rFonts w:ascii="Palatino Linotype" w:eastAsia="Palatino Linotype" w:hAnsi="Palatino Linotype" w:cs="Palatino Linotype"/>
          <w:b/>
          <w:color w:val="000000" w:themeColor="text1"/>
        </w:rPr>
        <w:t xml:space="preserve">Ayuntamiento de Ecatepec de Morelos, </w:t>
      </w:r>
      <w:r w:rsidRPr="00DF40A3">
        <w:rPr>
          <w:rFonts w:ascii="Palatino Linotype" w:eastAsia="Palatino Linotype" w:hAnsi="Palatino Linotype" w:cs="Palatino Linotype"/>
          <w:color w:val="000000" w:themeColor="text1"/>
        </w:rPr>
        <w:t>en adelante el</w:t>
      </w:r>
      <w:r w:rsidRPr="00DF40A3">
        <w:rPr>
          <w:rFonts w:ascii="Palatino Linotype" w:eastAsia="Palatino Linotype" w:hAnsi="Palatino Linotype" w:cs="Palatino Linotype"/>
          <w:b/>
          <w:color w:val="000000" w:themeColor="text1"/>
        </w:rPr>
        <w:t xml:space="preserve"> SUJETO OBLIGADO</w:t>
      </w:r>
      <w:r w:rsidRPr="00DF40A3">
        <w:rPr>
          <w:rFonts w:ascii="Palatino Linotype" w:eastAsia="Palatino Linotype" w:hAnsi="Palatino Linotype" w:cs="Palatino Linotype"/>
          <w:color w:val="000000" w:themeColor="text1"/>
        </w:rPr>
        <w:t>, se procede a dictar la presente resolución, con base en los siguientes:</w:t>
      </w:r>
    </w:p>
    <w:p w:rsidR="00334DA8" w:rsidRPr="00DF40A3" w:rsidRDefault="00334DA8" w:rsidP="00DF40A3">
      <w:pPr>
        <w:tabs>
          <w:tab w:val="left" w:pos="0"/>
        </w:tabs>
        <w:spacing w:line="360" w:lineRule="auto"/>
        <w:jc w:val="both"/>
        <w:rPr>
          <w:rFonts w:ascii="Palatino Linotype" w:eastAsia="Palatino Linotype" w:hAnsi="Palatino Linotype" w:cs="Palatino Linotype"/>
          <w:color w:val="000000" w:themeColor="text1"/>
        </w:rPr>
      </w:pPr>
    </w:p>
    <w:p w:rsidR="00334DA8" w:rsidRPr="00DF40A3" w:rsidRDefault="00952A01" w:rsidP="00DF40A3">
      <w:pPr>
        <w:pStyle w:val="Ttulo1"/>
        <w:tabs>
          <w:tab w:val="left" w:pos="0"/>
          <w:tab w:val="left" w:pos="567"/>
        </w:tabs>
        <w:spacing w:before="0" w:line="360" w:lineRule="auto"/>
        <w:jc w:val="center"/>
        <w:rPr>
          <w:b w:val="0"/>
          <w:color w:val="000000" w:themeColor="text1"/>
        </w:rPr>
      </w:pPr>
      <w:bookmarkStart w:id="4" w:name="_heading=h.30j0zll" w:colFirst="0" w:colLast="0"/>
      <w:bookmarkEnd w:id="4"/>
      <w:r w:rsidRPr="00DF40A3">
        <w:rPr>
          <w:color w:val="000000" w:themeColor="text1"/>
        </w:rPr>
        <w:t>A N T E C E D E N T E S</w:t>
      </w:r>
    </w:p>
    <w:p w:rsidR="00334DA8" w:rsidRPr="00DF40A3" w:rsidRDefault="00334DA8" w:rsidP="00DF40A3">
      <w:pPr>
        <w:pStyle w:val="Ttulo1"/>
        <w:tabs>
          <w:tab w:val="left" w:pos="0"/>
          <w:tab w:val="left" w:pos="567"/>
        </w:tabs>
        <w:spacing w:before="0" w:line="360" w:lineRule="auto"/>
        <w:jc w:val="center"/>
        <w:rPr>
          <w:color w:val="000000" w:themeColor="text1"/>
        </w:rPr>
      </w:pPr>
    </w:p>
    <w:p w:rsidR="00334DA8" w:rsidRPr="00DF40A3" w:rsidRDefault="00952A01" w:rsidP="00DF40A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color w:val="000000" w:themeColor="text1"/>
        </w:rPr>
        <w:t xml:space="preserve">El </w:t>
      </w:r>
      <w:r w:rsidRPr="00DF40A3">
        <w:rPr>
          <w:rFonts w:ascii="Palatino Linotype" w:eastAsia="Palatino Linotype" w:hAnsi="Palatino Linotype" w:cs="Palatino Linotype"/>
          <w:b/>
          <w:color w:val="000000" w:themeColor="text1"/>
        </w:rPr>
        <w:t xml:space="preserve">doce de agosto de dos mil veinticinco, </w:t>
      </w:r>
      <w:r w:rsidRPr="00DF40A3">
        <w:rPr>
          <w:rFonts w:ascii="Palatino Linotype" w:eastAsia="Palatino Linotype" w:hAnsi="Palatino Linotype" w:cs="Palatino Linotype"/>
          <w:color w:val="000000" w:themeColor="text1"/>
        </w:rPr>
        <w:t xml:space="preserve">se presentó ante el </w:t>
      </w:r>
      <w:r w:rsidRPr="00DF40A3">
        <w:rPr>
          <w:rFonts w:ascii="Palatino Linotype" w:eastAsia="Palatino Linotype" w:hAnsi="Palatino Linotype" w:cs="Palatino Linotype"/>
          <w:b/>
          <w:color w:val="000000" w:themeColor="text1"/>
        </w:rPr>
        <w:t>SUJETO OBLIGADO</w:t>
      </w:r>
      <w:r w:rsidRPr="00DF40A3">
        <w:rPr>
          <w:rFonts w:ascii="Palatino Linotype" w:eastAsia="Palatino Linotype" w:hAnsi="Palatino Linotype" w:cs="Palatino Linotype"/>
          <w:color w:val="000000" w:themeColor="text1"/>
        </w:rPr>
        <w:t xml:space="preserve"> vía </w:t>
      </w:r>
      <w:r w:rsidRPr="00DF40A3">
        <w:rPr>
          <w:rFonts w:ascii="Palatino Linotype" w:eastAsia="Palatino Linotype" w:hAnsi="Palatino Linotype" w:cs="Palatino Linotype"/>
          <w:b/>
          <w:color w:val="000000" w:themeColor="text1"/>
        </w:rPr>
        <w:t>SAIMEX,</w:t>
      </w:r>
      <w:r w:rsidRPr="00DF40A3">
        <w:rPr>
          <w:rFonts w:ascii="Palatino Linotype" w:eastAsia="Palatino Linotype" w:hAnsi="Palatino Linotype" w:cs="Palatino Linotype"/>
          <w:color w:val="000000" w:themeColor="text1"/>
        </w:rPr>
        <w:t xml:space="preserve"> la solicitud de información pública registrada con el número</w:t>
      </w:r>
      <w:r w:rsidRPr="00DF40A3">
        <w:rPr>
          <w:rFonts w:ascii="Palatino Linotype" w:eastAsia="Palatino Linotype" w:hAnsi="Palatino Linotype" w:cs="Palatino Linotype"/>
          <w:b/>
          <w:color w:val="000000" w:themeColor="text1"/>
        </w:rPr>
        <w:t xml:space="preserve"> 00671/ECATEPEC/IP/2025; </w:t>
      </w:r>
      <w:r w:rsidR="00477DCA">
        <w:rPr>
          <w:rFonts w:ascii="Palatino Linotype" w:eastAsia="Palatino Linotype" w:hAnsi="Palatino Linotype" w:cs="Palatino Linotype"/>
          <w:color w:val="000000" w:themeColor="text1"/>
        </w:rPr>
        <w:t>en la que</w:t>
      </w:r>
      <w:r w:rsidRPr="00DF40A3">
        <w:rPr>
          <w:rFonts w:ascii="Palatino Linotype" w:eastAsia="Palatino Linotype" w:hAnsi="Palatino Linotype" w:cs="Palatino Linotype"/>
          <w:color w:val="000000" w:themeColor="text1"/>
        </w:rPr>
        <w:t xml:space="preserve"> se solicitó la siguiente información:</w:t>
      </w:r>
    </w:p>
    <w:p w:rsidR="00334DA8" w:rsidRPr="00DF40A3" w:rsidRDefault="00334DA8" w:rsidP="00DF40A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334DA8" w:rsidRPr="00DF40A3" w:rsidRDefault="00952A01" w:rsidP="00DF40A3">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DF40A3">
        <w:rPr>
          <w:rFonts w:ascii="Palatino Linotype" w:eastAsia="Palatino Linotype" w:hAnsi="Palatino Linotype" w:cs="Palatino Linotype"/>
          <w:i/>
          <w:color w:val="000000" w:themeColor="text1"/>
        </w:rPr>
        <w:t xml:space="preserve">“Asunto: Solicitud de Información Pública sobre los integrantes de la Unidades Territoriales Comunitarias (UTC) 26 de Ecatepec de Morelos. Dirigido a: H. Ayuntamiento de Ecatepec de Morelos Atención: C. Araceli Cano Carrillo, Directora de Gobierno Avenida Juárez s/n col. San Cristóbal Centro, Ecatepec de Morelos, Estado de México, C.P. 55000 Por la presente, y con fundamento en el derecho humano de acceso a la información pública, amparado en los artículos 6° de la Constitución Política de los Estados Unidos Mexicanos, y los artículos 1°, 2°, 3°, 4° y 23 de la Ley de Transparencia y Acceso a la Información Pública del Estado de México y Municipios, me dirijo a usted para solicitar la siguiente información sobre la Unidades Territoriales Comunitarias (UTC) 26: Nombre completo de todos los integrantes de la UTC 26. El cargo o rol que desempeña cada uno de los integrantes. La fecha de su nombramiento o </w:t>
      </w:r>
      <w:r w:rsidRPr="00DF40A3">
        <w:rPr>
          <w:rFonts w:ascii="Palatino Linotype" w:eastAsia="Palatino Linotype" w:hAnsi="Palatino Linotype" w:cs="Palatino Linotype"/>
          <w:i/>
          <w:color w:val="000000" w:themeColor="text1"/>
        </w:rPr>
        <w:lastRenderedPageBreak/>
        <w:t>designación oficial. Agradezco su atención a esta solicitud y la información que pueda proporcionar para fomentar la transparencia y la participación ciudadana en nuestro municipio. Atentamente,” (Sic)</w:t>
      </w:r>
    </w:p>
    <w:p w:rsidR="00334DA8" w:rsidRPr="00DF40A3" w:rsidRDefault="00334DA8" w:rsidP="00DF40A3">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334DA8" w:rsidRPr="00DF40A3" w:rsidRDefault="00952A01" w:rsidP="00DF40A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color w:val="000000" w:themeColor="text1"/>
        </w:rPr>
        <w:t xml:space="preserve">Se eligió como modalidad de entrega de la información: A través del </w:t>
      </w:r>
      <w:r w:rsidRPr="00DF40A3">
        <w:rPr>
          <w:rFonts w:ascii="Palatino Linotype" w:eastAsia="Palatino Linotype" w:hAnsi="Palatino Linotype" w:cs="Palatino Linotype"/>
          <w:b/>
          <w:color w:val="000000" w:themeColor="text1"/>
        </w:rPr>
        <w:t>SAIMEX.</w:t>
      </w:r>
    </w:p>
    <w:p w:rsidR="00334DA8" w:rsidRPr="00DF40A3" w:rsidRDefault="00334DA8" w:rsidP="00DF40A3">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334DA8" w:rsidRPr="00DF40A3" w:rsidRDefault="00952A01" w:rsidP="00DF40A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color w:val="000000" w:themeColor="text1"/>
        </w:rPr>
        <w:t xml:space="preserve">El </w:t>
      </w:r>
      <w:r w:rsidRPr="00DF40A3">
        <w:rPr>
          <w:rFonts w:ascii="Palatino Linotype" w:eastAsia="Palatino Linotype" w:hAnsi="Palatino Linotype" w:cs="Palatino Linotype"/>
          <w:b/>
          <w:color w:val="000000" w:themeColor="text1"/>
        </w:rPr>
        <w:t>uno de septiembre de dos mil veinticinco</w:t>
      </w:r>
      <w:r w:rsidRPr="00DF40A3">
        <w:rPr>
          <w:rFonts w:ascii="Palatino Linotype" w:eastAsia="Palatino Linotype" w:hAnsi="Palatino Linotype" w:cs="Palatino Linotype"/>
          <w:color w:val="000000" w:themeColor="text1"/>
        </w:rPr>
        <w:t xml:space="preserve">, el </w:t>
      </w:r>
      <w:r w:rsidRPr="00DF40A3">
        <w:rPr>
          <w:rFonts w:ascii="Palatino Linotype" w:eastAsia="Palatino Linotype" w:hAnsi="Palatino Linotype" w:cs="Palatino Linotype"/>
          <w:b/>
          <w:color w:val="000000" w:themeColor="text1"/>
        </w:rPr>
        <w:t>SUJETO OBLIGADO,</w:t>
      </w:r>
      <w:r w:rsidRPr="00DF40A3">
        <w:rPr>
          <w:rFonts w:ascii="Palatino Linotype" w:eastAsia="Palatino Linotype" w:hAnsi="Palatino Linotype" w:cs="Palatino Linotype"/>
          <w:color w:val="000000" w:themeColor="text1"/>
        </w:rPr>
        <w:t xml:space="preserve"> dio respuesta a la solicitud de información en el tenor siguiente:</w:t>
      </w:r>
    </w:p>
    <w:p w:rsidR="00334DA8" w:rsidRPr="00DF40A3" w:rsidRDefault="00952A01" w:rsidP="00DF40A3">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DF40A3">
        <w:rPr>
          <w:rFonts w:ascii="Palatino Linotype" w:eastAsia="Palatino Linotype" w:hAnsi="Palatino Linotype" w:cs="Palatino Linotype"/>
          <w:i/>
          <w:color w:val="000000" w:themeColor="text1"/>
        </w:rPr>
        <w:t>“Ciudadano solicitante 00671/ECATEPEC/IP/2025, por medio del presente reciba un cordial y afectuoso saludo, de igual manera en atención a su solicitud de información, tengo a bien hacer de su conocimiento lo siguiente: referente a la información requerida de la UTC 26, los servidores públicos que atienden esta UTC 26 son Bertha Berber Tinoco Y Aranza Lozano Velázquez, Las comunidades que atienden dentro de su UTC son: Héroes de Ecatepec 1a, 2da, 3ra y 4ta sección, su cargo o rol que desempeñan podrán ser consultados en el artículo 51 (reformado en Acuerdo de cabildo 171/2025 de fecha 31 de julio de 2025) del Bando Municipal 2025 de Ecatepec de Morelos, los servidores públicos no cuentan con nombramiento o designación oficial toda vez que su nivel jerárquico no lo amerita al formar parte del organigrama de la Dirección de Bienestar, Participación Ciudadana y Territorial. Sin más por el momento, quedo de Usted” (Sic)</w:t>
      </w:r>
    </w:p>
    <w:p w:rsidR="00334DA8" w:rsidRPr="00DF40A3" w:rsidRDefault="00334DA8" w:rsidP="00DF40A3">
      <w:pPr>
        <w:tabs>
          <w:tab w:val="left" w:pos="0"/>
        </w:tabs>
        <w:rPr>
          <w:rFonts w:ascii="Palatino Linotype" w:eastAsia="Palatino Linotype" w:hAnsi="Palatino Linotype" w:cs="Palatino Linotype"/>
          <w:color w:val="000000" w:themeColor="text1"/>
        </w:rPr>
      </w:pPr>
    </w:p>
    <w:p w:rsidR="00334DA8" w:rsidRPr="00DF40A3" w:rsidRDefault="00952A01" w:rsidP="00DF40A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color w:val="000000" w:themeColor="text1"/>
        </w:rPr>
        <w:t xml:space="preserve">El </w:t>
      </w:r>
      <w:r w:rsidRPr="00DF40A3">
        <w:rPr>
          <w:rFonts w:ascii="Palatino Linotype" w:eastAsia="Palatino Linotype" w:hAnsi="Palatino Linotype" w:cs="Palatino Linotype"/>
          <w:b/>
          <w:color w:val="000000" w:themeColor="text1"/>
        </w:rPr>
        <w:t>tres de septiembre de febrero de dos mil veinticinco</w:t>
      </w:r>
      <w:r w:rsidRPr="00DF40A3">
        <w:rPr>
          <w:rFonts w:ascii="Palatino Linotype" w:eastAsia="Palatino Linotype" w:hAnsi="Palatino Linotype" w:cs="Palatino Linotype"/>
          <w:color w:val="000000" w:themeColor="text1"/>
        </w:rPr>
        <w:t xml:space="preserve">, la parte </w:t>
      </w:r>
      <w:r w:rsidRPr="00DF40A3">
        <w:rPr>
          <w:rFonts w:ascii="Palatino Linotype" w:eastAsia="Palatino Linotype" w:hAnsi="Palatino Linotype" w:cs="Palatino Linotype"/>
          <w:b/>
          <w:color w:val="000000" w:themeColor="text1"/>
        </w:rPr>
        <w:t>RECURRENTE</w:t>
      </w:r>
      <w:r w:rsidRPr="00DF40A3">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rsidR="00477DCA" w:rsidRDefault="00477DCA" w:rsidP="00477DCA">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bookmarkStart w:id="5" w:name="_heading=h.1fob9te" w:colFirst="0" w:colLast="0"/>
      <w:bookmarkEnd w:id="5"/>
    </w:p>
    <w:p w:rsidR="00334DA8" w:rsidRPr="00477DCA" w:rsidRDefault="00952A01" w:rsidP="00477DCA">
      <w:pPr>
        <w:pStyle w:val="Prrafodelista"/>
        <w:numPr>
          <w:ilvl w:val="0"/>
          <w:numId w:val="4"/>
        </w:num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DCA">
        <w:rPr>
          <w:rFonts w:ascii="Palatino Linotype" w:eastAsia="Palatino Linotype" w:hAnsi="Palatino Linotype" w:cs="Palatino Linotype"/>
          <w:b/>
          <w:color w:val="000000" w:themeColor="text1"/>
        </w:rPr>
        <w:t>Acto impugnado</w:t>
      </w:r>
      <w:r w:rsidRPr="00477DCA">
        <w:rPr>
          <w:rFonts w:ascii="Palatino Linotype" w:eastAsia="Palatino Linotype" w:hAnsi="Palatino Linotype" w:cs="Palatino Linotype"/>
          <w:color w:val="000000" w:themeColor="text1"/>
        </w:rPr>
        <w:t>:</w:t>
      </w:r>
      <w:r w:rsidRPr="00477DCA">
        <w:rPr>
          <w:rFonts w:ascii="Palatino Linotype" w:eastAsia="Palatino Linotype" w:hAnsi="Palatino Linotype" w:cs="Palatino Linotype"/>
          <w:i/>
          <w:color w:val="000000" w:themeColor="text1"/>
        </w:rPr>
        <w:t xml:space="preserve"> “00671/ECATEPEC/IP/2025 </w:t>
      </w:r>
      <w:r w:rsidRPr="00477DCA">
        <w:rPr>
          <w:rFonts w:ascii="Palatino Linotype" w:eastAsia="Palatino Linotype" w:hAnsi="Palatino Linotype" w:cs="Palatino Linotype"/>
          <w:b/>
          <w:i/>
          <w:color w:val="000000" w:themeColor="text1"/>
        </w:rPr>
        <w:t>la respuesta ocasiona dudas</w:t>
      </w:r>
      <w:r w:rsidRPr="00477DCA">
        <w:rPr>
          <w:rFonts w:ascii="Palatino Linotype" w:eastAsia="Palatino Linotype" w:hAnsi="Palatino Linotype" w:cs="Palatino Linotype"/>
          <w:i/>
          <w:color w:val="000000" w:themeColor="text1"/>
        </w:rPr>
        <w:t>” (Sic.)</w:t>
      </w:r>
    </w:p>
    <w:p w:rsidR="00334DA8" w:rsidRPr="00DF40A3" w:rsidRDefault="00334DA8" w:rsidP="00DF40A3">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p>
    <w:p w:rsidR="00334DA8" w:rsidRPr="00477DCA" w:rsidRDefault="00952A01" w:rsidP="00477DCA">
      <w:pPr>
        <w:pStyle w:val="Prrafodelista"/>
        <w:numPr>
          <w:ilvl w:val="0"/>
          <w:numId w:val="4"/>
        </w:num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bookmarkStart w:id="6" w:name="_heading=h.3znysh7" w:colFirst="0" w:colLast="0"/>
      <w:bookmarkEnd w:id="6"/>
      <w:r w:rsidRPr="00477DCA">
        <w:rPr>
          <w:rFonts w:ascii="Palatino Linotype" w:eastAsia="Palatino Linotype" w:hAnsi="Palatino Linotype" w:cs="Palatino Linotype"/>
          <w:b/>
          <w:color w:val="000000" w:themeColor="text1"/>
        </w:rPr>
        <w:t>Razones o Motivos de inconformidad:</w:t>
      </w:r>
      <w:r w:rsidRPr="00477DCA">
        <w:rPr>
          <w:rFonts w:ascii="Palatino Linotype" w:eastAsia="Palatino Linotype" w:hAnsi="Palatino Linotype" w:cs="Palatino Linotype"/>
          <w:b/>
          <w:i/>
          <w:color w:val="000000" w:themeColor="text1"/>
        </w:rPr>
        <w:t xml:space="preserve"> </w:t>
      </w:r>
      <w:r w:rsidRPr="00477DCA">
        <w:rPr>
          <w:rFonts w:ascii="Palatino Linotype" w:eastAsia="Palatino Linotype" w:hAnsi="Palatino Linotype" w:cs="Palatino Linotype"/>
          <w:i/>
          <w:color w:val="000000" w:themeColor="text1"/>
        </w:rPr>
        <w:t xml:space="preserve">“De acuerdo a la respuesta de esta peticion indica que 00671/ECATEPEC/IP/2025 los servidores públicos que atienden esta UTC 26 son Bertha Berber Tinoco Y Aranza Lozano Velázquez, Las comunidades que atienden dentro de su UTC son: Héroes de Ecatepec 1a, 2da, 3ra y 4ta sección, su cargo o rol que desempeñan podrán ser consultados en el artículo 51 (reformado en Acuerdo de cabildo 171/2025 de fecha 31 de julio de 2025) del Bando Municipal 2025 de Ecatepec de Morelos, pero en su respuesta Número de Folio de la Solicitud: 00663/ECATEPEC/IP/2025 adunta menciona que Aranza Lozano Velázquez es la segundo subdelegado propietario puede </w:t>
      </w:r>
      <w:r w:rsidRPr="00477DCA">
        <w:rPr>
          <w:rFonts w:ascii="Palatino Linotype" w:eastAsia="Palatino Linotype" w:hAnsi="Palatino Linotype" w:cs="Palatino Linotype"/>
          <w:b/>
          <w:i/>
          <w:color w:val="000000" w:themeColor="text1"/>
        </w:rPr>
        <w:t xml:space="preserve">ella tener los dos cargos uno como </w:t>
      </w:r>
      <w:r w:rsidRPr="00477DCA">
        <w:rPr>
          <w:rFonts w:ascii="Palatino Linotype" w:eastAsia="Palatino Linotype" w:hAnsi="Palatino Linotype" w:cs="Palatino Linotype"/>
          <w:b/>
          <w:i/>
          <w:color w:val="000000" w:themeColor="text1"/>
        </w:rPr>
        <w:lastRenderedPageBreak/>
        <w:t>sevidora publica y otro como miembro de la delegacion de la colonia? en caso de que me vayan a responder que si puede tener ambos nombramientos con base en que arituculo sustentan que si se puede</w:t>
      </w:r>
      <w:r w:rsidRPr="00477DCA">
        <w:rPr>
          <w:rFonts w:ascii="Palatino Linotype" w:eastAsia="Palatino Linotype" w:hAnsi="Palatino Linotype" w:cs="Palatino Linotype"/>
          <w:i/>
          <w:color w:val="000000" w:themeColor="text1"/>
        </w:rPr>
        <w:t>” (Sic.)</w:t>
      </w:r>
    </w:p>
    <w:p w:rsidR="00334DA8" w:rsidRPr="00DF40A3" w:rsidRDefault="00334DA8" w:rsidP="00DF40A3">
      <w:pPr>
        <w:tabs>
          <w:tab w:val="left" w:pos="0"/>
        </w:tabs>
        <w:spacing w:line="360" w:lineRule="auto"/>
        <w:rPr>
          <w:rFonts w:ascii="Palatino Linotype" w:eastAsia="Palatino Linotype" w:hAnsi="Palatino Linotype" w:cs="Palatino Linotype"/>
          <w:i/>
          <w:color w:val="000000" w:themeColor="text1"/>
        </w:rPr>
      </w:pPr>
    </w:p>
    <w:p w:rsidR="00334DA8" w:rsidRPr="00DF40A3" w:rsidRDefault="00952A01" w:rsidP="00DF40A3">
      <w:pPr>
        <w:tabs>
          <w:tab w:val="left" w:pos="0"/>
        </w:tabs>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color w:val="000000" w:themeColor="text1"/>
        </w:rPr>
        <w:t>Archivos electrónicos adjuntos:</w:t>
      </w:r>
    </w:p>
    <w:p w:rsidR="00334DA8" w:rsidRPr="00DF40A3" w:rsidRDefault="00274731" w:rsidP="00DF40A3">
      <w:pPr>
        <w:tabs>
          <w:tab w:val="left" w:pos="0"/>
        </w:tabs>
        <w:spacing w:before="280" w:after="280"/>
        <w:ind w:left="567"/>
        <w:rPr>
          <w:rFonts w:ascii="Palatino Linotype" w:eastAsia="Palatino Linotype" w:hAnsi="Palatino Linotype" w:cs="Palatino Linotype"/>
          <w:color w:val="000000" w:themeColor="text1"/>
        </w:rPr>
      </w:pPr>
      <w:hyperlink r:id="rId8">
        <w:r w:rsidR="00952A01" w:rsidRPr="00DF40A3">
          <w:rPr>
            <w:rFonts w:ascii="Palatino Linotype" w:eastAsia="Palatino Linotype" w:hAnsi="Palatino Linotype" w:cs="Palatino Linotype"/>
            <w:b/>
            <w:color w:val="000000" w:themeColor="text1"/>
          </w:rPr>
          <w:t>TRANSPARENCIA_663.pdf</w:t>
        </w:r>
      </w:hyperlink>
      <w:r w:rsidR="00952A01" w:rsidRPr="00DF40A3">
        <w:rPr>
          <w:rFonts w:ascii="Palatino Linotype" w:eastAsia="Palatino Linotype" w:hAnsi="Palatino Linotype" w:cs="Palatino Linotype"/>
          <w:color w:val="000000" w:themeColor="text1"/>
        </w:rPr>
        <w:t xml:space="preserve">: Oficio de fecha 28 de agosto de 2025, suscrito por la Directora de Gobierno, por medio del cual, emitió respuesta a la solicitud </w:t>
      </w:r>
      <w:r w:rsidR="00952A01" w:rsidRPr="00DF40A3">
        <w:rPr>
          <w:rFonts w:ascii="Palatino Linotype" w:eastAsia="Palatino Linotype" w:hAnsi="Palatino Linotype" w:cs="Palatino Linotype"/>
          <w:b/>
          <w:color w:val="000000" w:themeColor="text1"/>
        </w:rPr>
        <w:t>00663/ECATEPEC/IP/2025.</w:t>
      </w:r>
    </w:p>
    <w:p w:rsidR="00334DA8" w:rsidRPr="00DF40A3" w:rsidRDefault="00952A01" w:rsidP="00DF40A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Pr="00DF40A3">
        <w:rPr>
          <w:rFonts w:ascii="Palatino Linotype" w:eastAsia="Palatino Linotype" w:hAnsi="Palatino Linotype" w:cs="Palatino Linotype"/>
          <w:b/>
          <w:color w:val="000000" w:themeColor="text1"/>
        </w:rPr>
        <w:t>cuatro de septiembre de dos mil veinticinco</w:t>
      </w:r>
      <w:r w:rsidRPr="00DF40A3">
        <w:rPr>
          <w:rFonts w:ascii="Palatino Linotype" w:eastAsia="Palatino Linotype" w:hAnsi="Palatino Linotype" w:cs="Palatino Linotype"/>
          <w:color w:val="000000" w:themeColor="text1"/>
        </w:rPr>
        <w:t xml:space="preserve">, puso a disposición de las partes el expediente electrónico vía </w:t>
      </w:r>
      <w:r w:rsidRPr="00DF40A3">
        <w:rPr>
          <w:rFonts w:ascii="Palatino Linotype" w:eastAsia="Palatino Linotype" w:hAnsi="Palatino Linotype" w:cs="Palatino Linotype"/>
          <w:b/>
          <w:color w:val="000000" w:themeColor="text1"/>
        </w:rPr>
        <w:t xml:space="preserve">SAIMEX </w:t>
      </w:r>
      <w:r w:rsidRPr="00DF40A3">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DF40A3">
        <w:rPr>
          <w:rFonts w:ascii="Palatino Linotype" w:eastAsia="Palatino Linotype" w:hAnsi="Palatino Linotype" w:cs="Palatino Linotype"/>
          <w:b/>
          <w:color w:val="000000" w:themeColor="text1"/>
        </w:rPr>
        <w:t>SUJETO OBLIGADO</w:t>
      </w:r>
      <w:r w:rsidRPr="00DF40A3">
        <w:rPr>
          <w:rFonts w:ascii="Palatino Linotype" w:eastAsia="Palatino Linotype" w:hAnsi="Palatino Linotype" w:cs="Palatino Linotype"/>
          <w:color w:val="000000" w:themeColor="text1"/>
        </w:rPr>
        <w:t xml:space="preserve"> presentará el Informe Justificado procedente.</w:t>
      </w:r>
    </w:p>
    <w:p w:rsidR="00334DA8" w:rsidRPr="00DF40A3" w:rsidRDefault="00334DA8" w:rsidP="00DF40A3">
      <w:pPr>
        <w:tabs>
          <w:tab w:val="left" w:pos="0"/>
        </w:tabs>
        <w:rPr>
          <w:rFonts w:ascii="Palatino Linotype" w:eastAsia="Palatino Linotype" w:hAnsi="Palatino Linotype" w:cs="Palatino Linotype"/>
          <w:color w:val="000000" w:themeColor="text1"/>
        </w:rPr>
      </w:pPr>
    </w:p>
    <w:p w:rsidR="00334DA8" w:rsidRPr="00DF40A3" w:rsidRDefault="00952A01" w:rsidP="00DF40A3">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bookmarkStart w:id="7" w:name="_heading=h.2et92p0" w:colFirst="0" w:colLast="0"/>
      <w:bookmarkEnd w:id="7"/>
      <w:r w:rsidRPr="00DF40A3">
        <w:rPr>
          <w:rFonts w:ascii="Palatino Linotype" w:eastAsia="Palatino Linotype" w:hAnsi="Palatino Linotype" w:cs="Palatino Linotype"/>
          <w:color w:val="000000" w:themeColor="text1"/>
        </w:rPr>
        <w:t xml:space="preserve">El </w:t>
      </w:r>
      <w:r w:rsidRPr="00DF40A3">
        <w:rPr>
          <w:rFonts w:ascii="Palatino Linotype" w:eastAsia="Palatino Linotype" w:hAnsi="Palatino Linotype" w:cs="Palatino Linotype"/>
          <w:b/>
          <w:color w:val="000000" w:themeColor="text1"/>
        </w:rPr>
        <w:t>nueve de septiembre</w:t>
      </w:r>
      <w:r w:rsidRPr="00DF40A3">
        <w:rPr>
          <w:rFonts w:ascii="Palatino Linotype" w:eastAsia="Palatino Linotype" w:hAnsi="Palatino Linotype" w:cs="Palatino Linotype"/>
          <w:color w:val="000000" w:themeColor="text1"/>
        </w:rPr>
        <w:t xml:space="preserve"> </w:t>
      </w:r>
      <w:r w:rsidRPr="00DF40A3">
        <w:rPr>
          <w:rFonts w:ascii="Palatino Linotype" w:eastAsia="Palatino Linotype" w:hAnsi="Palatino Linotype" w:cs="Palatino Linotype"/>
          <w:b/>
          <w:color w:val="000000" w:themeColor="text1"/>
        </w:rPr>
        <w:t>de dos mil veinticinco,</w:t>
      </w:r>
      <w:r w:rsidRPr="00DF40A3">
        <w:rPr>
          <w:rFonts w:ascii="Palatino Linotype" w:eastAsia="Palatino Linotype" w:hAnsi="Palatino Linotype" w:cs="Palatino Linotype"/>
          <w:color w:val="000000" w:themeColor="text1"/>
        </w:rPr>
        <w:t xml:space="preserve"> el </w:t>
      </w:r>
      <w:r w:rsidRPr="00DF40A3">
        <w:rPr>
          <w:rFonts w:ascii="Palatino Linotype" w:eastAsia="Palatino Linotype" w:hAnsi="Palatino Linotype" w:cs="Palatino Linotype"/>
          <w:b/>
          <w:color w:val="000000" w:themeColor="text1"/>
        </w:rPr>
        <w:t xml:space="preserve">SUJETO OBLIGADO </w:t>
      </w:r>
      <w:r w:rsidRPr="00DF40A3">
        <w:rPr>
          <w:rFonts w:ascii="Palatino Linotype" w:eastAsia="Palatino Linotype" w:hAnsi="Palatino Linotype" w:cs="Palatino Linotype"/>
          <w:color w:val="000000" w:themeColor="text1"/>
        </w:rPr>
        <w:t xml:space="preserve">rindió el informe justificado correspondiente por medio del archivo electrónico denominado </w:t>
      </w:r>
      <w:r w:rsidRPr="00DF40A3">
        <w:rPr>
          <w:rFonts w:ascii="Palatino Linotype" w:eastAsia="Palatino Linotype" w:hAnsi="Palatino Linotype" w:cs="Palatino Linotype"/>
          <w:b/>
          <w:color w:val="000000" w:themeColor="text1"/>
        </w:rPr>
        <w:t>“CT_UT_ECA_1071_2025 informe justificado.pdf”,</w:t>
      </w:r>
      <w:r w:rsidRPr="00DF40A3">
        <w:rPr>
          <w:rFonts w:ascii="Palatino Linotype" w:eastAsia="Palatino Linotype" w:hAnsi="Palatino Linotype" w:cs="Palatino Linotype"/>
          <w:color w:val="000000" w:themeColor="text1"/>
        </w:rPr>
        <w:t xml:space="preserve"> consistente en un oficio suscrito por la Titular de la Unidad de Transparencia, a través del cual, refirió que </w:t>
      </w:r>
      <w:r w:rsidRPr="00DF40A3">
        <w:rPr>
          <w:rFonts w:ascii="Palatino Linotype" w:eastAsia="Palatino Linotype" w:hAnsi="Palatino Linotype" w:cs="Palatino Linotype"/>
          <w:b/>
          <w:color w:val="000000" w:themeColor="text1"/>
        </w:rPr>
        <w:t>el recurso de revisión es una etapa específica para impugnar la respuesta emitida y no un espacio para consultas adicionales, ya que las preguntas deben realizarse directamente en la solicitud inicial de información.</w:t>
      </w:r>
    </w:p>
    <w:p w:rsidR="00334DA8" w:rsidRPr="00DF40A3" w:rsidRDefault="00334DA8" w:rsidP="00DF40A3">
      <w:pPr>
        <w:tabs>
          <w:tab w:val="left" w:pos="0"/>
        </w:tabs>
        <w:spacing w:line="360" w:lineRule="auto"/>
        <w:jc w:val="both"/>
        <w:rPr>
          <w:rFonts w:ascii="Palatino Linotype" w:eastAsia="Palatino Linotype" w:hAnsi="Palatino Linotype" w:cs="Palatino Linotype"/>
          <w:b/>
          <w:color w:val="000000" w:themeColor="text1"/>
        </w:rPr>
      </w:pPr>
    </w:p>
    <w:p w:rsidR="00334DA8" w:rsidRPr="00DF40A3" w:rsidRDefault="00952A01" w:rsidP="00DF40A3">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DF40A3">
        <w:rPr>
          <w:rFonts w:ascii="Palatino Linotype" w:eastAsia="Palatino Linotype" w:hAnsi="Palatino Linotype" w:cs="Palatino Linotype"/>
          <w:color w:val="000000" w:themeColor="text1"/>
        </w:rPr>
        <w:t>Por su parte, la</w:t>
      </w:r>
      <w:r w:rsidRPr="00DF40A3">
        <w:rPr>
          <w:rFonts w:ascii="Palatino Linotype" w:eastAsia="Palatino Linotype" w:hAnsi="Palatino Linotype" w:cs="Palatino Linotype"/>
          <w:b/>
          <w:color w:val="000000" w:themeColor="text1"/>
        </w:rPr>
        <w:t xml:space="preserve"> RECURRENTE </w:t>
      </w:r>
      <w:r w:rsidRPr="00DF40A3">
        <w:rPr>
          <w:rFonts w:ascii="Palatino Linotype" w:eastAsia="Palatino Linotype" w:hAnsi="Palatino Linotype" w:cs="Palatino Linotype"/>
          <w:color w:val="000000" w:themeColor="text1"/>
        </w:rPr>
        <w:t xml:space="preserve">dejó de realizar manifestaciones que a su derecho conviniera y asistiera. </w:t>
      </w:r>
    </w:p>
    <w:p w:rsidR="00334DA8" w:rsidRPr="00DF40A3" w:rsidRDefault="00334DA8" w:rsidP="00DF40A3">
      <w:pPr>
        <w:tabs>
          <w:tab w:val="left" w:pos="0"/>
        </w:tabs>
        <w:spacing w:line="360" w:lineRule="auto"/>
        <w:jc w:val="both"/>
        <w:rPr>
          <w:rFonts w:ascii="Palatino Linotype" w:eastAsia="Palatino Linotype" w:hAnsi="Palatino Linotype" w:cs="Palatino Linotype"/>
          <w:color w:val="000000" w:themeColor="text1"/>
        </w:rPr>
      </w:pPr>
    </w:p>
    <w:p w:rsidR="00334DA8" w:rsidRPr="00DF40A3" w:rsidRDefault="00952A01" w:rsidP="00DF40A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DF40A3">
        <w:rPr>
          <w:rFonts w:ascii="Palatino Linotype" w:eastAsia="Palatino Linotype" w:hAnsi="Palatino Linotype" w:cs="Palatino Linotype"/>
          <w:color w:val="000000" w:themeColor="text1"/>
        </w:rPr>
        <w:lastRenderedPageBreak/>
        <w:t>Finalmente, mediante acuerdo del</w:t>
      </w:r>
      <w:r w:rsidRPr="00DF40A3">
        <w:rPr>
          <w:rFonts w:ascii="Palatino Linotype" w:eastAsia="Palatino Linotype" w:hAnsi="Palatino Linotype" w:cs="Palatino Linotype"/>
          <w:b/>
          <w:color w:val="000000" w:themeColor="text1"/>
        </w:rPr>
        <w:t xml:space="preserve"> veinticuatro de septiembre de dos mil veinticinco</w:t>
      </w:r>
      <w:r w:rsidRPr="00DF40A3">
        <w:rPr>
          <w:rFonts w:ascii="Palatino Linotype" w:eastAsia="Palatino Linotype" w:hAnsi="Palatino Linotype" w:cs="Palatino Linotype"/>
          <w:color w:val="000000" w:themeColor="text1"/>
        </w:rPr>
        <w:t>, se decretó el cierre de instrucción, por lo que no habiendo más que hacer constar, y</w:t>
      </w:r>
    </w:p>
    <w:p w:rsidR="00334DA8" w:rsidRPr="00DF40A3" w:rsidRDefault="00334DA8" w:rsidP="00DF40A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334DA8" w:rsidRPr="00DF40A3" w:rsidRDefault="00952A01" w:rsidP="00DF40A3">
      <w:pPr>
        <w:pStyle w:val="Ttulo1"/>
        <w:tabs>
          <w:tab w:val="left" w:pos="0"/>
          <w:tab w:val="left" w:pos="567"/>
        </w:tabs>
        <w:spacing w:before="0" w:line="360" w:lineRule="auto"/>
        <w:jc w:val="center"/>
        <w:rPr>
          <w:color w:val="000000" w:themeColor="text1"/>
        </w:rPr>
      </w:pPr>
      <w:bookmarkStart w:id="8" w:name="_heading=h.tyjcwt" w:colFirst="0" w:colLast="0"/>
      <w:bookmarkEnd w:id="8"/>
      <w:r w:rsidRPr="00DF40A3">
        <w:rPr>
          <w:color w:val="000000" w:themeColor="text1"/>
        </w:rPr>
        <w:t>C O N S I D E R A N D O</w:t>
      </w:r>
    </w:p>
    <w:p w:rsidR="00334DA8" w:rsidRPr="00DF40A3" w:rsidRDefault="00334DA8" w:rsidP="00DF40A3">
      <w:pPr>
        <w:tabs>
          <w:tab w:val="left" w:pos="0"/>
        </w:tabs>
        <w:spacing w:line="360" w:lineRule="auto"/>
        <w:rPr>
          <w:rFonts w:ascii="Palatino Linotype" w:eastAsia="Palatino Linotype" w:hAnsi="Palatino Linotype" w:cs="Palatino Linotype"/>
          <w:color w:val="000000" w:themeColor="text1"/>
        </w:rPr>
      </w:pPr>
    </w:p>
    <w:p w:rsidR="00334DA8" w:rsidRPr="00DF40A3" w:rsidRDefault="00952A01" w:rsidP="00DF40A3">
      <w:pPr>
        <w:pStyle w:val="Ttulo1"/>
        <w:tabs>
          <w:tab w:val="left" w:pos="0"/>
          <w:tab w:val="left" w:pos="567"/>
        </w:tabs>
        <w:spacing w:before="0" w:line="360" w:lineRule="auto"/>
        <w:rPr>
          <w:color w:val="000000" w:themeColor="text1"/>
        </w:rPr>
      </w:pPr>
      <w:bookmarkStart w:id="9" w:name="_heading=h.3dy6vkm" w:colFirst="0" w:colLast="0"/>
      <w:bookmarkEnd w:id="9"/>
      <w:r w:rsidRPr="00DF40A3">
        <w:rPr>
          <w:color w:val="000000" w:themeColor="text1"/>
        </w:rPr>
        <w:t>PRIMERO. De la competencia</w:t>
      </w:r>
    </w:p>
    <w:p w:rsidR="00334DA8" w:rsidRPr="00DF40A3" w:rsidRDefault="00952A01" w:rsidP="00DF40A3">
      <w:pPr>
        <w:numPr>
          <w:ilvl w:val="0"/>
          <w:numId w:val="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color w:val="000000" w:themeColor="text1"/>
        </w:rPr>
        <w:t xml:space="preserve"> </w:t>
      </w:r>
      <w:r w:rsidRPr="00DF40A3">
        <w:rPr>
          <w:rFonts w:ascii="Palatino Linotype" w:eastAsia="Palatino Linotype" w:hAnsi="Palatino Linotype" w:cs="Palatino Linotype"/>
          <w:color w:val="000000" w:themeColor="text1"/>
          <w:highlight w:val="white"/>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334DA8" w:rsidRPr="00DF40A3" w:rsidRDefault="00334DA8" w:rsidP="00DF40A3">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rsidR="00334DA8" w:rsidRPr="00DF40A3" w:rsidRDefault="00952A01" w:rsidP="00DF40A3">
      <w:pPr>
        <w:pStyle w:val="Ttulo2"/>
        <w:tabs>
          <w:tab w:val="left" w:pos="0"/>
        </w:tabs>
        <w:spacing w:before="0" w:line="360" w:lineRule="auto"/>
        <w:rPr>
          <w:color w:val="000000" w:themeColor="text1"/>
        </w:rPr>
      </w:pPr>
      <w:bookmarkStart w:id="10" w:name="_heading=h.1t3h5sf" w:colFirst="0" w:colLast="0"/>
      <w:bookmarkEnd w:id="10"/>
      <w:r w:rsidRPr="00DF40A3">
        <w:rPr>
          <w:color w:val="000000" w:themeColor="text1"/>
        </w:rPr>
        <w:t>SEGUNDO. De la oportunidad y procedencia.</w:t>
      </w:r>
    </w:p>
    <w:p w:rsidR="00334DA8" w:rsidRPr="00DF40A3" w:rsidRDefault="00952A01" w:rsidP="00DF40A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color w:val="000000" w:themeColor="text1"/>
        </w:rPr>
        <w:t xml:space="preserve"> El medio de impugnación fue presentado a través del </w:t>
      </w:r>
      <w:r w:rsidRPr="00DF40A3">
        <w:rPr>
          <w:rFonts w:ascii="Palatino Linotype" w:eastAsia="Palatino Linotype" w:hAnsi="Palatino Linotype" w:cs="Palatino Linotype"/>
          <w:b/>
          <w:color w:val="000000" w:themeColor="text1"/>
        </w:rPr>
        <w:t>SAIMEX,</w:t>
      </w:r>
      <w:r w:rsidRPr="00DF40A3">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DF40A3">
        <w:rPr>
          <w:rFonts w:ascii="Palatino Linotype" w:eastAsia="Palatino Linotype" w:hAnsi="Palatino Linotype" w:cs="Palatino Linotype"/>
          <w:b/>
          <w:color w:val="000000" w:themeColor="text1"/>
        </w:rPr>
        <w:t>SUJETO OBLIGADO</w:t>
      </w:r>
      <w:r w:rsidRPr="00DF40A3">
        <w:rPr>
          <w:rFonts w:ascii="Palatino Linotype" w:eastAsia="Palatino Linotype" w:hAnsi="Palatino Linotype" w:cs="Palatino Linotype"/>
          <w:color w:val="000000" w:themeColor="text1"/>
        </w:rPr>
        <w:t xml:space="preserve"> entregó su respuesta el </w:t>
      </w:r>
      <w:r w:rsidRPr="00DF40A3">
        <w:rPr>
          <w:rFonts w:ascii="Palatino Linotype" w:eastAsia="Palatino Linotype" w:hAnsi="Palatino Linotype" w:cs="Palatino Linotype"/>
          <w:b/>
          <w:color w:val="000000" w:themeColor="text1"/>
        </w:rPr>
        <w:t>uno de septiembre de dos mil veinticinco</w:t>
      </w:r>
      <w:r w:rsidRPr="00DF40A3">
        <w:rPr>
          <w:rFonts w:ascii="Palatino Linotype" w:eastAsia="Palatino Linotype" w:hAnsi="Palatino Linotype" w:cs="Palatino Linotype"/>
          <w:color w:val="000000" w:themeColor="text1"/>
        </w:rPr>
        <w:t xml:space="preserve">, de tal forma que el plazo para interponer el recurso de revisión transcurrió del </w:t>
      </w:r>
      <w:r w:rsidRPr="00DF40A3">
        <w:rPr>
          <w:rFonts w:ascii="Palatino Linotype" w:eastAsia="Palatino Linotype" w:hAnsi="Palatino Linotype" w:cs="Palatino Linotype"/>
          <w:b/>
          <w:color w:val="000000" w:themeColor="text1"/>
        </w:rPr>
        <w:t>dos al veintitrés de septiembre de dos mil veinticinco</w:t>
      </w:r>
      <w:r w:rsidRPr="00DF40A3">
        <w:rPr>
          <w:rFonts w:ascii="Palatino Linotype" w:eastAsia="Palatino Linotype" w:hAnsi="Palatino Linotype" w:cs="Palatino Linotype"/>
          <w:color w:val="000000" w:themeColor="text1"/>
        </w:rPr>
        <w:t xml:space="preserve">; en consecuencia, la parte </w:t>
      </w:r>
      <w:r w:rsidRPr="00DF40A3">
        <w:rPr>
          <w:rFonts w:ascii="Palatino Linotype" w:eastAsia="Palatino Linotype" w:hAnsi="Palatino Linotype" w:cs="Palatino Linotype"/>
          <w:b/>
          <w:color w:val="000000" w:themeColor="text1"/>
        </w:rPr>
        <w:t>RECURRENTE</w:t>
      </w:r>
      <w:r w:rsidRPr="00DF40A3">
        <w:rPr>
          <w:rFonts w:ascii="Palatino Linotype" w:eastAsia="Palatino Linotype" w:hAnsi="Palatino Linotype" w:cs="Palatino Linotype"/>
          <w:color w:val="000000" w:themeColor="text1"/>
        </w:rPr>
        <w:t xml:space="preserve"> presentó su inconformidad el </w:t>
      </w:r>
      <w:r w:rsidRPr="00DF40A3">
        <w:rPr>
          <w:rFonts w:ascii="Palatino Linotype" w:eastAsia="Palatino Linotype" w:hAnsi="Palatino Linotype" w:cs="Palatino Linotype"/>
          <w:b/>
          <w:color w:val="000000" w:themeColor="text1"/>
        </w:rPr>
        <w:t xml:space="preserve">tres de </w:t>
      </w:r>
      <w:r w:rsidRPr="00DF40A3">
        <w:rPr>
          <w:rFonts w:ascii="Palatino Linotype" w:eastAsia="Palatino Linotype" w:hAnsi="Palatino Linotype" w:cs="Palatino Linotype"/>
          <w:b/>
          <w:color w:val="000000" w:themeColor="text1"/>
        </w:rPr>
        <w:lastRenderedPageBreak/>
        <w:t>septiembre de dos mil veinticinco</w:t>
      </w:r>
      <w:r w:rsidRPr="00DF40A3">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334DA8" w:rsidRPr="00DF40A3" w:rsidRDefault="00334DA8" w:rsidP="00DF40A3">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rsidR="00334DA8" w:rsidRPr="00DF40A3" w:rsidRDefault="00952A01" w:rsidP="00DF40A3">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DF40A3">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34DA8" w:rsidRPr="00DF40A3" w:rsidRDefault="00334DA8" w:rsidP="00DF40A3">
      <w:pPr>
        <w:tabs>
          <w:tab w:val="left" w:pos="0"/>
        </w:tabs>
        <w:spacing w:line="360" w:lineRule="auto"/>
        <w:rPr>
          <w:rFonts w:ascii="Palatino Linotype" w:eastAsia="Palatino Linotype" w:hAnsi="Palatino Linotype" w:cs="Palatino Linotype"/>
          <w:color w:val="000000" w:themeColor="text1"/>
        </w:rPr>
      </w:pPr>
    </w:p>
    <w:p w:rsidR="00334DA8" w:rsidRPr="00DF40A3" w:rsidRDefault="00952A01" w:rsidP="00DF40A3">
      <w:pPr>
        <w:pStyle w:val="Ttulo1"/>
        <w:tabs>
          <w:tab w:val="left" w:pos="0"/>
        </w:tabs>
        <w:spacing w:before="0" w:line="360" w:lineRule="auto"/>
        <w:rPr>
          <w:color w:val="000000" w:themeColor="text1"/>
        </w:rPr>
      </w:pPr>
      <w:r w:rsidRPr="00DF40A3">
        <w:rPr>
          <w:color w:val="000000" w:themeColor="text1"/>
        </w:rPr>
        <w:t>TERCERO. De las causales del sobreseimiento.</w:t>
      </w:r>
    </w:p>
    <w:p w:rsidR="00334DA8" w:rsidRPr="00DF40A3" w:rsidRDefault="00952A01" w:rsidP="00DF40A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DF40A3">
        <w:rPr>
          <w:rFonts w:ascii="Palatino Linotype" w:eastAsia="Palatino Linotype" w:hAnsi="Palatino Linotype" w:cs="Palatino Linotype"/>
          <w:color w:val="000000" w:themeColor="text1"/>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DF40A3">
        <w:rPr>
          <w:rFonts w:ascii="Palatino Linotype" w:eastAsia="Palatino Linotype" w:hAnsi="Palatino Linotype" w:cs="Palatino Linotype"/>
          <w:b/>
          <w:color w:val="000000" w:themeColor="text1"/>
          <w:u w:val="single"/>
        </w:rPr>
        <w:t>sobreseimiento</w:t>
      </w:r>
      <w:r w:rsidRPr="00DF40A3">
        <w:rPr>
          <w:rFonts w:ascii="Palatino Linotype" w:eastAsia="Palatino Linotype" w:hAnsi="Palatino Linotype" w:cs="Palatino Linotype"/>
          <w:color w:val="000000" w:themeColor="text1"/>
        </w:rPr>
        <w:t xml:space="preserve">; y, en su caso, ordenar la entrega de la información respecto a la falta de respuesta por parte del </w:t>
      </w:r>
      <w:r w:rsidRPr="00DF40A3">
        <w:rPr>
          <w:rFonts w:ascii="Palatino Linotype" w:eastAsia="Palatino Linotype" w:hAnsi="Palatino Linotype" w:cs="Palatino Linotype"/>
          <w:b/>
          <w:color w:val="000000" w:themeColor="text1"/>
        </w:rPr>
        <w:t>SUJETO</w:t>
      </w:r>
      <w:r w:rsidRPr="00DF40A3">
        <w:rPr>
          <w:rFonts w:ascii="Palatino Linotype" w:eastAsia="Palatino Linotype" w:hAnsi="Palatino Linotype" w:cs="Palatino Linotype"/>
          <w:color w:val="000000" w:themeColor="text1"/>
        </w:rPr>
        <w:t xml:space="preserve"> </w:t>
      </w:r>
      <w:r w:rsidRPr="00DF40A3">
        <w:rPr>
          <w:rFonts w:ascii="Palatino Linotype" w:eastAsia="Palatino Linotype" w:hAnsi="Palatino Linotype" w:cs="Palatino Linotype"/>
          <w:b/>
          <w:color w:val="000000" w:themeColor="text1"/>
        </w:rPr>
        <w:t>OBLIGADO</w:t>
      </w:r>
      <w:r w:rsidRPr="00DF40A3">
        <w:rPr>
          <w:rFonts w:ascii="Palatino Linotype" w:eastAsia="Palatino Linotype" w:hAnsi="Palatino Linotype" w:cs="Palatino Linotype"/>
          <w:color w:val="000000" w:themeColor="text1"/>
        </w:rPr>
        <w:t>.</w:t>
      </w:r>
    </w:p>
    <w:p w:rsidR="00334DA8" w:rsidRPr="00DF40A3" w:rsidRDefault="00334DA8" w:rsidP="00DF40A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34DA8" w:rsidRPr="00DF40A3" w:rsidRDefault="00952A01" w:rsidP="00DF40A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color w:val="000000" w:themeColor="text1"/>
        </w:rPr>
        <w:t xml:space="preserve">De acuerdo con el precepto legal contenido en la fracción IV del artículo 192 de la </w:t>
      </w:r>
      <w:r w:rsidRPr="00DF40A3">
        <w:rPr>
          <w:rFonts w:ascii="Palatino Linotype" w:eastAsia="Palatino Linotype" w:hAnsi="Palatino Linotype" w:cs="Palatino Linotype"/>
          <w:b/>
          <w:color w:val="000000" w:themeColor="text1"/>
        </w:rPr>
        <w:t>Ley de Transparencia y Acceso a la Información Pública del Estado de México y Municipios</w:t>
      </w:r>
      <w:r w:rsidRPr="00DF40A3">
        <w:rPr>
          <w:rFonts w:ascii="Palatino Linotype" w:eastAsia="Palatino Linotype" w:hAnsi="Palatino Linotype" w:cs="Palatino Linotype"/>
          <w:color w:val="000000" w:themeColor="text1"/>
        </w:rPr>
        <w:t>, el recurso será sobreseído, cuando una vez admitido, aparezca alguna causal de improcedencia en términos de la misma Ley.</w:t>
      </w:r>
    </w:p>
    <w:p w:rsidR="00334DA8" w:rsidRPr="00DF40A3" w:rsidRDefault="00334DA8" w:rsidP="00DF40A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34DA8" w:rsidRPr="00DF40A3" w:rsidRDefault="00952A01" w:rsidP="00DF40A3">
      <w:pPr>
        <w:numPr>
          <w:ilvl w:val="0"/>
          <w:numId w:val="2"/>
        </w:numPr>
        <w:pBdr>
          <w:top w:val="nil"/>
          <w:left w:val="nil"/>
          <w:bottom w:val="nil"/>
          <w:right w:val="nil"/>
          <w:between w:val="nil"/>
        </w:pBdr>
        <w:tabs>
          <w:tab w:val="left" w:pos="0"/>
        </w:tabs>
        <w:spacing w:line="360" w:lineRule="auto"/>
        <w:ind w:firstLine="0"/>
        <w:jc w:val="both"/>
        <w:rPr>
          <w:rFonts w:ascii="Palatino Linotype" w:eastAsia="Palatino Linotype" w:hAnsi="Palatino Linotype" w:cs="Palatino Linotype"/>
          <w:color w:val="000000" w:themeColor="text1"/>
        </w:rPr>
      </w:pPr>
      <w:bookmarkStart w:id="11" w:name="_heading=h.fxpqsjcieuu4" w:colFirst="0" w:colLast="0"/>
      <w:bookmarkEnd w:id="11"/>
      <w:r w:rsidRPr="00DF40A3">
        <w:rPr>
          <w:rFonts w:ascii="Palatino Linotype" w:eastAsia="Palatino Linotype" w:hAnsi="Palatino Linotype" w:cs="Palatino Linotype"/>
          <w:b/>
          <w:color w:val="000000" w:themeColor="text1"/>
        </w:rPr>
        <w:t>De la solicitud de información</w:t>
      </w:r>
    </w:p>
    <w:p w:rsidR="00334DA8" w:rsidRPr="00DF40A3" w:rsidRDefault="00952A01" w:rsidP="00DF40A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color w:val="000000" w:themeColor="text1"/>
        </w:rPr>
      </w:pPr>
      <w:r w:rsidRPr="00DF40A3">
        <w:rPr>
          <w:rFonts w:ascii="Palatino Linotype" w:eastAsia="Palatino Linotype" w:hAnsi="Palatino Linotype" w:cs="Palatino Linotype"/>
          <w:color w:val="000000" w:themeColor="text1"/>
        </w:rPr>
        <w:t xml:space="preserve">Como se ha mencionado, la parte </w:t>
      </w:r>
      <w:r w:rsidRPr="00DF40A3">
        <w:rPr>
          <w:rFonts w:ascii="Palatino Linotype" w:eastAsia="Palatino Linotype" w:hAnsi="Palatino Linotype" w:cs="Palatino Linotype"/>
          <w:b/>
          <w:color w:val="000000" w:themeColor="text1"/>
        </w:rPr>
        <w:t>RECURRENTE</w:t>
      </w:r>
      <w:r w:rsidRPr="00DF40A3">
        <w:rPr>
          <w:rFonts w:ascii="Palatino Linotype" w:eastAsia="Palatino Linotype" w:hAnsi="Palatino Linotype" w:cs="Palatino Linotype"/>
          <w:color w:val="000000" w:themeColor="text1"/>
        </w:rPr>
        <w:t xml:space="preserve"> solicitó lo siguiente:</w:t>
      </w:r>
      <w:r w:rsidRPr="00DF40A3">
        <w:rPr>
          <w:rFonts w:ascii="Palatino Linotype" w:eastAsia="Palatino Linotype" w:hAnsi="Palatino Linotype" w:cs="Palatino Linotype"/>
          <w:b/>
          <w:i/>
          <w:color w:val="000000" w:themeColor="text1"/>
        </w:rPr>
        <w:t xml:space="preserve"> </w:t>
      </w:r>
      <w:r w:rsidRPr="00DF40A3">
        <w:rPr>
          <w:rFonts w:ascii="Palatino Linotype" w:eastAsia="Palatino Linotype" w:hAnsi="Palatino Linotype" w:cs="Palatino Linotype"/>
          <w:i/>
          <w:color w:val="000000" w:themeColor="text1"/>
        </w:rPr>
        <w:t xml:space="preserve">“… Nombre completo de todos los integrantes de la UTC 26. El cargo o rol que desempeña cada uno de los integrantes. La fecha de su nombramiento o designación oficial. Agradezco su atención a esta solicitud </w:t>
      </w:r>
      <w:r w:rsidRPr="00DF40A3">
        <w:rPr>
          <w:rFonts w:ascii="Palatino Linotype" w:eastAsia="Palatino Linotype" w:hAnsi="Palatino Linotype" w:cs="Palatino Linotype"/>
          <w:i/>
          <w:color w:val="000000" w:themeColor="text1"/>
        </w:rPr>
        <w:lastRenderedPageBreak/>
        <w:t>y la información que pueda proporcionar para fomentar la transparencia y la participación ciudadana en nuestro municipio. Atentamente,” (Sic)</w:t>
      </w:r>
    </w:p>
    <w:p w:rsidR="00334DA8" w:rsidRPr="00DF40A3" w:rsidRDefault="00334DA8" w:rsidP="00DF40A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334DA8" w:rsidRPr="00DF40A3" w:rsidRDefault="00952A01" w:rsidP="00DF40A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DF40A3">
        <w:rPr>
          <w:rFonts w:ascii="Palatino Linotype" w:eastAsia="Palatino Linotype" w:hAnsi="Palatino Linotype" w:cs="Palatino Linotype"/>
          <w:color w:val="000000" w:themeColor="text1"/>
        </w:rPr>
        <w:t xml:space="preserve">En respuesta, el </w:t>
      </w:r>
      <w:r w:rsidRPr="00DF40A3">
        <w:rPr>
          <w:rFonts w:ascii="Palatino Linotype" w:eastAsia="Palatino Linotype" w:hAnsi="Palatino Linotype" w:cs="Palatino Linotype"/>
          <w:b/>
          <w:color w:val="000000" w:themeColor="text1"/>
        </w:rPr>
        <w:t xml:space="preserve">SUJETO OBLIGADO </w:t>
      </w:r>
      <w:r w:rsidRPr="00DF40A3">
        <w:rPr>
          <w:rFonts w:ascii="Palatino Linotype" w:eastAsia="Palatino Linotype" w:hAnsi="Palatino Linotype" w:cs="Palatino Linotype"/>
          <w:color w:val="000000" w:themeColor="text1"/>
        </w:rPr>
        <w:t>informó que los servidores públicos que atienden la UTC 26 son Bertha Berber Tinoco y Aranza Lozano Velázquez, asimismo, las comunidades que atienden dentro de su UTC son “Héroes de Ecatepec 1a, 2da, 3ra y 4ta sección”; y, el cargo o rol que desempeñan puede ser consultado en el artículo 51 del Bando Municipal 2025 de Ecatepec de Morelos; finalmente, refirió que los servidores públicos no cuentan con nombramiento o designación oficial toda vez que su nivel jerárquico no lo amerita al formar parte del organigrama de la Dirección de Bienestar, Participación Ciudadana y Territorial.</w:t>
      </w:r>
      <w:r w:rsidRPr="00DF40A3">
        <w:rPr>
          <w:rFonts w:ascii="Palatino Linotype" w:eastAsia="Palatino Linotype" w:hAnsi="Palatino Linotype" w:cs="Palatino Linotype"/>
          <w:i/>
          <w:color w:val="000000" w:themeColor="text1"/>
        </w:rPr>
        <w:t xml:space="preserve"> </w:t>
      </w:r>
    </w:p>
    <w:p w:rsidR="00334DA8" w:rsidRPr="00DF40A3" w:rsidRDefault="00334DA8" w:rsidP="00DF40A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334DA8" w:rsidRPr="00DF40A3" w:rsidRDefault="00952A01" w:rsidP="00DF40A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r w:rsidRPr="00DF40A3">
        <w:rPr>
          <w:rFonts w:ascii="Palatino Linotype" w:eastAsia="Palatino Linotype" w:hAnsi="Palatino Linotype" w:cs="Palatino Linotype"/>
          <w:color w:val="000000" w:themeColor="text1"/>
        </w:rPr>
        <w:t xml:space="preserve">Posteriormente, la parte </w:t>
      </w:r>
      <w:r w:rsidRPr="00DF40A3">
        <w:rPr>
          <w:rFonts w:ascii="Palatino Linotype" w:eastAsia="Palatino Linotype" w:hAnsi="Palatino Linotype" w:cs="Palatino Linotype"/>
          <w:b/>
          <w:color w:val="000000" w:themeColor="text1"/>
        </w:rPr>
        <w:t xml:space="preserve">RECURRENTE </w:t>
      </w:r>
      <w:r w:rsidRPr="00DF40A3">
        <w:rPr>
          <w:rFonts w:ascii="Palatino Linotype" w:eastAsia="Palatino Linotype" w:hAnsi="Palatino Linotype" w:cs="Palatino Linotype"/>
          <w:color w:val="000000" w:themeColor="text1"/>
        </w:rPr>
        <w:t>interpuso recurso de revisión en el que se inconformó en los siguientes términos:</w:t>
      </w:r>
      <w:r w:rsidRPr="00DF40A3">
        <w:rPr>
          <w:rFonts w:ascii="Palatino Linotype" w:eastAsia="Palatino Linotype" w:hAnsi="Palatino Linotype" w:cs="Palatino Linotype"/>
          <w:i/>
          <w:color w:val="000000" w:themeColor="text1"/>
        </w:rPr>
        <w:t xml:space="preserve"> “De acuerdo a la respuesta de esta peticion indica que 00671/ECATEPEC/IP/2025 los servidores públicos que atienden esta UTC 26 son Bertha Berber Tinoco Y Aranza Lozano Velázquez, Las comunidades que atienden dentro de su UTC son: Héroes de Ecatepec 1a, 2da, 3ra y 4ta sección, su cargo o rol que desempeñan podrán ser consultados en el artículo 51 (reformado en Acuerdo de cabildo 171/2025 de fecha 31 de julio de 2025) del Bando Municipal 2025 de Ecatepec de Morelos, pero en su respuesta Número de Folio de la Solicitud: 00663/ECATEPEC/IP/2025 adunta menciona que Aranza Lozano Velázquez es la segundo subdelegado propietario puede </w:t>
      </w:r>
      <w:r w:rsidRPr="00DF40A3">
        <w:rPr>
          <w:rFonts w:ascii="Palatino Linotype" w:eastAsia="Palatino Linotype" w:hAnsi="Palatino Linotype" w:cs="Palatino Linotype"/>
          <w:b/>
          <w:i/>
          <w:color w:val="000000" w:themeColor="text1"/>
        </w:rPr>
        <w:t>ella tener los dos cargos uno como sevidora publica y otro como miembro de la delegacion de la colonia? en caso de que me vayan a responder que si puede tener ambos nombramientos con base en que arituculo sustentan que si se puede</w:t>
      </w:r>
      <w:r w:rsidRPr="00DF40A3">
        <w:rPr>
          <w:rFonts w:ascii="Palatino Linotype" w:eastAsia="Palatino Linotype" w:hAnsi="Palatino Linotype" w:cs="Palatino Linotype"/>
          <w:i/>
          <w:color w:val="000000" w:themeColor="text1"/>
        </w:rPr>
        <w:t>” (Sic.)</w:t>
      </w:r>
    </w:p>
    <w:p w:rsidR="00334DA8" w:rsidRPr="00DF40A3" w:rsidRDefault="00952A01" w:rsidP="00DF40A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DF40A3">
        <w:rPr>
          <w:rFonts w:ascii="Palatino Linotype" w:eastAsia="Palatino Linotype" w:hAnsi="Palatino Linotype" w:cs="Palatino Linotype"/>
          <w:color w:val="000000" w:themeColor="text1"/>
        </w:rPr>
        <w:lastRenderedPageBreak/>
        <w:t xml:space="preserve">Expuesto lo anterior, es necesario señalar que hay elementos entregados en respuesta por parte del </w:t>
      </w:r>
      <w:r w:rsidRPr="00DF40A3">
        <w:rPr>
          <w:rFonts w:ascii="Palatino Linotype" w:eastAsia="Palatino Linotype" w:hAnsi="Palatino Linotype" w:cs="Palatino Linotype"/>
          <w:b/>
          <w:color w:val="000000" w:themeColor="text1"/>
        </w:rPr>
        <w:t>SUJETO OBLIGADO</w:t>
      </w:r>
      <w:r w:rsidRPr="00DF40A3">
        <w:rPr>
          <w:rFonts w:ascii="Palatino Linotype" w:eastAsia="Palatino Linotype" w:hAnsi="Palatino Linotype" w:cs="Palatino Linotype"/>
          <w:color w:val="000000" w:themeColor="text1"/>
        </w:rPr>
        <w:t xml:space="preserve"> sobre los cuales la parte </w:t>
      </w:r>
      <w:r w:rsidRPr="00DF40A3">
        <w:rPr>
          <w:rFonts w:ascii="Palatino Linotype" w:eastAsia="Palatino Linotype" w:hAnsi="Palatino Linotype" w:cs="Palatino Linotype"/>
          <w:b/>
          <w:color w:val="000000" w:themeColor="text1"/>
        </w:rPr>
        <w:t>RECURRENTE</w:t>
      </w:r>
      <w:r w:rsidRPr="00DF40A3">
        <w:rPr>
          <w:rFonts w:ascii="Palatino Linotype" w:eastAsia="Palatino Linotype" w:hAnsi="Palatino Linotype" w:cs="Palatino Linotype"/>
          <w:color w:val="000000" w:themeColor="text1"/>
        </w:rPr>
        <w:t xml:space="preserve"> no se inconformó.</w:t>
      </w:r>
    </w:p>
    <w:p w:rsidR="00334DA8" w:rsidRPr="00DF40A3" w:rsidRDefault="00334DA8" w:rsidP="00DF40A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34DA8" w:rsidRPr="00DF40A3" w:rsidRDefault="00952A01" w:rsidP="00DF40A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color w:val="000000" w:themeColor="text1"/>
        </w:rPr>
        <w:t>En este sentido,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rsidR="00334DA8" w:rsidRPr="00DF40A3" w:rsidRDefault="00334DA8" w:rsidP="00DF40A3">
      <w:pPr>
        <w:tabs>
          <w:tab w:val="left" w:pos="0"/>
        </w:tabs>
        <w:spacing w:line="360" w:lineRule="auto"/>
        <w:jc w:val="both"/>
        <w:rPr>
          <w:rFonts w:ascii="Palatino Linotype" w:eastAsia="Palatino Linotype" w:hAnsi="Palatino Linotype" w:cs="Palatino Linotype"/>
          <w:color w:val="000000" w:themeColor="text1"/>
        </w:rPr>
      </w:pPr>
    </w:p>
    <w:p w:rsidR="00334DA8" w:rsidRPr="00DF40A3" w:rsidRDefault="00952A01" w:rsidP="00DF40A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color w:val="000000" w:themeColor="text1"/>
        </w:rPr>
        <w:t>Sirve de sustento, la tesis jurisprudencial número VI.3o.C. J/60, publicada en el Semanario Judicial de la Federación y su Gaceta bajo el número de registro 176,608 que a la letra dice:</w:t>
      </w:r>
    </w:p>
    <w:p w:rsidR="00334DA8" w:rsidRPr="00DF40A3" w:rsidRDefault="00952A01" w:rsidP="00DF40A3">
      <w:pPr>
        <w:tabs>
          <w:tab w:val="left" w:pos="0"/>
          <w:tab w:val="left" w:pos="851"/>
        </w:tabs>
        <w:ind w:left="567"/>
        <w:jc w:val="both"/>
        <w:rPr>
          <w:rFonts w:ascii="Palatino Linotype" w:eastAsia="Palatino Linotype" w:hAnsi="Palatino Linotype" w:cs="Palatino Linotype"/>
          <w:i/>
          <w:color w:val="000000" w:themeColor="text1"/>
        </w:rPr>
      </w:pPr>
      <w:r w:rsidRPr="00DF40A3">
        <w:rPr>
          <w:rFonts w:ascii="Palatino Linotype" w:eastAsia="Palatino Linotype" w:hAnsi="Palatino Linotype" w:cs="Palatino Linotype"/>
          <w:b/>
          <w:i/>
          <w:color w:val="000000" w:themeColor="text1"/>
        </w:rPr>
        <w:t xml:space="preserve">“ACTOS CONSENTIDOS. SON LOS QUE NO SE IMPUGNAN MEDIANTE EL RECURSO IDÓNEO. </w:t>
      </w:r>
      <w:r w:rsidRPr="00DF40A3">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34DA8" w:rsidRPr="00DF40A3" w:rsidRDefault="00334DA8" w:rsidP="00DF40A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34DA8" w:rsidRPr="00DF40A3" w:rsidRDefault="00952A01" w:rsidP="00DF40A3">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color w:val="000000" w:themeColor="text1"/>
        </w:rPr>
        <w:t xml:space="preserve">De la interpretación del criterio antes citado, se advierte que cuando el Particular impugnó la respuesta del </w:t>
      </w:r>
      <w:r w:rsidRPr="00DF40A3">
        <w:rPr>
          <w:rFonts w:ascii="Palatino Linotype" w:eastAsia="Palatino Linotype" w:hAnsi="Palatino Linotype" w:cs="Palatino Linotype"/>
          <w:b/>
          <w:color w:val="000000" w:themeColor="text1"/>
        </w:rPr>
        <w:t>SUJETO OBLIGADO</w:t>
      </w:r>
      <w:r w:rsidRPr="00DF40A3">
        <w:rPr>
          <w:rFonts w:ascii="Palatino Linotype" w:eastAsia="Palatino Linotype" w:hAnsi="Palatino Linotype" w:cs="Palatino Linotype"/>
          <w:color w:val="000000" w:themeColor="text1"/>
        </w:rPr>
        <w:t xml:space="preserve">, no expresó razón o motivo de inconformidad en contra de los rubros solicitados, por tanto, estos deben declararse atendidos, pues se entiende que la parte </w:t>
      </w:r>
      <w:r w:rsidRPr="00DF40A3">
        <w:rPr>
          <w:rFonts w:ascii="Palatino Linotype" w:eastAsia="Palatino Linotype" w:hAnsi="Palatino Linotype" w:cs="Palatino Linotype"/>
          <w:b/>
          <w:color w:val="000000" w:themeColor="text1"/>
        </w:rPr>
        <w:t>RECURRENTE</w:t>
      </w:r>
      <w:r w:rsidRPr="00DF40A3">
        <w:rPr>
          <w:rFonts w:ascii="Palatino Linotype" w:eastAsia="Palatino Linotype" w:hAnsi="Palatino Linotype" w:cs="Palatino Linotype"/>
          <w:color w:val="000000" w:themeColor="text1"/>
        </w:rPr>
        <w:t xml:space="preserve"> está conforme con la respuesta proporcionada por el</w:t>
      </w:r>
      <w:r w:rsidRPr="00DF40A3">
        <w:rPr>
          <w:rFonts w:ascii="Palatino Linotype" w:eastAsia="Palatino Linotype" w:hAnsi="Palatino Linotype" w:cs="Palatino Linotype"/>
          <w:b/>
          <w:color w:val="000000" w:themeColor="text1"/>
        </w:rPr>
        <w:t xml:space="preserve"> SUJETO OBLIGADO,</w:t>
      </w:r>
      <w:r w:rsidRPr="00DF40A3">
        <w:rPr>
          <w:rFonts w:ascii="Palatino Linotype" w:eastAsia="Palatino Linotype" w:hAnsi="Palatino Linotype" w:cs="Palatino Linotype"/>
          <w:color w:val="000000" w:themeColor="text1"/>
        </w:rPr>
        <w:t xml:space="preserve"> al no contravenir la misma.</w:t>
      </w:r>
    </w:p>
    <w:p w:rsidR="00334DA8" w:rsidRPr="00DF40A3" w:rsidRDefault="00952A01" w:rsidP="00DF40A3">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color w:val="000000" w:themeColor="text1"/>
        </w:rPr>
        <w:lastRenderedPageBreak/>
        <w:t>Ante ello, es importante traer a contexto la Tesis Jurisprudencial Número 3ª./J.7/91, Publicada en el Semanario Judicial de la Federación y su Gaceta bajo el número de registro 174,177, que establece lo siguiente:</w:t>
      </w:r>
    </w:p>
    <w:p w:rsidR="00334DA8" w:rsidRPr="00DF40A3" w:rsidRDefault="00952A01" w:rsidP="00DF40A3">
      <w:pPr>
        <w:tabs>
          <w:tab w:val="left" w:pos="0"/>
        </w:tabs>
        <w:ind w:left="567"/>
        <w:jc w:val="both"/>
        <w:rPr>
          <w:rFonts w:ascii="Palatino Linotype" w:eastAsia="Palatino Linotype" w:hAnsi="Palatino Linotype" w:cs="Palatino Linotype"/>
          <w:i/>
          <w:color w:val="000000" w:themeColor="text1"/>
        </w:rPr>
      </w:pPr>
      <w:r w:rsidRPr="00DF40A3">
        <w:rPr>
          <w:rFonts w:ascii="Palatino Linotype" w:eastAsia="Palatino Linotype" w:hAnsi="Palatino Linotype" w:cs="Palatino Linotype"/>
          <w:b/>
          <w:i/>
          <w:color w:val="000000" w:themeColor="text1"/>
        </w:rPr>
        <w:t xml:space="preserve">“REVISIÓN EN AMPARO. LOS RESOLUTIVOS NO COMBATIDOS DEBEN DECLARARSE FIRMES. </w:t>
      </w:r>
      <w:r w:rsidRPr="00DF40A3">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334DA8" w:rsidRPr="00DF40A3" w:rsidRDefault="00334DA8" w:rsidP="00DF40A3">
      <w:pPr>
        <w:tabs>
          <w:tab w:val="left" w:pos="0"/>
        </w:tabs>
        <w:rPr>
          <w:rFonts w:ascii="Palatino Linotype" w:eastAsia="Palatino Linotype" w:hAnsi="Palatino Linotype" w:cs="Palatino Linotype"/>
          <w:color w:val="000000" w:themeColor="text1"/>
        </w:rPr>
      </w:pPr>
    </w:p>
    <w:p w:rsidR="00334DA8" w:rsidRPr="00DF40A3" w:rsidRDefault="00952A01" w:rsidP="00DF40A3">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color w:val="000000" w:themeColor="text1"/>
        </w:rPr>
        <w:t xml:space="preserve">Una vez hecha la precisión anterior, se advierte que este Instituto no se encuentra facultado para dudar de la veracidad de las respuestas emitidas por los Sujetos Obligados ni de la que ponen a disposición de los solicitantes; situación que se aleja de las atribuciones de este Órgano Garante que al momento que ponen a disposición ésta, la misma tiene el carácter oficial y se presume veraz, tan es así que la misma queda registrada en el </w:t>
      </w:r>
      <w:r w:rsidRPr="00DF40A3">
        <w:rPr>
          <w:rFonts w:ascii="Palatino Linotype" w:eastAsia="Palatino Linotype" w:hAnsi="Palatino Linotype" w:cs="Palatino Linotype"/>
          <w:b/>
          <w:color w:val="000000" w:themeColor="text1"/>
        </w:rPr>
        <w:t>SAIMEX.</w:t>
      </w:r>
    </w:p>
    <w:p w:rsidR="00334DA8" w:rsidRPr="00DF40A3" w:rsidRDefault="00334DA8" w:rsidP="00DF40A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34DA8" w:rsidRPr="00DF40A3" w:rsidRDefault="00952A01" w:rsidP="00DF40A3">
      <w:pPr>
        <w:numPr>
          <w:ilvl w:val="0"/>
          <w:numId w:val="3"/>
        </w:numPr>
        <w:pBdr>
          <w:top w:val="nil"/>
          <w:left w:val="nil"/>
          <w:bottom w:val="nil"/>
          <w:right w:val="nil"/>
          <w:between w:val="nil"/>
        </w:pBdr>
        <w:tabs>
          <w:tab w:val="left" w:pos="0"/>
        </w:tabs>
        <w:spacing w:line="360" w:lineRule="auto"/>
        <w:ind w:firstLine="0"/>
        <w:rPr>
          <w:rFonts w:ascii="Palatino Linotype" w:eastAsia="Palatino Linotype" w:hAnsi="Palatino Linotype" w:cs="Palatino Linotype"/>
          <w:b/>
          <w:i/>
          <w:color w:val="000000" w:themeColor="text1"/>
        </w:rPr>
      </w:pPr>
      <w:r w:rsidRPr="00DF40A3">
        <w:rPr>
          <w:rFonts w:ascii="Palatino Linotype" w:eastAsia="Palatino Linotype" w:hAnsi="Palatino Linotype" w:cs="Palatino Linotype"/>
          <w:b/>
          <w:i/>
          <w:color w:val="000000" w:themeColor="text1"/>
        </w:rPr>
        <w:t>De la Plus Petitio.</w:t>
      </w:r>
    </w:p>
    <w:p w:rsidR="00334DA8" w:rsidRPr="00DF40A3" w:rsidRDefault="00952A01" w:rsidP="00DF40A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color w:val="000000" w:themeColor="text1"/>
        </w:rPr>
        <w:t xml:space="preserve">Ahora bien, resulta necesario reiterar las razones o motivos de inconformidad vertidos en el recurso de revisión </w:t>
      </w:r>
      <w:r w:rsidRPr="00DF40A3">
        <w:rPr>
          <w:rFonts w:ascii="Palatino Linotype" w:eastAsia="Palatino Linotype" w:hAnsi="Palatino Linotype" w:cs="Palatino Linotype"/>
          <w:b/>
          <w:color w:val="000000" w:themeColor="text1"/>
        </w:rPr>
        <w:t>10388/INFOEM/IP/RR/2025</w:t>
      </w:r>
      <w:r w:rsidRPr="00DF40A3">
        <w:rPr>
          <w:rFonts w:ascii="Palatino Linotype" w:eastAsia="Palatino Linotype" w:hAnsi="Palatino Linotype" w:cs="Palatino Linotype"/>
          <w:color w:val="000000" w:themeColor="text1"/>
        </w:rPr>
        <w:t>, en los siguientes términos: “…</w:t>
      </w:r>
      <w:r w:rsidRPr="00DF40A3">
        <w:rPr>
          <w:rFonts w:ascii="Palatino Linotype" w:eastAsia="Palatino Linotype" w:hAnsi="Palatino Linotype" w:cs="Palatino Linotype"/>
          <w:i/>
          <w:color w:val="000000" w:themeColor="text1"/>
        </w:rPr>
        <w:t xml:space="preserve">pero en su respuesta Número de Folio de la Solicitud: 00663/ECATEPEC/IP/2025 adunta menciona que Aranza Lozano Velázquez es la segundo subdelegado propietario puede </w:t>
      </w:r>
      <w:r w:rsidRPr="00DF40A3">
        <w:rPr>
          <w:rFonts w:ascii="Palatino Linotype" w:eastAsia="Palatino Linotype" w:hAnsi="Palatino Linotype" w:cs="Palatino Linotype"/>
          <w:b/>
          <w:i/>
          <w:color w:val="000000" w:themeColor="text1"/>
        </w:rPr>
        <w:t>ella tener los dos cargos uno como sevidora publica y otro como miembro de la delegacion de la colonia? en caso de que me vayan a responder que si puede tener ambos nombramientos con base en que arituculo sustentan que si se puede</w:t>
      </w:r>
      <w:r w:rsidRPr="00DF40A3">
        <w:rPr>
          <w:rFonts w:ascii="Palatino Linotype" w:eastAsia="Palatino Linotype" w:hAnsi="Palatino Linotype" w:cs="Palatino Linotype"/>
          <w:i/>
          <w:color w:val="000000" w:themeColor="text1"/>
        </w:rPr>
        <w:t>” (Sic.)</w:t>
      </w:r>
    </w:p>
    <w:p w:rsidR="00334DA8" w:rsidRPr="00DF40A3" w:rsidRDefault="00334DA8" w:rsidP="00DF40A3">
      <w:pPr>
        <w:tabs>
          <w:tab w:val="left" w:pos="0"/>
        </w:tabs>
        <w:spacing w:line="360" w:lineRule="auto"/>
        <w:jc w:val="both"/>
        <w:rPr>
          <w:rFonts w:ascii="Palatino Linotype" w:eastAsia="Palatino Linotype" w:hAnsi="Palatino Linotype" w:cs="Palatino Linotype"/>
          <w:color w:val="000000" w:themeColor="text1"/>
        </w:rPr>
      </w:pPr>
    </w:p>
    <w:p w:rsidR="00334DA8" w:rsidRPr="00DF40A3" w:rsidRDefault="00952A01" w:rsidP="00DF40A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color w:val="000000" w:themeColor="text1"/>
        </w:rPr>
        <w:lastRenderedPageBreak/>
        <w:t xml:space="preserve">Conforme a lo anterior, el sistema de medios de impugnación se centra en el análisis de los agravios o motivos de inconformidad, los que deben tener relación directa con el acto de autoridad que lo motiva. </w:t>
      </w:r>
    </w:p>
    <w:p w:rsidR="00334DA8" w:rsidRPr="00DF40A3" w:rsidRDefault="00334DA8" w:rsidP="00DF40A3">
      <w:pPr>
        <w:tabs>
          <w:tab w:val="left" w:pos="0"/>
        </w:tabs>
        <w:rPr>
          <w:rFonts w:ascii="Palatino Linotype" w:eastAsia="Palatino Linotype" w:hAnsi="Palatino Linotype" w:cs="Palatino Linotype"/>
          <w:color w:val="000000" w:themeColor="text1"/>
        </w:rPr>
      </w:pPr>
    </w:p>
    <w:p w:rsidR="00334DA8" w:rsidRPr="00DF40A3" w:rsidRDefault="00952A01" w:rsidP="00DF40A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color w:val="000000" w:themeColor="text1"/>
        </w:rPr>
        <w:t xml:space="preserve">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w:t>
      </w:r>
      <w:r w:rsidRPr="00DF40A3">
        <w:rPr>
          <w:rFonts w:ascii="Palatino Linotype" w:eastAsia="Palatino Linotype" w:hAnsi="Palatino Linotype" w:cs="Palatino Linotype"/>
          <w:b/>
          <w:color w:val="000000" w:themeColor="text1"/>
        </w:rPr>
        <w:t>SUJETO OBLIGADO</w:t>
      </w:r>
      <w:r w:rsidRPr="00DF40A3">
        <w:rPr>
          <w:rFonts w:ascii="Palatino Linotype" w:eastAsia="Palatino Linotype" w:hAnsi="Palatino Linotype" w:cs="Palatino Linotype"/>
          <w:color w:val="000000" w:themeColor="text1"/>
        </w:rPr>
        <w:t xml:space="preserve"> no tuvo la oportunidad de conocer y por consiguiente producir un posicionamiento.</w:t>
      </w:r>
    </w:p>
    <w:p w:rsidR="00334DA8" w:rsidRPr="00DF40A3" w:rsidRDefault="00334DA8" w:rsidP="00DF40A3">
      <w:pPr>
        <w:tabs>
          <w:tab w:val="left" w:pos="0"/>
        </w:tabs>
        <w:rPr>
          <w:rFonts w:ascii="Palatino Linotype" w:eastAsia="Palatino Linotype" w:hAnsi="Palatino Linotype" w:cs="Palatino Linotype"/>
          <w:color w:val="000000" w:themeColor="text1"/>
        </w:rPr>
      </w:pPr>
    </w:p>
    <w:p w:rsidR="00334DA8" w:rsidRPr="00DF40A3" w:rsidRDefault="00952A01" w:rsidP="00DF40A3">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color w:val="000000" w:themeColor="text1"/>
        </w:rPr>
        <w:t>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rsidR="00334DA8" w:rsidRPr="00DF40A3" w:rsidRDefault="00952A01" w:rsidP="00DF40A3">
      <w:pPr>
        <w:tabs>
          <w:tab w:val="left" w:pos="0"/>
        </w:tabs>
        <w:ind w:left="567"/>
        <w:jc w:val="both"/>
        <w:rPr>
          <w:rFonts w:ascii="Palatino Linotype" w:eastAsia="Palatino Linotype" w:hAnsi="Palatino Linotype" w:cs="Palatino Linotype"/>
          <w:i/>
          <w:color w:val="000000" w:themeColor="text1"/>
        </w:rPr>
      </w:pPr>
      <w:r w:rsidRPr="00DF40A3">
        <w:rPr>
          <w:rFonts w:ascii="Palatino Linotype" w:eastAsia="Palatino Linotype" w:hAnsi="Palatino Linotype" w:cs="Palatino Linotype"/>
          <w:b/>
          <w:i/>
          <w:color w:val="000000" w:themeColor="text1"/>
        </w:rPr>
        <w:t>“Artículo 191.</w:t>
      </w:r>
      <w:r w:rsidRPr="00DF40A3">
        <w:rPr>
          <w:rFonts w:ascii="Palatino Linotype" w:eastAsia="Palatino Linotype" w:hAnsi="Palatino Linotype" w:cs="Palatino Linotype"/>
          <w:i/>
          <w:color w:val="000000" w:themeColor="text1"/>
        </w:rPr>
        <w:t xml:space="preserve"> El recurso será desechado por improcedente cuando:</w:t>
      </w:r>
    </w:p>
    <w:p w:rsidR="00334DA8" w:rsidRPr="00DF40A3" w:rsidRDefault="00952A01" w:rsidP="00DF40A3">
      <w:pPr>
        <w:tabs>
          <w:tab w:val="left" w:pos="0"/>
        </w:tabs>
        <w:ind w:left="567"/>
        <w:jc w:val="both"/>
        <w:rPr>
          <w:rFonts w:ascii="Palatino Linotype" w:eastAsia="Palatino Linotype" w:hAnsi="Palatino Linotype" w:cs="Palatino Linotype"/>
          <w:i/>
          <w:color w:val="000000" w:themeColor="text1"/>
        </w:rPr>
      </w:pPr>
      <w:r w:rsidRPr="00DF40A3">
        <w:rPr>
          <w:rFonts w:ascii="Palatino Linotype" w:eastAsia="Palatino Linotype" w:hAnsi="Palatino Linotype" w:cs="Palatino Linotype"/>
          <w:i/>
          <w:color w:val="000000" w:themeColor="text1"/>
        </w:rPr>
        <w:t>(…)</w:t>
      </w:r>
    </w:p>
    <w:p w:rsidR="00334DA8" w:rsidRPr="00DF40A3" w:rsidRDefault="00952A01" w:rsidP="00DF40A3">
      <w:pPr>
        <w:tabs>
          <w:tab w:val="left" w:pos="0"/>
        </w:tabs>
        <w:ind w:left="567"/>
        <w:jc w:val="both"/>
        <w:rPr>
          <w:rFonts w:ascii="Palatino Linotype" w:eastAsia="Palatino Linotype" w:hAnsi="Palatino Linotype" w:cs="Palatino Linotype"/>
          <w:b/>
          <w:i/>
          <w:color w:val="000000" w:themeColor="text1"/>
        </w:rPr>
      </w:pPr>
      <w:r w:rsidRPr="00DF40A3">
        <w:rPr>
          <w:rFonts w:ascii="Palatino Linotype" w:eastAsia="Palatino Linotype" w:hAnsi="Palatino Linotype" w:cs="Palatino Linotype"/>
          <w:b/>
          <w:i/>
          <w:color w:val="000000" w:themeColor="text1"/>
        </w:rPr>
        <w:t>VII. El recurrente amplíe su solicitud en el recurso de revisión, únicamente respecto de los nuevos contenidos.</w:t>
      </w:r>
    </w:p>
    <w:p w:rsidR="00334DA8" w:rsidRPr="00DF40A3" w:rsidRDefault="00952A01" w:rsidP="00DF40A3">
      <w:pPr>
        <w:tabs>
          <w:tab w:val="left" w:pos="0"/>
        </w:tabs>
        <w:ind w:left="567"/>
        <w:jc w:val="both"/>
        <w:rPr>
          <w:rFonts w:ascii="Palatino Linotype" w:eastAsia="Palatino Linotype" w:hAnsi="Palatino Linotype" w:cs="Palatino Linotype"/>
          <w:i/>
          <w:color w:val="000000" w:themeColor="text1"/>
        </w:rPr>
      </w:pPr>
      <w:r w:rsidRPr="00DF40A3">
        <w:rPr>
          <w:rFonts w:ascii="Palatino Linotype" w:eastAsia="Palatino Linotype" w:hAnsi="Palatino Linotype" w:cs="Palatino Linotype"/>
          <w:i/>
          <w:color w:val="000000" w:themeColor="text1"/>
        </w:rPr>
        <w:t>(…)”</w:t>
      </w:r>
    </w:p>
    <w:p w:rsidR="00334DA8" w:rsidRPr="00DF40A3" w:rsidRDefault="00334DA8" w:rsidP="00DF40A3">
      <w:pPr>
        <w:tabs>
          <w:tab w:val="left" w:pos="0"/>
        </w:tabs>
        <w:jc w:val="both"/>
        <w:rPr>
          <w:rFonts w:ascii="Palatino Linotype" w:eastAsia="Palatino Linotype" w:hAnsi="Palatino Linotype" w:cs="Palatino Linotype"/>
          <w:i/>
          <w:color w:val="000000" w:themeColor="text1"/>
        </w:rPr>
      </w:pPr>
    </w:p>
    <w:p w:rsidR="00334DA8" w:rsidRPr="00DF40A3" w:rsidRDefault="00952A01" w:rsidP="00DF40A3">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color w:val="000000" w:themeColor="text1"/>
        </w:rPr>
        <w:t xml:space="preserve">Por lo anterior, resulta improcedente el referido motivo de inconformidad, ya que se aprecia que la parte </w:t>
      </w:r>
      <w:r w:rsidRPr="00DF40A3">
        <w:rPr>
          <w:rFonts w:ascii="Palatino Linotype" w:eastAsia="Palatino Linotype" w:hAnsi="Palatino Linotype" w:cs="Palatino Linotype"/>
          <w:b/>
          <w:color w:val="000000" w:themeColor="text1"/>
        </w:rPr>
        <w:t>RECURRENTE</w:t>
      </w:r>
      <w:r w:rsidRPr="00DF40A3">
        <w:rPr>
          <w:rFonts w:ascii="Palatino Linotype" w:eastAsia="Palatino Linotype" w:hAnsi="Palatino Linotype" w:cs="Palatino Linotype"/>
          <w:color w:val="000000" w:themeColor="text1"/>
        </w:rPr>
        <w:t xml:space="preserve"> se excede dentro de su inconformidad respecto a lo requerido originalmente en la solicitud de información, siendo el caso que pretende ampliar lo solicitado de origen, lo que hace que se surta lo que en la teoría jurídica se le denomina </w:t>
      </w:r>
      <w:r w:rsidRPr="00DF40A3">
        <w:rPr>
          <w:rFonts w:ascii="Palatino Linotype" w:eastAsia="Palatino Linotype" w:hAnsi="Palatino Linotype" w:cs="Palatino Linotype"/>
          <w:b/>
          <w:i/>
          <w:color w:val="000000" w:themeColor="text1"/>
        </w:rPr>
        <w:t>plus petitio.</w:t>
      </w:r>
    </w:p>
    <w:p w:rsidR="00334DA8" w:rsidRPr="00DF40A3" w:rsidRDefault="00334DA8" w:rsidP="00DF40A3">
      <w:pPr>
        <w:tabs>
          <w:tab w:val="left" w:pos="0"/>
        </w:tabs>
        <w:spacing w:line="360" w:lineRule="auto"/>
        <w:jc w:val="both"/>
        <w:rPr>
          <w:rFonts w:ascii="Palatino Linotype" w:eastAsia="Palatino Linotype" w:hAnsi="Palatino Linotype" w:cs="Palatino Linotype"/>
          <w:color w:val="000000" w:themeColor="text1"/>
        </w:rPr>
      </w:pPr>
    </w:p>
    <w:p w:rsidR="00334DA8" w:rsidRPr="00DF40A3" w:rsidRDefault="00952A01" w:rsidP="00DF40A3">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color w:val="000000" w:themeColor="text1"/>
        </w:rPr>
        <w:lastRenderedPageBreak/>
        <w:t>Sirve de apoyo el criterio 01/17 emitido por el Instituto Nacional de Transparencia, Acceso a la Información y Protección de Datos Personales que establece lo siguiente:</w:t>
      </w:r>
    </w:p>
    <w:p w:rsidR="00334DA8" w:rsidRPr="00DF40A3" w:rsidRDefault="00952A01" w:rsidP="00DF40A3">
      <w:pPr>
        <w:tabs>
          <w:tab w:val="left" w:pos="0"/>
        </w:tabs>
        <w:ind w:left="567"/>
        <w:jc w:val="both"/>
        <w:rPr>
          <w:rFonts w:ascii="Palatino Linotype" w:eastAsia="Palatino Linotype" w:hAnsi="Palatino Linotype" w:cs="Palatino Linotype"/>
          <w:i/>
          <w:color w:val="000000" w:themeColor="text1"/>
        </w:rPr>
      </w:pPr>
      <w:r w:rsidRPr="00DF40A3">
        <w:rPr>
          <w:rFonts w:ascii="Palatino Linotype" w:eastAsia="Palatino Linotype" w:hAnsi="Palatino Linotype" w:cs="Palatino Linotype"/>
          <w:b/>
          <w:i/>
          <w:color w:val="000000" w:themeColor="text1"/>
        </w:rPr>
        <w:t>Es improcedente ampliar las solicitudes de acceso a información, a través de la interposición del recurso de revisión.</w:t>
      </w:r>
      <w:r w:rsidRPr="00DF40A3">
        <w:rPr>
          <w:rFonts w:ascii="Palatino Linotype" w:eastAsia="Palatino Linotype" w:hAnsi="Palatino Linotype" w:cs="Palatino Linotype"/>
          <w:i/>
          <w:color w:val="000000" w:themeColor="text1"/>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334DA8" w:rsidRPr="00DF40A3" w:rsidRDefault="00334DA8" w:rsidP="00DF40A3">
      <w:pPr>
        <w:tabs>
          <w:tab w:val="left" w:pos="0"/>
        </w:tabs>
        <w:ind w:left="567"/>
        <w:jc w:val="both"/>
        <w:rPr>
          <w:rFonts w:ascii="Palatino Linotype" w:eastAsia="Palatino Linotype" w:hAnsi="Palatino Linotype" w:cs="Palatino Linotype"/>
          <w:color w:val="000000" w:themeColor="text1"/>
        </w:rPr>
      </w:pPr>
    </w:p>
    <w:p w:rsidR="00334DA8" w:rsidRPr="00DF40A3" w:rsidRDefault="00952A01" w:rsidP="00DF40A3">
      <w:pPr>
        <w:tabs>
          <w:tab w:val="left" w:pos="0"/>
        </w:tabs>
        <w:ind w:left="567"/>
        <w:jc w:val="both"/>
        <w:rPr>
          <w:rFonts w:ascii="Palatino Linotype" w:eastAsia="Palatino Linotype" w:hAnsi="Palatino Linotype" w:cs="Palatino Linotype"/>
          <w:i/>
          <w:color w:val="000000" w:themeColor="text1"/>
        </w:rPr>
      </w:pPr>
      <w:r w:rsidRPr="00DF40A3">
        <w:rPr>
          <w:rFonts w:ascii="Palatino Linotype" w:eastAsia="Palatino Linotype" w:hAnsi="Palatino Linotype" w:cs="Palatino Linotype"/>
          <w:i/>
          <w:color w:val="000000" w:themeColor="text1"/>
        </w:rPr>
        <w:t>Resoluciones:</w:t>
      </w:r>
    </w:p>
    <w:p w:rsidR="00334DA8" w:rsidRPr="00DF40A3" w:rsidRDefault="00952A01" w:rsidP="00DF40A3">
      <w:pPr>
        <w:tabs>
          <w:tab w:val="left" w:pos="0"/>
        </w:tabs>
        <w:ind w:left="567"/>
        <w:jc w:val="both"/>
        <w:rPr>
          <w:rFonts w:ascii="Palatino Linotype" w:eastAsia="Palatino Linotype" w:hAnsi="Palatino Linotype" w:cs="Palatino Linotype"/>
          <w:i/>
          <w:color w:val="000000" w:themeColor="text1"/>
        </w:rPr>
      </w:pPr>
      <w:r w:rsidRPr="00DF40A3">
        <w:rPr>
          <w:rFonts w:ascii="Palatino Linotype" w:eastAsia="Palatino Linotype" w:hAnsi="Palatino Linotype" w:cs="Palatino Linotype"/>
          <w:i/>
          <w:color w:val="000000" w:themeColor="text1"/>
        </w:rPr>
        <w:t>RRA 0196/16. Secretaría de Agricultura, Ganadería, Desarrollo Rural, Pesca y Alimentación. 13 de julio de 2016. Por unanimidad. Comisionado Ponente Joel Salas Suárez.</w:t>
      </w:r>
    </w:p>
    <w:p w:rsidR="00334DA8" w:rsidRPr="00DF40A3" w:rsidRDefault="00952A01" w:rsidP="00DF40A3">
      <w:pPr>
        <w:tabs>
          <w:tab w:val="left" w:pos="0"/>
        </w:tabs>
        <w:ind w:left="567"/>
        <w:jc w:val="both"/>
        <w:rPr>
          <w:rFonts w:ascii="Palatino Linotype" w:eastAsia="Palatino Linotype" w:hAnsi="Palatino Linotype" w:cs="Palatino Linotype"/>
          <w:i/>
          <w:color w:val="000000" w:themeColor="text1"/>
        </w:rPr>
      </w:pPr>
      <w:r w:rsidRPr="00DF40A3">
        <w:rPr>
          <w:rFonts w:ascii="Palatino Linotype" w:eastAsia="Palatino Linotype" w:hAnsi="Palatino Linotype" w:cs="Palatino Linotype"/>
          <w:i/>
          <w:color w:val="000000" w:themeColor="text1"/>
        </w:rPr>
        <w:t>RRA 0130/16. Comisión Nacional del Agua. 09 de agosto de 2016. Por unanimidad. Comisionado Ponente María Patricia Kurczyn Villalobos.</w:t>
      </w:r>
    </w:p>
    <w:p w:rsidR="00334DA8" w:rsidRPr="00DF40A3" w:rsidRDefault="00952A01" w:rsidP="00DF40A3">
      <w:pPr>
        <w:tabs>
          <w:tab w:val="left" w:pos="0"/>
        </w:tabs>
        <w:ind w:left="567"/>
        <w:jc w:val="both"/>
        <w:rPr>
          <w:rFonts w:ascii="Palatino Linotype" w:eastAsia="Palatino Linotype" w:hAnsi="Palatino Linotype" w:cs="Palatino Linotype"/>
          <w:i/>
          <w:color w:val="000000" w:themeColor="text1"/>
        </w:rPr>
      </w:pPr>
      <w:r w:rsidRPr="00DF40A3">
        <w:rPr>
          <w:rFonts w:ascii="Palatino Linotype" w:eastAsia="Palatino Linotype" w:hAnsi="Palatino Linotype" w:cs="Palatino Linotype"/>
          <w:i/>
          <w:color w:val="000000" w:themeColor="text1"/>
        </w:rPr>
        <w:t>RRA 0342/16. Colegio de Bachilleres. 24 de agosto de 2016. Por unanimidad. Comisionada Ponente Ximena Puente de la Mora.</w:t>
      </w:r>
    </w:p>
    <w:p w:rsidR="00334DA8" w:rsidRPr="00DF40A3" w:rsidRDefault="00334DA8" w:rsidP="00DF40A3">
      <w:pPr>
        <w:tabs>
          <w:tab w:val="left" w:pos="0"/>
        </w:tabs>
        <w:jc w:val="both"/>
        <w:rPr>
          <w:rFonts w:ascii="Palatino Linotype" w:eastAsia="Palatino Linotype" w:hAnsi="Palatino Linotype" w:cs="Palatino Linotype"/>
          <w:i/>
          <w:color w:val="000000" w:themeColor="text1"/>
        </w:rPr>
      </w:pPr>
    </w:p>
    <w:p w:rsidR="00334DA8" w:rsidRPr="00DF40A3" w:rsidRDefault="00952A01" w:rsidP="00DF40A3">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color w:val="000000" w:themeColor="text1"/>
        </w:rPr>
        <w:t>Asimismo, sirve de apoyo a lo anterior por analogía, la Jurisprudencia No. 29 visible a foja 19 del Apéndice al Semanario Judicial de la Federación 1917-1995, Torno VI, Materia Común, Primera Parte, Tesis de la Suprema Corte de Justicia, que contiene:</w:t>
      </w:r>
    </w:p>
    <w:p w:rsidR="00334DA8" w:rsidRPr="00DF40A3" w:rsidRDefault="00952A01" w:rsidP="00DF40A3">
      <w:pPr>
        <w:tabs>
          <w:tab w:val="left" w:pos="0"/>
        </w:tabs>
        <w:ind w:left="567"/>
        <w:jc w:val="both"/>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b/>
          <w:i/>
          <w:color w:val="000000" w:themeColor="text1"/>
        </w:rPr>
        <w:t xml:space="preserve">AGRAVIOS EN LA REVISION. DEBEN ESTAR EN RELACION DIRECTA CON LOS FUNDAMENTOS Y CONSIDERACIONES DE LA SENTENCIA.- </w:t>
      </w:r>
      <w:r w:rsidRPr="00DF40A3">
        <w:rPr>
          <w:rFonts w:ascii="Palatino Linotype" w:eastAsia="Palatino Linotype" w:hAnsi="Palatino Linotype" w:cs="Palatino Linotype"/>
          <w:i/>
          <w:color w:val="000000" w:themeColor="text1"/>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rsidR="00334DA8" w:rsidRPr="00DF40A3" w:rsidRDefault="00334DA8" w:rsidP="00DF40A3">
      <w:pPr>
        <w:tabs>
          <w:tab w:val="left" w:pos="0"/>
        </w:tabs>
        <w:spacing w:line="360" w:lineRule="auto"/>
        <w:jc w:val="both"/>
        <w:rPr>
          <w:rFonts w:ascii="Palatino Linotype" w:eastAsia="Palatino Linotype" w:hAnsi="Palatino Linotype" w:cs="Palatino Linotype"/>
          <w:color w:val="000000" w:themeColor="text1"/>
        </w:rPr>
      </w:pPr>
    </w:p>
    <w:p w:rsidR="00334DA8" w:rsidRPr="00DF40A3" w:rsidRDefault="00952A01" w:rsidP="00DF40A3">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color w:val="000000" w:themeColor="text1"/>
        </w:rPr>
        <w:lastRenderedPageBreak/>
        <w:t xml:space="preserve">Consecuentemente, en términos del artículo 191, fracción VII de la Ley de Transparencia y Acceso a la Información Pública del Estado de México y Municipios, este Instituto determina el </w:t>
      </w:r>
      <w:r w:rsidRPr="00DF40A3">
        <w:rPr>
          <w:rFonts w:ascii="Palatino Linotype" w:eastAsia="Palatino Linotype" w:hAnsi="Palatino Linotype" w:cs="Palatino Linotype"/>
          <w:b/>
          <w:color w:val="000000" w:themeColor="text1"/>
        </w:rPr>
        <w:t xml:space="preserve">SOBRESEIMIENTO </w:t>
      </w:r>
      <w:r w:rsidRPr="00DF40A3">
        <w:rPr>
          <w:rFonts w:ascii="Palatino Linotype" w:eastAsia="Palatino Linotype" w:hAnsi="Palatino Linotype" w:cs="Palatino Linotype"/>
          <w:color w:val="000000" w:themeColor="text1"/>
        </w:rPr>
        <w:t>del presente recurso de revisión, por resultar improcedente, de acuerdo con el artículo 192 fracción IV del mismo ordenamiento legal.</w:t>
      </w:r>
    </w:p>
    <w:p w:rsidR="00334DA8" w:rsidRPr="00DF40A3" w:rsidRDefault="00952A01" w:rsidP="00DF40A3">
      <w:pPr>
        <w:tabs>
          <w:tab w:val="left" w:pos="0"/>
        </w:tabs>
        <w:ind w:left="567"/>
        <w:jc w:val="both"/>
        <w:rPr>
          <w:rFonts w:ascii="Palatino Linotype" w:eastAsia="Palatino Linotype" w:hAnsi="Palatino Linotype" w:cs="Palatino Linotype"/>
          <w:i/>
          <w:color w:val="000000" w:themeColor="text1"/>
        </w:rPr>
      </w:pPr>
      <w:r w:rsidRPr="00DF40A3">
        <w:rPr>
          <w:rFonts w:ascii="Palatino Linotype" w:eastAsia="Palatino Linotype" w:hAnsi="Palatino Linotype" w:cs="Palatino Linotype"/>
          <w:b/>
          <w:i/>
          <w:color w:val="000000" w:themeColor="text1"/>
        </w:rPr>
        <w:t>“Artículo 192.</w:t>
      </w:r>
      <w:r w:rsidRPr="00DF40A3">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 </w:t>
      </w:r>
    </w:p>
    <w:p w:rsidR="00334DA8" w:rsidRPr="00DF40A3" w:rsidRDefault="00952A01" w:rsidP="00DF40A3">
      <w:pPr>
        <w:tabs>
          <w:tab w:val="left" w:pos="0"/>
        </w:tabs>
        <w:ind w:left="567"/>
        <w:jc w:val="both"/>
        <w:rPr>
          <w:rFonts w:ascii="Palatino Linotype" w:eastAsia="Palatino Linotype" w:hAnsi="Palatino Linotype" w:cs="Palatino Linotype"/>
          <w:i/>
          <w:color w:val="000000" w:themeColor="text1"/>
        </w:rPr>
      </w:pPr>
      <w:r w:rsidRPr="00DF40A3">
        <w:rPr>
          <w:rFonts w:ascii="Palatino Linotype" w:eastAsia="Palatino Linotype" w:hAnsi="Palatino Linotype" w:cs="Palatino Linotype"/>
          <w:i/>
          <w:color w:val="000000" w:themeColor="text1"/>
        </w:rPr>
        <w:t>(…)</w:t>
      </w:r>
    </w:p>
    <w:p w:rsidR="00334DA8" w:rsidRPr="00DF40A3" w:rsidRDefault="00952A01" w:rsidP="00DF40A3">
      <w:pPr>
        <w:tabs>
          <w:tab w:val="left" w:pos="0"/>
        </w:tabs>
        <w:ind w:left="567"/>
        <w:jc w:val="both"/>
        <w:rPr>
          <w:rFonts w:ascii="Palatino Linotype" w:eastAsia="Palatino Linotype" w:hAnsi="Palatino Linotype" w:cs="Palatino Linotype"/>
          <w:b/>
          <w:i/>
          <w:color w:val="000000" w:themeColor="text1"/>
        </w:rPr>
      </w:pPr>
      <w:r w:rsidRPr="00DF40A3">
        <w:rPr>
          <w:rFonts w:ascii="Palatino Linotype" w:eastAsia="Palatino Linotype" w:hAnsi="Palatino Linotype" w:cs="Palatino Linotype"/>
          <w:b/>
          <w:i/>
          <w:color w:val="000000" w:themeColor="text1"/>
        </w:rPr>
        <w:t xml:space="preserve">IV. Admitido el recurso de revisión, aparezca alguna causal de improcedencia en los términos de la presente Ley; </w:t>
      </w:r>
    </w:p>
    <w:p w:rsidR="00334DA8" w:rsidRPr="00DF40A3" w:rsidRDefault="00952A01" w:rsidP="00DF40A3">
      <w:pPr>
        <w:tabs>
          <w:tab w:val="left" w:pos="0"/>
        </w:tabs>
        <w:ind w:left="567"/>
        <w:jc w:val="both"/>
        <w:rPr>
          <w:rFonts w:ascii="Palatino Linotype" w:eastAsia="Palatino Linotype" w:hAnsi="Palatino Linotype" w:cs="Palatino Linotype"/>
          <w:b/>
          <w:i/>
          <w:color w:val="000000" w:themeColor="text1"/>
        </w:rPr>
      </w:pPr>
      <w:r w:rsidRPr="00DF40A3">
        <w:rPr>
          <w:rFonts w:ascii="Palatino Linotype" w:eastAsia="Palatino Linotype" w:hAnsi="Palatino Linotype" w:cs="Palatino Linotype"/>
          <w:i/>
          <w:color w:val="000000" w:themeColor="text1"/>
        </w:rPr>
        <w:t>(…)”</w:t>
      </w:r>
    </w:p>
    <w:p w:rsidR="00334DA8" w:rsidRDefault="00334DA8" w:rsidP="00DF40A3">
      <w:pPr>
        <w:tabs>
          <w:tab w:val="left" w:pos="0"/>
        </w:tabs>
        <w:rPr>
          <w:rFonts w:ascii="Palatino Linotype" w:eastAsia="Palatino Linotype" w:hAnsi="Palatino Linotype" w:cs="Palatino Linotype"/>
          <w:color w:val="000000" w:themeColor="text1"/>
        </w:rPr>
      </w:pPr>
    </w:p>
    <w:p w:rsidR="00477DCA" w:rsidRPr="00DF40A3" w:rsidRDefault="00477DCA" w:rsidP="00DF40A3">
      <w:pPr>
        <w:tabs>
          <w:tab w:val="left" w:pos="0"/>
        </w:tabs>
        <w:rPr>
          <w:rFonts w:ascii="Palatino Linotype" w:eastAsia="Palatino Linotype" w:hAnsi="Palatino Linotype" w:cs="Palatino Linotype"/>
          <w:color w:val="000000" w:themeColor="text1"/>
        </w:rPr>
      </w:pPr>
    </w:p>
    <w:p w:rsidR="00334DA8" w:rsidRPr="00DF40A3" w:rsidRDefault="00952A01" w:rsidP="00DF40A3">
      <w:pPr>
        <w:numPr>
          <w:ilvl w:val="0"/>
          <w:numId w:val="1"/>
        </w:numPr>
        <w:pBdr>
          <w:top w:val="nil"/>
          <w:left w:val="nil"/>
          <w:bottom w:val="nil"/>
          <w:right w:val="nil"/>
          <w:between w:val="nil"/>
        </w:pBdr>
        <w:tabs>
          <w:tab w:val="left" w:pos="0"/>
        </w:tabs>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color w:val="000000" w:themeColor="text1"/>
        </w:rPr>
        <w:t xml:space="preserve">Por lo anteriormente expuesto y fundado, este </w:t>
      </w:r>
      <w:r w:rsidRPr="00DF40A3">
        <w:rPr>
          <w:rFonts w:ascii="Palatino Linotype" w:eastAsia="Palatino Linotype" w:hAnsi="Palatino Linotype" w:cs="Palatino Linotype"/>
          <w:b/>
          <w:color w:val="000000" w:themeColor="text1"/>
        </w:rPr>
        <w:t>ÓRGANO GARANTE</w:t>
      </w:r>
      <w:r w:rsidRPr="00DF40A3">
        <w:rPr>
          <w:rFonts w:ascii="Palatino Linotype" w:eastAsia="Palatino Linotype" w:hAnsi="Palatino Linotype" w:cs="Palatino Linotype"/>
          <w:color w:val="000000" w:themeColor="text1"/>
        </w:rPr>
        <w:t xml:space="preserve"> emite los siguientes:</w:t>
      </w:r>
    </w:p>
    <w:p w:rsidR="00334DA8" w:rsidRPr="00DF40A3" w:rsidRDefault="00334DA8" w:rsidP="00DF40A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34DA8" w:rsidRPr="00DF40A3" w:rsidRDefault="00952A01" w:rsidP="00DF40A3">
      <w:pPr>
        <w:pStyle w:val="Ttulo1"/>
        <w:tabs>
          <w:tab w:val="left" w:pos="0"/>
        </w:tabs>
        <w:spacing w:before="0" w:line="360" w:lineRule="auto"/>
        <w:jc w:val="center"/>
        <w:rPr>
          <w:b w:val="0"/>
          <w:color w:val="000000" w:themeColor="text1"/>
        </w:rPr>
      </w:pPr>
      <w:r w:rsidRPr="00DF40A3">
        <w:rPr>
          <w:color w:val="000000" w:themeColor="text1"/>
        </w:rPr>
        <w:t>R E S O L U T I V O S</w:t>
      </w:r>
    </w:p>
    <w:p w:rsidR="00334DA8" w:rsidRPr="00DF40A3" w:rsidRDefault="00334DA8" w:rsidP="00DF40A3">
      <w:pPr>
        <w:tabs>
          <w:tab w:val="left" w:pos="0"/>
        </w:tabs>
        <w:spacing w:line="360" w:lineRule="auto"/>
        <w:rPr>
          <w:rFonts w:ascii="Palatino Linotype" w:eastAsia="Palatino Linotype" w:hAnsi="Palatino Linotype" w:cs="Palatino Linotype"/>
          <w:color w:val="000000" w:themeColor="text1"/>
        </w:rPr>
      </w:pPr>
    </w:p>
    <w:p w:rsidR="00334DA8" w:rsidRPr="00DF40A3" w:rsidRDefault="00952A01" w:rsidP="00DF40A3">
      <w:pPr>
        <w:tabs>
          <w:tab w:val="left" w:pos="0"/>
        </w:tabs>
        <w:spacing w:line="360" w:lineRule="auto"/>
        <w:jc w:val="both"/>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b/>
          <w:color w:val="000000" w:themeColor="text1"/>
        </w:rPr>
        <w:t xml:space="preserve">PRIMERO. </w:t>
      </w:r>
      <w:r w:rsidRPr="00DF40A3">
        <w:rPr>
          <w:rFonts w:ascii="Palatino Linotype" w:eastAsia="Palatino Linotype" w:hAnsi="Palatino Linotype" w:cs="Palatino Linotype"/>
          <w:color w:val="000000" w:themeColor="text1"/>
        </w:rPr>
        <w:t xml:space="preserve">Se </w:t>
      </w:r>
      <w:r w:rsidRPr="00DF40A3">
        <w:rPr>
          <w:rFonts w:ascii="Palatino Linotype" w:eastAsia="Palatino Linotype" w:hAnsi="Palatino Linotype" w:cs="Palatino Linotype"/>
          <w:b/>
          <w:color w:val="000000" w:themeColor="text1"/>
        </w:rPr>
        <w:t>SOBRESEE por improcedente</w:t>
      </w:r>
      <w:r w:rsidRPr="00DF40A3">
        <w:rPr>
          <w:rFonts w:ascii="Palatino Linotype" w:eastAsia="Palatino Linotype" w:hAnsi="Palatino Linotype" w:cs="Palatino Linotype"/>
          <w:color w:val="000000" w:themeColor="text1"/>
        </w:rPr>
        <w:t xml:space="preserve"> el recurso de revisión número </w:t>
      </w:r>
      <w:r w:rsidRPr="00DF40A3">
        <w:rPr>
          <w:rFonts w:ascii="Palatino Linotype" w:eastAsia="Palatino Linotype" w:hAnsi="Palatino Linotype" w:cs="Palatino Linotype"/>
          <w:b/>
          <w:color w:val="000000" w:themeColor="text1"/>
        </w:rPr>
        <w:t xml:space="preserve">10388/INFOEM/IP/RR/2025 </w:t>
      </w:r>
      <w:r w:rsidRPr="00DF40A3">
        <w:rPr>
          <w:rFonts w:ascii="Palatino Linotype" w:eastAsia="Palatino Linotype" w:hAnsi="Palatino Linotype" w:cs="Palatino Linotype"/>
          <w:color w:val="000000" w:themeColor="text1"/>
        </w:rPr>
        <w:t xml:space="preserve">de conformidad con el 192, fracción IV, en relación con el artículo 191, fracción VII de la Ley de Transparencia y Acceso a la Información Pública del Estado de México y Municipios, en términos del Considerando </w:t>
      </w:r>
      <w:r w:rsidRPr="00DF40A3">
        <w:rPr>
          <w:rFonts w:ascii="Palatino Linotype" w:eastAsia="Palatino Linotype" w:hAnsi="Palatino Linotype" w:cs="Palatino Linotype"/>
          <w:b/>
          <w:color w:val="000000" w:themeColor="text1"/>
        </w:rPr>
        <w:t>TERCERO</w:t>
      </w:r>
      <w:r w:rsidRPr="00DF40A3">
        <w:rPr>
          <w:rFonts w:ascii="Palatino Linotype" w:eastAsia="Palatino Linotype" w:hAnsi="Palatino Linotype" w:cs="Palatino Linotype"/>
          <w:color w:val="000000" w:themeColor="text1"/>
        </w:rPr>
        <w:t xml:space="preserve"> de la presente resolución.</w:t>
      </w:r>
    </w:p>
    <w:p w:rsidR="00334DA8" w:rsidRPr="00DF40A3" w:rsidRDefault="00334DA8" w:rsidP="00DF40A3">
      <w:pPr>
        <w:tabs>
          <w:tab w:val="left" w:pos="0"/>
        </w:tabs>
        <w:spacing w:line="360" w:lineRule="auto"/>
        <w:jc w:val="both"/>
        <w:rPr>
          <w:rFonts w:ascii="Palatino Linotype" w:eastAsia="Palatino Linotype" w:hAnsi="Palatino Linotype" w:cs="Palatino Linotype"/>
          <w:color w:val="000000" w:themeColor="text1"/>
        </w:rPr>
      </w:pPr>
    </w:p>
    <w:p w:rsidR="00334DA8" w:rsidRPr="00DF40A3" w:rsidRDefault="00952A01" w:rsidP="00DF40A3">
      <w:pPr>
        <w:tabs>
          <w:tab w:val="left" w:pos="0"/>
        </w:tabs>
        <w:spacing w:line="360" w:lineRule="auto"/>
        <w:jc w:val="both"/>
        <w:rPr>
          <w:rFonts w:ascii="Palatino Linotype" w:eastAsia="Palatino Linotype" w:hAnsi="Palatino Linotype" w:cs="Palatino Linotype"/>
          <w:b/>
          <w:color w:val="000000" w:themeColor="text1"/>
        </w:rPr>
      </w:pPr>
      <w:r w:rsidRPr="00DF40A3">
        <w:rPr>
          <w:rFonts w:ascii="Palatino Linotype" w:eastAsia="Palatino Linotype" w:hAnsi="Palatino Linotype" w:cs="Palatino Linotype"/>
          <w:b/>
          <w:color w:val="000000" w:themeColor="text1"/>
        </w:rPr>
        <w:t xml:space="preserve">SEGUNDO. </w:t>
      </w:r>
      <w:r w:rsidR="00DF40A3">
        <w:rPr>
          <w:rFonts w:ascii="Palatino Linotype" w:eastAsia="Palatino Linotype" w:hAnsi="Palatino Linotype" w:cs="Palatino Linotype"/>
          <w:b/>
          <w:color w:val="000000" w:themeColor="text1"/>
        </w:rPr>
        <w:t>NOTIFÍQUESE</w:t>
      </w:r>
      <w:r w:rsidRPr="00DF40A3">
        <w:rPr>
          <w:rFonts w:ascii="Palatino Linotype" w:eastAsia="Palatino Linotype" w:hAnsi="Palatino Linotype" w:cs="Palatino Linotype"/>
          <w:b/>
          <w:color w:val="000000" w:themeColor="text1"/>
        </w:rPr>
        <w:t xml:space="preserve"> </w:t>
      </w:r>
      <w:r w:rsidRPr="00DF40A3">
        <w:rPr>
          <w:rFonts w:ascii="Palatino Linotype" w:eastAsia="Palatino Linotype" w:hAnsi="Palatino Linotype" w:cs="Palatino Linotype"/>
          <w:color w:val="000000" w:themeColor="text1"/>
        </w:rPr>
        <w:t xml:space="preserve">a través del Sistema de Acceso a la Información Mexiquense </w:t>
      </w:r>
      <w:r w:rsidRPr="00DF40A3">
        <w:rPr>
          <w:rFonts w:ascii="Palatino Linotype" w:eastAsia="Palatino Linotype" w:hAnsi="Palatino Linotype" w:cs="Palatino Linotype"/>
          <w:b/>
          <w:color w:val="000000" w:themeColor="text1"/>
        </w:rPr>
        <w:t xml:space="preserve">(SAIMEX) </w:t>
      </w:r>
      <w:r w:rsidRPr="00DF40A3">
        <w:rPr>
          <w:rFonts w:ascii="Palatino Linotype" w:eastAsia="Palatino Linotype" w:hAnsi="Palatino Linotype" w:cs="Palatino Linotype"/>
          <w:color w:val="000000" w:themeColor="text1"/>
        </w:rPr>
        <w:t>la presente resolución al Titular de la Unidad de Transparencia del</w:t>
      </w:r>
      <w:r w:rsidRPr="00DF40A3">
        <w:rPr>
          <w:rFonts w:ascii="Palatino Linotype" w:eastAsia="Palatino Linotype" w:hAnsi="Palatino Linotype" w:cs="Palatino Linotype"/>
          <w:b/>
          <w:color w:val="000000" w:themeColor="text1"/>
        </w:rPr>
        <w:t xml:space="preserve"> SUJETO OBLIGADO.</w:t>
      </w:r>
    </w:p>
    <w:p w:rsidR="00334DA8" w:rsidRPr="00DF40A3" w:rsidRDefault="00334DA8" w:rsidP="00DF40A3">
      <w:pPr>
        <w:tabs>
          <w:tab w:val="left" w:pos="0"/>
        </w:tabs>
        <w:spacing w:line="360" w:lineRule="auto"/>
        <w:jc w:val="both"/>
        <w:rPr>
          <w:rFonts w:ascii="Palatino Linotype" w:eastAsia="Palatino Linotype" w:hAnsi="Palatino Linotype" w:cs="Palatino Linotype"/>
          <w:b/>
          <w:color w:val="000000" w:themeColor="text1"/>
        </w:rPr>
      </w:pPr>
    </w:p>
    <w:p w:rsidR="00334DA8" w:rsidRPr="00DF40A3" w:rsidRDefault="00952A01" w:rsidP="00DF40A3">
      <w:pPr>
        <w:tabs>
          <w:tab w:val="left" w:pos="0"/>
          <w:tab w:val="left" w:pos="8080"/>
        </w:tabs>
        <w:spacing w:line="360" w:lineRule="auto"/>
        <w:jc w:val="both"/>
        <w:rPr>
          <w:rFonts w:ascii="Palatino Linotype" w:eastAsia="Palatino Linotype" w:hAnsi="Palatino Linotype" w:cs="Palatino Linotype"/>
          <w:b/>
          <w:color w:val="000000" w:themeColor="text1"/>
        </w:rPr>
      </w:pPr>
      <w:r w:rsidRPr="00DF40A3">
        <w:rPr>
          <w:rFonts w:ascii="Palatino Linotype" w:eastAsia="Palatino Linotype" w:hAnsi="Palatino Linotype" w:cs="Palatino Linotype"/>
          <w:b/>
          <w:color w:val="000000" w:themeColor="text1"/>
        </w:rPr>
        <w:t xml:space="preserve">TERCERO. Notifíquese </w:t>
      </w:r>
      <w:r w:rsidRPr="00DF40A3">
        <w:rPr>
          <w:rFonts w:ascii="Palatino Linotype" w:eastAsia="Palatino Linotype" w:hAnsi="Palatino Linotype" w:cs="Palatino Linotype"/>
          <w:color w:val="000000" w:themeColor="text1"/>
        </w:rPr>
        <w:t xml:space="preserve">a la parte </w:t>
      </w:r>
      <w:r w:rsidRPr="00DF40A3">
        <w:rPr>
          <w:rFonts w:ascii="Palatino Linotype" w:eastAsia="Palatino Linotype" w:hAnsi="Palatino Linotype" w:cs="Palatino Linotype"/>
          <w:b/>
          <w:color w:val="000000" w:themeColor="text1"/>
        </w:rPr>
        <w:t>RECURRENTE</w:t>
      </w:r>
      <w:r w:rsidRPr="00DF40A3">
        <w:rPr>
          <w:rFonts w:ascii="Palatino Linotype" w:eastAsia="Palatino Linotype" w:hAnsi="Palatino Linotype" w:cs="Palatino Linotype"/>
          <w:color w:val="000000" w:themeColor="text1"/>
        </w:rPr>
        <w:t xml:space="preserve"> la presente resolución, a través del Sistema de Acceso a la Información Mexiquense </w:t>
      </w:r>
      <w:r w:rsidRPr="00DF40A3">
        <w:rPr>
          <w:rFonts w:ascii="Palatino Linotype" w:eastAsia="Palatino Linotype" w:hAnsi="Palatino Linotype" w:cs="Palatino Linotype"/>
          <w:b/>
          <w:color w:val="000000" w:themeColor="text1"/>
        </w:rPr>
        <w:t>(SAIMEX).</w:t>
      </w:r>
    </w:p>
    <w:p w:rsidR="00334DA8" w:rsidRPr="00DF40A3" w:rsidRDefault="00952A01" w:rsidP="00DF40A3">
      <w:pPr>
        <w:shd w:val="clear" w:color="auto" w:fill="FFFFFF"/>
        <w:tabs>
          <w:tab w:val="left" w:pos="0"/>
        </w:tabs>
        <w:spacing w:line="360" w:lineRule="auto"/>
        <w:jc w:val="both"/>
        <w:rPr>
          <w:rFonts w:ascii="Palatino Linotype" w:eastAsia="Palatino Linotype" w:hAnsi="Palatino Linotype" w:cs="Palatino Linotype"/>
          <w:color w:val="000000" w:themeColor="text1"/>
        </w:rPr>
      </w:pPr>
      <w:r w:rsidRPr="00DF40A3">
        <w:rPr>
          <w:rFonts w:ascii="Palatino Linotype" w:eastAsia="Palatino Linotype" w:hAnsi="Palatino Linotype" w:cs="Palatino Linotype"/>
          <w:b/>
          <w:color w:val="000000" w:themeColor="text1"/>
        </w:rPr>
        <w:lastRenderedPageBreak/>
        <w:t xml:space="preserve">CUARTO. </w:t>
      </w:r>
      <w:r w:rsidRPr="00DF40A3">
        <w:rPr>
          <w:rFonts w:ascii="Palatino Linotype" w:eastAsia="Palatino Linotype" w:hAnsi="Palatino Linotype" w:cs="Palatino Linotype"/>
          <w:color w:val="000000" w:themeColor="text1"/>
        </w:rPr>
        <w:t xml:space="preserve">Se hace del conocimiento de la parte </w:t>
      </w:r>
      <w:r w:rsidRPr="00DF40A3">
        <w:rPr>
          <w:rFonts w:ascii="Palatino Linotype" w:eastAsia="Palatino Linotype" w:hAnsi="Palatino Linotype" w:cs="Palatino Linotype"/>
          <w:b/>
          <w:color w:val="000000" w:themeColor="text1"/>
        </w:rPr>
        <w:t>RECURRENTE</w:t>
      </w:r>
      <w:r w:rsidRPr="00DF40A3">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DF40A3" w:rsidRPr="00DF40A3" w:rsidRDefault="00DF40A3" w:rsidP="00DF40A3">
      <w:pPr>
        <w:shd w:val="clear" w:color="auto" w:fill="FFFFFF"/>
        <w:tabs>
          <w:tab w:val="left" w:pos="0"/>
        </w:tabs>
        <w:spacing w:line="360" w:lineRule="auto"/>
        <w:jc w:val="both"/>
        <w:rPr>
          <w:rFonts w:ascii="Palatino Linotype" w:eastAsia="Palatino Linotype" w:hAnsi="Palatino Linotype" w:cs="Palatino Linotype"/>
          <w:color w:val="000000" w:themeColor="text1"/>
        </w:rPr>
      </w:pPr>
    </w:p>
    <w:p w:rsidR="00DF40A3" w:rsidRPr="00444783" w:rsidRDefault="00DF40A3" w:rsidP="00DF40A3">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334DA8" w:rsidRPr="00DF40A3" w:rsidRDefault="00334DA8" w:rsidP="00DF40A3">
      <w:pPr>
        <w:tabs>
          <w:tab w:val="left" w:pos="0"/>
        </w:tabs>
        <w:spacing w:before="240" w:after="240" w:line="360" w:lineRule="auto"/>
        <w:jc w:val="both"/>
        <w:rPr>
          <w:rFonts w:ascii="Palatino Linotype" w:eastAsia="Palatino Linotype" w:hAnsi="Palatino Linotype" w:cs="Palatino Linotype"/>
          <w:color w:val="000000" w:themeColor="text1"/>
        </w:rPr>
      </w:pPr>
    </w:p>
    <w:p w:rsidR="00334DA8" w:rsidRPr="00DF40A3" w:rsidRDefault="00334DA8" w:rsidP="00DF40A3">
      <w:pPr>
        <w:tabs>
          <w:tab w:val="left" w:pos="0"/>
        </w:tabs>
        <w:spacing w:before="240" w:after="240" w:line="360" w:lineRule="auto"/>
        <w:jc w:val="both"/>
        <w:rPr>
          <w:rFonts w:ascii="Palatino Linotype" w:eastAsia="Palatino Linotype" w:hAnsi="Palatino Linotype" w:cs="Palatino Linotype"/>
          <w:color w:val="000000" w:themeColor="text1"/>
        </w:rPr>
      </w:pPr>
    </w:p>
    <w:p w:rsidR="00334DA8" w:rsidRDefault="00334DA8" w:rsidP="00DF40A3">
      <w:pPr>
        <w:tabs>
          <w:tab w:val="left" w:pos="0"/>
        </w:tabs>
        <w:spacing w:line="360" w:lineRule="auto"/>
        <w:jc w:val="both"/>
        <w:rPr>
          <w:rFonts w:ascii="Palatino Linotype" w:eastAsia="Palatino Linotype" w:hAnsi="Palatino Linotype" w:cs="Palatino Linotype"/>
          <w:color w:val="000000" w:themeColor="text1"/>
        </w:rPr>
      </w:pPr>
    </w:p>
    <w:p w:rsidR="00477DCA" w:rsidRDefault="00477DCA" w:rsidP="00DF40A3">
      <w:pPr>
        <w:tabs>
          <w:tab w:val="left" w:pos="0"/>
        </w:tabs>
        <w:spacing w:line="360" w:lineRule="auto"/>
        <w:jc w:val="both"/>
        <w:rPr>
          <w:rFonts w:ascii="Palatino Linotype" w:eastAsia="Palatino Linotype" w:hAnsi="Palatino Linotype" w:cs="Palatino Linotype"/>
          <w:color w:val="000000" w:themeColor="text1"/>
        </w:rPr>
      </w:pPr>
    </w:p>
    <w:p w:rsidR="00477DCA" w:rsidRDefault="00477DCA" w:rsidP="00DF40A3">
      <w:pPr>
        <w:tabs>
          <w:tab w:val="left" w:pos="0"/>
        </w:tabs>
        <w:spacing w:line="360" w:lineRule="auto"/>
        <w:jc w:val="both"/>
        <w:rPr>
          <w:rFonts w:ascii="Palatino Linotype" w:eastAsia="Palatino Linotype" w:hAnsi="Palatino Linotype" w:cs="Palatino Linotype"/>
          <w:color w:val="000000" w:themeColor="text1"/>
        </w:rPr>
      </w:pPr>
    </w:p>
    <w:p w:rsidR="00477DCA" w:rsidRDefault="00477DCA" w:rsidP="00DF40A3">
      <w:pPr>
        <w:tabs>
          <w:tab w:val="left" w:pos="0"/>
        </w:tabs>
        <w:spacing w:line="360" w:lineRule="auto"/>
        <w:jc w:val="both"/>
        <w:rPr>
          <w:rFonts w:ascii="Palatino Linotype" w:eastAsia="Palatino Linotype" w:hAnsi="Palatino Linotype" w:cs="Palatino Linotype"/>
          <w:color w:val="000000" w:themeColor="text1"/>
        </w:rPr>
      </w:pPr>
    </w:p>
    <w:p w:rsidR="00477DCA" w:rsidRDefault="00477DCA" w:rsidP="00DF40A3">
      <w:pPr>
        <w:tabs>
          <w:tab w:val="left" w:pos="0"/>
        </w:tabs>
        <w:spacing w:line="360" w:lineRule="auto"/>
        <w:jc w:val="both"/>
        <w:rPr>
          <w:rFonts w:ascii="Palatino Linotype" w:eastAsia="Palatino Linotype" w:hAnsi="Palatino Linotype" w:cs="Palatino Linotype"/>
          <w:color w:val="000000" w:themeColor="text1"/>
        </w:rPr>
      </w:pPr>
    </w:p>
    <w:p w:rsidR="00477DCA" w:rsidRDefault="00477DCA" w:rsidP="00DF40A3">
      <w:pPr>
        <w:tabs>
          <w:tab w:val="left" w:pos="0"/>
        </w:tabs>
        <w:spacing w:line="360" w:lineRule="auto"/>
        <w:jc w:val="both"/>
        <w:rPr>
          <w:rFonts w:ascii="Palatino Linotype" w:eastAsia="Palatino Linotype" w:hAnsi="Palatino Linotype" w:cs="Palatino Linotype"/>
          <w:color w:val="000000" w:themeColor="text1"/>
        </w:rPr>
      </w:pPr>
    </w:p>
    <w:p w:rsidR="00477DCA" w:rsidRDefault="00477DCA" w:rsidP="00DF40A3">
      <w:pPr>
        <w:tabs>
          <w:tab w:val="left" w:pos="0"/>
        </w:tabs>
        <w:spacing w:line="360" w:lineRule="auto"/>
        <w:jc w:val="both"/>
        <w:rPr>
          <w:rFonts w:ascii="Palatino Linotype" w:eastAsia="Palatino Linotype" w:hAnsi="Palatino Linotype" w:cs="Palatino Linotype"/>
          <w:color w:val="000000" w:themeColor="text1"/>
        </w:rPr>
      </w:pPr>
    </w:p>
    <w:p w:rsidR="00477DCA" w:rsidRDefault="00477DCA" w:rsidP="00DF40A3">
      <w:pPr>
        <w:tabs>
          <w:tab w:val="left" w:pos="0"/>
        </w:tabs>
        <w:spacing w:line="360" w:lineRule="auto"/>
        <w:jc w:val="both"/>
        <w:rPr>
          <w:rFonts w:ascii="Palatino Linotype" w:eastAsia="Palatino Linotype" w:hAnsi="Palatino Linotype" w:cs="Palatino Linotype"/>
          <w:color w:val="000000" w:themeColor="text1"/>
        </w:rPr>
      </w:pPr>
    </w:p>
    <w:p w:rsidR="00477DCA" w:rsidRDefault="00477DCA" w:rsidP="00DF40A3">
      <w:pPr>
        <w:tabs>
          <w:tab w:val="left" w:pos="0"/>
        </w:tabs>
        <w:spacing w:line="360" w:lineRule="auto"/>
        <w:jc w:val="both"/>
        <w:rPr>
          <w:rFonts w:ascii="Palatino Linotype" w:eastAsia="Palatino Linotype" w:hAnsi="Palatino Linotype" w:cs="Palatino Linotype"/>
          <w:color w:val="000000" w:themeColor="text1"/>
        </w:rPr>
      </w:pPr>
    </w:p>
    <w:p w:rsidR="00477DCA" w:rsidRPr="00DF40A3" w:rsidRDefault="00477DCA" w:rsidP="00DF40A3">
      <w:pPr>
        <w:tabs>
          <w:tab w:val="left" w:pos="0"/>
        </w:tabs>
        <w:spacing w:line="360" w:lineRule="auto"/>
        <w:jc w:val="both"/>
        <w:rPr>
          <w:rFonts w:ascii="Palatino Linotype" w:eastAsia="Palatino Linotype" w:hAnsi="Palatino Linotype" w:cs="Palatino Linotype"/>
          <w:color w:val="000000" w:themeColor="text1"/>
        </w:rPr>
      </w:pPr>
    </w:p>
    <w:p w:rsidR="00334DA8" w:rsidRDefault="00334DA8" w:rsidP="00DF40A3">
      <w:pPr>
        <w:pStyle w:val="Ttulo2"/>
        <w:tabs>
          <w:tab w:val="left" w:pos="0"/>
        </w:tabs>
        <w:spacing w:before="0" w:line="360" w:lineRule="auto"/>
        <w:rPr>
          <w:color w:val="000000" w:themeColor="text1"/>
        </w:rPr>
      </w:pPr>
    </w:p>
    <w:p w:rsidR="00DF40A3" w:rsidRDefault="00DF40A3" w:rsidP="00DF40A3"/>
    <w:p w:rsidR="00DF40A3" w:rsidRDefault="00DF40A3" w:rsidP="00DF40A3"/>
    <w:p w:rsidR="00DF40A3" w:rsidRDefault="00DF40A3" w:rsidP="00DF40A3"/>
    <w:p w:rsidR="00DF40A3" w:rsidRPr="00DF40A3" w:rsidRDefault="00DF40A3" w:rsidP="00DF40A3"/>
    <w:sectPr w:rsidR="00DF40A3" w:rsidRPr="00DF40A3" w:rsidSect="00477DCA">
      <w:headerReference w:type="default" r:id="rId9"/>
      <w:footerReference w:type="default" r:id="rId10"/>
      <w:headerReference w:type="first" r:id="rId11"/>
      <w:footerReference w:type="first" r:id="rId12"/>
      <w:pgSz w:w="12240" w:h="15840"/>
      <w:pgMar w:top="1691" w:right="758"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731" w:rsidRDefault="00274731">
      <w:r>
        <w:separator/>
      </w:r>
    </w:p>
  </w:endnote>
  <w:endnote w:type="continuationSeparator" w:id="0">
    <w:p w:rsidR="00274731" w:rsidRDefault="0027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DA8" w:rsidRDefault="00952A01">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7606B3">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7606B3">
      <w:rPr>
        <w:rFonts w:ascii="Palatino Linotype" w:eastAsia="Palatino Linotype" w:hAnsi="Palatino Linotype" w:cs="Palatino Linotype"/>
        <w:b/>
        <w:noProof/>
        <w:color w:val="000000"/>
        <w:sz w:val="22"/>
        <w:szCs w:val="22"/>
      </w:rPr>
      <w:t>13</w:t>
    </w:r>
    <w:r>
      <w:rPr>
        <w:rFonts w:ascii="Palatino Linotype" w:eastAsia="Palatino Linotype" w:hAnsi="Palatino Linotype" w:cs="Palatino Linotype"/>
        <w:b/>
        <w:color w:val="000000"/>
        <w:sz w:val="22"/>
        <w:szCs w:val="22"/>
      </w:rPr>
      <w:fldChar w:fldCharType="end"/>
    </w:r>
  </w:p>
  <w:p w:rsidR="00334DA8" w:rsidRDefault="00334DA8">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334DA8" w:rsidRDefault="00334D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DA8" w:rsidRDefault="00952A0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606B3">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606B3">
      <w:rPr>
        <w:rFonts w:ascii="Palatino Linotype" w:eastAsia="Palatino Linotype" w:hAnsi="Palatino Linotype" w:cs="Palatino Linotype"/>
        <w:noProof/>
        <w:color w:val="000000"/>
        <w:sz w:val="22"/>
        <w:szCs w:val="22"/>
      </w:rPr>
      <w:t>13</w:t>
    </w:r>
    <w:r>
      <w:rPr>
        <w:rFonts w:ascii="Palatino Linotype" w:eastAsia="Palatino Linotype" w:hAnsi="Palatino Linotype" w:cs="Palatino Linotype"/>
        <w:color w:val="000000"/>
        <w:sz w:val="22"/>
        <w:szCs w:val="22"/>
      </w:rPr>
      <w:fldChar w:fldCharType="end"/>
    </w:r>
  </w:p>
  <w:p w:rsidR="00334DA8" w:rsidRDefault="00334DA8">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334DA8" w:rsidRDefault="00334D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731" w:rsidRDefault="00274731">
      <w:r>
        <w:separator/>
      </w:r>
    </w:p>
  </w:footnote>
  <w:footnote w:type="continuationSeparator" w:id="0">
    <w:p w:rsidR="00274731" w:rsidRDefault="00274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7128" w:type="dxa"/>
      <w:tblInd w:w="3078" w:type="dxa"/>
      <w:tblBorders>
        <w:top w:val="nil"/>
        <w:left w:val="nil"/>
        <w:bottom w:val="nil"/>
        <w:right w:val="nil"/>
        <w:insideH w:val="nil"/>
        <w:insideV w:val="nil"/>
      </w:tblBorders>
      <w:tblLayout w:type="fixed"/>
      <w:tblLook w:val="0400" w:firstRow="0" w:lastRow="0" w:firstColumn="0" w:lastColumn="0" w:noHBand="0" w:noVBand="1"/>
    </w:tblPr>
    <w:tblGrid>
      <w:gridCol w:w="2734"/>
      <w:gridCol w:w="4394"/>
    </w:tblGrid>
    <w:tr w:rsidR="00334DA8" w:rsidTr="00DF40A3">
      <w:trPr>
        <w:trHeight w:val="138"/>
      </w:trPr>
      <w:tc>
        <w:tcPr>
          <w:tcW w:w="2734" w:type="dxa"/>
          <w:vAlign w:val="center"/>
        </w:tcPr>
        <w:p w:rsidR="00334DA8" w:rsidRPr="00DF40A3" w:rsidRDefault="00952A01" w:rsidP="00DF40A3">
          <w:pPr>
            <w:rPr>
              <w:rFonts w:ascii="Palatino Linotype" w:eastAsia="Palatino Linotype" w:hAnsi="Palatino Linotype" w:cs="Palatino Linotype"/>
              <w:b/>
              <w:color w:val="000000" w:themeColor="text1"/>
              <w:sz w:val="24"/>
              <w:szCs w:val="24"/>
            </w:rPr>
          </w:pPr>
          <w:r w:rsidRPr="00DF40A3">
            <w:rPr>
              <w:rFonts w:ascii="Palatino Linotype" w:eastAsia="Palatino Linotype" w:hAnsi="Palatino Linotype" w:cs="Palatino Linotype"/>
              <w:b/>
              <w:color w:val="000000" w:themeColor="text1"/>
              <w:sz w:val="24"/>
              <w:szCs w:val="24"/>
            </w:rPr>
            <w:t>Recurso de Revisión:</w:t>
          </w:r>
        </w:p>
      </w:tc>
      <w:tc>
        <w:tcPr>
          <w:tcW w:w="4394" w:type="dxa"/>
          <w:vAlign w:val="center"/>
        </w:tcPr>
        <w:p w:rsidR="00334DA8" w:rsidRPr="00DF40A3" w:rsidRDefault="00952A01" w:rsidP="00DF40A3">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themeColor="text1"/>
              <w:sz w:val="24"/>
              <w:szCs w:val="24"/>
              <w:highlight w:val="yellow"/>
            </w:rPr>
          </w:pPr>
          <w:r w:rsidRPr="00DF40A3">
            <w:rPr>
              <w:rFonts w:ascii="Palatino Linotype" w:eastAsia="Palatino Linotype" w:hAnsi="Palatino Linotype" w:cs="Palatino Linotype"/>
              <w:color w:val="000000" w:themeColor="text1"/>
              <w:sz w:val="24"/>
              <w:szCs w:val="24"/>
            </w:rPr>
            <w:t>10388/INFOEM/IP/RR/2025</w:t>
          </w:r>
        </w:p>
      </w:tc>
    </w:tr>
    <w:tr w:rsidR="00334DA8" w:rsidTr="00DF40A3">
      <w:trPr>
        <w:trHeight w:val="321"/>
      </w:trPr>
      <w:tc>
        <w:tcPr>
          <w:tcW w:w="2734" w:type="dxa"/>
          <w:vAlign w:val="center"/>
        </w:tcPr>
        <w:p w:rsidR="00334DA8" w:rsidRPr="00DF40A3" w:rsidRDefault="00952A01" w:rsidP="00DF40A3">
          <w:pPr>
            <w:rPr>
              <w:rFonts w:ascii="Palatino Linotype" w:eastAsia="Palatino Linotype" w:hAnsi="Palatino Linotype" w:cs="Palatino Linotype"/>
              <w:b/>
              <w:color w:val="000000" w:themeColor="text1"/>
              <w:sz w:val="24"/>
              <w:szCs w:val="24"/>
            </w:rPr>
          </w:pPr>
          <w:r w:rsidRPr="00DF40A3">
            <w:rPr>
              <w:rFonts w:ascii="Palatino Linotype" w:eastAsia="Palatino Linotype" w:hAnsi="Palatino Linotype" w:cs="Palatino Linotype"/>
              <w:b/>
              <w:color w:val="000000" w:themeColor="text1"/>
              <w:sz w:val="24"/>
              <w:szCs w:val="24"/>
            </w:rPr>
            <w:t>Sujeto Obligado:</w:t>
          </w:r>
        </w:p>
      </w:tc>
      <w:tc>
        <w:tcPr>
          <w:tcW w:w="4394" w:type="dxa"/>
          <w:vAlign w:val="center"/>
        </w:tcPr>
        <w:p w:rsidR="00334DA8" w:rsidRPr="00DF40A3" w:rsidRDefault="00952A01" w:rsidP="00DF40A3">
          <w:pPr>
            <w:rPr>
              <w:rFonts w:ascii="Palatino Linotype" w:eastAsia="Palatino Linotype" w:hAnsi="Palatino Linotype" w:cs="Palatino Linotype"/>
              <w:color w:val="000000" w:themeColor="text1"/>
              <w:sz w:val="24"/>
              <w:szCs w:val="24"/>
            </w:rPr>
          </w:pPr>
          <w:r w:rsidRPr="00DF40A3">
            <w:rPr>
              <w:rFonts w:ascii="Palatino Linotype" w:eastAsia="Palatino Linotype" w:hAnsi="Palatino Linotype" w:cs="Palatino Linotype"/>
              <w:color w:val="000000" w:themeColor="text1"/>
              <w:sz w:val="24"/>
              <w:szCs w:val="24"/>
            </w:rPr>
            <w:t>Ayuntamiento de Ecatepec de Morelos</w:t>
          </w:r>
        </w:p>
      </w:tc>
    </w:tr>
    <w:tr w:rsidR="00334DA8" w:rsidTr="00DF40A3">
      <w:trPr>
        <w:trHeight w:val="321"/>
      </w:trPr>
      <w:tc>
        <w:tcPr>
          <w:tcW w:w="2734" w:type="dxa"/>
          <w:vAlign w:val="center"/>
        </w:tcPr>
        <w:p w:rsidR="00334DA8" w:rsidRPr="00DF40A3" w:rsidRDefault="00952A01" w:rsidP="00DF40A3">
          <w:pPr>
            <w:rPr>
              <w:rFonts w:ascii="Palatino Linotype" w:eastAsia="Palatino Linotype" w:hAnsi="Palatino Linotype" w:cs="Palatino Linotype"/>
              <w:b/>
              <w:color w:val="000000" w:themeColor="text1"/>
              <w:sz w:val="24"/>
              <w:szCs w:val="24"/>
            </w:rPr>
          </w:pPr>
          <w:r w:rsidRPr="00DF40A3">
            <w:rPr>
              <w:rFonts w:ascii="Palatino Linotype" w:eastAsia="Palatino Linotype" w:hAnsi="Palatino Linotype" w:cs="Palatino Linotype"/>
              <w:b/>
              <w:color w:val="000000" w:themeColor="text1"/>
              <w:sz w:val="24"/>
              <w:szCs w:val="24"/>
            </w:rPr>
            <w:t>Comisionada Ponente:</w:t>
          </w:r>
        </w:p>
      </w:tc>
      <w:tc>
        <w:tcPr>
          <w:tcW w:w="4394" w:type="dxa"/>
          <w:vAlign w:val="center"/>
        </w:tcPr>
        <w:p w:rsidR="00334DA8" w:rsidRPr="00DF40A3" w:rsidRDefault="00952A01" w:rsidP="00DF40A3">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themeColor="text1"/>
              <w:sz w:val="24"/>
              <w:szCs w:val="24"/>
            </w:rPr>
          </w:pPr>
          <w:r w:rsidRPr="00DF40A3">
            <w:rPr>
              <w:rFonts w:ascii="Palatino Linotype" w:eastAsia="Palatino Linotype" w:hAnsi="Palatino Linotype" w:cs="Palatino Linotype"/>
              <w:color w:val="000000" w:themeColor="text1"/>
              <w:sz w:val="24"/>
              <w:szCs w:val="24"/>
            </w:rPr>
            <w:t>María del Rosario Mejía Ayala</w:t>
          </w:r>
        </w:p>
      </w:tc>
    </w:tr>
  </w:tbl>
  <w:p w:rsidR="00334DA8" w:rsidRDefault="00477DCA">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simplePos x="0" y="0"/>
          <wp:positionH relativeFrom="column">
            <wp:posOffset>-1018421</wp:posOffset>
          </wp:positionH>
          <wp:positionV relativeFrom="paragraph">
            <wp:posOffset>-1071461</wp:posOffset>
          </wp:positionV>
          <wp:extent cx="7809876" cy="10165823"/>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334DA8" w:rsidRDefault="00334DA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7402" w:type="dxa"/>
      <w:tblInd w:w="27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866"/>
      <w:gridCol w:w="4536"/>
    </w:tblGrid>
    <w:tr w:rsidR="00DF40A3" w:rsidTr="00DF40A3">
      <w:trPr>
        <w:trHeight w:val="138"/>
      </w:trPr>
      <w:tc>
        <w:tcPr>
          <w:tcW w:w="2866" w:type="dxa"/>
          <w:vAlign w:val="center"/>
        </w:tcPr>
        <w:p w:rsidR="00DF40A3" w:rsidRPr="00DF40A3" w:rsidRDefault="00DF40A3" w:rsidP="00DF40A3">
          <w:pPr>
            <w:rPr>
              <w:rFonts w:ascii="Palatino Linotype" w:eastAsia="Palatino Linotype" w:hAnsi="Palatino Linotype" w:cs="Palatino Linotype"/>
              <w:b/>
              <w:color w:val="000000" w:themeColor="text1"/>
              <w:sz w:val="24"/>
              <w:szCs w:val="24"/>
            </w:rPr>
          </w:pPr>
          <w:r w:rsidRPr="00DF40A3">
            <w:rPr>
              <w:rFonts w:ascii="Palatino Linotype" w:eastAsia="Palatino Linotype" w:hAnsi="Palatino Linotype" w:cs="Palatino Linotype"/>
              <w:b/>
              <w:color w:val="000000" w:themeColor="text1"/>
              <w:sz w:val="24"/>
              <w:szCs w:val="24"/>
            </w:rPr>
            <w:t>Recurso de Revisión:</w:t>
          </w:r>
        </w:p>
      </w:tc>
      <w:tc>
        <w:tcPr>
          <w:tcW w:w="4536" w:type="dxa"/>
          <w:vAlign w:val="center"/>
        </w:tcPr>
        <w:p w:rsidR="00DF40A3" w:rsidRPr="00DF40A3" w:rsidRDefault="00DF40A3" w:rsidP="00DF40A3">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themeColor="text1"/>
              <w:sz w:val="24"/>
              <w:szCs w:val="24"/>
            </w:rPr>
          </w:pPr>
          <w:r w:rsidRPr="00DF40A3">
            <w:rPr>
              <w:rFonts w:ascii="Palatino Linotype" w:eastAsia="Palatino Linotype" w:hAnsi="Palatino Linotype" w:cs="Palatino Linotype"/>
              <w:color w:val="000000" w:themeColor="text1"/>
              <w:sz w:val="24"/>
              <w:szCs w:val="24"/>
            </w:rPr>
            <w:t>10388/INFOEM/IP/RR/2025</w:t>
          </w:r>
        </w:p>
      </w:tc>
    </w:tr>
    <w:tr w:rsidR="00DF40A3" w:rsidTr="00DF40A3">
      <w:trPr>
        <w:trHeight w:val="227"/>
      </w:trPr>
      <w:tc>
        <w:tcPr>
          <w:tcW w:w="2866" w:type="dxa"/>
          <w:vAlign w:val="center"/>
        </w:tcPr>
        <w:p w:rsidR="00DF40A3" w:rsidRPr="00DF40A3" w:rsidRDefault="00DF40A3" w:rsidP="00DF40A3">
          <w:pPr>
            <w:rPr>
              <w:rFonts w:ascii="Palatino Linotype" w:eastAsia="Palatino Linotype" w:hAnsi="Palatino Linotype" w:cs="Palatino Linotype"/>
              <w:b/>
              <w:color w:val="000000" w:themeColor="text1"/>
              <w:sz w:val="24"/>
              <w:szCs w:val="24"/>
            </w:rPr>
          </w:pPr>
          <w:r w:rsidRPr="00DF40A3">
            <w:rPr>
              <w:rFonts w:ascii="Palatino Linotype" w:eastAsia="Palatino Linotype" w:hAnsi="Palatino Linotype" w:cs="Palatino Linotype"/>
              <w:b/>
              <w:color w:val="000000" w:themeColor="text1"/>
              <w:sz w:val="24"/>
              <w:szCs w:val="24"/>
            </w:rPr>
            <w:t>Recurrente:</w:t>
          </w:r>
        </w:p>
      </w:tc>
      <w:tc>
        <w:tcPr>
          <w:tcW w:w="4536" w:type="dxa"/>
          <w:vAlign w:val="center"/>
        </w:tcPr>
        <w:p w:rsidR="00DF40A3" w:rsidRPr="00DF40A3" w:rsidRDefault="007606B3" w:rsidP="00DF40A3">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DF40A3" w:rsidTr="00DF40A3">
      <w:trPr>
        <w:trHeight w:val="232"/>
      </w:trPr>
      <w:tc>
        <w:tcPr>
          <w:tcW w:w="2866" w:type="dxa"/>
          <w:vAlign w:val="center"/>
        </w:tcPr>
        <w:p w:rsidR="00DF40A3" w:rsidRPr="00DF40A3" w:rsidRDefault="00DF40A3" w:rsidP="00DF40A3">
          <w:pPr>
            <w:rPr>
              <w:rFonts w:ascii="Palatino Linotype" w:eastAsia="Palatino Linotype" w:hAnsi="Palatino Linotype" w:cs="Palatino Linotype"/>
              <w:b/>
              <w:color w:val="000000" w:themeColor="text1"/>
              <w:sz w:val="24"/>
              <w:szCs w:val="24"/>
            </w:rPr>
          </w:pPr>
          <w:r w:rsidRPr="00DF40A3">
            <w:rPr>
              <w:rFonts w:ascii="Palatino Linotype" w:eastAsia="Palatino Linotype" w:hAnsi="Palatino Linotype" w:cs="Palatino Linotype"/>
              <w:b/>
              <w:color w:val="000000" w:themeColor="text1"/>
              <w:sz w:val="24"/>
              <w:szCs w:val="24"/>
            </w:rPr>
            <w:t>Sujeto Obligado:</w:t>
          </w:r>
        </w:p>
      </w:tc>
      <w:tc>
        <w:tcPr>
          <w:tcW w:w="4536" w:type="dxa"/>
          <w:vAlign w:val="center"/>
        </w:tcPr>
        <w:p w:rsidR="00DF40A3" w:rsidRPr="00DF40A3" w:rsidRDefault="00DF40A3" w:rsidP="00DF40A3">
          <w:pPr>
            <w:ind w:right="-73"/>
            <w:rPr>
              <w:color w:val="000000" w:themeColor="text1"/>
              <w:sz w:val="24"/>
              <w:szCs w:val="24"/>
            </w:rPr>
          </w:pPr>
          <w:r w:rsidRPr="00DF40A3">
            <w:rPr>
              <w:rFonts w:ascii="Palatino Linotype" w:eastAsia="Palatino Linotype" w:hAnsi="Palatino Linotype" w:cs="Palatino Linotype"/>
              <w:color w:val="000000" w:themeColor="text1"/>
              <w:sz w:val="24"/>
              <w:szCs w:val="24"/>
            </w:rPr>
            <w:t>Ayuntamiento de Ecatepec de Morelos</w:t>
          </w:r>
        </w:p>
      </w:tc>
    </w:tr>
    <w:tr w:rsidR="00DF40A3" w:rsidTr="00DF40A3">
      <w:trPr>
        <w:trHeight w:val="320"/>
      </w:trPr>
      <w:tc>
        <w:tcPr>
          <w:tcW w:w="2866" w:type="dxa"/>
          <w:vAlign w:val="center"/>
        </w:tcPr>
        <w:p w:rsidR="00DF40A3" w:rsidRPr="00DF40A3" w:rsidRDefault="00DF40A3" w:rsidP="00DF40A3">
          <w:pPr>
            <w:rPr>
              <w:rFonts w:ascii="Palatino Linotype" w:eastAsia="Palatino Linotype" w:hAnsi="Palatino Linotype" w:cs="Palatino Linotype"/>
              <w:b/>
              <w:color w:val="000000" w:themeColor="text1"/>
              <w:sz w:val="24"/>
              <w:szCs w:val="24"/>
            </w:rPr>
          </w:pPr>
          <w:r w:rsidRPr="00DF40A3">
            <w:rPr>
              <w:rFonts w:ascii="Palatino Linotype" w:eastAsia="Palatino Linotype" w:hAnsi="Palatino Linotype" w:cs="Palatino Linotype"/>
              <w:b/>
              <w:color w:val="000000" w:themeColor="text1"/>
              <w:sz w:val="24"/>
              <w:szCs w:val="24"/>
            </w:rPr>
            <w:t>Comisionada Ponente:</w:t>
          </w:r>
        </w:p>
      </w:tc>
      <w:tc>
        <w:tcPr>
          <w:tcW w:w="4536" w:type="dxa"/>
          <w:vAlign w:val="center"/>
        </w:tcPr>
        <w:p w:rsidR="00DF40A3" w:rsidRPr="00DF40A3" w:rsidRDefault="00DF40A3" w:rsidP="00DF40A3">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themeColor="text1"/>
              <w:sz w:val="24"/>
              <w:szCs w:val="24"/>
            </w:rPr>
          </w:pPr>
          <w:r w:rsidRPr="00DF40A3">
            <w:rPr>
              <w:rFonts w:ascii="Palatino Linotype" w:eastAsia="Palatino Linotype" w:hAnsi="Palatino Linotype" w:cs="Palatino Linotype"/>
              <w:color w:val="000000" w:themeColor="text1"/>
              <w:sz w:val="24"/>
              <w:szCs w:val="24"/>
            </w:rPr>
            <w:t>María del Rosario Mejía Ayala</w:t>
          </w:r>
        </w:p>
      </w:tc>
    </w:tr>
  </w:tbl>
  <w:p w:rsidR="00334DA8" w:rsidRDefault="00477DCA">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simplePos x="0" y="0"/>
          <wp:positionH relativeFrom="page">
            <wp:align>right</wp:align>
          </wp:positionH>
          <wp:positionV relativeFrom="paragraph">
            <wp:posOffset>-1364627</wp:posOffset>
          </wp:positionV>
          <wp:extent cx="7809865" cy="10165715"/>
          <wp:effectExtent l="0" t="0" r="635" b="6985"/>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p w:rsidR="00334DA8" w:rsidRDefault="00334D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B4DDF"/>
    <w:multiLevelType w:val="multilevel"/>
    <w:tmpl w:val="747ACE9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59575B"/>
    <w:multiLevelType w:val="multilevel"/>
    <w:tmpl w:val="23EA0F36"/>
    <w:lvl w:ilvl="0">
      <w:start w:val="1"/>
      <w:numFmt w:val="upperRoman"/>
      <w:lvlText w:val="%1."/>
      <w:lvlJc w:val="left"/>
      <w:pPr>
        <w:ind w:left="1080" w:hanging="72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CB0A3A"/>
    <w:multiLevelType w:val="hybridMultilevel"/>
    <w:tmpl w:val="1310D3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FBE754B"/>
    <w:multiLevelType w:val="multilevel"/>
    <w:tmpl w:val="F8F21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DA8"/>
    <w:rsid w:val="00274731"/>
    <w:rsid w:val="00334DA8"/>
    <w:rsid w:val="003A3DEC"/>
    <w:rsid w:val="00477DCA"/>
    <w:rsid w:val="005C5A77"/>
    <w:rsid w:val="007606B3"/>
    <w:rsid w:val="00952A01"/>
    <w:rsid w:val="00AB2A17"/>
    <w:rsid w:val="00D5002C"/>
    <w:rsid w:val="00DF40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B284DB-FFDF-4214-BA7C-1B37E111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rPr>
      <w:sz w:val="22"/>
      <w:szCs w:val="22"/>
    </w:rPr>
    <w:tblPr>
      <w:tblStyleRowBandSize w:val="1"/>
      <w:tblStyleColBandSize w:val="1"/>
      <w:tblCellMar>
        <w:left w:w="108" w:type="dxa"/>
        <w:right w:w="108" w:type="dxa"/>
      </w:tblCellMar>
    </w:tblPr>
  </w:style>
  <w:style w:type="table" w:customStyle="1" w:styleId="1">
    <w:name w:val="1"/>
    <w:basedOn w:val="TableNormal2"/>
    <w:rPr>
      <w:sz w:val="22"/>
      <w:szCs w:val="22"/>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rPr>
      <w:sz w:val="22"/>
      <w:szCs w:val="22"/>
    </w:rPr>
    <w:tblPr>
      <w:tblStyleRowBandSize w:val="1"/>
      <w:tblStyleColBandSize w:val="1"/>
      <w:tblCellMar>
        <w:left w:w="108" w:type="dxa"/>
        <w:right w:w="108" w:type="dxa"/>
      </w:tblCellMar>
    </w:tblPr>
  </w:style>
  <w:style w:type="table" w:customStyle="1" w:styleId="a3">
    <w:basedOn w:val="TableNormal2"/>
    <w:rPr>
      <w:sz w:val="22"/>
      <w:szCs w:val="22"/>
    </w:rPr>
    <w:tblPr>
      <w:tblStyleRowBandSize w:val="1"/>
      <w:tblStyleColBandSize w:val="1"/>
      <w:tblCellMar>
        <w:left w:w="108" w:type="dxa"/>
        <w:right w:w="108" w:type="dxa"/>
      </w:tblCellMar>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rPr>
      <w:sz w:val="22"/>
      <w:szCs w:val="22"/>
    </w:rPr>
    <w:tblPr>
      <w:tblStyleRowBandSize w:val="1"/>
      <w:tblStyleColBandSize w:val="1"/>
      <w:tblCellMar>
        <w:left w:w="108" w:type="dxa"/>
        <w:right w:w="108" w:type="dxa"/>
      </w:tblCellMar>
    </w:tblPr>
  </w:style>
  <w:style w:type="table" w:customStyle="1" w:styleId="a7">
    <w:basedOn w:val="TableNormal1"/>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rPr>
      <w:sz w:val="22"/>
      <w:szCs w:val="22"/>
    </w:rPr>
    <w:tblPr>
      <w:tblStyleRowBandSize w:val="1"/>
      <w:tblStyleColBandSize w:val="1"/>
      <w:tblCellMar>
        <w:left w:w="108" w:type="dxa"/>
        <w:right w:w="108" w:type="dxa"/>
      </w:tblCellMar>
    </w:tblPr>
  </w:style>
  <w:style w:type="table" w:customStyle="1" w:styleId="a9">
    <w:basedOn w:val="TableNormal0"/>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51364.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ChMS6G9S6ZhaGwcHAqoA/arcAg==">CgMxLjAyDmguc3JlOWgwNXE0djBiMg5oLndqMHF5OHZldDJ0aTIIaC5namRneHMyCWguMzBqMHpsbDIJaC4xZm9iOXRlMgloLjN6bnlzaDcyCWguMmV0OTJwMDIIaC50eWpjd3QyCWguM2R5NnZrbTIJaC4xdDNoNXNmMg5oLmZ4cHFzamNpZXV1NDgAciExZGJkY1BkemNJRi1nenA2VFpfS2xac0NwR1R4TktrTnk=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3119</Words>
  <Characters>17158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7</cp:revision>
  <cp:lastPrinted>2025-10-03T00:22:00Z</cp:lastPrinted>
  <dcterms:created xsi:type="dcterms:W3CDTF">2025-09-18T00:36:00Z</dcterms:created>
  <dcterms:modified xsi:type="dcterms:W3CDTF">2025-11-06T23:58:00Z</dcterms:modified>
</cp:coreProperties>
</file>