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seis de agosto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04779/INFOEM/IP/RR/2025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una persona usuaria del Sistema de Acceso a la Información Mexiquense</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00150/PLEGISLA/IP/2025 </w:t>
      </w:r>
      <w:r w:rsidDel="00000000" w:rsidR="00000000" w:rsidRPr="00000000">
        <w:rPr>
          <w:rFonts w:ascii="Palatino Linotype" w:cs="Palatino Linotype" w:eastAsia="Palatino Linotype" w:hAnsi="Palatino Linotype"/>
          <w:rtl w:val="0"/>
        </w:rPr>
        <w:t xml:space="preserve">proporcionada por parte del Poder Legislativo,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dieciséis de marzo de dos mil veinticinco,</w:t>
      </w:r>
      <w:r w:rsidDel="00000000" w:rsidR="00000000" w:rsidRPr="00000000">
        <w:rPr>
          <w:rFonts w:ascii="Palatino Linotype" w:cs="Palatino Linotype" w:eastAsia="Palatino Linotype" w:hAnsi="Palatino Linotype"/>
          <w:rtl w:val="0"/>
        </w:rPr>
        <w:t xml:space="preserve"> el Recurrente formuló una solicitud; sin embargo, al corresponder a día inhábil se tuvo por presentada el día </w:t>
      </w:r>
      <w:r w:rsidDel="00000000" w:rsidR="00000000" w:rsidRPr="00000000">
        <w:rPr>
          <w:rFonts w:ascii="Palatino Linotype" w:cs="Palatino Linotype" w:eastAsia="Palatino Linotype" w:hAnsi="Palatino Linotype"/>
          <w:b w:val="1"/>
          <w:rtl w:val="0"/>
        </w:rPr>
        <w:t xml:space="preserve">dieciocho de marzo de dos mil veinticinco</w:t>
      </w:r>
      <w:r w:rsidDel="00000000" w:rsidR="00000000" w:rsidRPr="00000000">
        <w:rPr>
          <w:rFonts w:ascii="Palatino Linotype" w:cs="Palatino Linotype" w:eastAsia="Palatino Linotype" w:hAnsi="Palatino Linotype"/>
          <w:rtl w:val="0"/>
        </w:rPr>
        <w:t xml:space="preserve">, través del Sistema de Acceso a la Información Mexiquense, en lo subsecuente el SAIMEX, ante el SUJETO OBLIGADO, la solicitud de acceso a la información pública, a la que se le asignó el número </w:t>
      </w:r>
      <w:r w:rsidDel="00000000" w:rsidR="00000000" w:rsidRPr="00000000">
        <w:rPr>
          <w:rFonts w:ascii="Palatino Linotype" w:cs="Palatino Linotype" w:eastAsia="Palatino Linotype" w:hAnsi="Palatino Linotype"/>
          <w:b w:val="1"/>
          <w:rtl w:val="0"/>
        </w:rPr>
        <w:t xml:space="preserve">00150/PLEGISLA/IP/2025</w:t>
      </w:r>
      <w:r w:rsidDel="00000000" w:rsidR="00000000" w:rsidRPr="00000000">
        <w:rPr>
          <w:rFonts w:ascii="Palatino Linotype" w:cs="Palatino Linotype" w:eastAsia="Palatino Linotype" w:hAnsi="Palatino Linotype"/>
          <w:rtl w:val="0"/>
        </w:rPr>
        <w:t xml:space="preserve">, mediante la cual requirió la información siguiente: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360" w:lineRule="auto"/>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“Estados de cuenta bancario de enero 2025”</w:t>
      </w:r>
    </w:p>
    <w:p w:rsidR="00000000" w:rsidDel="00000000" w:rsidP="00000000" w:rsidRDefault="00000000" w:rsidRPr="00000000" w14:paraId="0000000A">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360" w:lineRule="auto"/>
        <w:ind w:left="284"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Prórroga. </w:t>
      </w:r>
      <w:r w:rsidDel="00000000" w:rsidR="00000000" w:rsidRPr="00000000">
        <w:rPr>
          <w:rFonts w:ascii="Palatino Linotype" w:cs="Palatino Linotype" w:eastAsia="Palatino Linotype" w:hAnsi="Palatino Linotype"/>
          <w:color w:val="000000"/>
          <w:rtl w:val="0"/>
        </w:rPr>
        <w:t xml:space="preserve">El </w:t>
      </w:r>
      <w:r w:rsidDel="00000000" w:rsidR="00000000" w:rsidRPr="00000000">
        <w:rPr>
          <w:rFonts w:ascii="Palatino Linotype" w:cs="Palatino Linotype" w:eastAsia="Palatino Linotype" w:hAnsi="Palatino Linotype"/>
          <w:b w:val="1"/>
          <w:color w:val="000000"/>
          <w:rtl w:val="0"/>
        </w:rPr>
        <w:t xml:space="preserve">ocho de abril de dos mil veinticinco</w:t>
      </w:r>
      <w:r w:rsidDel="00000000" w:rsidR="00000000" w:rsidRPr="00000000">
        <w:rPr>
          <w:rFonts w:ascii="Palatino Linotype" w:cs="Palatino Linotype" w:eastAsia="Palatino Linotype" w:hAnsi="Palatino Linotype"/>
          <w:color w:val="000000"/>
          <w:rtl w:val="0"/>
        </w:rPr>
        <w:t xml:space="preserve">, el Sujeto Obligado solicitó una prórroga para dar respuesta a la solicitud de acceso a la información pública, mediante Acuerdo PLEGISLA/LXII/CT/08ªext/2025/QUINTO emitido por el Comité de Transparencia en la Octava Sesión Extraordinaria, celebrada el 7 de abril de 2025. El cual remitió en archivo adjunto.</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left="284"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0" w:line="360" w:lineRule="auto"/>
        <w:ind w:left="284"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Respuesta.</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veinticuatro de abril de dos mil veinticinco,</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envió su respuesta a la solicitud de acceso a la información a través del SAIMEX, sustancialmente en los términos siguientes:  </w:t>
      </w:r>
    </w:p>
    <w:p w:rsidR="00000000" w:rsidDel="00000000" w:rsidP="00000000" w:rsidRDefault="00000000" w:rsidRPr="00000000" w14:paraId="00000010">
      <w:pPr>
        <w:spacing w:after="0" w:line="276" w:lineRule="auto"/>
        <w:ind w:left="567" w:right="560"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Folio de la solicitud: 00150/PLEGISLA/IP/2025</w:t>
      </w:r>
    </w:p>
    <w:p w:rsidR="00000000" w:rsidDel="00000000" w:rsidP="00000000" w:rsidRDefault="00000000" w:rsidRPr="00000000" w14:paraId="00000011">
      <w:pPr>
        <w:spacing w:after="0" w:line="276" w:lineRule="auto"/>
        <w:ind w:left="567" w:right="560" w:firstLine="0"/>
        <w:jc w:val="right"/>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Derivado de la búsqueda exhaustiva y razonable realizada en los archivos que obran en esta dependencia; </w:t>
      </w:r>
      <w:r w:rsidDel="00000000" w:rsidR="00000000" w:rsidRPr="00000000">
        <w:rPr>
          <w:rFonts w:ascii="Palatino Linotype" w:cs="Palatino Linotype" w:eastAsia="Palatino Linotype" w:hAnsi="Palatino Linotype"/>
          <w:b w:val="1"/>
          <w:i w:val="1"/>
          <w:rtl w:val="0"/>
        </w:rPr>
        <w:t xml:space="preserve">se comunica que los estados de cuenta bancarios de enero 2025, es información confidencial conforme al acuerdo PLEGISLA/LXII/CT/09ªext/2025/CUARTO, aprobado en la Novena Sesión Extraordinaria del Comité de Transparencia del Poder Legislativo del Estado Libre y Soberano de México</w:t>
      </w:r>
      <w:r w:rsidDel="00000000" w:rsidR="00000000" w:rsidRPr="00000000">
        <w:rPr>
          <w:rFonts w:ascii="Palatino Linotype" w:cs="Palatino Linotype" w:eastAsia="Palatino Linotype" w:hAnsi="Palatino Linotype"/>
          <w:i w:val="1"/>
          <w:rtl w:val="0"/>
        </w:rPr>
        <w:t xml:space="preserve">, mismo que se adjunta al presente. La presente respuesta se genera en apego a lo establecido en el artículo 12 de la Ley de Transparencia y Acceso a la Información Pública del Estado de México y Municipios, que a la letra indica: “Quienes generen, recopilen, administren, manejen, procesen, archiven o conserven información pública, serán responsables de la misma en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1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Jesús Felipe Borja Coronel</w:t>
      </w:r>
    </w:p>
    <w:p w:rsidR="00000000" w:rsidDel="00000000" w:rsidP="00000000" w:rsidRDefault="00000000" w:rsidRPr="00000000" w14:paraId="0000001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los siguientes archivos electrónicos: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numPr>
          <w:ilvl w:val="0"/>
          <w:numId w:val="5"/>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Escrito de fecha veinticuatro de abril de dos mil veinticinco, signado por la servidora pública de la Secretaría de Administración y Finanzas, a través del cual comunica que los estados de cuenta bancarios de enero de dos mil veinticinco, son información confidencial, conforme al Acuerdo aprobado por el Comité de Transparencia del Poder Legislativo. </w:t>
      </w:r>
    </w:p>
    <w:p w:rsidR="00000000" w:rsidDel="00000000" w:rsidP="00000000" w:rsidRDefault="00000000" w:rsidRPr="00000000" w14:paraId="0000001C">
      <w:pPr>
        <w:numPr>
          <w:ilvl w:val="0"/>
          <w:numId w:val="5"/>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Acuerdo PLEGISLA/LXII/CT/09ª ext/2025/CUARTO mediante el cual el Comité de Transparencia resuelve la propuesta de clasificación total como información confidencial de los estados de cuenta de enero de dos mil veinticinco, presentada por la Secretaría de Administración y Finanzas en virtud de tener innumerables datos personales de personas físicas y jurídico colectivas, los cuales fueron generados y proporcionados principalmente para realizar transacciones en cumplimiento de obligaciones adquiridas mediante contratos celebrados. En este sentido, los estados de cuenta bancarios pueden contener datos personales de carácter identificativo, tales como alias, seudónimos, domicilios particulares o conceptos y referencias que contengan información privada, ajena al espíritu de rendición de cuentas.</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Los estados de cuenta bancarios contienen datos personales de carácter patrimonial, tales como números de cuenta bancaria y/o CLABE interbancaria de personas físicas o jurídico colectivas de naturaleza privada, domicilios, conceptos o referencias que contengan información privada; información que al tratarse de caracteres numéricos utilizados por los grupos financieros para identificar las cuentas de sus clientes, a través de los cueles se puede acceder a información relacionada con su patrimonio y realizar diversas transacciones, por lo que se considera información clasificada en términos del artículo 143 fracción I y II de la Ley de Transparencia Estatal.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Leyenda de clasificación de información confidencial, basada en la propuesta de la servidora pública habilitada. </w:t>
      </w:r>
    </w:p>
    <w:p w:rsidR="00000000" w:rsidDel="00000000" w:rsidP="00000000" w:rsidRDefault="00000000" w:rsidRPr="00000000" w14:paraId="00000021">
      <w:pPr>
        <w:numPr>
          <w:ilvl w:val="0"/>
          <w:numId w:val="5"/>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Oficio número UIPL/0549/2025 a través del cual el Titular de la Unidad de Transparencia remite al particular la respuesta a la solicitud de información.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La persona solicitante, derivado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veinticuatro de abril de dos mil veinticinco</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Fonts w:ascii="Palatino Linotype" w:cs="Palatino Linotype" w:eastAsia="Palatino Linotype" w:hAnsi="Palatino Linotype"/>
          <w:i w:val="1"/>
          <w:rtl w:val="0"/>
        </w:rPr>
        <w:t xml:space="preserve">“Negativa de la información al clasificarla para no darla”.</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“La legislatura clasificando información con dolo para no darla y cometiendo actos de responsabilidad administrativa, poca falta de transparencia, claro está su intención de desaparecer la transparencia para seguir haciendo mal uso y ocultando información respecto al manejo de recursos públicos”.</w:t>
      </w:r>
      <w:r w:rsidDel="00000000" w:rsidR="00000000" w:rsidRPr="00000000">
        <w:rPr>
          <w:rtl w:val="0"/>
        </w:rPr>
      </w:r>
    </w:p>
    <w:p w:rsidR="00000000" w:rsidDel="00000000" w:rsidP="00000000" w:rsidRDefault="00000000" w:rsidRPr="00000000" w14:paraId="0000002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04479/INFOEM/IP/RR/2025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veintinueve de abril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doce de mayo de dos mil veinticinco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al tenor de lo siguiente:</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Oficio de fecha treinta de abril de dos mil veinticinco, signado por la encargada de la Secretaría Técnica y Servidora Pública Habilitada, mediante el cual reitera la respuesta proporcionada a la solicitud, la cual señala fue atendida conforme al acuerdo del Comité de Transparencia del Sujeto Obligado. </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Oficio 00150/PLEGISLA/IP/2025, signado por el Titular de la Unidad de Transparencia, en el cual detalla los antecedentes del recurso de revisión y reitera en términos generales la respuesta emitida. </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Acuerdo PLEGISLA/LXII/CT/09ª ext/2025/CUARTO mediante el cual el Comité de Transparencia resuelve la propuesta de clasificación total como información confidencial de los estados de cuenta de enero de dos mil veinticinco, remitido en respuesta.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Documentos que se hicieron del conocimiento de la parte Recurrente en fecha </w:t>
      </w:r>
      <w:r w:rsidDel="00000000" w:rsidR="00000000" w:rsidRPr="00000000">
        <w:rPr>
          <w:rFonts w:ascii="Palatino Linotype" w:cs="Palatino Linotype" w:eastAsia="Palatino Linotype" w:hAnsi="Palatino Linotype"/>
          <w:b w:val="1"/>
          <w:rtl w:val="0"/>
        </w:rPr>
        <w:t xml:space="preserve">dieciséis de julio de dos mil veinticinco.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Recurrente fue omisa en rendir manifestaciones. </w:t>
      </w:r>
    </w:p>
    <w:p w:rsidR="00000000" w:rsidDel="00000000" w:rsidP="00000000" w:rsidRDefault="00000000" w:rsidRPr="00000000" w14:paraId="00000036">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8.  </w:t>
      </w:r>
      <w:r w:rsidDel="00000000" w:rsidR="00000000" w:rsidRPr="00000000">
        <w:rPr>
          <w:rFonts w:ascii="Palatino Linotype" w:cs="Palatino Linotype" w:eastAsia="Palatino Linotype" w:hAnsi="Palatino Linotype"/>
          <w:b w:val="1"/>
          <w:color w:val="000000"/>
          <w:rtl w:val="0"/>
        </w:rPr>
        <w:t xml:space="preserve">Ampliación del término para resolver</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dieciséis  de dos mil veinticinco</w:t>
      </w:r>
      <w:r w:rsidDel="00000000" w:rsidR="00000000" w:rsidRPr="00000000">
        <w:rPr>
          <w:rFonts w:ascii="Palatino Linotype" w:cs="Palatino Linotype" w:eastAsia="Palatino Linotype" w:hAnsi="Palatino Linotype"/>
          <w:color w:val="000000"/>
          <w:rtl w:val="0"/>
        </w:rPr>
        <w:t xml:space="preserve">, se amplió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37">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r w:rsidDel="00000000" w:rsidR="00000000" w:rsidRPr="00000000">
        <w:rPr>
          <w:rtl w:val="0"/>
        </w:rPr>
      </w:r>
    </w:p>
    <w:p w:rsidR="00000000" w:rsidDel="00000000" w:rsidP="00000000" w:rsidRDefault="00000000" w:rsidRPr="00000000" w14:paraId="00000038">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r w:rsidDel="00000000" w:rsidR="00000000" w:rsidRPr="00000000">
        <w:rPr>
          <w:rtl w:val="0"/>
        </w:rPr>
      </w:r>
    </w:p>
    <w:p w:rsidR="00000000" w:rsidDel="00000000" w:rsidP="00000000" w:rsidRDefault="00000000" w:rsidRPr="00000000" w14:paraId="00000039">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Del="00000000" w:rsidR="00000000" w:rsidRPr="00000000">
        <w:rPr>
          <w:rtl w:val="0"/>
        </w:rPr>
      </w:r>
    </w:p>
    <w:p w:rsidR="00000000" w:rsidDel="00000000" w:rsidP="00000000" w:rsidRDefault="00000000" w:rsidRPr="00000000" w14:paraId="0000003A">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r w:rsidDel="00000000" w:rsidR="00000000" w:rsidRPr="00000000">
        <w:rPr>
          <w:rtl w:val="0"/>
        </w:rPr>
      </w:r>
    </w:p>
    <w:p w:rsidR="00000000" w:rsidDel="00000000" w:rsidP="00000000" w:rsidRDefault="00000000" w:rsidRPr="00000000" w14:paraId="0000003B">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C">
      <w:pPr>
        <w:numPr>
          <w:ilvl w:val="0"/>
          <w:numId w:val="6"/>
        </w:numPr>
        <w:spacing w:after="240" w:before="24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D">
      <w:pPr>
        <w:numPr>
          <w:ilvl w:val="0"/>
          <w:numId w:val="6"/>
        </w:numPr>
        <w:spacing w:after="240" w:before="24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Actividad Procesal del interesado. Acciones u omisiones del interesado.</w:t>
      </w:r>
    </w:p>
    <w:p w:rsidR="00000000" w:rsidDel="00000000" w:rsidP="00000000" w:rsidRDefault="00000000" w:rsidRPr="00000000" w14:paraId="0000003E">
      <w:pPr>
        <w:numPr>
          <w:ilvl w:val="0"/>
          <w:numId w:val="6"/>
        </w:numPr>
        <w:spacing w:after="240" w:before="24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F">
      <w:pPr>
        <w:spacing w:after="240" w:before="240" w:line="360" w:lineRule="auto"/>
        <w:ind w:left="284"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d) La afectación generada en la situación jurídica de la persona involucrada en el proceso: Violación a sus derechos humanos.</w:t>
      </w:r>
      <w:r w:rsidDel="00000000" w:rsidR="00000000" w:rsidRPr="00000000">
        <w:rPr>
          <w:rtl w:val="0"/>
        </w:rPr>
      </w:r>
    </w:p>
    <w:p w:rsidR="00000000" w:rsidDel="00000000" w:rsidP="00000000" w:rsidRDefault="00000000" w:rsidRPr="00000000" w14:paraId="00000040">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Del="00000000" w:rsidR="00000000" w:rsidRPr="00000000">
        <w:rPr>
          <w:rtl w:val="0"/>
        </w:rPr>
      </w:r>
    </w:p>
    <w:p w:rsidR="00000000" w:rsidDel="00000000" w:rsidP="00000000" w:rsidRDefault="00000000" w:rsidRPr="00000000" w14:paraId="00000041">
      <w:pPr>
        <w:spacing w:after="240" w:before="240" w:line="240" w:lineRule="auto"/>
        <w:ind w:left="851" w:right="701" w:firstLine="0"/>
        <w:jc w:val="both"/>
        <w:rPr>
          <w:rFonts w:ascii="Times New Roman" w:cs="Times New Roman" w:eastAsia="Times New Roman" w:hAnsi="Times New Roman"/>
          <w:i w:val="1"/>
        </w:rPr>
      </w:pPr>
      <w:r w:rsidDel="00000000" w:rsidR="00000000" w:rsidRPr="00000000">
        <w:rPr>
          <w:rFonts w:ascii="Palatino Linotype" w:cs="Palatino Linotype" w:eastAsia="Palatino Linotype" w:hAnsi="Palatino Linotype"/>
          <w:i w:val="1"/>
          <w:color w:val="000000"/>
          <w:rtl w:val="0"/>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42">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Del="00000000" w:rsidR="00000000" w:rsidRPr="00000000">
        <w:rPr>
          <w:rtl w:val="0"/>
        </w:rPr>
      </w:r>
    </w:p>
    <w:p w:rsidR="00000000" w:rsidDel="00000000" w:rsidP="00000000" w:rsidRDefault="00000000" w:rsidRPr="00000000" w14:paraId="00000043">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Al respecto, también son de considerar los criterios sostenidos por el Cuarto Tribunal Colegiado en Materia Administrativa del Primer Circuito, cuyos rubros y datos de identificación son los siguientes:</w:t>
      </w:r>
      <w:r w:rsidDel="00000000" w:rsidR="00000000" w:rsidRPr="00000000">
        <w:rPr>
          <w:rtl w:val="0"/>
        </w:rPr>
      </w:r>
    </w:p>
    <w:p w:rsidR="00000000" w:rsidDel="00000000" w:rsidP="00000000" w:rsidRDefault="00000000" w:rsidRPr="00000000" w14:paraId="00000044">
      <w:pPr>
        <w:spacing w:after="120" w:before="120" w:line="240" w:lineRule="auto"/>
        <w:ind w:left="851" w:right="90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consultable en el Seminario Judicial de la Federación y su gaceta, con el registro digital 2002351.</w:t>
      </w:r>
    </w:p>
    <w:p w:rsidR="00000000" w:rsidDel="00000000" w:rsidP="00000000" w:rsidRDefault="00000000" w:rsidRPr="00000000" w14:paraId="00000045">
      <w:pPr>
        <w:spacing w:after="120" w:before="120" w:line="240" w:lineRule="auto"/>
        <w:ind w:left="851" w:right="902"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after="120" w:before="120" w:line="240" w:lineRule="auto"/>
        <w:ind w:left="851" w:right="902"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visible en el Seminario Judicial de la Federación y su gaceta, con el registro digital 2002350.</w:t>
      </w:r>
      <w:r w:rsidDel="00000000" w:rsidR="00000000" w:rsidRPr="00000000">
        <w:rPr>
          <w:rtl w:val="0"/>
        </w:rPr>
      </w:r>
    </w:p>
    <w:p w:rsidR="00000000" w:rsidDel="00000000" w:rsidP="00000000" w:rsidRDefault="00000000" w:rsidRPr="00000000" w14:paraId="00000047">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Por ello, este Organismo Garante comprometido con la tutela de los derechos humanos confiados, señala que este exceso del plazo legal para resolver el presente asunto, resulta de carácter excepcional.</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cinco de agosto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C">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F">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b w:val="1"/>
          <w:color w:val="000000"/>
          <w:rtl w:val="0"/>
        </w:rPr>
        <w:t xml:space="preserve">Segundo. Oportunidad y Procedibilidad del Recurso de Revisión</w:t>
      </w:r>
      <w:r w:rsidDel="00000000" w:rsidR="00000000" w:rsidRPr="00000000">
        <w:rPr>
          <w:rFonts w:ascii="Palatino Linotype" w:cs="Palatino Linotype" w:eastAsia="Palatino Linotype" w:hAnsi="Palatino Linotype"/>
          <w:color w:val="000000"/>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remitió la respuesta a la solicitud de información el día </w:t>
      </w:r>
      <w:r w:rsidDel="00000000" w:rsidR="00000000" w:rsidRPr="00000000">
        <w:rPr>
          <w:rFonts w:ascii="Palatino Linotype" w:cs="Palatino Linotype" w:eastAsia="Palatino Linotype" w:hAnsi="Palatino Linotype"/>
          <w:b w:val="1"/>
          <w:color w:val="000000"/>
          <w:rtl w:val="0"/>
        </w:rPr>
        <w:t xml:space="preserve">veinticuatro de abril de dos mil veinticinco, </w:t>
      </w:r>
      <w:r w:rsidDel="00000000" w:rsidR="00000000" w:rsidRPr="00000000">
        <w:rPr>
          <w:rFonts w:ascii="Palatino Linotype" w:cs="Palatino Linotype" w:eastAsia="Palatino Linotype" w:hAnsi="Palatino Linotype"/>
          <w:color w:val="000000"/>
          <w:rtl w:val="0"/>
        </w:rPr>
        <w:t xml:space="preserve">mientras que el recurso de revisión interpuesto por la parte </w:t>
      </w:r>
      <w:r w:rsidDel="00000000" w:rsidR="00000000" w:rsidRPr="00000000">
        <w:rPr>
          <w:rFonts w:ascii="Palatino Linotype" w:cs="Palatino Linotype" w:eastAsia="Palatino Linotype" w:hAnsi="Palatino Linotype"/>
          <w:b w:val="1"/>
          <w:color w:val="000000"/>
          <w:rtl w:val="0"/>
        </w:rPr>
        <w:t xml:space="preserve">Recurrente, </w:t>
      </w:r>
      <w:r w:rsidDel="00000000" w:rsidR="00000000" w:rsidRPr="00000000">
        <w:rPr>
          <w:rFonts w:ascii="Palatino Linotype" w:cs="Palatino Linotype" w:eastAsia="Palatino Linotype" w:hAnsi="Palatino Linotype"/>
          <w:color w:val="000000"/>
          <w:rtl w:val="0"/>
        </w:rPr>
        <w:t xml:space="preserve">se tuvo por presentado el día</w:t>
      </w:r>
      <w:r w:rsidDel="00000000" w:rsidR="00000000" w:rsidRPr="00000000">
        <w:rPr>
          <w:rFonts w:ascii="Palatino Linotype" w:cs="Palatino Linotype" w:eastAsia="Palatino Linotype" w:hAnsi="Palatino Linotype"/>
          <w:b w:val="1"/>
          <w:color w:val="000000"/>
          <w:rtl w:val="0"/>
        </w:rPr>
        <w:t xml:space="preserve"> veinticuatro de abril de dos mil veinticinco, </w:t>
      </w:r>
      <w:r w:rsidDel="00000000" w:rsidR="00000000" w:rsidRPr="00000000">
        <w:rPr>
          <w:rFonts w:ascii="Palatino Linotype" w:cs="Palatino Linotype" w:eastAsia="Palatino Linotype" w:hAnsi="Palatino Linotype"/>
          <w:color w:val="000000"/>
          <w:rtl w:val="0"/>
        </w:rPr>
        <w:t xml:space="preserve">esto es, el mismo día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rPr>
      </w:pPr>
      <w:r w:rsidDel="00000000" w:rsidR="00000000" w:rsidRPr="00000000">
        <w:rPr>
          <w:rFonts w:ascii="Palatino Linotype" w:cs="Palatino Linotype" w:eastAsia="Palatino Linotype" w:hAnsi="Palatino Linotype"/>
          <w:color w:val="000000"/>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20" w:before="120" w:line="240" w:lineRule="auto"/>
        <w:ind w:left="860" w:right="900" w:firstLine="0"/>
        <w:jc w:val="both"/>
        <w:rPr>
          <w:rFonts w:ascii="Times New Roman" w:cs="Times New Roman" w:eastAsia="Times New Roman" w:hAnsi="Times New Roman"/>
          <w:color w:val="000000"/>
        </w:rPr>
      </w:pPr>
      <w:r w:rsidDel="00000000" w:rsidR="00000000" w:rsidRPr="00000000">
        <w:rPr>
          <w:rFonts w:ascii="Palatino Linotype" w:cs="Palatino Linotype" w:eastAsia="Palatino Linotype" w:hAnsi="Palatino Linotype"/>
          <w:b w:val="1"/>
          <w:i w:val="1"/>
          <w:color w:val="000000"/>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before="120" w:line="240" w:lineRule="auto"/>
        <w:ind w:left="860" w:right="900" w:firstLine="0"/>
        <w:jc w:val="both"/>
        <w:rPr>
          <w:rFonts w:ascii="Times New Roman" w:cs="Times New Roman" w:eastAsia="Times New Roman" w:hAnsi="Times New Roman"/>
          <w:color w:val="000000"/>
        </w:rPr>
      </w:pPr>
      <w:r w:rsidDel="00000000" w:rsidR="00000000" w:rsidRPr="00000000">
        <w:rPr>
          <w:rFonts w:ascii="Palatino Linotype" w:cs="Palatino Linotype" w:eastAsia="Palatino Linotype" w:hAnsi="Palatino Linotype"/>
          <w:i w:val="1"/>
          <w:color w:val="000000"/>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Del="00000000" w:rsidR="00000000" w:rsidRPr="00000000">
        <w:rPr>
          <w:rtl w:val="0"/>
        </w:rPr>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5">
      <w:pPr>
        <w:spacing w:after="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r w:rsidDel="00000000" w:rsidR="00000000" w:rsidRPr="00000000">
        <w:rPr>
          <w:rtl w:val="0"/>
        </w:rPr>
      </w:r>
    </w:p>
    <w:p w:rsidR="00000000" w:rsidDel="00000000" w:rsidP="00000000" w:rsidRDefault="00000000" w:rsidRPr="00000000" w14:paraId="00000056">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pacing w:after="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color w:val="000000"/>
          <w:rtl w:val="0"/>
        </w:rPr>
        <w:t xml:space="preserve">no proporcionó un nombre, </w:t>
      </w:r>
      <w:r w:rsidDel="00000000" w:rsidR="00000000" w:rsidRPr="00000000">
        <w:rPr>
          <w:rFonts w:ascii="Palatino Linotype" w:cs="Palatino Linotype" w:eastAsia="Palatino Linotype" w:hAnsi="Palatino Linotype"/>
          <w:color w:val="000000"/>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after="0" w:line="240" w:lineRule="auto"/>
        <w:ind w:left="851" w:right="902"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Las solicitudes anónimas,</w:t>
      </w:r>
      <w:r w:rsidDel="00000000" w:rsidR="00000000" w:rsidRPr="00000000">
        <w:rPr>
          <w:rFonts w:ascii="Palatino Linotype" w:cs="Palatino Linotype" w:eastAsia="Palatino Linotype" w:hAnsi="Palatino Linotype"/>
          <w:i w:val="1"/>
          <w:color w:val="000000"/>
          <w:rtl w:val="0"/>
        </w:rPr>
        <w:t xml:space="preserve"> con nombre incompleto o seudónimo</w:t>
      </w:r>
      <w:r w:rsidDel="00000000" w:rsidR="00000000" w:rsidRPr="00000000">
        <w:rPr>
          <w:rFonts w:ascii="Palatino Linotype" w:cs="Palatino Linotype" w:eastAsia="Palatino Linotype" w:hAnsi="Palatino Linotype"/>
          <w:b w:val="1"/>
          <w:i w:val="1"/>
          <w:color w:val="000000"/>
          <w:rtl w:val="0"/>
        </w:rPr>
        <w:t xml:space="preserve"> serán procedentes para su trámite por parte del sujeto obligado ante quien se presente</w:t>
      </w:r>
      <w:r w:rsidDel="00000000" w:rsidR="00000000" w:rsidRPr="00000000">
        <w:rPr>
          <w:rFonts w:ascii="Palatino Linotype" w:cs="Palatino Linotype" w:eastAsia="Palatino Linotype" w:hAnsi="Palatino Linotype"/>
          <w:i w:val="1"/>
          <w:color w:val="000000"/>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5A">
      <w:pPr>
        <w:spacing w:after="240" w:before="24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en sus motivos de inconformidad, de acuerdo al artículo 179, fracción II del ordenamiento legal citado, que a la letra dice: </w:t>
      </w:r>
      <w:r w:rsidDel="00000000" w:rsidR="00000000" w:rsidRPr="00000000">
        <w:rPr>
          <w:rtl w:val="0"/>
        </w:rPr>
      </w:r>
    </w:p>
    <w:p w:rsidR="00000000" w:rsidDel="00000000" w:rsidP="00000000" w:rsidRDefault="00000000" w:rsidRPr="00000000" w14:paraId="0000005B">
      <w:pPr>
        <w:spacing w:after="120" w:before="120" w:line="240" w:lineRule="auto"/>
        <w:ind w:left="567" w:right="902"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179.</w:t>
      </w:r>
      <w:r w:rsidDel="00000000" w:rsidR="00000000" w:rsidRPr="00000000">
        <w:rPr>
          <w:rFonts w:ascii="Palatino Linotype" w:cs="Palatino Linotype" w:eastAsia="Palatino Linotype" w:hAnsi="Palatino Linotype"/>
          <w:i w:val="1"/>
          <w:color w:val="000000"/>
          <w:rtl w:val="0"/>
        </w:rPr>
        <w:t xml:space="preserve"> El recurso de revisión es un medio de protección que la Ley otorga a los particulares, para hacer valer su derecho de acceso a la información pública, y procederá en contra de las siguientes causas:</w:t>
      </w:r>
      <w:r w:rsidDel="00000000" w:rsidR="00000000" w:rsidRPr="00000000">
        <w:rPr>
          <w:rtl w:val="0"/>
        </w:rPr>
      </w:r>
    </w:p>
    <w:p w:rsidR="00000000" w:rsidDel="00000000" w:rsidP="00000000" w:rsidRDefault="00000000" w:rsidRPr="00000000" w14:paraId="0000005C">
      <w:pPr>
        <w:spacing w:after="120" w:before="120" w:line="240" w:lineRule="auto"/>
        <w:ind w:left="567" w:right="900"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5D">
      <w:pPr>
        <w:spacing w:after="120" w:before="120" w:line="240" w:lineRule="auto"/>
        <w:ind w:left="567" w:right="900"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b w:val="1"/>
          <w:i w:val="1"/>
          <w:color w:val="000000"/>
          <w:rtl w:val="0"/>
        </w:rPr>
        <w:t xml:space="preserve">II</w:t>
      </w:r>
      <w:r w:rsidDel="00000000" w:rsidR="00000000" w:rsidRPr="00000000">
        <w:rPr>
          <w:rFonts w:ascii="Palatino Linotype" w:cs="Palatino Linotype" w:eastAsia="Palatino Linotype" w:hAnsi="Palatino Linotype"/>
          <w:i w:val="1"/>
          <w:color w:val="000000"/>
          <w:rtl w:val="0"/>
        </w:rPr>
        <w:t xml:space="preserve">. La clasificación de la información;”</w:t>
      </w:r>
      <w:r w:rsidDel="00000000" w:rsidR="00000000" w:rsidRPr="00000000">
        <w:rPr>
          <w:rtl w:val="0"/>
        </w:rPr>
      </w:r>
    </w:p>
    <w:p w:rsidR="00000000" w:rsidDel="00000000" w:rsidP="00000000" w:rsidRDefault="00000000" w:rsidRPr="00000000" w14:paraId="0000005E">
      <w:pPr>
        <w:spacing w:after="120" w:before="120" w:line="240" w:lineRule="auto"/>
        <w:ind w:left="1134" w:right="90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en determinar, si se actualiza la hipótesis prevista en la fracción II del artículo 179 de la Ley en la materia. </w:t>
      </w:r>
    </w:p>
    <w:p w:rsidR="00000000" w:rsidDel="00000000" w:rsidP="00000000" w:rsidRDefault="00000000" w:rsidRPr="00000000" w14:paraId="0000006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w:t>
      </w:r>
    </w:p>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 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6F">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7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7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9">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8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8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los agravios hechos valer por la parte Recurrente, relativos a la falta de respuesta a la solicitud de información, lo que actualiza la causal de procedencia prevista en la fracción VII del artículo 179 de la Ley de Transparencia y Acceso a la Información Pública del Estado de México y Municipios.</w:t>
      </w:r>
    </w:p>
    <w:p w:rsidR="00000000" w:rsidDel="00000000" w:rsidP="00000000" w:rsidRDefault="00000000" w:rsidRPr="00000000" w14:paraId="0000008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es de recordar que la parte Recurrente, solicitó: </w:t>
      </w:r>
    </w:p>
    <w:p w:rsidR="00000000" w:rsidDel="00000000" w:rsidP="00000000" w:rsidRDefault="00000000" w:rsidRPr="00000000" w14:paraId="0000008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Los estados de cuenta de las cuentas bancarias del Poder Legislativo, del mes de enero de dos mil veinticinco. </w:t>
      </w:r>
    </w:p>
    <w:p w:rsidR="00000000" w:rsidDel="00000000" w:rsidP="00000000" w:rsidRDefault="00000000" w:rsidRPr="00000000" w14:paraId="00000089">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clasificó la información como confidencial.</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arguyendo negativa en la entrega de la información por la clasificación de la información. </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mediante informe justificado, el Sujeto Obligado reiteró en términos generales su respuesta.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ello, se procede a contextualizar la información requerida, para esto, en principio es menester referir que los estados de cuenta bancarios que dan cuenta de la transferencia o al depósito de recurso que llegan a las cuentas de instituciones pública, son considerados como información pública, pues su difusión favorece la rendición de cuentas al transparentar la forma en que se administrar los recursos públicos; situación que se robustece con el Criterio orientador 11/17, del entonces Instituto Nacional de Transparencia, Acceso a la Información y Protección de Datos Personales, que a la letra precisa:</w:t>
      </w:r>
    </w:p>
    <w:p w:rsidR="00000000" w:rsidDel="00000000" w:rsidP="00000000" w:rsidRDefault="00000000" w:rsidRPr="00000000" w14:paraId="0000009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tabs>
          <w:tab w:val="left" w:leader="none" w:pos="7938"/>
        </w:tabs>
        <w:spacing w:after="0" w:line="276" w:lineRule="auto"/>
        <w:ind w:left="851" w:righ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00000" w:rsidDel="00000000" w:rsidP="00000000" w:rsidRDefault="00000000" w:rsidRPr="00000000" w14:paraId="0000009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artículo 2°, fracción III, de la Ley General de Títulos y Operaciones de Crédito establece que los actos y las operaciones que regula esta Ley General, se regirán por los </w:t>
      </w:r>
      <w:r w:rsidDel="00000000" w:rsidR="00000000" w:rsidRPr="00000000">
        <w:rPr>
          <w:rFonts w:ascii="Palatino Linotype" w:cs="Palatino Linotype" w:eastAsia="Palatino Linotype" w:hAnsi="Palatino Linotype"/>
          <w:b w:val="1"/>
          <w:rtl w:val="0"/>
        </w:rPr>
        <w:t xml:space="preserve">usos </w:t>
      </w:r>
      <w:r w:rsidDel="00000000" w:rsidR="00000000" w:rsidRPr="00000000">
        <w:rPr>
          <w:rFonts w:ascii="Palatino Linotype" w:cs="Palatino Linotype" w:eastAsia="Palatino Linotype" w:hAnsi="Palatino Linotype"/>
          <w:rtl w:val="0"/>
        </w:rPr>
        <w:t xml:space="preserve">bancarios y mercantiles, es así que, la cuenta bancaria y estado de cuenta se definen como: </w:t>
      </w:r>
    </w:p>
    <w:p w:rsidR="00000000" w:rsidDel="00000000" w:rsidP="00000000" w:rsidRDefault="00000000" w:rsidRPr="00000000" w14:paraId="0000009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numPr>
          <w:ilvl w:val="0"/>
          <w:numId w:val="3"/>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Cuenta bancaria:</w:t>
      </w:r>
      <w:r w:rsidDel="00000000" w:rsidR="00000000" w:rsidRPr="00000000">
        <w:rPr>
          <w:rFonts w:ascii="Palatino Linotype" w:cs="Palatino Linotype" w:eastAsia="Palatino Linotype" w:hAnsi="Palatino Linotype"/>
          <w:rtl w:val="0"/>
        </w:rPr>
        <w:t xml:space="preserve"> Una cuenta bancaria es un registro que mantiene un banco, en el que guarda dinero y contabiliza todas las entradas y salidas de efectivo, así como los créditos en curso, inversiones y productos relacionados.</w:t>
      </w:r>
    </w:p>
    <w:p w:rsidR="00000000" w:rsidDel="00000000" w:rsidP="00000000" w:rsidRDefault="00000000" w:rsidRPr="00000000" w14:paraId="00000097">
      <w:pPr>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numPr>
          <w:ilvl w:val="0"/>
          <w:numId w:val="3"/>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Estado de cuenta:</w:t>
      </w:r>
      <w:r w:rsidDel="00000000" w:rsidR="00000000" w:rsidRPr="00000000">
        <w:rPr>
          <w:rFonts w:ascii="Palatino Linotype" w:cs="Palatino Linotype" w:eastAsia="Palatino Linotype" w:hAnsi="Palatino Linotype"/>
          <w:rtl w:val="0"/>
        </w:rPr>
        <w:t xml:space="preserve"> Un estado de cuenta bancario es un documento oficial, generalmente mensual, emitido por la institución bancaria con la que tiene la cuenta. Este documento contiene todos los movimientos de la cuenta realizados en el mes, además de contener datos como número de cuenta, de tarjeta, saldo al corte, fecha de pago, monto mínimo a pagar, tasa de interés, en caso de ser tarjeta de crédito, entre otros datos. </w:t>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A">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lo anterior, se colige que el estado de cuenta es un documento emitido por una institución bancaria en el que se advierten los movimientos realizados -en este caso- por la autoridad pública y, mediante el cual se puede obtener información como el número de cuenta, el cual es definido como un conjunto de caracteres numéricos utilizado por los grupos financieros para identificar a los clientes. Dicho número es único e irrepetible, establecido a cada cuenta bancaria que avala que los recursos enviados a las órdenes de cargo, pago de nómina o a las transferencias electrónicas de fondos interbancarios se utilicen exclusivamente en la cuenta señalada por el cliente. </w:t>
      </w:r>
    </w:p>
    <w:p w:rsidR="00000000" w:rsidDel="00000000" w:rsidP="00000000" w:rsidRDefault="00000000" w:rsidRPr="00000000" w14:paraId="0000009B">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Dicha clave se compone de 18 dígitos numéricos que corresponden a los siguientes datos:</w:t>
      </w:r>
    </w:p>
    <w:p w:rsidR="00000000" w:rsidDel="00000000" w:rsidP="00000000" w:rsidRDefault="00000000" w:rsidRPr="00000000" w14:paraId="0000009D">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CÓDIGO DE BANCO</w:t>
      </w:r>
      <w:r w:rsidDel="00000000" w:rsidR="00000000" w:rsidRPr="00000000">
        <w:rPr>
          <w:rFonts w:ascii="Palatino Linotype" w:cs="Palatino Linotype" w:eastAsia="Palatino Linotype" w:hAnsi="Palatino Linotype"/>
          <w:rtl w:val="0"/>
        </w:rPr>
        <w:t xml:space="preserve">: Donde radica la cuenta, de acuerdo con los números asignados a las Instituciones de Crédito Asociación de Bancos de México (tres dígitos).</w:t>
      </w:r>
    </w:p>
    <w:p w:rsidR="00000000" w:rsidDel="00000000" w:rsidP="00000000" w:rsidRDefault="00000000" w:rsidRPr="00000000" w14:paraId="0000009F">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CÓDIGO DE PLAZA</w:t>
      </w:r>
      <w:r w:rsidDel="00000000" w:rsidR="00000000" w:rsidRPr="00000000">
        <w:rPr>
          <w:rFonts w:ascii="Palatino Linotype" w:cs="Palatino Linotype" w:eastAsia="Palatino Linotype" w:hAnsi="Palatino Linotype"/>
          <w:rtl w:val="0"/>
        </w:rPr>
        <w:t xml:space="preserve">: Ciudad o región donde el cliente mantiene su cuenta, de acuerdo con la definición de claves de plaza definida para el servicio de cheques (tres dígitos). </w:t>
      </w:r>
    </w:p>
    <w:p w:rsidR="00000000" w:rsidDel="00000000" w:rsidP="00000000" w:rsidRDefault="00000000" w:rsidRPr="00000000" w14:paraId="000000A0">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NUMERO DE CUENTA</w:t>
      </w:r>
      <w:r w:rsidDel="00000000" w:rsidR="00000000" w:rsidRPr="00000000">
        <w:rPr>
          <w:rFonts w:ascii="Palatino Linotype" w:cs="Palatino Linotype" w:eastAsia="Palatino Linotype" w:hAnsi="Palatino Linotype"/>
          <w:rtl w:val="0"/>
        </w:rPr>
        <w:t xml:space="preserve">: Campo en donde se incluye la información que cada banco para individualizar la cuenta de sus clientes (once dígitos), y </w:t>
      </w:r>
    </w:p>
    <w:p w:rsidR="00000000" w:rsidDel="00000000" w:rsidP="00000000" w:rsidRDefault="00000000" w:rsidRPr="00000000" w14:paraId="000000A1">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DÍGITO DE CONTROL.</w:t>
      </w:r>
      <w:r w:rsidDel="00000000" w:rsidR="00000000" w:rsidRPr="00000000">
        <w:rPr>
          <w:rFonts w:ascii="Palatino Linotype" w:cs="Palatino Linotype" w:eastAsia="Palatino Linotype" w:hAnsi="Palatino Linotype"/>
          <w:rtl w:val="0"/>
        </w:rPr>
        <w:t xml:space="preserve"> Es un dígito que se obtiene a través de aplicar un algoritmo que permite validar que la estructura de los datos contenidos en la CLABE sean correctos (un dígito).</w:t>
      </w:r>
    </w:p>
    <w:p w:rsidR="00000000" w:rsidDel="00000000" w:rsidP="00000000" w:rsidRDefault="00000000" w:rsidRPr="00000000" w14:paraId="000000A2">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u w:val="single"/>
          <w:rtl w:val="0"/>
        </w:rPr>
        <w:t xml:space="preserve">Así las cuentas bancarias otorgadas al Sujeto Obligado y su CLABE es única e irrepetible, estableciendo con ello una relación que avala que los cargos efectuados, las transferencias electrónicas realizadas o los abonos efectuados corresponden, exclusivamente a la cuenta proporcionada a su titular</w:t>
      </w:r>
      <w:r w:rsidDel="00000000" w:rsidR="00000000" w:rsidRPr="00000000">
        <w:rPr>
          <w:rFonts w:ascii="Palatino Linotype" w:cs="Palatino Linotype" w:eastAsia="Palatino Linotype" w:hAnsi="Palatino Linotype"/>
          <w:rtl w:val="0"/>
        </w:rPr>
        <w:t xml:space="preserve">, creando con ello una relación entre el Poder Legislativo y la institución encargada de prestar servicios de carácter financiero, mismo que se encuentra estrechamente relacionada con el patrimonio a la que se asignó el número. </w:t>
      </w:r>
    </w:p>
    <w:p w:rsidR="00000000" w:rsidDel="00000000" w:rsidP="00000000" w:rsidRDefault="00000000" w:rsidRPr="00000000" w14:paraId="000000A4">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considera que el estado de cuenta bancaria y la CLABE interbancaria del Poder Legislativo se encuentra asociado a su patrimonio, entendiendo éste como el conjunto de bienes, fondos, derechos, obligaciones; por tanto, se trata de información de dominio público. </w:t>
      </w:r>
    </w:p>
    <w:p w:rsidR="00000000" w:rsidDel="00000000" w:rsidP="00000000" w:rsidRDefault="00000000" w:rsidRPr="00000000" w14:paraId="000000A6">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u w:val="single"/>
          <w:rtl w:val="0"/>
        </w:rPr>
        <w:t xml:space="preserve">Manual Único de Contabilidad Gubernamental para los Entes Públicos del Gobierno y Municipios del Estado de México</w:t>
      </w:r>
      <w:r w:rsidDel="00000000" w:rsidR="00000000" w:rsidRPr="00000000">
        <w:rPr>
          <w:rFonts w:ascii="Palatino Linotype" w:cs="Palatino Linotype" w:eastAsia="Palatino Linotype" w:hAnsi="Palatino Linotype"/>
          <w:rtl w:val="0"/>
        </w:rPr>
        <w:t xml:space="preserve">, el cual reúne en un solo documento todos los elementos del Sistema Contable, además de ofrecer las herramientas y métodos necesarios para registrar correctamente las operaciones financieras y aporta los elementos necesarios que les permitan contabilizar sus operaciones al establecer los criterios en materia de Contabilidad Gubernamental, y constituye una herramienta básica para el registro de las operaciones que otorgan consistencia en la presentación de los resultados del ejercicio y facilita su interpretación, proporcionando las bases para consolidar bajo criterios uniformes y homogéneos la información contable, establecen como obligación del Poder Legislativo contar con los siguientes controles: </w:t>
      </w:r>
    </w:p>
    <w:p w:rsidR="00000000" w:rsidDel="00000000" w:rsidP="00000000" w:rsidRDefault="00000000" w:rsidRPr="00000000" w14:paraId="000000A8">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widowControl w:val="0"/>
        <w:numPr>
          <w:ilvl w:val="1"/>
          <w:numId w:val="7"/>
        </w:numPr>
        <w:pBdr>
          <w:top w:space="0" w:sz="0" w:val="nil"/>
          <w:left w:space="0" w:sz="0" w:val="nil"/>
          <w:bottom w:space="0" w:sz="0" w:val="nil"/>
          <w:right w:space="0" w:sz="0" w:val="nil"/>
          <w:between w:space="0" w:sz="0" w:val="nil"/>
        </w:pBdr>
        <w:tabs>
          <w:tab w:val="left" w:leader="none" w:pos="172"/>
        </w:tabs>
        <w:spacing w:after="0" w:line="240" w:lineRule="auto"/>
        <w:ind w:left="1276" w:right="843" w:hanging="355"/>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Poder Legislativo, Poder Judicial, Organismos Autónomos y Organismos Auxiliares</w:t>
      </w:r>
    </w:p>
    <w:p w:rsidR="00000000" w:rsidDel="00000000" w:rsidP="00000000" w:rsidRDefault="00000000" w:rsidRPr="00000000" w14:paraId="000000AA">
      <w:pPr>
        <w:tabs>
          <w:tab w:val="left" w:leader="none" w:pos="172"/>
          <w:tab w:val="left" w:leader="none" w:pos="7938"/>
        </w:tabs>
        <w:spacing w:after="0" w:line="360" w:lineRule="auto"/>
        <w:ind w:left="1276"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Bancos e Inversiones Financieras</w:t>
      </w:r>
    </w:p>
    <w:p w:rsidR="00000000" w:rsidDel="00000000" w:rsidP="00000000" w:rsidRDefault="00000000" w:rsidRPr="00000000" w14:paraId="000000AB">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45370" cy="2806844"/>
            <wp:effectExtent b="0" l="0" r="0" t="0"/>
            <wp:docPr id="3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45370" cy="2806844"/>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10200" cy="2057400"/>
            <wp:effectExtent b="0" l="0" r="0" t="0"/>
            <wp:docPr id="3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10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after="0" w:before="182" w:line="360" w:lineRule="auto"/>
        <w:ind w:right="77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Como se advierte la Guía  Contabilizadora contiene la descripción detallada de las principales operaciones, en ésta se mencionan los documentos fuente que respaldan cada operación, señala su periodicidad durante un ejercicio e incluye las cuentas a afectar tanto contable como presupuestalmente. </w:t>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after="0" w:before="182" w:line="360" w:lineRule="auto"/>
        <w:ind w:right="77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after="0" w:before="182" w:line="360" w:lineRule="auto"/>
        <w:ind w:right="134"/>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Dicha guía señala como documentos obligatorios los relativos a los Bancos e Inversiones Financieras, de los que se advierte que el Poder Legislativo debe contar de manera frecuente con los estados de cuenta que son los documentos fuente que registran los depósitos en inversiones a corto y largo plazo, así como el registro de retiros de los recursos depositados en inversiones a plazo y los intereses generados por inversiones y el registro de comisiones bancarias. </w:t>
      </w:r>
    </w:p>
    <w:p w:rsidR="00000000" w:rsidDel="00000000" w:rsidP="00000000" w:rsidRDefault="00000000" w:rsidRPr="00000000" w14:paraId="000000B1">
      <w:pPr>
        <w:tabs>
          <w:tab w:val="left" w:leader="none" w:pos="7938"/>
        </w:tabs>
        <w:spacing w:after="0" w:line="360" w:lineRule="auto"/>
        <w:ind w:right="1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tabs>
          <w:tab w:val="left" w:leader="none" w:pos="7938"/>
        </w:tabs>
        <w:spacing w:after="0"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este Instituto concluye que la información correspondiente a los Estados de Cuenta Bancaria no es información susceptible de ser clasificada, en los términos que han quedado expuestos. </w:t>
      </w:r>
    </w:p>
    <w:p w:rsidR="00000000" w:rsidDel="00000000" w:rsidP="00000000" w:rsidRDefault="00000000" w:rsidRPr="00000000" w14:paraId="000000B3">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con base en lo anterior, este Organismo Garante no advierte la procedencia de clasificación de la información relativa a los estados de cuenta bancarios del Sujeto Obligado, atendiendo que su publicidad favorece la rendición de cuentas y en el supuesto que contengan datos sensibles y confidenciales </w:t>
      </w:r>
      <w:r w:rsidDel="00000000" w:rsidR="00000000" w:rsidRPr="00000000">
        <w:rPr>
          <w:rFonts w:ascii="Palatino Linotype" w:cs="Palatino Linotype" w:eastAsia="Palatino Linotype" w:hAnsi="Palatino Linotype"/>
          <w:b w:val="1"/>
          <w:u w:val="single"/>
          <w:rtl w:val="0"/>
        </w:rPr>
        <w:t xml:space="preserve">de particulares</w:t>
      </w:r>
      <w:r w:rsidDel="00000000" w:rsidR="00000000" w:rsidRPr="00000000">
        <w:rPr>
          <w:rFonts w:ascii="Palatino Linotype" w:cs="Palatino Linotype" w:eastAsia="Palatino Linotype" w:hAnsi="Palatino Linotype"/>
          <w:rtl w:val="0"/>
        </w:rPr>
        <w:t xml:space="preserve">, se deberá aprobar y emitir la elaboración de la versión pública.</w:t>
      </w:r>
    </w:p>
    <w:p w:rsidR="00000000" w:rsidDel="00000000" w:rsidP="00000000" w:rsidRDefault="00000000" w:rsidRPr="00000000" w14:paraId="000000B5">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04779/INFOEM/IP/RR/2025</w:t>
      </w:r>
      <w:r w:rsidDel="00000000" w:rsidR="00000000" w:rsidRPr="00000000">
        <w:rPr>
          <w:rFonts w:ascii="Palatino Linotype" w:cs="Palatino Linotype" w:eastAsia="Palatino Linotype" w:hAnsi="Palatino Linotype"/>
          <w:rtl w:val="0"/>
        </w:rPr>
        <w:t xml:space="preserve">, por lo que, resulta procedente </w:t>
      </w:r>
      <w:r w:rsidDel="00000000" w:rsidR="00000000" w:rsidRPr="00000000">
        <w:rPr>
          <w:rFonts w:ascii="Palatino Linotype" w:cs="Palatino Linotype" w:eastAsia="Palatino Linotype" w:hAnsi="Palatino Linotype"/>
          <w:b w:val="1"/>
          <w:rtl w:val="0"/>
        </w:rPr>
        <w:t xml:space="preserve">ORDENAR</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entrega, vía Sistema de Acceso a la Información Mexiquense, de ser el caso, en versión pública,  lo siguiente:</w:t>
      </w:r>
    </w:p>
    <w:p w:rsidR="00000000" w:rsidDel="00000000" w:rsidP="00000000" w:rsidRDefault="00000000" w:rsidRPr="00000000" w14:paraId="000000B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numPr>
          <w:ilvl w:val="0"/>
          <w:numId w:val="4"/>
        </w:numPr>
        <w:pBdr>
          <w:top w:space="0" w:sz="0" w:val="nil"/>
          <w:left w:space="0" w:sz="0" w:val="nil"/>
          <w:bottom w:space="0" w:sz="0" w:val="nil"/>
          <w:right w:space="0" w:sz="0" w:val="nil"/>
          <w:between w:space="0" w:sz="0" w:val="nil"/>
        </w:pBdr>
        <w:spacing w:after="0" w:line="360" w:lineRule="auto"/>
        <w:ind w:left="720" w:right="41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Los estados de cuenta bancarios del sujeto obligado, correspondientes al mes de enero de dos mil veinticinco.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A">
      <w:pPr>
        <w:spacing w:line="276" w:lineRule="auto"/>
        <w:ind w:left="567" w:right="56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i w:val="1"/>
          <w:rtl w:val="0"/>
        </w:rPr>
        <w:t xml:space="preserve">De ser el caso, deberá remitir el Acuerdo emitido por el Comité de Transparencia, en donde de manera fundada y motivada, se confirme la versión pública de las Evaluaciones Técnicas de Impacto en materia Vial, en términos de los artículos 49, fracción II, 132, fracción II, 143, fracción I, y 149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BB">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0B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after="0" w:line="360" w:lineRule="auto"/>
        <w:ind w:right="51"/>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Cabe mencionar que respecto del </w:t>
      </w:r>
      <w:r w:rsidDel="00000000" w:rsidR="00000000" w:rsidRPr="00000000">
        <w:rPr>
          <w:rFonts w:ascii="Palatino Linotype" w:cs="Palatino Linotype" w:eastAsia="Palatino Linotype" w:hAnsi="Palatino Linotype"/>
          <w:b w:val="1"/>
          <w:color w:val="000000"/>
          <w:rtl w:val="0"/>
        </w:rPr>
        <w:t xml:space="preserve">nombre de las personas físicas</w:t>
      </w:r>
      <w:r w:rsidDel="00000000" w:rsidR="00000000" w:rsidRPr="00000000">
        <w:rPr>
          <w:rFonts w:ascii="Palatino Linotype" w:cs="Palatino Linotype" w:eastAsia="Palatino Linotype" w:hAnsi="Palatino Linotype"/>
          <w:color w:val="000000"/>
          <w:rtl w:val="0"/>
        </w:rPr>
        <w:t xml:space="preserve"> o los </w:t>
      </w:r>
      <w:r w:rsidDel="00000000" w:rsidR="00000000" w:rsidRPr="00000000">
        <w:rPr>
          <w:rFonts w:ascii="Palatino Linotype" w:cs="Palatino Linotype" w:eastAsia="Palatino Linotype" w:hAnsi="Palatino Linotype"/>
          <w:b w:val="1"/>
          <w:color w:val="000000"/>
          <w:rtl w:val="0"/>
        </w:rPr>
        <w:t xml:space="preserve">representantes legales de las personas morales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en su calidad de proveedores, contratistas o prestadores de servicios, y la firma y rúbrica de estos</w:t>
      </w:r>
      <w:r w:rsidDel="00000000" w:rsidR="00000000" w:rsidRPr="00000000">
        <w:rPr>
          <w:rFonts w:ascii="Palatino Linotype" w:cs="Palatino Linotype" w:eastAsia="Palatino Linotype" w:hAnsi="Palatino Linotype"/>
          <w:color w:val="000000"/>
          <w:rtl w:val="0"/>
        </w:rPr>
        <w:t xml:space="preserve">,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r w:rsidDel="00000000" w:rsidR="00000000" w:rsidRPr="00000000">
        <w:rPr>
          <w:rtl w:val="0"/>
        </w:rPr>
      </w:r>
    </w:p>
    <w:p w:rsidR="00000000" w:rsidDel="00000000" w:rsidP="00000000" w:rsidRDefault="00000000" w:rsidRPr="00000000" w14:paraId="000000C1">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spacing w:after="0" w:line="360" w:lineRule="auto"/>
        <w:ind w:right="5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Argumentación que guarda sustento en lo estipulado por el artículo 23 de la Ley de Transparencia y Acceso a la Información Pública del Estado de México y Municipios en su penúltimo párrafo, mismo que es del tenor literal siguiente:</w:t>
      </w: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spacing w:after="0" w:line="240" w:lineRule="auto"/>
        <w:ind w:left="851" w:right="902"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23.</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tl w:val="0"/>
        </w:rPr>
      </w:r>
    </w:p>
    <w:p w:rsidR="00000000" w:rsidDel="00000000" w:rsidP="00000000" w:rsidRDefault="00000000" w:rsidRPr="00000000" w14:paraId="000000C5">
      <w:pPr>
        <w:spacing w:after="0" w:line="240" w:lineRule="auto"/>
        <w:ind w:left="851" w:right="902"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i w:val="1"/>
          <w:color w:val="000000"/>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spacing w:after="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Asimismo, resulta aplicable el contenido del criterio orientador 01/19 emitido por el entonces Instituto Nacional de Transparencia, Acceso a la Información, y Protección de Datos Personales, INAI, que lleva por rubro y texto los siguientes</w:t>
      </w: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spacing w:after="0" w:line="240" w:lineRule="auto"/>
        <w:ind w:left="851" w:right="902"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b w:val="1"/>
          <w:i w:val="1"/>
          <w:color w:val="000000"/>
          <w:rtl w:val="0"/>
        </w:rPr>
        <w:t xml:space="preserve">“Datos de identificación del representante o apoderado legal.</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Naturaleza jurídica. El nombre, la </w:t>
      </w:r>
      <w:r w:rsidDel="00000000" w:rsidR="00000000" w:rsidRPr="00000000">
        <w:rPr>
          <w:rFonts w:ascii="Palatino Linotype" w:cs="Palatino Linotype" w:eastAsia="Palatino Linotype" w:hAnsi="Palatino Linotype"/>
          <w:b w:val="1"/>
          <w:i w:val="1"/>
          <w:color w:val="000000"/>
          <w:u w:val="single"/>
          <w:rtl w:val="0"/>
        </w:rPr>
        <w:t xml:space="preserve">firma y la rúbrica</w:t>
      </w:r>
      <w:r w:rsidDel="00000000" w:rsidR="00000000" w:rsidRPr="00000000">
        <w:rPr>
          <w:rFonts w:ascii="Palatino Linotype" w:cs="Palatino Linotype" w:eastAsia="Palatino Linotype" w:hAnsi="Palatino Linotype"/>
          <w:i w:val="1"/>
          <w:color w:val="000000"/>
          <w:rtl w:val="0"/>
        </w:rPr>
        <w:t xml:space="preserve"> de una persona física, que actúe como representante o apoderado legal de un tercero que haya celebrado un acto jurídico, con algún sujeto obligado, </w:t>
      </w:r>
      <w:r w:rsidDel="00000000" w:rsidR="00000000" w:rsidRPr="00000000">
        <w:rPr>
          <w:rFonts w:ascii="Palatino Linotype" w:cs="Palatino Linotype" w:eastAsia="Palatino Linotype" w:hAnsi="Palatino Linotype"/>
          <w:b w:val="1"/>
          <w:i w:val="1"/>
          <w:color w:val="000000"/>
          <w:u w:val="single"/>
          <w:rtl w:val="0"/>
        </w:rPr>
        <w:t xml:space="preserve">es información pública</w:t>
      </w:r>
      <w:r w:rsidDel="00000000" w:rsidR="00000000" w:rsidRPr="00000000">
        <w:rPr>
          <w:rFonts w:ascii="Palatino Linotype" w:cs="Palatino Linotype" w:eastAsia="Palatino Linotype" w:hAnsi="Palatino Linotype"/>
          <w:b w:val="1"/>
          <w:i w:val="1"/>
          <w:color w:val="000000"/>
          <w:rtl w:val="0"/>
        </w:rPr>
        <w:t xml:space="preserve">, en razón de que tales datos fueron proporcionados con el objeto de expresar el consentimiento obligacional del tercero y otorgar validez a dicho instrumento jurídico</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C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after="0" w:line="360" w:lineRule="auto"/>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r w:rsidDel="00000000" w:rsidR="00000000" w:rsidRPr="00000000">
        <w:rPr>
          <w:rtl w:val="0"/>
        </w:rPr>
      </w:r>
    </w:p>
    <w:p w:rsidR="00000000" w:rsidDel="00000000" w:rsidP="00000000" w:rsidRDefault="00000000" w:rsidRPr="00000000" w14:paraId="000000CC">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spacing w:after="0" w:line="360" w:lineRule="auto"/>
        <w:ind w:right="51"/>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r w:rsidDel="00000000" w:rsidR="00000000" w:rsidRPr="00000000">
        <w:rPr>
          <w:rtl w:val="0"/>
        </w:rPr>
      </w:r>
    </w:p>
    <w:p w:rsidR="00000000" w:rsidDel="00000000" w:rsidP="00000000" w:rsidRDefault="00000000" w:rsidRPr="00000000" w14:paraId="000000CE">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spacing w:after="0" w:line="360" w:lineRule="auto"/>
        <w:ind w:right="5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Lo anterior encuentra sustento en el criterio orientador 10/17 emitido por el entonces Instituto Nacional de Transparencia y Acceso a la Información Pública del Estado de México y Municipios, que a la letra dicen:</w:t>
      </w: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spacing w:after="0" w:line="240" w:lineRule="auto"/>
        <w:ind w:left="851" w:right="1134"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b w:val="1"/>
          <w:i w:val="1"/>
          <w:color w:val="000000"/>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color w:val="000000"/>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spacing w:after="0" w:line="360" w:lineRule="auto"/>
        <w:ind w:right="5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color w:val="000000"/>
          <w:rtl w:val="0"/>
        </w:rPr>
        <w:t xml:space="preserve">Ahora bien, por cuanto hace a las cuentas bancarias de los Sujetos obligados, dicha información se reitera que  no puede considerarse como confidencial, pues la difusión de dichas cuentas o claves interbancarias, favorecen a la rendición de cuentas; ello tiene sustento en el criterio orientador 11/17, emitido por el entonces Instituto Nacional de Transparencia y Acceso a la Información Pública del Estado de México y Municipios, el cual para mayor referencia se inserta a continuación:</w:t>
      </w: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spacing w:after="0" w:line="240" w:lineRule="auto"/>
        <w:ind w:left="851" w:right="1134" w:firstLine="0"/>
        <w:jc w:val="both"/>
        <w:rPr>
          <w:rFonts w:ascii="Times New Roman" w:cs="Times New Roman" w:eastAsia="Times New Roman" w:hAnsi="Times New Roman"/>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color w:val="000000"/>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r w:rsidDel="00000000" w:rsidR="00000000" w:rsidRPr="00000000">
        <w:rPr>
          <w:rtl w:val="0"/>
        </w:rPr>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0D8">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D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0D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0D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D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0D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E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0E2">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0E3">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0E4">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0E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E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0E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E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0E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E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EC">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EE">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0F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F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0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0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0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0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0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0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0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0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0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0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0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0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1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1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1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04779/INFOEM/IP/RR/2025</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la información requerida en la solicitud de información número </w:t>
      </w:r>
      <w:r w:rsidDel="00000000" w:rsidR="00000000" w:rsidRPr="00000000">
        <w:rPr>
          <w:rFonts w:ascii="Palatino Linotype" w:cs="Palatino Linotype" w:eastAsia="Palatino Linotype" w:hAnsi="Palatino Linotype"/>
          <w:b w:val="1"/>
          <w:rtl w:val="0"/>
        </w:rPr>
        <w:t xml:space="preserve">00150/PLEGISLA/IP/2025. </w:t>
      </w:r>
      <w:r w:rsidDel="00000000" w:rsidR="00000000" w:rsidRPr="00000000">
        <w:rPr>
          <w:rtl w:val="0"/>
        </w:rPr>
      </w:r>
    </w:p>
    <w:p w:rsidR="00000000" w:rsidDel="00000000" w:rsidP="00000000" w:rsidRDefault="00000000" w:rsidRPr="00000000" w14:paraId="00000115">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17">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1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 </w:t>
      </w:r>
      <w:r w:rsidDel="00000000" w:rsidR="00000000" w:rsidRPr="00000000">
        <w:rPr>
          <w:rFonts w:ascii="Palatino Linotype" w:cs="Palatino Linotype" w:eastAsia="Palatino Linotype" w:hAnsi="Palatino Linotype"/>
          <w:rtl w:val="0"/>
        </w:rPr>
        <w:t xml:space="preserve">los motivos de inconformidad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hechos valer en el Recurso de Revisión </w:t>
      </w:r>
      <w:r w:rsidDel="00000000" w:rsidR="00000000" w:rsidRPr="00000000">
        <w:rPr>
          <w:rFonts w:ascii="Palatino Linotype" w:cs="Palatino Linotype" w:eastAsia="Palatino Linotype" w:hAnsi="Palatino Linotype"/>
          <w:b w:val="1"/>
          <w:rtl w:val="0"/>
        </w:rPr>
        <w:t xml:space="preserve">04779/INFOEM/IP/RR/2025</w:t>
      </w:r>
      <w:r w:rsidDel="00000000" w:rsidR="00000000" w:rsidRPr="00000000">
        <w:rPr>
          <w:rFonts w:ascii="Palatino Linotype" w:cs="Palatino Linotype" w:eastAsia="Palatino Linotype" w:hAnsi="Palatino Linotype"/>
          <w:rtl w:val="0"/>
        </w:rPr>
        <w:t xml:space="preserve">, en términos del</w:t>
      </w:r>
      <w:r w:rsidDel="00000000" w:rsidR="00000000" w:rsidRPr="00000000">
        <w:rPr>
          <w:rFonts w:ascii="Palatino Linotype" w:cs="Palatino Linotype" w:eastAsia="Palatino Linotype" w:hAnsi="Palatino Linotype"/>
          <w:b w:val="1"/>
          <w:rtl w:val="0"/>
        </w:rPr>
        <w:t xml:space="preserve"> 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del Considerando Cuarto y Quinto, haga entrega, vía Sistema de Acceso a la Información Mexiquense (SAIMEX), de ser el caso, en versión pública, lo siguiente</w:t>
      </w:r>
      <w:r w:rsidDel="00000000" w:rsidR="00000000" w:rsidRPr="00000000">
        <w:rPr>
          <w:rFonts w:ascii="Palatino Linotype" w:cs="Palatino Linotype" w:eastAsia="Palatino Linotype" w:hAnsi="Palatino Linotype"/>
          <w:b w:val="1"/>
          <w:rtl w:val="0"/>
        </w:rPr>
        <w:t xml:space="preserve">:</w:t>
      </w:r>
      <w:r w:rsidDel="00000000" w:rsidR="00000000" w:rsidRPr="00000000">
        <w:rPr>
          <w:rtl w:val="0"/>
        </w:rPr>
      </w:r>
    </w:p>
    <w:p w:rsidR="00000000" w:rsidDel="00000000" w:rsidP="00000000" w:rsidRDefault="00000000" w:rsidRPr="00000000" w14:paraId="0000011C">
      <w:pP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numPr>
          <w:ilvl w:val="0"/>
          <w:numId w:val="4"/>
        </w:numPr>
        <w:pBdr>
          <w:top w:space="0" w:sz="0" w:val="nil"/>
          <w:left w:space="0" w:sz="0" w:val="nil"/>
          <w:bottom w:space="0" w:sz="0" w:val="nil"/>
          <w:right w:space="0" w:sz="0" w:val="nil"/>
          <w:between w:space="0" w:sz="0" w:val="nil"/>
        </w:pBdr>
        <w:spacing w:after="0" w:line="360" w:lineRule="auto"/>
        <w:ind w:left="720" w:right="41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Los estados de cuenta bancarios del sujeto obligado, correspondientes al mes de enero de dos mil veinticinco. </w:t>
      </w:r>
    </w:p>
    <w:p w:rsidR="00000000" w:rsidDel="00000000" w:rsidP="00000000" w:rsidRDefault="00000000" w:rsidRPr="00000000" w14:paraId="0000011E">
      <w:pP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after="0" w:line="276" w:lineRule="auto"/>
        <w:ind w:left="567" w:right="61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20">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2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2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Notifíquese, vía SAIMEX, 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2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Notifíquese vía SAIMEX, a la parte Recurrente la presente resolución, así como que podrá impugnar vía Juicio de Amparo en los términos de las leyes aplicables, de conformidad con lo establecido en el artículo 196 de la Ley de Transparencia y Accesoa la  Información Pública del Estado de México y Municipios.</w:t>
      </w:r>
    </w:p>
    <w:p w:rsidR="00000000" w:rsidDel="00000000" w:rsidP="00000000" w:rsidRDefault="00000000" w:rsidRPr="00000000" w14:paraId="0000012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28">
      <w:pPr>
        <w:spacing w:after="0" w:line="360" w:lineRule="auto"/>
        <w:ind w:right="49"/>
        <w:jc w:val="both"/>
        <w:rPr>
          <w:rFonts w:ascii="Palatino Linotype" w:cs="Palatino Linotype" w:eastAsia="Palatino Linotype" w:hAnsi="Palatino Linotype"/>
        </w:rPr>
      </w:pPr>
      <w:bookmarkStart w:colFirst="0" w:colLast="0" w:name="_heading=h.4w1tec30xe0q" w:id="1"/>
      <w:bookmarkEnd w:id="1"/>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ORDINARIA CELEBRADA EL SEIS DE AGOSTO DE DOS MIL VEINTICINCO, ANTE EL SECRETARIO TÉCNICO DEL PLENO ALEXIS TAPIA RAMÍREZ. </w:t>
      </w:r>
    </w:p>
    <w:p w:rsidR="00000000" w:rsidDel="00000000" w:rsidP="00000000" w:rsidRDefault="00000000" w:rsidRPr="00000000" w14:paraId="0000012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-774697</wp:posOffset>
          </wp:positionH>
          <wp:positionV relativeFrom="paragraph">
            <wp:posOffset>-345437</wp:posOffset>
          </wp:positionV>
          <wp:extent cx="7809876" cy="10165823"/>
          <wp:effectExtent b="0" l="0" r="0" t="0"/>
          <wp:wrapNone/>
          <wp:docPr id="3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1"/>
      </w:trPr>
      <w:tc>
        <w:tcPr>
          <w:vAlign w:val="center"/>
        </w:tcPr>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04779/INFOEM/IP/RR/2025</w:t>
          </w:r>
        </w:p>
      </w:tc>
    </w:tr>
    <w:tr>
      <w:trPr>
        <w:cantSplit w:val="0"/>
        <w:trHeight w:val="643" w:hRule="atLeast"/>
        <w:tblHeader w:val="0"/>
      </w:trPr>
      <w:tc>
        <w:tcPr>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Poder Legislativo</w:t>
          </w:r>
        </w:p>
      </w:tc>
    </w:tr>
    <w:tr>
      <w:trPr>
        <w:cantSplit w:val="0"/>
        <w:tblHeader w:val="0"/>
      </w:trPr>
      <w:tc>
        <w:tcPr>
          <w:vAlign w:val="center"/>
        </w:tcPr>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-761362</wp:posOffset>
          </wp:positionH>
          <wp:positionV relativeFrom="paragraph">
            <wp:posOffset>5080</wp:posOffset>
          </wp:positionV>
          <wp:extent cx="7809876" cy="10165823"/>
          <wp:effectExtent b="0" l="0" r="0" t="0"/>
          <wp:wrapNone/>
          <wp:docPr id="3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04779/INFOEM/IP/RR/2025</w:t>
          </w:r>
        </w:p>
      </w:tc>
    </w:tr>
    <w:tr>
      <w:trPr>
        <w:cantSplit w:val="0"/>
        <w:tblHeader w:val="0"/>
      </w:trPr>
      <w:tc>
        <w:tcPr>
          <w:vAlign w:val="center"/>
        </w:tcPr>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color w:val="000000"/>
            </w:rPr>
          </w:pPr>
          <w:r w:rsidDel="00000000" w:rsidR="00000000" w:rsidRPr="00000000">
            <w:rPr>
              <w:rtl w:val="0"/>
            </w:rPr>
          </w:r>
        </w:p>
      </w:tc>
    </w:tr>
    <w:tr>
      <w:trPr>
        <w:cantSplit w:val="0"/>
        <w:trHeight w:val="743" w:hRule="atLeast"/>
        <w:tblHeader w:val="0"/>
      </w:trPr>
      <w:tc>
        <w:tcPr>
          <w:vAlign w:val="center"/>
        </w:tcPr>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Poder Legislativo</w:t>
          </w:r>
        </w:p>
      </w:tc>
    </w:tr>
    <w:tr>
      <w:trPr>
        <w:cantSplit w:val="0"/>
        <w:tblHeader w:val="0"/>
      </w:trPr>
      <w:tc>
        <w:tcPr>
          <w:vAlign w:val="center"/>
        </w:tcPr>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p w:rsidR="00000000" w:rsidDel="00000000" w:rsidP="00000000" w:rsidRDefault="00000000" w:rsidRPr="00000000" w14:paraId="000001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2"/>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4"/>
      <w:numFmt w:val="upperRoman"/>
      <w:lvlText w:val="%1"/>
      <w:lvlJc w:val="left"/>
      <w:pPr>
        <w:ind w:left="532" w:hanging="360"/>
      </w:pPr>
      <w:rPr/>
    </w:lvl>
    <w:lvl w:ilvl="1">
      <w:start w:val="1"/>
      <w:numFmt w:val="decimal"/>
      <w:lvlText w:val="%1.%2."/>
      <w:lvlJc w:val="left"/>
      <w:pPr>
        <w:ind w:left="532" w:hanging="360"/>
      </w:pPr>
      <w:rPr>
        <w:rFonts w:ascii="Arial" w:cs="Arial" w:eastAsia="Arial" w:hAnsi="Arial"/>
        <w:b w:val="1"/>
        <w:i w:val="0"/>
        <w:sz w:val="16"/>
        <w:szCs w:val="16"/>
      </w:rPr>
    </w:lvl>
    <w:lvl w:ilvl="2">
      <w:start w:val="0"/>
      <w:numFmt w:val="bullet"/>
      <w:lvlText w:val="•"/>
      <w:lvlJc w:val="left"/>
      <w:pPr>
        <w:ind w:left="2616" w:hanging="360"/>
      </w:pPr>
      <w:rPr/>
    </w:lvl>
    <w:lvl w:ilvl="3">
      <w:start w:val="0"/>
      <w:numFmt w:val="bullet"/>
      <w:lvlText w:val="•"/>
      <w:lvlJc w:val="left"/>
      <w:pPr>
        <w:ind w:left="3654" w:hanging="360"/>
      </w:pPr>
      <w:rPr/>
    </w:lvl>
    <w:lvl w:ilvl="4">
      <w:start w:val="0"/>
      <w:numFmt w:val="bullet"/>
      <w:lvlText w:val="•"/>
      <w:lvlJc w:val="left"/>
      <w:pPr>
        <w:ind w:left="4692" w:hanging="360"/>
      </w:pPr>
      <w:rPr/>
    </w:lvl>
    <w:lvl w:ilvl="5">
      <w:start w:val="0"/>
      <w:numFmt w:val="bullet"/>
      <w:lvlText w:val="•"/>
      <w:lvlJc w:val="left"/>
      <w:pPr>
        <w:ind w:left="5730" w:hanging="360"/>
      </w:pPr>
      <w:rPr/>
    </w:lvl>
    <w:lvl w:ilvl="6">
      <w:start w:val="0"/>
      <w:numFmt w:val="bullet"/>
      <w:lvlText w:val="•"/>
      <w:lvlJc w:val="left"/>
      <w:pPr>
        <w:ind w:left="6768" w:hanging="360"/>
      </w:pPr>
      <w:rPr/>
    </w:lvl>
    <w:lvl w:ilvl="7">
      <w:start w:val="0"/>
      <w:numFmt w:val="bullet"/>
      <w:lvlText w:val="•"/>
      <w:lvlJc w:val="left"/>
      <w:pPr>
        <w:ind w:left="7806" w:hanging="360"/>
      </w:pPr>
      <w:rPr/>
    </w:lvl>
    <w:lvl w:ilvl="8">
      <w:start w:val="0"/>
      <w:numFmt w:val="bullet"/>
      <w:lvlText w:val="•"/>
      <w:lvlJc w:val="left"/>
      <w:pPr>
        <w:ind w:left="8844"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table" w:styleId="a" w:customStyle="1">
    <w:basedOn w:val="TableNormal2"/>
    <w:tblPr>
      <w:tblStyleRowBandSize w:val="1"/>
      <w:tblStyleColBandSize w:val="1"/>
      <w:tblCellMar>
        <w:top w:w="15.0" w:type="dxa"/>
        <w:left w:w="15.0" w:type="dxa"/>
        <w:bottom w:w="15.0" w:type="dxa"/>
        <w:right w:w="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top w:w="15.0" w:type="dxa"/>
        <w:left w:w="115.0" w:type="dxa"/>
        <w:bottom w:w="15.0" w:type="dxa"/>
        <w:right w:w="115.0" w:type="dxa"/>
      </w:tblCellMar>
    </w:tblPr>
  </w:style>
  <w:style w:type="table" w:styleId="a3" w:customStyle="1">
    <w:basedOn w:val="TableNormal2"/>
    <w:tblPr>
      <w:tblStyleRowBandSize w:val="1"/>
      <w:tblStyleColBandSize w:val="1"/>
      <w:tblCellMar>
        <w:top w:w="15.0" w:type="dxa"/>
        <w:left w:w="115.0" w:type="dxa"/>
        <w:bottom w:w="15.0" w:type="dxa"/>
        <w:right w:w="115.0" w:type="dxa"/>
      </w:tblCellMar>
    </w:tblPr>
  </w:style>
  <w:style w:type="table" w:styleId="a4" w:customStyle="1">
    <w:basedOn w:val="TableNormal2"/>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table" w:styleId="Tabladelista1clara-nfasis11" w:customStyle="1">
    <w:name w:val="Tabla de lista 1 clara - Énfasis 11"/>
    <w:basedOn w:val="Tablanormal"/>
    <w:uiPriority w:val="46"/>
    <w:rsid w:val="005A6642"/>
    <w:pPr>
      <w:spacing w:after="0" w:line="240" w:lineRule="auto"/>
    </w:pPr>
    <w:rPr>
      <w:rFonts w:ascii="Times New Roman" w:cs="Times New Roman" w:eastAsia="MS Mincho" w:hAnsi="Times New Roman"/>
      <w:sz w:val="24"/>
      <w:szCs w:val="24"/>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1"/>
    <w:tblPr>
      <w:tblStyleRowBandSize w:val="1"/>
      <w:tblStyleColBandSize w:val="1"/>
      <w:tblCellMar>
        <w:top w:w="15.0" w:type="dxa"/>
        <w:left w:w="115.0" w:type="dxa"/>
        <w:bottom w:w="15.0" w:type="dxa"/>
        <w:right w:w="115.0" w:type="dxa"/>
      </w:tblCellMar>
    </w:tblPr>
  </w:style>
  <w:style w:type="table" w:styleId="a6" w:customStyle="1">
    <w:basedOn w:val="TableNormal1"/>
    <w:tblPr>
      <w:tblStyleRowBandSize w:val="1"/>
      <w:tblStyleColBandSize w:val="1"/>
      <w:tblCellMar>
        <w:top w:w="15.0" w:type="dxa"/>
        <w:left w:w="115.0" w:type="dxa"/>
        <w:bottom w:w="15.0" w:type="dxa"/>
        <w:right w:w="115.0" w:type="dxa"/>
      </w:tblCellMar>
    </w:tblPr>
  </w:style>
  <w:style w:type="paragraph" w:styleId="Textoindependiente">
    <w:name w:val="Body Text"/>
    <w:basedOn w:val="Normal"/>
    <w:link w:val="TextoindependienteCar"/>
    <w:uiPriority w:val="1"/>
    <w:qFormat w:val="1"/>
    <w:rsid w:val="006C1AD4"/>
    <w:pPr>
      <w:widowControl w:val="0"/>
      <w:autoSpaceDE w:val="0"/>
      <w:autoSpaceDN w:val="0"/>
      <w:spacing w:after="0" w:line="240" w:lineRule="auto"/>
    </w:pPr>
    <w:rPr>
      <w:rFonts w:ascii="Arial" w:cs="Arial" w:eastAsia="Arial" w:hAnsi="Arial"/>
      <w:sz w:val="16"/>
      <w:szCs w:val="16"/>
      <w:lang w:eastAsia="en-US" w:val="es-ES"/>
    </w:rPr>
  </w:style>
  <w:style w:type="character" w:styleId="TextoindependienteCar" w:customStyle="1">
    <w:name w:val="Texto independiente Car"/>
    <w:basedOn w:val="Fuentedeprrafopredeter"/>
    <w:link w:val="Textoindependiente"/>
    <w:uiPriority w:val="1"/>
    <w:rsid w:val="006C1AD4"/>
    <w:rPr>
      <w:rFonts w:ascii="Arial" w:cs="Arial" w:eastAsia="Arial" w:hAnsi="Arial"/>
      <w:sz w:val="16"/>
      <w:szCs w:val="16"/>
      <w:lang w:eastAsia="en-US" w:val="es-ES"/>
    </w:rPr>
  </w:style>
  <w:style w:type="table" w:styleId="a7" w:customStyle="1">
    <w:basedOn w:val="TableNormal0"/>
    <w:tblPr>
      <w:tblStyleRowBandSize w:val="1"/>
      <w:tblStyleColBandSize w:val="1"/>
      <w:tblCellMar>
        <w:top w:w="15.0" w:type="dxa"/>
        <w:left w:w="115.0" w:type="dxa"/>
        <w:bottom w:w="15.0" w:type="dxa"/>
        <w:right w:w="115.0" w:type="dxa"/>
      </w:tblCellMar>
    </w:tblPr>
  </w:style>
  <w:style w:type="table" w:styleId="a8"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HlnJZgv16BD9VMw7O9hSbYH0A==">CgMxLjAyCWguMzBqMHpsbDIOaC40dzF0ZWMzMHhlMHE4AHIhMW95d2Y0LTQ2cy05b0ZVbkJNeTU0eGRtSnF1dUdnU0Fn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2025-09-03T01:50:00Z</dcterms:created>
  <dc:creator>Cuenta Microsoft</dc:creator>
</cp:coreProperties>
</file>