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007" w:rsidRPr="000C3DA4" w:rsidRDefault="00B27C6D" w:rsidP="00B3314D">
      <w:pPr>
        <w:spacing w:line="360" w:lineRule="auto"/>
        <w:ind w:right="49"/>
        <w:jc w:val="both"/>
        <w:rPr>
          <w:rFonts w:ascii="Palatino Linotype" w:eastAsia="Palatino Linotype" w:hAnsi="Palatino Linotype" w:cs="Palatino Linotype"/>
          <w:color w:val="000000"/>
        </w:rPr>
      </w:pPr>
      <w:bookmarkStart w:id="0" w:name="_heading=h.vysht5avg5g1" w:colFirst="0" w:colLast="0"/>
      <w:bookmarkEnd w:id="0"/>
      <w:r w:rsidRPr="000C3DA4">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fecha </w:t>
      </w:r>
      <w:r w:rsidR="008C24EC" w:rsidRPr="000C3DA4">
        <w:rPr>
          <w:rFonts w:ascii="Palatino Linotype" w:eastAsia="Palatino Linotype" w:hAnsi="Palatino Linotype" w:cs="Palatino Linotype"/>
          <w:color w:val="000000"/>
        </w:rPr>
        <w:t xml:space="preserve">veintitrés </w:t>
      </w:r>
      <w:r w:rsidRPr="000C3DA4">
        <w:rPr>
          <w:rFonts w:ascii="Palatino Linotype" w:eastAsia="Palatino Linotype" w:hAnsi="Palatino Linotype" w:cs="Palatino Linotype"/>
        </w:rPr>
        <w:t>de abril de dos mil veinticinco</w:t>
      </w:r>
      <w:r w:rsidRPr="000C3DA4">
        <w:rPr>
          <w:rFonts w:ascii="Palatino Linotype" w:eastAsia="Palatino Linotype" w:hAnsi="Palatino Linotype" w:cs="Palatino Linotype"/>
          <w:color w:val="000000"/>
        </w:rPr>
        <w:t>.</w:t>
      </w:r>
    </w:p>
    <w:p w:rsidR="00DE4007" w:rsidRPr="000C3DA4" w:rsidRDefault="00DE4007" w:rsidP="00B3314D">
      <w:pPr>
        <w:spacing w:line="360" w:lineRule="auto"/>
        <w:ind w:right="49"/>
        <w:jc w:val="both"/>
        <w:rPr>
          <w:rFonts w:ascii="Palatino Linotype" w:eastAsia="Palatino Linotype" w:hAnsi="Palatino Linotype" w:cs="Palatino Linotype"/>
          <w:color w:val="000000"/>
        </w:rPr>
      </w:pPr>
    </w:p>
    <w:p w:rsidR="00DE4007" w:rsidRPr="000C3DA4" w:rsidRDefault="00B27C6D" w:rsidP="00B3314D">
      <w:pPr>
        <w:spacing w:line="360" w:lineRule="auto"/>
        <w:ind w:right="49"/>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b/>
          <w:color w:val="000000"/>
        </w:rPr>
        <w:t>VISTO</w:t>
      </w:r>
      <w:r w:rsidRPr="000C3DA4">
        <w:rPr>
          <w:rFonts w:ascii="Palatino Linotype" w:eastAsia="Palatino Linotype" w:hAnsi="Palatino Linotype" w:cs="Palatino Linotype"/>
          <w:color w:val="000000"/>
        </w:rPr>
        <w:t xml:space="preserve"> el expediente electrónico formado con motivo del Recurso de Revisión </w:t>
      </w:r>
      <w:r w:rsidRPr="000C3DA4">
        <w:rPr>
          <w:rFonts w:ascii="Palatino Linotype" w:eastAsia="Palatino Linotype" w:hAnsi="Palatino Linotype" w:cs="Palatino Linotype"/>
          <w:b/>
          <w:color w:val="000000"/>
        </w:rPr>
        <w:t>02493/INFOEM/IP/RR/2025</w:t>
      </w:r>
      <w:r w:rsidRPr="000C3DA4">
        <w:rPr>
          <w:rFonts w:ascii="Palatino Linotype" w:eastAsia="Palatino Linotype" w:hAnsi="Palatino Linotype" w:cs="Palatino Linotype"/>
          <w:color w:val="000000"/>
        </w:rPr>
        <w:t>, promovido por</w:t>
      </w:r>
      <w:r w:rsidRPr="000C3DA4">
        <w:rPr>
          <w:rFonts w:ascii="Palatino Linotype" w:eastAsia="Palatino Linotype" w:hAnsi="Palatino Linotype" w:cs="Palatino Linotype"/>
          <w:b/>
          <w:color w:val="000000"/>
        </w:rPr>
        <w:t xml:space="preserve"> </w:t>
      </w:r>
      <w:r w:rsidR="00302097">
        <w:rPr>
          <w:rFonts w:ascii="Palatino Linotype" w:eastAsia="Palatino Linotype" w:hAnsi="Palatino Linotype" w:cs="Palatino Linotype"/>
          <w:b/>
          <w:i/>
        </w:rPr>
        <w:t>XXXX,</w:t>
      </w:r>
      <w:r w:rsidRPr="000C3DA4">
        <w:rPr>
          <w:rFonts w:ascii="Palatino Linotype" w:eastAsia="Palatino Linotype" w:hAnsi="Palatino Linotype" w:cs="Palatino Linotype"/>
          <w:color w:val="000000"/>
        </w:rPr>
        <w:t xml:space="preserve"> a quien en lo sucesivo se le identificará como </w:t>
      </w:r>
      <w:r w:rsidRPr="000C3DA4">
        <w:rPr>
          <w:rFonts w:ascii="Palatino Linotype" w:eastAsia="Palatino Linotype" w:hAnsi="Palatino Linotype" w:cs="Palatino Linotype"/>
          <w:b/>
          <w:color w:val="000000"/>
        </w:rPr>
        <w:t>EL RECURRENTE</w:t>
      </w:r>
      <w:r w:rsidRPr="000C3DA4">
        <w:rPr>
          <w:rFonts w:ascii="Palatino Linotype" w:eastAsia="Palatino Linotype" w:hAnsi="Palatino Linotype" w:cs="Palatino Linotype"/>
        </w:rPr>
        <w:t>,</w:t>
      </w:r>
      <w:r w:rsidRPr="000C3DA4">
        <w:rPr>
          <w:rFonts w:ascii="Palatino Linotype" w:eastAsia="Palatino Linotype" w:hAnsi="Palatino Linotype" w:cs="Palatino Linotype"/>
          <w:color w:val="000000"/>
        </w:rPr>
        <w:t xml:space="preserve"> en contra de la respuesta del </w:t>
      </w:r>
      <w:r w:rsidRPr="000C3DA4">
        <w:rPr>
          <w:rFonts w:ascii="Palatino Linotype" w:eastAsia="Palatino Linotype" w:hAnsi="Palatino Linotype" w:cs="Palatino Linotype"/>
          <w:b/>
          <w:color w:val="000000"/>
        </w:rPr>
        <w:t>Poder Judicial</w:t>
      </w:r>
      <w:r w:rsidRPr="000C3DA4">
        <w:rPr>
          <w:rFonts w:ascii="Palatino Linotype" w:eastAsia="Palatino Linotype" w:hAnsi="Palatino Linotype" w:cs="Palatino Linotype"/>
          <w:color w:val="000000"/>
        </w:rPr>
        <w:t>, en adelante el</w:t>
      </w:r>
      <w:r w:rsidRPr="000C3DA4">
        <w:rPr>
          <w:rFonts w:ascii="Palatino Linotype" w:eastAsia="Palatino Linotype" w:hAnsi="Palatino Linotype" w:cs="Palatino Linotype"/>
          <w:b/>
          <w:color w:val="000000"/>
        </w:rPr>
        <w:t xml:space="preserve"> SUJETO OBLIGADO</w:t>
      </w:r>
      <w:r w:rsidRPr="000C3DA4">
        <w:rPr>
          <w:rFonts w:ascii="Palatino Linotype" w:eastAsia="Palatino Linotype" w:hAnsi="Palatino Linotype" w:cs="Palatino Linotype"/>
          <w:color w:val="000000"/>
        </w:rPr>
        <w:t>,</w:t>
      </w:r>
      <w:r w:rsidRPr="000C3DA4">
        <w:rPr>
          <w:rFonts w:ascii="Palatino Linotype" w:eastAsia="Palatino Linotype" w:hAnsi="Palatino Linotype" w:cs="Palatino Linotype"/>
          <w:b/>
          <w:color w:val="000000"/>
        </w:rPr>
        <w:t xml:space="preserve"> </w:t>
      </w:r>
      <w:r w:rsidRPr="000C3DA4">
        <w:rPr>
          <w:rFonts w:ascii="Palatino Linotype" w:eastAsia="Palatino Linotype" w:hAnsi="Palatino Linotype" w:cs="Palatino Linotype"/>
          <w:color w:val="000000"/>
        </w:rPr>
        <w:t>se procede a dictar la presente Resolución, con base en los siguientes:</w:t>
      </w:r>
      <w:bookmarkStart w:id="1" w:name="_GoBack"/>
      <w:bookmarkEnd w:id="1"/>
    </w:p>
    <w:p w:rsidR="00DE4007" w:rsidRPr="000C3DA4" w:rsidRDefault="00DE4007" w:rsidP="00B3314D">
      <w:pPr>
        <w:spacing w:line="360" w:lineRule="auto"/>
        <w:ind w:right="49"/>
        <w:jc w:val="both"/>
        <w:rPr>
          <w:rFonts w:ascii="Palatino Linotype" w:eastAsia="Palatino Linotype" w:hAnsi="Palatino Linotype" w:cs="Palatino Linotype"/>
          <w:color w:val="000000"/>
        </w:rPr>
      </w:pPr>
    </w:p>
    <w:p w:rsidR="00DE4007" w:rsidRPr="000C3DA4" w:rsidRDefault="00B27C6D" w:rsidP="00B3314D">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0C3DA4">
        <w:rPr>
          <w:rFonts w:ascii="Palatino Linotype" w:eastAsia="Palatino Linotype" w:hAnsi="Palatino Linotype" w:cs="Palatino Linotype"/>
          <w:b/>
          <w:color w:val="000000"/>
        </w:rPr>
        <w:t>A N T E C E D E N T E S</w:t>
      </w:r>
    </w:p>
    <w:p w:rsidR="00DE4007" w:rsidRPr="000C3DA4" w:rsidRDefault="00DE4007" w:rsidP="00B3314D">
      <w:pPr>
        <w:spacing w:line="360" w:lineRule="auto"/>
        <w:ind w:right="49"/>
        <w:jc w:val="both"/>
        <w:rPr>
          <w:rFonts w:ascii="Palatino Linotype" w:eastAsia="Palatino Linotype" w:hAnsi="Palatino Linotype" w:cs="Palatino Linotype"/>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 xml:space="preserve">El treinta y uno de enero de dos mil veinticuatro, </w:t>
      </w:r>
      <w:r w:rsidRPr="000C3DA4">
        <w:rPr>
          <w:rFonts w:ascii="Palatino Linotype" w:eastAsia="Palatino Linotype" w:hAnsi="Palatino Linotype" w:cs="Palatino Linotype"/>
          <w:b/>
          <w:color w:val="000000"/>
        </w:rPr>
        <w:t>EL RECURRENTE</w:t>
      </w:r>
      <w:r w:rsidRPr="000C3DA4">
        <w:rPr>
          <w:rFonts w:ascii="Palatino Linotype" w:eastAsia="Palatino Linotype" w:hAnsi="Palatino Linotype" w:cs="Palatino Linotype"/>
          <w:color w:val="000000"/>
        </w:rPr>
        <w:t xml:space="preserve"> presentó, ante el </w:t>
      </w:r>
      <w:r w:rsidRPr="000C3DA4">
        <w:rPr>
          <w:rFonts w:ascii="Palatino Linotype" w:eastAsia="Palatino Linotype" w:hAnsi="Palatino Linotype" w:cs="Palatino Linotype"/>
          <w:b/>
          <w:color w:val="000000"/>
        </w:rPr>
        <w:t>SUJETO OBLIGADO</w:t>
      </w:r>
      <w:r w:rsidRPr="000C3DA4">
        <w:rPr>
          <w:rFonts w:ascii="Palatino Linotype" w:eastAsia="Palatino Linotype" w:hAnsi="Palatino Linotype" w:cs="Palatino Linotype"/>
          <w:color w:val="000000"/>
        </w:rPr>
        <w:t xml:space="preserve"> vía Sistema de Acceso a la Información Mexiquense (SAIMEX), la Solicitud de Información Pública registrada con el número </w:t>
      </w:r>
      <w:r w:rsidRPr="000C3DA4">
        <w:rPr>
          <w:rFonts w:ascii="Palatino Linotype" w:eastAsia="Palatino Linotype" w:hAnsi="Palatino Linotype" w:cs="Palatino Linotype"/>
          <w:b/>
          <w:color w:val="000000"/>
        </w:rPr>
        <w:t xml:space="preserve">00114/PJUDICI/IP/2025, </w:t>
      </w:r>
      <w:r w:rsidRPr="000C3DA4">
        <w:rPr>
          <w:rFonts w:ascii="Palatino Linotype" w:eastAsia="Palatino Linotype" w:hAnsi="Palatino Linotype" w:cs="Palatino Linotype"/>
        </w:rPr>
        <w:t xml:space="preserve">en la que se </w:t>
      </w:r>
      <w:r w:rsidRPr="000C3DA4">
        <w:rPr>
          <w:rFonts w:ascii="Palatino Linotype" w:eastAsia="Palatino Linotype" w:hAnsi="Palatino Linotype" w:cs="Palatino Linotype"/>
          <w:color w:val="000000"/>
        </w:rPr>
        <w:t>solicitó lo siguiente:</w:t>
      </w:r>
      <w:r w:rsidRPr="000C3DA4">
        <w:rPr>
          <w:rFonts w:ascii="Palatino Linotype" w:eastAsia="Palatino Linotype" w:hAnsi="Palatino Linotype" w:cs="Palatino Linotype"/>
          <w:b/>
          <w:color w:val="000000"/>
        </w:rPr>
        <w:t xml:space="preserve"> </w:t>
      </w:r>
    </w:p>
    <w:p w:rsidR="00DE4007" w:rsidRPr="000C3DA4" w:rsidRDefault="00DE4007" w:rsidP="00E5793C">
      <w:pPr>
        <w:spacing w:line="360" w:lineRule="auto"/>
        <w:ind w:left="426" w:right="49"/>
        <w:jc w:val="both"/>
        <w:rPr>
          <w:rFonts w:ascii="Palatino Linotype" w:eastAsia="Palatino Linotype" w:hAnsi="Palatino Linotype" w:cs="Palatino Linotype"/>
          <w:color w:val="000000"/>
        </w:rPr>
      </w:pPr>
    </w:p>
    <w:p w:rsidR="00DE4007" w:rsidRPr="000C3DA4" w:rsidRDefault="00B27C6D" w:rsidP="00B3314D">
      <w:pPr>
        <w:spacing w:line="360" w:lineRule="auto"/>
        <w:ind w:left="426"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 xml:space="preserve">“Solicito la versión </w:t>
      </w:r>
      <w:r w:rsidRPr="000C3DA4">
        <w:rPr>
          <w:rFonts w:ascii="Palatino Linotype" w:eastAsia="Palatino Linotype" w:hAnsi="Palatino Linotype" w:cs="Palatino Linotype"/>
          <w:i/>
        </w:rPr>
        <w:t>pública</w:t>
      </w:r>
      <w:r w:rsidRPr="000C3DA4">
        <w:rPr>
          <w:rFonts w:ascii="Palatino Linotype" w:eastAsia="Palatino Linotype" w:hAnsi="Palatino Linotype" w:cs="Palatino Linotype"/>
          <w:i/>
          <w:color w:val="000000"/>
        </w:rPr>
        <w:t xml:space="preserve"> de la sentencia 194/2008, radicada en el juzgado sexto de Tlalnepantla con residencia en Atizapán de Zaragoza”</w:t>
      </w:r>
    </w:p>
    <w:p w:rsidR="00DE4007" w:rsidRPr="000C3DA4" w:rsidRDefault="00DE4007" w:rsidP="00B3314D">
      <w:pPr>
        <w:spacing w:line="360" w:lineRule="auto"/>
        <w:ind w:left="426" w:right="333"/>
        <w:jc w:val="both"/>
        <w:rPr>
          <w:rFonts w:ascii="Palatino Linotype" w:eastAsia="Palatino Linotype" w:hAnsi="Palatino Linotype" w:cs="Palatino Linotype"/>
          <w:i/>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 xml:space="preserve">Señaló como modalidad de entrega de la información a través </w:t>
      </w:r>
      <w:r w:rsidRPr="000C3DA4">
        <w:rPr>
          <w:rFonts w:ascii="Palatino Linotype" w:eastAsia="Palatino Linotype" w:hAnsi="Palatino Linotype" w:cs="Palatino Linotype"/>
        </w:rPr>
        <w:t xml:space="preserve">del </w:t>
      </w:r>
      <w:r w:rsidRPr="000C3DA4">
        <w:rPr>
          <w:rFonts w:ascii="Palatino Linotype" w:eastAsia="Palatino Linotype" w:hAnsi="Palatino Linotype" w:cs="Palatino Linotype"/>
          <w:b/>
        </w:rPr>
        <w:t>SAIMEX</w:t>
      </w:r>
      <w:r w:rsidRPr="000C3DA4">
        <w:rPr>
          <w:rFonts w:ascii="Palatino Linotype" w:eastAsia="Palatino Linotype" w:hAnsi="Palatino Linotype" w:cs="Palatino Linotype"/>
          <w:color w:val="000000"/>
        </w:rPr>
        <w:t>.</w:t>
      </w:r>
    </w:p>
    <w:p w:rsidR="00DE4007" w:rsidRPr="000C3DA4" w:rsidRDefault="00DE4007" w:rsidP="00B3314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 xml:space="preserve">El seis de febrero de dos mil veinticinco, el </w:t>
      </w:r>
      <w:r w:rsidRPr="000C3DA4">
        <w:rPr>
          <w:rFonts w:ascii="Palatino Linotype" w:eastAsia="Palatino Linotype" w:hAnsi="Palatino Linotype" w:cs="Palatino Linotype"/>
          <w:b/>
          <w:color w:val="000000"/>
        </w:rPr>
        <w:t>SUJETO OBLIGADO</w:t>
      </w:r>
      <w:r w:rsidRPr="000C3DA4">
        <w:rPr>
          <w:rFonts w:ascii="Palatino Linotype" w:eastAsia="Palatino Linotype" w:hAnsi="Palatino Linotype" w:cs="Palatino Linotype"/>
          <w:color w:val="000000"/>
        </w:rPr>
        <w:t xml:space="preserve"> solicitó una aclaración en los siguientes términos:</w:t>
      </w:r>
    </w:p>
    <w:p w:rsidR="00DE4007" w:rsidRPr="000C3DA4" w:rsidRDefault="00DE4007" w:rsidP="00B3314D">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DE4007" w:rsidRPr="000C3DA4" w:rsidRDefault="00B27C6D" w:rsidP="00B3314D">
      <w:pPr>
        <w:pBdr>
          <w:top w:val="nil"/>
          <w:left w:val="nil"/>
          <w:bottom w:val="nil"/>
          <w:right w:val="nil"/>
          <w:between w:val="nil"/>
        </w:pBdr>
        <w:spacing w:line="360" w:lineRule="auto"/>
        <w:ind w:left="284"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“APRECIABLE SOLICITANTE: Visto el contenido de su solicitud de información y a fin de dar atención a su derecho de acceso a la información pública, se le requiere que dentro del plazo de 10 (diez) días hábiles contados a partir del día siguiente de la presente notificación, proporcione mayores datos que permitan atender puntualmente su solicitud y manifieste con mayor claridad el juzgado de radicación y materia, toda vez que, de la lectura de la descripción clara de la información, el cual es Sin más por el momento reciba un cordial saludo.</w:t>
      </w:r>
    </w:p>
    <w:p w:rsidR="00DE4007" w:rsidRPr="000C3DA4" w:rsidRDefault="00B27C6D" w:rsidP="00B3314D">
      <w:pPr>
        <w:pBdr>
          <w:top w:val="nil"/>
          <w:left w:val="nil"/>
          <w:bottom w:val="nil"/>
          <w:right w:val="nil"/>
          <w:between w:val="nil"/>
        </w:pBdr>
        <w:spacing w:line="360" w:lineRule="auto"/>
        <w:ind w:left="284"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DE4007" w:rsidRPr="000C3DA4" w:rsidRDefault="00DE4007" w:rsidP="00B3314D">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El siete de febrero de dos mil veinticinco, el solicitante, atendió la aclaración de la siguiente manera</w:t>
      </w:r>
    </w:p>
    <w:p w:rsidR="00DE4007" w:rsidRPr="000C3DA4" w:rsidRDefault="00B27C6D" w:rsidP="00B3314D">
      <w:pPr>
        <w:pBdr>
          <w:top w:val="nil"/>
          <w:left w:val="nil"/>
          <w:bottom w:val="nil"/>
          <w:right w:val="nil"/>
          <w:between w:val="nil"/>
        </w:pBdr>
        <w:spacing w:line="360" w:lineRule="auto"/>
        <w:ind w:left="284"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“Sentencia en versión publica 194/2008 JUZGADO SEXTO FAMILIAR DEL DISTRITO JUDICIAL DE TLALNEPANTLA CON RESIDENCIA EN ATIZAPÁN DE ZARAGOZA”</w:t>
      </w:r>
    </w:p>
    <w:p w:rsidR="00DE4007" w:rsidRPr="000C3DA4" w:rsidRDefault="00DE4007" w:rsidP="00B3314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lastRenderedPageBreak/>
        <w:t xml:space="preserve">El </w:t>
      </w:r>
      <w:r w:rsidRPr="000C3DA4">
        <w:rPr>
          <w:rFonts w:ascii="Palatino Linotype" w:eastAsia="Palatino Linotype" w:hAnsi="Palatino Linotype" w:cs="Palatino Linotype"/>
          <w:b/>
          <w:color w:val="000000"/>
        </w:rPr>
        <w:t>SUJETO OBLIGADO</w:t>
      </w:r>
      <w:r w:rsidRPr="000C3DA4">
        <w:rPr>
          <w:rFonts w:ascii="Palatino Linotype" w:eastAsia="Palatino Linotype" w:hAnsi="Palatino Linotype" w:cs="Palatino Linotype"/>
          <w:color w:val="000000"/>
        </w:rPr>
        <w:t>, en fecha veintiocho de febrero de dos mil veinticinco solicitó una prórroga para atender la solicitud de información al tenor de los siguientes argumentos:</w:t>
      </w:r>
    </w:p>
    <w:p w:rsidR="00DE4007" w:rsidRPr="000C3DA4" w:rsidRDefault="00B27C6D" w:rsidP="00B3314D">
      <w:pPr>
        <w:pBdr>
          <w:top w:val="nil"/>
          <w:left w:val="nil"/>
          <w:bottom w:val="nil"/>
          <w:right w:val="nil"/>
          <w:between w:val="nil"/>
        </w:pBdr>
        <w:spacing w:line="360" w:lineRule="auto"/>
        <w:ind w:left="567" w:right="474"/>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“Se hace de su conocimiento que el Comité de Transparencia, Acceso a la Información Pública y Protección de Datos Personales del Poder Judicial del Estado de México mediante Sesión Extraordinaria 02/2025 tuvo a bien aprobar la ampliación de plazo de la solicitud 00114/PJUDICI/IP/2025, para continuar con la búsqueda exhaustiva y razonable de la información en términos del artículo 163 de la Ley de Transparencia y Acceso a la Información Pública del Estado de México y Municipios.”</w:t>
      </w:r>
    </w:p>
    <w:p w:rsidR="00DE4007" w:rsidRPr="000C3DA4" w:rsidRDefault="00DE4007" w:rsidP="00B3314D">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 xml:space="preserve">En fecha cinco de marzo del año en curso, el </w:t>
      </w:r>
      <w:r w:rsidRPr="000C3DA4">
        <w:rPr>
          <w:rFonts w:ascii="Palatino Linotype" w:eastAsia="Palatino Linotype" w:hAnsi="Palatino Linotype" w:cs="Palatino Linotype"/>
          <w:b/>
          <w:color w:val="000000"/>
        </w:rPr>
        <w:t>SUJETO OBLIGADO</w:t>
      </w:r>
      <w:r w:rsidRPr="000C3DA4">
        <w:rPr>
          <w:rFonts w:ascii="Palatino Linotype" w:eastAsia="Palatino Linotype" w:hAnsi="Palatino Linotype" w:cs="Palatino Linotype"/>
          <w:color w:val="000000"/>
        </w:rPr>
        <w:t xml:space="preserve"> emitió la siguiente respuesta:</w:t>
      </w:r>
    </w:p>
    <w:p w:rsidR="00DE4007" w:rsidRPr="000C3DA4" w:rsidRDefault="00B27C6D" w:rsidP="00B3314D">
      <w:pPr>
        <w:pBdr>
          <w:top w:val="nil"/>
          <w:left w:val="nil"/>
          <w:bottom w:val="nil"/>
          <w:right w:val="nil"/>
          <w:between w:val="nil"/>
        </w:pBdr>
        <w:spacing w:line="360" w:lineRule="auto"/>
        <w:ind w:left="426"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w:t>
      </w:r>
    </w:p>
    <w:p w:rsidR="00DE4007" w:rsidRPr="000C3DA4" w:rsidRDefault="00B27C6D" w:rsidP="00B3314D">
      <w:pPr>
        <w:pBdr>
          <w:top w:val="nil"/>
          <w:left w:val="nil"/>
          <w:bottom w:val="nil"/>
          <w:right w:val="nil"/>
          <w:between w:val="nil"/>
        </w:pBdr>
        <w:spacing w:line="360" w:lineRule="auto"/>
        <w:ind w:left="426"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Al respecto, se informa:</w:t>
      </w:r>
    </w:p>
    <w:p w:rsidR="00DE4007" w:rsidRPr="000C3DA4" w:rsidRDefault="00B27C6D" w:rsidP="00B3314D">
      <w:pPr>
        <w:pBdr>
          <w:top w:val="nil"/>
          <w:left w:val="nil"/>
          <w:bottom w:val="nil"/>
          <w:right w:val="nil"/>
          <w:between w:val="nil"/>
        </w:pBdr>
        <w:spacing w:line="360" w:lineRule="auto"/>
        <w:ind w:left="426"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Con fundamento en los artículos 12 segundo párrafo, 53 fracciones II, IV, V y VI y 163 de la Ley de Transparencia y Acceso a la Información Pública del Estado de México y Municipios, acorde a lo rendido por el Dr. en D. Alejandro Peña Mendoza</w:t>
      </w:r>
    </w:p>
    <w:p w:rsidR="00DE4007" w:rsidRPr="000C3DA4" w:rsidRDefault="00B27C6D" w:rsidP="00B3314D">
      <w:pPr>
        <w:pBdr>
          <w:top w:val="nil"/>
          <w:left w:val="nil"/>
          <w:bottom w:val="nil"/>
          <w:right w:val="nil"/>
          <w:between w:val="nil"/>
        </w:pBdr>
        <w:spacing w:line="360" w:lineRule="auto"/>
        <w:ind w:left="426"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 xml:space="preserve">Juez Supernumerario adscrito </w:t>
      </w:r>
      <w:r w:rsidR="00ED7DA9" w:rsidRPr="000C3DA4">
        <w:rPr>
          <w:rFonts w:ascii="Palatino Linotype" w:eastAsia="Palatino Linotype" w:hAnsi="Palatino Linotype" w:cs="Palatino Linotype"/>
          <w:i/>
          <w:color w:val="000000"/>
        </w:rPr>
        <w:t>al</w:t>
      </w:r>
      <w:r w:rsidRPr="000C3DA4">
        <w:rPr>
          <w:rFonts w:ascii="Palatino Linotype" w:eastAsia="Palatino Linotype" w:hAnsi="Palatino Linotype" w:cs="Palatino Linotype"/>
          <w:i/>
          <w:color w:val="000000"/>
        </w:rPr>
        <w:t xml:space="preserve"> Juzgado Sexto Familiar de Tlalnepantla con residencia en Atizapán de Zaragoza, México, en los términos siguientes:</w:t>
      </w:r>
    </w:p>
    <w:p w:rsidR="00DE4007" w:rsidRPr="000C3DA4" w:rsidRDefault="00B27C6D" w:rsidP="00B3314D">
      <w:pPr>
        <w:pBdr>
          <w:top w:val="nil"/>
          <w:left w:val="nil"/>
          <w:bottom w:val="nil"/>
          <w:right w:val="nil"/>
          <w:between w:val="nil"/>
        </w:pBdr>
        <w:spacing w:line="360" w:lineRule="auto"/>
        <w:ind w:left="426"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 Se proporciona versión pública de sentencia interlocutoria 194/2008 del veintiuno (21) de marzo de dos mil veinticuatro (2024) del índice de este órgano de instancia.</w:t>
      </w:r>
    </w:p>
    <w:p w:rsidR="00DE4007" w:rsidRPr="000C3DA4" w:rsidRDefault="00B27C6D" w:rsidP="00B3314D">
      <w:pPr>
        <w:pBdr>
          <w:top w:val="nil"/>
          <w:left w:val="nil"/>
          <w:bottom w:val="nil"/>
          <w:right w:val="nil"/>
          <w:between w:val="nil"/>
        </w:pBdr>
        <w:spacing w:line="360" w:lineRule="auto"/>
        <w:ind w:left="426"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lastRenderedPageBreak/>
        <w:t>La cual puede consultar en el siguiente link https://cloud2.pjedomex.gob.mx/index.php/s/88DCkOuC2zxkDIl</w:t>
      </w:r>
    </w:p>
    <w:p w:rsidR="00DE4007" w:rsidRPr="000C3DA4" w:rsidRDefault="00B27C6D" w:rsidP="00B3314D">
      <w:pPr>
        <w:pBdr>
          <w:top w:val="nil"/>
          <w:left w:val="nil"/>
          <w:bottom w:val="nil"/>
          <w:right w:val="nil"/>
          <w:between w:val="nil"/>
        </w:pBdr>
        <w:spacing w:line="360" w:lineRule="auto"/>
        <w:ind w:left="426"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Contraseña Pj1234567</w:t>
      </w:r>
    </w:p>
    <w:p w:rsidR="00DE4007" w:rsidRPr="000C3DA4" w:rsidRDefault="00B27C6D" w:rsidP="00B3314D">
      <w:pPr>
        <w:pBdr>
          <w:top w:val="nil"/>
          <w:left w:val="nil"/>
          <w:bottom w:val="nil"/>
          <w:right w:val="nil"/>
          <w:between w:val="nil"/>
        </w:pBdr>
        <w:spacing w:line="360" w:lineRule="auto"/>
        <w:ind w:left="426"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Finalmente es preciso mencionar que, los datos personales contenidos en la sentencia del órgano jurisdiccional antes mencionado fueron clasificados como confidenciales, ya que el Poder Judicial como Sujeto Obligado debe asegurar la protección de los datos personales en su posesión en los términos de la Ley de Protección de Datos Personales en Posesión de Sujetos Obligados del Estado de México y Municipios, razón por la cual los expedientes judiciales en materia familiar forman parte del sistema de datos personales denominado Sistema de Expediente Electrónico, sistema del cual por su naturaleza y de conformidad con lo establecido en la legislación en cita, el Comité de Transparencia en las sesiones ordinarias 09/2020 y 03/2021, clasificó como información confidencial los datos personales que obran en estos. Se pone a su disposición para mayor detalle, el Aviso de Privacidad respectivo que puede consultar en la siguiente liga https://www.pjedomex.gob.mx/transparencia/21_lista_de_avisos_de_privacidad</w:t>
      </w:r>
    </w:p>
    <w:p w:rsidR="00DE4007" w:rsidRPr="000C3DA4" w:rsidRDefault="00B27C6D" w:rsidP="00B3314D">
      <w:pPr>
        <w:pBdr>
          <w:top w:val="nil"/>
          <w:left w:val="nil"/>
          <w:bottom w:val="nil"/>
          <w:right w:val="nil"/>
          <w:between w:val="nil"/>
        </w:pBdr>
        <w:spacing w:line="360" w:lineRule="auto"/>
        <w:ind w:left="426"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w:t>
      </w:r>
    </w:p>
    <w:p w:rsidR="00DE4007" w:rsidRPr="000C3DA4" w:rsidRDefault="00DE4007" w:rsidP="00B3314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 xml:space="preserve">Inconforme con la respuesta, el cinco de marzo del año en curso, el ahora </w:t>
      </w:r>
      <w:r w:rsidRPr="000C3DA4">
        <w:rPr>
          <w:rFonts w:ascii="Palatino Linotype" w:eastAsia="Palatino Linotype" w:hAnsi="Palatino Linotype" w:cs="Palatino Linotype"/>
          <w:b/>
          <w:color w:val="000000"/>
        </w:rPr>
        <w:t>RECURRENTE</w:t>
      </w:r>
      <w:r w:rsidRPr="000C3DA4">
        <w:rPr>
          <w:rFonts w:ascii="Palatino Linotype" w:eastAsia="Palatino Linotype" w:hAnsi="Palatino Linotype" w:cs="Palatino Linotype"/>
          <w:color w:val="000000"/>
        </w:rPr>
        <w:t xml:space="preserve"> interpuso recurso de revisión, inconformándose de lo siguiente: </w:t>
      </w:r>
    </w:p>
    <w:p w:rsidR="00DE4007" w:rsidRPr="000C3DA4" w:rsidRDefault="00DE4007" w:rsidP="00B3314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E4007" w:rsidRPr="000C3DA4" w:rsidRDefault="00B27C6D" w:rsidP="00B3314D">
      <w:pPr>
        <w:pBdr>
          <w:top w:val="nil"/>
          <w:left w:val="nil"/>
          <w:bottom w:val="nil"/>
          <w:right w:val="nil"/>
          <w:between w:val="nil"/>
        </w:pBdr>
        <w:spacing w:line="360" w:lineRule="auto"/>
        <w:ind w:left="284" w:right="333"/>
        <w:jc w:val="both"/>
        <w:rPr>
          <w:rFonts w:ascii="Palatino Linotype" w:eastAsia="Palatino Linotype" w:hAnsi="Palatino Linotype" w:cs="Palatino Linotype"/>
          <w:b/>
          <w:color w:val="000000"/>
        </w:rPr>
      </w:pPr>
      <w:r w:rsidRPr="000C3DA4">
        <w:rPr>
          <w:rFonts w:ascii="Palatino Linotype" w:eastAsia="Palatino Linotype" w:hAnsi="Palatino Linotype" w:cs="Palatino Linotype"/>
          <w:b/>
          <w:color w:val="000000"/>
        </w:rPr>
        <w:t>ACTO IMPUGNADO</w:t>
      </w:r>
      <w:r w:rsidRPr="000C3DA4">
        <w:rPr>
          <w:rFonts w:ascii="Palatino Linotype" w:eastAsia="Palatino Linotype" w:hAnsi="Palatino Linotype" w:cs="Palatino Linotype"/>
          <w:b/>
          <w:color w:val="000000"/>
        </w:rPr>
        <w:tab/>
      </w:r>
    </w:p>
    <w:p w:rsidR="00DE4007" w:rsidRPr="000C3DA4" w:rsidRDefault="00B27C6D" w:rsidP="00B3314D">
      <w:pPr>
        <w:pBdr>
          <w:top w:val="nil"/>
          <w:left w:val="nil"/>
          <w:bottom w:val="nil"/>
          <w:right w:val="nil"/>
          <w:between w:val="nil"/>
        </w:pBdr>
        <w:spacing w:line="360" w:lineRule="auto"/>
        <w:ind w:left="284"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“Entrega de información incompleta e incorrecta”</w:t>
      </w:r>
    </w:p>
    <w:p w:rsidR="00DE4007" w:rsidRPr="000C3DA4" w:rsidRDefault="00B27C6D" w:rsidP="00B3314D">
      <w:pPr>
        <w:pBdr>
          <w:top w:val="nil"/>
          <w:left w:val="nil"/>
          <w:bottom w:val="nil"/>
          <w:right w:val="nil"/>
          <w:between w:val="nil"/>
        </w:pBdr>
        <w:spacing w:line="360" w:lineRule="auto"/>
        <w:ind w:left="284" w:right="333"/>
        <w:jc w:val="both"/>
        <w:rPr>
          <w:rFonts w:ascii="Palatino Linotype" w:eastAsia="Palatino Linotype" w:hAnsi="Palatino Linotype" w:cs="Palatino Linotype"/>
          <w:b/>
          <w:color w:val="000000"/>
        </w:rPr>
      </w:pPr>
      <w:r w:rsidRPr="000C3DA4">
        <w:rPr>
          <w:rFonts w:ascii="Palatino Linotype" w:eastAsia="Palatino Linotype" w:hAnsi="Palatino Linotype" w:cs="Palatino Linotype"/>
          <w:b/>
          <w:color w:val="000000"/>
        </w:rPr>
        <w:lastRenderedPageBreak/>
        <w:t>RAZONES O MOTIVOS DE LA INCONFORMIDAD</w:t>
      </w:r>
      <w:r w:rsidRPr="000C3DA4">
        <w:rPr>
          <w:rFonts w:ascii="Palatino Linotype" w:eastAsia="Palatino Linotype" w:hAnsi="Palatino Linotype" w:cs="Palatino Linotype"/>
          <w:b/>
          <w:color w:val="000000"/>
        </w:rPr>
        <w:tab/>
      </w:r>
    </w:p>
    <w:p w:rsidR="00DE4007" w:rsidRPr="000C3DA4" w:rsidRDefault="00B27C6D" w:rsidP="00B3314D">
      <w:pPr>
        <w:pBdr>
          <w:top w:val="nil"/>
          <w:left w:val="nil"/>
          <w:bottom w:val="nil"/>
          <w:right w:val="nil"/>
          <w:between w:val="nil"/>
        </w:pBdr>
        <w:spacing w:line="360" w:lineRule="auto"/>
        <w:ind w:left="284" w:right="333"/>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 xml:space="preserve">“Con fecha 05 de febrero se </w:t>
      </w:r>
      <w:r w:rsidRPr="000C3DA4">
        <w:rPr>
          <w:rFonts w:ascii="Palatino Linotype" w:eastAsia="Palatino Linotype" w:hAnsi="Palatino Linotype" w:cs="Palatino Linotype"/>
          <w:i/>
        </w:rPr>
        <w:t>solicitó</w:t>
      </w:r>
      <w:r w:rsidRPr="000C3DA4">
        <w:rPr>
          <w:rFonts w:ascii="Palatino Linotype" w:eastAsia="Palatino Linotype" w:hAnsi="Palatino Linotype" w:cs="Palatino Linotype"/>
          <w:i/>
          <w:color w:val="000000"/>
        </w:rPr>
        <w:t xml:space="preserve"> información respecto a la sentencia 194/2008 radicada en el juzgado sexto familiar de Tlalnepantla con residencia en Atizapán de Zaragoza. Sin embargo, lo que el sujeto obligado muestra una sentencia INTERLOCUTORIA de 2024. Más no la sentencia definitiva con la que se resolvió el expediente 194, en el año 2008.”</w:t>
      </w:r>
    </w:p>
    <w:p w:rsidR="00DE4007" w:rsidRPr="000C3DA4" w:rsidRDefault="00DE4007" w:rsidP="00B3314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w:t>
      </w:r>
      <w:r w:rsidRPr="000C3DA4">
        <w:rPr>
          <w:rFonts w:ascii="Palatino Linotype" w:eastAsia="Palatino Linotype" w:hAnsi="Palatino Linotype" w:cs="Palatino Linotype"/>
        </w:rPr>
        <w:t>turnó</w:t>
      </w:r>
      <w:r w:rsidRPr="000C3DA4">
        <w:rPr>
          <w:rFonts w:ascii="Palatino Linotype" w:eastAsia="Palatino Linotype" w:hAnsi="Palatino Linotype" w:cs="Palatino Linotype"/>
          <w:color w:val="000000"/>
        </w:rPr>
        <w:t xml:space="preserve"> a la Comisionada María del Rosario Mejía Ayala, con el objeto de su análisis.</w:t>
      </w:r>
    </w:p>
    <w:p w:rsidR="00DE4007" w:rsidRPr="000C3DA4" w:rsidRDefault="00DE4007" w:rsidP="00B3314D">
      <w:pPr>
        <w:spacing w:line="360" w:lineRule="auto"/>
        <w:ind w:right="49"/>
        <w:jc w:val="both"/>
        <w:rPr>
          <w:rFonts w:ascii="Palatino Linotype" w:eastAsia="Palatino Linotype" w:hAnsi="Palatino Linotype" w:cs="Palatino Linotype"/>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w:t>
      </w:r>
      <w:r w:rsidRPr="000C3DA4">
        <w:rPr>
          <w:rFonts w:ascii="Palatino Linotype" w:eastAsia="Palatino Linotype" w:hAnsi="Palatino Linotype" w:cs="Palatino Linotype"/>
          <w:b/>
          <w:color w:val="000000"/>
        </w:rPr>
        <w:t>siete de marzo de dos mil veinticuatro</w:t>
      </w:r>
      <w:r w:rsidRPr="000C3DA4">
        <w:rPr>
          <w:rFonts w:ascii="Palatino Linotype" w:eastAsia="Palatino Linotype" w:hAnsi="Palatino Linotype" w:cs="Palatino Linotype"/>
          <w:color w:val="000000"/>
        </w:rPr>
        <w:t xml:space="preserve">,  puso a disposición de las partes el expediente electrónico vía SAIMEX a efecto de que en un plazo máximo de siete días </w:t>
      </w:r>
      <w:r w:rsidRPr="000C3DA4">
        <w:rPr>
          <w:rFonts w:ascii="Palatino Linotype" w:eastAsia="Palatino Linotype" w:hAnsi="Palatino Linotype" w:cs="Palatino Linotype"/>
        </w:rPr>
        <w:t>manifestara</w:t>
      </w:r>
      <w:r w:rsidRPr="000C3DA4">
        <w:rPr>
          <w:rFonts w:ascii="Palatino Linotype" w:eastAsia="Palatino Linotype" w:hAnsi="Palatino Linotype" w:cs="Palatino Linotype"/>
          <w:color w:val="000000"/>
        </w:rPr>
        <w:t xml:space="preserve"> lo que a derecho </w:t>
      </w:r>
      <w:r w:rsidRPr="000C3DA4">
        <w:rPr>
          <w:rFonts w:ascii="Palatino Linotype" w:eastAsia="Palatino Linotype" w:hAnsi="Palatino Linotype" w:cs="Palatino Linotype"/>
        </w:rPr>
        <w:t>conviniera</w:t>
      </w:r>
      <w:r w:rsidRPr="000C3DA4">
        <w:rPr>
          <w:rFonts w:ascii="Palatino Linotype" w:eastAsia="Palatino Linotype" w:hAnsi="Palatino Linotype" w:cs="Palatino Linotype"/>
          <w:color w:val="000000"/>
        </w:rPr>
        <w:t xml:space="preserve">, </w:t>
      </w:r>
      <w:r w:rsidRPr="000C3DA4">
        <w:rPr>
          <w:rFonts w:ascii="Palatino Linotype" w:eastAsia="Palatino Linotype" w:hAnsi="Palatino Linotype" w:cs="Palatino Linotype"/>
        </w:rPr>
        <w:t>ofreciera</w:t>
      </w:r>
      <w:r w:rsidRPr="000C3DA4">
        <w:rPr>
          <w:rFonts w:ascii="Palatino Linotype" w:eastAsia="Palatino Linotype" w:hAnsi="Palatino Linotype" w:cs="Palatino Linotype"/>
          <w:color w:val="000000"/>
        </w:rPr>
        <w:t xml:space="preserve"> pruebas y alegatos según corresponda al caso concreto, de esta forma para que el </w:t>
      </w:r>
      <w:r w:rsidRPr="000C3DA4">
        <w:rPr>
          <w:rFonts w:ascii="Palatino Linotype" w:eastAsia="Palatino Linotype" w:hAnsi="Palatino Linotype" w:cs="Palatino Linotype"/>
          <w:b/>
          <w:color w:val="000000"/>
        </w:rPr>
        <w:t>SUJETO OBLIGADO</w:t>
      </w:r>
      <w:r w:rsidRPr="000C3DA4">
        <w:rPr>
          <w:rFonts w:ascii="Palatino Linotype" w:eastAsia="Palatino Linotype" w:hAnsi="Palatino Linotype" w:cs="Palatino Linotype"/>
          <w:color w:val="000000"/>
        </w:rPr>
        <w:t xml:space="preserve"> </w:t>
      </w:r>
      <w:r w:rsidRPr="000C3DA4">
        <w:rPr>
          <w:rFonts w:ascii="Palatino Linotype" w:eastAsia="Palatino Linotype" w:hAnsi="Palatino Linotype" w:cs="Palatino Linotype"/>
        </w:rPr>
        <w:t>presentará</w:t>
      </w:r>
      <w:r w:rsidRPr="000C3DA4">
        <w:rPr>
          <w:rFonts w:ascii="Palatino Linotype" w:eastAsia="Palatino Linotype" w:hAnsi="Palatino Linotype" w:cs="Palatino Linotype"/>
          <w:color w:val="000000"/>
        </w:rPr>
        <w:t xml:space="preserve"> el informe justificado procedente. </w:t>
      </w:r>
    </w:p>
    <w:p w:rsidR="00DE4007" w:rsidRPr="000C3DA4" w:rsidRDefault="00DE4007" w:rsidP="00B3314D">
      <w:pPr>
        <w:tabs>
          <w:tab w:val="left" w:pos="284"/>
        </w:tabs>
        <w:spacing w:line="360" w:lineRule="auto"/>
        <w:ind w:right="49"/>
        <w:jc w:val="both"/>
        <w:rPr>
          <w:rFonts w:ascii="Palatino Linotype" w:eastAsia="Palatino Linotype" w:hAnsi="Palatino Linotype" w:cs="Palatino Linotype"/>
          <w:i/>
          <w:color w:val="000000"/>
        </w:rPr>
      </w:pPr>
    </w:p>
    <w:p w:rsidR="00DE4007" w:rsidRPr="000C3DA4" w:rsidRDefault="00B27C6D" w:rsidP="00B3314D">
      <w:pPr>
        <w:numPr>
          <w:ilvl w:val="0"/>
          <w:numId w:val="1"/>
        </w:numPr>
        <w:tabs>
          <w:tab w:val="left" w:pos="284"/>
        </w:tabs>
        <w:spacing w:line="360" w:lineRule="auto"/>
        <w:ind w:left="0" w:right="49" w:firstLine="0"/>
        <w:jc w:val="both"/>
        <w:rPr>
          <w:rFonts w:ascii="Palatino Linotype" w:eastAsia="Palatino Linotype" w:hAnsi="Palatino Linotype" w:cs="Palatino Linotype"/>
          <w:i/>
          <w:color w:val="222222"/>
        </w:rPr>
      </w:pPr>
      <w:r w:rsidRPr="000C3DA4">
        <w:rPr>
          <w:rFonts w:ascii="Palatino Linotype" w:eastAsia="Palatino Linotype" w:hAnsi="Palatino Linotype" w:cs="Palatino Linotype"/>
          <w:color w:val="000000"/>
        </w:rPr>
        <w:t xml:space="preserve">El </w:t>
      </w:r>
      <w:r w:rsidRPr="000C3DA4">
        <w:rPr>
          <w:rFonts w:ascii="Palatino Linotype" w:eastAsia="Palatino Linotype" w:hAnsi="Palatino Linotype" w:cs="Palatino Linotype"/>
          <w:b/>
          <w:color w:val="000000"/>
        </w:rPr>
        <w:t xml:space="preserve">SUJETO OBLIGADO, </w:t>
      </w:r>
      <w:r w:rsidRPr="000C3DA4">
        <w:rPr>
          <w:rFonts w:ascii="Palatino Linotype" w:eastAsia="Palatino Linotype" w:hAnsi="Palatino Linotype" w:cs="Palatino Linotype"/>
          <w:color w:val="000000"/>
        </w:rPr>
        <w:t xml:space="preserve">el día diecinueve de marzo de dos mil veinticuatro rindió informe justificado; mismos que no pudieron ser notificados a la parte </w:t>
      </w:r>
      <w:r w:rsidRPr="000C3DA4">
        <w:rPr>
          <w:rFonts w:ascii="Palatino Linotype" w:eastAsia="Palatino Linotype" w:hAnsi="Palatino Linotype" w:cs="Palatino Linotype"/>
          <w:color w:val="000000"/>
        </w:rPr>
        <w:lastRenderedPageBreak/>
        <w:t xml:space="preserve">recurrente por contener información clasificada, como se precisara en el Considerando siguiente, no obstante su contenido se describe a efecto de que no exista opacidad en las constancias que integran el expediente electrónico en que se actúa: </w:t>
      </w:r>
    </w:p>
    <w:p w:rsidR="00DE4007" w:rsidRPr="000C3DA4" w:rsidRDefault="00B27C6D" w:rsidP="00B3314D">
      <w:pPr>
        <w:pBdr>
          <w:top w:val="nil"/>
          <w:left w:val="nil"/>
          <w:bottom w:val="nil"/>
          <w:right w:val="nil"/>
          <w:between w:val="nil"/>
        </w:pBdr>
        <w:spacing w:line="360" w:lineRule="auto"/>
        <w:ind w:left="720"/>
        <w:jc w:val="both"/>
        <w:rPr>
          <w:rFonts w:ascii="Palatino Linotype" w:eastAsia="Palatino Linotype" w:hAnsi="Palatino Linotype" w:cs="Palatino Linotype"/>
          <w:i/>
          <w:color w:val="222222"/>
        </w:rPr>
      </w:pPr>
      <w:r w:rsidRPr="000C3DA4">
        <w:rPr>
          <w:rFonts w:ascii="Palatino Linotype" w:eastAsia="Palatino Linotype" w:hAnsi="Palatino Linotype" w:cs="Palatino Linotype"/>
          <w:b/>
          <w:i/>
          <w:color w:val="222222"/>
        </w:rPr>
        <w:t>21022025 RESPUESTA JUZGADO.pdf</w:t>
      </w:r>
      <w:r w:rsidRPr="000C3DA4">
        <w:rPr>
          <w:rFonts w:ascii="Palatino Linotype" w:eastAsia="Palatino Linotype" w:hAnsi="Palatino Linotype" w:cs="Palatino Linotype"/>
          <w:i/>
          <w:color w:val="222222"/>
        </w:rPr>
        <w:t xml:space="preserve">, </w:t>
      </w:r>
      <w:r w:rsidRPr="000C3DA4">
        <w:rPr>
          <w:rFonts w:ascii="Palatino Linotype" w:eastAsia="Palatino Linotype" w:hAnsi="Palatino Linotype" w:cs="Palatino Linotype"/>
          <w:color w:val="222222"/>
        </w:rPr>
        <w:t>que corresponde a un escrito signado por el Juez Supernumerario adscrito al Juzgado Sexto Familiar de Tlalnepantla con residencia en Atizapán de Zaragoza, México, mediante el cual informa</w:t>
      </w:r>
      <w:r w:rsidRPr="000C3DA4">
        <w:rPr>
          <w:rFonts w:ascii="Palatino Linotype" w:eastAsia="Palatino Linotype" w:hAnsi="Palatino Linotype" w:cs="Palatino Linotype"/>
          <w:i/>
          <w:color w:val="222222"/>
        </w:rPr>
        <w:t>: "... acompañó anexa a, versión pública en archivo electrónico de la interlocutoria de  veintiuno (21) de marzo de dos mil veinticuatro (2024), en relación a incidente de reposición de actuaciones.</w:t>
      </w:r>
    </w:p>
    <w:p w:rsidR="00DE4007" w:rsidRPr="000C3DA4" w:rsidRDefault="00B27C6D" w:rsidP="00B3314D">
      <w:pPr>
        <w:pBdr>
          <w:top w:val="nil"/>
          <w:left w:val="nil"/>
          <w:bottom w:val="nil"/>
          <w:right w:val="nil"/>
          <w:between w:val="nil"/>
        </w:pBdr>
        <w:spacing w:line="360" w:lineRule="auto"/>
        <w:ind w:left="720"/>
        <w:jc w:val="both"/>
        <w:rPr>
          <w:rFonts w:ascii="Palatino Linotype" w:eastAsia="Palatino Linotype" w:hAnsi="Palatino Linotype" w:cs="Palatino Linotype"/>
          <w:b/>
          <w:color w:val="222222"/>
        </w:rPr>
      </w:pPr>
      <w:r w:rsidRPr="000C3DA4">
        <w:rPr>
          <w:rFonts w:ascii="Palatino Linotype" w:eastAsia="Palatino Linotype" w:hAnsi="Palatino Linotype" w:cs="Palatino Linotype"/>
          <w:i/>
          <w:color w:val="222222"/>
        </w:rPr>
        <w:t>…"</w:t>
      </w:r>
    </w:p>
    <w:p w:rsidR="00DE4007" w:rsidRPr="000C3DA4" w:rsidRDefault="00DE4007" w:rsidP="00B3314D">
      <w:pPr>
        <w:pBdr>
          <w:top w:val="nil"/>
          <w:left w:val="nil"/>
          <w:bottom w:val="nil"/>
          <w:right w:val="nil"/>
          <w:between w:val="nil"/>
        </w:pBdr>
        <w:spacing w:line="360" w:lineRule="auto"/>
        <w:ind w:left="720"/>
        <w:rPr>
          <w:rFonts w:ascii="Palatino Linotype" w:eastAsia="Palatino Linotype" w:hAnsi="Palatino Linotype" w:cs="Palatino Linotype"/>
          <w:i/>
          <w:color w:val="222222"/>
        </w:rPr>
      </w:pPr>
    </w:p>
    <w:p w:rsidR="00DE4007" w:rsidRPr="000C3DA4" w:rsidRDefault="00B27C6D" w:rsidP="00B3314D">
      <w:pPr>
        <w:pBdr>
          <w:top w:val="nil"/>
          <w:left w:val="nil"/>
          <w:bottom w:val="nil"/>
          <w:right w:val="nil"/>
          <w:between w:val="nil"/>
        </w:pBdr>
        <w:spacing w:line="360" w:lineRule="auto"/>
        <w:ind w:left="720"/>
        <w:jc w:val="both"/>
        <w:rPr>
          <w:rFonts w:ascii="Palatino Linotype" w:eastAsia="Palatino Linotype" w:hAnsi="Palatino Linotype" w:cs="Palatino Linotype"/>
          <w:color w:val="222222"/>
        </w:rPr>
      </w:pPr>
      <w:r w:rsidRPr="000C3DA4">
        <w:rPr>
          <w:rFonts w:ascii="Palatino Linotype" w:eastAsia="Palatino Linotype" w:hAnsi="Palatino Linotype" w:cs="Palatino Linotype"/>
          <w:b/>
          <w:i/>
          <w:color w:val="222222"/>
        </w:rPr>
        <w:t>INFORME JUSTIFICADO 02493 25.pdf,</w:t>
      </w:r>
      <w:r w:rsidRPr="000C3DA4">
        <w:rPr>
          <w:rFonts w:ascii="Palatino Linotype" w:eastAsia="Palatino Linotype" w:hAnsi="Palatino Linotype" w:cs="Palatino Linotype"/>
          <w:i/>
          <w:color w:val="222222"/>
        </w:rPr>
        <w:t xml:space="preserve"> que corresponde al informe justificado emitido por el Titular de la Unidad de Transparencia, a través del cual de manera general solicita se confirme la respuesta otorgada en la solicitud de acceso a la información pública 00114/PJUDICI/IP/2025 y así mismo se solicita el sobreseimiento, toda vez que se hace entrega de la información requerida y se cumple con lo manifestado en el recurso de revisión quedando así sin materia; de conformidad con los artículos 186, fracción II y 192, fracción III de la Ley de Transparencia y Acceso a la Información Pública del Estado de México y Municipios.</w:t>
      </w:r>
    </w:p>
    <w:p w:rsidR="00DE4007" w:rsidRPr="000C3DA4" w:rsidRDefault="00DE4007" w:rsidP="00B3314D">
      <w:pPr>
        <w:pBdr>
          <w:top w:val="nil"/>
          <w:left w:val="nil"/>
          <w:bottom w:val="nil"/>
          <w:right w:val="nil"/>
          <w:between w:val="nil"/>
        </w:pBdr>
        <w:spacing w:line="360" w:lineRule="auto"/>
        <w:ind w:left="720"/>
        <w:rPr>
          <w:rFonts w:ascii="Palatino Linotype" w:eastAsia="Palatino Linotype" w:hAnsi="Palatino Linotype" w:cs="Palatino Linotype"/>
          <w:i/>
          <w:color w:val="222222"/>
        </w:rPr>
      </w:pPr>
    </w:p>
    <w:p w:rsidR="00DE4007" w:rsidRPr="000C3DA4" w:rsidRDefault="00B27C6D" w:rsidP="00B3314D">
      <w:pPr>
        <w:numPr>
          <w:ilvl w:val="0"/>
          <w:numId w:val="1"/>
        </w:numPr>
        <w:tabs>
          <w:tab w:val="left" w:pos="284"/>
        </w:tabs>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222222"/>
        </w:rPr>
        <w:t>Por su parte, el particular fue omiso en realizar manifestaciones que a su derecho conviniera y asistiera.</w:t>
      </w: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lastRenderedPageBreak/>
        <w:t>Finalmente al no existir diligencia o pendiente por desahogar mediante Acuerdo de fecha siete de abril del año en curso, se decretó el cierre de instrucción, por lo que: -----------------------------------------------------------------------------------------------</w:t>
      </w:r>
    </w:p>
    <w:p w:rsidR="00DE4007" w:rsidRPr="000C3DA4" w:rsidRDefault="00DE4007" w:rsidP="00B3314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E4007" w:rsidRPr="000C3DA4" w:rsidRDefault="00B27C6D" w:rsidP="00B3314D">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0C3DA4">
        <w:rPr>
          <w:rFonts w:ascii="Palatino Linotype" w:eastAsia="Palatino Linotype" w:hAnsi="Palatino Linotype" w:cs="Palatino Linotype"/>
          <w:b/>
          <w:color w:val="000000"/>
        </w:rPr>
        <w:t>C O N S I D E R A N D O</w:t>
      </w:r>
    </w:p>
    <w:p w:rsidR="00DE4007" w:rsidRPr="000C3DA4" w:rsidRDefault="00DE4007" w:rsidP="00B3314D">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DE4007" w:rsidRPr="000C3DA4" w:rsidRDefault="00B27C6D" w:rsidP="00B3314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0C3DA4">
        <w:rPr>
          <w:rFonts w:ascii="Palatino Linotype" w:eastAsia="Palatino Linotype" w:hAnsi="Palatino Linotype" w:cs="Palatino Linotype"/>
          <w:b/>
          <w:color w:val="000000"/>
        </w:rPr>
        <w:t>PRIMERO. De la competencia</w:t>
      </w: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E4007" w:rsidRPr="000C3DA4" w:rsidRDefault="00DE4007" w:rsidP="00B3314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E4007" w:rsidRPr="000C3DA4" w:rsidRDefault="00B27C6D" w:rsidP="00B3314D">
      <w:pPr>
        <w:pBdr>
          <w:top w:val="nil"/>
          <w:left w:val="nil"/>
          <w:bottom w:val="nil"/>
          <w:right w:val="nil"/>
          <w:between w:val="nil"/>
        </w:pBdr>
        <w:spacing w:line="360" w:lineRule="auto"/>
        <w:ind w:right="49"/>
        <w:rPr>
          <w:rFonts w:ascii="Palatino Linotype" w:eastAsia="Palatino Linotype" w:hAnsi="Palatino Linotype" w:cs="Palatino Linotype"/>
          <w:b/>
          <w:color w:val="000000"/>
        </w:rPr>
      </w:pPr>
      <w:r w:rsidRPr="000C3DA4">
        <w:rPr>
          <w:rFonts w:ascii="Palatino Linotype" w:eastAsia="Palatino Linotype" w:hAnsi="Palatino Linotype" w:cs="Palatino Linotype"/>
          <w:b/>
          <w:color w:val="000000"/>
        </w:rPr>
        <w:t>SEGUNDO. De la oportunidad y procedencia.</w:t>
      </w: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C3DA4">
        <w:rPr>
          <w:rFonts w:ascii="Palatino Linotype" w:eastAsia="Palatino Linotype" w:hAnsi="Palatino Linotype" w:cs="Palatino Linotype"/>
        </w:rPr>
        <w:t xml:space="preserve">Este Órgano Garante considera que el medio de impugnación reúne los requisitos de </w:t>
      </w:r>
      <w:r w:rsidRPr="000C3DA4">
        <w:rPr>
          <w:rFonts w:ascii="Palatino Linotype" w:eastAsia="Palatino Linotype" w:hAnsi="Palatino Linotype" w:cs="Palatino Linotype"/>
          <w:color w:val="000000"/>
        </w:rPr>
        <w:t>procedencia</w:t>
      </w:r>
      <w:r w:rsidRPr="000C3DA4">
        <w:rPr>
          <w:rFonts w:ascii="Palatino Linotype" w:eastAsia="Palatino Linotype" w:hAnsi="Palatino Linotype" w:cs="Palatino Linotype"/>
        </w:rPr>
        <w:t xml:space="preserve"> </w:t>
      </w:r>
      <w:r w:rsidRPr="000C3DA4">
        <w:rPr>
          <w:rFonts w:ascii="Palatino Linotype" w:eastAsia="Palatino Linotype" w:hAnsi="Palatino Linotype" w:cs="Palatino Linotype"/>
          <w:color w:val="000000"/>
        </w:rPr>
        <w:t xml:space="preserve">toda vez que: el recurso fue presentado dentro del plazo establecido en el artículo 178 de la Ley de Transparencia y Acceso a la Información </w:t>
      </w:r>
      <w:r w:rsidRPr="000C3DA4">
        <w:rPr>
          <w:rFonts w:ascii="Palatino Linotype" w:eastAsia="Palatino Linotype" w:hAnsi="Palatino Linotype" w:cs="Palatino Linotype"/>
          <w:color w:val="000000"/>
        </w:rPr>
        <w:lastRenderedPageBreak/>
        <w:t>Pública del Estado de México y Municipios; asimismo no se tiene conocimiento de que se encuentre en trámite algún medio de defensa presentado por el Recurrente ante otra instancia.</w:t>
      </w:r>
    </w:p>
    <w:p w:rsidR="00DE4007" w:rsidRPr="000C3DA4" w:rsidRDefault="00DE4007" w:rsidP="00B3314D">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 xml:space="preserve">Consecuencia de lo anterior, este Órgano Garante advierte que el escrito contiene las </w:t>
      </w:r>
      <w:r w:rsidRPr="000C3DA4">
        <w:rPr>
          <w:rFonts w:ascii="Palatino Linotype" w:eastAsia="Palatino Linotype" w:hAnsi="Palatino Linotype" w:cs="Palatino Linotype"/>
        </w:rPr>
        <w:t>formalidades</w:t>
      </w:r>
      <w:r w:rsidRPr="000C3DA4">
        <w:rPr>
          <w:rFonts w:ascii="Palatino Linotype" w:eastAsia="Palatino Linotype" w:hAnsi="Palatino Linotype" w:cs="Palatino Linotype"/>
          <w:color w:val="000000"/>
        </w:rPr>
        <w:t xml:space="preserve"> previstas por el artículo 180 último párrafo de la Ley de Transparencia y Acceso a la </w:t>
      </w:r>
      <w:r w:rsidRPr="000C3DA4">
        <w:rPr>
          <w:rFonts w:ascii="Palatino Linotype" w:eastAsia="Palatino Linotype" w:hAnsi="Palatino Linotype" w:cs="Palatino Linotype"/>
        </w:rPr>
        <w:t>Información</w:t>
      </w:r>
      <w:r w:rsidRPr="000C3DA4">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Pública y Protección de Datos Personales del Estado de México y Municipios, conozca y resuelva el presente recurso.</w:t>
      </w:r>
    </w:p>
    <w:p w:rsidR="00DE4007" w:rsidRPr="000C3DA4" w:rsidRDefault="00DE4007" w:rsidP="00B3314D">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C3DA4">
        <w:rPr>
          <w:rFonts w:ascii="Palatino Linotype" w:eastAsia="Palatino Linotype" w:hAnsi="Palatino Linotype" w:cs="Palatino Linotype"/>
        </w:rPr>
        <w:t xml:space="preserve">Por otro lado, es de suma importancia señalar que la parte recurrente no proporciona un nombre o datos de identificación como se advierte en el detalle de seguimiento del SAIMEX, no </w:t>
      </w:r>
      <w:r w:rsidRPr="000C3DA4">
        <w:rPr>
          <w:rFonts w:ascii="Palatino Linotype" w:eastAsia="Palatino Linotype" w:hAnsi="Palatino Linotype" w:cs="Palatino Linotype"/>
          <w:color w:val="000000"/>
        </w:rPr>
        <w:t>obstante</w:t>
      </w:r>
      <w:r w:rsidRPr="000C3DA4">
        <w:rPr>
          <w:rFonts w:ascii="Palatino Linotype" w:eastAsia="Palatino Linotype" w:hAnsi="Palatino Linotype" w:cs="Palatino Linotype"/>
        </w:rPr>
        <w:t xml:space="preserv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E4007" w:rsidRPr="000C3DA4" w:rsidRDefault="00B27C6D" w:rsidP="00B3314D">
      <w:pPr>
        <w:spacing w:line="360" w:lineRule="auto"/>
        <w:ind w:left="567" w:right="900"/>
        <w:jc w:val="both"/>
        <w:rPr>
          <w:rFonts w:ascii="Palatino Linotype" w:eastAsia="Palatino Linotype" w:hAnsi="Palatino Linotype" w:cs="Palatino Linotype"/>
          <w:i/>
        </w:rPr>
      </w:pPr>
      <w:r w:rsidRPr="000C3DA4">
        <w:rPr>
          <w:rFonts w:ascii="Palatino Linotype" w:eastAsia="Palatino Linotype" w:hAnsi="Palatino Linotype" w:cs="Palatino Linotype"/>
          <w:i/>
        </w:rPr>
        <w:t>"</w:t>
      </w:r>
      <w:r w:rsidRPr="000C3DA4">
        <w:rPr>
          <w:rFonts w:ascii="Palatino Linotype" w:eastAsia="Palatino Linotype" w:hAnsi="Palatino Linotype" w:cs="Palatino Linotype"/>
          <w:b/>
          <w:i/>
        </w:rPr>
        <w:t>Las solicitudes anónimas</w:t>
      </w:r>
      <w:r w:rsidRPr="000C3DA4">
        <w:rPr>
          <w:rFonts w:ascii="Palatino Linotype" w:eastAsia="Palatino Linotype" w:hAnsi="Palatino Linotype" w:cs="Palatino Linotype"/>
          <w:i/>
        </w:rPr>
        <w:t xml:space="preserve">, con nombre incompleto o seudónimo </w:t>
      </w:r>
      <w:r w:rsidRPr="000C3DA4">
        <w:rPr>
          <w:rFonts w:ascii="Palatino Linotype" w:eastAsia="Palatino Linotype" w:hAnsi="Palatino Linotype" w:cs="Palatino Linotype"/>
          <w:b/>
          <w:i/>
        </w:rPr>
        <w:t>serán procedentes para su trámite por parte del sujeto obligado ante quien se presente</w:t>
      </w:r>
      <w:r w:rsidRPr="000C3DA4">
        <w:rPr>
          <w:rFonts w:ascii="Palatino Linotype" w:eastAsia="Palatino Linotype" w:hAnsi="Palatino Linotype" w:cs="Palatino Linotype"/>
          <w:i/>
        </w:rPr>
        <w:t>. No podrá requerirse información adicional con motivo del nombre proporcionado por el solicitante."</w:t>
      </w:r>
    </w:p>
    <w:p w:rsidR="00DE4007" w:rsidRPr="000C3DA4" w:rsidRDefault="00DE4007" w:rsidP="00B3314D">
      <w:pPr>
        <w:spacing w:line="360" w:lineRule="auto"/>
        <w:ind w:right="49"/>
        <w:jc w:val="both"/>
        <w:rPr>
          <w:rFonts w:ascii="Palatino Linotype" w:eastAsia="Palatino Linotype" w:hAnsi="Palatino Linotype" w:cs="Palatino Linotype"/>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C3DA4">
        <w:rPr>
          <w:rFonts w:ascii="Palatino Linotype" w:eastAsia="Palatino Linotype" w:hAnsi="Palatino Linotype" w:cs="Palatino Linotype"/>
        </w:rPr>
        <w:lastRenderedPageBreak/>
        <w:t>Finalmente, el escrito contiene las formalidades previstas por el artículo 180 último párrafo de la citada Ley de la materia, por lo que es procedente que este Instituto conozca y resuelva el presente Recurso de Revisión.</w:t>
      </w:r>
    </w:p>
    <w:p w:rsidR="00DE4007" w:rsidRPr="000C3DA4" w:rsidRDefault="00DE4007" w:rsidP="00B3314D">
      <w:pPr>
        <w:pBdr>
          <w:top w:val="nil"/>
          <w:left w:val="nil"/>
          <w:bottom w:val="nil"/>
          <w:right w:val="nil"/>
          <w:between w:val="nil"/>
        </w:pBdr>
        <w:spacing w:line="360" w:lineRule="auto"/>
        <w:ind w:left="720" w:right="49"/>
        <w:rPr>
          <w:rFonts w:ascii="Palatino Linotype" w:eastAsia="Palatino Linotype" w:hAnsi="Palatino Linotype" w:cs="Palatino Linotype"/>
          <w:color w:val="000000"/>
        </w:rPr>
      </w:pPr>
    </w:p>
    <w:p w:rsidR="00DE4007" w:rsidRPr="000C3DA4" w:rsidRDefault="00B27C6D" w:rsidP="00B3314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0C3DA4">
        <w:rPr>
          <w:rFonts w:ascii="Palatino Linotype" w:eastAsia="Palatino Linotype" w:hAnsi="Palatino Linotype" w:cs="Palatino Linotype"/>
          <w:b/>
          <w:color w:val="000000"/>
        </w:rPr>
        <w:t xml:space="preserve">TERCERO. Planteamiento de la </w:t>
      </w:r>
      <w:r w:rsidRPr="000C3DA4">
        <w:rPr>
          <w:rFonts w:ascii="Palatino Linotype" w:eastAsia="Palatino Linotype" w:hAnsi="Palatino Linotype" w:cs="Palatino Linotype"/>
          <w:b/>
          <w:i/>
          <w:color w:val="000000"/>
        </w:rPr>
        <w:t>Litis</w:t>
      </w:r>
    </w:p>
    <w:p w:rsidR="00DE4007" w:rsidRPr="000C3DA4" w:rsidRDefault="00E5793C"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El R</w:t>
      </w:r>
      <w:r w:rsidR="00B27C6D" w:rsidRPr="000C3DA4">
        <w:rPr>
          <w:rFonts w:ascii="Palatino Linotype" w:eastAsia="Palatino Linotype" w:hAnsi="Palatino Linotype" w:cs="Palatino Linotype"/>
          <w:color w:val="000000"/>
        </w:rPr>
        <w:t xml:space="preserve">ecurrente </w:t>
      </w:r>
      <w:r w:rsidR="00B27C6D" w:rsidRPr="000C3DA4">
        <w:rPr>
          <w:rFonts w:ascii="Palatino Linotype" w:eastAsia="Palatino Linotype" w:hAnsi="Palatino Linotype" w:cs="Palatino Linotype"/>
        </w:rPr>
        <w:t>solicitó</w:t>
      </w:r>
      <w:r w:rsidR="00B27C6D" w:rsidRPr="000C3DA4">
        <w:rPr>
          <w:rFonts w:ascii="Palatino Linotype" w:eastAsia="Palatino Linotype" w:hAnsi="Palatino Linotype" w:cs="Palatino Linotype"/>
          <w:color w:val="000000"/>
        </w:rPr>
        <w:t xml:space="preserve"> la siguiente información:</w:t>
      </w:r>
    </w:p>
    <w:p w:rsidR="00DE4007" w:rsidRPr="000C3DA4" w:rsidRDefault="00DE4007" w:rsidP="00B3314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E4007" w:rsidRPr="000C3DA4" w:rsidRDefault="00B27C6D" w:rsidP="00B3314D">
      <w:pPr>
        <w:numPr>
          <w:ilvl w:val="0"/>
          <w:numId w:val="8"/>
        </w:num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Versión pública de la sentencia 194/2008 del Juzgado Sexto Familiar del Distrito Judicial de Tlalnepantla con Residencia en Atizapán de Zaragoza.</w:t>
      </w:r>
    </w:p>
    <w:p w:rsidR="00DE4007" w:rsidRPr="000C3DA4" w:rsidRDefault="00DE4007" w:rsidP="00B3314D">
      <w:pPr>
        <w:spacing w:line="360" w:lineRule="auto"/>
        <w:ind w:right="49"/>
        <w:jc w:val="both"/>
        <w:rPr>
          <w:rFonts w:ascii="Palatino Linotype" w:eastAsia="Palatino Linotype" w:hAnsi="Palatino Linotype" w:cs="Palatino Linotype"/>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rPr>
      </w:pPr>
      <w:r w:rsidRPr="000C3DA4">
        <w:rPr>
          <w:rFonts w:ascii="Palatino Linotype" w:eastAsia="Palatino Linotype" w:hAnsi="Palatino Linotype" w:cs="Palatino Linotype"/>
        </w:rPr>
        <w:t>Derivado de la falta de la aclaración realizada, el Sujeto Obligado remitió un enlace donde se puede consultar la versión pública de sentencia interlocutoria 194/2008 del veintiuno de marzo de dos mil veinticuatro del índice de ese órgano de instancia; inconforme con lo anterior, el solicitante interpuso recurso de revisión, argumentando la entrega de información incompleta.</w:t>
      </w:r>
    </w:p>
    <w:p w:rsidR="00DE4007" w:rsidRPr="000C3DA4" w:rsidRDefault="00DE4007" w:rsidP="00B3314D">
      <w:pPr>
        <w:tabs>
          <w:tab w:val="left" w:pos="284"/>
        </w:tabs>
        <w:spacing w:line="360" w:lineRule="auto"/>
        <w:jc w:val="both"/>
        <w:rPr>
          <w:rFonts w:ascii="Palatino Linotype" w:eastAsia="Palatino Linotype" w:hAnsi="Palatino Linotype" w:cs="Palatino Linotype"/>
          <w:i/>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C3DA4">
        <w:rPr>
          <w:rFonts w:ascii="Palatino Linotype" w:eastAsia="Palatino Linotype" w:hAnsi="Palatino Linotype" w:cs="Palatino Linotype"/>
        </w:rPr>
        <w:t xml:space="preserve">En dichas condiciones, la </w:t>
      </w:r>
      <w:r w:rsidRPr="000C3DA4">
        <w:rPr>
          <w:rFonts w:ascii="Palatino Linotype" w:eastAsia="Palatino Linotype" w:hAnsi="Palatino Linotype" w:cs="Palatino Linotype"/>
          <w:i/>
        </w:rPr>
        <w:t>Litis</w:t>
      </w:r>
      <w:r w:rsidRPr="000C3DA4">
        <w:rPr>
          <w:rFonts w:ascii="Palatino Linotype" w:eastAsia="Palatino Linotype" w:hAnsi="Palatino Linotype" w:cs="Palatino Linotype"/>
        </w:rPr>
        <w:t xml:space="preserve"> a resolver en el presente recurso de revisión se circunscribe a determinar si se actualizan la causal de procedencia prevista en el artículo 179, fracción </w:t>
      </w:r>
      <w:r w:rsidRPr="000C3DA4">
        <w:rPr>
          <w:rFonts w:ascii="Palatino Linotype" w:eastAsia="Palatino Linotype" w:hAnsi="Palatino Linotype" w:cs="Palatino Linotype"/>
          <w:b/>
        </w:rPr>
        <w:t>V</w:t>
      </w:r>
      <w:r w:rsidRPr="000C3DA4">
        <w:rPr>
          <w:rFonts w:ascii="Palatino Linotype" w:eastAsia="Palatino Linotype" w:hAnsi="Palatino Linotype" w:cs="Palatino Linotype"/>
        </w:rPr>
        <w:t xml:space="preserve"> de la </w:t>
      </w:r>
      <w:r w:rsidRPr="000C3DA4">
        <w:rPr>
          <w:rFonts w:ascii="Palatino Linotype" w:eastAsia="Palatino Linotype" w:hAnsi="Palatino Linotype" w:cs="Palatino Linotype"/>
          <w:b/>
        </w:rPr>
        <w:t xml:space="preserve">Ley de Transparencia y Acceso a la </w:t>
      </w:r>
      <w:r w:rsidRPr="000C3DA4">
        <w:rPr>
          <w:rFonts w:ascii="Palatino Linotype" w:eastAsia="Palatino Linotype" w:hAnsi="Palatino Linotype" w:cs="Palatino Linotype"/>
        </w:rPr>
        <w:t>Información</w:t>
      </w:r>
      <w:r w:rsidRPr="000C3DA4">
        <w:rPr>
          <w:rFonts w:ascii="Palatino Linotype" w:eastAsia="Palatino Linotype" w:hAnsi="Palatino Linotype" w:cs="Palatino Linotype"/>
          <w:b/>
        </w:rPr>
        <w:t xml:space="preserve"> Pública del Estado de México y Municipios</w:t>
      </w:r>
      <w:r w:rsidRPr="000C3DA4">
        <w:rPr>
          <w:rFonts w:ascii="Palatino Linotype" w:eastAsia="Palatino Linotype" w:hAnsi="Palatino Linotype" w:cs="Palatino Linotype"/>
        </w:rPr>
        <w:t xml:space="preserve">; </w:t>
      </w:r>
      <w:r w:rsidRPr="000C3DA4">
        <w:rPr>
          <w:rFonts w:ascii="Palatino Linotype" w:eastAsia="Palatino Linotype" w:hAnsi="Palatino Linotype" w:cs="Palatino Linotype"/>
          <w:color w:val="000000"/>
        </w:rPr>
        <w:t xml:space="preserve">fracción que determina la hipótesis jurídica relativa a la entrega de información incompleta; </w:t>
      </w:r>
      <w:r w:rsidRPr="000C3DA4">
        <w:rPr>
          <w:rFonts w:ascii="Palatino Linotype" w:eastAsia="Palatino Linotype" w:hAnsi="Palatino Linotype" w:cs="Palatino Linotype"/>
        </w:rPr>
        <w:t xml:space="preserve">contexto del cual se dolió el </w:t>
      </w:r>
      <w:r w:rsidRPr="000C3DA4">
        <w:rPr>
          <w:rFonts w:ascii="Palatino Linotype" w:eastAsia="Palatino Linotype" w:hAnsi="Palatino Linotype" w:cs="Palatino Linotype"/>
          <w:b/>
        </w:rPr>
        <w:t>RECURRENTE</w:t>
      </w:r>
      <w:r w:rsidRPr="000C3DA4">
        <w:rPr>
          <w:rFonts w:ascii="Palatino Linotype" w:eastAsia="Palatino Linotype" w:hAnsi="Palatino Linotype" w:cs="Palatino Linotype"/>
        </w:rPr>
        <w:t xml:space="preserve"> al momento de interponer su recurso de revisión</w:t>
      </w:r>
      <w:r w:rsidRPr="000C3DA4">
        <w:rPr>
          <w:rFonts w:ascii="Palatino Linotype" w:eastAsia="Palatino Linotype" w:hAnsi="Palatino Linotype" w:cs="Palatino Linotype"/>
          <w:color w:val="000000"/>
        </w:rPr>
        <w:t xml:space="preserve">; asimismo, determinar si se vulnera el derecho de acceso a la información de la particular por </w:t>
      </w:r>
      <w:r w:rsidRPr="000C3DA4">
        <w:rPr>
          <w:rFonts w:ascii="Palatino Linotype" w:eastAsia="Palatino Linotype" w:hAnsi="Palatino Linotype" w:cs="Palatino Linotype"/>
          <w:color w:val="000000"/>
        </w:rPr>
        <w:lastRenderedPageBreak/>
        <w:t>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DE4007" w:rsidRPr="000C3DA4" w:rsidRDefault="00DE4007" w:rsidP="00B3314D">
      <w:pPr>
        <w:pBdr>
          <w:top w:val="nil"/>
          <w:left w:val="nil"/>
          <w:bottom w:val="nil"/>
          <w:right w:val="nil"/>
          <w:between w:val="nil"/>
        </w:pBdr>
        <w:spacing w:line="360" w:lineRule="auto"/>
        <w:ind w:left="720" w:right="49"/>
        <w:rPr>
          <w:rFonts w:ascii="Palatino Linotype" w:eastAsia="Palatino Linotype" w:hAnsi="Palatino Linotype" w:cs="Palatino Linotype"/>
          <w:color w:val="000000"/>
        </w:rPr>
      </w:pPr>
    </w:p>
    <w:p w:rsidR="00DE4007" w:rsidRPr="000C3DA4" w:rsidRDefault="00B27C6D" w:rsidP="00B3314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0C3DA4">
        <w:rPr>
          <w:rFonts w:ascii="Palatino Linotype" w:eastAsia="Palatino Linotype" w:hAnsi="Palatino Linotype" w:cs="Palatino Linotype"/>
          <w:b/>
          <w:color w:val="000000"/>
        </w:rPr>
        <w:t>CUARTO. Estudio y Resolución del asunto.</w:t>
      </w:r>
    </w:p>
    <w:p w:rsidR="00DE4007" w:rsidRPr="000C3DA4" w:rsidRDefault="00DE4007" w:rsidP="00B3314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C3DA4">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E4007" w:rsidRPr="000C3DA4" w:rsidRDefault="00DE4007" w:rsidP="00B3314D">
      <w:pPr>
        <w:spacing w:line="360" w:lineRule="auto"/>
        <w:jc w:val="both"/>
        <w:rPr>
          <w:rFonts w:ascii="Palatino Linotype" w:eastAsia="Palatino Linotype" w:hAnsi="Palatino Linotype" w:cs="Palatino Linotype"/>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C3DA4">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C3DA4">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DE4007" w:rsidRPr="000C3DA4" w:rsidRDefault="00DE4007" w:rsidP="00B3314D">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DE4007"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C3DA4">
        <w:rPr>
          <w:rFonts w:ascii="Palatino Linotype" w:eastAsia="Palatino Linotype" w:hAnsi="Palatino Linotype" w:cs="Palatino Linotype"/>
        </w:rPr>
        <w:t>Una vez sentado lo anterior, resulta oportuno recordar que lo solicitado versó en una sentencia definitiva; en su lugar se entregó una Sentencia Interlocutoria en Incidente de Reposición de Actuaciones, que corresponde aquella resolución judicial que decide un aspecto parcial o incidental dentro de un proceso judicial, sin poner fin al litigio principal, a efecto únicamente de corregir, aclarar o subsanar algún error o irregularidad procesal; luego entonces se advierte que ciertamente no corresponde con lo solicitado.</w:t>
      </w:r>
    </w:p>
    <w:p w:rsidR="00DE4007" w:rsidRPr="000C3DA4" w:rsidRDefault="00DE4007" w:rsidP="00B3314D">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DE4007" w:rsidRPr="000C3DA4" w:rsidRDefault="00E5793C"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C3DA4">
        <w:rPr>
          <w:rFonts w:ascii="Palatino Linotype" w:eastAsia="Palatino Linotype" w:hAnsi="Palatino Linotype" w:cs="Palatino Linotype"/>
        </w:rPr>
        <w:t>Ahora bien, de la Sentencia entregada se desprende que versa respecto</w:t>
      </w:r>
      <w:r w:rsidR="00B27C6D" w:rsidRPr="000C3DA4">
        <w:rPr>
          <w:rFonts w:ascii="Palatino Linotype" w:eastAsia="Palatino Linotype" w:hAnsi="Palatino Linotype" w:cs="Palatino Linotype"/>
        </w:rPr>
        <w:t xml:space="preserve"> de un proceso legal entre particulares, esto en virtud de que se trata de un asunto ventilado en un juzgado familiar</w:t>
      </w:r>
      <w:r w:rsidR="00AA5E57" w:rsidRPr="000C3DA4">
        <w:rPr>
          <w:rFonts w:ascii="Palatino Linotype" w:eastAsia="Palatino Linotype" w:hAnsi="Palatino Linotype" w:cs="Palatino Linotype"/>
        </w:rPr>
        <w:t xml:space="preserve">, </w:t>
      </w:r>
      <w:r w:rsidR="00924F1D" w:rsidRPr="000C3DA4">
        <w:rPr>
          <w:rFonts w:ascii="Palatino Linotype" w:eastAsia="Palatino Linotype" w:hAnsi="Palatino Linotype" w:cs="Palatino Linotype"/>
        </w:rPr>
        <w:t>que corresponde aquel</w:t>
      </w:r>
      <w:r w:rsidR="00B27C6D" w:rsidRPr="000C3DA4">
        <w:rPr>
          <w:rFonts w:ascii="Palatino Linotype" w:eastAsia="Palatino Linotype" w:hAnsi="Palatino Linotype" w:cs="Palatino Linotype"/>
        </w:rPr>
        <w:t xml:space="preserve"> </w:t>
      </w:r>
      <w:r w:rsidR="00924F1D" w:rsidRPr="000C3DA4">
        <w:rPr>
          <w:rFonts w:ascii="Palatino Linotype" w:eastAsia="Palatino Linotype" w:hAnsi="Palatino Linotype" w:cs="Palatino Linotype"/>
        </w:rPr>
        <w:t>donde</w:t>
      </w:r>
      <w:r w:rsidR="00B27C6D" w:rsidRPr="000C3DA4">
        <w:rPr>
          <w:rFonts w:ascii="Palatino Linotype" w:eastAsia="Palatino Linotype" w:hAnsi="Palatino Linotype" w:cs="Palatino Linotype"/>
        </w:rPr>
        <w:t xml:space="preserve"> se ventilan asuntos </w:t>
      </w:r>
      <w:r w:rsidR="00B27C6D" w:rsidRPr="000C3DA4">
        <w:rPr>
          <w:rFonts w:ascii="Palatino Linotype" w:eastAsia="Palatino Linotype" w:hAnsi="Palatino Linotype" w:cs="Palatino Linotype"/>
        </w:rPr>
        <w:lastRenderedPageBreak/>
        <w:t>como: divorcios, pensiones alimenticias, guarda y custodia de menores, patria potestad, y otros asuntos derivados de relaciones familiares.</w:t>
      </w:r>
    </w:p>
    <w:p w:rsidR="00DE4007" w:rsidRPr="000C3DA4" w:rsidRDefault="00DE4007" w:rsidP="00B3314D">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rsidR="00DE4007" w:rsidRPr="000C3DA4" w:rsidRDefault="00924F1D"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C3DA4">
        <w:rPr>
          <w:rFonts w:ascii="Palatino Linotype" w:eastAsia="Palatino Linotype" w:hAnsi="Palatino Linotype" w:cs="Palatino Linotype"/>
        </w:rPr>
        <w:t>Ahora bien</w:t>
      </w:r>
      <w:r w:rsidR="00B27C6D" w:rsidRPr="000C3DA4">
        <w:rPr>
          <w:rFonts w:ascii="Palatino Linotype" w:eastAsia="Palatino Linotype" w:hAnsi="Palatino Linotype" w:cs="Palatino Linotype"/>
        </w:rPr>
        <w:t xml:space="preserve">, en el presente caso, la parte solicitante requirió una sentencia definitiva, información que de conformidad con el artículo 96 de la Ley de Transparencia y Acceso a la Información Pública del Estado de México y Municipio, corresponde a obligaciones de transparencia específicas, como se puede observar: </w:t>
      </w:r>
    </w:p>
    <w:p w:rsidR="00DE4007" w:rsidRPr="000C3DA4" w:rsidRDefault="00B27C6D" w:rsidP="00B3314D">
      <w:pPr>
        <w:spacing w:line="360" w:lineRule="auto"/>
        <w:ind w:left="567" w:right="616"/>
        <w:jc w:val="both"/>
        <w:rPr>
          <w:rFonts w:ascii="Palatino Linotype" w:eastAsia="Palatino Linotype" w:hAnsi="Palatino Linotype" w:cs="Palatino Linotype"/>
          <w:i/>
        </w:rPr>
      </w:pPr>
      <w:r w:rsidRPr="000C3DA4">
        <w:rPr>
          <w:rFonts w:ascii="Palatino Linotype" w:eastAsia="Palatino Linotype" w:hAnsi="Palatino Linotype" w:cs="Palatino Linotype"/>
          <w:b/>
          <w:i/>
        </w:rPr>
        <w:t>Artículo 96.</w:t>
      </w:r>
      <w:r w:rsidRPr="000C3DA4">
        <w:rPr>
          <w:rFonts w:ascii="Palatino Linotype" w:eastAsia="Palatino Linotype" w:hAnsi="Palatino Linotype" w:cs="Palatino Linotype"/>
          <w:i/>
        </w:rPr>
        <w:t xml:space="preserve"> Además de las obligaciones de transparencia común a que se refiere el Capítulo II de este Título, el Poder Judicial Local y el Tribunal de Justicia Administrativa del Estado de México, deberán poner a disposición del público y actualizar la siguiente información: </w:t>
      </w:r>
    </w:p>
    <w:p w:rsidR="00DE4007" w:rsidRPr="000C3DA4" w:rsidRDefault="00DE4007" w:rsidP="00B3314D">
      <w:pPr>
        <w:spacing w:line="360" w:lineRule="auto"/>
        <w:ind w:left="567" w:right="616"/>
        <w:jc w:val="both"/>
        <w:rPr>
          <w:rFonts w:ascii="Palatino Linotype" w:eastAsia="Palatino Linotype" w:hAnsi="Palatino Linotype" w:cs="Palatino Linotype"/>
          <w:i/>
        </w:rPr>
      </w:pPr>
    </w:p>
    <w:p w:rsidR="00DE4007" w:rsidRPr="000C3DA4" w:rsidRDefault="00B27C6D" w:rsidP="00B3314D">
      <w:pPr>
        <w:spacing w:line="360" w:lineRule="auto"/>
        <w:ind w:left="567" w:right="616"/>
        <w:jc w:val="both"/>
        <w:rPr>
          <w:rFonts w:ascii="Palatino Linotype" w:eastAsia="Palatino Linotype" w:hAnsi="Palatino Linotype" w:cs="Palatino Linotype"/>
          <w:i/>
        </w:rPr>
      </w:pPr>
      <w:r w:rsidRPr="000C3DA4">
        <w:rPr>
          <w:rFonts w:ascii="Palatino Linotype" w:eastAsia="Palatino Linotype" w:hAnsi="Palatino Linotype" w:cs="Palatino Linotype"/>
          <w:i/>
        </w:rPr>
        <w:t xml:space="preserve">I. Las tesis y ejecutorias publicadas en el Boletín Judicial del Tribunal Superior de Justicia del Estado de México y en la Gaceta del Tribunal de Justicia Administrativa del Estado de México, incluyendo tesis jurisprudenciales y aisladas; </w:t>
      </w:r>
    </w:p>
    <w:p w:rsidR="00DE4007" w:rsidRPr="000C3DA4" w:rsidRDefault="00B27C6D" w:rsidP="00B3314D">
      <w:pPr>
        <w:spacing w:line="360" w:lineRule="auto"/>
        <w:ind w:left="567" w:right="616"/>
        <w:jc w:val="both"/>
        <w:rPr>
          <w:rFonts w:ascii="Palatino Linotype" w:eastAsia="Palatino Linotype" w:hAnsi="Palatino Linotype" w:cs="Palatino Linotype"/>
          <w:b/>
          <w:i/>
          <w:u w:val="single"/>
        </w:rPr>
      </w:pPr>
      <w:r w:rsidRPr="000C3DA4">
        <w:rPr>
          <w:rFonts w:ascii="Palatino Linotype" w:eastAsia="Palatino Linotype" w:hAnsi="Palatino Linotype" w:cs="Palatino Linotype"/>
          <w:b/>
          <w:i/>
          <w:u w:val="single"/>
        </w:rPr>
        <w:t xml:space="preserve">II. Las versiones públicas de las sentencias que sean de interés público; </w:t>
      </w:r>
    </w:p>
    <w:p w:rsidR="00DE4007" w:rsidRPr="000C3DA4" w:rsidRDefault="00B27C6D" w:rsidP="00B3314D">
      <w:pPr>
        <w:spacing w:line="360" w:lineRule="auto"/>
        <w:ind w:left="567" w:right="616"/>
        <w:jc w:val="both"/>
        <w:rPr>
          <w:rFonts w:ascii="Palatino Linotype" w:eastAsia="Palatino Linotype" w:hAnsi="Palatino Linotype" w:cs="Palatino Linotype"/>
          <w:i/>
        </w:rPr>
      </w:pPr>
      <w:r w:rsidRPr="000C3DA4">
        <w:rPr>
          <w:rFonts w:ascii="Palatino Linotype" w:eastAsia="Palatino Linotype" w:hAnsi="Palatino Linotype" w:cs="Palatino Linotype"/>
          <w:i/>
        </w:rPr>
        <w:t xml:space="preserve">III. Las versiones estenográficas, taquigráficas, magnetofónicas, video gráficas, electrónicas o de cualquier otra naturaleza, de las sesiones públicas de cualquiera de sus órganos; </w:t>
      </w:r>
    </w:p>
    <w:p w:rsidR="00DE4007" w:rsidRPr="000C3DA4" w:rsidRDefault="00B27C6D" w:rsidP="00B3314D">
      <w:pPr>
        <w:spacing w:line="360" w:lineRule="auto"/>
        <w:ind w:left="567" w:right="616"/>
        <w:jc w:val="both"/>
        <w:rPr>
          <w:rFonts w:ascii="Palatino Linotype" w:eastAsia="Palatino Linotype" w:hAnsi="Palatino Linotype" w:cs="Palatino Linotype"/>
          <w:i/>
        </w:rPr>
      </w:pPr>
      <w:r w:rsidRPr="000C3DA4">
        <w:rPr>
          <w:rFonts w:ascii="Palatino Linotype" w:eastAsia="Palatino Linotype" w:hAnsi="Palatino Linotype" w:cs="Palatino Linotype"/>
          <w:i/>
        </w:rPr>
        <w:t xml:space="preserve">IV. La relacionada con los procesos por medio de los cuales fueron designados los jueces y magistrados, según corresponda; </w:t>
      </w:r>
    </w:p>
    <w:p w:rsidR="00DE4007" w:rsidRPr="000C3DA4" w:rsidRDefault="00B27C6D" w:rsidP="00B3314D">
      <w:pPr>
        <w:spacing w:line="360" w:lineRule="auto"/>
        <w:ind w:left="567" w:right="616"/>
        <w:jc w:val="both"/>
        <w:rPr>
          <w:rFonts w:ascii="Palatino Linotype" w:eastAsia="Palatino Linotype" w:hAnsi="Palatino Linotype" w:cs="Palatino Linotype"/>
          <w:i/>
        </w:rPr>
      </w:pPr>
      <w:r w:rsidRPr="000C3DA4">
        <w:rPr>
          <w:rFonts w:ascii="Palatino Linotype" w:eastAsia="Palatino Linotype" w:hAnsi="Palatino Linotype" w:cs="Palatino Linotype"/>
          <w:i/>
        </w:rPr>
        <w:t xml:space="preserve">V. La lista de acuerdos que diariamente se publiquen; </w:t>
      </w:r>
    </w:p>
    <w:p w:rsidR="00DE4007" w:rsidRPr="000C3DA4" w:rsidRDefault="00B27C6D" w:rsidP="00B3314D">
      <w:pPr>
        <w:spacing w:line="360" w:lineRule="auto"/>
        <w:ind w:left="567" w:right="616"/>
        <w:jc w:val="both"/>
        <w:rPr>
          <w:rFonts w:ascii="Palatino Linotype" w:eastAsia="Palatino Linotype" w:hAnsi="Palatino Linotype" w:cs="Palatino Linotype"/>
          <w:i/>
        </w:rPr>
      </w:pPr>
      <w:r w:rsidRPr="000C3DA4">
        <w:rPr>
          <w:rFonts w:ascii="Palatino Linotype" w:eastAsia="Palatino Linotype" w:hAnsi="Palatino Linotype" w:cs="Palatino Linotype"/>
          <w:i/>
        </w:rPr>
        <w:lastRenderedPageBreak/>
        <w:t xml:space="preserve">VI. Las convocatorias a concursos para ocupar cargos jurisdiccionales y los resultados finales de los mismos, así como los procesos de ratificación de los funcionarios judiciales; y </w:t>
      </w:r>
    </w:p>
    <w:p w:rsidR="00DE4007" w:rsidRPr="000C3DA4" w:rsidRDefault="00B27C6D" w:rsidP="00B3314D">
      <w:pPr>
        <w:spacing w:line="360" w:lineRule="auto"/>
        <w:ind w:left="567" w:right="616"/>
        <w:jc w:val="both"/>
        <w:rPr>
          <w:rFonts w:ascii="Palatino Linotype" w:eastAsia="Palatino Linotype" w:hAnsi="Palatino Linotype" w:cs="Palatino Linotype"/>
          <w:i/>
        </w:rPr>
      </w:pPr>
      <w:r w:rsidRPr="000C3DA4">
        <w:rPr>
          <w:rFonts w:ascii="Palatino Linotype" w:eastAsia="Palatino Linotype" w:hAnsi="Palatino Linotype" w:cs="Palatino Linotype"/>
          <w:i/>
        </w:rPr>
        <w:t>VII. Los perfiles y formas de evaluación del personal judicial y administrativo.</w:t>
      </w:r>
    </w:p>
    <w:p w:rsidR="00DE4007" w:rsidRPr="000C3DA4" w:rsidRDefault="00DE4007" w:rsidP="00B3314D">
      <w:pPr>
        <w:spacing w:line="360" w:lineRule="auto"/>
        <w:jc w:val="both"/>
        <w:rPr>
          <w:rFonts w:ascii="Palatino Linotype" w:eastAsia="Palatino Linotype" w:hAnsi="Palatino Linotype" w:cs="Palatino Linotype"/>
        </w:rPr>
      </w:pPr>
    </w:p>
    <w:p w:rsidR="00DE4007" w:rsidRPr="000C3DA4" w:rsidRDefault="00AA5E57"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t>Sin embargo</w:t>
      </w:r>
      <w:r w:rsidR="00B27C6D" w:rsidRPr="000C3DA4">
        <w:rPr>
          <w:rFonts w:ascii="Palatino Linotype" w:hAnsi="Palatino Linotype"/>
        </w:rPr>
        <w:t xml:space="preserve">, </w:t>
      </w:r>
      <w:r w:rsidR="00724094" w:rsidRPr="000C3DA4">
        <w:rPr>
          <w:rFonts w:ascii="Palatino Linotype" w:hAnsi="Palatino Linotype"/>
        </w:rPr>
        <w:t xml:space="preserve">no se </w:t>
      </w:r>
      <w:r w:rsidR="00724094" w:rsidRPr="000C3DA4">
        <w:rPr>
          <w:rFonts w:ascii="Palatino Linotype" w:eastAsia="Palatino Linotype" w:hAnsi="Palatino Linotype" w:cs="Palatino Linotype"/>
        </w:rPr>
        <w:t>remite</w:t>
      </w:r>
      <w:r w:rsidR="00724094" w:rsidRPr="000C3DA4">
        <w:rPr>
          <w:rFonts w:ascii="Palatino Linotype" w:hAnsi="Palatino Linotype"/>
        </w:rPr>
        <w:t xml:space="preserve">, pues como ya quedo establecido, lo entregado corresponde a una sentencia interlocutoria </w:t>
      </w:r>
      <w:r w:rsidR="00724094" w:rsidRPr="000C3DA4">
        <w:rPr>
          <w:rFonts w:ascii="Palatino Linotype" w:hAnsi="Palatino Linotype" w:cs="Palatino Linotype"/>
        </w:rPr>
        <w:t>derivado del expediente 194/2008, en relación a un Juicio Sucesorio Testamentario</w:t>
      </w:r>
      <w:r w:rsidR="00724094" w:rsidRPr="000C3DA4">
        <w:rPr>
          <w:rFonts w:ascii="Palatino Linotype" w:hAnsi="Palatino Linotype"/>
        </w:rPr>
        <w:t xml:space="preserve">; </w:t>
      </w:r>
      <w:r w:rsidR="001F524A" w:rsidRPr="000C3DA4">
        <w:rPr>
          <w:rFonts w:ascii="Palatino Linotype" w:hAnsi="Palatino Linotype"/>
        </w:rPr>
        <w:t>sentencia que corresponde aquella resolución judicial que decide un aspecto parcial o incidental dentro de un proceso judicial, sin resolver definitivamente el caso principal, luego entonces al ser enfática la solicitud de información respecto de un aspecto definitivo es que se arriba a la conclusión que con la información remitida en respuesta no quedó colmado el derecho de acceso a la información del solicitante.</w:t>
      </w:r>
    </w:p>
    <w:p w:rsidR="00DE4007" w:rsidRPr="000C3DA4" w:rsidRDefault="00DE4007" w:rsidP="00B3314D">
      <w:pPr>
        <w:spacing w:line="360" w:lineRule="auto"/>
        <w:jc w:val="center"/>
        <w:rPr>
          <w:rFonts w:ascii="Palatino Linotype" w:eastAsia="Palatino Linotype" w:hAnsi="Palatino Linotype" w:cs="Palatino Linotype"/>
        </w:rPr>
      </w:pPr>
    </w:p>
    <w:p w:rsidR="00B27C6D" w:rsidRPr="000C3DA4" w:rsidRDefault="00B27C6D"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t xml:space="preserve">No obstante lo anterior, en un hecho posterior a la interposición del recurso de revisión </w:t>
      </w:r>
      <w:r w:rsidR="00591C13" w:rsidRPr="000C3DA4">
        <w:rPr>
          <w:rFonts w:ascii="Palatino Linotype" w:hAnsi="Palatino Linotype"/>
        </w:rPr>
        <w:t xml:space="preserve">como lo es </w:t>
      </w:r>
      <w:r w:rsidRPr="000C3DA4">
        <w:rPr>
          <w:rFonts w:ascii="Palatino Linotype" w:hAnsi="Palatino Linotype"/>
        </w:rPr>
        <w:t xml:space="preserve">la etapa de manifestaciones, el </w:t>
      </w:r>
      <w:r w:rsidRPr="000C3DA4">
        <w:rPr>
          <w:rFonts w:ascii="Palatino Linotype" w:hAnsi="Palatino Linotype"/>
          <w:b/>
        </w:rPr>
        <w:t>SUJETO OBLIGADO</w:t>
      </w:r>
      <w:r w:rsidRPr="000C3DA4">
        <w:rPr>
          <w:rFonts w:ascii="Palatino Linotype" w:hAnsi="Palatino Linotype"/>
        </w:rPr>
        <w:t xml:space="preserve"> modificó su </w:t>
      </w:r>
      <w:r w:rsidR="00CC73B3" w:rsidRPr="000C3DA4">
        <w:rPr>
          <w:rFonts w:ascii="Palatino Linotype" w:hAnsi="Palatino Linotype"/>
        </w:rPr>
        <w:t xml:space="preserve">respuesta inicial, informando </w:t>
      </w:r>
      <w:r w:rsidR="00CC73B3" w:rsidRPr="000C3DA4">
        <w:rPr>
          <w:rFonts w:ascii="Palatino Linotype" w:eastAsia="Palatino Linotype" w:hAnsi="Palatino Linotype" w:cs="Palatino Linotype"/>
        </w:rPr>
        <w:t>en el expediente citado, no ha sido dictada alguna otra sentencia, con motivo si bien es un asunto concluido, éste términos por convenio aprobado a través de auto de veintinueve (29) de enero de dos mil nueve (2009).</w:t>
      </w:r>
    </w:p>
    <w:p w:rsidR="00B27C6D" w:rsidRPr="000C3DA4" w:rsidRDefault="00B27C6D" w:rsidP="00B3314D">
      <w:pPr>
        <w:pStyle w:val="Prrafodelista"/>
        <w:spacing w:line="360" w:lineRule="auto"/>
        <w:rPr>
          <w:rFonts w:ascii="Palatino Linotype" w:eastAsia="Palatino Linotype" w:hAnsi="Palatino Linotype" w:cs="Palatino Linotype"/>
        </w:rPr>
      </w:pPr>
    </w:p>
    <w:p w:rsidR="00591C13" w:rsidRPr="000C3DA4" w:rsidRDefault="00CC73B3"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0C3DA4">
        <w:rPr>
          <w:rFonts w:ascii="Palatino Linotype" w:eastAsia="Palatino Linotype" w:hAnsi="Palatino Linotype" w:cs="Palatino Linotype"/>
        </w:rPr>
        <w:t>Pronunciamiento del cual se concluye</w:t>
      </w:r>
      <w:r w:rsidR="00591C13" w:rsidRPr="000C3DA4">
        <w:rPr>
          <w:rFonts w:ascii="Palatino Linotype" w:eastAsia="Palatino Linotype" w:hAnsi="Palatino Linotype" w:cs="Palatino Linotype"/>
        </w:rPr>
        <w:t xml:space="preserve"> que resulta improbable ordenar en estricto sentido una sentencia definitiva por no existir, configurando un </w:t>
      </w:r>
      <w:r w:rsidR="00591C13" w:rsidRPr="000C3DA4">
        <w:rPr>
          <w:rFonts w:ascii="Palatino Linotype" w:hAnsi="Palatino Linotype" w:cs="Arial"/>
        </w:rPr>
        <w:t xml:space="preserve">hecho </w:t>
      </w:r>
      <w:r w:rsidR="00591C13" w:rsidRPr="000C3DA4">
        <w:rPr>
          <w:rFonts w:ascii="Palatino Linotype" w:hAnsi="Palatino Linotype" w:cs="Arial"/>
        </w:rPr>
        <w:lastRenderedPageBreak/>
        <w:t xml:space="preserve">negativo, por ser obvio que éste no puede fácticamente obrar en los archivos del </w:t>
      </w:r>
      <w:r w:rsidR="00591C13" w:rsidRPr="000C3DA4">
        <w:rPr>
          <w:rFonts w:ascii="Palatino Linotype" w:hAnsi="Palatino Linotype" w:cs="Arial"/>
          <w:b/>
        </w:rPr>
        <w:t>SUJETO OBLIGADO</w:t>
      </w:r>
      <w:r w:rsidR="00591C13" w:rsidRPr="000C3DA4">
        <w:rPr>
          <w:rFonts w:ascii="Palatino Linotype" w:hAnsi="Palatino Linotype" w:cs="Arial"/>
        </w:rPr>
        <w:t>, ya que no puede probarse por ser lógica y materialmente imposible.</w:t>
      </w:r>
    </w:p>
    <w:p w:rsidR="00591C13" w:rsidRPr="000C3DA4" w:rsidRDefault="00591C13" w:rsidP="00B3314D">
      <w:pPr>
        <w:spacing w:line="360" w:lineRule="auto"/>
        <w:contextualSpacing/>
        <w:jc w:val="both"/>
        <w:rPr>
          <w:rFonts w:ascii="Palatino Linotype" w:hAnsi="Palatino Linotype" w:cs="Arial"/>
        </w:rPr>
      </w:pPr>
    </w:p>
    <w:p w:rsidR="00591C13" w:rsidRPr="000C3DA4" w:rsidRDefault="00591C13"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0C3DA4">
        <w:rPr>
          <w:rFonts w:ascii="Palatino Linotype" w:hAnsi="Palatino Linotype" w:cs="Arial"/>
        </w:rPr>
        <w:t xml:space="preserve">Asimismo, no se trata de un caso por el cual la negación del hecho implique la afirmación del </w:t>
      </w:r>
      <w:r w:rsidRPr="000C3DA4">
        <w:rPr>
          <w:rFonts w:ascii="Palatino Linotype" w:eastAsia="Palatino Linotype" w:hAnsi="Palatino Linotype" w:cs="Palatino Linotype"/>
        </w:rPr>
        <w:t>mismo</w:t>
      </w:r>
      <w:r w:rsidRPr="000C3DA4">
        <w:rPr>
          <w:rFonts w:ascii="Palatino Linotype" w:hAnsi="Palatino Linotype" w:cs="Arial"/>
        </w:rPr>
        <w:t>, simplemente se está ante una notoria y evidente inexistencia fáctica de la información solicitada.</w:t>
      </w:r>
    </w:p>
    <w:p w:rsidR="00591C13" w:rsidRPr="000C3DA4" w:rsidRDefault="00591C13" w:rsidP="00B3314D">
      <w:pPr>
        <w:pStyle w:val="Prrafodelista"/>
        <w:spacing w:line="360" w:lineRule="auto"/>
        <w:rPr>
          <w:rFonts w:ascii="Palatino Linotype" w:hAnsi="Palatino Linotype" w:cs="Arial"/>
        </w:rPr>
      </w:pPr>
    </w:p>
    <w:p w:rsidR="00591C13" w:rsidRPr="000C3DA4" w:rsidRDefault="00591C13"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0C3DA4">
        <w:rPr>
          <w:rFonts w:ascii="Palatino Linotype" w:hAnsi="Palatino Linotype" w:cs="Times New Roman"/>
        </w:rPr>
        <w:t xml:space="preserve">Encontrándonos ante un hecho negativo, destacando entonces que el Pleno de este </w:t>
      </w:r>
      <w:r w:rsidRPr="000C3DA4">
        <w:rPr>
          <w:rFonts w:ascii="Palatino Linotype" w:hAnsi="Palatino Linotype" w:cs="Arial"/>
        </w:rPr>
        <w:t>Organismo</w:t>
      </w:r>
      <w:r w:rsidRPr="000C3DA4">
        <w:rPr>
          <w:rFonts w:ascii="Palatino Linotype" w:hAnsi="Palatino Linotype" w:cs="Times New Roman"/>
        </w:rPr>
        <w:t xml:space="preserve">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591C13" w:rsidRPr="000C3DA4" w:rsidRDefault="00591C13" w:rsidP="00B3314D">
      <w:pPr>
        <w:spacing w:line="360" w:lineRule="auto"/>
        <w:ind w:left="851" w:right="567"/>
        <w:jc w:val="both"/>
        <w:rPr>
          <w:rFonts w:ascii="Palatino Linotype" w:hAnsi="Palatino Linotype" w:cs="Times New Roman"/>
          <w:b/>
          <w:i/>
        </w:rPr>
      </w:pPr>
      <w:r w:rsidRPr="000C3DA4">
        <w:rPr>
          <w:rFonts w:ascii="Palatino Linotype" w:hAnsi="Palatino Linotype" w:cs="Times New Roman"/>
          <w:b/>
          <w:i/>
        </w:rPr>
        <w:t xml:space="preserve">“HECHOS NEGATIVOS, NO SON SUSCEPTIBLES DE DEMOSTRACIÓN. </w:t>
      </w:r>
    </w:p>
    <w:p w:rsidR="00B27C6D" w:rsidRPr="000C3DA4" w:rsidRDefault="00591C13" w:rsidP="00B3314D">
      <w:pPr>
        <w:spacing w:line="360" w:lineRule="auto"/>
        <w:ind w:left="851" w:right="567"/>
        <w:jc w:val="both"/>
        <w:rPr>
          <w:rFonts w:ascii="Palatino Linotype" w:hAnsi="Palatino Linotype" w:cs="Times New Roman"/>
          <w:i/>
        </w:rPr>
      </w:pPr>
      <w:r w:rsidRPr="000C3DA4">
        <w:rPr>
          <w:rFonts w:ascii="Palatino Linotype" w:hAnsi="Palatino Linotype" w:cs="Times New Roman"/>
          <w:i/>
        </w:rPr>
        <w:t xml:space="preserve">Tratándose de un hecho negativo, el Juez no tiene </w:t>
      </w:r>
      <w:r w:rsidR="00ED7DA9" w:rsidRPr="000C3DA4">
        <w:rPr>
          <w:rFonts w:ascii="Palatino Linotype" w:hAnsi="Palatino Linotype" w:cs="Times New Roman"/>
          <w:i/>
        </w:rPr>
        <w:t>por qué</w:t>
      </w:r>
      <w:r w:rsidRPr="000C3DA4">
        <w:rPr>
          <w:rFonts w:ascii="Palatino Linotype" w:hAnsi="Palatino Linotype" w:cs="Times New Roman"/>
          <w:i/>
        </w:rPr>
        <w:t xml:space="preserve"> invocar prueba alguna de la que se desprenda, ya que es bien sabido que esta clase de hechos no son susceptibles de demostración.”</w:t>
      </w:r>
    </w:p>
    <w:p w:rsidR="003A3E0D" w:rsidRPr="000C3DA4" w:rsidRDefault="003A3E0D" w:rsidP="00B3314D">
      <w:pPr>
        <w:spacing w:line="360" w:lineRule="auto"/>
        <w:ind w:left="851" w:right="567"/>
        <w:jc w:val="both"/>
        <w:rPr>
          <w:rFonts w:ascii="Palatino Linotype" w:eastAsia="Palatino Linotype" w:hAnsi="Palatino Linotype" w:cs="Palatino Linotype"/>
        </w:rPr>
      </w:pPr>
    </w:p>
    <w:p w:rsidR="00591C13" w:rsidRPr="000C3DA4" w:rsidRDefault="00591C13"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t xml:space="preserve">No obstante que en estricto sentido, no se haya emitido una sentencia definitiva, si existe un documento equivalente que el propio </w:t>
      </w:r>
      <w:r w:rsidRPr="000C3DA4">
        <w:rPr>
          <w:rFonts w:ascii="Palatino Linotype" w:hAnsi="Palatino Linotype" w:cs="Palatino Linotype"/>
          <w:b/>
        </w:rPr>
        <w:t xml:space="preserve">SUJETO OBLIGADO </w:t>
      </w:r>
      <w:r w:rsidRPr="000C3DA4">
        <w:rPr>
          <w:rFonts w:ascii="Palatino Linotype" w:hAnsi="Palatino Linotype" w:cs="Palatino Linotype"/>
        </w:rPr>
        <w:t xml:space="preserve">asumió expresamente, como lo es el convenio aprobado a través de auto de </w:t>
      </w:r>
      <w:r w:rsidRPr="000C3DA4">
        <w:rPr>
          <w:rFonts w:ascii="Palatino Linotype" w:hAnsi="Palatino Linotype" w:cs="Palatino Linotype"/>
        </w:rPr>
        <w:lastRenderedPageBreak/>
        <w:t xml:space="preserve">veintinueve de enero de dos mil nueve; toda vez que este pone fin al juicio </w:t>
      </w:r>
      <w:r w:rsidRPr="000C3DA4">
        <w:rPr>
          <w:rFonts w:ascii="Palatino Linotype" w:eastAsia="Palatino Linotype" w:hAnsi="Palatino Linotype" w:cs="Palatino Linotype"/>
        </w:rPr>
        <w:t>al determinar que los herederos y/o beneficiarios del testamento han llegado a un acuerdo voluntario sobre la distribución de los bienes y derechos de la herencia, evitando así que el juez tenga que dictar una sentencia definitiva.</w:t>
      </w:r>
    </w:p>
    <w:p w:rsidR="00591C13" w:rsidRPr="000C3DA4" w:rsidRDefault="00591C13" w:rsidP="00B3314D">
      <w:pPr>
        <w:pBdr>
          <w:top w:val="nil"/>
          <w:left w:val="nil"/>
          <w:bottom w:val="nil"/>
          <w:right w:val="nil"/>
          <w:between w:val="nil"/>
        </w:pBdr>
        <w:spacing w:line="360" w:lineRule="auto"/>
        <w:ind w:right="49"/>
        <w:jc w:val="both"/>
        <w:rPr>
          <w:rFonts w:ascii="Palatino Linotype" w:hAnsi="Palatino Linotype"/>
        </w:rPr>
      </w:pPr>
    </w:p>
    <w:p w:rsidR="00C6352A" w:rsidRPr="000C3DA4" w:rsidRDefault="005A47A8"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0C3DA4">
        <w:rPr>
          <w:rFonts w:ascii="Palatino Linotype" w:eastAsia="Palatino Linotype" w:hAnsi="Palatino Linotype" w:cs="Palatino Linotype"/>
        </w:rPr>
        <w:t xml:space="preserve">Dicho convenio tiene una homologación judicial, al presentarse ante el juez para su aprobación, una vez que se corrobora que se cumplan las formalidades </w:t>
      </w:r>
      <w:r w:rsidRPr="000C3DA4">
        <w:rPr>
          <w:rFonts w:ascii="Palatino Linotype" w:hAnsi="Palatino Linotype"/>
        </w:rPr>
        <w:t>legales</w:t>
      </w:r>
      <w:r w:rsidRPr="000C3DA4">
        <w:rPr>
          <w:rFonts w:ascii="Palatino Linotype" w:eastAsia="Palatino Linotype" w:hAnsi="Palatino Linotype" w:cs="Palatino Linotype"/>
        </w:rPr>
        <w:t>, se aprueba, y el convenio tiene fuerza de sentencia</w:t>
      </w:r>
      <w:r w:rsidR="00C6352A" w:rsidRPr="000C3DA4">
        <w:rPr>
          <w:rFonts w:ascii="Palatino Linotype" w:eastAsia="Palatino Linotype" w:hAnsi="Palatino Linotype" w:cs="Palatino Linotype"/>
        </w:rPr>
        <w:t xml:space="preserve"> y pone fin al juicio sucesorio; luego entonces es que se </w:t>
      </w:r>
      <w:r w:rsidR="00C6352A" w:rsidRPr="000C3DA4">
        <w:rPr>
          <w:rFonts w:ascii="Palatino Linotype" w:hAnsi="Palatino Linotype"/>
        </w:rPr>
        <w:t>arriba</w:t>
      </w:r>
      <w:r w:rsidR="00C6352A" w:rsidRPr="000C3DA4">
        <w:rPr>
          <w:rFonts w:ascii="Palatino Linotype" w:eastAsia="Palatino Linotype" w:hAnsi="Palatino Linotype" w:cs="Palatino Linotype"/>
        </w:rPr>
        <w:t xml:space="preserve"> a la conclusión que con el soporte documental de referencia, quedaría por colmado el derecho de acceso a la información pública del ahora </w:t>
      </w:r>
      <w:r w:rsidR="00C6352A" w:rsidRPr="000C3DA4">
        <w:rPr>
          <w:rFonts w:ascii="Palatino Linotype" w:eastAsia="Palatino Linotype" w:hAnsi="Palatino Linotype" w:cs="Palatino Linotype"/>
          <w:b/>
        </w:rPr>
        <w:t>RECURRENTE</w:t>
      </w:r>
      <w:r w:rsidR="00C6352A" w:rsidRPr="000C3DA4">
        <w:rPr>
          <w:rFonts w:ascii="Palatino Linotype" w:eastAsia="Palatino Linotype" w:hAnsi="Palatino Linotype" w:cs="Palatino Linotype"/>
        </w:rPr>
        <w:t>, siendo dable ordenar su entrega en versión pública, en virtud que</w:t>
      </w:r>
      <w:r w:rsidR="00C6352A" w:rsidRPr="000C3DA4">
        <w:rPr>
          <w:rFonts w:ascii="Palatino Linotype" w:hAnsi="Palatino Linotype" w:cs="Arial"/>
        </w:rPr>
        <w:t xml:space="preserve"> el artículo 4, párrafo segundo de la Ley de Transparencia y Acceso a la Información Pública del Estado de México y Municipios, dispone:</w:t>
      </w:r>
    </w:p>
    <w:p w:rsidR="00C6352A" w:rsidRPr="000C3DA4" w:rsidRDefault="00C6352A" w:rsidP="00B3314D">
      <w:pPr>
        <w:spacing w:line="360" w:lineRule="auto"/>
        <w:ind w:left="567" w:right="616"/>
        <w:rPr>
          <w:rFonts w:ascii="Palatino Linotype" w:hAnsi="Palatino Linotype" w:cs="Arial"/>
          <w:i/>
        </w:rPr>
      </w:pPr>
      <w:r w:rsidRPr="000C3DA4">
        <w:rPr>
          <w:rFonts w:ascii="Palatino Linotype" w:hAnsi="Palatino Linotype" w:cs="Arial"/>
          <w:i/>
        </w:rPr>
        <w:t>“</w:t>
      </w:r>
      <w:r w:rsidRPr="000C3DA4">
        <w:rPr>
          <w:rFonts w:ascii="Palatino Linotype" w:hAnsi="Palatino Linotype" w:cs="Arial"/>
          <w:b/>
          <w:i/>
        </w:rPr>
        <w:t xml:space="preserve">Artículo 4. </w:t>
      </w:r>
      <w:r w:rsidRPr="000C3DA4">
        <w:rPr>
          <w:rFonts w:ascii="Palatino Linotype" w:hAnsi="Palatino Linotype" w:cs="Arial"/>
          <w:i/>
        </w:rPr>
        <w:t xml:space="preserve">… </w:t>
      </w:r>
    </w:p>
    <w:p w:rsidR="00C6352A" w:rsidRPr="000C3DA4" w:rsidRDefault="00C6352A" w:rsidP="00B3314D">
      <w:pPr>
        <w:spacing w:line="360" w:lineRule="auto"/>
        <w:ind w:left="567" w:right="616"/>
        <w:rPr>
          <w:rFonts w:ascii="Palatino Linotype" w:hAnsi="Palatino Linotype" w:cs="Arial"/>
          <w:i/>
        </w:rPr>
      </w:pPr>
      <w:r w:rsidRPr="000C3DA4">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w:t>
      </w:r>
      <w:r w:rsidRPr="000C3DA4">
        <w:rPr>
          <w:rFonts w:ascii="Palatino Linotype" w:hAnsi="Palatino Linotype" w:cs="Arial"/>
          <w:i/>
        </w:rPr>
        <w:lastRenderedPageBreak/>
        <w:t>interés público, en los términos de las causas legítimas y estrictamente necesarias previstas por esta Ley.”</w:t>
      </w:r>
    </w:p>
    <w:p w:rsidR="00C6352A" w:rsidRPr="000C3DA4" w:rsidRDefault="00C6352A" w:rsidP="00B3314D">
      <w:pPr>
        <w:tabs>
          <w:tab w:val="left" w:pos="709"/>
        </w:tabs>
        <w:spacing w:line="360" w:lineRule="auto"/>
        <w:contextualSpacing/>
        <w:rPr>
          <w:rFonts w:ascii="Palatino Linotype" w:hAnsi="Palatino Linotype" w:cs="Arial"/>
        </w:rPr>
      </w:pPr>
    </w:p>
    <w:p w:rsidR="00C6352A" w:rsidRPr="000C3DA4" w:rsidRDefault="00C6352A"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0C3DA4">
        <w:rPr>
          <w:rFonts w:ascii="Palatino Linotype" w:hAnsi="Palatino Linotype" w:cs="Arial"/>
        </w:rPr>
        <w:t xml:space="preserve">Del precepto legal invocado, se desprende, que la información generada, obtenida, adquirida, transmitida, administrada o en posesión de los Sujetos Obligados, será accesible de </w:t>
      </w:r>
      <w:r w:rsidRPr="000C3DA4">
        <w:rPr>
          <w:rFonts w:ascii="Palatino Linotype" w:eastAsia="Palatino Linotype" w:hAnsi="Palatino Linotype" w:cs="Palatino Linotype"/>
        </w:rPr>
        <w:t>manera</w:t>
      </w:r>
      <w:r w:rsidRPr="000C3DA4">
        <w:rPr>
          <w:rFonts w:ascii="Palatino Linotype" w:hAnsi="Palatino Linotype" w:cs="Arial"/>
        </w:rPr>
        <w:t xml:space="preserve"> permanente a cualquier persona, privilegiando el principio de máxima publicidad de la información.</w:t>
      </w:r>
    </w:p>
    <w:p w:rsidR="00C6352A" w:rsidRPr="000C3DA4" w:rsidRDefault="00C6352A" w:rsidP="00B3314D">
      <w:pPr>
        <w:tabs>
          <w:tab w:val="left" w:pos="709"/>
        </w:tabs>
        <w:spacing w:line="360" w:lineRule="auto"/>
        <w:contextualSpacing/>
        <w:rPr>
          <w:rFonts w:ascii="Palatino Linotype" w:hAnsi="Palatino Linotype" w:cs="Arial"/>
        </w:rPr>
      </w:pPr>
    </w:p>
    <w:p w:rsidR="00C6352A" w:rsidRPr="000C3DA4" w:rsidRDefault="00C6352A"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0C3DA4">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0C3DA4">
        <w:rPr>
          <w:rFonts w:ascii="Palatino Linotype" w:hAnsi="Palatino Linotype" w:cs="Arial"/>
          <w:b/>
          <w:u w:val="single"/>
        </w:rPr>
        <w:t xml:space="preserve">expedientes, reportes, estudios, actas, resoluciones, oficios, </w:t>
      </w:r>
      <w:r w:rsidRPr="000C3DA4">
        <w:rPr>
          <w:rFonts w:ascii="Palatino Linotype" w:hAnsi="Palatino Linotype" w:cs="Arial"/>
        </w:rPr>
        <w:t>correspondencia</w:t>
      </w:r>
      <w:r w:rsidRPr="000C3DA4">
        <w:rPr>
          <w:rFonts w:ascii="Palatino Linotype" w:hAnsi="Palatino Linotype" w:cs="Arial"/>
          <w:b/>
          <w:u w:val="single"/>
        </w:rPr>
        <w:t>, acuerdos, directivas, directrices, circulares, contratos, convenios, instructivos, notas, memorandos, estadísticas o bien, cualquier otro registro que documente el ejercicio de las facultades, funciones y competencias</w:t>
      </w:r>
      <w:r w:rsidRPr="000C3DA4">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C6352A" w:rsidRPr="000C3DA4" w:rsidRDefault="00C6352A" w:rsidP="00B3314D">
      <w:pPr>
        <w:spacing w:line="360" w:lineRule="auto"/>
        <w:ind w:left="567" w:right="618"/>
        <w:jc w:val="both"/>
        <w:rPr>
          <w:rFonts w:ascii="Palatino Linotype" w:hAnsi="Palatino Linotype" w:cs="Arial"/>
          <w:i/>
        </w:rPr>
      </w:pPr>
      <w:r w:rsidRPr="000C3DA4">
        <w:rPr>
          <w:rFonts w:ascii="Palatino Linotype" w:hAnsi="Palatino Linotype" w:cs="Arial"/>
          <w:i/>
        </w:rPr>
        <w:t>“</w:t>
      </w:r>
      <w:r w:rsidRPr="000C3DA4">
        <w:rPr>
          <w:rFonts w:ascii="Palatino Linotype" w:hAnsi="Palatino Linotype" w:cs="Arial"/>
          <w:b/>
          <w:i/>
        </w:rPr>
        <w:t xml:space="preserve">Artículo 3. </w:t>
      </w:r>
      <w:r w:rsidRPr="000C3DA4">
        <w:rPr>
          <w:rFonts w:ascii="Palatino Linotype" w:hAnsi="Palatino Linotype" w:cs="Arial"/>
          <w:i/>
        </w:rPr>
        <w:t>Para los efectos de la presente Ley se entenderá por:</w:t>
      </w:r>
    </w:p>
    <w:p w:rsidR="00C6352A" w:rsidRPr="000C3DA4" w:rsidRDefault="00C6352A" w:rsidP="00B3314D">
      <w:pPr>
        <w:spacing w:line="360" w:lineRule="auto"/>
        <w:ind w:left="567" w:right="618"/>
        <w:jc w:val="both"/>
        <w:rPr>
          <w:rFonts w:ascii="Palatino Linotype" w:hAnsi="Palatino Linotype" w:cs="Arial"/>
          <w:i/>
        </w:rPr>
      </w:pPr>
      <w:r w:rsidRPr="000C3DA4">
        <w:rPr>
          <w:rFonts w:ascii="Palatino Linotype" w:hAnsi="Palatino Linotype" w:cs="Arial"/>
          <w:i/>
        </w:rPr>
        <w:t>(…)</w:t>
      </w:r>
    </w:p>
    <w:p w:rsidR="00C6352A" w:rsidRPr="000C3DA4" w:rsidRDefault="00C6352A" w:rsidP="00B3314D">
      <w:pPr>
        <w:spacing w:line="360" w:lineRule="auto"/>
        <w:ind w:left="567" w:right="618"/>
        <w:jc w:val="both"/>
        <w:rPr>
          <w:rFonts w:ascii="Palatino Linotype" w:hAnsi="Palatino Linotype" w:cs="Arial"/>
          <w:i/>
        </w:rPr>
      </w:pPr>
      <w:r w:rsidRPr="000C3DA4">
        <w:rPr>
          <w:rFonts w:ascii="Palatino Linotype" w:hAnsi="Palatino Linotype" w:cs="Arial"/>
          <w:b/>
          <w:i/>
        </w:rPr>
        <w:t>XI. Documento:</w:t>
      </w:r>
      <w:r w:rsidRPr="000C3DA4">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0C3DA4">
        <w:rPr>
          <w:rFonts w:ascii="Palatino Linotype" w:hAnsi="Palatino Linotype" w:cs="Arial"/>
          <w:b/>
          <w:i/>
          <w:u w:val="single"/>
        </w:rPr>
        <w:lastRenderedPageBreak/>
        <w:t>registro que documente el ejercicio de las facultades, funciones y competencias de los sujetos obligados</w:t>
      </w:r>
      <w:r w:rsidRPr="000C3DA4">
        <w:rPr>
          <w:rFonts w:ascii="Palatino Linotype" w:hAnsi="Palatino Linotype" w:cs="Arial"/>
          <w:i/>
          <w:u w:val="single"/>
        </w:rPr>
        <w:t>,</w:t>
      </w:r>
      <w:r w:rsidRPr="000C3DA4">
        <w:rPr>
          <w:rFonts w:ascii="Palatino Linotype" w:hAnsi="Palatino Linotype" w:cs="Arial"/>
          <w:i/>
        </w:rPr>
        <w:t xml:space="preserve"> sus servidores públicos e integrantes, </w:t>
      </w:r>
      <w:r w:rsidRPr="000C3DA4">
        <w:rPr>
          <w:rFonts w:ascii="Palatino Linotype" w:hAnsi="Palatino Linotype" w:cs="Arial"/>
          <w:b/>
          <w:i/>
          <w:u w:val="single"/>
        </w:rPr>
        <w:t>sin importar su fuente o fecha de elaboración.</w:t>
      </w:r>
      <w:r w:rsidRPr="000C3DA4">
        <w:rPr>
          <w:rFonts w:ascii="Palatino Linotype" w:hAnsi="Palatino Linotype" w:cs="Arial"/>
          <w:i/>
        </w:rPr>
        <w:t xml:space="preserve"> Los documentos podrán estar en cualquier medio, sea escrito, impreso, sonoro, visual, electrónico, informático u holográfico;</w:t>
      </w:r>
    </w:p>
    <w:p w:rsidR="00C6352A" w:rsidRPr="000C3DA4" w:rsidRDefault="00C6352A" w:rsidP="00B3314D">
      <w:pPr>
        <w:spacing w:line="360" w:lineRule="auto"/>
        <w:ind w:left="567" w:right="618"/>
        <w:jc w:val="both"/>
        <w:rPr>
          <w:rFonts w:ascii="Palatino Linotype" w:hAnsi="Palatino Linotype" w:cs="Arial"/>
          <w:i/>
        </w:rPr>
      </w:pPr>
      <w:r w:rsidRPr="000C3DA4">
        <w:rPr>
          <w:rFonts w:ascii="Palatino Linotype" w:hAnsi="Palatino Linotype" w:cs="Arial"/>
          <w:i/>
        </w:rPr>
        <w:t>(…)”</w:t>
      </w:r>
    </w:p>
    <w:p w:rsidR="00C6352A" w:rsidRPr="000C3DA4" w:rsidRDefault="00C6352A" w:rsidP="00B3314D">
      <w:pPr>
        <w:spacing w:line="360" w:lineRule="auto"/>
        <w:ind w:right="49"/>
        <w:contextualSpacing/>
        <w:rPr>
          <w:rFonts w:ascii="Palatino Linotype" w:hAnsi="Palatino Linotype" w:cs="Arial"/>
        </w:rPr>
      </w:pPr>
    </w:p>
    <w:p w:rsidR="00C6352A" w:rsidRPr="000C3DA4" w:rsidRDefault="00C6352A" w:rsidP="00B3314D">
      <w:pPr>
        <w:numPr>
          <w:ilvl w:val="0"/>
          <w:numId w:val="1"/>
        </w:numPr>
        <w:pBdr>
          <w:top w:val="nil"/>
          <w:left w:val="nil"/>
          <w:bottom w:val="nil"/>
          <w:right w:val="nil"/>
          <w:between w:val="nil"/>
        </w:pBdr>
        <w:spacing w:line="360" w:lineRule="auto"/>
        <w:ind w:left="0" w:right="49" w:firstLine="0"/>
        <w:jc w:val="both"/>
        <w:rPr>
          <w:rFonts w:ascii="Palatino Linotype" w:eastAsia="MS Mincho" w:hAnsi="Palatino Linotype"/>
        </w:rPr>
      </w:pPr>
      <w:r w:rsidRPr="000C3DA4">
        <w:rPr>
          <w:rFonts w:ascii="Palatino Linotype" w:hAnsi="Palatino Linotype" w:cs="Arial"/>
        </w:rPr>
        <w:t xml:space="preserve">Además, </w:t>
      </w:r>
      <w:r w:rsidRPr="000C3DA4">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w:t>
      </w:r>
      <w:r w:rsidRPr="000C3DA4">
        <w:rPr>
          <w:rFonts w:ascii="Palatino Linotype" w:hAnsi="Palatino Linotype" w:cs="Arial"/>
        </w:rPr>
        <w:t>posea</w:t>
      </w:r>
      <w:r w:rsidRPr="000C3DA4">
        <w:rPr>
          <w:rFonts w:ascii="Palatino Linotype" w:eastAsia="MS Mincho" w:hAnsi="Palatino Linotype"/>
        </w:rPr>
        <w:t xml:space="preserve">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C6352A" w:rsidRPr="000C3DA4" w:rsidRDefault="00C6352A" w:rsidP="00B3314D">
      <w:pPr>
        <w:spacing w:line="360" w:lineRule="auto"/>
        <w:ind w:right="49"/>
        <w:contextualSpacing/>
        <w:rPr>
          <w:rFonts w:ascii="Palatino Linotype" w:eastAsia="MS Mincho" w:hAnsi="Palatino Linotype"/>
        </w:rPr>
      </w:pPr>
    </w:p>
    <w:p w:rsidR="00C6352A" w:rsidRPr="000C3DA4" w:rsidRDefault="00C6352A" w:rsidP="00B3314D">
      <w:pPr>
        <w:numPr>
          <w:ilvl w:val="0"/>
          <w:numId w:val="1"/>
        </w:numPr>
        <w:pBdr>
          <w:top w:val="nil"/>
          <w:left w:val="nil"/>
          <w:bottom w:val="nil"/>
          <w:right w:val="nil"/>
          <w:between w:val="nil"/>
        </w:pBdr>
        <w:spacing w:line="360" w:lineRule="auto"/>
        <w:ind w:left="0" w:right="49" w:firstLine="0"/>
        <w:jc w:val="both"/>
        <w:rPr>
          <w:rFonts w:ascii="Palatino Linotype" w:eastAsia="MS Mincho" w:hAnsi="Palatino Linotype" w:cs="Tahoma"/>
        </w:rPr>
      </w:pPr>
      <w:r w:rsidRPr="000C3DA4">
        <w:rPr>
          <w:rFonts w:ascii="Palatino Linotype" w:hAnsi="Palatino Linotype" w:cs="Arial"/>
        </w:rPr>
        <w:t xml:space="preserve">De la misma forma, </w:t>
      </w:r>
      <w:r w:rsidRPr="000C3DA4">
        <w:rPr>
          <w:rFonts w:ascii="Palatino Linotype" w:eastAsia="MS Mincho" w:hAnsi="Palatino Linotype"/>
        </w:rPr>
        <w:t>de acuerdo al contenido del artículo 160,</w:t>
      </w:r>
      <w:r w:rsidRPr="000C3DA4">
        <w:rPr>
          <w:rFonts w:ascii="Palatino Linotype" w:hAnsi="Palatino Linotype" w:cs="Arial"/>
        </w:rPr>
        <w:t xml:space="preserve"> de la Ley </w:t>
      </w:r>
      <w:r w:rsidRPr="000C3DA4">
        <w:rPr>
          <w:rFonts w:ascii="Palatino Linotype" w:eastAsia="MS Mincho" w:hAnsi="Palatino Linotype" w:cs="Tahoma"/>
        </w:rPr>
        <w:t>General de Transparencia y Acceso a la Información Pública que a la letra dispone:</w:t>
      </w:r>
    </w:p>
    <w:p w:rsidR="00C6352A" w:rsidRPr="000C3DA4" w:rsidRDefault="008C5F6E" w:rsidP="00B3314D">
      <w:pPr>
        <w:spacing w:line="360" w:lineRule="auto"/>
        <w:ind w:left="567" w:right="618"/>
        <w:contextualSpacing/>
        <w:jc w:val="both"/>
        <w:rPr>
          <w:rFonts w:ascii="Palatino Linotype" w:hAnsi="Palatino Linotype" w:cs="Arial"/>
          <w:i/>
          <w:lang w:eastAsia="gl-ES"/>
        </w:rPr>
      </w:pPr>
      <w:r w:rsidRPr="000C3DA4">
        <w:rPr>
          <w:rFonts w:ascii="Palatino Linotype" w:hAnsi="Palatino Linotype" w:cs="Arial"/>
          <w:b/>
          <w:i/>
          <w:lang w:eastAsia="gl-ES"/>
        </w:rPr>
        <w:t>“</w:t>
      </w:r>
      <w:r w:rsidR="00C6352A" w:rsidRPr="000C3DA4">
        <w:rPr>
          <w:rFonts w:ascii="Palatino Linotype" w:hAnsi="Palatino Linotype" w:cs="Arial"/>
          <w:b/>
          <w:i/>
          <w:lang w:eastAsia="gl-ES"/>
        </w:rPr>
        <w:t>Artículo 160</w:t>
      </w:r>
      <w:r w:rsidR="00C6352A" w:rsidRPr="000C3DA4">
        <w:rPr>
          <w:rFonts w:ascii="Palatino Linotype" w:hAnsi="Palatino Linotype" w:cs="Arial"/>
          <w:i/>
          <w:lang w:eastAsia="gl-ES"/>
        </w:rPr>
        <w:t xml:space="preserve">. Los sujetos obligados deberán otorgar acceso a los documentos que se encuentren en sus archivos o que estén obligados a documentar de acuerdo </w:t>
      </w:r>
      <w:r w:rsidR="00C6352A" w:rsidRPr="000C3DA4">
        <w:rPr>
          <w:rFonts w:ascii="Palatino Linotype" w:hAnsi="Palatino Linotype" w:cs="Arial"/>
          <w:i/>
          <w:lang w:eastAsia="gl-ES"/>
        </w:rPr>
        <w:lastRenderedPageBreak/>
        <w:t>con sus facultades, competencias o funciones en el formato que el solicitante manifieste, de entre aquellos formatos existentes, conforme a las características físicas de la información o del lugar donde se encuentre así lo permita.</w:t>
      </w:r>
      <w:r w:rsidRPr="000C3DA4">
        <w:rPr>
          <w:rFonts w:ascii="Palatino Linotype" w:hAnsi="Palatino Linotype" w:cs="Arial"/>
          <w:i/>
          <w:lang w:eastAsia="gl-ES"/>
        </w:rPr>
        <w:t>”</w:t>
      </w:r>
    </w:p>
    <w:p w:rsidR="00C6352A" w:rsidRPr="000C3DA4" w:rsidRDefault="00C6352A" w:rsidP="00B3314D">
      <w:pPr>
        <w:spacing w:line="360" w:lineRule="auto"/>
        <w:rPr>
          <w:rFonts w:ascii="Palatino Linotype" w:eastAsiaTheme="minorHAnsi" w:hAnsi="Palatino Linotype" w:cs="Arial"/>
          <w:lang w:eastAsia="en-US"/>
        </w:rPr>
      </w:pPr>
    </w:p>
    <w:p w:rsidR="00182812" w:rsidRPr="000C3DA4" w:rsidRDefault="00182812" w:rsidP="00182812">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0C3DA4">
        <w:rPr>
          <w:rFonts w:ascii="Palatino Linotype" w:eastAsia="Palatino Linotype" w:hAnsi="Palatino Linotype" w:cs="Palatino Linotype"/>
          <w:color w:val="000000"/>
        </w:rPr>
        <w:t xml:space="preserve">Lo anterior en estricta observancia </w:t>
      </w:r>
      <w:r w:rsidRPr="000C3DA4">
        <w:rPr>
          <w:rFonts w:ascii="Palatino Linotype" w:hAnsi="Palatino Linotype" w:cs="Arial"/>
        </w:rPr>
        <w:t>la suplencia de la queja</w:t>
      </w:r>
      <w:r w:rsidR="00A912FD" w:rsidRPr="000C3DA4">
        <w:rPr>
          <w:rFonts w:ascii="Palatino Linotype" w:hAnsi="Palatino Linotype" w:cs="Arial"/>
        </w:rPr>
        <w:t xml:space="preserve"> a favor del solicitante, que</w:t>
      </w:r>
      <w:r w:rsidRPr="000C3DA4">
        <w:rPr>
          <w:rFonts w:ascii="Palatino Linotype" w:hAnsi="Palatino Linotype" w:cs="Arial"/>
        </w:rPr>
        <w:t xml:space="preserve"> tiene como finalidad el subsanar algunas lagunas que pudiesen existir dentro del acto reclamado y no así la complementación, modificación o adición de lo requerido inicialmente.</w:t>
      </w:r>
    </w:p>
    <w:p w:rsidR="00182812" w:rsidRPr="000C3DA4" w:rsidRDefault="00182812" w:rsidP="00182812">
      <w:pPr>
        <w:pBdr>
          <w:top w:val="nil"/>
          <w:left w:val="nil"/>
          <w:bottom w:val="nil"/>
          <w:right w:val="nil"/>
          <w:between w:val="nil"/>
        </w:pBdr>
        <w:spacing w:line="360" w:lineRule="auto"/>
        <w:ind w:right="49"/>
        <w:jc w:val="both"/>
        <w:rPr>
          <w:rFonts w:ascii="Palatino Linotype" w:hAnsi="Palatino Linotype" w:cs="Arial"/>
        </w:rPr>
      </w:pPr>
    </w:p>
    <w:p w:rsidR="00182812" w:rsidRPr="000C3DA4" w:rsidRDefault="00182812" w:rsidP="00182812">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0C3DA4">
        <w:rPr>
          <w:rFonts w:ascii="Palatino Linotype" w:hAnsi="Palatino Linotype" w:cs="Arial"/>
        </w:rPr>
        <w:t xml:space="preserve">Es por </w:t>
      </w:r>
      <w:r w:rsidRPr="000C3DA4">
        <w:rPr>
          <w:rFonts w:ascii="Palatino Linotype" w:eastAsia="Palatino Linotype" w:hAnsi="Palatino Linotype" w:cs="Palatino Linotype"/>
          <w:color w:val="000000"/>
        </w:rPr>
        <w:t>ello</w:t>
      </w:r>
      <w:r w:rsidRPr="000C3DA4">
        <w:rPr>
          <w:rFonts w:ascii="Palatino Linotype" w:hAnsi="Palatino Linotype" w:cs="Arial"/>
        </w:rPr>
        <w:t xml:space="preserve"> que esta Ponencia considera que, si bien el particular refirió en estricto sentido </w:t>
      </w:r>
      <w:r w:rsidRPr="000C3DA4">
        <w:rPr>
          <w:rFonts w:ascii="Palatino Linotype" w:hAnsi="Palatino Linotype" w:cs="Arial"/>
          <w:i/>
        </w:rPr>
        <w:t>sentencia definitiva</w:t>
      </w:r>
      <w:r w:rsidRPr="000C3DA4">
        <w:rPr>
          <w:rFonts w:ascii="Palatino Linotype" w:hAnsi="Palatino Linotype" w:cs="Arial"/>
        </w:rPr>
        <w:t>, también lo es que se deben delimitar los alcances de la suplencia que se prevé en los ordinales 13 y 181 de la Ley de la materia, mismos que indican lo siguiente:</w:t>
      </w:r>
    </w:p>
    <w:p w:rsidR="00182812" w:rsidRPr="000C3DA4" w:rsidRDefault="00182812" w:rsidP="00A912FD">
      <w:pPr>
        <w:widowControl w:val="0"/>
        <w:ind w:left="426" w:right="616"/>
        <w:jc w:val="both"/>
        <w:rPr>
          <w:rFonts w:ascii="Palatino Linotype" w:hAnsi="Palatino Linotype" w:cs="Tahoma"/>
          <w:i/>
        </w:rPr>
      </w:pPr>
      <w:r w:rsidRPr="000C3DA4">
        <w:rPr>
          <w:rFonts w:ascii="Palatino Linotype" w:hAnsi="Palatino Linotype" w:cs="Tahoma"/>
          <w:i/>
        </w:rPr>
        <w:t>“</w:t>
      </w:r>
      <w:r w:rsidRPr="000C3DA4">
        <w:rPr>
          <w:rFonts w:ascii="Palatino Linotype" w:hAnsi="Palatino Linotype" w:cs="Tahoma"/>
          <w:b/>
          <w:i/>
        </w:rPr>
        <w:t>Artículo 13.</w:t>
      </w:r>
      <w:r w:rsidRPr="000C3DA4">
        <w:rPr>
          <w:rFonts w:ascii="Palatino Linotype" w:hAnsi="Palatino Linotype" w:cs="Tahoma"/>
          <w:i/>
        </w:rPr>
        <w:t xml:space="preserve"> El Instituto, en el ámbito de sus atribuciones, deberá suplir cualquier deficiencia para garantizar el ejercicio del derecho de acceso a la información.</w:t>
      </w:r>
    </w:p>
    <w:p w:rsidR="00182812" w:rsidRPr="000C3DA4" w:rsidRDefault="00182812" w:rsidP="00A912FD">
      <w:pPr>
        <w:widowControl w:val="0"/>
        <w:ind w:left="426" w:right="616"/>
        <w:jc w:val="both"/>
        <w:rPr>
          <w:rFonts w:ascii="Palatino Linotype" w:hAnsi="Palatino Linotype" w:cs="Tahoma"/>
          <w:b/>
          <w:i/>
        </w:rPr>
      </w:pPr>
    </w:p>
    <w:p w:rsidR="00182812" w:rsidRPr="000C3DA4" w:rsidRDefault="00182812" w:rsidP="00A912FD">
      <w:pPr>
        <w:widowControl w:val="0"/>
        <w:spacing w:line="360" w:lineRule="auto"/>
        <w:ind w:left="426" w:right="616"/>
        <w:jc w:val="both"/>
        <w:rPr>
          <w:rFonts w:ascii="Palatino Linotype" w:hAnsi="Palatino Linotype" w:cs="Tahoma"/>
          <w:i/>
        </w:rPr>
      </w:pPr>
      <w:r w:rsidRPr="000C3DA4">
        <w:rPr>
          <w:rFonts w:ascii="Palatino Linotype" w:hAnsi="Palatino Linotype" w:cs="Tahoma"/>
          <w:b/>
          <w:i/>
        </w:rPr>
        <w:t>Artículo 181.</w:t>
      </w:r>
      <w:r w:rsidRPr="000C3DA4">
        <w:rPr>
          <w:rFonts w:ascii="Palatino Linotype" w:hAnsi="Palatino Linotype" w:cs="Tahoma"/>
          <w:i/>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La prevención tendrá el efecto de interrumpir el plazo que tiene el Instituto para </w:t>
      </w:r>
      <w:r w:rsidRPr="000C3DA4">
        <w:rPr>
          <w:rFonts w:ascii="Palatino Linotype" w:hAnsi="Palatino Linotype" w:cs="Tahoma"/>
          <w:i/>
        </w:rPr>
        <w:lastRenderedPageBreak/>
        <w:t xml:space="preserve">resolver el recurso, por lo que comenzará a computarse a partir del día siguiente a su desahogo. No podrá prevenirse por el nombre que proporcione el solicitante. 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r w:rsidRPr="000C3DA4">
        <w:rPr>
          <w:rFonts w:ascii="Palatino Linotype" w:hAnsi="Palatino Linotype" w:cs="Tahoma"/>
          <w:b/>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0C3DA4">
        <w:rPr>
          <w:rFonts w:ascii="Palatino Linotype" w:hAnsi="Palatino Linotype" w:cs="Tahoma"/>
          <w:i/>
        </w:rPr>
        <w:t>Para el caso de interposición del recurso de revisión a través de la Plataforma Nacional o la plataforma que para tales efectos habilite el Instituto, éste podrá solicitar al particular subsane las deficiencias por ese medio.</w:t>
      </w:r>
    </w:p>
    <w:p w:rsidR="00182812" w:rsidRPr="000C3DA4" w:rsidRDefault="00182812" w:rsidP="00A912FD">
      <w:pPr>
        <w:widowControl w:val="0"/>
        <w:ind w:left="426" w:right="616"/>
        <w:jc w:val="both"/>
        <w:rPr>
          <w:rFonts w:ascii="Palatino Linotype" w:hAnsi="Palatino Linotype" w:cs="Tahoma"/>
        </w:rPr>
      </w:pPr>
      <w:r w:rsidRPr="000C3DA4">
        <w:rPr>
          <w:rFonts w:ascii="Palatino Linotype" w:hAnsi="Palatino Linotype" w:cs="Tahoma"/>
        </w:rPr>
        <w:t>(Énfasis añadido)</w:t>
      </w:r>
    </w:p>
    <w:p w:rsidR="00182812" w:rsidRPr="000C3DA4" w:rsidRDefault="00182812" w:rsidP="00182812">
      <w:pPr>
        <w:widowControl w:val="0"/>
        <w:ind w:left="709" w:right="757"/>
        <w:jc w:val="both"/>
        <w:rPr>
          <w:rFonts w:ascii="Palatino Linotype" w:hAnsi="Palatino Linotype" w:cs="Tahoma"/>
          <w:i/>
        </w:rPr>
      </w:pPr>
    </w:p>
    <w:p w:rsidR="00182812" w:rsidRPr="000C3DA4" w:rsidRDefault="00182812" w:rsidP="00182812">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0C3DA4">
        <w:rPr>
          <w:rFonts w:ascii="Palatino Linotype" w:hAnsi="Palatino Linotype" w:cs="Arial"/>
        </w:rPr>
        <w:t>Aunado a lo anterior, se considera menester hacer mención de la tesis I.4o.A.41 K (10a.), misma que nos dicta lo siguiente:</w:t>
      </w:r>
    </w:p>
    <w:p w:rsidR="00182812" w:rsidRPr="000C3DA4" w:rsidRDefault="00182812" w:rsidP="00A912FD">
      <w:pPr>
        <w:widowControl w:val="0"/>
        <w:spacing w:line="360" w:lineRule="auto"/>
        <w:ind w:left="426" w:right="616"/>
        <w:jc w:val="both"/>
        <w:rPr>
          <w:rFonts w:ascii="Palatino Linotype" w:hAnsi="Palatino Linotype" w:cstheme="minorBidi"/>
          <w:i/>
        </w:rPr>
      </w:pPr>
      <w:r w:rsidRPr="000C3DA4">
        <w:rPr>
          <w:rFonts w:ascii="Palatino Linotype" w:hAnsi="Palatino Linotype"/>
          <w:i/>
        </w:rPr>
        <w:t xml:space="preserve">SUPLENCIA DE LA QUEJA DEFICIENTE EN EL AMPARO. </w:t>
      </w:r>
      <w:r w:rsidRPr="000C3DA4">
        <w:rPr>
          <w:rFonts w:ascii="Palatino Linotype" w:hAnsi="Palatino Linotype"/>
          <w:b/>
          <w:i/>
        </w:rPr>
        <w:t>NO TIENE EL ALCANCE DE QUE EL JUZGADOR CONSIDERE COMO ACTOS RECLAMADOS, AQUELLOS QUE EL QUEJOSO NO SEÑALÓ</w:t>
      </w:r>
      <w:r w:rsidRPr="000C3DA4">
        <w:rPr>
          <w:rFonts w:ascii="Palatino Linotype" w:hAnsi="Palatino Linotype"/>
          <w:i/>
        </w:rPr>
        <w:t>.</w:t>
      </w:r>
    </w:p>
    <w:p w:rsidR="00182812" w:rsidRPr="000C3DA4" w:rsidRDefault="00182812" w:rsidP="00A912FD">
      <w:pPr>
        <w:widowControl w:val="0"/>
        <w:spacing w:line="360" w:lineRule="auto"/>
        <w:ind w:left="426" w:right="616"/>
        <w:jc w:val="both"/>
        <w:rPr>
          <w:rFonts w:ascii="Palatino Linotype" w:hAnsi="Palatino Linotype"/>
          <w:i/>
        </w:rPr>
      </w:pPr>
      <w:r w:rsidRPr="000C3DA4">
        <w:rPr>
          <w:rFonts w:ascii="Palatino Linotype" w:hAnsi="Palatino Linotype"/>
          <w:i/>
        </w:rPr>
        <w:t xml:space="preserve">De conformidad con el artículo 79 de la Ley de Amparo y la jurisprudencia P./J. 7/2017 (10a.), sustentada por el Pleno de la Suprema Corte de Justicia de la Nación, de título y subtítulo: "SUPLENCIA DE LA DEFICIENCIA DE LOS CONCEPTOS DE VIOLACIÓN O AGRAVIOS PREVISTA EN EL ARTÍCULO 79, FRACCIÓN V, DE LA LEY DE AMPARO. OPERA EN </w:t>
      </w:r>
      <w:r w:rsidRPr="000C3DA4">
        <w:rPr>
          <w:rFonts w:ascii="Palatino Linotype" w:hAnsi="Palatino Linotype"/>
          <w:i/>
        </w:rPr>
        <w:lastRenderedPageBreak/>
        <w:t>FAVOR DE LOS MIEMBROS DE LOS CUERPOS DE SEGURIDAD PÚBLICA, EN LOS PROCEDIMIENTOS ADMINISTRATIVOS DE SEPARACIÓN POR INCUMPLIMIENTO DE LOS REQUISITOS DE INGRESO Y PERMANENCIA.", la suplencia de la queja deficiente en el juicio constitucional se limita a mejorar, subsanar e invocar los conceptos de violación o agravios, entendidos como las lesiones que irroguen los actos reclamados o la sentencia. Por tanto, esa institución no tiene el alcance de que el juzgador considere como actos reclamados, aquellos que el quejoso no señaló, pues incluso el artículo 114, fracción II, en relación con el diverso 108, fracción IV, ambos de la propia ley, dispone que el órgano jurisdiccional debe requerir al promovente para que aclare su demanda cuando omita expresar los actos que de cada autoridad reclame y, si no cumple la prevención, no puede subsanarse esa deficiencia.</w:t>
      </w:r>
    </w:p>
    <w:p w:rsidR="007E5ACA" w:rsidRPr="000C3DA4" w:rsidRDefault="007E5ACA" w:rsidP="007E5AC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030DB2" w:rsidRPr="000C3DA4" w:rsidRDefault="00182812" w:rsidP="00A679C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Luego entonces c</w:t>
      </w:r>
      <w:r w:rsidR="00030DB2" w:rsidRPr="000C3DA4">
        <w:rPr>
          <w:rFonts w:ascii="Palatino Linotype" w:eastAsia="Palatino Linotype" w:hAnsi="Palatino Linotype" w:cs="Palatino Linotype"/>
          <w:color w:val="000000"/>
        </w:rPr>
        <w:t xml:space="preserve">on la determinación anterior, se estima quedara por colmado el derecho de acceso a la </w:t>
      </w:r>
      <w:r w:rsidR="00030DB2" w:rsidRPr="000C3DA4">
        <w:rPr>
          <w:rFonts w:ascii="Palatino Linotype" w:hAnsi="Palatino Linotype" w:cs="Arial"/>
        </w:rPr>
        <w:t>información</w:t>
      </w:r>
      <w:r w:rsidR="00030DB2" w:rsidRPr="000C3DA4">
        <w:rPr>
          <w:rFonts w:ascii="Palatino Linotype" w:eastAsia="Palatino Linotype" w:hAnsi="Palatino Linotype" w:cs="Palatino Linotype"/>
          <w:color w:val="000000"/>
        </w:rPr>
        <w:t xml:space="preserve"> del ahora Recurrente; toda vez que el Derecho que tutela este </w:t>
      </w:r>
      <w:r w:rsidR="00030DB2" w:rsidRPr="000C3DA4">
        <w:rPr>
          <w:rFonts w:ascii="Palatino Linotype" w:eastAsia="Palatino Linotype" w:hAnsi="Palatino Linotype" w:cs="Palatino Linotype"/>
        </w:rPr>
        <w:t>Órgano</w:t>
      </w:r>
      <w:r w:rsidR="00030DB2" w:rsidRPr="000C3DA4">
        <w:rPr>
          <w:rFonts w:ascii="Palatino Linotype" w:eastAsia="Palatino Linotype" w:hAnsi="Palatino Linotype" w:cs="Palatino Linotype"/>
          <w:color w:val="000000"/>
        </w:rPr>
        <w:t xml:space="preserve"> Garante corresponde a la  </w:t>
      </w:r>
      <w:r w:rsidR="00030DB2" w:rsidRPr="000C3DA4">
        <w:rPr>
          <w:rFonts w:ascii="Palatino Linotype" w:eastAsia="Palatino Linotype" w:hAnsi="Palatino Linotype" w:cs="Palatino Linotype"/>
          <w:i/>
          <w:color w:val="000000"/>
        </w:rPr>
        <w:t>igualdad de oportunidades para recibir, buscar e impartir información</w:t>
      </w:r>
      <w:r w:rsidR="00030DB2" w:rsidRPr="000C3DA4">
        <w:rPr>
          <w:rFonts w:ascii="Palatino Linotype" w:eastAsia="Palatino Linotype" w:hAnsi="Palatino Linotype" w:cs="Palatino Linotype"/>
          <w:i/>
          <w:color w:val="000000"/>
          <w:vertAlign w:val="superscript"/>
        </w:rPr>
        <w:footnoteReference w:id="1"/>
      </w:r>
      <w:r w:rsidR="00030DB2" w:rsidRPr="000C3DA4">
        <w:rPr>
          <w:rFonts w:ascii="Palatino Linotype" w:eastAsia="Palatino Linotype" w:hAnsi="Palatino Linotype" w:cs="Palatino Linotype"/>
          <w:i/>
          <w:color w:val="000000"/>
        </w:rPr>
        <w:t xml:space="preserve"> en posesión de cualquier autoridad, entidad, órgano y organismo de los </w:t>
      </w:r>
      <w:r w:rsidR="00030DB2" w:rsidRPr="000C3DA4">
        <w:rPr>
          <w:rFonts w:ascii="Palatino Linotype" w:eastAsia="Palatino Linotype" w:hAnsi="Palatino Linotype" w:cs="Palatino Linotype"/>
          <w:color w:val="000000"/>
        </w:rPr>
        <w:t>poderes</w:t>
      </w:r>
      <w:r w:rsidR="00030DB2" w:rsidRPr="000C3DA4">
        <w:rPr>
          <w:rFonts w:ascii="Palatino Linotype" w:eastAsia="Palatino Linotype" w:hAnsi="Palatino Linotype" w:cs="Palatino Linotype"/>
          <w:i/>
          <w:color w:val="000000"/>
        </w:rPr>
        <w:t xml:space="preserve"> Ejecutivo, Legislativo y Judicial, órganos autónomos, partidos políticos, </w:t>
      </w:r>
      <w:r w:rsidR="00030DB2" w:rsidRPr="000C3DA4">
        <w:rPr>
          <w:rFonts w:ascii="Palatino Linotype" w:eastAsia="Palatino Linotype" w:hAnsi="Palatino Linotype" w:cs="Palatino Linotype"/>
        </w:rPr>
        <w:t>fideicomisos</w:t>
      </w:r>
      <w:r w:rsidR="00030DB2" w:rsidRPr="000C3DA4">
        <w:rPr>
          <w:rFonts w:ascii="Palatino Linotype" w:eastAsia="Palatino Linotype" w:hAnsi="Palatino Linotype" w:cs="Palatino Linotype"/>
          <w:i/>
          <w:color w:val="000000"/>
        </w:rPr>
        <w:t>, y fondos públicos, así como de cualquier persona física, moral o sindicato que reciba y ejerza recursos públicos o realice actos de autoridad en el ámbito federal, estatal y municipal</w:t>
      </w:r>
      <w:r w:rsidR="00030DB2" w:rsidRPr="000C3DA4">
        <w:rPr>
          <w:rFonts w:ascii="Palatino Linotype" w:eastAsia="Palatino Linotype" w:hAnsi="Palatino Linotype" w:cs="Palatino Linotype"/>
          <w:color w:val="000000"/>
          <w:vertAlign w:val="superscript"/>
        </w:rPr>
        <w:footnoteReference w:id="2"/>
      </w:r>
      <w:r w:rsidR="00030DB2" w:rsidRPr="000C3DA4">
        <w:rPr>
          <w:rFonts w:ascii="Palatino Linotype" w:eastAsia="Palatino Linotype" w:hAnsi="Palatino Linotype" w:cs="Palatino Linotype"/>
          <w:i/>
          <w:color w:val="000000"/>
        </w:rPr>
        <w:t xml:space="preserve"> </w:t>
      </w:r>
      <w:r w:rsidR="00030DB2" w:rsidRPr="000C3DA4">
        <w:rPr>
          <w:rFonts w:ascii="Palatino Linotype" w:eastAsia="Palatino Linotype" w:hAnsi="Palatino Linotype" w:cs="Palatino Linotype"/>
          <w:color w:val="000000"/>
        </w:rPr>
        <w:t xml:space="preserve">que se constituye como una herramienta </w:t>
      </w:r>
      <w:r w:rsidR="00030DB2" w:rsidRPr="000C3DA4">
        <w:rPr>
          <w:rFonts w:ascii="Palatino Linotype" w:eastAsia="Palatino Linotype" w:hAnsi="Palatino Linotype" w:cs="Palatino Linotype"/>
          <w:color w:val="000000"/>
        </w:rPr>
        <w:lastRenderedPageBreak/>
        <w:t xml:space="preserve">fundamental para </w:t>
      </w:r>
      <w:r w:rsidR="00030DB2" w:rsidRPr="000C3DA4">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00030DB2" w:rsidRPr="000C3DA4">
        <w:rPr>
          <w:rFonts w:ascii="Palatino Linotype" w:eastAsia="Palatino Linotype" w:hAnsi="Palatino Linotype" w:cs="Palatino Linotype"/>
          <w:i/>
          <w:color w:val="000000"/>
          <w:vertAlign w:val="superscript"/>
        </w:rPr>
        <w:footnoteReference w:id="3"/>
      </w:r>
      <w:r w:rsidR="00030DB2" w:rsidRPr="000C3DA4">
        <w:rPr>
          <w:rFonts w:ascii="Palatino Linotype" w:eastAsia="Palatino Linotype" w:hAnsi="Palatino Linotype" w:cs="Palatino Linotype"/>
          <w:color w:val="000000"/>
        </w:rPr>
        <w:t>fomentando</w:t>
      </w:r>
      <w:r w:rsidR="00030DB2" w:rsidRPr="000C3DA4">
        <w:rPr>
          <w:rFonts w:ascii="Palatino Linotype" w:eastAsia="Palatino Linotype" w:hAnsi="Palatino Linotype" w:cs="Palatino Linotype"/>
          <w:i/>
          <w:color w:val="000000"/>
        </w:rPr>
        <w:t xml:space="preserve"> la transparencia de las actividades estatales y</w:t>
      </w:r>
      <w:r w:rsidR="00030DB2" w:rsidRPr="000C3DA4">
        <w:rPr>
          <w:rFonts w:ascii="Palatino Linotype" w:eastAsia="Palatino Linotype" w:hAnsi="Palatino Linotype" w:cs="Palatino Linotype"/>
          <w:color w:val="000000"/>
        </w:rPr>
        <w:t xml:space="preserve"> promoviendo</w:t>
      </w:r>
      <w:r w:rsidR="00030DB2" w:rsidRPr="000C3DA4">
        <w:rPr>
          <w:rFonts w:ascii="Palatino Linotype" w:eastAsia="Palatino Linotype" w:hAnsi="Palatino Linotype" w:cs="Palatino Linotype"/>
          <w:i/>
          <w:color w:val="000000"/>
        </w:rPr>
        <w:t xml:space="preserve"> la responsabilidad de los funcionarios sobre su gestión pública</w:t>
      </w:r>
      <w:r w:rsidR="00030DB2" w:rsidRPr="000C3DA4">
        <w:rPr>
          <w:rFonts w:ascii="Palatino Linotype" w:eastAsia="Palatino Linotype" w:hAnsi="Palatino Linotype" w:cs="Palatino Linotype"/>
          <w:i/>
          <w:color w:val="000000"/>
          <w:vertAlign w:val="superscript"/>
        </w:rPr>
        <w:footnoteReference w:id="4"/>
      </w:r>
      <w:r w:rsidR="00030DB2" w:rsidRPr="000C3DA4">
        <w:rPr>
          <w:rFonts w:ascii="Palatino Linotype" w:eastAsia="Palatino Linotype" w:hAnsi="Palatino Linotype" w:cs="Palatino Linotype"/>
          <w:i/>
          <w:color w:val="000000"/>
        </w:rPr>
        <w:t xml:space="preserve"> </w:t>
      </w:r>
      <w:r w:rsidR="00030DB2" w:rsidRPr="000C3DA4">
        <w:rPr>
          <w:rFonts w:ascii="Palatino Linotype" w:eastAsia="Palatino Linotype" w:hAnsi="Palatino Linotype" w:cs="Palatino Linotype"/>
          <w:color w:val="000000"/>
        </w:rPr>
        <w:t>que permite</w:t>
      </w:r>
      <w:r w:rsidR="00030DB2" w:rsidRPr="000C3DA4">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00030DB2" w:rsidRPr="000C3DA4">
        <w:rPr>
          <w:rFonts w:ascii="Palatino Linotype" w:eastAsia="Palatino Linotype" w:hAnsi="Palatino Linotype" w:cs="Palatino Linotype"/>
          <w:i/>
          <w:color w:val="000000"/>
          <w:vertAlign w:val="superscript"/>
        </w:rPr>
        <w:footnoteReference w:id="5"/>
      </w:r>
      <w:r w:rsidR="00030DB2" w:rsidRPr="000C3DA4">
        <w:rPr>
          <w:rFonts w:ascii="Palatino Linotype" w:eastAsia="Palatino Linotype" w:hAnsi="Palatino Linotype" w:cs="Palatino Linotype"/>
          <w:color w:val="000000"/>
        </w:rPr>
        <w:t xml:space="preserve"> ” </w:t>
      </w:r>
    </w:p>
    <w:p w:rsidR="00030DB2" w:rsidRPr="000C3DA4" w:rsidRDefault="00030DB2" w:rsidP="00030DB2">
      <w:pPr>
        <w:spacing w:line="360" w:lineRule="auto"/>
        <w:jc w:val="both"/>
        <w:rPr>
          <w:rFonts w:ascii="Palatino Linotype" w:eastAsia="Palatino Linotype" w:hAnsi="Palatino Linotype" w:cs="Palatino Linotype"/>
          <w:color w:val="000000"/>
        </w:rPr>
      </w:pPr>
    </w:p>
    <w:p w:rsidR="00030DB2" w:rsidRPr="000C3DA4" w:rsidRDefault="00030DB2" w:rsidP="00A679C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30DB2" w:rsidRPr="000C3DA4" w:rsidRDefault="00030DB2" w:rsidP="00030DB2">
      <w:pPr>
        <w:spacing w:line="360" w:lineRule="auto"/>
        <w:ind w:left="426"/>
        <w:jc w:val="both"/>
        <w:rPr>
          <w:rFonts w:ascii="Palatino Linotype" w:eastAsia="Palatino Linotype" w:hAnsi="Palatino Linotype" w:cs="Palatino Linotype"/>
          <w:b/>
          <w:i/>
          <w:color w:val="000000"/>
        </w:rPr>
      </w:pPr>
      <w:r w:rsidRPr="000C3DA4">
        <w:rPr>
          <w:rFonts w:ascii="Palatino Linotype" w:eastAsia="Palatino Linotype" w:hAnsi="Palatino Linotype" w:cs="Palatino Linotype"/>
          <w:b/>
          <w:i/>
          <w:color w:val="000000"/>
        </w:rPr>
        <w:t>“CRITERIO 0002-11</w:t>
      </w:r>
    </w:p>
    <w:p w:rsidR="00030DB2" w:rsidRPr="000C3DA4" w:rsidRDefault="00030DB2" w:rsidP="00030DB2">
      <w:pPr>
        <w:spacing w:line="360" w:lineRule="auto"/>
        <w:ind w:left="425"/>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0C3DA4">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w:t>
      </w:r>
      <w:r w:rsidRPr="000C3DA4">
        <w:rPr>
          <w:rFonts w:ascii="Palatino Linotype" w:eastAsia="Palatino Linotype" w:hAnsi="Palatino Linotype" w:cs="Palatino Linotype"/>
          <w:i/>
          <w:color w:val="000000"/>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30DB2" w:rsidRPr="000C3DA4" w:rsidRDefault="00030DB2" w:rsidP="00030DB2">
      <w:pPr>
        <w:spacing w:line="360" w:lineRule="auto"/>
        <w:ind w:left="425"/>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En consecuencia el acceso a la información se refiere a que se cumplan cualquiera de los siguientes tres supuestos:</w:t>
      </w:r>
    </w:p>
    <w:p w:rsidR="00030DB2" w:rsidRPr="000C3DA4" w:rsidRDefault="00030DB2" w:rsidP="00030DB2">
      <w:pPr>
        <w:spacing w:line="360" w:lineRule="auto"/>
        <w:ind w:left="425"/>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030DB2" w:rsidRPr="000C3DA4" w:rsidRDefault="00030DB2" w:rsidP="00030DB2">
      <w:pPr>
        <w:spacing w:line="360" w:lineRule="auto"/>
        <w:ind w:left="425"/>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030DB2" w:rsidRPr="000C3DA4" w:rsidRDefault="00030DB2" w:rsidP="00030DB2">
      <w:pPr>
        <w:spacing w:line="360" w:lineRule="auto"/>
        <w:ind w:left="425"/>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030DB2" w:rsidRPr="000C3DA4" w:rsidRDefault="00030DB2" w:rsidP="00030DB2">
      <w:pPr>
        <w:spacing w:line="360" w:lineRule="auto"/>
        <w:jc w:val="both"/>
        <w:rPr>
          <w:rFonts w:ascii="Palatino Linotype" w:eastAsia="Palatino Linotype" w:hAnsi="Palatino Linotype" w:cs="Palatino Linotype"/>
          <w:color w:val="000000"/>
        </w:rPr>
      </w:pPr>
    </w:p>
    <w:p w:rsidR="00030DB2" w:rsidRPr="000C3DA4" w:rsidRDefault="00030DB2" w:rsidP="00A679C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 xml:space="preserve">Es así que, todos los actos de autoridad que realicen los Sujetos Obligados </w:t>
      </w:r>
      <w:r w:rsidRPr="000C3DA4">
        <w:rPr>
          <w:rFonts w:ascii="Palatino Linotype" w:eastAsia="Palatino Linotype" w:hAnsi="Palatino Linotype" w:cs="Palatino Linotype"/>
          <w:b/>
          <w:color w:val="000000"/>
        </w:rPr>
        <w:t xml:space="preserve">deben </w:t>
      </w:r>
      <w:r w:rsidRPr="000C3DA4">
        <w:rPr>
          <w:rFonts w:ascii="Palatino Linotype" w:eastAsia="Palatino Linotype" w:hAnsi="Palatino Linotype" w:cs="Palatino Linotype"/>
          <w:color w:val="000000"/>
        </w:rPr>
        <w:t>estar</w:t>
      </w:r>
      <w:r w:rsidRPr="000C3DA4">
        <w:rPr>
          <w:rFonts w:ascii="Palatino Linotype" w:eastAsia="Palatino Linotype" w:hAnsi="Palatino Linotype" w:cs="Palatino Linotype"/>
          <w:b/>
          <w:color w:val="000000"/>
        </w:rPr>
        <w:t xml:space="preserve"> </w:t>
      </w:r>
      <w:r w:rsidRPr="000C3DA4">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030DB2" w:rsidRPr="000C3DA4" w:rsidRDefault="00030DB2" w:rsidP="00030DB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30DB2" w:rsidRPr="000C3DA4" w:rsidRDefault="00030DB2" w:rsidP="00A679C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030DB2" w:rsidRPr="000C3DA4" w:rsidRDefault="00030DB2" w:rsidP="00030DB2">
      <w:pPr>
        <w:pStyle w:val="Prrafodelista"/>
        <w:rPr>
          <w:rFonts w:ascii="Palatino Linotype" w:eastAsia="Palatino Linotype" w:hAnsi="Palatino Linotype" w:cs="Palatino Linotype"/>
          <w:color w:val="000000"/>
        </w:rPr>
      </w:pPr>
    </w:p>
    <w:p w:rsidR="00030DB2" w:rsidRPr="000C3DA4" w:rsidRDefault="00030DB2" w:rsidP="00030DB2">
      <w:pPr>
        <w:spacing w:line="360" w:lineRule="auto"/>
        <w:ind w:left="425"/>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b/>
          <w:i/>
          <w:color w:val="000000"/>
        </w:rPr>
        <w:lastRenderedPageBreak/>
        <w:t xml:space="preserve">“Artículo 4. </w:t>
      </w:r>
      <w:r w:rsidRPr="000C3DA4">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030DB2" w:rsidRPr="000C3DA4" w:rsidRDefault="00030DB2" w:rsidP="00030DB2">
      <w:pPr>
        <w:spacing w:line="360" w:lineRule="auto"/>
        <w:ind w:left="426"/>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b/>
          <w:i/>
          <w:color w:val="000000"/>
        </w:rPr>
        <w:t>Toda la información</w:t>
      </w:r>
      <w:r w:rsidRPr="000C3DA4">
        <w:rPr>
          <w:rFonts w:ascii="Palatino Linotype" w:eastAsia="Palatino Linotype" w:hAnsi="Palatino Linotype" w:cs="Palatino Linotype"/>
          <w:i/>
          <w:color w:val="000000"/>
        </w:rPr>
        <w:t xml:space="preserve"> generada, obtenida, adquirida, transformada, administrada o </w:t>
      </w:r>
      <w:r w:rsidRPr="000C3DA4">
        <w:rPr>
          <w:rFonts w:ascii="Palatino Linotype" w:eastAsia="Palatino Linotype" w:hAnsi="Palatino Linotype" w:cs="Palatino Linotype"/>
          <w:b/>
          <w:i/>
          <w:color w:val="000000"/>
        </w:rPr>
        <w:t>en posesión de los sujetos obligados es pública</w:t>
      </w:r>
      <w:r w:rsidRPr="000C3DA4">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30DB2" w:rsidRPr="000C3DA4" w:rsidRDefault="00030DB2" w:rsidP="00030DB2">
      <w:pPr>
        <w:spacing w:line="360" w:lineRule="auto"/>
        <w:ind w:left="426"/>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030DB2" w:rsidRPr="000C3DA4" w:rsidRDefault="00030DB2" w:rsidP="00030DB2">
      <w:pPr>
        <w:spacing w:line="360" w:lineRule="auto"/>
        <w:jc w:val="both"/>
        <w:rPr>
          <w:rFonts w:ascii="Palatino Linotype" w:eastAsia="Palatino Linotype" w:hAnsi="Palatino Linotype" w:cs="Palatino Linotype"/>
          <w:color w:val="000000"/>
        </w:rPr>
      </w:pPr>
    </w:p>
    <w:p w:rsidR="00030DB2" w:rsidRPr="000C3DA4" w:rsidRDefault="00030DB2" w:rsidP="00A679C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C3DA4">
        <w:rPr>
          <w:rFonts w:ascii="Palatino Linotype" w:eastAsia="Palatino Linotype" w:hAnsi="Palatino Linotype" w:cs="Palatino Linotype"/>
          <w:color w:val="000000"/>
        </w:rPr>
        <w:footnoteReference w:id="6"/>
      </w:r>
      <w:r w:rsidRPr="000C3DA4">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w:t>
      </w:r>
      <w:r w:rsidRPr="000C3DA4">
        <w:rPr>
          <w:rFonts w:ascii="Palatino Linotype" w:eastAsia="Palatino Linotype" w:hAnsi="Palatino Linotype" w:cs="Palatino Linotype"/>
          <w:color w:val="000000"/>
        </w:rPr>
        <w:lastRenderedPageBreak/>
        <w:t>Obligados será pública, completa, oportuna y accesible, lo que permite que la ciudadanía tenga un amplio acceso sobre lo que es el actuar de las autoridades.</w:t>
      </w:r>
    </w:p>
    <w:p w:rsidR="00030DB2" w:rsidRPr="000C3DA4" w:rsidRDefault="00030DB2" w:rsidP="00030DB2">
      <w:pPr>
        <w:spacing w:line="360" w:lineRule="auto"/>
        <w:jc w:val="both"/>
        <w:rPr>
          <w:rFonts w:ascii="Palatino Linotype" w:eastAsia="Palatino Linotype" w:hAnsi="Palatino Linotype" w:cs="Palatino Linotype"/>
          <w:color w:val="000000"/>
        </w:rPr>
      </w:pPr>
    </w:p>
    <w:p w:rsidR="00030DB2" w:rsidRPr="000C3DA4" w:rsidRDefault="00030DB2" w:rsidP="00A679C6">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030DB2" w:rsidRPr="000C3DA4" w:rsidRDefault="00030DB2" w:rsidP="00030DB2">
      <w:pPr>
        <w:pBdr>
          <w:top w:val="nil"/>
          <w:left w:val="nil"/>
          <w:bottom w:val="nil"/>
          <w:right w:val="nil"/>
          <w:between w:val="nil"/>
        </w:pBdr>
        <w:tabs>
          <w:tab w:val="left" w:pos="851"/>
        </w:tabs>
        <w:spacing w:line="360" w:lineRule="auto"/>
        <w:ind w:left="425"/>
        <w:jc w:val="both"/>
        <w:rPr>
          <w:rFonts w:ascii="Palatino Linotype" w:eastAsia="Palatino Linotype" w:hAnsi="Palatino Linotype" w:cs="Palatino Linotype"/>
          <w:i/>
          <w:color w:val="000000"/>
        </w:rPr>
      </w:pPr>
      <w:r w:rsidRPr="000C3DA4">
        <w:rPr>
          <w:rFonts w:ascii="Palatino Linotype" w:eastAsia="Palatino Linotype" w:hAnsi="Palatino Linotype" w:cs="Palatino Linotype"/>
          <w:b/>
          <w:i/>
          <w:color w:val="000000"/>
        </w:rPr>
        <w:t>“ACCESO A LA INFORMACIÓN. IMPLICACIÓN DEL PRINCIPIO DE MÁXIMA PUBLICIDAD EN EL DERECHO FUNDAMENTAL RELATIVO.</w:t>
      </w:r>
      <w:r w:rsidRPr="000C3DA4">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sidRPr="000C3DA4">
        <w:rPr>
          <w:rFonts w:ascii="Palatino Linotype" w:eastAsia="Palatino Linotype" w:hAnsi="Palatino Linotype" w:cs="Palatino Linotype"/>
          <w:i/>
          <w:color w:val="000000"/>
        </w:rPr>
        <w:lastRenderedPageBreak/>
        <w:t>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E4007" w:rsidRPr="000C3DA4" w:rsidRDefault="00DE4007" w:rsidP="00B3314D">
      <w:pPr>
        <w:spacing w:line="360" w:lineRule="auto"/>
        <w:jc w:val="both"/>
        <w:rPr>
          <w:rFonts w:ascii="Palatino Linotype" w:eastAsia="Palatino Linotype" w:hAnsi="Palatino Linotype" w:cs="Palatino Linotype"/>
          <w:b/>
        </w:rPr>
      </w:pPr>
    </w:p>
    <w:p w:rsidR="008C5F6E" w:rsidRPr="000C3DA4" w:rsidRDefault="008C5F6E" w:rsidP="00B3314D">
      <w:pPr>
        <w:keepNext/>
        <w:keepLines/>
        <w:spacing w:line="360" w:lineRule="auto"/>
        <w:outlineLvl w:val="0"/>
        <w:rPr>
          <w:rFonts w:ascii="Palatino Linotype" w:eastAsiaTheme="majorEastAsia" w:hAnsi="Palatino Linotype" w:cstheme="majorBidi"/>
          <w:b/>
        </w:rPr>
      </w:pPr>
      <w:bookmarkStart w:id="2" w:name="_Toc87549682"/>
      <w:r w:rsidRPr="000C3DA4">
        <w:rPr>
          <w:rFonts w:ascii="Palatino Linotype" w:eastAsiaTheme="majorEastAsia" w:hAnsi="Palatino Linotype" w:cstheme="majorBidi"/>
          <w:b/>
        </w:rPr>
        <w:t>QUINTO. De la versión pública.</w:t>
      </w:r>
      <w:bookmarkEnd w:id="2"/>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eastAsia="Arial Unicode MS" w:hAnsi="Palatino Linotype"/>
        </w:rPr>
      </w:pPr>
      <w:r w:rsidRPr="000C3DA4">
        <w:rPr>
          <w:rFonts w:ascii="Palatino Linotype" w:hAnsi="Palatino Linotype" w:cs="Arial"/>
          <w:color w:val="000000"/>
        </w:rPr>
        <w:t>Debe destacarse que, debido a la naturaleza de la información solicitada</w:t>
      </w:r>
      <w:r w:rsidRPr="000C3DA4">
        <w:rPr>
          <w:rFonts w:ascii="Palatino Linotype" w:hAnsi="Palatino Linotype" w:cs="Arial"/>
          <w:b/>
          <w:color w:val="000000"/>
        </w:rPr>
        <w:t xml:space="preserve">, </w:t>
      </w:r>
      <w:r w:rsidRPr="000C3DA4">
        <w:rPr>
          <w:rFonts w:ascii="Palatino Linotype" w:hAnsi="Palatino Linotype" w:cs="Arial"/>
          <w:color w:val="000000"/>
        </w:rPr>
        <w:t xml:space="preserve">eventualmente pudiera obrar datos personales susceptibles de protegerse, así como información susceptible de clasificarse como reservada, el </w:t>
      </w:r>
      <w:r w:rsidRPr="000C3DA4">
        <w:rPr>
          <w:rFonts w:ascii="Palatino Linotype" w:hAnsi="Palatino Linotype" w:cs="Arial"/>
          <w:b/>
          <w:bCs/>
          <w:color w:val="000000"/>
        </w:rPr>
        <w:t xml:space="preserve">SUJETO OBLIGADO </w:t>
      </w:r>
      <w:r w:rsidRPr="000C3DA4">
        <w:rPr>
          <w:rFonts w:ascii="Palatino Linotype" w:hAnsi="Palatino Linotype" w:cs="Arial"/>
          <w:color w:val="000000"/>
        </w:rPr>
        <w:t>deberá de hacer la adecuada versión pública, protegiendo los datos que no son susceptibles de ser proporcionados, om</w:t>
      </w:r>
      <w:r w:rsidRPr="000C3DA4">
        <w:rPr>
          <w:rFonts w:ascii="Palatino Linotype" w:eastAsia="Arial Unicode MS" w:hAnsi="Palatino Linotype"/>
        </w:rPr>
        <w:t>itiendo, eliminando o suprimiendo la información susceptible de ser clasificadas como confidencial o cualquier otro dato que ponga en riesgo la vida, seguridad o salud de dicha persona.</w:t>
      </w:r>
    </w:p>
    <w:p w:rsidR="008C5F6E" w:rsidRPr="000C3DA4" w:rsidRDefault="008C5F6E" w:rsidP="00B3314D">
      <w:pPr>
        <w:spacing w:line="360" w:lineRule="auto"/>
        <w:rPr>
          <w:rFonts w:ascii="Palatino Linotype" w:hAnsi="Palatino Linotype"/>
          <w:bCs/>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bCs/>
        </w:rPr>
        <w:t>A este respecto, los</w:t>
      </w:r>
      <w:r w:rsidRPr="000C3DA4">
        <w:rPr>
          <w:rFonts w:ascii="Palatino Linotype" w:hAnsi="Palatino Linotype"/>
        </w:rPr>
        <w:t xml:space="preserve"> </w:t>
      </w:r>
      <w:r w:rsidRPr="000C3DA4">
        <w:rPr>
          <w:rFonts w:ascii="Palatino Linotype" w:hAnsi="Palatino Linotype" w:cs="Arial"/>
          <w:color w:val="000000"/>
        </w:rPr>
        <w:t>artículos</w:t>
      </w:r>
      <w:r w:rsidRPr="000C3DA4">
        <w:rPr>
          <w:rFonts w:ascii="Palatino Linotype" w:hAnsi="Palatino Linotype"/>
        </w:rPr>
        <w:t xml:space="preserve"> 3, fracciones IX, XX, XXI y XLV; 51 y 52de la Ley de Transparencia y Acceso a la Información Pública del Estado de México y Municipios establecen:</w:t>
      </w:r>
    </w:p>
    <w:p w:rsidR="008C5F6E" w:rsidRPr="000C3DA4" w:rsidRDefault="008C5F6E" w:rsidP="00B3314D">
      <w:pPr>
        <w:spacing w:line="360" w:lineRule="auto"/>
        <w:ind w:left="567" w:right="616"/>
        <w:rPr>
          <w:rFonts w:ascii="Palatino Linotype" w:hAnsi="Palatino Linotype"/>
          <w:i/>
        </w:rPr>
      </w:pPr>
      <w:r w:rsidRPr="000C3DA4">
        <w:rPr>
          <w:rFonts w:ascii="Palatino Linotype" w:hAnsi="Palatino Linotype" w:cs="Arial"/>
          <w:b/>
          <w:bCs/>
          <w:i/>
        </w:rPr>
        <w:t xml:space="preserve">Artículo 3. </w:t>
      </w:r>
      <w:r w:rsidRPr="000C3DA4">
        <w:rPr>
          <w:rFonts w:ascii="Palatino Linotype" w:hAnsi="Palatino Linotype"/>
          <w:i/>
        </w:rPr>
        <w:t xml:space="preserve">Para los efectos de la presente Ley se entenderá por: </w:t>
      </w:r>
    </w:p>
    <w:p w:rsidR="008C5F6E" w:rsidRPr="000C3DA4" w:rsidRDefault="008C5F6E" w:rsidP="00B3314D">
      <w:pPr>
        <w:spacing w:line="360" w:lineRule="auto"/>
        <w:ind w:left="567" w:right="616"/>
        <w:rPr>
          <w:rFonts w:ascii="Palatino Linotype" w:hAnsi="Palatino Linotype"/>
          <w:i/>
        </w:rPr>
      </w:pPr>
      <w:r w:rsidRPr="000C3DA4">
        <w:rPr>
          <w:rFonts w:ascii="Palatino Linotype" w:hAnsi="Palatino Linotype" w:cs="Arial"/>
          <w:i/>
        </w:rPr>
        <w:t>(…</w:t>
      </w:r>
      <w:r w:rsidRPr="000C3DA4">
        <w:rPr>
          <w:rFonts w:ascii="Palatino Linotype" w:hAnsi="Palatino Linotype"/>
          <w:i/>
        </w:rPr>
        <w:t>)</w:t>
      </w:r>
    </w:p>
    <w:p w:rsidR="008C5F6E" w:rsidRPr="000C3DA4" w:rsidRDefault="008C5F6E" w:rsidP="00B3314D">
      <w:pPr>
        <w:spacing w:line="360" w:lineRule="auto"/>
        <w:ind w:left="567" w:right="616"/>
        <w:rPr>
          <w:rFonts w:ascii="Palatino Linotype" w:hAnsi="Palatino Linotype" w:cs="Arial"/>
          <w:i/>
        </w:rPr>
      </w:pPr>
      <w:r w:rsidRPr="000C3DA4">
        <w:rPr>
          <w:rFonts w:ascii="Palatino Linotype" w:hAnsi="Palatino Linotype" w:cs="Arial"/>
          <w:b/>
          <w:i/>
        </w:rPr>
        <w:lastRenderedPageBreak/>
        <w:t>IX.</w:t>
      </w:r>
      <w:r w:rsidRPr="000C3DA4">
        <w:rPr>
          <w:rFonts w:ascii="Palatino Linotype" w:hAnsi="Palatino Linotype" w:cs="Arial"/>
          <w:i/>
        </w:rPr>
        <w:t xml:space="preserve"> </w:t>
      </w:r>
      <w:r w:rsidRPr="000C3DA4">
        <w:rPr>
          <w:rFonts w:ascii="Palatino Linotype" w:hAnsi="Palatino Linotype" w:cs="Arial"/>
          <w:b/>
          <w:i/>
        </w:rPr>
        <w:t xml:space="preserve">Datos personales: </w:t>
      </w:r>
      <w:r w:rsidRPr="000C3DA4">
        <w:rPr>
          <w:rFonts w:ascii="Palatino Linotype" w:hAnsi="Palatino Linotype" w:cs="Arial"/>
          <w:i/>
        </w:rPr>
        <w:t xml:space="preserve">La información concerniente a una persona, identificada o identificable según lo dispuesto por la Ley de Protección de Datos Personales del Estado de México; </w:t>
      </w:r>
    </w:p>
    <w:p w:rsidR="008C5F6E" w:rsidRPr="000C3DA4" w:rsidRDefault="008C5F6E" w:rsidP="00B3314D">
      <w:pPr>
        <w:spacing w:line="360" w:lineRule="auto"/>
        <w:ind w:left="567" w:right="616"/>
        <w:rPr>
          <w:rFonts w:ascii="Palatino Linotype" w:hAnsi="Palatino Linotype" w:cs="Arial"/>
          <w:i/>
        </w:rPr>
      </w:pPr>
      <w:r w:rsidRPr="000C3DA4">
        <w:rPr>
          <w:rFonts w:ascii="Palatino Linotype" w:hAnsi="Palatino Linotype" w:cs="Arial"/>
          <w:i/>
        </w:rPr>
        <w:t>(…)</w:t>
      </w:r>
    </w:p>
    <w:p w:rsidR="008C5F6E" w:rsidRPr="000C3DA4" w:rsidRDefault="008C5F6E" w:rsidP="00B3314D">
      <w:pPr>
        <w:spacing w:line="360" w:lineRule="auto"/>
        <w:ind w:left="567" w:right="616"/>
        <w:rPr>
          <w:rFonts w:ascii="Palatino Linotype" w:hAnsi="Palatino Linotype" w:cs="Arial"/>
          <w:i/>
        </w:rPr>
      </w:pPr>
      <w:r w:rsidRPr="000C3DA4">
        <w:rPr>
          <w:rFonts w:ascii="Palatino Linotype" w:hAnsi="Palatino Linotype" w:cs="Arial"/>
          <w:b/>
          <w:i/>
        </w:rPr>
        <w:t>XX.</w:t>
      </w:r>
      <w:r w:rsidRPr="000C3DA4">
        <w:rPr>
          <w:rFonts w:ascii="Palatino Linotype" w:hAnsi="Palatino Linotype" w:cs="Arial"/>
          <w:i/>
        </w:rPr>
        <w:t xml:space="preserve"> </w:t>
      </w:r>
      <w:r w:rsidRPr="000C3DA4">
        <w:rPr>
          <w:rFonts w:ascii="Palatino Linotype" w:hAnsi="Palatino Linotype" w:cs="Arial"/>
          <w:b/>
          <w:i/>
        </w:rPr>
        <w:t>Información clasificada:</w:t>
      </w:r>
      <w:r w:rsidRPr="000C3DA4">
        <w:rPr>
          <w:rFonts w:ascii="Palatino Linotype" w:hAnsi="Palatino Linotype" w:cs="Arial"/>
          <w:i/>
        </w:rPr>
        <w:t xml:space="preserve"> Aquella considerada por la presente Ley como reservada o confidencial; </w:t>
      </w:r>
    </w:p>
    <w:p w:rsidR="008C5F6E" w:rsidRPr="000C3DA4" w:rsidRDefault="008C5F6E" w:rsidP="00B3314D">
      <w:pPr>
        <w:spacing w:line="360" w:lineRule="auto"/>
        <w:ind w:left="567" w:right="616"/>
        <w:rPr>
          <w:rFonts w:ascii="Palatino Linotype" w:hAnsi="Palatino Linotype" w:cs="Arial"/>
          <w:i/>
        </w:rPr>
      </w:pPr>
      <w:r w:rsidRPr="000C3DA4">
        <w:rPr>
          <w:rFonts w:ascii="Palatino Linotype" w:hAnsi="Palatino Linotype" w:cs="Arial"/>
          <w:b/>
          <w:i/>
        </w:rPr>
        <w:t>XXI.</w:t>
      </w:r>
      <w:r w:rsidRPr="000C3DA4">
        <w:rPr>
          <w:rFonts w:ascii="Palatino Linotype" w:hAnsi="Palatino Linotype" w:cs="Arial"/>
          <w:i/>
        </w:rPr>
        <w:t xml:space="preserve"> </w:t>
      </w:r>
      <w:r w:rsidRPr="000C3DA4">
        <w:rPr>
          <w:rFonts w:ascii="Palatino Linotype" w:hAnsi="Palatino Linotype" w:cs="Arial"/>
          <w:b/>
          <w:i/>
        </w:rPr>
        <w:t>Información confidencial</w:t>
      </w:r>
      <w:r w:rsidRPr="000C3DA4">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C5F6E" w:rsidRPr="000C3DA4" w:rsidRDefault="008C5F6E" w:rsidP="00B3314D">
      <w:pPr>
        <w:spacing w:line="360" w:lineRule="auto"/>
        <w:ind w:left="567" w:right="616"/>
        <w:rPr>
          <w:rFonts w:ascii="Palatino Linotype" w:hAnsi="Palatino Linotype" w:cs="Arial"/>
          <w:i/>
        </w:rPr>
      </w:pPr>
      <w:r w:rsidRPr="000C3DA4">
        <w:rPr>
          <w:rFonts w:ascii="Palatino Linotype" w:hAnsi="Palatino Linotype" w:cs="Arial"/>
          <w:i/>
        </w:rPr>
        <w:t>(…)</w:t>
      </w:r>
    </w:p>
    <w:p w:rsidR="008C5F6E" w:rsidRPr="000C3DA4" w:rsidRDefault="008C5F6E" w:rsidP="00B3314D">
      <w:pPr>
        <w:spacing w:line="360" w:lineRule="auto"/>
        <w:ind w:left="567" w:right="616"/>
        <w:rPr>
          <w:rFonts w:ascii="Palatino Linotype" w:hAnsi="Palatino Linotype" w:cs="Arial"/>
          <w:i/>
        </w:rPr>
      </w:pPr>
      <w:r w:rsidRPr="000C3DA4">
        <w:rPr>
          <w:rFonts w:ascii="Palatino Linotype" w:hAnsi="Palatino Linotype" w:cs="Arial"/>
          <w:b/>
          <w:i/>
        </w:rPr>
        <w:t>XLV. Versión pública:</w:t>
      </w:r>
      <w:r w:rsidRPr="000C3DA4">
        <w:rPr>
          <w:rFonts w:ascii="Palatino Linotype" w:hAnsi="Palatino Linotype" w:cs="Arial"/>
          <w:i/>
        </w:rPr>
        <w:t xml:space="preserve"> Documento en el que se elimine, suprime o borra la información clasificada como reservada o confidencial para permitir su acceso. </w:t>
      </w:r>
    </w:p>
    <w:p w:rsidR="008C5F6E" w:rsidRPr="000C3DA4" w:rsidRDefault="008C5F6E" w:rsidP="00B3314D">
      <w:pPr>
        <w:spacing w:line="360" w:lineRule="auto"/>
        <w:ind w:left="567" w:right="616"/>
        <w:rPr>
          <w:rFonts w:ascii="Palatino Linotype" w:hAnsi="Palatino Linotype" w:cs="Arial"/>
          <w:i/>
        </w:rPr>
      </w:pPr>
    </w:p>
    <w:p w:rsidR="008C5F6E" w:rsidRPr="000C3DA4" w:rsidRDefault="008C5F6E" w:rsidP="00B3314D">
      <w:pPr>
        <w:spacing w:line="360" w:lineRule="auto"/>
        <w:ind w:left="567" w:right="616"/>
        <w:rPr>
          <w:rFonts w:ascii="Palatino Linotype" w:hAnsi="Palatino Linotype" w:cs="Arial"/>
          <w:i/>
        </w:rPr>
      </w:pPr>
      <w:r w:rsidRPr="000C3DA4">
        <w:rPr>
          <w:rFonts w:ascii="Palatino Linotype" w:hAnsi="Palatino Linotype" w:cs="Arial"/>
          <w:b/>
          <w:i/>
        </w:rPr>
        <w:t>Artículo 51.</w:t>
      </w:r>
      <w:r w:rsidRPr="000C3DA4">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C3DA4">
        <w:rPr>
          <w:rFonts w:ascii="Palatino Linotype" w:hAnsi="Palatino Linotype" w:cs="Arial"/>
          <w:b/>
          <w:i/>
        </w:rPr>
        <w:t xml:space="preserve">y tendrá la responsabilidad de verificar en cada caso que la misma no sea confidencial o reservada. </w:t>
      </w:r>
      <w:r w:rsidRPr="000C3DA4">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rsidR="008C5F6E" w:rsidRPr="000C3DA4" w:rsidRDefault="008C5F6E" w:rsidP="00B3314D">
      <w:pPr>
        <w:spacing w:line="360" w:lineRule="auto"/>
        <w:ind w:left="567" w:right="616"/>
        <w:rPr>
          <w:rFonts w:ascii="Palatino Linotype" w:hAnsi="Palatino Linotype" w:cs="Arial"/>
          <w:bCs/>
          <w:i/>
          <w:noProof/>
        </w:rPr>
      </w:pPr>
      <w:r w:rsidRPr="000C3DA4">
        <w:rPr>
          <w:rFonts w:ascii="Palatino Linotype" w:hAnsi="Palatino Linotype" w:cs="Arial"/>
          <w:b/>
          <w:i/>
        </w:rPr>
        <w:t>Artículo 52.</w:t>
      </w:r>
      <w:r w:rsidRPr="000C3DA4">
        <w:rPr>
          <w:rFonts w:ascii="Palatino Linotype" w:hAnsi="Palatino Linotype" w:cs="Arial"/>
          <w:i/>
        </w:rPr>
        <w:t xml:space="preserve"> Las solicitudes de acceso a la información y las respuestas que se les dé, incluyendo, en su caso, la información entregada, así como las </w:t>
      </w:r>
      <w:r w:rsidRPr="000C3DA4">
        <w:rPr>
          <w:rFonts w:ascii="Palatino Linotype" w:hAnsi="Palatino Linotype" w:cs="Arial"/>
          <w:i/>
        </w:rPr>
        <w:lastRenderedPageBreak/>
        <w:t>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8C5F6E" w:rsidRPr="000C3DA4" w:rsidRDefault="008C5F6E" w:rsidP="00B3314D">
      <w:pPr>
        <w:spacing w:line="360" w:lineRule="auto"/>
        <w:rPr>
          <w:rFonts w:ascii="Palatino Linotype" w:hAnsi="Palatino Linotype"/>
          <w:noProof/>
        </w:rPr>
      </w:pPr>
    </w:p>
    <w:p w:rsidR="008C5F6E" w:rsidRPr="000C3DA4" w:rsidRDefault="008C5F6E" w:rsidP="00B3314D">
      <w:pPr>
        <w:numPr>
          <w:ilvl w:val="0"/>
          <w:numId w:val="13"/>
        </w:numPr>
        <w:spacing w:line="360" w:lineRule="auto"/>
        <w:jc w:val="both"/>
        <w:rPr>
          <w:rFonts w:ascii="Palatino Linotype" w:hAnsi="Palatino Linotype" w:cs="Tahoma"/>
          <w:b/>
        </w:rPr>
      </w:pPr>
      <w:r w:rsidRPr="000C3DA4">
        <w:rPr>
          <w:rFonts w:ascii="Palatino Linotype" w:hAnsi="Palatino Linotype" w:cs="Tahoma"/>
          <w:b/>
        </w:rPr>
        <w:t xml:space="preserve">Nombre de particulares </w:t>
      </w: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cs="Tahoma"/>
          <w:lang w:val="es-419"/>
        </w:rPr>
      </w:pPr>
      <w:r w:rsidRPr="000C3DA4">
        <w:rPr>
          <w:rFonts w:ascii="Palatino Linotype" w:hAnsi="Palatino Linotype" w:cs="Tahoma"/>
          <w:lang w:val="es-419"/>
        </w:rPr>
        <w:t xml:space="preserve">El nombre se integra con el sustantivo propio y el primer apellido de los padres, en el orden que, de común acuerdo determinen; asimismo es la manifestación principal del </w:t>
      </w:r>
      <w:r w:rsidRPr="000C3DA4">
        <w:rPr>
          <w:rFonts w:ascii="Palatino Linotype" w:hAnsi="Palatino Linotype"/>
          <w:bCs/>
        </w:rPr>
        <w:t>derecho</w:t>
      </w:r>
      <w:r w:rsidRPr="000C3DA4">
        <w:rPr>
          <w:rFonts w:ascii="Palatino Linotype" w:hAnsi="Palatino Linotype" w:cs="Tahoma"/>
          <w:lang w:val="es-419"/>
        </w:rPr>
        <w:t xml:space="preserve"> subjetivo a la personalidad y atributo de esta en términos del artículo 2.3 del Código Civil del Estado de México, de tal suerte, el nombre per se es un elemento que hace a una persona física identificada o identificable, por lo que, se considera un dato personal. Por lo que el nombre de personas físicas que no tienen nada que ver con el servicio público y que no realizan actos de autoridad o reciben recursos públicos, es un dato confidencial, en términos del artículo 143, fracción I de la Ley de Transparencia y Acceso a la Información.</w:t>
      </w:r>
    </w:p>
    <w:p w:rsidR="008C5F6E" w:rsidRPr="000C3DA4" w:rsidRDefault="008C5F6E" w:rsidP="00B3314D">
      <w:pPr>
        <w:spacing w:line="360" w:lineRule="auto"/>
        <w:rPr>
          <w:rFonts w:ascii="Palatino Linotype" w:hAnsi="Palatino Linotype" w:cs="Tahoma"/>
          <w:lang w:val="es-419"/>
        </w:rPr>
      </w:pPr>
    </w:p>
    <w:p w:rsidR="008C5F6E" w:rsidRPr="000C3DA4" w:rsidRDefault="008C5F6E" w:rsidP="00B3314D">
      <w:pPr>
        <w:numPr>
          <w:ilvl w:val="0"/>
          <w:numId w:val="13"/>
        </w:numPr>
        <w:spacing w:line="360" w:lineRule="auto"/>
        <w:contextualSpacing/>
        <w:rPr>
          <w:rFonts w:ascii="Palatino Linotype" w:hAnsi="Palatino Linotype" w:cs="Tahoma"/>
          <w:b/>
          <w:bCs/>
          <w:lang w:eastAsia="es-ES"/>
        </w:rPr>
      </w:pPr>
      <w:r w:rsidRPr="000C3DA4">
        <w:rPr>
          <w:rFonts w:ascii="Palatino Linotype" w:hAnsi="Palatino Linotype" w:cs="Tahoma"/>
          <w:b/>
          <w:bCs/>
          <w:lang w:eastAsia="es-ES"/>
        </w:rPr>
        <w:t xml:space="preserve">Domicilio particular </w:t>
      </w: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eastAsia="Times New Roman" w:hAnsi="Palatino Linotype" w:cs="Tahoma"/>
          <w:lang w:val="es-ES" w:eastAsia="es-ES"/>
        </w:rPr>
      </w:pPr>
      <w:r w:rsidRPr="000C3DA4">
        <w:rPr>
          <w:rFonts w:ascii="Palatino Linotype" w:eastAsia="Times New Roman" w:hAnsi="Palatino Linotype" w:cs="Tahoma"/>
          <w:lang w:val="es-ES" w:eastAsia="es-ES"/>
        </w:rPr>
        <w:t xml:space="preserve">De acuerdo a lo señalado en los artículos 2.3 y 2.5 del Código Civil del Estado de México, </w:t>
      </w:r>
      <w:r w:rsidRPr="000C3DA4">
        <w:rPr>
          <w:rFonts w:ascii="Palatino Linotype" w:hAnsi="Palatino Linotype" w:cs="Tahoma"/>
          <w:lang w:val="es-419"/>
        </w:rPr>
        <w:t>el</w:t>
      </w:r>
      <w:r w:rsidRPr="000C3DA4">
        <w:rPr>
          <w:rFonts w:ascii="Palatino Linotype" w:eastAsia="Times New Roman" w:hAnsi="Palatino Linotype" w:cs="Tahoma"/>
          <w:lang w:val="es-ES" w:eastAsia="es-ES"/>
        </w:rPr>
        <w:t xml:space="preserve"> domicilio es un atributo de la personalidad y un derecho de las personas; además que tiene como propósito que una persona pueda establecerse temporal o permanentemente en un lugar determinado, para habitar, establecer su centro de trabajo o negocios. </w:t>
      </w:r>
    </w:p>
    <w:p w:rsidR="008C5F6E" w:rsidRPr="000C3DA4" w:rsidRDefault="008C5F6E" w:rsidP="00B3314D">
      <w:pPr>
        <w:pBdr>
          <w:top w:val="nil"/>
          <w:left w:val="nil"/>
          <w:bottom w:val="nil"/>
          <w:right w:val="nil"/>
          <w:between w:val="nil"/>
        </w:pBdr>
        <w:spacing w:line="360" w:lineRule="auto"/>
        <w:ind w:right="49"/>
        <w:jc w:val="both"/>
        <w:rPr>
          <w:rFonts w:ascii="Palatino Linotype" w:eastAsia="Times New Roman" w:hAnsi="Palatino Linotype" w:cs="Tahoma"/>
          <w:lang w:val="es-ES" w:eastAsia="es-ES"/>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eastAsia="Times New Roman" w:hAnsi="Palatino Linotype" w:cs="Tahoma"/>
          <w:b/>
          <w:lang w:val="es-ES" w:eastAsia="es-ES"/>
        </w:rPr>
      </w:pPr>
      <w:r w:rsidRPr="000C3DA4">
        <w:rPr>
          <w:rFonts w:ascii="Palatino Linotype" w:eastAsia="Times New Roman" w:hAnsi="Palatino Linotype" w:cs="Tahoma"/>
          <w:lang w:val="es-ES" w:eastAsia="es-ES"/>
        </w:rPr>
        <w:t>De la misma manera, lo establece el artículo 29 del Código Civil Federal, al precisar que el domicilio de personas físicas</w:t>
      </w:r>
      <w:r w:rsidRPr="000C3DA4">
        <w:rPr>
          <w:rFonts w:ascii="Palatino Linotype" w:eastAsia="Times New Roman" w:hAnsi="Palatino Linotype" w:cs="Tahoma"/>
          <w:b/>
          <w:lang w:val="es-ES" w:eastAsia="es-ES"/>
        </w:rPr>
        <w:t xml:space="preserve">, es el lugar donde residen habitualmente, el lugar </w:t>
      </w:r>
      <w:r w:rsidRPr="000C3DA4">
        <w:rPr>
          <w:rFonts w:ascii="Palatino Linotype" w:eastAsia="Times New Roman" w:hAnsi="Palatino Linotype" w:cs="Tahoma"/>
          <w:lang w:val="es-ES" w:eastAsia="es-ES"/>
        </w:rPr>
        <w:t>del</w:t>
      </w:r>
      <w:r w:rsidRPr="000C3DA4">
        <w:rPr>
          <w:rFonts w:ascii="Palatino Linotype" w:eastAsia="Times New Roman" w:hAnsi="Palatino Linotype" w:cs="Tahoma"/>
          <w:b/>
          <w:lang w:val="es-ES" w:eastAsia="es-ES"/>
        </w:rPr>
        <w:t xml:space="preserve"> centro principal de sus negocios, donde residan o el lugar donde se encuentren.</w:t>
      </w:r>
    </w:p>
    <w:p w:rsidR="008C5F6E" w:rsidRPr="000C3DA4" w:rsidRDefault="008C5F6E" w:rsidP="00B3314D">
      <w:pPr>
        <w:spacing w:line="360" w:lineRule="auto"/>
        <w:rPr>
          <w:rFonts w:ascii="Palatino Linotype" w:hAnsi="Palatino Linotype" w:cs="Tahoma"/>
          <w:b/>
          <w:bCs/>
          <w:lang w:eastAsia="es-ES"/>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eastAsia="Times New Roman" w:hAnsi="Palatino Linotype" w:cs="Tahoma"/>
          <w:lang w:val="es-ES" w:eastAsia="es-ES"/>
        </w:rPr>
      </w:pPr>
      <w:r w:rsidRPr="000C3DA4">
        <w:rPr>
          <w:rFonts w:ascii="Palatino Linotype" w:eastAsia="Times New Roman" w:hAnsi="Palatino Linotype" w:cs="Tahoma"/>
          <w:lang w:val="es-ES" w:eastAsia="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8C5F6E" w:rsidRPr="000C3DA4" w:rsidRDefault="008C5F6E" w:rsidP="00B3314D">
      <w:pPr>
        <w:spacing w:line="360" w:lineRule="auto"/>
        <w:ind w:right="-93"/>
        <w:rPr>
          <w:rFonts w:ascii="Palatino Linotype" w:eastAsia="Times New Roman" w:hAnsi="Palatino Linotype" w:cs="Tahoma"/>
          <w:lang w:val="es-ES" w:eastAsia="es-ES"/>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eastAsia="Times New Roman" w:hAnsi="Palatino Linotype" w:cs="Tahoma"/>
          <w:lang w:val="es-ES" w:eastAsia="es-ES"/>
        </w:rPr>
      </w:pPr>
      <w:r w:rsidRPr="000C3DA4">
        <w:rPr>
          <w:rFonts w:ascii="Palatino Linotype" w:eastAsia="Times New Roman" w:hAnsi="Palatino Linotype" w:cs="Tahoma"/>
          <w:lang w:val="es-ES" w:eastAsia="es-ES"/>
        </w:rPr>
        <w:t>Por lo tanto, se actualiza la clasificación del domicilio, de conformidad con la fracción I, del artículo 143 de la Ley de Transparencia y Acceso a la Información Pública del Estado de México y Municipios.</w:t>
      </w:r>
    </w:p>
    <w:p w:rsidR="008C5F6E" w:rsidRPr="000C3DA4" w:rsidRDefault="008C5F6E" w:rsidP="00B3314D">
      <w:pPr>
        <w:spacing w:line="360" w:lineRule="auto"/>
        <w:rPr>
          <w:rFonts w:ascii="Palatino Linotype" w:hAnsi="Palatino Linotype"/>
          <w:noProof/>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t xml:space="preserve">Así, los datos personales que obren en poder de los sujetos obligados deben estar protegidos, adoptando las medidas de seguridad administrativas, físicas y técnicas necesarias </w:t>
      </w:r>
      <w:r w:rsidRPr="000C3DA4">
        <w:rPr>
          <w:rFonts w:ascii="Palatino Linotype" w:eastAsia="Times New Roman" w:hAnsi="Palatino Linotype" w:cs="Tahoma"/>
          <w:lang w:val="es-ES" w:eastAsia="es-ES"/>
        </w:rPr>
        <w:t>para</w:t>
      </w:r>
      <w:r w:rsidRPr="000C3DA4">
        <w:rPr>
          <w:rFonts w:ascii="Palatino Linotype" w:hAnsi="Palatino Linotype"/>
        </w:rPr>
        <w:t xml:space="preserve"> garantizar la integridad, confidencialidad y disponibilidad de los datos personales, considerando además, que conforme al principio de finalidad, todo tratamiento de datos personales que efectúen deberá estar </w:t>
      </w:r>
      <w:r w:rsidRPr="000C3DA4">
        <w:rPr>
          <w:rFonts w:ascii="Palatino Linotype" w:hAnsi="Palatino Linotype"/>
        </w:rPr>
        <w:lastRenderedPageBreak/>
        <w:t xml:space="preserve">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8C5F6E" w:rsidRPr="000C3DA4" w:rsidRDefault="008C5F6E" w:rsidP="00B3314D">
      <w:pPr>
        <w:spacing w:line="360" w:lineRule="auto"/>
        <w:rPr>
          <w:rFonts w:ascii="Palatino Linotype" w:hAnsi="Palatino Linotype"/>
        </w:rPr>
      </w:pPr>
    </w:p>
    <w:p w:rsidR="008C5F6E" w:rsidRPr="000C3DA4" w:rsidRDefault="008C5F6E" w:rsidP="00B3314D">
      <w:pPr>
        <w:spacing w:line="360" w:lineRule="auto"/>
        <w:ind w:left="567" w:right="616"/>
        <w:rPr>
          <w:rFonts w:ascii="Palatino Linotype" w:eastAsia="Arial Unicode MS" w:hAnsi="Palatino Linotype" w:cs="Arial"/>
          <w:i/>
        </w:rPr>
      </w:pPr>
      <w:r w:rsidRPr="000C3DA4">
        <w:rPr>
          <w:rFonts w:ascii="Palatino Linotype" w:eastAsia="Arial Unicode MS" w:hAnsi="Palatino Linotype" w:cs="Arial"/>
          <w:b/>
          <w:i/>
        </w:rPr>
        <w:t>Artículo</w:t>
      </w:r>
      <w:r w:rsidRPr="000C3DA4">
        <w:rPr>
          <w:rFonts w:ascii="Palatino Linotype" w:eastAsia="Arial Unicode MS" w:hAnsi="Palatino Linotype" w:cs="Arial"/>
          <w:i/>
        </w:rPr>
        <w:t xml:space="preserve"> </w:t>
      </w:r>
      <w:r w:rsidRPr="000C3DA4">
        <w:rPr>
          <w:rFonts w:ascii="Palatino Linotype" w:eastAsia="Arial Unicode MS" w:hAnsi="Palatino Linotype" w:cs="Arial"/>
          <w:b/>
          <w:i/>
        </w:rPr>
        <w:t>22</w:t>
      </w:r>
      <w:r w:rsidRPr="000C3DA4">
        <w:rPr>
          <w:rFonts w:ascii="Palatino Linotype" w:eastAsia="Arial Unicode MS" w:hAnsi="Palatino Linotype" w:cs="Arial"/>
          <w:i/>
        </w:rPr>
        <w:t>. Todo tratamiento de datos personales que efectúe el responsable deberá estar justificado por finalidades concretas, lícitas, explícitas y legítimas, relacionadas con las atribuciones que la normatividad aplicable les confiera.</w:t>
      </w:r>
    </w:p>
    <w:p w:rsidR="008C5F6E" w:rsidRPr="000C3DA4" w:rsidRDefault="008C5F6E" w:rsidP="00B3314D">
      <w:pPr>
        <w:spacing w:line="360" w:lineRule="auto"/>
        <w:ind w:right="616"/>
        <w:rPr>
          <w:rFonts w:ascii="Palatino Linotype" w:eastAsia="Arial Unicode MS" w:hAnsi="Palatino Linotype" w:cs="Arial"/>
          <w:i/>
        </w:rPr>
      </w:pPr>
    </w:p>
    <w:p w:rsidR="008C5F6E" w:rsidRPr="000C3DA4" w:rsidRDefault="008C5F6E" w:rsidP="00B3314D">
      <w:pPr>
        <w:spacing w:line="360" w:lineRule="auto"/>
        <w:ind w:left="567" w:right="616"/>
        <w:rPr>
          <w:rFonts w:ascii="Palatino Linotype" w:eastAsia="Arial Unicode MS" w:hAnsi="Palatino Linotype" w:cs="Arial"/>
          <w:i/>
        </w:rPr>
      </w:pPr>
      <w:r w:rsidRPr="000C3DA4">
        <w:rPr>
          <w:rFonts w:ascii="Palatino Linotype" w:eastAsia="Arial Unicode MS" w:hAnsi="Palatino Linotype" w:cs="Arial"/>
          <w:i/>
        </w:rPr>
        <w:t>El responsable podrá tratar datos personales para finalidades distintas a aquéllas establecidas en el aviso de privacidad, en los casos siguientes:</w:t>
      </w:r>
    </w:p>
    <w:p w:rsidR="008C5F6E" w:rsidRPr="000C3DA4" w:rsidRDefault="008C5F6E" w:rsidP="00B3314D">
      <w:pPr>
        <w:spacing w:line="360" w:lineRule="auto"/>
        <w:ind w:left="567" w:right="616"/>
        <w:rPr>
          <w:rFonts w:ascii="Palatino Linotype" w:eastAsia="Arial Unicode MS" w:hAnsi="Palatino Linotype" w:cs="Arial"/>
          <w:i/>
        </w:rPr>
      </w:pPr>
    </w:p>
    <w:p w:rsidR="008C5F6E" w:rsidRPr="000C3DA4" w:rsidRDefault="008C5F6E" w:rsidP="00B3314D">
      <w:pPr>
        <w:spacing w:line="360" w:lineRule="auto"/>
        <w:ind w:left="567" w:right="616"/>
        <w:rPr>
          <w:rFonts w:ascii="Palatino Linotype" w:eastAsia="Arial Unicode MS" w:hAnsi="Palatino Linotype" w:cs="Arial"/>
          <w:i/>
        </w:rPr>
      </w:pPr>
      <w:r w:rsidRPr="000C3DA4">
        <w:rPr>
          <w:rFonts w:ascii="Palatino Linotype" w:eastAsia="Arial Unicode MS" w:hAnsi="Palatino Linotype" w:cs="Arial"/>
          <w:i/>
        </w:rPr>
        <w:t>I. Cuente con atribuciones conferidas en ley y medie el consentimiento del titular.</w:t>
      </w:r>
    </w:p>
    <w:p w:rsidR="008C5F6E" w:rsidRPr="000C3DA4" w:rsidRDefault="008C5F6E" w:rsidP="00B3314D">
      <w:pPr>
        <w:spacing w:line="360" w:lineRule="auto"/>
        <w:ind w:left="567" w:right="616"/>
        <w:rPr>
          <w:rFonts w:ascii="Palatino Linotype" w:eastAsia="Arial Unicode MS" w:hAnsi="Palatino Linotype" w:cs="Arial"/>
          <w:i/>
        </w:rPr>
      </w:pPr>
      <w:r w:rsidRPr="000C3DA4">
        <w:rPr>
          <w:rFonts w:ascii="Palatino Linotype" w:eastAsia="Arial Unicode MS" w:hAnsi="Palatino Linotype" w:cs="Arial"/>
          <w:i/>
        </w:rPr>
        <w:t>II. Se trate de una persona reportada como desaparecida, en los términos previstos en la presente Ley y demás disposiciones legales aplicables...</w:t>
      </w:r>
    </w:p>
    <w:p w:rsidR="008C5F6E" w:rsidRPr="000C3DA4" w:rsidRDefault="008C5F6E" w:rsidP="00B3314D">
      <w:pPr>
        <w:spacing w:line="360" w:lineRule="auto"/>
        <w:ind w:left="567" w:right="616"/>
        <w:rPr>
          <w:rFonts w:ascii="Palatino Linotype" w:eastAsia="Arial Unicode MS" w:hAnsi="Palatino Linotype" w:cs="Arial"/>
          <w:i/>
        </w:rPr>
      </w:pPr>
      <w:r w:rsidRPr="000C3DA4">
        <w:rPr>
          <w:rFonts w:ascii="Palatino Linotype" w:eastAsia="Arial Unicode MS" w:hAnsi="Palatino Linotype" w:cs="Arial"/>
          <w:b/>
          <w:i/>
        </w:rPr>
        <w:t>Artículo</w:t>
      </w:r>
      <w:r w:rsidRPr="000C3DA4">
        <w:rPr>
          <w:rFonts w:ascii="Palatino Linotype" w:eastAsia="Arial Unicode MS" w:hAnsi="Palatino Linotype" w:cs="Arial"/>
          <w:i/>
        </w:rPr>
        <w:t xml:space="preserve"> </w:t>
      </w:r>
      <w:r w:rsidRPr="000C3DA4">
        <w:rPr>
          <w:rFonts w:ascii="Palatino Linotype" w:eastAsia="Arial Unicode MS" w:hAnsi="Palatino Linotype" w:cs="Arial"/>
          <w:b/>
          <w:i/>
        </w:rPr>
        <w:t>38</w:t>
      </w:r>
      <w:r w:rsidRPr="000C3DA4">
        <w:rPr>
          <w:rFonts w:ascii="Palatino Linotype" w:eastAsia="Arial Unicode MS"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w:t>
      </w:r>
      <w:r w:rsidRPr="000C3DA4">
        <w:rPr>
          <w:rFonts w:ascii="Palatino Linotype" w:eastAsia="Arial Unicode MS" w:hAnsi="Palatino Linotype" w:cs="Arial"/>
          <w:i/>
        </w:rPr>
        <w:lastRenderedPageBreak/>
        <w:t>transferencia, acceso o cualquier tratamiento no autorizado o ilícito, de conformidad con lo dispuesto en los lineamientos que al efecto se expidan.</w:t>
      </w:r>
    </w:p>
    <w:p w:rsidR="008C5F6E" w:rsidRPr="000C3DA4" w:rsidRDefault="008C5F6E" w:rsidP="00B3314D">
      <w:pPr>
        <w:spacing w:line="360" w:lineRule="auto"/>
        <w:ind w:left="567" w:right="616"/>
        <w:rPr>
          <w:rFonts w:ascii="Palatino Linotype" w:eastAsia="Arial Unicode MS" w:hAnsi="Palatino Linotype" w:cs="Arial"/>
          <w:i/>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8C5F6E" w:rsidRPr="000C3DA4" w:rsidRDefault="008C5F6E" w:rsidP="00B3314D">
      <w:pPr>
        <w:spacing w:line="360" w:lineRule="auto"/>
        <w:rPr>
          <w:rFonts w:ascii="Palatino Linotype" w:hAnsi="Palatino Linotype"/>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eastAsia="Arial Unicode MS" w:hAnsi="Palatino Linotype"/>
        </w:rPr>
      </w:pPr>
      <w:r w:rsidRPr="000C3DA4">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w:t>
      </w:r>
      <w:r w:rsidRPr="000C3DA4">
        <w:rPr>
          <w:rFonts w:ascii="Palatino Linotype" w:hAnsi="Palatino Linotype"/>
        </w:rPr>
        <w:t>XI</w:t>
      </w:r>
      <w:r w:rsidRPr="000C3DA4">
        <w:rPr>
          <w:rFonts w:ascii="Palatino Linotype" w:eastAsia="Arial Unicode MS" w:hAnsi="Palatino Linotype"/>
        </w:rPr>
        <w:t xml:space="preserve">, de la Ley de Protección de Datos Personales en Posesión de Sujetos Obligados del Estado de México y Municipios; por consiguiente, se trata de información confidencial, que debe ser protegida por </w:t>
      </w:r>
      <w:r w:rsidRPr="000C3DA4">
        <w:rPr>
          <w:rFonts w:ascii="Palatino Linotype" w:eastAsia="Arial Unicode MS" w:hAnsi="Palatino Linotype"/>
          <w:color w:val="000000"/>
        </w:rPr>
        <w:t>el Sujeto Obligado</w:t>
      </w:r>
      <w:r w:rsidRPr="000C3DA4">
        <w:rPr>
          <w:rFonts w:ascii="Palatino Linotype" w:eastAsia="Arial Unicode MS" w:hAnsi="Palatino Linotype"/>
        </w:rPr>
        <w:t xml:space="preserve">, en ese contexto, todo dato personal susceptible de clasificación debe ser protegido. </w:t>
      </w:r>
    </w:p>
    <w:p w:rsidR="008C5F6E" w:rsidRPr="000C3DA4" w:rsidRDefault="008C5F6E" w:rsidP="00B3314D">
      <w:pPr>
        <w:spacing w:line="360" w:lineRule="auto"/>
        <w:rPr>
          <w:rFonts w:ascii="Palatino Linotype" w:hAnsi="Palatino Linotype"/>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t xml:space="preserve">Por ende, en el presente caso el Sujeto Obligado sólo podrá testar los datos referidos con antelación, clasificación que tiene que efectuar mediante las </w:t>
      </w:r>
      <w:r w:rsidRPr="000C3DA4">
        <w:rPr>
          <w:rFonts w:ascii="Palatino Linotype" w:eastAsia="Arial Unicode MS" w:hAnsi="Palatino Linotype"/>
        </w:rPr>
        <w:t>formalidades</w:t>
      </w:r>
      <w:r w:rsidRPr="000C3DA4">
        <w:rPr>
          <w:rFonts w:ascii="Palatino Linotype" w:hAnsi="Palatino Linotype"/>
        </w:rPr>
        <w:t xml:space="preserve">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w:t>
      </w:r>
      <w:r w:rsidRPr="000C3DA4">
        <w:rPr>
          <w:rFonts w:ascii="Palatino Linotype" w:hAnsi="Palatino Linotype"/>
        </w:rPr>
        <w:lastRenderedPageBreak/>
        <w:t xml:space="preserve">de la Ley de Transparencia y Acceso a la Información Pública del Estado de México y Municipios, así como con los numerales aplicables de los </w:t>
      </w:r>
      <w:r w:rsidRPr="000C3DA4">
        <w:rPr>
          <w:rFonts w:ascii="Palatino Linotype" w:hAnsi="Palatino Linotype"/>
          <w:b/>
        </w:rPr>
        <w:t>Lineamientos Generales en Materia de Clasificación y Desclasificación de la Información, así como para la Elaboración de Versiones Públicas</w:t>
      </w:r>
      <w:r w:rsidRPr="000C3DA4">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rsidR="008C5F6E" w:rsidRPr="000C3DA4" w:rsidRDefault="008C5F6E" w:rsidP="00B3314D">
      <w:pPr>
        <w:spacing w:line="360" w:lineRule="auto"/>
        <w:rPr>
          <w:rFonts w:ascii="Palatino Linotype" w:hAnsi="Palatino Linotype"/>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bCs/>
          <w:lang w:val="es-ES"/>
        </w:rPr>
      </w:pPr>
      <w:r w:rsidRPr="000C3DA4">
        <w:rPr>
          <w:rFonts w:ascii="Palatino Linotype" w:hAnsi="Palatino Linotype"/>
          <w:b/>
          <w:bCs/>
          <w:lang w:val="es-ES"/>
        </w:rPr>
        <w:t xml:space="preserve">Firma del titular: </w:t>
      </w:r>
      <w:r w:rsidRPr="000C3DA4">
        <w:rPr>
          <w:rFonts w:ascii="Palatino Linotype" w:hAnsi="Palatino Linotype"/>
          <w:bCs/>
          <w:lang w:val="es-ES"/>
        </w:rPr>
        <w:t xml:space="preserve">Tratándose de personas físicas en el rol de ciudadanos, es </w:t>
      </w:r>
      <w:r w:rsidRPr="000C3DA4">
        <w:rPr>
          <w:rFonts w:ascii="Palatino Linotype" w:hAnsi="Palatino Linotype"/>
          <w:lang w:val="es-ES"/>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rsidR="008C5F6E" w:rsidRPr="000C3DA4" w:rsidRDefault="008C5F6E" w:rsidP="00B3314D">
      <w:pPr>
        <w:spacing w:line="360" w:lineRule="auto"/>
        <w:ind w:left="708"/>
        <w:rPr>
          <w:rFonts w:ascii="Palatino Linotype" w:hAnsi="Palatino Linotype"/>
          <w:bCs/>
          <w:lang w:val="es-ES"/>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bCs/>
          <w:lang w:val="es-ES"/>
        </w:rPr>
      </w:pPr>
      <w:r w:rsidRPr="000C3DA4">
        <w:rPr>
          <w:rFonts w:ascii="Palatino Linotype" w:hAnsi="Palatino Linotype"/>
          <w:bCs/>
          <w:lang w:val="es-ES"/>
        </w:rPr>
        <w:t xml:space="preserve">En contraste, </w:t>
      </w:r>
      <w:r w:rsidRPr="000C3DA4">
        <w:rPr>
          <w:rFonts w:ascii="Palatino Linotype" w:hAnsi="Palatino Linotype"/>
          <w:b/>
          <w:bCs/>
          <w:lang w:val="es-ES"/>
        </w:rPr>
        <w:t>tratándose de servidores públicos cuando se emite un acto de autoridad en ejercicio de las atribuciones que tiene conferidas, la firma mediante la cual valida dicho acto jurídico es públic</w:t>
      </w:r>
      <w:r w:rsidRPr="000C3DA4">
        <w:rPr>
          <w:rFonts w:ascii="Palatino Linotype" w:hAnsi="Palatino Linotype"/>
          <w:bCs/>
          <w:lang w:val="es-ES"/>
        </w:rPr>
        <w:t xml:space="preserve">a. Lo anterior, en virtud de que la firma se plasmó en cumplimiento de las obligaciones que le corresponden en términos de las </w:t>
      </w:r>
      <w:r w:rsidRPr="000C3DA4">
        <w:rPr>
          <w:rFonts w:ascii="Palatino Linotype" w:hAnsi="Palatino Linotype"/>
          <w:b/>
          <w:bCs/>
          <w:lang w:val="es-ES"/>
        </w:rPr>
        <w:t>disposiciones</w:t>
      </w:r>
      <w:r w:rsidRPr="000C3DA4">
        <w:rPr>
          <w:rFonts w:ascii="Palatino Linotype" w:hAnsi="Palatino Linotype"/>
          <w:bCs/>
          <w:lang w:val="es-ES"/>
        </w:rPr>
        <w:t xml:space="preserve">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8C5F6E" w:rsidRPr="000C3DA4" w:rsidRDefault="008C5F6E" w:rsidP="00B3314D">
      <w:pPr>
        <w:tabs>
          <w:tab w:val="left" w:pos="7770"/>
          <w:tab w:val="right" w:pos="8838"/>
        </w:tabs>
        <w:spacing w:line="360" w:lineRule="auto"/>
        <w:rPr>
          <w:rFonts w:ascii="Palatino Linotype" w:hAnsi="Palatino Linotype"/>
          <w:bCs/>
          <w:lang w:val="es-ES"/>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0C3DA4">
        <w:rPr>
          <w:rFonts w:ascii="Palatino Linotype" w:hAnsi="Palatino Linotype"/>
        </w:rPr>
        <w:t xml:space="preserve">Cabe señalar que también deberá considerarse lo dispuesto por </w:t>
      </w:r>
      <w:r w:rsidRPr="000C3DA4">
        <w:rPr>
          <w:rFonts w:ascii="Palatino Linotype" w:hAnsi="Palatino Linotype" w:cs="Arial"/>
        </w:rPr>
        <w:t xml:space="preserve">el artículo 91 de la Ley de la </w:t>
      </w:r>
      <w:r w:rsidRPr="000C3DA4">
        <w:rPr>
          <w:rFonts w:ascii="Palatino Linotype" w:hAnsi="Palatino Linotype"/>
          <w:bCs/>
          <w:lang w:val="es-ES"/>
        </w:rPr>
        <w:t>Materia</w:t>
      </w:r>
      <w:r w:rsidRPr="000C3DA4">
        <w:rPr>
          <w:rFonts w:ascii="Palatino Linotype" w:hAnsi="Palatino Linotype" w:cs="Arial"/>
        </w:rPr>
        <w:t xml:space="preserve">, en el que se dispone que el acceso a la información pública será restringido excepcionalmente, cuando ésta sea clasificada como reservada o confidencial. </w:t>
      </w:r>
    </w:p>
    <w:p w:rsidR="008C5F6E" w:rsidRPr="000C3DA4" w:rsidRDefault="008C5F6E" w:rsidP="00B3314D">
      <w:pPr>
        <w:spacing w:line="360" w:lineRule="auto"/>
        <w:rPr>
          <w:rFonts w:ascii="Palatino Linotype" w:hAnsi="Palatino Linotype"/>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rsidR="008C5F6E" w:rsidRPr="000C3DA4" w:rsidRDefault="008C5F6E" w:rsidP="00B3314D">
      <w:pPr>
        <w:spacing w:line="360" w:lineRule="auto"/>
        <w:rPr>
          <w:rFonts w:ascii="Palatino Linotype" w:hAnsi="Palatino Linotype"/>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 xml:space="preserve">Artículo 49. </w:t>
      </w:r>
      <w:r w:rsidRPr="000C3DA4">
        <w:rPr>
          <w:rFonts w:ascii="Palatino Linotype" w:hAnsi="Palatino Linotype"/>
          <w:i/>
        </w:rPr>
        <w:t>Los Comités de Transparencia tendrán las siguientes atribuciones:</w:t>
      </w:r>
    </w:p>
    <w:p w:rsidR="008C5F6E" w:rsidRPr="000C3DA4" w:rsidRDefault="008C5F6E" w:rsidP="00ED7DA9">
      <w:pPr>
        <w:spacing w:line="360" w:lineRule="auto"/>
        <w:ind w:left="567" w:right="616"/>
        <w:jc w:val="both"/>
        <w:rPr>
          <w:rFonts w:ascii="Palatino Linotype" w:hAnsi="Palatino Linotype"/>
          <w:bCs/>
          <w:i/>
        </w:rPr>
      </w:pPr>
      <w:r w:rsidRPr="000C3DA4">
        <w:rPr>
          <w:rFonts w:ascii="Palatino Linotype" w:hAnsi="Palatino Linotype"/>
          <w:bCs/>
          <w:i/>
        </w:rPr>
        <w:t>(…)</w:t>
      </w: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VIII.</w:t>
      </w:r>
      <w:r w:rsidRPr="000C3DA4">
        <w:rPr>
          <w:rFonts w:ascii="Palatino Linotype" w:hAnsi="Palatino Linotype"/>
          <w:i/>
        </w:rPr>
        <w:t xml:space="preserve"> Aprobar, modificar o revocar la clasificación de la información;</w:t>
      </w:r>
    </w:p>
    <w:p w:rsidR="008C5F6E" w:rsidRPr="000C3DA4" w:rsidRDefault="008C5F6E" w:rsidP="00ED7DA9">
      <w:pPr>
        <w:spacing w:line="360" w:lineRule="auto"/>
        <w:ind w:left="567" w:right="616"/>
        <w:jc w:val="both"/>
        <w:rPr>
          <w:rFonts w:ascii="Palatino Linotype" w:hAnsi="Palatino Linotype"/>
          <w:bCs/>
          <w:i/>
        </w:rPr>
      </w:pPr>
      <w:r w:rsidRPr="000C3DA4">
        <w:rPr>
          <w:rFonts w:ascii="Palatino Linotype" w:hAnsi="Palatino Linotype"/>
          <w:bCs/>
          <w:i/>
        </w:rPr>
        <w:t>(…)</w:t>
      </w: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Artículo 132.</w:t>
      </w:r>
      <w:r w:rsidRPr="000C3DA4">
        <w:rPr>
          <w:rFonts w:ascii="Palatino Linotype" w:hAnsi="Palatino Linotype"/>
          <w:i/>
        </w:rPr>
        <w:t xml:space="preserve"> La clasificación de la información se llevará a cabo en el momento en que:</w:t>
      </w:r>
    </w:p>
    <w:p w:rsidR="008C5F6E" w:rsidRPr="000C3DA4" w:rsidRDefault="008C5F6E" w:rsidP="00ED7DA9">
      <w:pPr>
        <w:spacing w:line="360" w:lineRule="auto"/>
        <w:ind w:left="567" w:right="616"/>
        <w:jc w:val="both"/>
        <w:rPr>
          <w:rFonts w:ascii="Palatino Linotype" w:hAnsi="Palatino Linotype"/>
          <w:b/>
          <w:i/>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I.</w:t>
      </w:r>
      <w:r w:rsidRPr="000C3DA4">
        <w:rPr>
          <w:rFonts w:ascii="Palatino Linotype" w:hAnsi="Palatino Linotype"/>
          <w:i/>
        </w:rPr>
        <w:t xml:space="preserve"> Se reciba una solicitud de acceso a la información;</w:t>
      </w: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II.</w:t>
      </w:r>
      <w:r w:rsidRPr="000C3DA4">
        <w:rPr>
          <w:rFonts w:ascii="Palatino Linotype" w:hAnsi="Palatino Linotype"/>
          <w:i/>
        </w:rPr>
        <w:t xml:space="preserve"> Se determine mediante resolución de autoridad competente; o</w:t>
      </w:r>
    </w:p>
    <w:p w:rsidR="008C5F6E" w:rsidRPr="000C3DA4" w:rsidRDefault="008C5F6E" w:rsidP="00ED7DA9">
      <w:pPr>
        <w:spacing w:line="360" w:lineRule="auto"/>
        <w:ind w:left="567" w:right="616"/>
        <w:jc w:val="both"/>
        <w:rPr>
          <w:rFonts w:ascii="Palatino Linotype" w:hAnsi="Palatino Linotype"/>
          <w:b/>
          <w:i/>
        </w:rPr>
      </w:pPr>
      <w:r w:rsidRPr="000C3DA4">
        <w:rPr>
          <w:rFonts w:ascii="Palatino Linotype" w:hAnsi="Palatino Linotype"/>
          <w:b/>
          <w:bCs/>
          <w:i/>
        </w:rPr>
        <w:lastRenderedPageBreak/>
        <w:t>III.</w:t>
      </w:r>
      <w:r w:rsidRPr="000C3DA4">
        <w:rPr>
          <w:rFonts w:ascii="Palatino Linotype" w:hAnsi="Palatino Linotype"/>
          <w:i/>
        </w:rPr>
        <w:t xml:space="preserve"> Se generen versiones públicas para dar cumplimiento a las obligaciones de transparencia previstas en esta Ley.</w:t>
      </w:r>
      <w:r w:rsidRPr="000C3DA4">
        <w:rPr>
          <w:rFonts w:ascii="Palatino Linotype" w:hAnsi="Palatino Linotype"/>
          <w:b/>
          <w:i/>
        </w:rPr>
        <w:t>”</w:t>
      </w:r>
    </w:p>
    <w:p w:rsidR="008C5F6E" w:rsidRPr="000C3DA4" w:rsidRDefault="008C5F6E" w:rsidP="00ED7DA9">
      <w:pPr>
        <w:spacing w:line="360" w:lineRule="auto"/>
        <w:ind w:left="567" w:right="616"/>
        <w:jc w:val="both"/>
        <w:rPr>
          <w:rFonts w:ascii="Palatino Linotype" w:hAnsi="Palatino Linotype"/>
          <w:b/>
          <w:i/>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Segundo.-</w:t>
      </w:r>
      <w:r w:rsidRPr="000C3DA4">
        <w:rPr>
          <w:rFonts w:ascii="Palatino Linotype" w:hAnsi="Palatino Linotype"/>
          <w:i/>
        </w:rPr>
        <w:t xml:space="preserve"> Para efectos de los presentes Lineamientos Generales, se entenderá por:</w:t>
      </w: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i/>
        </w:rPr>
        <w:t>(…)</w:t>
      </w: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XVIII.</w:t>
      </w:r>
      <w:r w:rsidRPr="000C3DA4">
        <w:rPr>
          <w:rFonts w:ascii="Palatino Linotype" w:hAnsi="Palatino Linotype"/>
          <w:i/>
        </w:rPr>
        <w:t xml:space="preserve"> </w:t>
      </w:r>
      <w:r w:rsidRPr="000C3DA4">
        <w:rPr>
          <w:rFonts w:ascii="Palatino Linotype" w:hAnsi="Palatino Linotype"/>
          <w:b/>
          <w:i/>
        </w:rPr>
        <w:t>Versión pública:</w:t>
      </w:r>
      <w:r w:rsidRPr="000C3DA4">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C5F6E" w:rsidRPr="000C3DA4" w:rsidRDefault="008C5F6E" w:rsidP="00ED7DA9">
      <w:pPr>
        <w:spacing w:line="360" w:lineRule="auto"/>
        <w:ind w:left="567" w:right="616"/>
        <w:jc w:val="both"/>
        <w:rPr>
          <w:rFonts w:ascii="Palatino Linotype" w:hAnsi="Palatino Linotype"/>
          <w:b/>
          <w:i/>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Cuarto.</w:t>
      </w:r>
      <w:r w:rsidRPr="000C3DA4">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C5F6E" w:rsidRPr="000C3DA4" w:rsidRDefault="008C5F6E" w:rsidP="00ED7DA9">
      <w:pPr>
        <w:spacing w:line="360" w:lineRule="auto"/>
        <w:ind w:left="567" w:right="616"/>
        <w:jc w:val="both"/>
        <w:rPr>
          <w:rFonts w:ascii="Palatino Linotype" w:hAnsi="Palatino Linotype"/>
          <w:i/>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i/>
        </w:rPr>
        <w:t>Los sujetos obligados deberán aplicar, de manera estricta, las excepciones al derecho de acceso a la información y sólo podrán invocarlas cuando acrediten su procedencia.</w:t>
      </w:r>
    </w:p>
    <w:p w:rsidR="008C5F6E" w:rsidRPr="000C3DA4" w:rsidRDefault="008C5F6E" w:rsidP="00ED7DA9">
      <w:pPr>
        <w:spacing w:line="360" w:lineRule="auto"/>
        <w:ind w:left="567" w:right="616"/>
        <w:jc w:val="both"/>
        <w:rPr>
          <w:rFonts w:ascii="Palatino Linotype" w:hAnsi="Palatino Linotype"/>
          <w:b/>
          <w:i/>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lastRenderedPageBreak/>
        <w:t>Quinto.</w:t>
      </w:r>
      <w:r w:rsidRPr="000C3DA4">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C5F6E" w:rsidRPr="000C3DA4" w:rsidRDefault="008C5F6E" w:rsidP="00ED7DA9">
      <w:pPr>
        <w:spacing w:line="360" w:lineRule="auto"/>
        <w:ind w:left="567" w:right="616"/>
        <w:jc w:val="both"/>
        <w:rPr>
          <w:rFonts w:ascii="Palatino Linotype" w:hAnsi="Palatino Linotype"/>
          <w:b/>
          <w:i/>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Séptimo.</w:t>
      </w:r>
      <w:r w:rsidRPr="000C3DA4">
        <w:rPr>
          <w:rFonts w:ascii="Palatino Linotype" w:hAnsi="Palatino Linotype"/>
          <w:i/>
        </w:rPr>
        <w:t xml:space="preserve"> La clasificación de la información se llevará a cabo en el momento en que:</w:t>
      </w: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I.</w:t>
      </w:r>
      <w:r w:rsidRPr="000C3DA4">
        <w:rPr>
          <w:rFonts w:ascii="Palatino Linotype" w:hAnsi="Palatino Linotype"/>
          <w:i/>
        </w:rPr>
        <w:t xml:space="preserve"> Se reciba una solicitud de acceso a la información;</w:t>
      </w: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II.</w:t>
      </w:r>
      <w:r w:rsidRPr="000C3DA4">
        <w:rPr>
          <w:rFonts w:ascii="Palatino Linotype" w:hAnsi="Palatino Linotype"/>
          <w:i/>
        </w:rPr>
        <w:t xml:space="preserve"> Se determine mediante resolución del Comité de </w:t>
      </w:r>
      <w:r w:rsidR="00ED7DA9" w:rsidRPr="000C3DA4">
        <w:rPr>
          <w:rFonts w:ascii="Palatino Linotype" w:hAnsi="Palatino Linotype"/>
          <w:i/>
        </w:rPr>
        <w:t>Transparencia</w:t>
      </w:r>
      <w:r w:rsidRPr="000C3DA4">
        <w:rPr>
          <w:rFonts w:ascii="Palatino Linotype" w:hAnsi="Palatino Linotype"/>
          <w:i/>
        </w:rPr>
        <w:t>, el órgano garante competente, o en cumplimiento a una sentencia del Poder Judicial; o</w:t>
      </w: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III.</w:t>
      </w:r>
      <w:r w:rsidRPr="000C3DA4">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rsidR="008C5F6E" w:rsidRPr="000C3DA4" w:rsidRDefault="008C5F6E" w:rsidP="00B3314D">
      <w:pPr>
        <w:spacing w:line="360" w:lineRule="auto"/>
        <w:ind w:left="567" w:right="616"/>
        <w:rPr>
          <w:rFonts w:ascii="Palatino Linotype" w:hAnsi="Palatino Linotype"/>
          <w:i/>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i/>
        </w:rPr>
        <w:t>Los titulares de las áreas deberán revisar la información requerida al momento de la recepción de una solicitud de acceso, para verificar si encuadra en una causal de reserva o de confidencialidad.</w:t>
      </w:r>
    </w:p>
    <w:p w:rsidR="008C5F6E" w:rsidRPr="000C3DA4" w:rsidRDefault="008C5F6E" w:rsidP="00ED7DA9">
      <w:pPr>
        <w:spacing w:line="360" w:lineRule="auto"/>
        <w:ind w:left="567" w:right="616"/>
        <w:jc w:val="both"/>
        <w:rPr>
          <w:rFonts w:ascii="Palatino Linotype" w:hAnsi="Palatino Linotype"/>
          <w:b/>
          <w:i/>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lastRenderedPageBreak/>
        <w:t>Octavo.</w:t>
      </w:r>
      <w:r w:rsidRPr="000C3DA4">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C5F6E" w:rsidRPr="000C3DA4" w:rsidRDefault="008C5F6E" w:rsidP="00ED7DA9">
      <w:pPr>
        <w:spacing w:line="360" w:lineRule="auto"/>
        <w:ind w:left="567" w:right="616"/>
        <w:jc w:val="both"/>
        <w:rPr>
          <w:rFonts w:ascii="Palatino Linotype" w:hAnsi="Palatino Linotype"/>
          <w:i/>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rsidR="008C5F6E" w:rsidRPr="000C3DA4" w:rsidRDefault="008C5F6E" w:rsidP="00ED7DA9">
      <w:pPr>
        <w:spacing w:line="360" w:lineRule="auto"/>
        <w:ind w:left="567" w:right="616"/>
        <w:jc w:val="both"/>
        <w:rPr>
          <w:rFonts w:ascii="Palatino Linotype" w:hAnsi="Palatino Linotype"/>
          <w:i/>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rsidR="008C5F6E" w:rsidRPr="000C3DA4" w:rsidRDefault="008C5F6E" w:rsidP="00B3314D">
      <w:pPr>
        <w:spacing w:line="360" w:lineRule="auto"/>
        <w:ind w:left="567" w:right="616"/>
        <w:rPr>
          <w:rFonts w:ascii="Palatino Linotype" w:hAnsi="Palatino Linotype"/>
          <w:b/>
          <w:i/>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Noveno.</w:t>
      </w:r>
      <w:r w:rsidRPr="000C3DA4">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Décimo.</w:t>
      </w:r>
      <w:r w:rsidRPr="000C3DA4">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w:t>
      </w:r>
      <w:r w:rsidRPr="000C3DA4">
        <w:rPr>
          <w:rFonts w:ascii="Palatino Linotype" w:hAnsi="Palatino Linotype"/>
          <w:i/>
        </w:rPr>
        <w:lastRenderedPageBreak/>
        <w:t>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8C5F6E" w:rsidRPr="000C3DA4" w:rsidRDefault="008C5F6E" w:rsidP="00B3314D">
      <w:pPr>
        <w:spacing w:line="360" w:lineRule="auto"/>
        <w:ind w:left="567" w:right="616"/>
        <w:rPr>
          <w:rFonts w:ascii="Palatino Linotype" w:hAnsi="Palatino Linotype"/>
          <w:i/>
        </w:rPr>
      </w:pP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i/>
        </w:rPr>
        <w:t>En ausencia de los titulares de las áreas, la información será clasificada o desclasificada por la persona que lo supla, en términos de la normativa que rija la actuación del sujeto obligado.</w:t>
      </w: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b/>
          <w:i/>
        </w:rPr>
        <w:t>Décimo primero.</w:t>
      </w:r>
      <w:r w:rsidRPr="000C3DA4">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C5F6E" w:rsidRPr="000C3DA4" w:rsidRDefault="008C5F6E" w:rsidP="00B3314D">
      <w:pPr>
        <w:spacing w:line="360" w:lineRule="auto"/>
        <w:ind w:left="567" w:right="616"/>
        <w:rPr>
          <w:rFonts w:ascii="Palatino Linotype" w:hAnsi="Palatino Linotype"/>
          <w:b/>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w:t>
      </w:r>
      <w:r w:rsidRPr="000C3DA4">
        <w:rPr>
          <w:rFonts w:ascii="Palatino Linotype" w:hAnsi="Palatino Linotype"/>
        </w:rPr>
        <w:lastRenderedPageBreak/>
        <w:t>señalar que, para acreditar dichos supuestos jurídicos se debe fundar y motivar correctamente la categorización de la información.</w:t>
      </w:r>
    </w:p>
    <w:p w:rsidR="008C5F6E" w:rsidRPr="000C3DA4" w:rsidRDefault="008C5F6E" w:rsidP="00B3314D">
      <w:pPr>
        <w:spacing w:line="360" w:lineRule="auto"/>
        <w:rPr>
          <w:rFonts w:ascii="Palatino Linotype" w:hAnsi="Palatino Linotype"/>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rsidR="008C5F6E" w:rsidRPr="000C3DA4" w:rsidRDefault="008C5F6E" w:rsidP="00B3314D">
      <w:pPr>
        <w:spacing w:line="360" w:lineRule="auto"/>
        <w:rPr>
          <w:rFonts w:ascii="Palatino Linotype" w:hAnsi="Palatino Linotype"/>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t>Al respecto, el máximo tribunal del país ha establecido jurisprudencia respecto a qué debe entenderse por fundamentación y motivación, en los siguientes términos:</w:t>
      </w:r>
    </w:p>
    <w:p w:rsidR="008C5F6E" w:rsidRPr="000C3DA4" w:rsidRDefault="008C5F6E" w:rsidP="00B3314D">
      <w:pPr>
        <w:spacing w:line="360" w:lineRule="auto"/>
        <w:ind w:left="567" w:right="616"/>
        <w:rPr>
          <w:rFonts w:ascii="Palatino Linotype" w:hAnsi="Palatino Linotype"/>
          <w:b/>
          <w:i/>
        </w:rPr>
      </w:pPr>
      <w:r w:rsidRPr="000C3DA4">
        <w:rPr>
          <w:rFonts w:ascii="Palatino Linotype" w:hAnsi="Palatino Linotype"/>
          <w:b/>
          <w:i/>
        </w:rPr>
        <w:t xml:space="preserve">FUNDAMENTACIÓN Y MOTIVACIÓN. </w:t>
      </w:r>
    </w:p>
    <w:p w:rsidR="008C5F6E" w:rsidRPr="000C3DA4" w:rsidRDefault="008C5F6E" w:rsidP="00A679C6">
      <w:pPr>
        <w:spacing w:line="360" w:lineRule="auto"/>
        <w:ind w:left="567" w:right="616"/>
        <w:jc w:val="both"/>
        <w:rPr>
          <w:rFonts w:ascii="Palatino Linotype" w:hAnsi="Palatino Linotype"/>
          <w:i/>
        </w:rPr>
      </w:pPr>
      <w:r w:rsidRPr="000C3DA4">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C5F6E" w:rsidRPr="000C3DA4" w:rsidRDefault="008C5F6E" w:rsidP="00B3314D">
      <w:pPr>
        <w:spacing w:line="360" w:lineRule="auto"/>
        <w:rPr>
          <w:rFonts w:ascii="Palatino Linotype" w:hAnsi="Palatino Linotype"/>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C5F6E" w:rsidRPr="000C3DA4" w:rsidRDefault="008C5F6E" w:rsidP="00B3314D">
      <w:pPr>
        <w:spacing w:line="360" w:lineRule="auto"/>
        <w:rPr>
          <w:rFonts w:ascii="Palatino Linotype" w:hAnsi="Palatino Linotype"/>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8C5F6E" w:rsidRPr="000C3DA4" w:rsidRDefault="008C5F6E" w:rsidP="00B3314D">
      <w:pPr>
        <w:spacing w:line="360" w:lineRule="auto"/>
        <w:ind w:left="567" w:right="616"/>
        <w:rPr>
          <w:rFonts w:ascii="Palatino Linotype" w:hAnsi="Palatino Linotype"/>
          <w:i/>
        </w:rPr>
      </w:pPr>
      <w:r w:rsidRPr="000C3DA4">
        <w:rPr>
          <w:rFonts w:ascii="Palatino Linotype" w:hAnsi="Palatino Linotype"/>
          <w:b/>
          <w:i/>
        </w:rPr>
        <w:t>FUNDAMENTACIÓN Y MOTIVACIÓN. EL ASPECTO FORMAL DE LA GARANTÍA Y SU FINALIDAD SE TRADUCEN EN EXPLICAR, JUSTIFICAR, POSIBILITAR LA DEFENSA Y COMUNICAR LA DECISIÓN</w:t>
      </w:r>
      <w:r w:rsidRPr="000C3DA4">
        <w:rPr>
          <w:rFonts w:ascii="Palatino Linotype" w:hAnsi="Palatino Linotype"/>
          <w:i/>
        </w:rPr>
        <w:t xml:space="preserve">. </w:t>
      </w:r>
    </w:p>
    <w:p w:rsidR="008C5F6E" w:rsidRPr="000C3DA4" w:rsidRDefault="008C5F6E" w:rsidP="00ED7DA9">
      <w:pPr>
        <w:spacing w:line="360" w:lineRule="auto"/>
        <w:ind w:left="567" w:right="616"/>
        <w:jc w:val="both"/>
        <w:rPr>
          <w:rFonts w:ascii="Palatino Linotype" w:hAnsi="Palatino Linotype"/>
          <w:i/>
        </w:rPr>
      </w:pPr>
      <w:r w:rsidRPr="000C3DA4">
        <w:rPr>
          <w:rFonts w:ascii="Palatino Linotype" w:hAnsi="Palatino Linotype"/>
          <w:i/>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w:t>
      </w:r>
      <w:r w:rsidRPr="000C3DA4">
        <w:rPr>
          <w:rFonts w:ascii="Palatino Linotype" w:hAnsi="Palatino Linotype"/>
          <w:i/>
        </w:rPr>
        <w:lastRenderedPageBreak/>
        <w:t>suficiente para acreditar el razonamiento del que se deduzca la relación de pertenencia lógica de los hechos al derecho invocado, que es la subsunción.</w:t>
      </w:r>
    </w:p>
    <w:p w:rsidR="008C5F6E" w:rsidRPr="000C3DA4" w:rsidRDefault="008C5F6E" w:rsidP="00B3314D">
      <w:pPr>
        <w:spacing w:line="360" w:lineRule="auto"/>
        <w:rPr>
          <w:rFonts w:ascii="Palatino Linotype" w:hAnsi="Palatino Linotype"/>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C3DA4">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8C5F6E" w:rsidRPr="000C3DA4" w:rsidRDefault="008C5F6E" w:rsidP="00B3314D">
      <w:pPr>
        <w:pStyle w:val="Prrafodelista"/>
        <w:spacing w:line="360" w:lineRule="auto"/>
        <w:ind w:left="0"/>
        <w:jc w:val="both"/>
        <w:rPr>
          <w:rFonts w:ascii="Palatino Linotype" w:hAnsi="Palatino Linotype" w:cs="Arial"/>
          <w:color w:val="000000"/>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color w:val="000000"/>
        </w:rPr>
      </w:pPr>
      <w:r w:rsidRPr="000C3DA4">
        <w:rPr>
          <w:rFonts w:ascii="Palatino Linotype" w:hAnsi="Palatino Linotype" w:cs="Arial"/>
          <w:color w:val="000000"/>
        </w:rPr>
        <w:t xml:space="preserve">No pasa desapercibido para este Órgano Garante que los </w:t>
      </w:r>
      <w:r w:rsidRPr="000C3DA4">
        <w:rPr>
          <w:rFonts w:ascii="Palatino Linotype" w:hAnsi="Palatino Linotype" w:cs="Arial"/>
          <w:b/>
          <w:bCs/>
          <w:color w:val="000000"/>
        </w:rPr>
        <w:t xml:space="preserve">Sujetos Obligados </w:t>
      </w:r>
      <w:r w:rsidRPr="000C3DA4">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C5F6E" w:rsidRPr="000C3DA4" w:rsidRDefault="008C5F6E" w:rsidP="00B3314D">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8C5F6E" w:rsidRPr="000C3DA4" w:rsidTr="008C5F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8C5F6E" w:rsidRPr="000C3DA4" w:rsidRDefault="008C5F6E" w:rsidP="00A679C6">
            <w:pPr>
              <w:tabs>
                <w:tab w:val="left" w:pos="284"/>
              </w:tabs>
              <w:rPr>
                <w:rFonts w:ascii="Palatino Linotype" w:hAnsi="Palatino Linotype"/>
                <w:b w:val="0"/>
                <w:sz w:val="24"/>
                <w:szCs w:val="24"/>
              </w:rPr>
            </w:pPr>
            <w:r w:rsidRPr="000C3DA4">
              <w:rPr>
                <w:rFonts w:ascii="Palatino Linotype" w:hAnsi="Palatino Linotype" w:cstheme="majorBidi"/>
                <w:b w:val="0"/>
                <w:bCs w:val="0"/>
                <w:sz w:val="24"/>
                <w:szCs w:val="24"/>
              </w:rPr>
              <w:t>a) Requisitos previos.</w:t>
            </w:r>
          </w:p>
        </w:tc>
        <w:tc>
          <w:tcPr>
            <w:tcW w:w="6990" w:type="dxa"/>
            <w:hideMark/>
          </w:tcPr>
          <w:p w:rsidR="008C5F6E" w:rsidRPr="000C3DA4" w:rsidRDefault="008C5F6E" w:rsidP="00A679C6">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8C5F6E" w:rsidRPr="000C3DA4" w:rsidRDefault="008C5F6E" w:rsidP="00A679C6">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rsidR="008C5F6E" w:rsidRPr="000C3DA4" w:rsidRDefault="008C5F6E" w:rsidP="00A679C6">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C3DA4">
              <w:rPr>
                <w:rFonts w:ascii="Palatino Linotype" w:hAnsi="Palatino Linotype" w:cs="Arial"/>
                <w:b w:val="0"/>
                <w:bCs w:val="0"/>
                <w:color w:val="000000"/>
                <w:sz w:val="24"/>
                <w:szCs w:val="24"/>
              </w:rPr>
              <w:lastRenderedPageBreak/>
              <w:t>Además, se debe señalar el procedimiento, de los tres que establecen los artículos 132 y 106 de la Ley Estatal y General, respectivamente.</w:t>
            </w:r>
          </w:p>
          <w:p w:rsidR="008C5F6E" w:rsidRPr="000C3DA4" w:rsidRDefault="008C5F6E" w:rsidP="00A679C6">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C3DA4">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0C3DA4">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0C3DA4">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p w:rsidR="00A679C6" w:rsidRPr="000C3DA4" w:rsidRDefault="00A679C6" w:rsidP="00A679C6">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4"/>
                <w:szCs w:val="24"/>
              </w:rPr>
            </w:pPr>
          </w:p>
        </w:tc>
      </w:tr>
      <w:tr w:rsidR="008C5F6E" w:rsidRPr="000C3DA4" w:rsidTr="008C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8C5F6E" w:rsidRPr="000C3DA4" w:rsidRDefault="008C5F6E" w:rsidP="00A679C6">
            <w:pPr>
              <w:tabs>
                <w:tab w:val="left" w:pos="284"/>
              </w:tabs>
              <w:rPr>
                <w:rFonts w:ascii="Palatino Linotype" w:hAnsi="Palatino Linotype"/>
                <w:b w:val="0"/>
                <w:sz w:val="24"/>
                <w:szCs w:val="24"/>
              </w:rPr>
            </w:pPr>
            <w:r w:rsidRPr="000C3DA4">
              <w:rPr>
                <w:rFonts w:ascii="Palatino Linotype" w:hAnsi="Palatino Linotype" w:cstheme="majorBidi"/>
                <w:b w:val="0"/>
                <w:bCs w:val="0"/>
                <w:sz w:val="24"/>
                <w:szCs w:val="24"/>
              </w:rPr>
              <w:lastRenderedPageBreak/>
              <w:t>b) Supuestos de clasificación.</w:t>
            </w:r>
          </w:p>
        </w:tc>
        <w:tc>
          <w:tcPr>
            <w:tcW w:w="6990" w:type="dxa"/>
            <w:hideMark/>
          </w:tcPr>
          <w:p w:rsidR="008C5F6E" w:rsidRPr="000C3DA4" w:rsidRDefault="008C5F6E" w:rsidP="00A679C6">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rsidR="008C5F6E" w:rsidRPr="000C3DA4" w:rsidRDefault="008C5F6E" w:rsidP="00A679C6">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C5F6E" w:rsidRPr="000C3DA4" w:rsidRDefault="008C5F6E" w:rsidP="00A679C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t xml:space="preserve">El </w:t>
            </w:r>
            <w:r w:rsidRPr="000C3DA4">
              <w:rPr>
                <w:rFonts w:ascii="Palatino Linotype" w:hAnsi="Palatino Linotype" w:cs="Arial"/>
                <w:b/>
                <w:color w:val="000000"/>
                <w:sz w:val="24"/>
                <w:szCs w:val="24"/>
              </w:rPr>
              <w:t>Sujeto Obligado</w:t>
            </w:r>
            <w:r w:rsidRPr="000C3DA4">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A679C6" w:rsidRPr="000C3DA4" w:rsidRDefault="00A679C6" w:rsidP="00A679C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8C5F6E" w:rsidRPr="000C3DA4" w:rsidTr="008C5F6E">
        <w:tc>
          <w:tcPr>
            <w:cnfStyle w:val="001000000000" w:firstRow="0" w:lastRow="0" w:firstColumn="1" w:lastColumn="0" w:oddVBand="0" w:evenVBand="0" w:oddHBand="0" w:evenHBand="0" w:firstRowFirstColumn="0" w:firstRowLastColumn="0" w:lastRowFirstColumn="0" w:lastRowLastColumn="0"/>
            <w:tcW w:w="1838" w:type="dxa"/>
            <w:hideMark/>
          </w:tcPr>
          <w:p w:rsidR="008C5F6E" w:rsidRPr="000C3DA4" w:rsidRDefault="008C5F6E" w:rsidP="00A679C6">
            <w:pPr>
              <w:tabs>
                <w:tab w:val="left" w:pos="284"/>
              </w:tabs>
              <w:rPr>
                <w:rFonts w:ascii="Palatino Linotype" w:hAnsi="Palatino Linotype"/>
                <w:b w:val="0"/>
                <w:sz w:val="24"/>
                <w:szCs w:val="24"/>
              </w:rPr>
            </w:pPr>
            <w:r w:rsidRPr="000C3DA4">
              <w:rPr>
                <w:rFonts w:ascii="Palatino Linotype" w:hAnsi="Palatino Linotype" w:cstheme="majorBidi"/>
                <w:b w:val="0"/>
                <w:bCs w:val="0"/>
                <w:sz w:val="24"/>
                <w:szCs w:val="24"/>
              </w:rPr>
              <w:t xml:space="preserve">c) Formalidades para emitir el </w:t>
            </w:r>
            <w:r w:rsidRPr="000C3DA4">
              <w:rPr>
                <w:rFonts w:ascii="Palatino Linotype" w:hAnsi="Palatino Linotype" w:cstheme="majorBidi"/>
                <w:b w:val="0"/>
                <w:bCs w:val="0"/>
                <w:sz w:val="24"/>
                <w:szCs w:val="24"/>
              </w:rPr>
              <w:lastRenderedPageBreak/>
              <w:t>acuerdo de clasificación.</w:t>
            </w:r>
          </w:p>
        </w:tc>
        <w:tc>
          <w:tcPr>
            <w:tcW w:w="6990" w:type="dxa"/>
            <w:hideMark/>
          </w:tcPr>
          <w:p w:rsidR="008C5F6E" w:rsidRPr="000C3DA4" w:rsidRDefault="008C5F6E" w:rsidP="00A679C6">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lastRenderedPageBreak/>
              <w:t xml:space="preserve">El Comité de Transparencia, según lo dispuesto en los artículos cuenta con las facultades para aprobar, modificar o revocar la clasificación de la información que haya propuesto. </w:t>
            </w:r>
          </w:p>
          <w:p w:rsidR="008C5F6E" w:rsidRPr="000C3DA4" w:rsidRDefault="008C5F6E" w:rsidP="00A679C6">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lastRenderedPageBreak/>
              <w:t xml:space="preserve">Es necesario que </w:t>
            </w:r>
            <w:r w:rsidRPr="000C3DA4">
              <w:rPr>
                <w:rFonts w:ascii="Palatino Linotype" w:hAnsi="Palatino Linotype" w:cs="Arial"/>
                <w:b/>
                <w:color w:val="000000"/>
                <w:sz w:val="24"/>
                <w:szCs w:val="24"/>
                <w:u w:val="single"/>
              </w:rPr>
              <w:t>el acto reúna con los requisitos elementales</w:t>
            </w:r>
            <w:r w:rsidRPr="000C3DA4">
              <w:rPr>
                <w:rFonts w:ascii="Palatino Linotype" w:hAnsi="Palatino Linotype" w:cs="Arial"/>
                <w:color w:val="000000"/>
                <w:sz w:val="24"/>
                <w:szCs w:val="24"/>
              </w:rPr>
              <w:t>, entre ellos, que la autoridad que va a emitir el acto de autoridad sea la legalmente facultada para ello.</w:t>
            </w:r>
          </w:p>
          <w:p w:rsidR="008C5F6E" w:rsidRPr="000C3DA4" w:rsidRDefault="008C5F6E" w:rsidP="00A679C6">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A679C6" w:rsidRPr="000C3DA4" w:rsidRDefault="00A679C6" w:rsidP="00A679C6">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8C5F6E" w:rsidRPr="000C3DA4" w:rsidTr="008C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C5F6E" w:rsidRPr="000C3DA4" w:rsidRDefault="008C5F6E" w:rsidP="00A679C6">
            <w:pPr>
              <w:tabs>
                <w:tab w:val="left" w:pos="284"/>
              </w:tabs>
              <w:rPr>
                <w:rFonts w:ascii="Palatino Linotype" w:hAnsi="Palatino Linotype"/>
                <w:bCs w:val="0"/>
                <w:sz w:val="24"/>
                <w:szCs w:val="24"/>
              </w:rPr>
            </w:pPr>
          </w:p>
          <w:p w:rsidR="008C5F6E" w:rsidRPr="000C3DA4" w:rsidRDefault="008C5F6E" w:rsidP="00A679C6">
            <w:pPr>
              <w:tabs>
                <w:tab w:val="left" w:pos="284"/>
              </w:tabs>
              <w:jc w:val="both"/>
              <w:rPr>
                <w:rFonts w:ascii="Palatino Linotype" w:hAnsi="Palatino Linotype"/>
                <w:b w:val="0"/>
                <w:sz w:val="24"/>
                <w:szCs w:val="24"/>
              </w:rPr>
            </w:pPr>
            <w:r w:rsidRPr="000C3DA4">
              <w:rPr>
                <w:rFonts w:ascii="Palatino Linotype" w:hAnsi="Palatino Linotype" w:cs="Arial"/>
                <w:b w:val="0"/>
                <w:bCs w:val="0"/>
                <w:color w:val="000000"/>
                <w:sz w:val="24"/>
                <w:szCs w:val="24"/>
              </w:rPr>
              <w:t xml:space="preserve">d) Requisitos de fondo del acuerdo de clasificación. </w:t>
            </w:r>
          </w:p>
        </w:tc>
        <w:tc>
          <w:tcPr>
            <w:tcW w:w="6990" w:type="dxa"/>
            <w:hideMark/>
          </w:tcPr>
          <w:p w:rsidR="008C5F6E" w:rsidRPr="000C3DA4" w:rsidRDefault="008C5F6E" w:rsidP="00A679C6">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C3DA4">
              <w:rPr>
                <w:rFonts w:ascii="Palatino Linotype" w:hAnsi="Palatino Linotype" w:cs="Arial"/>
                <w:b/>
                <w:color w:val="000000"/>
                <w:sz w:val="24"/>
                <w:szCs w:val="24"/>
              </w:rPr>
              <w:t>Sujetos Obligados</w:t>
            </w:r>
            <w:r w:rsidRPr="000C3DA4">
              <w:rPr>
                <w:rFonts w:ascii="Palatino Linotype" w:hAnsi="Palatino Linotype" w:cs="Arial"/>
                <w:color w:val="000000"/>
                <w:sz w:val="24"/>
                <w:szCs w:val="24"/>
              </w:rPr>
              <w:t xml:space="preserve">, por lo que deberán fundar y motivar debidamente la clasificación. </w:t>
            </w:r>
          </w:p>
          <w:p w:rsidR="008C5F6E" w:rsidRPr="000C3DA4" w:rsidRDefault="008C5F6E" w:rsidP="00A679C6">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t xml:space="preserve">De lo anterior, se desprende que para una correcta </w:t>
            </w:r>
            <w:r w:rsidRPr="000C3DA4">
              <w:rPr>
                <w:rFonts w:ascii="Palatino Linotype" w:hAnsi="Palatino Linotype" w:cs="Arial"/>
                <w:b/>
                <w:color w:val="000000"/>
                <w:sz w:val="24"/>
                <w:szCs w:val="24"/>
              </w:rPr>
              <w:t>clasificación total o parcial</w:t>
            </w:r>
            <w:r w:rsidRPr="000C3DA4">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C5F6E" w:rsidRPr="000C3DA4" w:rsidRDefault="008C5F6E" w:rsidP="00A679C6">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0C3DA4">
              <w:rPr>
                <w:rFonts w:ascii="Palatino Linotype" w:hAnsi="Palatino Linotype" w:cs="Arial"/>
                <w:color w:val="000000"/>
                <w:sz w:val="24"/>
                <w:szCs w:val="24"/>
              </w:rPr>
              <w:lastRenderedPageBreak/>
              <w:t>impugnar la decisión, permitiéndole una real y auténtica defensa.</w:t>
            </w:r>
          </w:p>
          <w:p w:rsidR="008C5F6E" w:rsidRPr="000C3DA4" w:rsidRDefault="008C5F6E" w:rsidP="00A679C6">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8C5F6E" w:rsidRPr="000C3DA4" w:rsidRDefault="008C5F6E" w:rsidP="00A679C6">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ES"/>
              </w:rPr>
            </w:pPr>
            <w:r w:rsidRPr="000C3DA4">
              <w:rPr>
                <w:rFonts w:ascii="Palatino Linotype" w:hAnsi="Palatino Linotype" w:cs="Arial"/>
                <w:color w:val="000000"/>
                <w:sz w:val="24"/>
                <w:szCs w:val="24"/>
              </w:rPr>
              <w:t xml:space="preserve">Ahora bien, </w:t>
            </w:r>
            <w:r w:rsidRPr="000C3DA4">
              <w:rPr>
                <w:rFonts w:ascii="Palatino Linotype" w:hAnsi="Palatino Linotype" w:cs="Arial"/>
                <w:b/>
                <w:color w:val="000000"/>
                <w:sz w:val="24"/>
                <w:szCs w:val="24"/>
                <w:u w:val="single"/>
              </w:rPr>
              <w:t>para cada caso además de fundar y motivar</w:t>
            </w:r>
            <w:r w:rsidRPr="000C3DA4">
              <w:rPr>
                <w:rFonts w:ascii="Palatino Linotype" w:hAnsi="Palatino Linotype" w:cs="Arial"/>
                <w:color w:val="000000"/>
                <w:sz w:val="24"/>
                <w:szCs w:val="24"/>
              </w:rPr>
              <w:t xml:space="preserve">, se debe identificar con claridad que datos contenidos en las documentales que son susceptibles de suprimirse, por ejemplo; </w:t>
            </w:r>
            <w:r w:rsidRPr="000C3DA4">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A679C6" w:rsidRPr="000C3DA4" w:rsidRDefault="00A679C6" w:rsidP="00A679C6">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p>
        </w:tc>
      </w:tr>
      <w:tr w:rsidR="008C5F6E" w:rsidRPr="000C3DA4" w:rsidTr="008C5F6E">
        <w:tc>
          <w:tcPr>
            <w:cnfStyle w:val="001000000000" w:firstRow="0" w:lastRow="0" w:firstColumn="1" w:lastColumn="0" w:oddVBand="0" w:evenVBand="0" w:oddHBand="0" w:evenHBand="0" w:firstRowFirstColumn="0" w:firstRowLastColumn="0" w:lastRowFirstColumn="0" w:lastRowLastColumn="0"/>
            <w:tcW w:w="1838" w:type="dxa"/>
          </w:tcPr>
          <w:p w:rsidR="008C5F6E" w:rsidRPr="000C3DA4" w:rsidRDefault="008C5F6E" w:rsidP="00A679C6">
            <w:pPr>
              <w:tabs>
                <w:tab w:val="left" w:pos="284"/>
              </w:tabs>
              <w:ind w:right="49"/>
              <w:jc w:val="both"/>
              <w:rPr>
                <w:rFonts w:ascii="Palatino Linotype" w:hAnsi="Palatino Linotype" w:cs="Arial"/>
                <w:b w:val="0"/>
                <w:sz w:val="24"/>
                <w:szCs w:val="24"/>
              </w:rPr>
            </w:pPr>
            <w:r w:rsidRPr="000C3DA4">
              <w:rPr>
                <w:rFonts w:ascii="Palatino Linotype" w:eastAsia="MS Gothic" w:hAnsi="Palatino Linotype" w:cs="Times New Roman"/>
                <w:b w:val="0"/>
                <w:bCs w:val="0"/>
                <w:sz w:val="24"/>
                <w:szCs w:val="24"/>
              </w:rPr>
              <w:lastRenderedPageBreak/>
              <w:t xml:space="preserve">e) Condiciones especiales de la clasificación de la información como confidencial. </w:t>
            </w:r>
          </w:p>
        </w:tc>
        <w:tc>
          <w:tcPr>
            <w:tcW w:w="6990" w:type="dxa"/>
            <w:hideMark/>
          </w:tcPr>
          <w:p w:rsidR="008C5F6E" w:rsidRPr="000C3DA4" w:rsidRDefault="008C5F6E" w:rsidP="00A679C6">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8C5F6E" w:rsidRPr="000C3DA4" w:rsidRDefault="008C5F6E" w:rsidP="00A679C6">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C5F6E" w:rsidRPr="000C3DA4" w:rsidRDefault="008C5F6E" w:rsidP="00A679C6">
            <w:pPr>
              <w:tabs>
                <w:tab w:val="left" w:pos="284"/>
              </w:tabs>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3DA4">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A679C6" w:rsidRPr="000C3DA4" w:rsidRDefault="00A679C6" w:rsidP="00A679C6">
            <w:pPr>
              <w:tabs>
                <w:tab w:val="left" w:pos="284"/>
              </w:tabs>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bl>
    <w:p w:rsidR="008C5F6E" w:rsidRPr="000C3DA4" w:rsidRDefault="008C5F6E" w:rsidP="00B3314D">
      <w:pPr>
        <w:tabs>
          <w:tab w:val="left" w:pos="284"/>
        </w:tabs>
        <w:spacing w:line="360" w:lineRule="auto"/>
        <w:contextualSpacing/>
        <w:rPr>
          <w:rFonts w:ascii="Palatino Linotype" w:hAnsi="Palatino Linotype" w:cs="Arial"/>
          <w:color w:val="000000"/>
        </w:rPr>
      </w:pPr>
    </w:p>
    <w:p w:rsidR="008C5F6E"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color w:val="000000"/>
        </w:rPr>
      </w:pPr>
      <w:r w:rsidRPr="000C3DA4">
        <w:rPr>
          <w:rFonts w:ascii="Palatino Linotype" w:hAnsi="Palatino Linotype" w:cs="Arial"/>
        </w:rPr>
        <w:t xml:space="preserve">Si el servidor público incumple con estas formalidades y entrega la información sin proteger los datos personales incumple con lo que estipula las </w:t>
      </w:r>
      <w:r w:rsidRPr="000C3DA4">
        <w:rPr>
          <w:rFonts w:ascii="Palatino Linotype" w:hAnsi="Palatino Linotype" w:cs="Arial"/>
        </w:rPr>
        <w:lastRenderedPageBreak/>
        <w:t>disposiciones legales establecidas, asimismo que si entrega un documento testado sin el debido acuerdo de clasificación.</w:t>
      </w:r>
    </w:p>
    <w:p w:rsidR="008C5F6E" w:rsidRPr="000C3DA4" w:rsidRDefault="008C5F6E" w:rsidP="00B3314D">
      <w:pPr>
        <w:pBdr>
          <w:top w:val="nil"/>
          <w:left w:val="nil"/>
          <w:bottom w:val="nil"/>
          <w:right w:val="nil"/>
          <w:between w:val="nil"/>
        </w:pBdr>
        <w:spacing w:line="360" w:lineRule="auto"/>
        <w:ind w:right="49"/>
        <w:jc w:val="both"/>
        <w:rPr>
          <w:rFonts w:ascii="Palatino Linotype" w:hAnsi="Palatino Linotype" w:cs="Arial"/>
          <w:color w:val="000000"/>
        </w:rPr>
      </w:pPr>
    </w:p>
    <w:p w:rsidR="00DE4007" w:rsidRPr="000C3DA4" w:rsidRDefault="008C5F6E" w:rsidP="00B3314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C3DA4">
        <w:rPr>
          <w:rFonts w:ascii="Palatino Linotype" w:hAnsi="Palatino Linotype" w:cs="Times New Roman"/>
          <w:color w:val="000000"/>
          <w:lang w:eastAsia="en-US"/>
        </w:rPr>
        <w:t xml:space="preserve">Por lo anteriormente expuesto y fundado, este </w:t>
      </w:r>
      <w:r w:rsidRPr="000C3DA4">
        <w:rPr>
          <w:rFonts w:ascii="Palatino Linotype" w:hAnsi="Palatino Linotype" w:cs="Times New Roman"/>
          <w:b/>
          <w:color w:val="000000"/>
          <w:lang w:eastAsia="en-US"/>
        </w:rPr>
        <w:t>ÓRGANO GARANTE</w:t>
      </w:r>
      <w:r w:rsidRPr="000C3DA4">
        <w:rPr>
          <w:rFonts w:ascii="Palatino Linotype" w:hAnsi="Palatino Linotype" w:cs="Times New Roman"/>
          <w:color w:val="000000"/>
          <w:lang w:eastAsia="en-US"/>
        </w:rPr>
        <w:t xml:space="preserve"> emite los siguientes:</w:t>
      </w:r>
      <w:r w:rsidRPr="000C3DA4">
        <w:rPr>
          <w:rFonts w:ascii="Palatino Linotype" w:eastAsia="Palatino Linotype" w:hAnsi="Palatino Linotype" w:cs="Palatino Linotype"/>
          <w:color w:val="000000"/>
        </w:rPr>
        <w:t xml:space="preserve"> </w:t>
      </w:r>
    </w:p>
    <w:p w:rsidR="00DE4007" w:rsidRPr="000C3DA4" w:rsidRDefault="00B27C6D" w:rsidP="00B3314D">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0C3DA4">
        <w:rPr>
          <w:rFonts w:ascii="Palatino Linotype" w:eastAsia="Palatino Linotype" w:hAnsi="Palatino Linotype" w:cs="Palatino Linotype"/>
          <w:b/>
          <w:color w:val="000000"/>
        </w:rPr>
        <w:t>R E S O L U T I V O S</w:t>
      </w:r>
    </w:p>
    <w:p w:rsidR="00DE4007" w:rsidRPr="000C3DA4" w:rsidRDefault="00DE4007" w:rsidP="00B3314D">
      <w:pPr>
        <w:spacing w:line="360" w:lineRule="auto"/>
        <w:ind w:right="49"/>
        <w:jc w:val="both"/>
        <w:rPr>
          <w:rFonts w:ascii="Palatino Linotype" w:eastAsia="Palatino Linotype" w:hAnsi="Palatino Linotype" w:cs="Palatino Linotype"/>
          <w:color w:val="000000"/>
        </w:rPr>
      </w:pPr>
    </w:p>
    <w:p w:rsidR="00DE4007" w:rsidRPr="000C3DA4" w:rsidRDefault="00B27C6D" w:rsidP="00B3314D">
      <w:pPr>
        <w:spacing w:line="360" w:lineRule="auto"/>
        <w:ind w:right="49"/>
        <w:jc w:val="both"/>
        <w:rPr>
          <w:rFonts w:ascii="Palatino Linotype" w:eastAsia="Palatino Linotype" w:hAnsi="Palatino Linotype" w:cs="Palatino Linotype"/>
        </w:rPr>
      </w:pPr>
      <w:r w:rsidRPr="000C3DA4">
        <w:rPr>
          <w:rFonts w:ascii="Palatino Linotype" w:eastAsia="Palatino Linotype" w:hAnsi="Palatino Linotype" w:cs="Palatino Linotype"/>
          <w:b/>
        </w:rPr>
        <w:t xml:space="preserve">PRIMERO. </w:t>
      </w:r>
      <w:r w:rsidRPr="000C3DA4">
        <w:rPr>
          <w:rFonts w:ascii="Palatino Linotype" w:eastAsia="Palatino Linotype" w:hAnsi="Palatino Linotype" w:cs="Palatino Linotype"/>
        </w:rPr>
        <w:t>Resultan fundadas, las</w:t>
      </w:r>
      <w:r w:rsidRPr="000C3DA4">
        <w:rPr>
          <w:rFonts w:ascii="Palatino Linotype" w:eastAsia="Palatino Linotype" w:hAnsi="Palatino Linotype" w:cs="Palatino Linotype"/>
          <w:b/>
        </w:rPr>
        <w:t xml:space="preserve"> </w:t>
      </w:r>
      <w:r w:rsidRPr="000C3DA4">
        <w:rPr>
          <w:rFonts w:ascii="Palatino Linotype" w:eastAsia="Palatino Linotype" w:hAnsi="Palatino Linotype" w:cs="Palatino Linotype"/>
        </w:rPr>
        <w:t>razones o motivos de inconformidad, hechos valer en el Recurso de Revisión</w:t>
      </w:r>
      <w:r w:rsidRPr="000C3DA4">
        <w:rPr>
          <w:rFonts w:ascii="Palatino Linotype" w:eastAsia="Palatino Linotype" w:hAnsi="Palatino Linotype" w:cs="Palatino Linotype"/>
          <w:b/>
        </w:rPr>
        <w:t xml:space="preserve"> 02493/INFOEM/IP/RR/2025 </w:t>
      </w:r>
      <w:r w:rsidRPr="000C3DA4">
        <w:rPr>
          <w:rFonts w:ascii="Palatino Linotype" w:eastAsia="Palatino Linotype" w:hAnsi="Palatino Linotype" w:cs="Palatino Linotype"/>
        </w:rPr>
        <w:t>en términos de</w:t>
      </w:r>
      <w:r w:rsidR="004A3708" w:rsidRPr="000C3DA4">
        <w:rPr>
          <w:rFonts w:ascii="Palatino Linotype" w:eastAsia="Palatino Linotype" w:hAnsi="Palatino Linotype" w:cs="Palatino Linotype"/>
        </w:rPr>
        <w:t xml:space="preserve"> </w:t>
      </w:r>
      <w:r w:rsidRPr="000C3DA4">
        <w:rPr>
          <w:rFonts w:ascii="Palatino Linotype" w:eastAsia="Palatino Linotype" w:hAnsi="Palatino Linotype" w:cs="Palatino Linotype"/>
        </w:rPr>
        <w:t>l</w:t>
      </w:r>
      <w:r w:rsidR="004A3708" w:rsidRPr="000C3DA4">
        <w:rPr>
          <w:rFonts w:ascii="Palatino Linotype" w:eastAsia="Palatino Linotype" w:hAnsi="Palatino Linotype" w:cs="Palatino Linotype"/>
        </w:rPr>
        <w:t>os</w:t>
      </w:r>
      <w:r w:rsidRPr="000C3DA4">
        <w:rPr>
          <w:rFonts w:ascii="Palatino Linotype" w:eastAsia="Palatino Linotype" w:hAnsi="Palatino Linotype" w:cs="Palatino Linotype"/>
          <w:b/>
        </w:rPr>
        <w:t xml:space="preserve"> Considerando</w:t>
      </w:r>
      <w:r w:rsidR="004A3708" w:rsidRPr="000C3DA4">
        <w:rPr>
          <w:rFonts w:ascii="Palatino Linotype" w:eastAsia="Palatino Linotype" w:hAnsi="Palatino Linotype" w:cs="Palatino Linotype"/>
          <w:b/>
        </w:rPr>
        <w:t>s</w:t>
      </w:r>
      <w:r w:rsidRPr="000C3DA4">
        <w:rPr>
          <w:rFonts w:ascii="Palatino Linotype" w:eastAsia="Palatino Linotype" w:hAnsi="Palatino Linotype" w:cs="Palatino Linotype"/>
        </w:rPr>
        <w:t xml:space="preserve"> </w:t>
      </w:r>
      <w:r w:rsidRPr="000C3DA4">
        <w:rPr>
          <w:rFonts w:ascii="Palatino Linotype" w:eastAsia="Palatino Linotype" w:hAnsi="Palatino Linotype" w:cs="Palatino Linotype"/>
          <w:b/>
        </w:rPr>
        <w:t xml:space="preserve">CUARTO </w:t>
      </w:r>
      <w:r w:rsidR="004A3708" w:rsidRPr="000C3DA4">
        <w:rPr>
          <w:rFonts w:ascii="Palatino Linotype" w:eastAsia="Palatino Linotype" w:hAnsi="Palatino Linotype" w:cs="Palatino Linotype"/>
          <w:b/>
        </w:rPr>
        <w:t xml:space="preserve">y QUINTO </w:t>
      </w:r>
      <w:r w:rsidRPr="000C3DA4">
        <w:rPr>
          <w:rFonts w:ascii="Palatino Linotype" w:eastAsia="Palatino Linotype" w:hAnsi="Palatino Linotype" w:cs="Palatino Linotype"/>
        </w:rPr>
        <w:t>de la presente Resolución.</w:t>
      </w:r>
    </w:p>
    <w:p w:rsidR="00DE4007" w:rsidRPr="000C3DA4" w:rsidRDefault="00DE4007" w:rsidP="00B3314D">
      <w:pPr>
        <w:spacing w:line="360" w:lineRule="auto"/>
        <w:ind w:right="49"/>
        <w:jc w:val="both"/>
        <w:rPr>
          <w:rFonts w:ascii="Palatino Linotype" w:eastAsia="Palatino Linotype" w:hAnsi="Palatino Linotype" w:cs="Palatino Linotype"/>
        </w:rPr>
      </w:pPr>
    </w:p>
    <w:p w:rsidR="00DE4007" w:rsidRPr="000C3DA4" w:rsidRDefault="00B27C6D" w:rsidP="00B3314D">
      <w:pPr>
        <w:spacing w:line="360" w:lineRule="auto"/>
        <w:ind w:right="49"/>
        <w:jc w:val="both"/>
        <w:rPr>
          <w:rFonts w:ascii="Palatino Linotype" w:eastAsia="Palatino Linotype" w:hAnsi="Palatino Linotype" w:cs="Palatino Linotype"/>
        </w:rPr>
      </w:pPr>
      <w:r w:rsidRPr="000C3DA4">
        <w:rPr>
          <w:rFonts w:ascii="Palatino Linotype" w:eastAsia="Palatino Linotype" w:hAnsi="Palatino Linotype" w:cs="Palatino Linotype"/>
          <w:b/>
        </w:rPr>
        <w:t xml:space="preserve">SEGUNDO. </w:t>
      </w:r>
      <w:r w:rsidRPr="000C3DA4">
        <w:rPr>
          <w:rFonts w:ascii="Palatino Linotype" w:eastAsia="Palatino Linotype" w:hAnsi="Palatino Linotype" w:cs="Palatino Linotype"/>
        </w:rPr>
        <w:t xml:space="preserve">Se </w:t>
      </w:r>
      <w:r w:rsidRPr="000C3DA4">
        <w:rPr>
          <w:rFonts w:ascii="Palatino Linotype" w:eastAsia="Palatino Linotype" w:hAnsi="Palatino Linotype" w:cs="Palatino Linotype"/>
          <w:b/>
        </w:rPr>
        <w:t>REVOCA</w:t>
      </w:r>
      <w:r w:rsidRPr="000C3DA4">
        <w:rPr>
          <w:rFonts w:ascii="Palatino Linotype" w:eastAsia="Palatino Linotype" w:hAnsi="Palatino Linotype" w:cs="Palatino Linotype"/>
        </w:rPr>
        <w:t xml:space="preserve"> la respuesta y se </w:t>
      </w:r>
      <w:r w:rsidRPr="000C3DA4">
        <w:rPr>
          <w:rFonts w:ascii="Palatino Linotype" w:eastAsia="Palatino Linotype" w:hAnsi="Palatino Linotype" w:cs="Palatino Linotype"/>
          <w:b/>
        </w:rPr>
        <w:t>ORDENA</w:t>
      </w:r>
      <w:r w:rsidRPr="000C3DA4">
        <w:rPr>
          <w:rFonts w:ascii="Palatino Linotype" w:eastAsia="Palatino Linotype" w:hAnsi="Palatino Linotype" w:cs="Palatino Linotype"/>
        </w:rPr>
        <w:t xml:space="preserve"> al</w:t>
      </w:r>
      <w:r w:rsidRPr="000C3DA4">
        <w:rPr>
          <w:rFonts w:ascii="Palatino Linotype" w:eastAsia="Palatino Linotype" w:hAnsi="Palatino Linotype" w:cs="Palatino Linotype"/>
          <w:b/>
        </w:rPr>
        <w:t xml:space="preserve"> Poder Judicial </w:t>
      </w:r>
      <w:r w:rsidRPr="000C3DA4">
        <w:rPr>
          <w:rFonts w:ascii="Palatino Linotype" w:eastAsia="Palatino Linotype" w:hAnsi="Palatino Linotype" w:cs="Palatino Linotype"/>
        </w:rPr>
        <w:t xml:space="preserve">entregar vía Sistema de Acceso a la Información Mexiquense </w:t>
      </w:r>
      <w:r w:rsidRPr="000C3DA4">
        <w:rPr>
          <w:rFonts w:ascii="Palatino Linotype" w:eastAsia="Palatino Linotype" w:hAnsi="Palatino Linotype" w:cs="Palatino Linotype"/>
          <w:b/>
        </w:rPr>
        <w:t>(SAIMEX)</w:t>
      </w:r>
      <w:r w:rsidRPr="000C3DA4">
        <w:rPr>
          <w:rFonts w:ascii="Palatino Linotype" w:eastAsia="Palatino Linotype" w:hAnsi="Palatino Linotype" w:cs="Palatino Linotype"/>
        </w:rPr>
        <w:t>, la siguiente información</w:t>
      </w:r>
      <w:r w:rsidR="00AF6186" w:rsidRPr="000C3DA4">
        <w:rPr>
          <w:rFonts w:ascii="Palatino Linotype" w:eastAsia="Palatino Linotype" w:hAnsi="Palatino Linotype" w:cs="Palatino Linotype"/>
        </w:rPr>
        <w:t>, en versión pública</w:t>
      </w:r>
      <w:r w:rsidRPr="000C3DA4">
        <w:rPr>
          <w:rFonts w:ascii="Palatino Linotype" w:eastAsia="Palatino Linotype" w:hAnsi="Palatino Linotype" w:cs="Palatino Linotype"/>
        </w:rPr>
        <w:t>:</w:t>
      </w:r>
    </w:p>
    <w:p w:rsidR="00DE4007" w:rsidRPr="000C3DA4" w:rsidRDefault="00DE4007" w:rsidP="00B3314D">
      <w:pPr>
        <w:spacing w:line="360" w:lineRule="auto"/>
        <w:ind w:right="49"/>
        <w:jc w:val="both"/>
        <w:rPr>
          <w:rFonts w:ascii="Palatino Linotype" w:eastAsia="Palatino Linotype" w:hAnsi="Palatino Linotype" w:cs="Palatino Linotype"/>
        </w:rPr>
      </w:pPr>
    </w:p>
    <w:p w:rsidR="00DE4007" w:rsidRPr="000C3DA4" w:rsidRDefault="00AF6186" w:rsidP="00AF6186">
      <w:pPr>
        <w:pStyle w:val="Prrafodelista"/>
        <w:numPr>
          <w:ilvl w:val="0"/>
          <w:numId w:val="15"/>
        </w:numPr>
        <w:spacing w:line="360" w:lineRule="auto"/>
        <w:ind w:right="474"/>
        <w:jc w:val="both"/>
        <w:rPr>
          <w:rFonts w:ascii="Palatino Linotype" w:eastAsia="Palatino Linotype" w:hAnsi="Palatino Linotype" w:cs="Palatino Linotype"/>
          <w:b/>
          <w:color w:val="000000"/>
        </w:rPr>
      </w:pPr>
      <w:r w:rsidRPr="000C3DA4">
        <w:rPr>
          <w:rFonts w:ascii="Palatino Linotype" w:eastAsia="Palatino Linotype" w:hAnsi="Palatino Linotype" w:cs="Palatino Linotype"/>
          <w:b/>
          <w:color w:val="000000"/>
        </w:rPr>
        <w:t>Convenio del Juicio Sucesorio Testamentario aprobado a través de auto de veintinueve de enero de dos mil nueve, referido en informe justificado.</w:t>
      </w:r>
    </w:p>
    <w:p w:rsidR="00AF6186" w:rsidRPr="000C3DA4" w:rsidRDefault="00AF6186" w:rsidP="00AF6186">
      <w:pPr>
        <w:spacing w:line="360" w:lineRule="auto"/>
        <w:ind w:right="474"/>
        <w:jc w:val="both"/>
        <w:rPr>
          <w:rFonts w:ascii="Palatino Linotype" w:eastAsia="Palatino Linotype" w:hAnsi="Palatino Linotype" w:cs="Palatino Linotype"/>
          <w:b/>
          <w:color w:val="000000"/>
        </w:rPr>
      </w:pPr>
    </w:p>
    <w:p w:rsidR="00AF6186" w:rsidRPr="000C3DA4" w:rsidRDefault="00AF6186" w:rsidP="00AF6186">
      <w:pPr>
        <w:spacing w:line="360" w:lineRule="auto"/>
        <w:jc w:val="both"/>
        <w:rPr>
          <w:rFonts w:ascii="Palatino Linotype" w:eastAsia="Times New Roman" w:hAnsi="Palatino Linotype" w:cs="Tahoma"/>
        </w:rPr>
      </w:pPr>
      <w:r w:rsidRPr="000C3DA4">
        <w:rPr>
          <w:rFonts w:ascii="Palatino Linotype" w:eastAsia="Times New Roman" w:hAnsi="Palatino Linotype" w:cs="Tahoma"/>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0C3DA4">
        <w:rPr>
          <w:rFonts w:ascii="Palatino Linotype" w:eastAsia="Times New Roman" w:hAnsi="Palatino Linotype" w:cs="Tahoma"/>
        </w:rPr>
        <w:lastRenderedPageBreak/>
        <w:t>Municipios, en el que funde y motive las razones sobre los datos que se supriman o eliminen y se ponga a disposición del recurrente.</w:t>
      </w:r>
    </w:p>
    <w:p w:rsidR="00AF6186" w:rsidRPr="000C3DA4" w:rsidRDefault="00AF6186" w:rsidP="00B3314D">
      <w:pPr>
        <w:spacing w:line="360" w:lineRule="auto"/>
        <w:ind w:right="49"/>
        <w:jc w:val="both"/>
        <w:rPr>
          <w:rFonts w:ascii="Palatino Linotype" w:eastAsia="Palatino Linotype" w:hAnsi="Palatino Linotype" w:cs="Palatino Linotype"/>
          <w:color w:val="222222"/>
        </w:rPr>
      </w:pPr>
    </w:p>
    <w:p w:rsidR="00DE4007" w:rsidRPr="000C3DA4" w:rsidRDefault="00B27C6D" w:rsidP="00B3314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0C3DA4">
        <w:rPr>
          <w:rFonts w:ascii="Palatino Linotype" w:eastAsia="Palatino Linotype" w:hAnsi="Palatino Linotype" w:cs="Palatino Linotype"/>
          <w:b/>
          <w:color w:val="000000"/>
        </w:rPr>
        <w:t xml:space="preserve">TERCERO. </w:t>
      </w:r>
      <w:r w:rsidRPr="000C3DA4">
        <w:rPr>
          <w:rFonts w:ascii="Palatino Linotype" w:eastAsia="Palatino Linotype" w:hAnsi="Palatino Linotype" w:cs="Palatino Linotype"/>
          <w:b/>
          <w:color w:val="222222"/>
        </w:rPr>
        <w:t>NOTIFÍQUESE</w:t>
      </w:r>
      <w:r w:rsidRPr="000C3DA4">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C3DA4">
        <w:rPr>
          <w:rFonts w:ascii="Palatino Linotype" w:eastAsia="Palatino Linotype" w:hAnsi="Palatino Linotype" w:cs="Palatino Linotype"/>
          <w:b/>
          <w:color w:val="222222"/>
        </w:rPr>
        <w:t>dé cumplimiento a lo ordenado dentro del plazo de diez días hábiles,</w:t>
      </w:r>
      <w:r w:rsidRPr="000C3DA4">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E4007" w:rsidRPr="000C3DA4" w:rsidRDefault="00DE4007" w:rsidP="00B3314D">
      <w:pPr>
        <w:spacing w:line="360" w:lineRule="auto"/>
        <w:ind w:right="49"/>
        <w:jc w:val="both"/>
        <w:rPr>
          <w:rFonts w:ascii="Palatino Linotype" w:eastAsia="Palatino Linotype" w:hAnsi="Palatino Linotype" w:cs="Palatino Linotype"/>
        </w:rPr>
      </w:pPr>
    </w:p>
    <w:p w:rsidR="00DE4007" w:rsidRPr="000C3DA4" w:rsidRDefault="00B27C6D" w:rsidP="00B3314D">
      <w:pPr>
        <w:tabs>
          <w:tab w:val="left" w:pos="284"/>
          <w:tab w:val="left" w:pos="8080"/>
        </w:tabs>
        <w:spacing w:line="360" w:lineRule="auto"/>
        <w:ind w:right="49"/>
        <w:jc w:val="both"/>
        <w:rPr>
          <w:rFonts w:ascii="Palatino Linotype" w:eastAsia="Palatino Linotype" w:hAnsi="Palatino Linotype" w:cs="Palatino Linotype"/>
          <w:color w:val="222222"/>
        </w:rPr>
      </w:pPr>
      <w:r w:rsidRPr="000C3DA4">
        <w:rPr>
          <w:rFonts w:ascii="Palatino Linotype" w:eastAsia="Palatino Linotype" w:hAnsi="Palatino Linotype" w:cs="Palatino Linotype"/>
          <w:b/>
        </w:rPr>
        <w:t xml:space="preserve">CUARTO. </w:t>
      </w:r>
      <w:r w:rsidRPr="000C3DA4">
        <w:rPr>
          <w:rFonts w:ascii="Palatino Linotype" w:eastAsia="Palatino Linotype" w:hAnsi="Palatino Linotype" w:cs="Palatino Linotype"/>
          <w:b/>
          <w:color w:val="222222"/>
        </w:rPr>
        <w:t xml:space="preserve">Notifíquese </w:t>
      </w:r>
      <w:r w:rsidRPr="000C3DA4">
        <w:rPr>
          <w:rFonts w:ascii="Palatino Linotype" w:eastAsia="Palatino Linotype" w:hAnsi="Palatino Linotype" w:cs="Palatino Linotype"/>
          <w:color w:val="222222"/>
        </w:rPr>
        <w:t xml:space="preserve">al </w:t>
      </w:r>
      <w:r w:rsidRPr="000C3DA4">
        <w:rPr>
          <w:rFonts w:ascii="Palatino Linotype" w:eastAsia="Palatino Linotype" w:hAnsi="Palatino Linotype" w:cs="Palatino Linotype"/>
          <w:b/>
          <w:color w:val="222222"/>
        </w:rPr>
        <w:t xml:space="preserve">RECURRENTE </w:t>
      </w:r>
      <w:r w:rsidRPr="000C3DA4">
        <w:rPr>
          <w:rFonts w:ascii="Palatino Linotype" w:eastAsia="Palatino Linotype" w:hAnsi="Palatino Linotype" w:cs="Palatino Linotype"/>
        </w:rPr>
        <w:t>la presente Resolución a través del Sistema de Acceso a la Información Mexiquense (SAIMEX).</w:t>
      </w:r>
    </w:p>
    <w:p w:rsidR="00DE4007" w:rsidRPr="000C3DA4" w:rsidRDefault="00DE4007" w:rsidP="00B3314D">
      <w:pPr>
        <w:tabs>
          <w:tab w:val="left" w:pos="284"/>
          <w:tab w:val="left" w:pos="8080"/>
        </w:tabs>
        <w:spacing w:line="360" w:lineRule="auto"/>
        <w:ind w:right="49"/>
        <w:jc w:val="both"/>
        <w:rPr>
          <w:rFonts w:ascii="Palatino Linotype" w:eastAsia="Palatino Linotype" w:hAnsi="Palatino Linotype" w:cs="Palatino Linotype"/>
          <w:color w:val="222222"/>
        </w:rPr>
      </w:pPr>
    </w:p>
    <w:p w:rsidR="00DE4007" w:rsidRPr="000C3DA4" w:rsidRDefault="00B27C6D" w:rsidP="00B3314D">
      <w:pPr>
        <w:tabs>
          <w:tab w:val="left" w:pos="284"/>
        </w:tabs>
        <w:spacing w:line="360" w:lineRule="auto"/>
        <w:ind w:right="49"/>
        <w:jc w:val="both"/>
        <w:rPr>
          <w:rFonts w:ascii="Palatino Linotype" w:eastAsia="Palatino Linotype" w:hAnsi="Palatino Linotype" w:cs="Palatino Linotype"/>
        </w:rPr>
      </w:pPr>
      <w:r w:rsidRPr="000C3DA4">
        <w:rPr>
          <w:rFonts w:ascii="Palatino Linotype" w:eastAsia="Palatino Linotype" w:hAnsi="Palatino Linotype" w:cs="Palatino Linotype"/>
          <w:b/>
        </w:rPr>
        <w:t xml:space="preserve">QUINTO. </w:t>
      </w:r>
      <w:r w:rsidRPr="000C3DA4">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E4007" w:rsidRPr="000C3DA4" w:rsidRDefault="00B27C6D" w:rsidP="00B3314D">
      <w:pPr>
        <w:spacing w:line="360" w:lineRule="auto"/>
        <w:ind w:right="49"/>
        <w:jc w:val="both"/>
        <w:rPr>
          <w:rFonts w:ascii="Palatino Linotype" w:eastAsia="Palatino Linotype" w:hAnsi="Palatino Linotype" w:cs="Palatino Linotype"/>
        </w:rPr>
      </w:pPr>
      <w:r w:rsidRPr="000C3DA4">
        <w:rPr>
          <w:rFonts w:ascii="Palatino Linotype" w:eastAsia="Palatino Linotype" w:hAnsi="Palatino Linotype" w:cs="Palatino Linotype"/>
          <w:b/>
        </w:rPr>
        <w:lastRenderedPageBreak/>
        <w:t xml:space="preserve">SEXTO. </w:t>
      </w:r>
      <w:r w:rsidRPr="000C3DA4">
        <w:rPr>
          <w:rFonts w:ascii="Palatino Linotype" w:eastAsia="Palatino Linotype" w:hAnsi="Palatino Linotype" w:cs="Palatino Linotype"/>
        </w:rPr>
        <w:t xml:space="preserve">Se hace del conocimiento del </w:t>
      </w:r>
      <w:r w:rsidRPr="000C3DA4">
        <w:rPr>
          <w:rFonts w:ascii="Palatino Linotype" w:eastAsia="Palatino Linotype" w:hAnsi="Palatino Linotype" w:cs="Palatino Linotype"/>
          <w:b/>
        </w:rPr>
        <w:t>RECURRENTE</w:t>
      </w:r>
      <w:r w:rsidRPr="000C3DA4">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w:t>
      </w:r>
      <w:r w:rsidRPr="000C3DA4">
        <w:rPr>
          <w:rFonts w:ascii="Palatino Linotype" w:eastAsia="Palatino Linotype" w:hAnsi="Palatino Linotype" w:cs="Palatino Linotype"/>
          <w:color w:val="000000"/>
        </w:rPr>
        <w:t xml:space="preserve">en caso de que considere que la resolución le cause algún perjuicio podrá </w:t>
      </w:r>
      <w:r w:rsidRPr="000C3DA4">
        <w:rPr>
          <w:rFonts w:ascii="Palatino Linotype" w:eastAsia="Palatino Linotype" w:hAnsi="Palatino Linotype" w:cs="Palatino Linotype"/>
        </w:rPr>
        <w:t>impugnar vía</w:t>
      </w:r>
      <w:r w:rsidRPr="000C3DA4">
        <w:rPr>
          <w:rFonts w:ascii="Palatino Linotype" w:eastAsia="Palatino Linotype" w:hAnsi="Palatino Linotype" w:cs="Palatino Linotype"/>
          <w:color w:val="000000"/>
        </w:rPr>
        <w:t xml:space="preserve"> </w:t>
      </w:r>
      <w:r w:rsidRPr="000C3DA4">
        <w:rPr>
          <w:rFonts w:ascii="Palatino Linotype" w:eastAsia="Palatino Linotype" w:hAnsi="Palatino Linotype" w:cs="Palatino Linotype"/>
        </w:rPr>
        <w:t>juicio de amparo en los términos de las leyes aplicables.</w:t>
      </w:r>
    </w:p>
    <w:p w:rsidR="00DE4007" w:rsidRPr="000C3DA4" w:rsidRDefault="00DE4007" w:rsidP="00B3314D">
      <w:pPr>
        <w:spacing w:line="360" w:lineRule="auto"/>
        <w:ind w:right="49"/>
        <w:jc w:val="both"/>
        <w:rPr>
          <w:rFonts w:ascii="Palatino Linotype" w:eastAsia="Palatino Linotype" w:hAnsi="Palatino Linotype" w:cs="Palatino Linotype"/>
        </w:rPr>
      </w:pPr>
    </w:p>
    <w:p w:rsidR="00DE4007" w:rsidRPr="008C24EC" w:rsidRDefault="00ED7DA9" w:rsidP="00B3314D">
      <w:pPr>
        <w:spacing w:line="360" w:lineRule="auto"/>
        <w:ind w:right="49"/>
        <w:jc w:val="both"/>
        <w:rPr>
          <w:rFonts w:ascii="Palatino Linotype" w:eastAsia="Palatino Linotype" w:hAnsi="Palatino Linotype" w:cs="Palatino Linotype"/>
        </w:rPr>
      </w:pPr>
      <w:r w:rsidRPr="000C3DA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p w:rsidR="00DE4007" w:rsidRPr="008C24EC" w:rsidRDefault="00DE4007" w:rsidP="00B3314D">
      <w:pPr>
        <w:spacing w:line="360" w:lineRule="auto"/>
        <w:ind w:right="49"/>
        <w:jc w:val="both"/>
        <w:rPr>
          <w:rFonts w:ascii="Palatino Linotype" w:eastAsia="Palatino Linotype" w:hAnsi="Palatino Linotype" w:cs="Palatino Linotype"/>
          <w:color w:val="000000"/>
        </w:rPr>
      </w:pPr>
    </w:p>
    <w:sectPr w:rsidR="00DE4007" w:rsidRPr="008C24EC">
      <w:headerReference w:type="default" r:id="rId9"/>
      <w:footerReference w:type="default" r:id="rId10"/>
      <w:headerReference w:type="first" r:id="rId11"/>
      <w:footerReference w:type="first" r:id="rId12"/>
      <w:pgSz w:w="12240" w:h="15840"/>
      <w:pgMar w:top="2268" w:right="1701" w:bottom="1985"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B95" w:rsidRDefault="007A5B95">
      <w:r>
        <w:separator/>
      </w:r>
    </w:p>
  </w:endnote>
  <w:endnote w:type="continuationSeparator" w:id="0">
    <w:p w:rsidR="007A5B95" w:rsidRDefault="007A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6E" w:rsidRDefault="008C5F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02097">
      <w:rPr>
        <w:rFonts w:ascii="Palatino Linotype" w:eastAsia="Palatino Linotype" w:hAnsi="Palatino Linotype" w:cs="Palatino Linotype"/>
        <w:b/>
        <w:noProof/>
        <w:color w:val="000000"/>
        <w:sz w:val="22"/>
        <w:szCs w:val="22"/>
      </w:rPr>
      <w:t>6</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02097">
      <w:rPr>
        <w:rFonts w:ascii="Palatino Linotype" w:eastAsia="Palatino Linotype" w:hAnsi="Palatino Linotype" w:cs="Palatino Linotype"/>
        <w:b/>
        <w:noProof/>
        <w:color w:val="000000"/>
        <w:sz w:val="22"/>
        <w:szCs w:val="22"/>
      </w:rPr>
      <w:t>46</w:t>
    </w:r>
    <w:r>
      <w:rPr>
        <w:rFonts w:ascii="Palatino Linotype" w:eastAsia="Palatino Linotype" w:hAnsi="Palatino Linotype" w:cs="Palatino Linotype"/>
        <w:b/>
        <w:color w:val="000000"/>
        <w:sz w:val="22"/>
        <w:szCs w:val="22"/>
      </w:rPr>
      <w:fldChar w:fldCharType="end"/>
    </w:r>
  </w:p>
  <w:p w:rsidR="008C5F6E" w:rsidRDefault="008C5F6E">
    <w:pPr>
      <w:pBdr>
        <w:top w:val="nil"/>
        <w:left w:val="nil"/>
        <w:bottom w:val="nil"/>
        <w:right w:val="nil"/>
        <w:between w:val="nil"/>
      </w:pBdr>
      <w:tabs>
        <w:tab w:val="center" w:pos="4252"/>
        <w:tab w:val="right" w:pos="8504"/>
      </w:tabs>
      <w:rPr>
        <w:color w:val="000000"/>
      </w:rPr>
    </w:pPr>
  </w:p>
  <w:p w:rsidR="008C5F6E" w:rsidRDefault="008C5F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6E" w:rsidRDefault="008C5F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0209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02097">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p>
  <w:p w:rsidR="008C5F6E" w:rsidRDefault="008C5F6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8C5F6E" w:rsidRDefault="008C5F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B95" w:rsidRDefault="007A5B95">
      <w:r>
        <w:separator/>
      </w:r>
    </w:p>
  </w:footnote>
  <w:footnote w:type="continuationSeparator" w:id="0">
    <w:p w:rsidR="007A5B95" w:rsidRDefault="007A5B95">
      <w:r>
        <w:continuationSeparator/>
      </w:r>
    </w:p>
  </w:footnote>
  <w:footnote w:id="1">
    <w:p w:rsidR="00030DB2" w:rsidRDefault="00030DB2" w:rsidP="00030DB2">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2">
    <w:p w:rsidR="00030DB2" w:rsidRDefault="00030DB2" w:rsidP="00030DB2">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3">
    <w:p w:rsidR="00030DB2" w:rsidRDefault="00030DB2" w:rsidP="00030DB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030DB2" w:rsidRDefault="00030DB2" w:rsidP="00030DB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030DB2" w:rsidRDefault="00030DB2" w:rsidP="00030DB2">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030DB2" w:rsidRDefault="00030DB2" w:rsidP="00030DB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030DB2" w:rsidRDefault="00030DB2" w:rsidP="00030DB2">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030DB2" w:rsidRDefault="00030DB2" w:rsidP="00030DB2">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6E" w:rsidRDefault="008C5F6E">
    <w:pPr>
      <w:widowControl w:val="0"/>
      <w:pBdr>
        <w:top w:val="nil"/>
        <w:left w:val="nil"/>
        <w:bottom w:val="nil"/>
        <w:right w:val="nil"/>
        <w:between w:val="nil"/>
      </w:pBdr>
      <w:spacing w:line="276" w:lineRule="auto"/>
      <w:rPr>
        <w:color w:val="000000"/>
        <w:sz w:val="20"/>
        <w:szCs w:val="20"/>
      </w:rPr>
    </w:pPr>
  </w:p>
  <w:tbl>
    <w:tblPr>
      <w:tblStyle w:val="a3"/>
      <w:tblW w:w="6950"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3260"/>
      <w:gridCol w:w="3690"/>
    </w:tblGrid>
    <w:tr w:rsidR="008C5F6E" w:rsidRPr="008C24EC">
      <w:trPr>
        <w:trHeight w:val="138"/>
        <w:jc w:val="right"/>
      </w:trPr>
      <w:tc>
        <w:tcPr>
          <w:tcW w:w="3260" w:type="dxa"/>
          <w:vAlign w:val="center"/>
        </w:tcPr>
        <w:p w:rsidR="008C5F6E" w:rsidRPr="008C24EC" w:rsidRDefault="00A912FD" w:rsidP="00A912FD">
          <w:pPr>
            <w:ind w:right="34"/>
            <w:jc w:val="right"/>
            <w:rPr>
              <w:rFonts w:ascii="Palatino Linotype" w:eastAsia="Palatino Linotype" w:hAnsi="Palatino Linotype" w:cs="Palatino Linotype"/>
              <w:b/>
            </w:rPr>
          </w:pPr>
          <w:r w:rsidRPr="008C24EC">
            <w:rPr>
              <w:rFonts w:ascii="Palatino Linotype" w:eastAsia="Palatino Linotype" w:hAnsi="Palatino Linotype" w:cs="Palatino Linotype"/>
              <w:b/>
            </w:rPr>
            <w:t>Recurso de Revisión:</w:t>
          </w:r>
        </w:p>
      </w:tc>
      <w:tc>
        <w:tcPr>
          <w:tcW w:w="3690" w:type="dxa"/>
          <w:vAlign w:val="center"/>
        </w:tcPr>
        <w:p w:rsidR="008C5F6E" w:rsidRPr="008C24EC" w:rsidRDefault="008C5F6E">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rPr>
          </w:pPr>
          <w:r w:rsidRPr="008C24EC">
            <w:rPr>
              <w:rFonts w:ascii="Palatino Linotype" w:eastAsia="Palatino Linotype" w:hAnsi="Palatino Linotype" w:cs="Palatino Linotype"/>
              <w:color w:val="000000"/>
            </w:rPr>
            <w:t>02493/INFOEM/IP/RR/2025</w:t>
          </w:r>
        </w:p>
      </w:tc>
    </w:tr>
    <w:tr w:rsidR="008C5F6E" w:rsidRPr="008C24EC">
      <w:trPr>
        <w:trHeight w:val="233"/>
        <w:jc w:val="right"/>
      </w:trPr>
      <w:tc>
        <w:tcPr>
          <w:tcW w:w="3260" w:type="dxa"/>
          <w:vAlign w:val="center"/>
        </w:tcPr>
        <w:p w:rsidR="008C5F6E" w:rsidRPr="008C24EC" w:rsidRDefault="00A912FD">
          <w:pPr>
            <w:ind w:right="34"/>
            <w:jc w:val="right"/>
            <w:rPr>
              <w:rFonts w:ascii="Palatino Linotype" w:eastAsia="Palatino Linotype" w:hAnsi="Palatino Linotype" w:cs="Palatino Linotype"/>
              <w:b/>
            </w:rPr>
          </w:pPr>
          <w:r w:rsidRPr="008C24EC">
            <w:rPr>
              <w:rFonts w:ascii="Palatino Linotype" w:eastAsia="Palatino Linotype" w:hAnsi="Palatino Linotype" w:cs="Palatino Linotype"/>
              <w:b/>
            </w:rPr>
            <w:t>Sujeto Obligado:</w:t>
          </w:r>
        </w:p>
      </w:tc>
      <w:tc>
        <w:tcPr>
          <w:tcW w:w="3690" w:type="dxa"/>
          <w:vAlign w:val="center"/>
        </w:tcPr>
        <w:p w:rsidR="008C5F6E" w:rsidRPr="008C24EC" w:rsidRDefault="008C5F6E">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rPr>
          </w:pPr>
          <w:r w:rsidRPr="008C24EC">
            <w:rPr>
              <w:rFonts w:ascii="Palatino Linotype" w:eastAsia="Palatino Linotype" w:hAnsi="Palatino Linotype" w:cs="Palatino Linotype"/>
              <w:color w:val="000000"/>
            </w:rPr>
            <w:t>Poder Judicial</w:t>
          </w:r>
        </w:p>
      </w:tc>
    </w:tr>
    <w:tr w:rsidR="008C5F6E" w:rsidRPr="008C24EC">
      <w:trPr>
        <w:trHeight w:val="321"/>
        <w:jc w:val="right"/>
      </w:trPr>
      <w:tc>
        <w:tcPr>
          <w:tcW w:w="3260" w:type="dxa"/>
          <w:vAlign w:val="center"/>
        </w:tcPr>
        <w:p w:rsidR="008C5F6E" w:rsidRPr="008C24EC" w:rsidRDefault="00A912FD">
          <w:pPr>
            <w:ind w:right="34"/>
            <w:jc w:val="right"/>
            <w:rPr>
              <w:rFonts w:ascii="Palatino Linotype" w:eastAsia="Palatino Linotype" w:hAnsi="Palatino Linotype" w:cs="Palatino Linotype"/>
              <w:b/>
            </w:rPr>
          </w:pPr>
          <w:r w:rsidRPr="008C24EC">
            <w:rPr>
              <w:rFonts w:ascii="Palatino Linotype" w:eastAsia="Palatino Linotype" w:hAnsi="Palatino Linotype" w:cs="Palatino Linotype"/>
              <w:b/>
            </w:rPr>
            <w:t>Comisionada Ponente:</w:t>
          </w:r>
        </w:p>
      </w:tc>
      <w:tc>
        <w:tcPr>
          <w:tcW w:w="3690" w:type="dxa"/>
          <w:vAlign w:val="center"/>
        </w:tcPr>
        <w:p w:rsidR="008C5F6E" w:rsidRPr="008C24EC" w:rsidRDefault="008C5F6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8C24EC">
            <w:rPr>
              <w:rFonts w:ascii="Palatino Linotype" w:eastAsia="Palatino Linotype" w:hAnsi="Palatino Linotype" w:cs="Palatino Linotype"/>
              <w:color w:val="000000"/>
            </w:rPr>
            <w:t>María del Rosario Mejía Ayala</w:t>
          </w:r>
        </w:p>
      </w:tc>
    </w:tr>
  </w:tbl>
  <w:p w:rsidR="008C5F6E" w:rsidRDefault="008C5F6E">
    <w:pPr>
      <w:pBdr>
        <w:top w:val="nil"/>
        <w:left w:val="nil"/>
        <w:bottom w:val="nil"/>
        <w:right w:val="nil"/>
        <w:between w:val="nil"/>
      </w:pBdr>
      <w:tabs>
        <w:tab w:val="center" w:pos="4252"/>
        <w:tab w:val="right" w:pos="8504"/>
      </w:tabs>
      <w:rPr>
        <w:color w:val="000000"/>
      </w:rPr>
    </w:pPr>
    <w:r>
      <w:rPr>
        <w:noProof/>
        <w:color w:val="000000"/>
      </w:rPr>
      <w:drawing>
        <wp:anchor distT="0" distB="0" distL="0" distR="0" simplePos="0" relativeHeight="251657216" behindDoc="1" locked="0" layoutInCell="1" hidden="0" allowOverlap="1">
          <wp:simplePos x="0" y="0"/>
          <wp:positionH relativeFrom="page">
            <wp:posOffset>30785</wp:posOffset>
          </wp:positionH>
          <wp:positionV relativeFrom="page">
            <wp:posOffset>30480</wp:posOffset>
          </wp:positionV>
          <wp:extent cx="7695210" cy="10020839"/>
          <wp:effectExtent l="0" t="0" r="0" b="0"/>
          <wp:wrapNone/>
          <wp:docPr id="17415212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5210" cy="10020839"/>
                  </a:xfrm>
                  <a:prstGeom prst="rect">
                    <a:avLst/>
                  </a:prstGeom>
                  <a:ln/>
                </pic:spPr>
              </pic:pic>
            </a:graphicData>
          </a:graphic>
        </wp:anchor>
      </w:drawing>
    </w:r>
  </w:p>
  <w:p w:rsidR="008C5F6E" w:rsidRDefault="008C5F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6E" w:rsidRDefault="007A5B95">
    <w:pPr>
      <w:pBdr>
        <w:top w:val="nil"/>
        <w:left w:val="nil"/>
        <w:bottom w:val="nil"/>
        <w:right w:val="nil"/>
        <w:between w:val="nil"/>
      </w:pBdr>
      <w:tabs>
        <w:tab w:val="right" w:pos="8504"/>
        <w:tab w:val="left" w:pos="3103"/>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118.65pt;margin-top:-128.35pt;width:663.5pt;height:12in;z-index:-251658240;mso-position-horizontal:absolute;mso-position-horizontal-relative:margin;mso-position-vertical:absolute;mso-position-vertical-relative:margin">
          <v:imagedata r:id="rId1" o:title="image1"/>
          <w10:wrap anchorx="margin" anchory="margin"/>
        </v:shape>
      </w:pict>
    </w:r>
    <w:r w:rsidR="008C5F6E">
      <w:rPr>
        <w:color w:val="000000"/>
      </w:rPr>
      <w:tab/>
    </w:r>
  </w:p>
  <w:tbl>
    <w:tblPr>
      <w:tblStyle w:val="a4"/>
      <w:tblW w:w="7372"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3261"/>
      <w:gridCol w:w="4111"/>
    </w:tblGrid>
    <w:tr w:rsidR="008C5F6E" w:rsidRPr="008C24EC">
      <w:trPr>
        <w:trHeight w:val="138"/>
        <w:jc w:val="right"/>
      </w:trPr>
      <w:tc>
        <w:tcPr>
          <w:tcW w:w="3261" w:type="dxa"/>
          <w:vAlign w:val="center"/>
        </w:tcPr>
        <w:p w:rsidR="008C5F6E" w:rsidRPr="008C24EC" w:rsidRDefault="00A912FD">
          <w:pPr>
            <w:jc w:val="right"/>
            <w:rPr>
              <w:rFonts w:ascii="Palatino Linotype" w:eastAsia="Palatino Linotype" w:hAnsi="Palatino Linotype" w:cs="Palatino Linotype"/>
              <w:b/>
            </w:rPr>
          </w:pPr>
          <w:r w:rsidRPr="008C24EC">
            <w:rPr>
              <w:rFonts w:ascii="Palatino Linotype" w:eastAsia="Palatino Linotype" w:hAnsi="Palatino Linotype" w:cs="Palatino Linotype"/>
              <w:b/>
            </w:rPr>
            <w:t>Recurso de Revisión:</w:t>
          </w:r>
        </w:p>
      </w:tc>
      <w:tc>
        <w:tcPr>
          <w:tcW w:w="4111" w:type="dxa"/>
          <w:vAlign w:val="center"/>
        </w:tcPr>
        <w:p w:rsidR="008C5F6E" w:rsidRPr="008C24EC" w:rsidRDefault="008C5F6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8C24EC">
            <w:rPr>
              <w:rFonts w:ascii="Palatino Linotype" w:eastAsia="Palatino Linotype" w:hAnsi="Palatino Linotype" w:cs="Palatino Linotype"/>
              <w:color w:val="000000"/>
            </w:rPr>
            <w:t>02493/INFOEM/IP/RR/2025</w:t>
          </w:r>
        </w:p>
      </w:tc>
    </w:tr>
    <w:tr w:rsidR="008C5F6E" w:rsidRPr="008C24EC">
      <w:trPr>
        <w:trHeight w:val="233"/>
        <w:jc w:val="right"/>
      </w:trPr>
      <w:tc>
        <w:tcPr>
          <w:tcW w:w="3261" w:type="dxa"/>
          <w:vAlign w:val="center"/>
        </w:tcPr>
        <w:p w:rsidR="008C5F6E" w:rsidRPr="008C24EC" w:rsidRDefault="00A912FD">
          <w:pPr>
            <w:jc w:val="right"/>
            <w:rPr>
              <w:rFonts w:ascii="Palatino Linotype" w:eastAsia="Palatino Linotype" w:hAnsi="Palatino Linotype" w:cs="Palatino Linotype"/>
              <w:b/>
            </w:rPr>
          </w:pPr>
          <w:r w:rsidRPr="008C24EC">
            <w:rPr>
              <w:rFonts w:ascii="Palatino Linotype" w:eastAsia="Palatino Linotype" w:hAnsi="Palatino Linotype" w:cs="Palatino Linotype"/>
              <w:b/>
            </w:rPr>
            <w:t>Recurrente:</w:t>
          </w:r>
        </w:p>
      </w:tc>
      <w:tc>
        <w:tcPr>
          <w:tcW w:w="4111" w:type="dxa"/>
        </w:tcPr>
        <w:p w:rsidR="008C5F6E" w:rsidRPr="008C24EC" w:rsidRDefault="00302097">
          <w:pPr>
            <w:pBdr>
              <w:top w:val="nil"/>
              <w:left w:val="nil"/>
              <w:bottom w:val="nil"/>
              <w:right w:val="nil"/>
              <w:between w:val="nil"/>
            </w:pBdr>
            <w:tabs>
              <w:tab w:val="center" w:pos="4252"/>
              <w:tab w:val="right" w:pos="8504"/>
            </w:tabs>
            <w:ind w:right="-107"/>
            <w:rPr>
              <w:rFonts w:ascii="Palatino Linotype" w:eastAsia="Palatino Linotype" w:hAnsi="Palatino Linotype" w:cs="Palatino Linotype"/>
              <w:color w:val="000000"/>
            </w:rPr>
          </w:pPr>
          <w:r>
            <w:rPr>
              <w:rFonts w:ascii="Palatino Linotype" w:eastAsia="Palatino Linotype" w:hAnsi="Palatino Linotype" w:cs="Palatino Linotype"/>
            </w:rPr>
            <w:t>XXXX</w:t>
          </w:r>
        </w:p>
      </w:tc>
    </w:tr>
    <w:tr w:rsidR="008C5F6E" w:rsidRPr="008C24EC">
      <w:trPr>
        <w:trHeight w:val="321"/>
        <w:jc w:val="right"/>
      </w:trPr>
      <w:tc>
        <w:tcPr>
          <w:tcW w:w="3261" w:type="dxa"/>
          <w:vAlign w:val="center"/>
        </w:tcPr>
        <w:p w:rsidR="008C5F6E" w:rsidRPr="008C24EC" w:rsidRDefault="00A912FD">
          <w:pPr>
            <w:ind w:firstLine="459"/>
            <w:jc w:val="right"/>
            <w:rPr>
              <w:rFonts w:ascii="Palatino Linotype" w:eastAsia="Palatino Linotype" w:hAnsi="Palatino Linotype" w:cs="Palatino Linotype"/>
              <w:b/>
            </w:rPr>
          </w:pPr>
          <w:r w:rsidRPr="008C24EC">
            <w:rPr>
              <w:rFonts w:ascii="Palatino Linotype" w:eastAsia="Palatino Linotype" w:hAnsi="Palatino Linotype" w:cs="Palatino Linotype"/>
              <w:b/>
            </w:rPr>
            <w:t>Sujeto Obligado:</w:t>
          </w:r>
        </w:p>
      </w:tc>
      <w:tc>
        <w:tcPr>
          <w:tcW w:w="4111" w:type="dxa"/>
          <w:vAlign w:val="center"/>
        </w:tcPr>
        <w:p w:rsidR="008C5F6E" w:rsidRPr="008C24EC" w:rsidRDefault="008C5F6E">
          <w:pPr>
            <w:jc w:val="both"/>
            <w:rPr>
              <w:rFonts w:ascii="Palatino Linotype" w:eastAsia="Palatino Linotype" w:hAnsi="Palatino Linotype" w:cs="Palatino Linotype"/>
            </w:rPr>
          </w:pPr>
          <w:r w:rsidRPr="008C24EC">
            <w:rPr>
              <w:rFonts w:ascii="Palatino Linotype" w:eastAsia="Palatino Linotype" w:hAnsi="Palatino Linotype" w:cs="Palatino Linotype"/>
            </w:rPr>
            <w:t>Poder Judicial</w:t>
          </w:r>
        </w:p>
      </w:tc>
    </w:tr>
    <w:tr w:rsidR="008C5F6E" w:rsidRPr="008C24EC">
      <w:trPr>
        <w:trHeight w:val="321"/>
        <w:jc w:val="right"/>
      </w:trPr>
      <w:tc>
        <w:tcPr>
          <w:tcW w:w="3261" w:type="dxa"/>
          <w:vAlign w:val="center"/>
        </w:tcPr>
        <w:p w:rsidR="008C5F6E" w:rsidRPr="008C24EC" w:rsidRDefault="00A912FD">
          <w:pPr>
            <w:jc w:val="right"/>
            <w:rPr>
              <w:rFonts w:ascii="Palatino Linotype" w:eastAsia="Palatino Linotype" w:hAnsi="Palatino Linotype" w:cs="Palatino Linotype"/>
              <w:b/>
            </w:rPr>
          </w:pPr>
          <w:r w:rsidRPr="008C24EC">
            <w:rPr>
              <w:rFonts w:ascii="Palatino Linotype" w:eastAsia="Palatino Linotype" w:hAnsi="Palatino Linotype" w:cs="Palatino Linotype"/>
              <w:b/>
            </w:rPr>
            <w:t>Comisionada Ponente:</w:t>
          </w:r>
        </w:p>
      </w:tc>
      <w:tc>
        <w:tcPr>
          <w:tcW w:w="4111" w:type="dxa"/>
          <w:vAlign w:val="center"/>
        </w:tcPr>
        <w:p w:rsidR="008C5F6E" w:rsidRPr="008C24EC" w:rsidRDefault="008C5F6E">
          <w:pPr>
            <w:pBdr>
              <w:top w:val="nil"/>
              <w:left w:val="nil"/>
              <w:bottom w:val="nil"/>
              <w:right w:val="nil"/>
              <w:between w:val="nil"/>
            </w:pBdr>
            <w:tabs>
              <w:tab w:val="center" w:pos="4252"/>
              <w:tab w:val="right" w:pos="8504"/>
            </w:tabs>
            <w:ind w:left="33"/>
            <w:rPr>
              <w:rFonts w:ascii="Palatino Linotype" w:eastAsia="Palatino Linotype" w:hAnsi="Palatino Linotype" w:cs="Palatino Linotype"/>
              <w:color w:val="000000"/>
            </w:rPr>
          </w:pPr>
          <w:r w:rsidRPr="008C24EC">
            <w:rPr>
              <w:rFonts w:ascii="Palatino Linotype" w:eastAsia="Palatino Linotype" w:hAnsi="Palatino Linotype" w:cs="Palatino Linotype"/>
              <w:color w:val="000000"/>
            </w:rPr>
            <w:t>María del Rosario Mejía Ayala</w:t>
          </w:r>
        </w:p>
      </w:tc>
    </w:tr>
  </w:tbl>
  <w:p w:rsidR="008C5F6E" w:rsidRDefault="008C5F6E">
    <w:pPr>
      <w:pBdr>
        <w:top w:val="nil"/>
        <w:left w:val="nil"/>
        <w:bottom w:val="nil"/>
        <w:right w:val="nil"/>
        <w:between w:val="nil"/>
      </w:pBdr>
      <w:tabs>
        <w:tab w:val="center" w:pos="4252"/>
        <w:tab w:val="right" w:pos="8504"/>
        <w:tab w:val="left" w:pos="3103"/>
      </w:tabs>
      <w:rPr>
        <w:color w:val="000000"/>
      </w:rPr>
    </w:pPr>
  </w:p>
  <w:p w:rsidR="008C5F6E" w:rsidRDefault="008C5F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BA60E1"/>
    <w:multiLevelType w:val="hybridMultilevel"/>
    <w:tmpl w:val="145203D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9E7497"/>
    <w:multiLevelType w:val="multilevel"/>
    <w:tmpl w:val="20A4A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317490"/>
    <w:multiLevelType w:val="hybridMultilevel"/>
    <w:tmpl w:val="03AC1B5A"/>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217F08"/>
    <w:multiLevelType w:val="multilevel"/>
    <w:tmpl w:val="66E60D3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CA4D58"/>
    <w:multiLevelType w:val="hybridMultilevel"/>
    <w:tmpl w:val="E12E22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2B0EA3"/>
    <w:multiLevelType w:val="hybridMultilevel"/>
    <w:tmpl w:val="26D638C4"/>
    <w:lvl w:ilvl="0" w:tplc="D72EACE4">
      <w:start w:val="1"/>
      <w:numFmt w:val="decimal"/>
      <w:lvlText w:val="%1."/>
      <w:lvlJc w:val="left"/>
      <w:pPr>
        <w:ind w:left="1069" w:hanging="360"/>
      </w:pPr>
      <w:rPr>
        <w:rFonts w:eastAsia="Times New Roman" w:cs="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B624336"/>
    <w:multiLevelType w:val="multilevel"/>
    <w:tmpl w:val="6F14CC1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 w15:restartNumberingAfterBreak="0">
    <w:nsid w:val="584341D2"/>
    <w:multiLevelType w:val="multilevel"/>
    <w:tmpl w:val="CAE8E002"/>
    <w:lvl w:ilvl="0">
      <w:start w:val="1"/>
      <w:numFmt w:val="decimal"/>
      <w:pStyle w:val="Listaconvietas2"/>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FB22FA"/>
    <w:multiLevelType w:val="multilevel"/>
    <w:tmpl w:val="20A22C5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1C555E8"/>
    <w:multiLevelType w:val="multilevel"/>
    <w:tmpl w:val="BA18A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278304B"/>
    <w:multiLevelType w:val="multilevel"/>
    <w:tmpl w:val="F8487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45B1405"/>
    <w:multiLevelType w:val="multilevel"/>
    <w:tmpl w:val="569C225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7EFE3064"/>
    <w:multiLevelType w:val="multilevel"/>
    <w:tmpl w:val="39F6FDE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12"/>
  </w:num>
  <w:num w:numId="4">
    <w:abstractNumId w:val="11"/>
  </w:num>
  <w:num w:numId="5">
    <w:abstractNumId w:val="4"/>
  </w:num>
  <w:num w:numId="6">
    <w:abstractNumId w:val="14"/>
  </w:num>
  <w:num w:numId="7">
    <w:abstractNumId w:val="13"/>
  </w:num>
  <w:num w:numId="8">
    <w:abstractNumId w:val="7"/>
  </w:num>
  <w:num w:numId="9">
    <w:abstractNumId w:val="10"/>
  </w:num>
  <w:num w:numId="10">
    <w:abstractNumId w:val="3"/>
  </w:num>
  <w:num w:numId="11">
    <w:abstractNumId w:val="6"/>
  </w:num>
  <w:num w:numId="12">
    <w:abstractNumId w:val="0"/>
  </w:num>
  <w:num w:numId="13">
    <w:abstractNumId w:val="1"/>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07"/>
    <w:rsid w:val="00030DB2"/>
    <w:rsid w:val="000C3DA4"/>
    <w:rsid w:val="0017570B"/>
    <w:rsid w:val="00182812"/>
    <w:rsid w:val="001F524A"/>
    <w:rsid w:val="00302097"/>
    <w:rsid w:val="003A3E0D"/>
    <w:rsid w:val="004A3708"/>
    <w:rsid w:val="00516D86"/>
    <w:rsid w:val="00591C13"/>
    <w:rsid w:val="005A47A8"/>
    <w:rsid w:val="006E047D"/>
    <w:rsid w:val="006F1812"/>
    <w:rsid w:val="00724094"/>
    <w:rsid w:val="007A5B95"/>
    <w:rsid w:val="007E5ACA"/>
    <w:rsid w:val="008C24EC"/>
    <w:rsid w:val="008C5F6E"/>
    <w:rsid w:val="00924F1D"/>
    <w:rsid w:val="00A679C6"/>
    <w:rsid w:val="00A912FD"/>
    <w:rsid w:val="00AA5E57"/>
    <w:rsid w:val="00AD627E"/>
    <w:rsid w:val="00AF6186"/>
    <w:rsid w:val="00B27C6D"/>
    <w:rsid w:val="00B3314D"/>
    <w:rsid w:val="00C6352A"/>
    <w:rsid w:val="00CC73B3"/>
    <w:rsid w:val="00CD7C7D"/>
    <w:rsid w:val="00DC651B"/>
    <w:rsid w:val="00DE4007"/>
    <w:rsid w:val="00E20110"/>
    <w:rsid w:val="00E5793C"/>
    <w:rsid w:val="00ED7D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D8CD56-09CD-4162-B038-D94192BE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A0D"/>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qFormat/>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1"/>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736D6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paragraph" w:styleId="Listaconvietas3">
    <w:name w:val="List Bullet 3"/>
    <w:basedOn w:val="Normal"/>
    <w:uiPriority w:val="99"/>
    <w:unhideWhenUsed/>
    <w:rsid w:val="00D9082A"/>
    <w:pPr>
      <w:numPr>
        <w:numId w:val="9"/>
      </w:numPr>
      <w:contextualSpacing/>
    </w:pPr>
    <w:rPr>
      <w:rFonts w:ascii="Times New Roman" w:eastAsia="Times New Roman" w:hAnsi="Times New Roman" w:cs="Times New Roman"/>
      <w:lang w:val="es-ES"/>
    </w:r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y2UP3Gi+2P9sF1cI+wId2Colg==">CgMxLjAyDmgudnlzaHQ1YXZnNWcxMghoLmdqZGd4czgAciExakoxYVpfd3lMeTE5Z1RWVTdzUk04bnFPUlhuQWtVNnQ=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106588-82F0-4B13-A409-B26779F1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46</Pages>
  <Words>9849</Words>
  <Characters>54173</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6</cp:revision>
  <cp:lastPrinted>2025-04-24T17:10:00Z</cp:lastPrinted>
  <dcterms:created xsi:type="dcterms:W3CDTF">2025-04-08T20:44:00Z</dcterms:created>
  <dcterms:modified xsi:type="dcterms:W3CDTF">2025-04-24T19:47:00Z</dcterms:modified>
</cp:coreProperties>
</file>