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F7" w:rsidRDefault="002A29F7" w:rsidP="006F6AC6">
      <w:pPr>
        <w:widowControl w:val="0"/>
        <w:pBdr>
          <w:top w:val="nil"/>
          <w:left w:val="nil"/>
          <w:bottom w:val="nil"/>
          <w:right w:val="nil"/>
          <w:between w:val="nil"/>
        </w:pBdr>
        <w:spacing w:line="276" w:lineRule="auto"/>
      </w:pPr>
      <w:bookmarkStart w:id="0" w:name="_GoBack"/>
      <w:bookmarkEnd w:id="0"/>
    </w:p>
    <w:p w:rsidR="002A29F7" w:rsidRDefault="002A29F7" w:rsidP="006F6AC6">
      <w:pPr>
        <w:widowControl w:val="0"/>
        <w:pBdr>
          <w:top w:val="nil"/>
          <w:left w:val="nil"/>
          <w:bottom w:val="nil"/>
          <w:right w:val="nil"/>
          <w:between w:val="nil"/>
        </w:pBdr>
        <w:spacing w:line="276" w:lineRule="auto"/>
      </w:pPr>
    </w:p>
    <w:p w:rsidR="002A29F7" w:rsidRPr="000D5F0E" w:rsidRDefault="00F12910" w:rsidP="006F6AC6">
      <w:pPr>
        <w:tabs>
          <w:tab w:val="left" w:pos="3465"/>
        </w:tabs>
        <w:spacing w:line="360" w:lineRule="auto"/>
        <w:jc w:val="both"/>
        <w:rPr>
          <w:rFonts w:ascii="Palatino Linotype" w:eastAsia="Palatino Linotype" w:hAnsi="Palatino Linotype" w:cs="Palatino Linotype"/>
        </w:rPr>
      </w:pPr>
      <w:r w:rsidRPr="000D5F0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43BD8" w:rsidRPr="000D5F0E">
        <w:rPr>
          <w:rFonts w:ascii="Palatino Linotype" w:eastAsia="Palatino Linotype" w:hAnsi="Palatino Linotype" w:cs="Palatino Linotype"/>
        </w:rPr>
        <w:t>veintidós de enero</w:t>
      </w:r>
      <w:r w:rsidRPr="000D5F0E">
        <w:rPr>
          <w:rFonts w:ascii="Palatino Linotype" w:eastAsia="Palatino Linotype" w:hAnsi="Palatino Linotype" w:cs="Palatino Linotype"/>
        </w:rPr>
        <w:t xml:space="preserve"> de dos mil </w:t>
      </w:r>
      <w:r w:rsidR="00343BD8" w:rsidRPr="000D5F0E">
        <w:rPr>
          <w:rFonts w:ascii="Palatino Linotype" w:eastAsia="Palatino Linotype" w:hAnsi="Palatino Linotype" w:cs="Palatino Linotype"/>
        </w:rPr>
        <w:t>veinticinco</w:t>
      </w:r>
      <w:r w:rsidRPr="000D5F0E">
        <w:rPr>
          <w:rFonts w:ascii="Palatino Linotype" w:eastAsia="Palatino Linotype" w:hAnsi="Palatino Linotype" w:cs="Palatino Linotype"/>
        </w:rPr>
        <w:t>.</w:t>
      </w:r>
    </w:p>
    <w:p w:rsidR="002A29F7" w:rsidRPr="000D5F0E" w:rsidRDefault="002A29F7" w:rsidP="006F6AC6">
      <w:pPr>
        <w:tabs>
          <w:tab w:val="left" w:pos="3465"/>
        </w:tabs>
        <w:spacing w:line="360" w:lineRule="auto"/>
        <w:jc w:val="both"/>
        <w:rPr>
          <w:rFonts w:ascii="Palatino Linotype" w:eastAsia="Palatino Linotype" w:hAnsi="Palatino Linotype" w:cs="Palatino Linotype"/>
        </w:rPr>
      </w:pPr>
    </w:p>
    <w:p w:rsidR="002A29F7" w:rsidRPr="000D5F0E" w:rsidRDefault="00F12910" w:rsidP="006F6AC6">
      <w:pPr>
        <w:spacing w:line="360" w:lineRule="auto"/>
        <w:jc w:val="both"/>
        <w:rPr>
          <w:rFonts w:ascii="Palatino Linotype" w:eastAsia="Palatino Linotype" w:hAnsi="Palatino Linotype" w:cs="Palatino Linotype"/>
        </w:rPr>
      </w:pPr>
      <w:r w:rsidRPr="000D5F0E">
        <w:rPr>
          <w:rFonts w:ascii="Palatino Linotype" w:eastAsia="Palatino Linotype" w:hAnsi="Palatino Linotype" w:cs="Palatino Linotype"/>
          <w:b/>
        </w:rPr>
        <w:t xml:space="preserve">VISTAS </w:t>
      </w:r>
      <w:r w:rsidRPr="000D5F0E">
        <w:rPr>
          <w:rFonts w:ascii="Palatino Linotype" w:eastAsia="Palatino Linotype" w:hAnsi="Palatino Linotype" w:cs="Palatino Linotype"/>
        </w:rPr>
        <w:t xml:space="preserve">las constancias para resolver </w:t>
      </w:r>
      <w:r w:rsidRPr="000D5F0E">
        <w:rPr>
          <w:rFonts w:ascii="Palatino Linotype" w:eastAsia="Palatino Linotype" w:hAnsi="Palatino Linotype" w:cs="Palatino Linotype"/>
          <w:color w:val="000000"/>
        </w:rPr>
        <w:t xml:space="preserve">los Recursos de Revisión </w:t>
      </w:r>
      <w:r w:rsidR="00633C3A" w:rsidRPr="000D5F0E">
        <w:rPr>
          <w:rFonts w:ascii="Palatino Linotype" w:hAnsi="Palatino Linotype"/>
          <w:b/>
          <w:bCs/>
          <w:color w:val="000000"/>
          <w:sz w:val="23"/>
          <w:szCs w:val="23"/>
        </w:rPr>
        <w:t xml:space="preserve">05523/INFOEM/IP/RR/2024 y </w:t>
      </w:r>
      <w:r w:rsidR="00633C3A" w:rsidRPr="000D5F0E">
        <w:rPr>
          <w:rFonts w:ascii="Palatino Linotype" w:eastAsia="Palatino Linotype" w:hAnsi="Palatino Linotype" w:cs="Palatino Linotype"/>
          <w:b/>
          <w:color w:val="000000"/>
          <w:sz w:val="23"/>
          <w:szCs w:val="23"/>
        </w:rPr>
        <w:t xml:space="preserve">07513/INFOEM/IP/RR/2024 </w:t>
      </w:r>
      <w:r w:rsidRPr="000D5F0E">
        <w:rPr>
          <w:rFonts w:ascii="Palatino Linotype" w:eastAsia="Palatino Linotype" w:hAnsi="Palatino Linotype" w:cs="Palatino Linotype"/>
          <w:b/>
          <w:color w:val="000000"/>
        </w:rPr>
        <w:t>acumulados</w:t>
      </w:r>
      <w:r w:rsidRPr="000D5F0E">
        <w:rPr>
          <w:rFonts w:ascii="Palatino Linotype" w:eastAsia="Palatino Linotype" w:hAnsi="Palatino Linotype" w:cs="Palatino Linotype"/>
          <w:color w:val="000000"/>
        </w:rPr>
        <w:t xml:space="preserve">, promovidos </w:t>
      </w:r>
      <w:r w:rsidRPr="000D5F0E">
        <w:rPr>
          <w:rFonts w:ascii="Palatino Linotype" w:eastAsia="Palatino Linotype" w:hAnsi="Palatino Linotype" w:cs="Palatino Linotype"/>
        </w:rPr>
        <w:t>por un usuario</w:t>
      </w:r>
      <w:r w:rsidRPr="000D5F0E">
        <w:rPr>
          <w:rFonts w:ascii="Palatino Linotype" w:eastAsia="Palatino Linotype" w:hAnsi="Palatino Linotype" w:cs="Palatino Linotype"/>
          <w:b/>
        </w:rPr>
        <w:t xml:space="preserve"> </w:t>
      </w:r>
      <w:r w:rsidR="00AC5450" w:rsidRPr="000D5F0E">
        <w:rPr>
          <w:rFonts w:ascii="Palatino Linotype" w:eastAsia="Palatino Linotype" w:hAnsi="Palatino Linotype" w:cs="Palatino Linotype"/>
        </w:rPr>
        <w:t>que se registró bajo el nombre de</w:t>
      </w:r>
      <w:r w:rsidR="00AC5450" w:rsidRPr="000D5F0E">
        <w:rPr>
          <w:rFonts w:ascii="Palatino Linotype" w:eastAsia="Palatino Linotype" w:hAnsi="Palatino Linotype" w:cs="Palatino Linotype"/>
          <w:b/>
        </w:rPr>
        <w:t xml:space="preserve"> “</w:t>
      </w:r>
      <w:r w:rsidR="000D5F0E" w:rsidRPr="000D5F0E">
        <w:rPr>
          <w:rFonts w:ascii="Palatino Linotype" w:eastAsia="Palatino Linotype" w:hAnsi="Palatino Linotype" w:cs="Palatino Linotype"/>
        </w:rPr>
        <w:t>XXXXXXXXX</w:t>
      </w:r>
      <w:r w:rsidR="00AC5450" w:rsidRPr="000D5F0E">
        <w:rPr>
          <w:rFonts w:ascii="Palatino Linotype" w:eastAsia="Palatino Linotype" w:hAnsi="Palatino Linotype" w:cs="Palatino Linotype"/>
        </w:rPr>
        <w:t>”</w:t>
      </w:r>
      <w:r w:rsidRPr="000D5F0E">
        <w:rPr>
          <w:rFonts w:ascii="Palatino Linotype" w:eastAsia="Palatino Linotype" w:hAnsi="Palatino Linotype" w:cs="Palatino Linotype"/>
        </w:rPr>
        <w:t xml:space="preserve">,  a quien en lo sucesivo se denominará como </w:t>
      </w:r>
      <w:r w:rsidRPr="000D5F0E">
        <w:rPr>
          <w:rFonts w:ascii="Palatino Linotype" w:eastAsia="Palatino Linotype" w:hAnsi="Palatino Linotype" w:cs="Palatino Linotype"/>
          <w:b/>
        </w:rPr>
        <w:t>RECURRENTE</w:t>
      </w:r>
      <w:r w:rsidRPr="000D5F0E">
        <w:rPr>
          <w:rFonts w:ascii="Palatino Linotype" w:eastAsia="Palatino Linotype" w:hAnsi="Palatino Linotype" w:cs="Palatino Linotype"/>
        </w:rPr>
        <w:t xml:space="preserve">, en contra de la </w:t>
      </w:r>
      <w:r w:rsidR="007F3F93" w:rsidRPr="000D5F0E">
        <w:rPr>
          <w:rFonts w:ascii="Palatino Linotype" w:eastAsia="Palatino Linotype" w:hAnsi="Palatino Linotype" w:cs="Palatino Linotype"/>
        </w:rPr>
        <w:t>falta de respuesta</w:t>
      </w:r>
      <w:r w:rsidRPr="000D5F0E">
        <w:rPr>
          <w:rFonts w:ascii="Palatino Linotype" w:eastAsia="Palatino Linotype" w:hAnsi="Palatino Linotype" w:cs="Palatino Linotype"/>
        </w:rPr>
        <w:t xml:space="preserve"> a las solicitudes de información </w:t>
      </w:r>
      <w:r w:rsidR="00633C3A" w:rsidRPr="000D5F0E">
        <w:rPr>
          <w:rFonts w:ascii="Palatino Linotype" w:eastAsia="Palatino Linotype" w:hAnsi="Palatino Linotype" w:cs="Palatino Linotype"/>
          <w:b/>
        </w:rPr>
        <w:t>00191/TEPOTZOT/IP/2024 y 00229/TEPOTZOT/IP/2024</w:t>
      </w:r>
      <w:r w:rsidRPr="000D5F0E">
        <w:rPr>
          <w:rFonts w:ascii="Palatino Linotype" w:eastAsia="Palatino Linotype" w:hAnsi="Palatino Linotype" w:cs="Palatino Linotype"/>
        </w:rPr>
        <w:t xml:space="preserve">, por parte </w:t>
      </w:r>
      <w:r w:rsidR="002548D4" w:rsidRPr="000D5F0E">
        <w:rPr>
          <w:rFonts w:ascii="Palatino Linotype" w:eastAsia="Palatino Linotype" w:hAnsi="Palatino Linotype" w:cs="Palatino Linotype"/>
        </w:rPr>
        <w:t>de</w:t>
      </w:r>
      <w:r w:rsidR="00633C3A" w:rsidRPr="000D5F0E">
        <w:rPr>
          <w:rFonts w:ascii="Palatino Linotype" w:eastAsia="Palatino Linotype" w:hAnsi="Palatino Linotype" w:cs="Palatino Linotype"/>
        </w:rPr>
        <w:t>l</w:t>
      </w:r>
      <w:r w:rsidRPr="000D5F0E">
        <w:rPr>
          <w:rFonts w:ascii="Palatino Linotype" w:eastAsia="Palatino Linotype" w:hAnsi="Palatino Linotype" w:cs="Palatino Linotype"/>
        </w:rPr>
        <w:t xml:space="preserve"> </w:t>
      </w:r>
      <w:r w:rsidR="00633C3A" w:rsidRPr="000D5F0E">
        <w:rPr>
          <w:rFonts w:ascii="Palatino Linotype" w:eastAsia="Palatino Linotype" w:hAnsi="Palatino Linotype" w:cs="Palatino Linotype"/>
          <w:b/>
        </w:rPr>
        <w:t>Ayuntamiento de Tepotzotlán</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 xml:space="preserve">en adelante el </w:t>
      </w:r>
      <w:r w:rsidRPr="000D5F0E">
        <w:rPr>
          <w:rFonts w:ascii="Palatino Linotype" w:eastAsia="Palatino Linotype" w:hAnsi="Palatino Linotype" w:cs="Palatino Linotype"/>
          <w:b/>
        </w:rPr>
        <w:t>SUJETO OBLIGADO</w:t>
      </w:r>
      <w:r w:rsidRPr="000D5F0E">
        <w:rPr>
          <w:rFonts w:ascii="Palatino Linotype" w:eastAsia="Palatino Linotype" w:hAnsi="Palatino Linotype" w:cs="Palatino Linotype"/>
        </w:rPr>
        <w:t>, se emite la presente resolución con base en los siguientes:</w:t>
      </w:r>
    </w:p>
    <w:p w:rsidR="002A29F7" w:rsidRPr="000D5F0E" w:rsidRDefault="002A29F7" w:rsidP="006F6AC6">
      <w:pPr>
        <w:jc w:val="both"/>
        <w:rPr>
          <w:rFonts w:ascii="Palatino Linotype" w:eastAsia="Palatino Linotype" w:hAnsi="Palatino Linotype" w:cs="Palatino Linotype"/>
        </w:rPr>
      </w:pPr>
    </w:p>
    <w:p w:rsidR="002A29F7" w:rsidRPr="000D5F0E" w:rsidRDefault="00F12910" w:rsidP="006F6AC6">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0D5F0E">
        <w:rPr>
          <w:rFonts w:ascii="Palatino Linotype" w:eastAsia="Palatino Linotype" w:hAnsi="Palatino Linotype" w:cs="Palatino Linotype"/>
          <w:b/>
          <w:color w:val="000000"/>
          <w:sz w:val="24"/>
          <w:szCs w:val="24"/>
        </w:rPr>
        <w:t>A N T E C E D E N T E S</w:t>
      </w:r>
    </w:p>
    <w:p w:rsidR="002A29F7" w:rsidRPr="000D5F0E"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C52CB2" w:rsidRPr="000D5F0E"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 xml:space="preserve">El </w:t>
      </w:r>
      <w:r w:rsidR="007F3F93" w:rsidRPr="000D5F0E">
        <w:rPr>
          <w:rFonts w:ascii="Palatino Linotype" w:eastAsia="Palatino Linotype" w:hAnsi="Palatino Linotype" w:cs="Palatino Linotype"/>
          <w:b/>
          <w:color w:val="000000"/>
        </w:rPr>
        <w:t>quince de julio y veintiséis de agosto de</w:t>
      </w:r>
      <w:r w:rsidRPr="000D5F0E">
        <w:rPr>
          <w:rFonts w:ascii="Palatino Linotype" w:eastAsia="Palatino Linotype" w:hAnsi="Palatino Linotype" w:cs="Palatino Linotype"/>
          <w:b/>
          <w:color w:val="000000"/>
        </w:rPr>
        <w:t xml:space="preserve"> dos mil veinticuatro</w:t>
      </w:r>
      <w:r w:rsidRPr="000D5F0E">
        <w:rPr>
          <w:rFonts w:ascii="Palatino Linotype" w:eastAsia="Palatino Linotype" w:hAnsi="Palatino Linotype" w:cs="Palatino Linotype"/>
          <w:color w:val="000000"/>
        </w:rPr>
        <w:t>,</w:t>
      </w:r>
      <w:r w:rsidRPr="000D5F0E">
        <w:rPr>
          <w:rFonts w:ascii="Palatino Linotype" w:eastAsia="Palatino Linotype" w:hAnsi="Palatino Linotype" w:cs="Palatino Linotype"/>
          <w:b/>
          <w:color w:val="000000"/>
        </w:rPr>
        <w:t xml:space="preserve"> </w:t>
      </w:r>
      <w:r w:rsidRPr="000D5F0E">
        <w:rPr>
          <w:rFonts w:ascii="Palatino Linotype" w:eastAsia="Palatino Linotype" w:hAnsi="Palatino Linotype" w:cs="Palatino Linotype"/>
          <w:color w:val="000000"/>
        </w:rPr>
        <w:t xml:space="preserve">se presentó ante el Sujeto Obligado vía Sistema de Acceso a la Información Mexiquense, en adelante SAIMEX, </w:t>
      </w:r>
      <w:r w:rsidR="004F5EF5" w:rsidRPr="000D5F0E">
        <w:rPr>
          <w:rFonts w:ascii="Palatino Linotype" w:eastAsia="Palatino Linotype" w:hAnsi="Palatino Linotype" w:cs="Palatino Linotype"/>
          <w:color w:val="000000"/>
        </w:rPr>
        <w:t xml:space="preserve">las solicitudes de información </w:t>
      </w:r>
      <w:r w:rsidRPr="000D5F0E">
        <w:rPr>
          <w:rFonts w:ascii="Palatino Linotype" w:eastAsia="Palatino Linotype" w:hAnsi="Palatino Linotype" w:cs="Palatino Linotype"/>
        </w:rPr>
        <w:t xml:space="preserve">en las que </w:t>
      </w:r>
      <w:r w:rsidR="004F5EF5" w:rsidRPr="000D5F0E">
        <w:rPr>
          <w:rFonts w:ascii="Palatino Linotype" w:eastAsia="Palatino Linotype" w:hAnsi="Palatino Linotype" w:cs="Palatino Linotype"/>
        </w:rPr>
        <w:t>requirió</w:t>
      </w:r>
      <w:r w:rsidRPr="000D5F0E">
        <w:rPr>
          <w:rFonts w:ascii="Palatino Linotype" w:eastAsia="Palatino Linotype" w:hAnsi="Palatino Linotype" w:cs="Palatino Linotype"/>
        </w:rPr>
        <w:t xml:space="preserve"> la </w:t>
      </w:r>
      <w:r w:rsidRPr="000D5F0E">
        <w:rPr>
          <w:rFonts w:ascii="Palatino Linotype" w:eastAsia="Palatino Linotype" w:hAnsi="Palatino Linotype" w:cs="Palatino Linotype"/>
          <w:color w:val="000000"/>
        </w:rPr>
        <w:t xml:space="preserve"> información pública:</w:t>
      </w:r>
    </w:p>
    <w:p w:rsidR="00C52CB2" w:rsidRPr="000D5F0E" w:rsidRDefault="00C52CB2" w:rsidP="006F6AC6">
      <w:pPr>
        <w:pBdr>
          <w:top w:val="nil"/>
          <w:left w:val="nil"/>
          <w:bottom w:val="nil"/>
          <w:right w:val="nil"/>
          <w:between w:val="nil"/>
        </w:pBdr>
        <w:jc w:val="both"/>
        <w:rPr>
          <w:rFonts w:ascii="Palatino Linotype" w:eastAsia="Palatino Linotype" w:hAnsi="Palatino Linotype" w:cs="Palatino Linotype"/>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3"/>
        <w:gridCol w:w="5985"/>
      </w:tblGrid>
      <w:tr w:rsidR="00004E18" w:rsidRPr="000D5F0E" w:rsidTr="007F3F93">
        <w:tc>
          <w:tcPr>
            <w:tcW w:w="2843" w:type="dxa"/>
            <w:shd w:val="clear" w:color="auto" w:fill="D9D9D9" w:themeFill="background1" w:themeFillShade="D9"/>
            <w:vAlign w:val="center"/>
          </w:tcPr>
          <w:p w:rsidR="00004E18" w:rsidRPr="000D5F0E" w:rsidRDefault="00004E18" w:rsidP="00004E18">
            <w:pPr>
              <w:jc w:val="center"/>
              <w:rPr>
                <w:rFonts w:ascii="Palatino Linotype" w:hAnsi="Palatino Linotype"/>
                <w:b/>
                <w:sz w:val="22"/>
                <w:szCs w:val="22"/>
              </w:rPr>
            </w:pPr>
            <w:r w:rsidRPr="000D5F0E">
              <w:rPr>
                <w:rFonts w:ascii="Palatino Linotype" w:hAnsi="Palatino Linotype"/>
                <w:b/>
                <w:sz w:val="22"/>
                <w:szCs w:val="22"/>
              </w:rPr>
              <w:t>Número de solicitud</w:t>
            </w:r>
          </w:p>
        </w:tc>
        <w:tc>
          <w:tcPr>
            <w:tcW w:w="5985" w:type="dxa"/>
            <w:shd w:val="clear" w:color="auto" w:fill="D9D9D9" w:themeFill="background1" w:themeFillShade="D9"/>
            <w:vAlign w:val="center"/>
          </w:tcPr>
          <w:p w:rsidR="00004E18" w:rsidRPr="000D5F0E" w:rsidRDefault="00004E18" w:rsidP="00004E18">
            <w:pPr>
              <w:jc w:val="center"/>
              <w:rPr>
                <w:rFonts w:ascii="Palatino Linotype" w:hAnsi="Palatino Linotype"/>
                <w:b/>
                <w:sz w:val="22"/>
                <w:szCs w:val="22"/>
              </w:rPr>
            </w:pPr>
            <w:r w:rsidRPr="000D5F0E">
              <w:rPr>
                <w:rFonts w:ascii="Palatino Linotype" w:hAnsi="Palatino Linotype"/>
                <w:b/>
                <w:sz w:val="22"/>
                <w:szCs w:val="22"/>
              </w:rPr>
              <w:t>Información requerida</w:t>
            </w:r>
          </w:p>
        </w:tc>
      </w:tr>
      <w:tr w:rsidR="00004E18" w:rsidRPr="000D5F0E" w:rsidTr="007F3F93">
        <w:tc>
          <w:tcPr>
            <w:tcW w:w="2843" w:type="dxa"/>
            <w:vAlign w:val="center"/>
          </w:tcPr>
          <w:p w:rsidR="00004E18" w:rsidRPr="000D5F0E" w:rsidRDefault="007F3F93" w:rsidP="00AC406E">
            <w:pPr>
              <w:jc w:val="center"/>
              <w:rPr>
                <w:rFonts w:ascii="Palatino Linotype" w:hAnsi="Palatino Linotype"/>
                <w:b/>
                <w:sz w:val="22"/>
                <w:szCs w:val="22"/>
              </w:rPr>
            </w:pPr>
            <w:r w:rsidRPr="000D5F0E">
              <w:rPr>
                <w:rFonts w:ascii="Palatino Linotype" w:eastAsia="Palatino Linotype" w:hAnsi="Palatino Linotype" w:cs="Palatino Linotype"/>
                <w:b/>
                <w:sz w:val="22"/>
                <w:szCs w:val="22"/>
              </w:rPr>
              <w:t>00191/TEPOTZOT/IP/2024</w:t>
            </w:r>
          </w:p>
        </w:tc>
        <w:tc>
          <w:tcPr>
            <w:tcW w:w="5985" w:type="dxa"/>
          </w:tcPr>
          <w:p w:rsidR="00004E18" w:rsidRPr="000D5F0E" w:rsidRDefault="002B5A0C" w:rsidP="00004E18">
            <w:pPr>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w:t>
            </w:r>
            <w:r w:rsidR="007F3F93" w:rsidRPr="000D5F0E">
              <w:rPr>
                <w:rFonts w:ascii="Palatino Linotype" w:eastAsia="Times New Roman" w:hAnsi="Palatino Linotype"/>
                <w:i/>
                <w:sz w:val="22"/>
                <w:szCs w:val="22"/>
                <w:lang w:eastAsia="es-MX"/>
              </w:rPr>
              <w:t xml:space="preserve">Pólizas de seguro vehicular de las 38 unidades nuevas que entregó la presidenta municipal María de los Ángeles </w:t>
            </w:r>
            <w:proofErr w:type="spellStart"/>
            <w:r w:rsidR="007F3F93" w:rsidRPr="000D5F0E">
              <w:rPr>
                <w:rFonts w:ascii="Palatino Linotype" w:eastAsia="Times New Roman" w:hAnsi="Palatino Linotype"/>
                <w:i/>
                <w:sz w:val="22"/>
                <w:szCs w:val="22"/>
                <w:lang w:eastAsia="es-MX"/>
              </w:rPr>
              <w:t>Zuppa</w:t>
            </w:r>
            <w:proofErr w:type="spellEnd"/>
            <w:r w:rsidR="007F3F93" w:rsidRPr="000D5F0E">
              <w:rPr>
                <w:rFonts w:ascii="Palatino Linotype" w:eastAsia="Times New Roman" w:hAnsi="Palatino Linotype"/>
                <w:i/>
                <w:sz w:val="22"/>
                <w:szCs w:val="22"/>
                <w:lang w:eastAsia="es-MX"/>
              </w:rPr>
              <w:t xml:space="preserve"> Villegas el pasado 13 de septiembre de 2023</w:t>
            </w:r>
            <w:r w:rsidRPr="000D5F0E">
              <w:rPr>
                <w:rFonts w:ascii="Palatino Linotype" w:eastAsia="Times New Roman" w:hAnsi="Palatino Linotype"/>
                <w:i/>
                <w:sz w:val="22"/>
                <w:szCs w:val="22"/>
                <w:lang w:eastAsia="es-MX"/>
              </w:rPr>
              <w:t>.” (Sic)</w:t>
            </w:r>
          </w:p>
        </w:tc>
      </w:tr>
      <w:tr w:rsidR="00004E18" w:rsidRPr="000D5F0E" w:rsidTr="007F3F93">
        <w:tc>
          <w:tcPr>
            <w:tcW w:w="2843" w:type="dxa"/>
            <w:vAlign w:val="center"/>
          </w:tcPr>
          <w:p w:rsidR="00004E18" w:rsidRPr="000D5F0E" w:rsidRDefault="007F3F93" w:rsidP="00004E18">
            <w:pPr>
              <w:jc w:val="center"/>
              <w:rPr>
                <w:rFonts w:ascii="Palatino Linotype" w:hAnsi="Palatino Linotype"/>
                <w:b/>
                <w:sz w:val="22"/>
                <w:szCs w:val="22"/>
              </w:rPr>
            </w:pPr>
            <w:r w:rsidRPr="000D5F0E">
              <w:rPr>
                <w:rFonts w:ascii="Palatino Linotype" w:eastAsia="Palatino Linotype" w:hAnsi="Palatino Linotype" w:cs="Palatino Linotype"/>
                <w:b/>
                <w:sz w:val="22"/>
                <w:szCs w:val="22"/>
              </w:rPr>
              <w:lastRenderedPageBreak/>
              <w:t>00229/TEPOTZOT/IP/2024</w:t>
            </w:r>
          </w:p>
        </w:tc>
        <w:tc>
          <w:tcPr>
            <w:tcW w:w="5985" w:type="dxa"/>
          </w:tcPr>
          <w:p w:rsidR="00004E18" w:rsidRPr="000D5F0E" w:rsidRDefault="002B5A0C" w:rsidP="00004E18">
            <w:pPr>
              <w:jc w:val="both"/>
              <w:rPr>
                <w:rFonts w:ascii="Palatino Linotype" w:eastAsia="Palatino Linotype" w:hAnsi="Palatino Linotype" w:cs="Palatino Linotype"/>
                <w:sz w:val="22"/>
                <w:szCs w:val="22"/>
              </w:rPr>
            </w:pPr>
            <w:r w:rsidRPr="000D5F0E">
              <w:rPr>
                <w:rFonts w:ascii="Palatino Linotype" w:eastAsia="Times New Roman" w:hAnsi="Palatino Linotype"/>
                <w:i/>
                <w:sz w:val="22"/>
                <w:szCs w:val="22"/>
                <w:lang w:eastAsia="es-MX"/>
              </w:rPr>
              <w:t>“</w:t>
            </w:r>
            <w:r w:rsidR="007F3F93" w:rsidRPr="000D5F0E">
              <w:rPr>
                <w:rFonts w:ascii="Palatino Linotype" w:eastAsia="Times New Roman" w:hAnsi="Palatino Linotype"/>
                <w:i/>
                <w:sz w:val="22"/>
                <w:szCs w:val="22"/>
                <w:lang w:eastAsia="es-MX"/>
              </w:rPr>
              <w:t xml:space="preserve">Proceso de compra, Contrato, factura y cheque póliza de pago al proveedor encargado de surtir los zapatos escolares que en esta semana está entregando la presidenta María de los Ángeles </w:t>
            </w:r>
            <w:proofErr w:type="spellStart"/>
            <w:r w:rsidR="007F3F93" w:rsidRPr="000D5F0E">
              <w:rPr>
                <w:rFonts w:ascii="Palatino Linotype" w:eastAsia="Times New Roman" w:hAnsi="Palatino Linotype"/>
                <w:i/>
                <w:sz w:val="22"/>
                <w:szCs w:val="22"/>
                <w:lang w:eastAsia="es-MX"/>
              </w:rPr>
              <w:t>Zuppa</w:t>
            </w:r>
            <w:proofErr w:type="spellEnd"/>
            <w:r w:rsidR="007F3F93" w:rsidRPr="000D5F0E">
              <w:rPr>
                <w:rFonts w:ascii="Palatino Linotype" w:eastAsia="Times New Roman" w:hAnsi="Palatino Linotype"/>
                <w:i/>
                <w:sz w:val="22"/>
                <w:szCs w:val="22"/>
                <w:lang w:eastAsia="es-MX"/>
              </w:rPr>
              <w:t xml:space="preserve"> Villegas.” </w:t>
            </w:r>
            <w:r w:rsidRPr="000D5F0E">
              <w:rPr>
                <w:rFonts w:ascii="Palatino Linotype" w:eastAsia="Times New Roman" w:hAnsi="Palatino Linotype"/>
                <w:i/>
                <w:sz w:val="22"/>
                <w:szCs w:val="22"/>
                <w:lang w:eastAsia="es-MX"/>
              </w:rPr>
              <w:t>(Sic)</w:t>
            </w:r>
          </w:p>
        </w:tc>
      </w:tr>
    </w:tbl>
    <w:p w:rsidR="00004E18" w:rsidRPr="000D5F0E" w:rsidRDefault="00004E18" w:rsidP="006F6AC6">
      <w:pPr>
        <w:pBdr>
          <w:top w:val="nil"/>
          <w:left w:val="nil"/>
          <w:bottom w:val="nil"/>
          <w:right w:val="nil"/>
          <w:between w:val="nil"/>
        </w:pBdr>
        <w:jc w:val="both"/>
        <w:rPr>
          <w:rFonts w:ascii="Palatino Linotype" w:eastAsia="Palatino Linotype" w:hAnsi="Palatino Linotype" w:cs="Palatino Linotype"/>
          <w:color w:val="000000"/>
        </w:rPr>
      </w:pPr>
    </w:p>
    <w:p w:rsidR="002A29F7" w:rsidRPr="000D5F0E" w:rsidRDefault="002A29F7" w:rsidP="006F6AC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2A29F7" w:rsidRPr="000D5F0E" w:rsidRDefault="00F12910" w:rsidP="006F6AC6">
      <w:pPr>
        <w:numPr>
          <w:ilvl w:val="0"/>
          <w:numId w:val="10"/>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color w:val="000000"/>
        </w:rPr>
        <w:t xml:space="preserve">Se eligió como modalidad de entrega de la información: A través del </w:t>
      </w:r>
      <w:r w:rsidRPr="000D5F0E">
        <w:rPr>
          <w:rFonts w:ascii="Palatino Linotype" w:eastAsia="Palatino Linotype" w:hAnsi="Palatino Linotype" w:cs="Palatino Linotype"/>
          <w:b/>
          <w:color w:val="000000"/>
        </w:rPr>
        <w:t>SAIMEX.</w:t>
      </w:r>
    </w:p>
    <w:p w:rsidR="002A29F7" w:rsidRPr="000D5F0E" w:rsidRDefault="002A29F7" w:rsidP="006F6AC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C57FFC" w:rsidRPr="000D5F0E" w:rsidRDefault="00C27226" w:rsidP="00C2722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color w:val="000000"/>
        </w:rPr>
        <w:t xml:space="preserve">En </w:t>
      </w:r>
      <w:r w:rsidR="007F3F93" w:rsidRPr="000D5F0E">
        <w:rPr>
          <w:rFonts w:ascii="Palatino Linotype" w:eastAsia="Palatino Linotype" w:hAnsi="Palatino Linotype" w:cs="Palatino Linotype"/>
          <w:color w:val="000000"/>
        </w:rPr>
        <w:t xml:space="preserve">el tablero de seguimiento de solicitudes </w:t>
      </w:r>
      <w:r w:rsidR="00C57FFC" w:rsidRPr="000D5F0E">
        <w:rPr>
          <w:rFonts w:ascii="Palatino Linotype" w:eastAsia="Palatino Linotype" w:hAnsi="Palatino Linotype" w:cs="Palatino Linotype"/>
          <w:color w:val="000000"/>
        </w:rPr>
        <w:t>se</w:t>
      </w:r>
      <w:r w:rsidR="007F3F93" w:rsidRPr="000D5F0E">
        <w:rPr>
          <w:rFonts w:ascii="Palatino Linotype" w:eastAsia="Palatino Linotype" w:hAnsi="Palatino Linotype" w:cs="Palatino Linotype"/>
          <w:color w:val="000000"/>
        </w:rPr>
        <w:t xml:space="preserve"> puede visualizar una solicitud de prórroga para atender la</w:t>
      </w:r>
      <w:r w:rsidRPr="000D5F0E">
        <w:rPr>
          <w:rFonts w:ascii="Palatino Linotype" w:eastAsia="Palatino Linotype" w:hAnsi="Palatino Linotype" w:cs="Palatino Linotype"/>
          <w:color w:val="000000"/>
        </w:rPr>
        <w:t xml:space="preserve">s solicitudes. </w:t>
      </w:r>
    </w:p>
    <w:p w:rsidR="00C57FFC" w:rsidRPr="000D5F0E" w:rsidRDefault="00C57FFC" w:rsidP="00C57FF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rsidR="00C27226" w:rsidRPr="000D5F0E" w:rsidRDefault="00C27226" w:rsidP="00C57FFC">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color w:val="000000"/>
        </w:rPr>
        <w:t xml:space="preserve">En fecha </w:t>
      </w:r>
      <w:r w:rsidRPr="000D5F0E">
        <w:rPr>
          <w:rFonts w:ascii="Palatino Linotype" w:eastAsia="Palatino Linotype" w:hAnsi="Palatino Linotype" w:cs="Palatino Linotype"/>
          <w:b/>
          <w:color w:val="000000"/>
        </w:rPr>
        <w:t xml:space="preserve">diecinueve de agosto de dos mil veinticuatro, </w:t>
      </w:r>
      <w:r w:rsidRPr="000D5F0E">
        <w:rPr>
          <w:rFonts w:ascii="Palatino Linotype" w:eastAsia="Palatino Linotype" w:hAnsi="Palatino Linotype" w:cs="Palatino Linotype"/>
          <w:color w:val="000000"/>
        </w:rPr>
        <w:t xml:space="preserve">el </w:t>
      </w:r>
      <w:r w:rsidRPr="000D5F0E">
        <w:rPr>
          <w:rFonts w:ascii="Palatino Linotype" w:eastAsia="Palatino Linotype" w:hAnsi="Palatino Linotype" w:cs="Palatino Linotype"/>
          <w:bCs/>
          <w:color w:val="000000"/>
          <w:lang w:val="es-MX"/>
        </w:rPr>
        <w:t>Responsable de la Unidad de Transparencia</w:t>
      </w:r>
      <w:r w:rsidRPr="000D5F0E">
        <w:rPr>
          <w:rFonts w:ascii="Palatino Linotype" w:eastAsia="Palatino Linotype" w:hAnsi="Palatino Linotype" w:cs="Palatino Linotype"/>
          <w:b/>
          <w:color w:val="000000"/>
        </w:rPr>
        <w:t xml:space="preserve"> notifica la ampliación de plazo</w:t>
      </w:r>
      <w:r w:rsidRPr="000D5F0E">
        <w:rPr>
          <w:rFonts w:ascii="Palatino Linotype" w:eastAsia="Palatino Linotype" w:hAnsi="Palatino Linotype" w:cs="Palatino Linotype"/>
          <w:color w:val="000000"/>
        </w:rPr>
        <w:t xml:space="preserve"> por siete días hábiles, </w:t>
      </w:r>
      <w:r w:rsidRPr="000D5F0E">
        <w:rPr>
          <w:rFonts w:ascii="Palatino Linotype" w:eastAsia="Palatino Linotype" w:hAnsi="Palatino Linotype" w:cs="Palatino Linotype"/>
          <w:bCs/>
          <w:color w:val="000000"/>
        </w:rPr>
        <w:t>de acuerdo a la Quincuagésima Primera Sesión Extraordinaria 2024 del Comité de Transparencia de fecha 19 de agosto de 2024, en el acuerdo 02/SE/51/CT/2024, se aprueba por unanimidad la prórroga para atender la solicitud de información</w:t>
      </w:r>
      <w:r w:rsidR="00C57FFC" w:rsidRPr="000D5F0E">
        <w:rPr>
          <w:rFonts w:ascii="Palatino Linotype" w:eastAsia="Palatino Linotype" w:hAnsi="Palatino Linotype" w:cs="Palatino Linotype"/>
          <w:bCs/>
          <w:color w:val="000000"/>
        </w:rPr>
        <w:t xml:space="preserve"> 00191/TEPOTZOT/IP/2024.</w:t>
      </w:r>
    </w:p>
    <w:p w:rsidR="00C57FFC" w:rsidRPr="000D5F0E" w:rsidRDefault="00C57FFC" w:rsidP="00C57FF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rsidR="00C57FFC" w:rsidRPr="000D5F0E" w:rsidRDefault="00C57FFC" w:rsidP="003259BA">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color w:val="000000"/>
        </w:rPr>
        <w:t xml:space="preserve">En fecha </w:t>
      </w:r>
      <w:r w:rsidRPr="000D5F0E">
        <w:rPr>
          <w:rFonts w:ascii="Palatino Linotype" w:eastAsia="Palatino Linotype" w:hAnsi="Palatino Linotype" w:cs="Palatino Linotype"/>
          <w:b/>
          <w:color w:val="000000"/>
        </w:rPr>
        <w:t xml:space="preserve">diecisiete de septiembre de dos mil veinticuatro, </w:t>
      </w:r>
      <w:r w:rsidRPr="000D5F0E">
        <w:rPr>
          <w:rFonts w:ascii="Palatino Linotype" w:eastAsia="Palatino Linotype" w:hAnsi="Palatino Linotype" w:cs="Palatino Linotype"/>
          <w:color w:val="000000"/>
        </w:rPr>
        <w:t xml:space="preserve">el </w:t>
      </w:r>
      <w:r w:rsidRPr="000D5F0E">
        <w:rPr>
          <w:rFonts w:ascii="Palatino Linotype" w:eastAsia="Palatino Linotype" w:hAnsi="Palatino Linotype" w:cs="Palatino Linotype"/>
          <w:bCs/>
          <w:color w:val="000000"/>
          <w:lang w:val="es-MX"/>
        </w:rPr>
        <w:t>Responsable de la Unidad de Transparencia</w:t>
      </w:r>
      <w:r w:rsidRPr="000D5F0E">
        <w:rPr>
          <w:rFonts w:ascii="Palatino Linotype" w:eastAsia="Palatino Linotype" w:hAnsi="Palatino Linotype" w:cs="Palatino Linotype"/>
          <w:b/>
          <w:color w:val="000000"/>
        </w:rPr>
        <w:t xml:space="preserve"> notifica la ampliación de plazo</w:t>
      </w:r>
      <w:r w:rsidRPr="000D5F0E">
        <w:rPr>
          <w:rFonts w:ascii="Palatino Linotype" w:eastAsia="Palatino Linotype" w:hAnsi="Palatino Linotype" w:cs="Palatino Linotype"/>
          <w:color w:val="000000"/>
        </w:rPr>
        <w:t xml:space="preserve"> por siete días hábiles, </w:t>
      </w:r>
      <w:r w:rsidRPr="000D5F0E">
        <w:rPr>
          <w:rFonts w:ascii="Palatino Linotype" w:eastAsia="Palatino Linotype" w:hAnsi="Palatino Linotype" w:cs="Palatino Linotype"/>
          <w:bCs/>
          <w:color w:val="000000"/>
        </w:rPr>
        <w:t xml:space="preserve">de acuerdo a la </w:t>
      </w:r>
      <w:r w:rsidR="003259BA" w:rsidRPr="000D5F0E">
        <w:rPr>
          <w:rFonts w:ascii="Palatino Linotype" w:eastAsia="Palatino Linotype" w:hAnsi="Palatino Linotype" w:cs="Palatino Linotype"/>
          <w:bCs/>
          <w:color w:val="000000"/>
        </w:rPr>
        <w:t>Sexagésima Sexta Sesión Extraordinaria 2024 del Comité de Transparencia de fecha 17 de septiembre de 2024, en el acuerdo 02/SE/66/CT/2024, se aprueba por unanimidad la prórroga para atender la solicitud de información 00229/TEPOTZOT/IP/2024.</w:t>
      </w:r>
    </w:p>
    <w:p w:rsidR="002A29F7" w:rsidRPr="000D5F0E" w:rsidRDefault="002A29F7" w:rsidP="00FA2FA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2A29F7" w:rsidRPr="000D5F0E"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lastRenderedPageBreak/>
        <w:t>El</w:t>
      </w:r>
      <w:r w:rsidRPr="000D5F0E">
        <w:rPr>
          <w:rFonts w:ascii="Palatino Linotype" w:eastAsia="Palatino Linotype" w:hAnsi="Palatino Linotype" w:cs="Palatino Linotype"/>
          <w:b/>
          <w:color w:val="000000"/>
        </w:rPr>
        <w:t xml:space="preserve"> </w:t>
      </w:r>
      <w:r w:rsidR="00FA2FA0" w:rsidRPr="000D5F0E">
        <w:rPr>
          <w:rFonts w:ascii="Palatino Linotype" w:eastAsia="Palatino Linotype" w:hAnsi="Palatino Linotype" w:cs="Palatino Linotype"/>
          <w:b/>
          <w:color w:val="000000"/>
        </w:rPr>
        <w:t>cinco de septiembre y seis de diciembre</w:t>
      </w:r>
      <w:r w:rsidR="00FA220B" w:rsidRPr="000D5F0E">
        <w:rPr>
          <w:rFonts w:ascii="Palatino Linotype" w:eastAsia="Palatino Linotype" w:hAnsi="Palatino Linotype" w:cs="Palatino Linotype"/>
          <w:b/>
          <w:color w:val="000000"/>
        </w:rPr>
        <w:t xml:space="preserve"> de</w:t>
      </w:r>
      <w:r w:rsidRPr="000D5F0E">
        <w:rPr>
          <w:rFonts w:ascii="Palatino Linotype" w:eastAsia="Palatino Linotype" w:hAnsi="Palatino Linotype" w:cs="Palatino Linotype"/>
          <w:b/>
          <w:color w:val="000000"/>
        </w:rPr>
        <w:t xml:space="preserve"> dos mil veinticuatro</w:t>
      </w:r>
      <w:r w:rsidRPr="000D5F0E">
        <w:rPr>
          <w:rFonts w:ascii="Palatino Linotype" w:eastAsia="Palatino Linotype" w:hAnsi="Palatino Linotype" w:cs="Palatino Linotype"/>
          <w:color w:val="000000"/>
        </w:rPr>
        <w:t xml:space="preserve">, el particular interpuso recursos de revisión en contra de </w:t>
      </w:r>
      <w:r w:rsidR="00FA2FA0" w:rsidRPr="000D5F0E">
        <w:rPr>
          <w:rFonts w:ascii="Palatino Linotype" w:eastAsia="Palatino Linotype" w:hAnsi="Palatino Linotype" w:cs="Palatino Linotype"/>
          <w:color w:val="000000"/>
        </w:rPr>
        <w:t>la falta de</w:t>
      </w:r>
      <w:r w:rsidRPr="000D5F0E">
        <w:rPr>
          <w:rFonts w:ascii="Palatino Linotype" w:eastAsia="Palatino Linotype" w:hAnsi="Palatino Linotype" w:cs="Palatino Linotype"/>
          <w:color w:val="000000"/>
        </w:rPr>
        <w:t xml:space="preserve"> respuestas emitidas por el </w:t>
      </w:r>
      <w:r w:rsidR="00FA2FA0" w:rsidRPr="000D5F0E">
        <w:rPr>
          <w:rFonts w:ascii="Palatino Linotype" w:eastAsia="Palatino Linotype" w:hAnsi="Palatino Linotype" w:cs="Palatino Linotype"/>
          <w:color w:val="000000"/>
        </w:rPr>
        <w:t>Sujeto Obligado</w:t>
      </w:r>
      <w:r w:rsidRPr="000D5F0E">
        <w:rPr>
          <w:rFonts w:ascii="Palatino Linotype" w:eastAsia="Palatino Linotype" w:hAnsi="Palatino Linotype" w:cs="Palatino Linotype"/>
          <w:color w:val="000000"/>
        </w:rPr>
        <w:t xml:space="preserve">, realizando </w:t>
      </w:r>
      <w:r w:rsidR="002C5F4D" w:rsidRPr="000D5F0E">
        <w:rPr>
          <w:rFonts w:ascii="Palatino Linotype" w:eastAsia="Palatino Linotype" w:hAnsi="Palatino Linotype" w:cs="Palatino Linotype"/>
          <w:color w:val="000000"/>
        </w:rPr>
        <w:t>las siguientes</w:t>
      </w:r>
      <w:r w:rsidRPr="000D5F0E">
        <w:rPr>
          <w:rFonts w:ascii="Palatino Linotype" w:eastAsia="Palatino Linotype" w:hAnsi="Palatino Linotype" w:cs="Palatino Linotype"/>
          <w:color w:val="000000"/>
        </w:rPr>
        <w:t xml:space="preserve"> manifestaciones como acto impugnado y razones o motivos de inconformidad:</w:t>
      </w:r>
    </w:p>
    <w:p w:rsidR="002A29F7" w:rsidRPr="000D5F0E" w:rsidRDefault="002A29F7" w:rsidP="006F6AC6">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i/>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3260"/>
        <w:gridCol w:w="3588"/>
      </w:tblGrid>
      <w:tr w:rsidR="002C5F4D" w:rsidRPr="000D5F0E" w:rsidTr="000A6E2B">
        <w:tc>
          <w:tcPr>
            <w:tcW w:w="1980" w:type="dxa"/>
            <w:shd w:val="clear" w:color="auto" w:fill="D9D9D9" w:themeFill="background1" w:themeFillShade="D9"/>
            <w:vAlign w:val="center"/>
          </w:tcPr>
          <w:p w:rsidR="002846F6" w:rsidRPr="000D5F0E" w:rsidRDefault="002846F6" w:rsidP="002846F6">
            <w:pPr>
              <w:jc w:val="center"/>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b/>
                <w:color w:val="000000"/>
                <w:sz w:val="20"/>
                <w:szCs w:val="20"/>
              </w:rPr>
              <w:t>Recurso de revisión</w:t>
            </w:r>
          </w:p>
        </w:tc>
        <w:tc>
          <w:tcPr>
            <w:tcW w:w="3260" w:type="dxa"/>
            <w:shd w:val="clear" w:color="auto" w:fill="D9D9D9" w:themeFill="background1" w:themeFillShade="D9"/>
            <w:vAlign w:val="center"/>
          </w:tcPr>
          <w:p w:rsidR="002846F6" w:rsidRPr="000D5F0E" w:rsidRDefault="002846F6" w:rsidP="002846F6">
            <w:pPr>
              <w:jc w:val="center"/>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b/>
                <w:color w:val="000000"/>
                <w:sz w:val="20"/>
                <w:szCs w:val="20"/>
              </w:rPr>
              <w:t>Acto impugnado</w:t>
            </w:r>
          </w:p>
        </w:tc>
        <w:tc>
          <w:tcPr>
            <w:tcW w:w="3588" w:type="dxa"/>
            <w:shd w:val="clear" w:color="auto" w:fill="D9D9D9" w:themeFill="background1" w:themeFillShade="D9"/>
            <w:vAlign w:val="center"/>
          </w:tcPr>
          <w:p w:rsidR="002846F6" w:rsidRPr="000D5F0E" w:rsidRDefault="002846F6" w:rsidP="002846F6">
            <w:pPr>
              <w:jc w:val="center"/>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b/>
                <w:color w:val="000000"/>
                <w:sz w:val="20"/>
                <w:szCs w:val="20"/>
              </w:rPr>
              <w:t>Razones o motivos de inconformidad</w:t>
            </w:r>
          </w:p>
        </w:tc>
      </w:tr>
      <w:tr w:rsidR="002C5F4D" w:rsidRPr="000D5F0E" w:rsidTr="000A6E2B">
        <w:tc>
          <w:tcPr>
            <w:tcW w:w="1980" w:type="dxa"/>
          </w:tcPr>
          <w:p w:rsidR="002846F6" w:rsidRPr="000D5F0E" w:rsidRDefault="00FA2FA0" w:rsidP="006E290D">
            <w:pPr>
              <w:jc w:val="both"/>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b/>
                <w:color w:val="000000"/>
                <w:sz w:val="20"/>
                <w:szCs w:val="20"/>
              </w:rPr>
              <w:t>05523</w:t>
            </w:r>
            <w:r w:rsidR="006E290D" w:rsidRPr="000D5F0E">
              <w:rPr>
                <w:rFonts w:ascii="Palatino Linotype" w:eastAsia="Palatino Linotype" w:hAnsi="Palatino Linotype" w:cs="Palatino Linotype"/>
                <w:b/>
                <w:color w:val="000000"/>
                <w:sz w:val="20"/>
                <w:szCs w:val="20"/>
              </w:rPr>
              <w:t>/INFOEM/IP/RR/2024</w:t>
            </w:r>
          </w:p>
        </w:tc>
        <w:tc>
          <w:tcPr>
            <w:tcW w:w="3260" w:type="dxa"/>
          </w:tcPr>
          <w:p w:rsidR="002846F6" w:rsidRPr="000D5F0E" w:rsidRDefault="006E290D" w:rsidP="00FA2FA0">
            <w:pPr>
              <w:jc w:val="both"/>
              <w:rPr>
                <w:rFonts w:ascii="Palatino Linotype" w:eastAsia="Palatino Linotype" w:hAnsi="Palatino Linotype" w:cs="Palatino Linotype"/>
                <w:i/>
                <w:color w:val="000000"/>
                <w:sz w:val="20"/>
                <w:szCs w:val="20"/>
              </w:rPr>
            </w:pPr>
            <w:r w:rsidRPr="000D5F0E">
              <w:rPr>
                <w:rFonts w:ascii="Palatino Linotype" w:eastAsia="Palatino Linotype" w:hAnsi="Palatino Linotype" w:cs="Palatino Linotype"/>
                <w:i/>
                <w:color w:val="000000"/>
                <w:sz w:val="20"/>
                <w:szCs w:val="20"/>
              </w:rPr>
              <w:t>“</w:t>
            </w:r>
            <w:r w:rsidR="00FA2FA0" w:rsidRPr="000D5F0E">
              <w:rPr>
                <w:rFonts w:ascii="Palatino Linotype" w:eastAsia="Palatino Linotype" w:hAnsi="Palatino Linotype" w:cs="Palatino Linotype"/>
                <w:i/>
                <w:color w:val="000000"/>
                <w:sz w:val="20"/>
                <w:szCs w:val="20"/>
              </w:rPr>
              <w:t>No se entrega la información solicitada, transcurrido el tiempo normal más la prórroga no entregan la información ni respuesta alguna</w:t>
            </w:r>
            <w:r w:rsidRPr="000D5F0E">
              <w:rPr>
                <w:rFonts w:ascii="Palatino Linotype" w:eastAsia="Palatino Linotype" w:hAnsi="Palatino Linotype" w:cs="Palatino Linotype"/>
                <w:i/>
                <w:color w:val="000000"/>
                <w:sz w:val="20"/>
                <w:szCs w:val="20"/>
              </w:rPr>
              <w:t>.” (Sic)</w:t>
            </w:r>
          </w:p>
        </w:tc>
        <w:tc>
          <w:tcPr>
            <w:tcW w:w="3588" w:type="dxa"/>
          </w:tcPr>
          <w:p w:rsidR="002846F6" w:rsidRPr="000D5F0E" w:rsidRDefault="006E290D" w:rsidP="006F6AC6">
            <w:pPr>
              <w:jc w:val="both"/>
              <w:rPr>
                <w:rFonts w:ascii="Palatino Linotype" w:eastAsia="Palatino Linotype" w:hAnsi="Palatino Linotype" w:cs="Palatino Linotype"/>
                <w:i/>
                <w:color w:val="000000"/>
                <w:sz w:val="20"/>
                <w:szCs w:val="20"/>
              </w:rPr>
            </w:pPr>
            <w:r w:rsidRPr="000D5F0E">
              <w:rPr>
                <w:rFonts w:ascii="Palatino Linotype" w:eastAsia="Palatino Linotype" w:hAnsi="Palatino Linotype" w:cs="Palatino Linotype"/>
                <w:i/>
                <w:color w:val="000000"/>
                <w:sz w:val="20"/>
                <w:szCs w:val="20"/>
              </w:rPr>
              <w:t>“</w:t>
            </w:r>
            <w:r w:rsidR="00FA2FA0" w:rsidRPr="000D5F0E">
              <w:rPr>
                <w:rFonts w:ascii="Palatino Linotype" w:eastAsia="Palatino Linotype" w:hAnsi="Palatino Linotype" w:cs="Palatino Linotype"/>
                <w:i/>
                <w:color w:val="000000"/>
                <w:sz w:val="20"/>
                <w:szCs w:val="20"/>
              </w:rPr>
              <w:t>No se entrega la información solicitada, transcurrido el tiempo normal más la prórroga no entregan la información ni respuesta alguna</w:t>
            </w:r>
            <w:r w:rsidRPr="000D5F0E">
              <w:rPr>
                <w:rFonts w:ascii="Palatino Linotype" w:eastAsia="Palatino Linotype" w:hAnsi="Palatino Linotype" w:cs="Palatino Linotype"/>
                <w:i/>
                <w:color w:val="000000"/>
                <w:sz w:val="20"/>
                <w:szCs w:val="20"/>
              </w:rPr>
              <w:t>.</w:t>
            </w:r>
            <w:r w:rsidR="00FA2FA0" w:rsidRPr="000D5F0E">
              <w:rPr>
                <w:rFonts w:ascii="Palatino Linotype" w:eastAsia="Palatino Linotype" w:hAnsi="Palatino Linotype" w:cs="Palatino Linotype"/>
                <w:i/>
                <w:color w:val="000000"/>
                <w:sz w:val="20"/>
                <w:szCs w:val="20"/>
              </w:rPr>
              <w:t>”</w:t>
            </w:r>
            <w:r w:rsidRPr="000D5F0E">
              <w:rPr>
                <w:rFonts w:ascii="Palatino Linotype" w:eastAsia="Palatino Linotype" w:hAnsi="Palatino Linotype" w:cs="Palatino Linotype"/>
                <w:i/>
                <w:color w:val="000000"/>
                <w:sz w:val="20"/>
                <w:szCs w:val="20"/>
              </w:rPr>
              <w:t>( Sic)</w:t>
            </w:r>
          </w:p>
        </w:tc>
      </w:tr>
      <w:tr w:rsidR="002C5F4D" w:rsidRPr="000D5F0E" w:rsidTr="000A6E2B">
        <w:tc>
          <w:tcPr>
            <w:tcW w:w="1980" w:type="dxa"/>
          </w:tcPr>
          <w:p w:rsidR="002846F6" w:rsidRPr="000D5F0E" w:rsidRDefault="00FA2FA0" w:rsidP="002846F6">
            <w:pPr>
              <w:jc w:val="both"/>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b/>
                <w:color w:val="000000"/>
                <w:sz w:val="20"/>
                <w:szCs w:val="20"/>
              </w:rPr>
              <w:t>07513</w:t>
            </w:r>
            <w:r w:rsidR="006E290D" w:rsidRPr="000D5F0E">
              <w:rPr>
                <w:rFonts w:ascii="Palatino Linotype" w:eastAsia="Palatino Linotype" w:hAnsi="Palatino Linotype" w:cs="Palatino Linotype"/>
                <w:b/>
                <w:color w:val="000000"/>
                <w:sz w:val="20"/>
                <w:szCs w:val="20"/>
              </w:rPr>
              <w:t>/INFOEM/IP/RR/2024</w:t>
            </w:r>
          </w:p>
        </w:tc>
        <w:tc>
          <w:tcPr>
            <w:tcW w:w="3260" w:type="dxa"/>
          </w:tcPr>
          <w:p w:rsidR="002846F6" w:rsidRPr="000D5F0E" w:rsidRDefault="006E290D" w:rsidP="00FA2FA0">
            <w:pPr>
              <w:jc w:val="both"/>
              <w:rPr>
                <w:rFonts w:ascii="Palatino Linotype" w:eastAsia="Palatino Linotype" w:hAnsi="Palatino Linotype" w:cs="Palatino Linotype"/>
                <w:b/>
                <w:color w:val="000000"/>
                <w:sz w:val="20"/>
                <w:szCs w:val="20"/>
              </w:rPr>
            </w:pPr>
            <w:r w:rsidRPr="000D5F0E">
              <w:rPr>
                <w:rFonts w:ascii="Palatino Linotype" w:eastAsia="Palatino Linotype" w:hAnsi="Palatino Linotype" w:cs="Palatino Linotype"/>
                <w:i/>
                <w:color w:val="000000"/>
                <w:sz w:val="20"/>
                <w:szCs w:val="20"/>
              </w:rPr>
              <w:t>“</w:t>
            </w:r>
            <w:r w:rsidR="00FA2FA0" w:rsidRPr="000D5F0E">
              <w:rPr>
                <w:rFonts w:ascii="Palatino Linotype" w:eastAsia="Palatino Linotype" w:hAnsi="Palatino Linotype" w:cs="Palatino Linotype"/>
                <w:i/>
                <w:color w:val="000000"/>
                <w:sz w:val="20"/>
                <w:szCs w:val="20"/>
              </w:rPr>
              <w:t>No entregan la información</w:t>
            </w:r>
            <w:r w:rsidRPr="000D5F0E">
              <w:rPr>
                <w:rFonts w:ascii="Palatino Linotype" w:eastAsia="Palatino Linotype" w:hAnsi="Palatino Linotype" w:cs="Palatino Linotype"/>
                <w:i/>
                <w:color w:val="000000"/>
                <w:sz w:val="20"/>
                <w:szCs w:val="20"/>
              </w:rPr>
              <w:t>” (Sic)</w:t>
            </w:r>
          </w:p>
        </w:tc>
        <w:tc>
          <w:tcPr>
            <w:tcW w:w="3588" w:type="dxa"/>
          </w:tcPr>
          <w:p w:rsidR="002846F6" w:rsidRPr="000D5F0E" w:rsidRDefault="00E20798" w:rsidP="002846F6">
            <w:pPr>
              <w:jc w:val="both"/>
              <w:rPr>
                <w:rFonts w:ascii="Palatino Linotype" w:eastAsia="Palatino Linotype" w:hAnsi="Palatino Linotype" w:cs="Palatino Linotype"/>
                <w:i/>
                <w:color w:val="000000"/>
                <w:sz w:val="20"/>
                <w:szCs w:val="20"/>
              </w:rPr>
            </w:pPr>
            <w:r w:rsidRPr="000D5F0E">
              <w:rPr>
                <w:rFonts w:ascii="Palatino Linotype" w:eastAsia="Palatino Linotype" w:hAnsi="Palatino Linotype" w:cs="Palatino Linotype"/>
                <w:i/>
                <w:color w:val="000000"/>
                <w:sz w:val="20"/>
                <w:szCs w:val="20"/>
              </w:rPr>
              <w:t>“</w:t>
            </w:r>
            <w:r w:rsidR="00FA2FA0" w:rsidRPr="000D5F0E">
              <w:rPr>
                <w:rFonts w:ascii="Palatino Linotype" w:eastAsia="Palatino Linotype" w:hAnsi="Palatino Linotype" w:cs="Palatino Linotype"/>
                <w:i/>
                <w:color w:val="000000"/>
                <w:sz w:val="20"/>
                <w:szCs w:val="20"/>
              </w:rPr>
              <w:t xml:space="preserve">No entregaron información” </w:t>
            </w:r>
            <w:r w:rsidRPr="000D5F0E">
              <w:rPr>
                <w:rFonts w:ascii="Palatino Linotype" w:eastAsia="Palatino Linotype" w:hAnsi="Palatino Linotype" w:cs="Palatino Linotype"/>
                <w:i/>
                <w:color w:val="000000"/>
                <w:sz w:val="20"/>
                <w:szCs w:val="20"/>
              </w:rPr>
              <w:t>(Sic)</w:t>
            </w:r>
          </w:p>
        </w:tc>
      </w:tr>
    </w:tbl>
    <w:p w:rsidR="002A29F7" w:rsidRPr="000D5F0E" w:rsidRDefault="002A29F7" w:rsidP="006F6AC6">
      <w:pPr>
        <w:jc w:val="both"/>
        <w:rPr>
          <w:rFonts w:ascii="Palatino Linotype" w:eastAsia="Palatino Linotype" w:hAnsi="Palatino Linotype" w:cs="Palatino Linotype"/>
          <w:b/>
          <w:color w:val="000000"/>
        </w:rPr>
      </w:pPr>
    </w:p>
    <w:p w:rsidR="002A29F7" w:rsidRPr="000D5F0E" w:rsidRDefault="002A29F7" w:rsidP="006F6AC6">
      <w:pPr>
        <w:jc w:val="both"/>
        <w:rPr>
          <w:rFonts w:ascii="Palatino Linotype" w:eastAsia="Palatino Linotype" w:hAnsi="Palatino Linotype" w:cs="Palatino Linotype"/>
          <w:b/>
          <w:color w:val="000000"/>
        </w:rPr>
      </w:pPr>
    </w:p>
    <w:p w:rsidR="002A29F7" w:rsidRPr="000D5F0E" w:rsidRDefault="000279B6"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La Comisionada Ponente</w:t>
      </w:r>
      <w:r w:rsidR="00F12910" w:rsidRPr="000D5F0E">
        <w:rPr>
          <w:rFonts w:ascii="Palatino Linotype" w:eastAsia="Palatino Linotype" w:hAnsi="Palatino Linotype" w:cs="Palatino Linotype"/>
          <w:color w:val="000000"/>
        </w:rPr>
        <w:t xml:space="preserve"> de origen con fundamento en lo dispuesto por el artículo 185, fracción II, de la ley de la materia, a través de los </w:t>
      </w:r>
      <w:r w:rsidR="00F12910" w:rsidRPr="000D5F0E">
        <w:rPr>
          <w:rFonts w:ascii="Palatino Linotype" w:eastAsia="Palatino Linotype" w:hAnsi="Palatino Linotype" w:cs="Palatino Linotype"/>
          <w:b/>
          <w:color w:val="000000"/>
        </w:rPr>
        <w:t xml:space="preserve">acuerdos de admisión </w:t>
      </w:r>
      <w:r w:rsidR="00F12910" w:rsidRPr="000D5F0E">
        <w:rPr>
          <w:rFonts w:ascii="Palatino Linotype" w:eastAsia="Palatino Linotype" w:hAnsi="Palatino Linotype" w:cs="Palatino Linotype"/>
          <w:color w:val="000000"/>
        </w:rPr>
        <w:t xml:space="preserve">de fechas </w:t>
      </w:r>
      <w:r w:rsidR="005B437E" w:rsidRPr="000D5F0E">
        <w:rPr>
          <w:rFonts w:ascii="Palatino Linotype" w:eastAsia="Palatino Linotype" w:hAnsi="Palatino Linotype" w:cs="Palatino Linotype"/>
          <w:b/>
          <w:color w:val="000000"/>
        </w:rPr>
        <w:t>diecinueve de septiembre y nueve de diciembre</w:t>
      </w:r>
      <w:r w:rsidR="00F12910" w:rsidRPr="000D5F0E">
        <w:rPr>
          <w:rFonts w:ascii="Palatino Linotype" w:eastAsia="Palatino Linotype" w:hAnsi="Palatino Linotype" w:cs="Palatino Linotype"/>
          <w:b/>
          <w:color w:val="000000"/>
        </w:rPr>
        <w:t xml:space="preserve"> de dos mil veinticuatro, </w:t>
      </w:r>
      <w:r w:rsidR="00F12910" w:rsidRPr="000D5F0E">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sidR="00F12910" w:rsidRPr="000D5F0E">
        <w:rPr>
          <w:rFonts w:ascii="Palatino Linotype" w:eastAsia="Palatino Linotype" w:hAnsi="Palatino Linotype" w:cs="Palatino Linotype"/>
        </w:rPr>
        <w:t>manifestara</w:t>
      </w:r>
      <w:r w:rsidR="00F12910" w:rsidRPr="000D5F0E">
        <w:rPr>
          <w:rFonts w:ascii="Palatino Linotype" w:eastAsia="Palatino Linotype" w:hAnsi="Palatino Linotype" w:cs="Palatino Linotype"/>
          <w:color w:val="000000"/>
        </w:rPr>
        <w:t xml:space="preserve"> lo que a su derecho conviniera, </w:t>
      </w:r>
      <w:r w:rsidR="00F12910" w:rsidRPr="000D5F0E">
        <w:rPr>
          <w:rFonts w:ascii="Palatino Linotype" w:eastAsia="Palatino Linotype" w:hAnsi="Palatino Linotype" w:cs="Palatino Linotype"/>
        </w:rPr>
        <w:t>ofreciera</w:t>
      </w:r>
      <w:r w:rsidR="00F12910" w:rsidRPr="000D5F0E">
        <w:rPr>
          <w:rFonts w:ascii="Palatino Linotype" w:eastAsia="Palatino Linotype" w:hAnsi="Palatino Linotype" w:cs="Palatino Linotype"/>
          <w:color w:val="000000"/>
        </w:rPr>
        <w:t xml:space="preserve"> pruebas y alegatos según corresponda al caso concreto, de esta forma para que el </w:t>
      </w:r>
      <w:r w:rsidR="00F12910" w:rsidRPr="000D5F0E">
        <w:rPr>
          <w:rFonts w:ascii="Palatino Linotype" w:eastAsia="Palatino Linotype" w:hAnsi="Palatino Linotype" w:cs="Palatino Linotype"/>
          <w:b/>
          <w:color w:val="000000"/>
        </w:rPr>
        <w:t xml:space="preserve">SUJETO OBLIGADO </w:t>
      </w:r>
      <w:r w:rsidR="00F12910" w:rsidRPr="000D5F0E">
        <w:rPr>
          <w:rFonts w:ascii="Palatino Linotype" w:eastAsia="Palatino Linotype" w:hAnsi="Palatino Linotype" w:cs="Palatino Linotype"/>
        </w:rPr>
        <w:t>presentará</w:t>
      </w:r>
      <w:r w:rsidR="00F12910" w:rsidRPr="000D5F0E">
        <w:rPr>
          <w:rFonts w:ascii="Palatino Linotype" w:eastAsia="Palatino Linotype" w:hAnsi="Palatino Linotype" w:cs="Palatino Linotype"/>
          <w:color w:val="000000"/>
        </w:rPr>
        <w:t xml:space="preserve"> el Informe Justificado procedente.</w:t>
      </w:r>
    </w:p>
    <w:p w:rsidR="002A29F7" w:rsidRPr="000D5F0E"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2A29F7" w:rsidRPr="000D5F0E" w:rsidRDefault="002D58E7" w:rsidP="006F6AC6">
      <w:pPr>
        <w:numPr>
          <w:ilvl w:val="0"/>
          <w:numId w:val="2"/>
        </w:numPr>
        <w:pBdr>
          <w:top w:val="nil"/>
          <w:left w:val="nil"/>
          <w:bottom w:val="nil"/>
          <w:right w:val="nil"/>
          <w:between w:val="nil"/>
        </w:pBdr>
        <w:spacing w:line="360" w:lineRule="auto"/>
        <w:ind w:left="0" w:firstLine="0"/>
        <w:jc w:val="both"/>
        <w:rPr>
          <w:color w:val="000000"/>
        </w:rPr>
      </w:pPr>
      <w:r w:rsidRPr="000D5F0E">
        <w:rPr>
          <w:rFonts w:ascii="Palatino Linotype" w:eastAsia="Palatino Linotype" w:hAnsi="Palatino Linotype" w:cs="Palatino Linotype"/>
          <w:color w:val="000000"/>
        </w:rPr>
        <w:t xml:space="preserve">Para el Recurso de Revisión </w:t>
      </w:r>
      <w:r w:rsidR="006A2A67" w:rsidRPr="000D5F0E">
        <w:rPr>
          <w:rFonts w:ascii="Palatino Linotype" w:eastAsia="Palatino Linotype" w:hAnsi="Palatino Linotype" w:cs="Palatino Linotype"/>
          <w:b/>
          <w:color w:val="000000"/>
        </w:rPr>
        <w:t>0</w:t>
      </w:r>
      <w:r w:rsidR="006A2A67" w:rsidRPr="000D5F0E">
        <w:rPr>
          <w:rFonts w:ascii="Palatino Linotype" w:hAnsi="Palatino Linotype"/>
          <w:b/>
          <w:bCs/>
          <w:color w:val="000000"/>
        </w:rPr>
        <w:t>5523</w:t>
      </w:r>
      <w:r w:rsidRPr="000D5F0E">
        <w:rPr>
          <w:rFonts w:ascii="Palatino Linotype" w:hAnsi="Palatino Linotype"/>
          <w:b/>
          <w:bCs/>
          <w:color w:val="000000"/>
        </w:rPr>
        <w:t>/INFOEM/IP/RR/2024, e</w:t>
      </w:r>
      <w:r w:rsidR="00F12910" w:rsidRPr="000D5F0E">
        <w:rPr>
          <w:rFonts w:ascii="Palatino Linotype" w:eastAsia="Palatino Linotype" w:hAnsi="Palatino Linotype" w:cs="Palatino Linotype"/>
          <w:color w:val="000000"/>
        </w:rPr>
        <w:t>l Recurrente</w:t>
      </w:r>
      <w:r w:rsidR="00F12910" w:rsidRPr="000D5F0E">
        <w:rPr>
          <w:rFonts w:ascii="Palatino Linotype" w:eastAsia="Palatino Linotype" w:hAnsi="Palatino Linotype" w:cs="Palatino Linotype"/>
          <w:b/>
          <w:color w:val="000000"/>
        </w:rPr>
        <w:t xml:space="preserve"> </w:t>
      </w:r>
      <w:r w:rsidR="00F12910" w:rsidRPr="000D5F0E">
        <w:rPr>
          <w:rFonts w:ascii="Palatino Linotype" w:eastAsia="Palatino Linotype" w:hAnsi="Palatino Linotype" w:cs="Palatino Linotype"/>
          <w:color w:val="000000"/>
        </w:rPr>
        <w:t xml:space="preserve">dejó de realizar manifestaciones que a su derecho conviniera y asistiera. Por su parte, </w:t>
      </w:r>
      <w:r w:rsidR="006A2A67" w:rsidRPr="000D5F0E">
        <w:rPr>
          <w:rFonts w:ascii="Palatino Linotype" w:eastAsia="Palatino Linotype" w:hAnsi="Palatino Linotype" w:cs="Palatino Linotype"/>
          <w:color w:val="000000"/>
        </w:rPr>
        <w:t xml:space="preserve">en fecha </w:t>
      </w:r>
      <w:r w:rsidR="006A2A67" w:rsidRPr="000D5F0E">
        <w:rPr>
          <w:rFonts w:ascii="Palatino Linotype" w:eastAsia="Palatino Linotype" w:hAnsi="Palatino Linotype" w:cs="Palatino Linotype"/>
          <w:b/>
          <w:color w:val="000000"/>
        </w:rPr>
        <w:t>veinte de septiembre de dos mil veinticuatro</w:t>
      </w:r>
      <w:r w:rsidR="006A2A67" w:rsidRPr="000D5F0E">
        <w:rPr>
          <w:rFonts w:ascii="Palatino Linotype" w:eastAsia="Palatino Linotype" w:hAnsi="Palatino Linotype" w:cs="Palatino Linotype"/>
          <w:color w:val="000000"/>
        </w:rPr>
        <w:t xml:space="preserve"> </w:t>
      </w:r>
      <w:r w:rsidR="00F12910" w:rsidRPr="000D5F0E">
        <w:rPr>
          <w:rFonts w:ascii="Palatino Linotype" w:eastAsia="Palatino Linotype" w:hAnsi="Palatino Linotype" w:cs="Palatino Linotype"/>
          <w:color w:val="000000"/>
        </w:rPr>
        <w:t>el Sujeto Obligado,</w:t>
      </w:r>
      <w:r w:rsidR="00073CC8" w:rsidRPr="000D5F0E">
        <w:rPr>
          <w:rFonts w:ascii="Palatino Linotype" w:eastAsia="Palatino Linotype" w:hAnsi="Palatino Linotype" w:cs="Palatino Linotype"/>
          <w:color w:val="000000"/>
        </w:rPr>
        <w:t xml:space="preserve"> rindió </w:t>
      </w:r>
      <w:r w:rsidR="00073CC8" w:rsidRPr="000D5F0E">
        <w:rPr>
          <w:rFonts w:ascii="Palatino Linotype" w:eastAsia="Palatino Linotype" w:hAnsi="Palatino Linotype" w:cs="Palatino Linotype"/>
          <w:b/>
          <w:color w:val="000000"/>
        </w:rPr>
        <w:t>informe justificado</w:t>
      </w:r>
      <w:r w:rsidR="00073CC8" w:rsidRPr="000D5F0E">
        <w:rPr>
          <w:rFonts w:ascii="Palatino Linotype" w:eastAsia="Palatino Linotype" w:hAnsi="Palatino Linotype" w:cs="Palatino Linotype"/>
          <w:color w:val="000000"/>
        </w:rPr>
        <w:t xml:space="preserve"> </w:t>
      </w:r>
      <w:r w:rsidR="00710928" w:rsidRPr="000D5F0E">
        <w:rPr>
          <w:rFonts w:ascii="Palatino Linotype" w:eastAsia="Palatino Linotype" w:hAnsi="Palatino Linotype" w:cs="Palatino Linotype"/>
          <w:color w:val="000000"/>
        </w:rPr>
        <w:t>a través de los siguientes archivos electrónicos, mismos que se describen toralmente a continuación:</w:t>
      </w:r>
    </w:p>
    <w:p w:rsidR="003D6F26" w:rsidRPr="000D5F0E" w:rsidRDefault="003D6F26" w:rsidP="003D6F26">
      <w:pPr>
        <w:pBdr>
          <w:top w:val="nil"/>
          <w:left w:val="nil"/>
          <w:bottom w:val="nil"/>
          <w:right w:val="nil"/>
          <w:between w:val="nil"/>
        </w:pBdr>
        <w:spacing w:line="360" w:lineRule="auto"/>
        <w:jc w:val="both"/>
        <w:rPr>
          <w:color w:val="000000"/>
        </w:rPr>
      </w:pPr>
    </w:p>
    <w:p w:rsidR="002A29F7" w:rsidRPr="000D5F0E" w:rsidRDefault="006A2A67" w:rsidP="005E3903">
      <w:pPr>
        <w:pBdr>
          <w:top w:val="nil"/>
          <w:left w:val="nil"/>
          <w:bottom w:val="nil"/>
          <w:right w:val="nil"/>
          <w:between w:val="nil"/>
        </w:pBdr>
        <w:ind w:left="993" w:right="474"/>
        <w:rPr>
          <w:rFonts w:ascii="Palatino Linotype" w:eastAsia="Palatino Linotype" w:hAnsi="Palatino Linotype" w:cs="Palatino Linotype"/>
          <w:b/>
          <w:i/>
          <w:color w:val="000000"/>
          <w:sz w:val="22"/>
          <w:szCs w:val="22"/>
        </w:rPr>
      </w:pPr>
      <w:r w:rsidRPr="000D5F0E">
        <w:rPr>
          <w:rFonts w:ascii="Palatino Linotype" w:eastAsia="Palatino Linotype" w:hAnsi="Palatino Linotype" w:cs="Palatino Linotype"/>
          <w:b/>
          <w:i/>
          <w:color w:val="000000"/>
          <w:sz w:val="22"/>
          <w:szCs w:val="22"/>
        </w:rPr>
        <w:t>DAyF-P-242-2024.pdf</w:t>
      </w:r>
    </w:p>
    <w:p w:rsidR="006A2A67" w:rsidRPr="000D5F0E" w:rsidRDefault="006A2A67" w:rsidP="005E3903">
      <w:pPr>
        <w:pBdr>
          <w:top w:val="nil"/>
          <w:left w:val="nil"/>
          <w:bottom w:val="nil"/>
          <w:right w:val="nil"/>
          <w:between w:val="nil"/>
        </w:pBdr>
        <w:ind w:left="993" w:right="474"/>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t xml:space="preserve">Oficio </w:t>
      </w:r>
      <w:proofErr w:type="spellStart"/>
      <w:r w:rsidRPr="000D5F0E">
        <w:rPr>
          <w:rFonts w:ascii="Palatino Linotype" w:eastAsia="Palatino Linotype" w:hAnsi="Palatino Linotype" w:cs="Palatino Linotype"/>
          <w:color w:val="000000"/>
          <w:sz w:val="22"/>
          <w:szCs w:val="22"/>
        </w:rPr>
        <w:t>DAyF</w:t>
      </w:r>
      <w:proofErr w:type="spellEnd"/>
      <w:r w:rsidRPr="000D5F0E">
        <w:rPr>
          <w:rFonts w:ascii="Palatino Linotype" w:eastAsia="Palatino Linotype" w:hAnsi="Palatino Linotype" w:cs="Palatino Linotype"/>
          <w:color w:val="000000"/>
          <w:sz w:val="22"/>
          <w:szCs w:val="22"/>
        </w:rPr>
        <w:t>-P/242/2024 de fecha 28 de agosto de 2024, a través del cual el Director de Administración y Finanzas adjunta 13 pólizas de seguro.</w:t>
      </w:r>
    </w:p>
    <w:p w:rsidR="00B70ED0" w:rsidRPr="000D5F0E" w:rsidRDefault="00B70ED0" w:rsidP="005E3903">
      <w:pPr>
        <w:pBdr>
          <w:top w:val="nil"/>
          <w:left w:val="nil"/>
          <w:bottom w:val="nil"/>
          <w:right w:val="nil"/>
          <w:between w:val="nil"/>
        </w:pBdr>
        <w:ind w:left="993" w:right="474"/>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t>Adjuntando copia de 13 pólizas de seguro automotriz.</w:t>
      </w:r>
    </w:p>
    <w:p w:rsidR="00B70ED0" w:rsidRPr="000D5F0E" w:rsidRDefault="00B70ED0" w:rsidP="005E3903">
      <w:pPr>
        <w:pBdr>
          <w:top w:val="nil"/>
          <w:left w:val="nil"/>
          <w:bottom w:val="nil"/>
          <w:right w:val="nil"/>
          <w:between w:val="nil"/>
        </w:pBdr>
        <w:ind w:left="993" w:right="474"/>
        <w:rPr>
          <w:rFonts w:ascii="Palatino Linotype" w:eastAsia="Palatino Linotype" w:hAnsi="Palatino Linotype" w:cs="Palatino Linotype"/>
          <w:color w:val="000000"/>
          <w:sz w:val="22"/>
          <w:szCs w:val="22"/>
        </w:rPr>
      </w:pPr>
    </w:p>
    <w:p w:rsidR="00457000" w:rsidRPr="000D5F0E" w:rsidRDefault="006A2A67" w:rsidP="005E3903">
      <w:pPr>
        <w:pBdr>
          <w:top w:val="nil"/>
          <w:left w:val="nil"/>
          <w:bottom w:val="nil"/>
          <w:right w:val="nil"/>
          <w:between w:val="nil"/>
        </w:pBdr>
        <w:ind w:left="993" w:right="474"/>
        <w:jc w:val="both"/>
        <w:rPr>
          <w:rFonts w:ascii="Palatino Linotype" w:eastAsia="Palatino Linotype" w:hAnsi="Palatino Linotype" w:cs="Palatino Linotype"/>
          <w:b/>
          <w:i/>
          <w:color w:val="000000"/>
          <w:sz w:val="22"/>
          <w:szCs w:val="22"/>
        </w:rPr>
      </w:pPr>
      <w:r w:rsidRPr="000D5F0E">
        <w:rPr>
          <w:rFonts w:ascii="Palatino Linotype" w:eastAsia="Palatino Linotype" w:hAnsi="Palatino Linotype" w:cs="Palatino Linotype"/>
          <w:b/>
          <w:i/>
          <w:color w:val="000000"/>
          <w:sz w:val="22"/>
          <w:szCs w:val="22"/>
        </w:rPr>
        <w:t>HAT-UTAIP-2024-479 acuerdo.pdf</w:t>
      </w:r>
    </w:p>
    <w:p w:rsidR="00B70ED0" w:rsidRPr="000D5F0E" w:rsidRDefault="00B70ED0" w:rsidP="005E3903">
      <w:pPr>
        <w:pBdr>
          <w:top w:val="nil"/>
          <w:left w:val="nil"/>
          <w:bottom w:val="nil"/>
          <w:right w:val="nil"/>
          <w:between w:val="nil"/>
        </w:pBdr>
        <w:ind w:left="993" w:right="474"/>
        <w:jc w:val="both"/>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t xml:space="preserve">Oficio HAT/UTAIP/2024/479 de fecha 05 de septiembre de 2024, firmado por el Titular de la Unidad de Transparencia y Acceso a la Información Pública, </w:t>
      </w:r>
      <w:r w:rsidR="0030717E" w:rsidRPr="000D5F0E">
        <w:rPr>
          <w:rFonts w:ascii="Palatino Linotype" w:eastAsia="Palatino Linotype" w:hAnsi="Palatino Linotype" w:cs="Palatino Linotype"/>
          <w:color w:val="000000"/>
          <w:sz w:val="22"/>
          <w:szCs w:val="22"/>
        </w:rPr>
        <w:t xml:space="preserve">mediante el cual hace del conocimiento que en la 62 Sesión Extraordinaria del Comité de Transparencia, mediante acuerdo 02/SE/62/CT/2024 de aprobó la clasificación de información como confidencial de los datos personales concernientes a firma, marca, modelo, color, número de motor y de serie, placas de circulación del vehículo y número de póliza de seguro vehicular con vigencia 2023-2024 del Ayuntamiento de Tepotzotlán, para dar respuesta a la solicitud de información </w:t>
      </w:r>
      <w:r w:rsidR="0030717E" w:rsidRPr="000D5F0E">
        <w:rPr>
          <w:rFonts w:ascii="Palatino Linotype" w:eastAsia="Palatino Linotype" w:hAnsi="Palatino Linotype" w:cs="Palatino Linotype"/>
          <w:bCs/>
          <w:color w:val="000000"/>
          <w:sz w:val="22"/>
          <w:szCs w:val="22"/>
        </w:rPr>
        <w:t>00191/TEPOTZOT/IP/2024, mismos que se deberán entregar en versión pública.</w:t>
      </w:r>
    </w:p>
    <w:p w:rsidR="006A2A67" w:rsidRPr="000D5F0E" w:rsidRDefault="006A2A67" w:rsidP="00EF6BFF">
      <w:pPr>
        <w:pBdr>
          <w:top w:val="nil"/>
          <w:left w:val="nil"/>
          <w:bottom w:val="nil"/>
          <w:right w:val="nil"/>
          <w:between w:val="nil"/>
        </w:pBdr>
        <w:ind w:left="426" w:right="474"/>
        <w:jc w:val="both"/>
        <w:rPr>
          <w:rFonts w:ascii="Palatino Linotype" w:eastAsia="Palatino Linotype" w:hAnsi="Palatino Linotype" w:cs="Palatino Linotype"/>
          <w:b/>
          <w:i/>
          <w:color w:val="000000"/>
          <w:sz w:val="22"/>
          <w:szCs w:val="22"/>
        </w:rPr>
      </w:pPr>
    </w:p>
    <w:p w:rsidR="003D6F26" w:rsidRPr="000D5F0E" w:rsidRDefault="003D6F26" w:rsidP="00EF6BFF">
      <w:pPr>
        <w:pBdr>
          <w:top w:val="nil"/>
          <w:left w:val="nil"/>
          <w:bottom w:val="nil"/>
          <w:right w:val="nil"/>
          <w:between w:val="nil"/>
        </w:pBdr>
        <w:ind w:left="426" w:right="474"/>
        <w:jc w:val="both"/>
        <w:rPr>
          <w:rFonts w:ascii="Palatino Linotype" w:eastAsia="Palatino Linotype" w:hAnsi="Palatino Linotype" w:cs="Palatino Linotype"/>
          <w:color w:val="000000"/>
          <w:sz w:val="22"/>
          <w:szCs w:val="22"/>
        </w:rPr>
      </w:pPr>
    </w:p>
    <w:p w:rsidR="003D6F26" w:rsidRPr="000D5F0E" w:rsidRDefault="00F92828" w:rsidP="00F92828">
      <w:pPr>
        <w:numPr>
          <w:ilvl w:val="0"/>
          <w:numId w:val="2"/>
        </w:numPr>
        <w:pBdr>
          <w:top w:val="nil"/>
          <w:left w:val="nil"/>
          <w:bottom w:val="nil"/>
          <w:right w:val="nil"/>
          <w:between w:val="nil"/>
        </w:pBdr>
        <w:spacing w:line="360" w:lineRule="auto"/>
        <w:ind w:left="0" w:firstLine="0"/>
        <w:jc w:val="both"/>
        <w:rPr>
          <w:color w:val="000000"/>
        </w:rPr>
      </w:pPr>
      <w:r w:rsidRPr="000D5F0E">
        <w:rPr>
          <w:rFonts w:ascii="Palatino Linotype" w:eastAsia="Palatino Linotype" w:hAnsi="Palatino Linotype" w:cs="Palatino Linotype"/>
          <w:color w:val="000000"/>
        </w:rPr>
        <w:t xml:space="preserve">Para el Recurso de Revisión </w:t>
      </w:r>
      <w:r w:rsidR="0078686E" w:rsidRPr="000D5F0E">
        <w:rPr>
          <w:rFonts w:ascii="Palatino Linotype" w:hAnsi="Palatino Linotype"/>
          <w:b/>
          <w:bCs/>
          <w:color w:val="000000"/>
        </w:rPr>
        <w:t>07513</w:t>
      </w:r>
      <w:r w:rsidRPr="000D5F0E">
        <w:rPr>
          <w:rFonts w:ascii="Palatino Linotype" w:hAnsi="Palatino Linotype"/>
          <w:b/>
          <w:bCs/>
          <w:color w:val="000000"/>
        </w:rPr>
        <w:t>/INFOEM/IP/RR/2024, e</w:t>
      </w:r>
      <w:r w:rsidRPr="000D5F0E">
        <w:rPr>
          <w:rFonts w:ascii="Palatino Linotype" w:eastAsia="Palatino Linotype" w:hAnsi="Palatino Linotype" w:cs="Palatino Linotype"/>
          <w:color w:val="000000"/>
        </w:rPr>
        <w:t>l Recurrente</w:t>
      </w:r>
      <w:r w:rsidRPr="000D5F0E">
        <w:rPr>
          <w:rFonts w:ascii="Palatino Linotype" w:eastAsia="Palatino Linotype" w:hAnsi="Palatino Linotype" w:cs="Palatino Linotype"/>
          <w:b/>
          <w:color w:val="000000"/>
        </w:rPr>
        <w:t xml:space="preserve"> </w:t>
      </w:r>
      <w:r w:rsidRPr="000D5F0E">
        <w:rPr>
          <w:rFonts w:ascii="Palatino Linotype" w:eastAsia="Palatino Linotype" w:hAnsi="Palatino Linotype" w:cs="Palatino Linotype"/>
          <w:color w:val="000000"/>
        </w:rPr>
        <w:t xml:space="preserve">dejó de realizar manifestaciones que a su derecho conviniera y asistiera. Por su parte, el Sujeto Obligado, </w:t>
      </w:r>
      <w:r w:rsidR="0078686E" w:rsidRPr="000D5F0E">
        <w:rPr>
          <w:rFonts w:ascii="Palatino Linotype" w:eastAsia="Palatino Linotype" w:hAnsi="Palatino Linotype" w:cs="Palatino Linotype"/>
          <w:color w:val="000000"/>
        </w:rPr>
        <w:t>no rindió</w:t>
      </w:r>
      <w:r w:rsidRPr="000D5F0E">
        <w:rPr>
          <w:rFonts w:ascii="Palatino Linotype" w:eastAsia="Palatino Linotype" w:hAnsi="Palatino Linotype" w:cs="Palatino Linotype"/>
          <w:color w:val="000000"/>
        </w:rPr>
        <w:t xml:space="preserve"> informe justificado </w:t>
      </w:r>
      <w:r w:rsidR="0078686E" w:rsidRPr="000D5F0E">
        <w:rPr>
          <w:rFonts w:ascii="Palatino Linotype" w:eastAsia="Palatino Linotype" w:hAnsi="Palatino Linotype" w:cs="Palatino Linotype"/>
          <w:color w:val="000000"/>
        </w:rPr>
        <w:t>tal como se muestra con la siguiente imagen</w:t>
      </w:r>
      <w:r w:rsidRPr="000D5F0E">
        <w:rPr>
          <w:rFonts w:ascii="Palatino Linotype" w:eastAsia="Palatino Linotype" w:hAnsi="Palatino Linotype" w:cs="Palatino Linotype"/>
          <w:color w:val="000000"/>
        </w:rPr>
        <w:t>:</w:t>
      </w:r>
    </w:p>
    <w:p w:rsidR="0078686E" w:rsidRPr="000D5F0E" w:rsidRDefault="0078686E" w:rsidP="0078686E">
      <w:pPr>
        <w:pBdr>
          <w:top w:val="nil"/>
          <w:left w:val="nil"/>
          <w:bottom w:val="nil"/>
          <w:right w:val="nil"/>
          <w:between w:val="nil"/>
        </w:pBdr>
        <w:spacing w:line="360" w:lineRule="auto"/>
        <w:jc w:val="center"/>
        <w:rPr>
          <w:color w:val="000000"/>
        </w:rPr>
      </w:pPr>
      <w:r w:rsidRPr="000D5F0E">
        <w:rPr>
          <w:noProof/>
          <w:color w:val="000000"/>
          <w:lang w:val="es-MX" w:eastAsia="es-MX"/>
        </w:rPr>
        <w:drawing>
          <wp:inline distT="0" distB="0" distL="0" distR="0" wp14:anchorId="7B6DBE06" wp14:editId="2C4EAC49">
            <wp:extent cx="4990364" cy="1453970"/>
            <wp:effectExtent l="152400" t="152400" r="363220" b="3562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4771" cy="1461081"/>
                    </a:xfrm>
                    <a:prstGeom prst="rect">
                      <a:avLst/>
                    </a:prstGeom>
                    <a:ln>
                      <a:noFill/>
                    </a:ln>
                    <a:effectLst>
                      <a:outerShdw blurRad="292100" dist="139700" dir="2700000" algn="tl" rotWithShape="0">
                        <a:srgbClr val="333333">
                          <a:alpha val="65000"/>
                        </a:srgbClr>
                      </a:outerShdw>
                    </a:effectLst>
                  </pic:spPr>
                </pic:pic>
              </a:graphicData>
            </a:graphic>
          </wp:inline>
        </w:drawing>
      </w:r>
    </w:p>
    <w:p w:rsidR="003D6F26" w:rsidRPr="000D5F0E" w:rsidRDefault="003D6F26" w:rsidP="00EF6BFF">
      <w:pPr>
        <w:pBdr>
          <w:top w:val="nil"/>
          <w:left w:val="nil"/>
          <w:bottom w:val="nil"/>
          <w:right w:val="nil"/>
          <w:between w:val="nil"/>
        </w:pBdr>
        <w:ind w:left="426" w:right="474"/>
        <w:jc w:val="both"/>
        <w:rPr>
          <w:rFonts w:ascii="Palatino Linotype" w:eastAsia="Palatino Linotype" w:hAnsi="Palatino Linotype" w:cs="Palatino Linotype"/>
          <w:color w:val="000000"/>
          <w:sz w:val="22"/>
          <w:szCs w:val="22"/>
        </w:rPr>
      </w:pPr>
    </w:p>
    <w:p w:rsidR="00F92828" w:rsidRPr="000D5F0E" w:rsidRDefault="00F92828" w:rsidP="00045C3E">
      <w:pPr>
        <w:pBdr>
          <w:top w:val="nil"/>
          <w:left w:val="nil"/>
          <w:bottom w:val="nil"/>
          <w:right w:val="nil"/>
          <w:between w:val="nil"/>
        </w:pBdr>
        <w:ind w:left="426" w:right="474"/>
        <w:jc w:val="both"/>
        <w:rPr>
          <w:rFonts w:ascii="Palatino Linotype" w:eastAsia="Palatino Linotype" w:hAnsi="Palatino Linotype" w:cs="Palatino Linotype"/>
          <w:color w:val="000000"/>
          <w:sz w:val="22"/>
          <w:szCs w:val="22"/>
        </w:rPr>
      </w:pPr>
    </w:p>
    <w:p w:rsidR="006A2A67" w:rsidRPr="000D5F0E" w:rsidRDefault="006A2A67" w:rsidP="006A2A67">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2" w:name="_heading=h.3znysh7" w:colFirst="0" w:colLast="0"/>
      <w:bookmarkEnd w:id="2"/>
    </w:p>
    <w:p w:rsidR="006A2A67" w:rsidRPr="000D5F0E" w:rsidRDefault="006A2A67" w:rsidP="006A2A67">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color w:val="000000"/>
        </w:rPr>
        <w:t>Posteriormente, la Comisionada Ponente a través de acuerdo de fecha</w:t>
      </w:r>
      <w:r w:rsidRPr="000D5F0E">
        <w:rPr>
          <w:rFonts w:ascii="Palatino Linotype" w:eastAsia="Palatino Linotype" w:hAnsi="Palatino Linotype" w:cs="Palatino Linotype"/>
          <w:b/>
          <w:color w:val="000000"/>
        </w:rPr>
        <w:t xml:space="preserve"> </w:t>
      </w:r>
      <w:r w:rsidR="008343C3" w:rsidRPr="000D5F0E">
        <w:rPr>
          <w:rFonts w:ascii="Palatino Linotype" w:eastAsia="Palatino Linotype" w:hAnsi="Palatino Linotype" w:cs="Palatino Linotype"/>
          <w:b/>
          <w:color w:val="000000"/>
        </w:rPr>
        <w:t>quince de enero</w:t>
      </w:r>
      <w:r w:rsidRPr="000D5F0E">
        <w:rPr>
          <w:rFonts w:ascii="Palatino Linotype" w:eastAsia="Palatino Linotype" w:hAnsi="Palatino Linotype" w:cs="Palatino Linotype"/>
          <w:b/>
          <w:color w:val="000000"/>
        </w:rPr>
        <w:t xml:space="preserve"> de dos mil </w:t>
      </w:r>
      <w:r w:rsidR="001A3DE9" w:rsidRPr="000D5F0E">
        <w:rPr>
          <w:rFonts w:ascii="Palatino Linotype" w:eastAsia="Palatino Linotype" w:hAnsi="Palatino Linotype" w:cs="Palatino Linotype"/>
          <w:b/>
          <w:color w:val="000000"/>
        </w:rPr>
        <w:t>veinticinco</w:t>
      </w:r>
      <w:r w:rsidRPr="000D5F0E">
        <w:rPr>
          <w:rFonts w:ascii="Palatino Linotype" w:eastAsia="Palatino Linotype" w:hAnsi="Palatino Linotype" w:cs="Palatino Linotype"/>
          <w:color w:val="000000"/>
        </w:rPr>
        <w:t xml:space="preserve">, </w:t>
      </w:r>
      <w:r w:rsidRPr="000D5F0E">
        <w:rPr>
          <w:rFonts w:ascii="Palatino Linotype" w:eastAsia="Calibri" w:hAnsi="Palatino Linotype" w:cs="Tahoma"/>
        </w:rPr>
        <w:t xml:space="preserve">con fundamento en el artículo 14, fracciones I, II, V y XVI del Reglamento Interior del Instituto de Transparencia, Acceso a la Información Pública y Protección de Datos Personales del Estado de México y Municipios, </w:t>
      </w:r>
      <w:r w:rsidR="00AF529D" w:rsidRPr="000D5F0E">
        <w:rPr>
          <w:rFonts w:ascii="Palatino Linotype" w:eastAsia="Calibri" w:hAnsi="Palatino Linotype" w:cs="Tahoma"/>
          <w:lang w:val="es-MX"/>
        </w:rPr>
        <w:t xml:space="preserve">previo análisis de las características de los medios de impugnación identificados con los números </w:t>
      </w:r>
      <w:r w:rsidR="00AF529D" w:rsidRPr="000D5F0E">
        <w:rPr>
          <w:rFonts w:ascii="Palatino Linotype" w:eastAsia="Calibri" w:hAnsi="Palatino Linotype" w:cs="Tahoma"/>
          <w:b/>
          <w:bCs/>
          <w:lang w:val="es-MX"/>
        </w:rPr>
        <w:t xml:space="preserve">05523/INFOEM/IP/RR/2024, </w:t>
      </w:r>
      <w:r w:rsidR="00AF529D" w:rsidRPr="000D5F0E">
        <w:rPr>
          <w:rFonts w:ascii="Palatino Linotype" w:eastAsia="Calibri" w:hAnsi="Palatino Linotype" w:cs="Tahoma"/>
          <w:b/>
          <w:lang w:val="es-MX"/>
        </w:rPr>
        <w:t>y 07513/INFOEM/IP/RR/2024</w:t>
      </w:r>
      <w:r w:rsidR="00AF529D" w:rsidRPr="000D5F0E">
        <w:rPr>
          <w:rFonts w:ascii="Palatino Linotype" w:eastAsia="Calibri" w:hAnsi="Palatino Linotype" w:cs="Tahoma"/>
          <w:b/>
          <w:bCs/>
          <w:lang w:val="es-MX"/>
        </w:rPr>
        <w:t>,</w:t>
      </w:r>
      <w:r w:rsidR="00AF529D" w:rsidRPr="000D5F0E">
        <w:rPr>
          <w:rFonts w:ascii="Palatino Linotype" w:eastAsia="Calibri" w:hAnsi="Palatino Linotype" w:cs="Tahoma"/>
          <w:b/>
          <w:lang w:val="es-MX"/>
        </w:rPr>
        <w:t xml:space="preserve"> </w:t>
      </w:r>
      <w:r w:rsidR="00AF529D" w:rsidRPr="000D5F0E">
        <w:rPr>
          <w:rFonts w:ascii="Palatino Linotype" w:eastAsia="Calibri" w:hAnsi="Palatino Linotype" w:cs="Tahoma"/>
          <w:lang w:val="es-MX"/>
        </w:rPr>
        <w:t xml:space="preserve">y toda vez que se advirtió conexidad entre estos, al haber sido promovidos por la misma persona, en los que se señaló como dependencia o entidad recurrida al </w:t>
      </w:r>
      <w:r w:rsidR="00AF529D" w:rsidRPr="000D5F0E">
        <w:rPr>
          <w:rFonts w:ascii="Palatino Linotype" w:eastAsia="Calibri" w:hAnsi="Palatino Linotype" w:cs="Tahoma"/>
          <w:b/>
          <w:bCs/>
        </w:rPr>
        <w:t>Ayuntamiento de Tepotzotlán</w:t>
      </w:r>
      <w:r w:rsidR="00AF529D" w:rsidRPr="000D5F0E">
        <w:rPr>
          <w:rFonts w:ascii="Palatino Linotype" w:eastAsia="Calibri" w:hAnsi="Palatino Linotype" w:cs="Tahoma"/>
          <w:lang w:val="es-MX"/>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00AF529D" w:rsidRPr="000D5F0E">
        <w:rPr>
          <w:rFonts w:ascii="Palatino Linotype" w:eastAsia="Calibri" w:hAnsi="Palatino Linotype" w:cs="Tahoma"/>
          <w:b/>
          <w:lang w:val="es-MX"/>
        </w:rPr>
        <w:t>decreta</w:t>
      </w:r>
      <w:r w:rsidR="00AF529D" w:rsidRPr="000D5F0E">
        <w:rPr>
          <w:rFonts w:ascii="Palatino Linotype" w:eastAsia="Calibri" w:hAnsi="Palatino Linotype" w:cs="Tahoma"/>
          <w:lang w:val="es-MX"/>
        </w:rPr>
        <w:t xml:space="preserve"> la </w:t>
      </w:r>
      <w:r w:rsidR="00AF529D" w:rsidRPr="000D5F0E">
        <w:rPr>
          <w:rFonts w:ascii="Palatino Linotype" w:eastAsia="Calibri" w:hAnsi="Palatino Linotype" w:cs="Tahoma"/>
          <w:b/>
          <w:lang w:val="es-MX"/>
        </w:rPr>
        <w:t>acumulación</w:t>
      </w:r>
      <w:r w:rsidR="00AF529D" w:rsidRPr="000D5F0E">
        <w:rPr>
          <w:rFonts w:ascii="Palatino Linotype" w:eastAsia="Calibri" w:hAnsi="Palatino Linotype" w:cs="Tahoma"/>
          <w:lang w:val="es-MX"/>
        </w:rPr>
        <w:t xml:space="preserve"> del Recurso de Revisión </w:t>
      </w:r>
      <w:r w:rsidR="00AF529D" w:rsidRPr="000D5F0E">
        <w:rPr>
          <w:rFonts w:ascii="Palatino Linotype" w:eastAsia="Calibri" w:hAnsi="Palatino Linotype" w:cs="Tahoma"/>
          <w:b/>
          <w:lang w:val="es-MX"/>
        </w:rPr>
        <w:t xml:space="preserve">07513/INFOEM/IP/RR/2024 </w:t>
      </w:r>
      <w:r w:rsidR="00AF529D" w:rsidRPr="000D5F0E">
        <w:rPr>
          <w:rFonts w:ascii="Palatino Linotype" w:eastAsia="Calibri" w:hAnsi="Palatino Linotype" w:cs="Tahoma"/>
          <w:lang w:val="es-MX"/>
        </w:rPr>
        <w:t xml:space="preserve">al diverso </w:t>
      </w:r>
      <w:r w:rsidR="00AF529D" w:rsidRPr="000D5F0E">
        <w:rPr>
          <w:rFonts w:ascii="Palatino Linotype" w:eastAsia="Calibri" w:hAnsi="Palatino Linotype" w:cs="Tahoma"/>
          <w:b/>
          <w:bCs/>
          <w:lang w:val="es-MX"/>
        </w:rPr>
        <w:t>05523/INFOEM/IP/RR/2024</w:t>
      </w:r>
      <w:r w:rsidR="00AF529D" w:rsidRPr="000D5F0E">
        <w:rPr>
          <w:rFonts w:ascii="Palatino Linotype" w:eastAsia="Calibri" w:hAnsi="Palatino Linotype" w:cs="Tahoma"/>
          <w:lang w:val="es-MX"/>
        </w:rPr>
        <w:t>, por ser este último el más antiguo, sustanciado bajo el índice de esta Ponencia.</w:t>
      </w:r>
    </w:p>
    <w:p w:rsidR="008343C3" w:rsidRPr="000D5F0E" w:rsidRDefault="008343C3" w:rsidP="008343C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8343C3" w:rsidRPr="000D5F0E" w:rsidRDefault="00C27431"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Así mismo, e</w:t>
      </w:r>
      <w:r w:rsidR="008343C3" w:rsidRPr="000D5F0E">
        <w:rPr>
          <w:rFonts w:ascii="Palatino Linotype" w:eastAsia="Palatino Linotype" w:hAnsi="Palatino Linotype" w:cs="Palatino Linotype"/>
          <w:color w:val="000000"/>
        </w:rPr>
        <w:t xml:space="preserve">ste Órgano Garante no pasa por alto justificar, que la dilación en la resolución </w:t>
      </w:r>
      <w:r w:rsidR="009123BA" w:rsidRPr="000D5F0E">
        <w:rPr>
          <w:rFonts w:ascii="Palatino Linotype" w:eastAsia="Calibri" w:hAnsi="Palatino Linotype" w:cs="Tahoma"/>
          <w:lang w:val="es-MX"/>
        </w:rPr>
        <w:t xml:space="preserve">del Recurso de Revisión </w:t>
      </w:r>
      <w:r w:rsidR="009123BA" w:rsidRPr="000D5F0E">
        <w:rPr>
          <w:rFonts w:ascii="Palatino Linotype" w:eastAsia="Calibri" w:hAnsi="Palatino Linotype" w:cs="Tahoma"/>
          <w:b/>
          <w:bCs/>
          <w:lang w:val="es-MX"/>
        </w:rPr>
        <w:t>05523/INFOEM/IP/RR/2024</w:t>
      </w:r>
      <w:r w:rsidR="008343C3" w:rsidRPr="000D5F0E">
        <w:rPr>
          <w:rFonts w:ascii="Palatino Linotype" w:eastAsia="Palatino Linotype" w:hAnsi="Palatino Linotype" w:cs="Palatino Linotype"/>
          <w:color w:val="000000"/>
        </w:rPr>
        <w:t>, encuentra justificación en el incremento de recursos de revisión a resolverse por este Instituto, circunstancia atípica que ha rebasado las capacidades técnicas y humanas para la emisión de las resoluciones a dichos medios de impugnación, motivo por el que el</w:t>
      </w:r>
      <w:r w:rsidR="008343C3" w:rsidRPr="000D5F0E">
        <w:rPr>
          <w:rFonts w:ascii="Palatino Linotype" w:eastAsia="Palatino Linotype" w:hAnsi="Palatino Linotype" w:cs="Palatino Linotype"/>
          <w:b/>
          <w:color w:val="000000"/>
        </w:rPr>
        <w:t xml:space="preserve"> </w:t>
      </w:r>
      <w:r w:rsidRPr="000D5F0E">
        <w:rPr>
          <w:rFonts w:ascii="Palatino Linotype" w:eastAsia="Palatino Linotype" w:hAnsi="Palatino Linotype" w:cs="Palatino Linotype"/>
          <w:b/>
          <w:color w:val="000000"/>
        </w:rPr>
        <w:lastRenderedPageBreak/>
        <w:t>quince de enero</w:t>
      </w:r>
      <w:r w:rsidR="008343C3" w:rsidRPr="000D5F0E">
        <w:rPr>
          <w:rFonts w:ascii="Palatino Linotype" w:eastAsia="Palatino Linotype" w:hAnsi="Palatino Linotype" w:cs="Palatino Linotype"/>
          <w:b/>
          <w:color w:val="000000"/>
        </w:rPr>
        <w:t xml:space="preserve"> de dos mil </w:t>
      </w:r>
      <w:r w:rsidR="001A3DE9" w:rsidRPr="000D5F0E">
        <w:rPr>
          <w:rFonts w:ascii="Palatino Linotype" w:eastAsia="Palatino Linotype" w:hAnsi="Palatino Linotype" w:cs="Palatino Linotype"/>
          <w:b/>
          <w:color w:val="000000"/>
        </w:rPr>
        <w:t>veinticinco</w:t>
      </w:r>
      <w:r w:rsidR="008343C3" w:rsidRPr="000D5F0E">
        <w:rPr>
          <w:rFonts w:ascii="Palatino Linotype" w:eastAsia="Palatino Linotype" w:hAnsi="Palatino Linotype" w:cs="Palatino Linotype"/>
          <w:color w:val="000000"/>
        </w:rPr>
        <w:t xml:space="preserve"> se acordó ampliar el término para resolver el presente asunto.</w:t>
      </w:r>
    </w:p>
    <w:p w:rsidR="008343C3" w:rsidRPr="000D5F0E" w:rsidRDefault="008343C3" w:rsidP="008343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343C3" w:rsidRPr="000D5F0E" w:rsidRDefault="008343C3"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343C3" w:rsidRPr="000D5F0E" w:rsidRDefault="008343C3" w:rsidP="008343C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343C3" w:rsidRPr="000D5F0E" w:rsidRDefault="008343C3"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343C3" w:rsidRPr="000D5F0E" w:rsidRDefault="008343C3" w:rsidP="008343C3">
      <w:pPr>
        <w:pBdr>
          <w:top w:val="nil"/>
          <w:left w:val="nil"/>
          <w:bottom w:val="nil"/>
          <w:right w:val="nil"/>
          <w:between w:val="nil"/>
        </w:pBdr>
        <w:ind w:left="720"/>
        <w:rPr>
          <w:rFonts w:ascii="Palatino Linotype" w:eastAsia="Palatino Linotype" w:hAnsi="Palatino Linotype" w:cs="Palatino Linotype"/>
          <w:color w:val="000000"/>
        </w:rPr>
      </w:pPr>
    </w:p>
    <w:p w:rsidR="008343C3" w:rsidRPr="000D5F0E" w:rsidRDefault="008343C3"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8343C3" w:rsidRPr="000D5F0E" w:rsidRDefault="008343C3" w:rsidP="008343C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343C3" w:rsidRPr="000D5F0E" w:rsidRDefault="008343C3"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8343C3" w:rsidRPr="000D5F0E" w:rsidRDefault="008343C3" w:rsidP="008343C3">
      <w:pPr>
        <w:numPr>
          <w:ilvl w:val="0"/>
          <w:numId w:val="2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t xml:space="preserve">Complejidad del </w:t>
      </w:r>
      <w:r w:rsidRPr="000D5F0E">
        <w:rPr>
          <w:rFonts w:ascii="Palatino Linotype" w:eastAsia="Palatino Linotype" w:hAnsi="Palatino Linotype" w:cs="Palatino Linotype"/>
          <w:sz w:val="22"/>
          <w:szCs w:val="22"/>
        </w:rPr>
        <w:t>asunto</w:t>
      </w:r>
      <w:r w:rsidRPr="000D5F0E">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8343C3" w:rsidRPr="000D5F0E" w:rsidRDefault="008343C3" w:rsidP="008343C3">
      <w:pPr>
        <w:numPr>
          <w:ilvl w:val="0"/>
          <w:numId w:val="2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lastRenderedPageBreak/>
        <w:t>Actividad Procesal del interesado. Acciones u omisiones del interesado.</w:t>
      </w:r>
    </w:p>
    <w:p w:rsidR="008343C3" w:rsidRPr="000D5F0E" w:rsidRDefault="008343C3" w:rsidP="008343C3">
      <w:pPr>
        <w:numPr>
          <w:ilvl w:val="0"/>
          <w:numId w:val="2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D5F0E">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8343C3" w:rsidRPr="000D5F0E" w:rsidRDefault="008343C3" w:rsidP="008343C3">
      <w:pPr>
        <w:ind w:left="851" w:hanging="284"/>
        <w:jc w:val="both"/>
        <w:rPr>
          <w:rFonts w:ascii="Palatino Linotype" w:eastAsia="Palatino Linotype" w:hAnsi="Palatino Linotype" w:cs="Palatino Linotype"/>
          <w:sz w:val="22"/>
          <w:szCs w:val="22"/>
        </w:rPr>
      </w:pPr>
      <w:r w:rsidRPr="000D5F0E">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8343C3" w:rsidRPr="000D5F0E" w:rsidRDefault="008343C3" w:rsidP="008343C3">
      <w:pPr>
        <w:spacing w:line="360" w:lineRule="auto"/>
        <w:ind w:left="851" w:hanging="284"/>
        <w:jc w:val="both"/>
        <w:rPr>
          <w:rFonts w:ascii="Palatino Linotype" w:eastAsia="Palatino Linotype" w:hAnsi="Palatino Linotype" w:cs="Palatino Linotype"/>
        </w:rPr>
      </w:pPr>
    </w:p>
    <w:p w:rsidR="008343C3" w:rsidRPr="000D5F0E" w:rsidRDefault="008343C3" w:rsidP="005E3903">
      <w:pPr>
        <w:numPr>
          <w:ilvl w:val="0"/>
          <w:numId w:val="2"/>
        </w:numPr>
        <w:pBdr>
          <w:top w:val="nil"/>
          <w:left w:val="nil"/>
          <w:bottom w:val="nil"/>
          <w:right w:val="nil"/>
          <w:between w:val="nil"/>
        </w:pBdr>
        <w:tabs>
          <w:tab w:val="left" w:pos="0"/>
        </w:tabs>
        <w:spacing w:line="360" w:lineRule="auto"/>
        <w:ind w:left="0" w:firstLine="0"/>
        <w:jc w:val="both"/>
        <w:rPr>
          <w:color w:val="000000"/>
        </w:rPr>
      </w:pPr>
      <w:r w:rsidRPr="000D5F0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343C3" w:rsidRPr="000D5F0E" w:rsidRDefault="008343C3" w:rsidP="008343C3">
      <w:pPr>
        <w:pBdr>
          <w:top w:val="nil"/>
          <w:left w:val="nil"/>
          <w:bottom w:val="nil"/>
          <w:right w:val="nil"/>
          <w:between w:val="nil"/>
        </w:pBdr>
        <w:spacing w:line="360" w:lineRule="auto"/>
        <w:jc w:val="both"/>
        <w:rPr>
          <w:color w:val="000000"/>
        </w:rPr>
      </w:pPr>
    </w:p>
    <w:p w:rsidR="008343C3" w:rsidRPr="000D5F0E" w:rsidRDefault="008343C3" w:rsidP="008343C3">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color w:val="000000"/>
        </w:rPr>
        <w:t>Argumento que encuentra sustento en la jurisprudencia P</w:t>
      </w:r>
      <w:proofErr w:type="gramStart"/>
      <w:r w:rsidRPr="000D5F0E">
        <w:rPr>
          <w:rFonts w:ascii="Palatino Linotype" w:eastAsia="Palatino Linotype" w:hAnsi="Palatino Linotype" w:cs="Palatino Linotype"/>
          <w:color w:val="000000"/>
        </w:rPr>
        <w:t>./</w:t>
      </w:r>
      <w:proofErr w:type="gramEnd"/>
      <w:r w:rsidRPr="000D5F0E">
        <w:rPr>
          <w:rFonts w:ascii="Palatino Linotype" w:eastAsia="Palatino Linotype" w:hAnsi="Palatino Linotype" w:cs="Palatino Linotype"/>
          <w:color w:val="000000"/>
        </w:rPr>
        <w:t xml:space="preserve">J. 32/92 emitida por el Pleno de la Suprema Corte de Justicia de la Nación </w:t>
      </w:r>
      <w:r w:rsidRPr="000D5F0E">
        <w:rPr>
          <w:rFonts w:ascii="Palatino Linotype" w:eastAsia="Palatino Linotype" w:hAnsi="Palatino Linotype" w:cs="Palatino Linotype"/>
        </w:rPr>
        <w:t>del rubro</w:t>
      </w:r>
      <w:r w:rsidRPr="000D5F0E">
        <w:rPr>
          <w:rFonts w:ascii="Palatino Linotype" w:eastAsia="Palatino Linotype" w:hAnsi="Palatino Linotype" w:cs="Palatino Linotype"/>
          <w:color w:val="000000"/>
        </w:rPr>
        <w:t xml:space="preserve"> </w:t>
      </w:r>
      <w:r w:rsidRPr="000D5F0E">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0D5F0E">
        <w:rPr>
          <w:rFonts w:ascii="Palatino Linotype" w:eastAsia="Palatino Linotype" w:hAnsi="Palatino Linotype" w:cs="Palatino Linotype"/>
          <w:color w:val="000000"/>
        </w:rPr>
        <w:t xml:space="preserve">, visible en la Gaceta del </w:t>
      </w:r>
      <w:r w:rsidRPr="000D5F0E">
        <w:rPr>
          <w:rFonts w:ascii="Palatino Linotype" w:eastAsia="Palatino Linotype" w:hAnsi="Palatino Linotype" w:cs="Palatino Linotype"/>
        </w:rPr>
        <w:t>Semanario</w:t>
      </w:r>
      <w:r w:rsidRPr="000D5F0E">
        <w:rPr>
          <w:rFonts w:ascii="Palatino Linotype" w:eastAsia="Palatino Linotype" w:hAnsi="Palatino Linotype" w:cs="Palatino Linotype"/>
          <w:color w:val="000000"/>
        </w:rPr>
        <w:t xml:space="preserve"> Judicial de la Federación con el registro digital 205635.</w:t>
      </w:r>
    </w:p>
    <w:p w:rsidR="006A2A67" w:rsidRPr="000D5F0E" w:rsidRDefault="006A2A67" w:rsidP="006A2A6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2A29F7" w:rsidRPr="000D5F0E" w:rsidRDefault="00F12910" w:rsidP="005E3903">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color w:val="000000"/>
        </w:rPr>
        <w:t xml:space="preserve">Seguidamente, en fecha </w:t>
      </w:r>
      <w:r w:rsidR="00396C84" w:rsidRPr="000D5F0E">
        <w:rPr>
          <w:rFonts w:ascii="Palatino Linotype" w:eastAsia="Palatino Linotype" w:hAnsi="Palatino Linotype" w:cs="Palatino Linotype"/>
          <w:b/>
          <w:color w:val="000000"/>
        </w:rPr>
        <w:t>quince y veintiuno de enero de dos mil veinticinco</w:t>
      </w:r>
      <w:r w:rsidRPr="000D5F0E">
        <w:rPr>
          <w:rFonts w:ascii="Palatino Linotype" w:eastAsia="Palatino Linotype" w:hAnsi="Palatino Linotype" w:cs="Palatino Linotype"/>
          <w:color w:val="000000"/>
        </w:rPr>
        <w:t xml:space="preserve">, la Comisionada Ponente dictó el </w:t>
      </w:r>
      <w:r w:rsidRPr="000D5F0E">
        <w:rPr>
          <w:rFonts w:ascii="Palatino Linotype" w:eastAsia="Palatino Linotype" w:hAnsi="Palatino Linotype" w:cs="Palatino Linotype"/>
          <w:b/>
          <w:color w:val="000000"/>
        </w:rPr>
        <w:t>cierre del periodo de instrucción</w:t>
      </w:r>
      <w:r w:rsidRPr="000D5F0E">
        <w:rPr>
          <w:rFonts w:ascii="Palatino Linotype" w:eastAsia="Palatino Linotype" w:hAnsi="Palatino Linotype" w:cs="Palatino Linotype"/>
          <w:color w:val="000000"/>
        </w:rPr>
        <w:t xml:space="preserve"> y, ordenó la resolución que conforme a Derecho proceda, de acuerdo a las siguientes:</w:t>
      </w:r>
    </w:p>
    <w:p w:rsidR="002A29F7" w:rsidRPr="000D5F0E" w:rsidRDefault="002A29F7" w:rsidP="006F6AC6">
      <w:pPr>
        <w:pBdr>
          <w:top w:val="nil"/>
          <w:left w:val="nil"/>
          <w:bottom w:val="nil"/>
          <w:right w:val="nil"/>
          <w:between w:val="nil"/>
        </w:pBdr>
        <w:ind w:left="720"/>
        <w:rPr>
          <w:rFonts w:ascii="Palatino Linotype" w:eastAsia="Palatino Linotype" w:hAnsi="Palatino Linotype" w:cs="Palatino Linotype"/>
          <w:b/>
          <w:color w:val="000000"/>
        </w:rPr>
      </w:pPr>
    </w:p>
    <w:p w:rsidR="001A5D35" w:rsidRPr="000D5F0E" w:rsidRDefault="001A5D35" w:rsidP="006F6A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1A5D35" w:rsidRPr="000D5F0E" w:rsidRDefault="001A5D35" w:rsidP="006F6A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29F7" w:rsidRPr="000D5F0E" w:rsidRDefault="00F12910" w:rsidP="006F6A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lastRenderedPageBreak/>
        <w:t>C O N S I D E R A C I O N E S</w:t>
      </w:r>
    </w:p>
    <w:p w:rsidR="002A29F7" w:rsidRPr="000D5F0E" w:rsidRDefault="002A29F7" w:rsidP="006F6AC6">
      <w:pPr>
        <w:pBdr>
          <w:top w:val="nil"/>
          <w:left w:val="nil"/>
          <w:bottom w:val="nil"/>
          <w:right w:val="nil"/>
          <w:between w:val="nil"/>
        </w:pBdr>
        <w:jc w:val="center"/>
        <w:rPr>
          <w:rFonts w:ascii="Palatino Linotype" w:eastAsia="Palatino Linotype" w:hAnsi="Palatino Linotype" w:cs="Palatino Linotype"/>
          <w:b/>
          <w:color w:val="000000"/>
        </w:rPr>
      </w:pPr>
    </w:p>
    <w:p w:rsidR="002A29F7" w:rsidRPr="000D5F0E"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sidRPr="000D5F0E">
        <w:rPr>
          <w:rFonts w:ascii="Palatino Linotype" w:eastAsia="Palatino Linotype" w:hAnsi="Palatino Linotype" w:cs="Palatino Linotype"/>
          <w:b/>
          <w:color w:val="000000"/>
          <w:sz w:val="24"/>
          <w:szCs w:val="24"/>
        </w:rPr>
        <w:t>PRIMERA. Competencia</w:t>
      </w:r>
    </w:p>
    <w:p w:rsidR="002A29F7" w:rsidRPr="000D5F0E"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0D5F0E">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A29F7" w:rsidRPr="000D5F0E"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29F7" w:rsidRPr="000D5F0E" w:rsidRDefault="00CC4100" w:rsidP="006F6AC6">
      <w:pPr>
        <w:pStyle w:val="Ttulo2"/>
        <w:spacing w:before="0" w:line="360" w:lineRule="auto"/>
        <w:rPr>
          <w:rFonts w:ascii="Palatino Linotype" w:eastAsia="Palatino Linotype" w:hAnsi="Palatino Linotype" w:cs="Palatino Linotype"/>
          <w:b/>
          <w:color w:val="000000"/>
          <w:sz w:val="24"/>
          <w:szCs w:val="24"/>
        </w:rPr>
      </w:pPr>
      <w:bookmarkStart w:id="4" w:name="_heading=h.tyjcwt" w:colFirst="0" w:colLast="0"/>
      <w:bookmarkEnd w:id="4"/>
      <w:r w:rsidRPr="000D5F0E">
        <w:rPr>
          <w:rFonts w:ascii="Palatino Linotype" w:eastAsia="Palatino Linotype" w:hAnsi="Palatino Linotype" w:cs="Palatino Linotype"/>
          <w:b/>
          <w:color w:val="000000"/>
          <w:sz w:val="24"/>
          <w:szCs w:val="24"/>
        </w:rPr>
        <w:t>SEGUNDA. Procedencia y previo y especial pronunciamiento.</w:t>
      </w:r>
    </w:p>
    <w:p w:rsidR="00CC4100" w:rsidRPr="000D5F0E" w:rsidRDefault="00CC4100" w:rsidP="00CC4100">
      <w:pPr>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t>De la prorroga indebida</w:t>
      </w:r>
    </w:p>
    <w:p w:rsidR="00CC4100" w:rsidRPr="000D5F0E" w:rsidRDefault="00CC4100" w:rsidP="00CC4100">
      <w:pPr>
        <w:rPr>
          <w:rFonts w:ascii="Palatino Linotype" w:eastAsia="Palatino Linotype" w:hAnsi="Palatino Linotype" w:cs="Palatino Linotype"/>
          <w:b/>
          <w:color w:val="000000"/>
        </w:rPr>
      </w:pPr>
    </w:p>
    <w:p w:rsidR="00CC4100" w:rsidRPr="000D5F0E" w:rsidRDefault="00CC4100" w:rsidP="00CC4100">
      <w:pPr>
        <w:numPr>
          <w:ilvl w:val="0"/>
          <w:numId w:val="2"/>
        </w:numPr>
        <w:spacing w:line="360" w:lineRule="auto"/>
        <w:ind w:left="0" w:firstLine="0"/>
        <w:jc w:val="both"/>
        <w:rPr>
          <w:rFonts w:ascii="Palatino Linotype" w:eastAsia="Palatino Linotype" w:hAnsi="Palatino Linotype" w:cs="Palatino Linotype"/>
          <w:color w:val="222222"/>
        </w:rPr>
      </w:pPr>
      <w:r w:rsidRPr="000D5F0E">
        <w:rPr>
          <w:rFonts w:ascii="Palatino Linotype" w:eastAsia="Palatino Linotype" w:hAnsi="Palatino Linotype" w:cs="Palatino Linotype"/>
        </w:rPr>
        <w:t>Es menester señalar en un primer momento</w:t>
      </w:r>
      <w:r w:rsidRPr="000D5F0E">
        <w:rPr>
          <w:rFonts w:ascii="Palatino Linotype" w:eastAsia="Palatino Linotype" w:hAnsi="Palatino Linotype" w:cs="Palatino Linotype"/>
          <w:color w:val="222222"/>
        </w:rPr>
        <w:t xml:space="preserve"> el </w:t>
      </w:r>
      <w:r w:rsidRPr="000D5F0E">
        <w:rPr>
          <w:rFonts w:ascii="Palatino Linotype" w:eastAsia="Palatino Linotype" w:hAnsi="Palatino Linotype" w:cs="Palatino Linotype"/>
          <w:b/>
          <w:color w:val="222222"/>
        </w:rPr>
        <w:t>SUJETO OBLIGADO</w:t>
      </w:r>
      <w:r w:rsidRPr="000D5F0E">
        <w:rPr>
          <w:rFonts w:ascii="Palatino Linotype" w:eastAsia="Palatino Linotype" w:hAnsi="Palatino Linotype" w:cs="Palatino Linotype"/>
          <w:color w:val="222222"/>
        </w:rPr>
        <w:t> solicitó una prórroga que resulta</w:t>
      </w:r>
      <w:r w:rsidRPr="000D5F0E">
        <w:rPr>
          <w:rFonts w:ascii="Palatino Linotype" w:eastAsia="Palatino Linotype" w:hAnsi="Palatino Linotype" w:cs="Palatino Linotype"/>
          <w:b/>
          <w:i/>
          <w:color w:val="222222"/>
        </w:rPr>
        <w:t xml:space="preserve"> </w:t>
      </w:r>
      <w:r w:rsidRPr="000D5F0E">
        <w:rPr>
          <w:rFonts w:ascii="Palatino Linotype" w:eastAsia="Palatino Linotype" w:hAnsi="Palatino Linotype" w:cs="Palatino Linotype"/>
          <w:color w:val="000000"/>
        </w:rPr>
        <w:t xml:space="preserve">indebida, infundada </w:t>
      </w:r>
      <w:r w:rsidRPr="000D5F0E">
        <w:rPr>
          <w:rFonts w:ascii="Palatino Linotype" w:eastAsia="Palatino Linotype" w:hAnsi="Palatino Linotype" w:cs="Palatino Linotype"/>
          <w:color w:val="222222"/>
        </w:rPr>
        <w:t>y con falta de motivación, que si bien, fue otorgada, carece de toda validez; toda vez que el artículo 163 de la ley de la materia señala lo siguiente:</w:t>
      </w:r>
    </w:p>
    <w:p w:rsidR="00CC4100" w:rsidRPr="000D5F0E" w:rsidRDefault="00CC4100" w:rsidP="00CC4100">
      <w:pPr>
        <w:spacing w:line="360" w:lineRule="auto"/>
        <w:jc w:val="both"/>
        <w:rPr>
          <w:rFonts w:ascii="Palatino Linotype" w:eastAsia="Palatino Linotype" w:hAnsi="Palatino Linotype" w:cs="Palatino Linotype"/>
          <w:color w:val="222222"/>
        </w:rPr>
      </w:pPr>
    </w:p>
    <w:p w:rsidR="00CC4100" w:rsidRPr="000D5F0E" w:rsidRDefault="00CC4100" w:rsidP="00CC4100">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0D5F0E">
        <w:rPr>
          <w:rFonts w:ascii="Palatino Linotype" w:eastAsia="Palatino Linotype" w:hAnsi="Palatino Linotype" w:cs="Palatino Linotype"/>
          <w:b/>
          <w:i/>
          <w:color w:val="222222"/>
          <w:sz w:val="22"/>
          <w:szCs w:val="22"/>
        </w:rPr>
        <w:lastRenderedPageBreak/>
        <w:t>Artículo 163. </w:t>
      </w:r>
      <w:r w:rsidRPr="000D5F0E">
        <w:rPr>
          <w:rFonts w:ascii="Palatino Linotype" w:eastAsia="Palatino Linotype" w:hAnsi="Palatino Linotype" w:cs="Palatino Linotype"/>
          <w:i/>
          <w:color w:val="222222"/>
          <w:sz w:val="22"/>
          <w:szCs w:val="22"/>
        </w:rPr>
        <w:t>La Unidad de Transparencia deberá notificar la respuesta a la solicitud al interesado en el menor tiempo posible, que no podrá exceder de quince días hábiles, contados a partir del día siguiente a la presentación de aquélla.</w:t>
      </w:r>
    </w:p>
    <w:p w:rsidR="00CC4100" w:rsidRPr="000D5F0E" w:rsidRDefault="00CC4100" w:rsidP="00CC4100">
      <w:pPr>
        <w:pBdr>
          <w:top w:val="nil"/>
          <w:left w:val="nil"/>
          <w:bottom w:val="nil"/>
          <w:right w:val="nil"/>
          <w:between w:val="nil"/>
        </w:pBdr>
        <w:ind w:left="709" w:right="900"/>
        <w:jc w:val="both"/>
        <w:rPr>
          <w:rFonts w:ascii="Palatino Linotype" w:eastAsia="Palatino Linotype" w:hAnsi="Palatino Linotype" w:cs="Palatino Linotype"/>
          <w:color w:val="222222"/>
          <w:sz w:val="22"/>
          <w:szCs w:val="22"/>
        </w:rPr>
      </w:pPr>
    </w:p>
    <w:p w:rsidR="00CC4100" w:rsidRPr="000D5F0E" w:rsidRDefault="00CC4100" w:rsidP="00CC4100">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0D5F0E">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1A5D35" w:rsidRPr="000D5F0E" w:rsidRDefault="001A5D35" w:rsidP="00CC4100">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p>
    <w:p w:rsidR="001A5D35" w:rsidRPr="000D5F0E" w:rsidRDefault="001A5D35" w:rsidP="00CC4100">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p>
    <w:p w:rsidR="00CC4100" w:rsidRPr="000D5F0E" w:rsidRDefault="00CC4100" w:rsidP="00CC4100">
      <w:pPr>
        <w:numPr>
          <w:ilvl w:val="0"/>
          <w:numId w:val="2"/>
        </w:numPr>
        <w:spacing w:line="360" w:lineRule="auto"/>
        <w:ind w:left="0" w:firstLine="0"/>
        <w:jc w:val="both"/>
        <w:rPr>
          <w:rFonts w:ascii="Palatino Linotype" w:eastAsia="Palatino Linotype" w:hAnsi="Palatino Linotype" w:cs="Palatino Linotype"/>
          <w:b/>
          <w:color w:val="222222"/>
        </w:rPr>
      </w:pPr>
      <w:r w:rsidRPr="000D5F0E">
        <w:rPr>
          <w:rFonts w:ascii="Palatino Linotype" w:eastAsia="Palatino Linotype" w:hAnsi="Palatino Linotype" w:cs="Palatino Linotype"/>
          <w:color w:val="222222"/>
        </w:rPr>
        <w:t xml:space="preserve">Solo en aquellos </w:t>
      </w:r>
      <w:r w:rsidRPr="000D5F0E">
        <w:rPr>
          <w:rFonts w:ascii="Palatino Linotype" w:eastAsia="Palatino Linotype" w:hAnsi="Palatino Linotype" w:cs="Palatino Linotype"/>
          <w:b/>
          <w:color w:val="222222"/>
        </w:rPr>
        <w:t>casos excepcionales</w:t>
      </w:r>
      <w:r w:rsidRPr="000D5F0E">
        <w:rPr>
          <w:rFonts w:ascii="Palatino Linotype" w:eastAsia="Palatino Linotype" w:hAnsi="Palatino Linotype" w:cs="Palatino Linotype"/>
          <w:color w:val="222222"/>
        </w:rPr>
        <w:t xml:space="preserve"> el </w:t>
      </w:r>
      <w:r w:rsidRPr="000D5F0E">
        <w:rPr>
          <w:rFonts w:ascii="Palatino Linotype" w:eastAsia="Palatino Linotype" w:hAnsi="Palatino Linotype" w:cs="Palatino Linotype"/>
          <w:b/>
          <w:color w:val="222222"/>
        </w:rPr>
        <w:t xml:space="preserve">SUJETO OBLIGADO </w:t>
      </w:r>
      <w:r w:rsidRPr="000D5F0E">
        <w:rPr>
          <w:rFonts w:ascii="Palatino Linotype" w:eastAsia="Palatino Linotype" w:hAnsi="Palatino Linotype" w:cs="Palatino Linotype"/>
          <w:color w:val="222222"/>
        </w:rPr>
        <w:t xml:space="preserve">podrá solicitar se amplíe el termino de quince días para proporcionar respuesta a cualquier solicitud de </w:t>
      </w:r>
      <w:r w:rsidRPr="000D5F0E">
        <w:rPr>
          <w:rFonts w:ascii="Palatino Linotype" w:eastAsia="Palatino Linotype" w:hAnsi="Palatino Linotype" w:cs="Palatino Linotype"/>
          <w:color w:val="000000"/>
        </w:rPr>
        <w:t>información</w:t>
      </w:r>
      <w:r w:rsidRPr="000D5F0E">
        <w:rPr>
          <w:rFonts w:ascii="Palatino Linotype" w:eastAsia="Palatino Linotype" w:hAnsi="Palatino Linotype" w:cs="Palatino Linotype"/>
          <w:color w:val="222222"/>
        </w:rPr>
        <w:t xml:space="preserve">, plazo que podrá ser prorrogado por otros siete días más, siempre y cuando medien razones que justifiquen la ampliación, las cuales deberán estar </w:t>
      </w:r>
      <w:r w:rsidRPr="000D5F0E">
        <w:rPr>
          <w:rFonts w:ascii="Palatino Linotype" w:eastAsia="Palatino Linotype" w:hAnsi="Palatino Linotype" w:cs="Palatino Linotype"/>
          <w:b/>
          <w:color w:val="222222"/>
          <w:u w:val="single"/>
        </w:rPr>
        <w:t>fundadas y motivadas</w:t>
      </w:r>
      <w:r w:rsidRPr="000D5F0E">
        <w:rPr>
          <w:rFonts w:ascii="Palatino Linotype" w:eastAsia="Palatino Linotype" w:hAnsi="Palatino Linotype" w:cs="Palatino Linotype"/>
          <w:color w:val="222222"/>
        </w:rPr>
        <w:t xml:space="preserve">,  mismas que </w:t>
      </w:r>
      <w:r w:rsidRPr="000D5F0E">
        <w:rPr>
          <w:rFonts w:ascii="Palatino Linotype" w:eastAsia="Palatino Linotype" w:hAnsi="Palatino Linotype" w:cs="Palatino Linotype"/>
          <w:b/>
          <w:color w:val="222222"/>
        </w:rPr>
        <w:t xml:space="preserve">deberán ser aprobadas por los integrantes de su Comité de Transparencia mediante la emisión de una resolución </w:t>
      </w:r>
      <w:r w:rsidRPr="000D5F0E">
        <w:rPr>
          <w:rFonts w:ascii="Palatino Linotype" w:eastAsia="Palatino Linotype" w:hAnsi="Palatino Linotype" w:cs="Palatino Linotype"/>
          <w:color w:val="222222"/>
        </w:rPr>
        <w:t xml:space="preserve">que deberá notificarse al solicitante. Situación que, en el caso concreto, evidentemente no ocurrió </w:t>
      </w:r>
    </w:p>
    <w:p w:rsidR="00CC4100" w:rsidRPr="000D5F0E" w:rsidRDefault="00CC4100" w:rsidP="00CC4100">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CC4100" w:rsidRPr="000D5F0E" w:rsidRDefault="00CC4100" w:rsidP="00CC4100">
      <w:pPr>
        <w:numPr>
          <w:ilvl w:val="0"/>
          <w:numId w:val="2"/>
        </w:numPr>
        <w:spacing w:line="360" w:lineRule="auto"/>
        <w:ind w:left="0" w:firstLine="0"/>
        <w:jc w:val="both"/>
        <w:rPr>
          <w:rFonts w:ascii="Palatino Linotype" w:eastAsia="Palatino Linotype" w:hAnsi="Palatino Linotype" w:cs="Palatino Linotype"/>
          <w:color w:val="222222"/>
        </w:rPr>
      </w:pPr>
      <w:r w:rsidRPr="000D5F0E">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0D5F0E">
        <w:rPr>
          <w:rFonts w:ascii="Palatino Linotype" w:eastAsia="Palatino Linotype" w:hAnsi="Palatino Linotype" w:cs="Palatino Linotype"/>
          <w:b/>
          <w:color w:val="222222"/>
        </w:rPr>
        <w:t>validado y firmado</w:t>
      </w:r>
      <w:r w:rsidRPr="000D5F0E">
        <w:rPr>
          <w:rFonts w:ascii="Palatino Linotype" w:eastAsia="Palatino Linotype" w:hAnsi="Palatino Linotype" w:cs="Palatino Linotype"/>
          <w:color w:val="222222"/>
        </w:rPr>
        <w:t xml:space="preserve"> por los integrantes del Comité, lo cual obviamente no ocurrió en la prorroga emitida por el </w:t>
      </w:r>
      <w:r w:rsidRPr="000D5F0E">
        <w:rPr>
          <w:rFonts w:ascii="Palatino Linotype" w:eastAsia="Palatino Linotype" w:hAnsi="Palatino Linotype" w:cs="Palatino Linotype"/>
          <w:b/>
          <w:color w:val="222222"/>
        </w:rPr>
        <w:t>Ayuntamiento de Tepotzotlán</w:t>
      </w:r>
      <w:r w:rsidRPr="000D5F0E">
        <w:rPr>
          <w:rFonts w:ascii="Palatino Linotype" w:eastAsia="Palatino Linotype" w:hAnsi="Palatino Linotype" w:cs="Palatino Linotype"/>
          <w:color w:val="222222"/>
        </w:rPr>
        <w:t xml:space="preserve">, toda vez que en la prórroga requerida, no se señalan de por medio razones fundadas y motivadas, y si bien se señala existir acuerdos del Comité de Transparencia, no se notificaron al solicitante, violentando lo dispuesto </w:t>
      </w:r>
      <w:r w:rsidRPr="000D5F0E">
        <w:rPr>
          <w:rFonts w:ascii="Palatino Linotype" w:eastAsia="Palatino Linotype" w:hAnsi="Palatino Linotype" w:cs="Palatino Linotype"/>
          <w:color w:val="222222"/>
        </w:rPr>
        <w:lastRenderedPageBreak/>
        <w:t>en el artículo 163 de la Ley de Transparencia y Acceso a la Información Pública del Estado de México y Municipios</w:t>
      </w:r>
      <w:r w:rsidRPr="000D5F0E">
        <w:rPr>
          <w:rFonts w:ascii="Palatino Linotype" w:eastAsia="Palatino Linotype" w:hAnsi="Palatino Linotype" w:cs="Palatino Linotype"/>
          <w:i/>
          <w:color w:val="222222"/>
        </w:rPr>
        <w:t>.</w:t>
      </w:r>
    </w:p>
    <w:p w:rsidR="00CC4100" w:rsidRPr="000D5F0E" w:rsidRDefault="00CC4100" w:rsidP="00D02CF1">
      <w:pPr>
        <w:spacing w:line="360" w:lineRule="auto"/>
        <w:jc w:val="both"/>
      </w:pPr>
    </w:p>
    <w:p w:rsidR="00D02CF1" w:rsidRPr="000D5F0E" w:rsidRDefault="00D02CF1" w:rsidP="00D02CF1">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0D5F0E">
        <w:rPr>
          <w:rFonts w:ascii="Palatino Linotype" w:eastAsia="Palatino Linotype" w:hAnsi="Palatino Linotype" w:cs="Palatino Linotype"/>
          <w:b/>
        </w:rPr>
        <w:t>SUJETO OBLIGADO</w:t>
      </w:r>
      <w:r w:rsidRPr="000D5F0E">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D02CF1" w:rsidRPr="000D5F0E" w:rsidRDefault="00D02CF1" w:rsidP="00D02CF1">
      <w:pPr>
        <w:tabs>
          <w:tab w:val="left" w:pos="284"/>
        </w:tabs>
        <w:spacing w:line="360" w:lineRule="auto"/>
        <w:jc w:val="both"/>
        <w:rPr>
          <w:rFonts w:ascii="Palatino Linotype" w:eastAsia="Palatino Linotype" w:hAnsi="Palatino Linotype" w:cs="Palatino Linotype"/>
          <w:color w:val="000000"/>
        </w:rPr>
      </w:pPr>
    </w:p>
    <w:p w:rsidR="00D02CF1" w:rsidRPr="000D5F0E" w:rsidRDefault="00D02CF1" w:rsidP="00D02CF1">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rPr>
        <w:t xml:space="preserve">Por ende, se constituye la figura jurídica de la </w:t>
      </w:r>
      <w:r w:rsidRPr="000D5F0E">
        <w:rPr>
          <w:rFonts w:ascii="Palatino Linotype" w:eastAsia="Palatino Linotype" w:hAnsi="Palatino Linotype" w:cs="Palatino Linotype"/>
          <w:i/>
        </w:rPr>
        <w:t>negativa ficta</w:t>
      </w:r>
      <w:r w:rsidRPr="000D5F0E">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0D5F0E">
        <w:rPr>
          <w:rFonts w:ascii="Palatino Linotype" w:eastAsia="Palatino Linotype" w:hAnsi="Palatino Linotype" w:cs="Palatino Linotype"/>
          <w:b/>
        </w:rPr>
        <w:t>178</w:t>
      </w:r>
      <w:r w:rsidRPr="000D5F0E">
        <w:rPr>
          <w:rFonts w:ascii="Palatino Linotype" w:eastAsia="Palatino Linotype" w:hAnsi="Palatino Linotype" w:cs="Palatino Linotype"/>
        </w:rPr>
        <w:t xml:space="preserve"> segundo párrafo de </w:t>
      </w:r>
      <w:r w:rsidRPr="000D5F0E">
        <w:rPr>
          <w:rFonts w:ascii="Palatino Linotype" w:eastAsia="Palatino Linotype" w:hAnsi="Palatino Linotype" w:cs="Palatino Linotype"/>
          <w:b/>
        </w:rPr>
        <w:t>Ley de Transparencia y Acceso a la Información Pública del Estado de México y Municipios</w:t>
      </w:r>
      <w:r w:rsidRPr="000D5F0E">
        <w:rPr>
          <w:rFonts w:ascii="Palatino Linotype" w:eastAsia="Palatino Linotype" w:hAnsi="Palatino Linotype" w:cs="Palatino Linotype"/>
          <w:color w:val="000000"/>
        </w:rPr>
        <w:t xml:space="preserve">, que dispone; ante la falta de respuesta del </w:t>
      </w:r>
      <w:r w:rsidRPr="000D5F0E">
        <w:rPr>
          <w:rFonts w:ascii="Palatino Linotype" w:eastAsia="Palatino Linotype" w:hAnsi="Palatino Linotype" w:cs="Palatino Linotype"/>
          <w:b/>
          <w:color w:val="000000"/>
        </w:rPr>
        <w:t>SUJETO OBLIGADO,</w:t>
      </w:r>
      <w:r w:rsidRPr="000D5F0E">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0D5F0E">
        <w:rPr>
          <w:rFonts w:ascii="Palatino Linotype" w:eastAsia="Palatino Linotype" w:hAnsi="Palatino Linotype" w:cs="Palatino Linotype"/>
          <w:b/>
          <w:color w:val="000000"/>
        </w:rPr>
        <w:t xml:space="preserve">podrá ser interpuesto en cualquier momento. </w:t>
      </w:r>
    </w:p>
    <w:p w:rsidR="00D02CF1" w:rsidRPr="000D5F0E" w:rsidRDefault="00D02CF1" w:rsidP="00D02CF1">
      <w:pPr>
        <w:tabs>
          <w:tab w:val="left" w:pos="284"/>
        </w:tabs>
        <w:rPr>
          <w:rFonts w:ascii="Palatino Linotype" w:eastAsia="Palatino Linotype" w:hAnsi="Palatino Linotype" w:cs="Palatino Linotype"/>
          <w:color w:val="000000"/>
        </w:rPr>
      </w:pPr>
    </w:p>
    <w:p w:rsidR="00D02CF1" w:rsidRPr="000D5F0E" w:rsidRDefault="00D02CF1" w:rsidP="00D02CF1">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rPr>
        <w:t xml:space="preserve">Por lo que, tratándose de la </w:t>
      </w:r>
      <w:r w:rsidRPr="000D5F0E">
        <w:rPr>
          <w:rFonts w:ascii="Palatino Linotype" w:eastAsia="Palatino Linotype" w:hAnsi="Palatino Linotype" w:cs="Palatino Linotype"/>
          <w:i/>
        </w:rPr>
        <w:t>negativa ficta</w:t>
      </w:r>
      <w:r w:rsidRPr="000D5F0E">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w:t>
      </w:r>
      <w:r w:rsidRPr="000D5F0E">
        <w:rPr>
          <w:rFonts w:ascii="Palatino Linotype" w:eastAsia="Palatino Linotype" w:hAnsi="Palatino Linotype" w:cs="Palatino Linotype"/>
        </w:rPr>
        <w:lastRenderedPageBreak/>
        <w:t xml:space="preserve">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0D5F0E">
        <w:rPr>
          <w:rFonts w:ascii="Palatino Linotype" w:eastAsia="Palatino Linotype" w:hAnsi="Palatino Linotype" w:cs="Palatino Linotype"/>
          <w:i/>
        </w:rPr>
        <w:t>negativa ficta</w:t>
      </w:r>
      <w:r w:rsidRPr="000D5F0E">
        <w:rPr>
          <w:rFonts w:ascii="Palatino Linotype" w:eastAsia="Palatino Linotype" w:hAnsi="Palatino Linotype" w:cs="Palatino Linotype"/>
        </w:rPr>
        <w:t>, que señala:</w:t>
      </w:r>
    </w:p>
    <w:p w:rsidR="00D02CF1" w:rsidRPr="000D5F0E" w:rsidRDefault="00D02CF1" w:rsidP="00D02CF1">
      <w:pPr>
        <w:tabs>
          <w:tab w:val="left" w:pos="284"/>
          <w:tab w:val="left" w:pos="7655"/>
        </w:tabs>
        <w:spacing w:after="240" w:line="360" w:lineRule="auto"/>
        <w:ind w:left="1134" w:right="822"/>
        <w:jc w:val="center"/>
        <w:rPr>
          <w:rFonts w:ascii="Palatino Linotype" w:eastAsia="Palatino Linotype" w:hAnsi="Palatino Linotype" w:cs="Palatino Linotype"/>
          <w:b/>
          <w:sz w:val="22"/>
          <w:szCs w:val="22"/>
        </w:rPr>
      </w:pPr>
      <w:r w:rsidRPr="000D5F0E">
        <w:rPr>
          <w:rFonts w:ascii="Palatino Linotype" w:eastAsia="Palatino Linotype" w:hAnsi="Palatino Linotype" w:cs="Palatino Linotype"/>
          <w:b/>
          <w:sz w:val="22"/>
          <w:szCs w:val="22"/>
        </w:rPr>
        <w:t>Criterio 0001-15</w:t>
      </w:r>
    </w:p>
    <w:p w:rsidR="00D02CF1" w:rsidRPr="000D5F0E" w:rsidRDefault="00D02CF1" w:rsidP="00D02CF1">
      <w:pPr>
        <w:tabs>
          <w:tab w:val="left" w:pos="284"/>
          <w:tab w:val="left" w:pos="7655"/>
        </w:tabs>
        <w:spacing w:before="240" w:after="240" w:line="360" w:lineRule="auto"/>
        <w:ind w:left="1134" w:right="822"/>
        <w:jc w:val="both"/>
        <w:rPr>
          <w:rFonts w:ascii="Palatino Linotype" w:eastAsia="Palatino Linotype" w:hAnsi="Palatino Linotype" w:cs="Palatino Linotype"/>
          <w:i/>
          <w:sz w:val="22"/>
          <w:szCs w:val="22"/>
        </w:rPr>
      </w:pPr>
      <w:r w:rsidRPr="000D5F0E">
        <w:rPr>
          <w:rFonts w:ascii="Palatino Linotype" w:eastAsia="Palatino Linotype" w:hAnsi="Palatino Linotype" w:cs="Palatino Linotype"/>
          <w:b/>
          <w:i/>
          <w:sz w:val="22"/>
          <w:szCs w:val="22"/>
        </w:rPr>
        <w:t>NEGATIVA FICTA. PLAZO PARA INTERPONER EL RECURSO DE REVISIÓN TRATÁNDOSE DE.</w:t>
      </w:r>
      <w:r w:rsidRPr="000D5F0E">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D02CF1" w:rsidRPr="000D5F0E" w:rsidRDefault="00D02CF1" w:rsidP="00D02CF1">
      <w:pPr>
        <w:numPr>
          <w:ilvl w:val="0"/>
          <w:numId w:val="2"/>
        </w:numPr>
        <w:tabs>
          <w:tab w:val="left" w:pos="284"/>
        </w:tabs>
        <w:spacing w:before="240"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color w:val="000000"/>
        </w:rPr>
        <w:lastRenderedPageBreak/>
        <w:t xml:space="preserve">Lo anterior, se explica porque la </w:t>
      </w:r>
      <w:r w:rsidRPr="000D5F0E">
        <w:rPr>
          <w:rFonts w:ascii="Palatino Linotype" w:eastAsia="Palatino Linotype" w:hAnsi="Palatino Linotype" w:cs="Palatino Linotype"/>
          <w:b/>
          <w:color w:val="000000"/>
          <w:u w:val="single"/>
        </w:rPr>
        <w:t>posible ausencia</w:t>
      </w:r>
      <w:r w:rsidRPr="000D5F0E">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0D5F0E">
        <w:rPr>
          <w:rFonts w:ascii="Palatino Linotype" w:eastAsia="Palatino Linotype" w:hAnsi="Palatino Linotype" w:cs="Palatino Linotype"/>
          <w:b/>
          <w:color w:val="000000"/>
        </w:rPr>
        <w:t>SUJETO OBLIGADO</w:t>
      </w:r>
      <w:r w:rsidRPr="000D5F0E">
        <w:rPr>
          <w:rFonts w:ascii="Palatino Linotype" w:eastAsia="Palatino Linotype" w:hAnsi="Palatino Linotype" w:cs="Palatino Linotype"/>
          <w:color w:val="000000"/>
        </w:rPr>
        <w:t>.</w:t>
      </w:r>
    </w:p>
    <w:p w:rsidR="002A29F7" w:rsidRPr="000D5F0E" w:rsidRDefault="002A29F7" w:rsidP="00D02CF1">
      <w:pPr>
        <w:spacing w:line="360" w:lineRule="auto"/>
        <w:jc w:val="both"/>
      </w:pPr>
    </w:p>
    <w:p w:rsidR="002A29F7" w:rsidRPr="000D5F0E" w:rsidRDefault="00F12910" w:rsidP="006F6AC6">
      <w:pPr>
        <w:numPr>
          <w:ilvl w:val="0"/>
          <w:numId w:val="2"/>
        </w:numPr>
        <w:spacing w:line="360" w:lineRule="auto"/>
        <w:ind w:left="0" w:firstLine="0"/>
        <w:jc w:val="both"/>
      </w:pPr>
      <w:r w:rsidRPr="000D5F0E">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8F4EC4" w:rsidRPr="000D5F0E" w:rsidRDefault="008F4EC4" w:rsidP="008F4EC4">
      <w:pPr>
        <w:spacing w:line="360" w:lineRule="auto"/>
        <w:jc w:val="both"/>
        <w:rPr>
          <w:rFonts w:ascii="Palatino Linotype" w:eastAsia="Palatino Linotype" w:hAnsi="Palatino Linotype" w:cs="Palatino Linotype"/>
        </w:rPr>
      </w:pPr>
    </w:p>
    <w:p w:rsidR="008F4EC4" w:rsidRPr="000D5F0E" w:rsidRDefault="008B3124" w:rsidP="008F4EC4">
      <w:pPr>
        <w:widowControl w:val="0"/>
        <w:autoSpaceDE w:val="0"/>
        <w:autoSpaceDN w:val="0"/>
        <w:adjustRightInd w:val="0"/>
        <w:spacing w:line="360" w:lineRule="auto"/>
        <w:jc w:val="both"/>
        <w:rPr>
          <w:rFonts w:ascii="Palatino Linotype" w:eastAsia="Times New Roman" w:hAnsi="Palatino Linotype" w:cs="Arial"/>
          <w:b/>
          <w:lang w:val="es-ES"/>
        </w:rPr>
      </w:pPr>
      <w:r w:rsidRPr="000D5F0E">
        <w:rPr>
          <w:rFonts w:ascii="Palatino Linotype" w:eastAsia="Times New Roman" w:hAnsi="Palatino Linotype" w:cs="Arial"/>
          <w:b/>
          <w:lang w:val="es-ES"/>
        </w:rPr>
        <w:t>TERCERA</w:t>
      </w:r>
      <w:r w:rsidR="008F4EC4" w:rsidRPr="000D5F0E">
        <w:rPr>
          <w:rFonts w:ascii="Palatino Linotype" w:eastAsia="Times New Roman" w:hAnsi="Palatino Linotype" w:cs="Arial"/>
          <w:b/>
          <w:lang w:val="es-ES"/>
        </w:rPr>
        <w:t>. Estudio y resolución del asunto</w:t>
      </w:r>
      <w:r w:rsidR="008F4EC4" w:rsidRPr="000D5F0E">
        <w:rPr>
          <w:rFonts w:ascii="Palatino Linotype" w:eastAsia="Times New Roman" w:hAnsi="Palatino Linotype" w:cs="Times New Roman"/>
          <w:b/>
          <w:lang w:val="es-ES"/>
        </w:rPr>
        <w:t xml:space="preserve">. </w:t>
      </w:r>
    </w:p>
    <w:p w:rsidR="008F4EC4" w:rsidRPr="000D5F0E" w:rsidRDefault="008F4EC4" w:rsidP="001A5D35">
      <w:pPr>
        <w:numPr>
          <w:ilvl w:val="0"/>
          <w:numId w:val="2"/>
        </w:numPr>
        <w:spacing w:line="360" w:lineRule="auto"/>
        <w:ind w:left="0" w:firstLine="0"/>
        <w:jc w:val="both"/>
        <w:rPr>
          <w:rFonts w:ascii="Palatino Linotype" w:hAnsi="Palatino Linotype" w:cs="Arial"/>
          <w:color w:val="000000"/>
          <w:lang w:eastAsia="es-MX"/>
        </w:rPr>
      </w:pPr>
      <w:r w:rsidRPr="000D5F0E">
        <w:rPr>
          <w:rFonts w:ascii="Palatino Linotype" w:eastAsia="MS Mincho" w:hAnsi="Palatino Linotype"/>
        </w:rPr>
        <w:t xml:space="preserve">El derecho de acceso a la información pública es un </w:t>
      </w:r>
      <w:r w:rsidRPr="000D5F0E">
        <w:rPr>
          <w:rFonts w:ascii="Palatino Linotype" w:hAnsi="Palatino Linotype" w:cs="Arial"/>
          <w:color w:val="000000"/>
          <w:lang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0D5F0E">
        <w:rPr>
          <w:rFonts w:ascii="Palatino Linotype" w:hAnsi="Palatino Linotype" w:cs="Arial"/>
          <w:color w:val="000000"/>
        </w:rPr>
        <w:t xml:space="preserve">a través del cual se puede solicitar aquellos documentos que generen, administren o posean las autoridades en ejercicio de sus respectivas atribuciones y competencias. </w:t>
      </w:r>
    </w:p>
    <w:p w:rsidR="008F4EC4" w:rsidRPr="000D5F0E" w:rsidRDefault="008F4EC4" w:rsidP="008F4EC4">
      <w:pPr>
        <w:spacing w:line="360" w:lineRule="auto"/>
        <w:contextualSpacing/>
        <w:jc w:val="both"/>
        <w:rPr>
          <w:rFonts w:ascii="Palatino Linotype" w:eastAsia="Times New Roman" w:hAnsi="Palatino Linotype" w:cs="Times New Roman"/>
          <w:lang w:val="es-ES" w:eastAsia="es-MX"/>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Por lo que en cumplimiento a las obligaciones que establece nuestra Carta Magna, la Constitución Estatal y la Ley de la materia le imponen, el </w:t>
      </w:r>
      <w:r w:rsidRPr="000D5F0E">
        <w:rPr>
          <w:rFonts w:ascii="Palatino Linotype" w:hAnsi="Palatino Linotype" w:cs="Arial"/>
          <w:b/>
        </w:rPr>
        <w:t>Sujeto Obligado</w:t>
      </w:r>
      <w:r w:rsidRPr="000D5F0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w:t>
      </w:r>
      <w:r w:rsidRPr="000D5F0E">
        <w:rPr>
          <w:rFonts w:ascii="Palatino Linotype" w:hAnsi="Palatino Linotype" w:cs="Arial"/>
        </w:rPr>
        <w:lastRenderedPageBreak/>
        <w:t xml:space="preserve">que obran en el sistema SAIMEX, el </w:t>
      </w:r>
      <w:r w:rsidRPr="000D5F0E">
        <w:rPr>
          <w:rFonts w:ascii="Palatino Linotype" w:hAnsi="Palatino Linotype" w:cs="Arial"/>
          <w:b/>
        </w:rPr>
        <w:t>Sujeto Obligado</w:t>
      </w:r>
      <w:r w:rsidRPr="000D5F0E">
        <w:rPr>
          <w:rFonts w:ascii="Palatino Linotype" w:hAnsi="Palatino Linotype" w:cs="Arial"/>
        </w:rPr>
        <w:t xml:space="preserve"> fue omiso en dar respuesta a la solicitud de información dentro de los plazos establecidos en la Ley de Transparencia Loca.</w:t>
      </w:r>
    </w:p>
    <w:p w:rsidR="008F4EC4" w:rsidRPr="000D5F0E" w:rsidRDefault="008F4EC4" w:rsidP="008F4EC4">
      <w:pPr>
        <w:autoSpaceDE w:val="0"/>
        <w:autoSpaceDN w:val="0"/>
        <w:adjustRightInd w:val="0"/>
        <w:spacing w:line="360" w:lineRule="auto"/>
        <w:jc w:val="both"/>
        <w:rPr>
          <w:rFonts w:ascii="Palatino Linotype" w:eastAsia="Times New Roman" w:hAnsi="Palatino Linotype" w:cs="Arial"/>
          <w:lang w:val="es-ES"/>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0D5F0E">
        <w:rPr>
          <w:rFonts w:ascii="Palatino Linotype" w:eastAsia="Calibri" w:hAnsi="Palatino Linotype" w:cs="Arial"/>
          <w:color w:val="000000" w:themeColor="text1"/>
        </w:rPr>
        <w:t xml:space="preserve">en la fracción VII, del artículo 179, de la </w:t>
      </w:r>
      <w:r w:rsidRPr="000D5F0E">
        <w:rPr>
          <w:rFonts w:ascii="Palatino Linotype" w:eastAsia="Calibri" w:hAnsi="Palatino Linotype" w:cs="Arial"/>
          <w:bCs/>
          <w:color w:val="000000" w:themeColor="text1"/>
        </w:rPr>
        <w:t>Ley de Transparencia y Acceso a la Información Pública del Estado de México y Municipios</w:t>
      </w:r>
      <w:r w:rsidRPr="000D5F0E">
        <w:rPr>
          <w:rFonts w:ascii="Palatino Linotype" w:eastAsia="Calibri" w:hAnsi="Palatino Linotype" w:cs="Arial"/>
          <w:color w:val="000000" w:themeColor="text1"/>
        </w:rPr>
        <w:t>,</w:t>
      </w:r>
      <w:r w:rsidRPr="000D5F0E">
        <w:rPr>
          <w:rFonts w:ascii="Palatino Linotype" w:eastAsia="Calibri" w:hAnsi="Palatino Linotype" w:cs="Arial"/>
          <w:b/>
          <w:color w:val="000000" w:themeColor="text1"/>
        </w:rPr>
        <w:t xml:space="preserve"> </w:t>
      </w:r>
      <w:r w:rsidRPr="000D5F0E">
        <w:rPr>
          <w:rFonts w:ascii="Palatino Linotype" w:eastAsia="Calibri" w:hAnsi="Palatino Linotype" w:cs="Arial"/>
          <w:bCs/>
          <w:color w:val="000000" w:themeColor="text1"/>
        </w:rPr>
        <w:t>y</w:t>
      </w:r>
      <w:r w:rsidRPr="000D5F0E">
        <w:rPr>
          <w:rFonts w:ascii="Palatino Linotype" w:eastAsia="Calibri" w:hAnsi="Palatino Linotype" w:cs="Arial"/>
          <w:b/>
          <w:color w:val="000000" w:themeColor="text1"/>
        </w:rPr>
        <w:t xml:space="preserve"> </w:t>
      </w:r>
      <w:r w:rsidRPr="000D5F0E">
        <w:rPr>
          <w:rFonts w:ascii="Palatino Linotype" w:hAnsi="Palatino Linotype" w:cs="Arial"/>
        </w:rPr>
        <w:t>por tanto, procedente la interposición del recurso de revisión.</w:t>
      </w:r>
    </w:p>
    <w:p w:rsidR="008F4EC4" w:rsidRPr="000D5F0E" w:rsidRDefault="008F4EC4" w:rsidP="008F4EC4">
      <w:pPr>
        <w:autoSpaceDE w:val="0"/>
        <w:autoSpaceDN w:val="0"/>
        <w:adjustRightInd w:val="0"/>
        <w:spacing w:line="360" w:lineRule="auto"/>
        <w:jc w:val="both"/>
        <w:rPr>
          <w:rFonts w:ascii="Palatino Linotype" w:eastAsia="Times New Roman" w:hAnsi="Palatino Linotype" w:cs="Arial"/>
          <w:lang w:val="es-ES"/>
        </w:rPr>
      </w:pPr>
    </w:p>
    <w:p w:rsidR="008F4EC4" w:rsidRPr="000D5F0E" w:rsidRDefault="008F4EC4" w:rsidP="001A5D35">
      <w:pPr>
        <w:numPr>
          <w:ilvl w:val="0"/>
          <w:numId w:val="2"/>
        </w:numPr>
        <w:spacing w:line="360" w:lineRule="auto"/>
        <w:ind w:left="0" w:firstLine="0"/>
        <w:jc w:val="both"/>
        <w:rPr>
          <w:rFonts w:ascii="Palatino Linotype" w:hAnsi="Palatino Linotype"/>
          <w:lang w:eastAsia="es-MX"/>
        </w:rPr>
      </w:pPr>
      <w:r w:rsidRPr="000D5F0E">
        <w:rPr>
          <w:rFonts w:ascii="Palatino Linotype" w:hAnsi="Palatino Linotype" w:cs="Arial"/>
        </w:rPr>
        <w:t xml:space="preserve">En consecuencia, </w:t>
      </w:r>
      <w:r w:rsidR="004949A5" w:rsidRPr="000D5F0E">
        <w:rPr>
          <w:rFonts w:ascii="Palatino Linotype" w:hAnsi="Palatino Linotype" w:cs="Arial"/>
        </w:rPr>
        <w:t xml:space="preserve">en lo que respecta al Recurso de Revisión </w:t>
      </w:r>
      <w:r w:rsidR="004949A5" w:rsidRPr="000D5F0E">
        <w:rPr>
          <w:rFonts w:ascii="Palatino Linotype" w:hAnsi="Palatino Linotype" w:cs="Arial"/>
          <w:b/>
        </w:rPr>
        <w:t xml:space="preserve">07513/INFOEM/IP/RR/2024 </w:t>
      </w:r>
      <w:r w:rsidRPr="000D5F0E">
        <w:rPr>
          <w:rFonts w:ascii="Palatino Linotype" w:hAnsi="Palatino Linotype" w:cs="Arial"/>
        </w:rPr>
        <w:t xml:space="preserve">las razones o motivos de </w:t>
      </w:r>
      <w:r w:rsidRPr="000D5F0E">
        <w:rPr>
          <w:rFonts w:ascii="Palatino Linotype" w:hAnsi="Palatino Linotype"/>
        </w:rPr>
        <w:t xml:space="preserve">inconformidad hechos valer, resultan </w:t>
      </w:r>
      <w:r w:rsidRPr="000D5F0E">
        <w:rPr>
          <w:rFonts w:ascii="Palatino Linotype" w:hAnsi="Palatino Linotype"/>
          <w:b/>
        </w:rPr>
        <w:t>fundadas y procedentes</w:t>
      </w:r>
      <w:r w:rsidRPr="000D5F0E">
        <w:rPr>
          <w:rFonts w:ascii="Palatino Linotype" w:hAnsi="Palatino Linotype"/>
        </w:rPr>
        <w:t xml:space="preserve">, en virtud de las constancias que obran en el expediente electrónico SAIMEX, se acredita que el </w:t>
      </w:r>
      <w:r w:rsidRPr="000D5F0E">
        <w:rPr>
          <w:rFonts w:ascii="Palatino Linotype" w:hAnsi="Palatino Linotype" w:cs="Arial"/>
          <w:b/>
          <w:lang w:eastAsia="es-MX"/>
        </w:rPr>
        <w:t>Sujeto Obligado</w:t>
      </w:r>
      <w:r w:rsidRPr="000D5F0E">
        <w:rPr>
          <w:rFonts w:ascii="Palatino Linotype" w:hAnsi="Palatino Linotype" w:cs="Arial"/>
          <w:lang w:eastAsia="es-MX"/>
        </w:rPr>
        <w:t xml:space="preserve"> fue omiso en responder la solicitud de información hecha por el </w:t>
      </w:r>
      <w:r w:rsidRPr="000D5F0E">
        <w:rPr>
          <w:rFonts w:ascii="Palatino Linotype" w:hAnsi="Palatino Linotype" w:cs="Arial"/>
          <w:b/>
          <w:lang w:eastAsia="es-MX"/>
        </w:rPr>
        <w:t>Recurrente</w:t>
      </w:r>
      <w:r w:rsidRPr="000D5F0E">
        <w:rPr>
          <w:rFonts w:ascii="Palatino Linotype" w:hAnsi="Palatino Linotype" w:cs="Arial"/>
          <w:lang w:eastAsia="es-MX"/>
        </w:rPr>
        <w:t xml:space="preserve">, es decir, </w:t>
      </w:r>
      <w:r w:rsidRPr="000D5F0E">
        <w:rPr>
          <w:rFonts w:ascii="Palatino Linotype" w:hAnsi="Palatino Linotype"/>
          <w:lang w:eastAsia="es-MX"/>
        </w:rPr>
        <w:t xml:space="preserve">incumplió las obligaciones que se le imponen como </w:t>
      </w:r>
      <w:r w:rsidRPr="000D5F0E">
        <w:rPr>
          <w:rFonts w:ascii="Palatino Linotype" w:hAnsi="Palatino Linotype"/>
          <w:b/>
          <w:lang w:eastAsia="es-MX"/>
        </w:rPr>
        <w:t>Sujeto Obligado</w:t>
      </w:r>
      <w:r w:rsidRPr="000D5F0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rsidR="008F4EC4" w:rsidRPr="000D5F0E" w:rsidRDefault="008F4EC4" w:rsidP="008F4EC4">
      <w:pPr>
        <w:autoSpaceDE w:val="0"/>
        <w:autoSpaceDN w:val="0"/>
        <w:adjustRightInd w:val="0"/>
        <w:spacing w:line="360" w:lineRule="auto"/>
        <w:jc w:val="both"/>
        <w:rPr>
          <w:rFonts w:ascii="Palatino Linotype" w:eastAsia="Times New Roman" w:hAnsi="Palatino Linotype" w:cs="Arial"/>
          <w:lang w:val="es-ES" w:eastAsia="es-MX"/>
        </w:rPr>
      </w:pPr>
    </w:p>
    <w:p w:rsidR="008F4EC4" w:rsidRPr="000D5F0E" w:rsidRDefault="008F4EC4" w:rsidP="001A5D35">
      <w:pPr>
        <w:numPr>
          <w:ilvl w:val="0"/>
          <w:numId w:val="2"/>
        </w:numPr>
        <w:spacing w:line="360" w:lineRule="auto"/>
        <w:ind w:left="0" w:firstLine="0"/>
        <w:jc w:val="both"/>
        <w:rPr>
          <w:rFonts w:ascii="Palatino Linotype" w:eastAsia="Palatino Linotype" w:hAnsi="Palatino Linotype" w:cs="Palatino Linotype"/>
        </w:rPr>
      </w:pPr>
      <w:r w:rsidRPr="000D5F0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0D5F0E">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w:t>
      </w:r>
      <w:r w:rsidRPr="000D5F0E">
        <w:rPr>
          <w:rFonts w:ascii="Palatino Linotype" w:eastAsia="Palatino Linotype" w:hAnsi="Palatino Linotype" w:cs="Palatino Linotype"/>
        </w:rPr>
        <w:lastRenderedPageBreak/>
        <w:t xml:space="preserve">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8F4EC4" w:rsidRPr="000D5F0E" w:rsidRDefault="008F4EC4" w:rsidP="008F4EC4">
      <w:pPr>
        <w:widowControl w:val="0"/>
        <w:tabs>
          <w:tab w:val="left" w:pos="1276"/>
        </w:tabs>
        <w:spacing w:line="360" w:lineRule="auto"/>
        <w:jc w:val="both"/>
        <w:rPr>
          <w:rFonts w:ascii="Palatino Linotype" w:eastAsia="Palatino Linotype" w:hAnsi="Palatino Linotype" w:cs="Palatino Linotype"/>
        </w:rPr>
      </w:pPr>
    </w:p>
    <w:p w:rsidR="008F4EC4" w:rsidRPr="000D5F0E" w:rsidRDefault="008F4EC4" w:rsidP="001A5D35">
      <w:pPr>
        <w:numPr>
          <w:ilvl w:val="0"/>
          <w:numId w:val="2"/>
        </w:numPr>
        <w:spacing w:line="360" w:lineRule="auto"/>
        <w:ind w:left="0" w:firstLine="0"/>
        <w:jc w:val="both"/>
        <w:rPr>
          <w:rFonts w:ascii="Palatino Linotype" w:eastAsia="Palatino Linotype" w:hAnsi="Palatino Linotype" w:cs="Palatino Linotype"/>
        </w:rPr>
      </w:pPr>
      <w:r w:rsidRPr="000D5F0E">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8F4EC4" w:rsidRPr="000D5F0E" w:rsidRDefault="008F4EC4" w:rsidP="008F4EC4">
      <w:pPr>
        <w:widowControl w:val="0"/>
        <w:tabs>
          <w:tab w:val="left" w:pos="1276"/>
        </w:tabs>
        <w:spacing w:line="360" w:lineRule="auto"/>
        <w:jc w:val="both"/>
        <w:rPr>
          <w:rFonts w:ascii="Palatino Linotype" w:eastAsia="Palatino Linotype" w:hAnsi="Palatino Linotype" w:cs="Palatino Linotype"/>
        </w:rPr>
      </w:pPr>
    </w:p>
    <w:p w:rsidR="008F4EC4" w:rsidRPr="000D5F0E" w:rsidRDefault="008F4EC4" w:rsidP="001A5D35">
      <w:pPr>
        <w:numPr>
          <w:ilvl w:val="0"/>
          <w:numId w:val="2"/>
        </w:numPr>
        <w:spacing w:line="360" w:lineRule="auto"/>
        <w:ind w:left="0" w:firstLine="0"/>
        <w:jc w:val="both"/>
        <w:rPr>
          <w:rFonts w:ascii="Palatino Linotype" w:eastAsia="Palatino Linotype" w:hAnsi="Palatino Linotype" w:cs="Palatino Linotype"/>
        </w:rPr>
      </w:pPr>
      <w:r w:rsidRPr="000D5F0E">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0D5F0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rsidR="008F4EC4" w:rsidRPr="000D5F0E" w:rsidRDefault="008F4EC4" w:rsidP="008F4EC4">
      <w:pPr>
        <w:autoSpaceDE w:val="0"/>
        <w:autoSpaceDN w:val="0"/>
        <w:adjustRightInd w:val="0"/>
        <w:spacing w:line="360" w:lineRule="auto"/>
        <w:jc w:val="both"/>
        <w:rPr>
          <w:rFonts w:ascii="Palatino Linotype" w:eastAsia="Times New Roman" w:hAnsi="Palatino Linotype" w:cs="Arial"/>
        </w:rPr>
      </w:pPr>
    </w:p>
    <w:p w:rsidR="008F4EC4" w:rsidRPr="000D5F0E" w:rsidRDefault="008F4EC4" w:rsidP="001A5D35">
      <w:pPr>
        <w:numPr>
          <w:ilvl w:val="0"/>
          <w:numId w:val="2"/>
        </w:numPr>
        <w:spacing w:line="360" w:lineRule="auto"/>
        <w:ind w:left="0" w:firstLine="0"/>
        <w:jc w:val="both"/>
        <w:rPr>
          <w:rFonts w:ascii="Palatino Linotype" w:eastAsia="Calibri" w:hAnsi="Palatino Linotype"/>
          <w:i/>
        </w:rPr>
      </w:pPr>
      <w:r w:rsidRPr="000D5F0E">
        <w:rPr>
          <w:rFonts w:ascii="Palatino Linotype" w:hAnsi="Palatino Linotype" w:cs="Arial"/>
        </w:rPr>
        <w:lastRenderedPageBreak/>
        <w:t xml:space="preserve">En consecuencia, </w:t>
      </w:r>
      <w:r w:rsidRPr="000D5F0E">
        <w:rPr>
          <w:rFonts w:ascii="Palatino Linotype" w:eastAsia="Calibri" w:hAnsi="Palatino Linotype"/>
        </w:rPr>
        <w:t xml:space="preserve">según lo dispuesto por el artículo 150 de la Ley de Transparencia y Acceso a la Información Pública del Estado de México y Municipios, el </w:t>
      </w:r>
      <w:r w:rsidRPr="000D5F0E">
        <w:rPr>
          <w:rFonts w:ascii="Palatino Linotype" w:eastAsia="Calibri" w:hAnsi="Palatino Linotype"/>
          <w:i/>
        </w:rPr>
        <w:t xml:space="preserve">procedimiento de acceso a la información es la garantía primaria del derecho en cuestión, </w:t>
      </w:r>
      <w:r w:rsidRPr="000D5F0E">
        <w:rPr>
          <w:rFonts w:ascii="Palatino Linotype" w:eastAsia="Calibri" w:hAnsi="Palatino Linotype"/>
        </w:rPr>
        <w:t xml:space="preserve">por lo tanto, la falta de respuesta a una solicitud de acceso a la información constituye un incumplimiento del </w:t>
      </w:r>
      <w:r w:rsidRPr="000D5F0E">
        <w:rPr>
          <w:rFonts w:ascii="Palatino Linotype" w:eastAsia="Calibri" w:hAnsi="Palatino Linotype"/>
          <w:b/>
        </w:rPr>
        <w:t>Sujeto Obligado</w:t>
      </w:r>
      <w:r w:rsidRPr="000D5F0E">
        <w:rPr>
          <w:rFonts w:ascii="Palatino Linotype" w:eastAsia="Calibri" w:hAnsi="Palatino Linotype"/>
        </w:rPr>
        <w:t xml:space="preserve"> a su deber de garantizar el derecho, lo que constituye una vulneración al mismo.</w:t>
      </w:r>
    </w:p>
    <w:p w:rsidR="008F4EC4" w:rsidRPr="000D5F0E" w:rsidRDefault="008F4EC4" w:rsidP="008F4EC4">
      <w:pPr>
        <w:autoSpaceDE w:val="0"/>
        <w:autoSpaceDN w:val="0"/>
        <w:adjustRightInd w:val="0"/>
        <w:spacing w:line="360" w:lineRule="auto"/>
        <w:jc w:val="both"/>
        <w:rPr>
          <w:rFonts w:ascii="Palatino Linotype" w:eastAsia="Calibri" w:hAnsi="Palatino Linotype" w:cs="Times New Roman"/>
          <w:lang w:val="es-ES"/>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Por lo que, en cumplimiento a esta resolución, el </w:t>
      </w:r>
      <w:r w:rsidRPr="000D5F0E">
        <w:rPr>
          <w:rFonts w:ascii="Palatino Linotype" w:hAnsi="Palatino Linotype" w:cs="Arial"/>
          <w:b/>
        </w:rPr>
        <w:t xml:space="preserve">Sujeto Obligado </w:t>
      </w:r>
      <w:r w:rsidRPr="000D5F0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8F4EC4" w:rsidRPr="000D5F0E" w:rsidRDefault="008F4EC4" w:rsidP="008F4EC4">
      <w:pPr>
        <w:autoSpaceDE w:val="0"/>
        <w:autoSpaceDN w:val="0"/>
        <w:adjustRightInd w:val="0"/>
        <w:spacing w:line="360" w:lineRule="auto"/>
        <w:jc w:val="both"/>
        <w:rPr>
          <w:rFonts w:ascii="Palatino Linotype" w:eastAsia="Times New Roman" w:hAnsi="Palatino Linotype" w:cs="Arial"/>
          <w:lang w:val="es-ES"/>
        </w:rPr>
      </w:pPr>
    </w:p>
    <w:p w:rsidR="008F4EC4" w:rsidRPr="000D5F0E" w:rsidRDefault="008F4EC4" w:rsidP="008F4EC4">
      <w:pPr>
        <w:numPr>
          <w:ilvl w:val="0"/>
          <w:numId w:val="28"/>
        </w:numPr>
        <w:autoSpaceDE w:val="0"/>
        <w:autoSpaceDN w:val="0"/>
        <w:adjustRightInd w:val="0"/>
        <w:spacing w:line="360" w:lineRule="auto"/>
        <w:contextualSpacing/>
        <w:jc w:val="both"/>
        <w:rPr>
          <w:rFonts w:ascii="Palatino Linotype" w:eastAsia="Times New Roman" w:hAnsi="Palatino Linotype" w:cs="Arial"/>
          <w:b/>
          <w:iCs/>
          <w:lang w:val="es-ES"/>
        </w:rPr>
      </w:pPr>
      <w:r w:rsidRPr="000D5F0E">
        <w:rPr>
          <w:rFonts w:ascii="Palatino Linotype" w:eastAsia="Times New Roman" w:hAnsi="Palatino Linotype" w:cs="Arial"/>
          <w:b/>
          <w:iCs/>
          <w:lang w:val="es-ES"/>
        </w:rPr>
        <w:t>De la clasificación de la información</w:t>
      </w: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De conformidad con el artículo 91 de la Ley de Transparencia y Acceso a la Información Pública el </w:t>
      </w:r>
      <w:r w:rsidRPr="000D5F0E">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0D5F0E">
        <w:rPr>
          <w:rFonts w:ascii="Palatino Linotype" w:hAnsi="Palatino Linotype" w:cs="Arial"/>
        </w:rPr>
        <w:t xml:space="preserve">; la </w:t>
      </w:r>
      <w:r w:rsidRPr="000D5F0E">
        <w:rPr>
          <w:rFonts w:ascii="Palatino Linotype" w:eastAsia="Palatino Linotype" w:hAnsi="Palatino Linotype" w:cs="Palatino Linotype"/>
        </w:rPr>
        <w:t xml:space="preserve">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8F4EC4" w:rsidRPr="000D5F0E" w:rsidRDefault="008F4EC4" w:rsidP="008F4EC4">
      <w:pPr>
        <w:pStyle w:val="Prrafodelista"/>
        <w:spacing w:line="360" w:lineRule="auto"/>
        <w:ind w:left="0" w:right="51"/>
        <w:jc w:val="both"/>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eastAsia="Palatino Linotype" w:hAnsi="Palatino Linotype" w:cs="Palatino Linotype"/>
        </w:rPr>
        <w:t>La Ley de Transparencia y Acceso a la Información Pública del Estado de México y Municipios, en sus artículos 140 y 143 prevé los supuestos para clasificar la información como reservada o confidencial.</w:t>
      </w:r>
    </w:p>
    <w:p w:rsidR="008F4EC4" w:rsidRPr="000D5F0E" w:rsidRDefault="008F4EC4" w:rsidP="008F4EC4">
      <w:pPr>
        <w:pStyle w:val="Prrafodelista"/>
        <w:rPr>
          <w:rFonts w:ascii="Palatino Linotype" w:eastAsia="Palatino Linotype" w:hAnsi="Palatino Linotype" w:cs="Palatino Linotype"/>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eastAsia="Palatino Linotype" w:hAnsi="Palatino Linotype" w:cs="Palatino Linotype"/>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8F4EC4" w:rsidRPr="000D5F0E" w:rsidRDefault="008F4EC4" w:rsidP="008F4EC4">
      <w:pPr>
        <w:pStyle w:val="Prrafodelista"/>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8F4EC4" w:rsidRPr="000D5F0E" w:rsidRDefault="008F4EC4" w:rsidP="008F4EC4">
      <w:pPr>
        <w:pStyle w:val="Prrafodelista"/>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8F4EC4" w:rsidRPr="000D5F0E" w:rsidRDefault="008F4EC4" w:rsidP="008F4EC4">
      <w:pPr>
        <w:pStyle w:val="Prrafodelista"/>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El derecho de acceso a la información pública puede ser restringido cuando se trate de información clasificada como reservada, por lo que </w:t>
      </w:r>
      <w:r w:rsidRPr="000D5F0E">
        <w:rPr>
          <w:rFonts w:ascii="Palatino Linotype" w:eastAsia="Palatino Linotype" w:hAnsi="Palatino Linotype" w:cs="Palatino Linotype"/>
        </w:rPr>
        <w:t xml:space="preserve">para motivar la clasificación se deberán de señalar las razones, motivos o circunstancias especiales que llevaron al </w:t>
      </w:r>
      <w:r w:rsidRPr="000D5F0E">
        <w:rPr>
          <w:rFonts w:ascii="Palatino Linotype" w:eastAsia="Palatino Linotype" w:hAnsi="Palatino Linotype" w:cs="Palatino Linotype"/>
          <w:b/>
        </w:rPr>
        <w:t>Sujeto Obligado</w:t>
      </w:r>
      <w:r w:rsidRPr="000D5F0E">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8F4EC4" w:rsidRPr="000D5F0E" w:rsidRDefault="008F4EC4" w:rsidP="008F4EC4">
      <w:pPr>
        <w:pStyle w:val="Prrafodelista"/>
        <w:rPr>
          <w:rFonts w:ascii="Palatino Linotype" w:eastAsia="Palatino Linotype" w:hAnsi="Palatino Linotype" w:cs="Palatino Linotype"/>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8F4EC4" w:rsidRPr="000D5F0E" w:rsidRDefault="008F4EC4" w:rsidP="008F4EC4">
      <w:pPr>
        <w:pStyle w:val="Prrafodelista"/>
        <w:rPr>
          <w:rFonts w:ascii="Palatino Linotype" w:eastAsia="Palatino Linotype" w:hAnsi="Palatino Linotype" w:cs="Palatino Linotype"/>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8F4EC4" w:rsidRPr="000D5F0E" w:rsidRDefault="008F4EC4" w:rsidP="008F4EC4">
      <w:pPr>
        <w:pStyle w:val="Prrafodelista"/>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 xml:space="preserve">Por lo tanto, la entrega de documentos, en su versión pública, debe acompañarse necesariamente del Acuerdo del Comité de Transparencia que la </w:t>
      </w:r>
      <w:r w:rsidRPr="000D5F0E">
        <w:rPr>
          <w:rFonts w:ascii="Palatino Linotype" w:hAnsi="Palatino Linotype" w:cs="Arial"/>
        </w:rPr>
        <w:lastRenderedPageBreak/>
        <w:t>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8F4EC4" w:rsidRPr="000D5F0E" w:rsidRDefault="008F4EC4" w:rsidP="008F4EC4">
      <w:pPr>
        <w:pStyle w:val="Prrafodelista"/>
        <w:rPr>
          <w:rFonts w:ascii="Palatino Linotype" w:hAnsi="Palatino Linotype" w:cs="Arial"/>
        </w:rPr>
      </w:pPr>
    </w:p>
    <w:p w:rsidR="008F4EC4" w:rsidRPr="000D5F0E" w:rsidRDefault="008F4EC4" w:rsidP="001A5D35">
      <w:pPr>
        <w:numPr>
          <w:ilvl w:val="0"/>
          <w:numId w:val="2"/>
        </w:numPr>
        <w:spacing w:line="360" w:lineRule="auto"/>
        <w:ind w:left="0" w:firstLine="0"/>
        <w:jc w:val="both"/>
        <w:rPr>
          <w:rFonts w:ascii="Palatino Linotype" w:hAnsi="Palatino Linotype" w:cs="Arial"/>
        </w:rPr>
      </w:pPr>
      <w:r w:rsidRPr="000D5F0E">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0D5F0E">
        <w:rPr>
          <w:rFonts w:ascii="Palatino Linotype" w:hAnsi="Palatino Linotype" w:cs="Arial"/>
          <w:i/>
          <w:iCs/>
        </w:rPr>
        <w:t>.</w:t>
      </w:r>
    </w:p>
    <w:p w:rsidR="008F4EC4" w:rsidRPr="000D5F0E" w:rsidRDefault="008F4EC4" w:rsidP="008F4EC4">
      <w:pPr>
        <w:autoSpaceDE w:val="0"/>
        <w:autoSpaceDN w:val="0"/>
        <w:adjustRightInd w:val="0"/>
        <w:spacing w:line="360" w:lineRule="auto"/>
        <w:contextualSpacing/>
        <w:jc w:val="both"/>
        <w:rPr>
          <w:rFonts w:ascii="Palatino Linotype" w:eastAsia="Times New Roman" w:hAnsi="Palatino Linotype" w:cs="Arial"/>
          <w:iCs/>
          <w:lang w:val="es-ES"/>
        </w:rPr>
      </w:pPr>
    </w:p>
    <w:p w:rsidR="008F4EC4" w:rsidRPr="000D5F0E" w:rsidRDefault="008F4EC4" w:rsidP="008F4EC4">
      <w:pPr>
        <w:numPr>
          <w:ilvl w:val="0"/>
          <w:numId w:val="29"/>
        </w:numPr>
        <w:tabs>
          <w:tab w:val="left" w:pos="7938"/>
        </w:tabs>
        <w:spacing w:line="360" w:lineRule="auto"/>
        <w:ind w:left="426"/>
        <w:jc w:val="both"/>
        <w:rPr>
          <w:rFonts w:ascii="Palatino Linotype" w:eastAsia="Times New Roman" w:hAnsi="Palatino Linotype" w:cs="Times New Roman"/>
          <w:b/>
          <w:iCs/>
          <w:lang w:val="es-ES"/>
        </w:rPr>
      </w:pPr>
      <w:r w:rsidRPr="000D5F0E">
        <w:rPr>
          <w:rFonts w:ascii="Palatino Linotype" w:eastAsia="Times New Roman" w:hAnsi="Palatino Linotype" w:cs="Times New Roman"/>
          <w:b/>
          <w:iCs/>
          <w:lang w:val="es-ES"/>
        </w:rPr>
        <w:t xml:space="preserve">De la vista a los órganos de control interno competentes </w:t>
      </w:r>
    </w:p>
    <w:p w:rsidR="008F4EC4" w:rsidRPr="000D5F0E" w:rsidRDefault="008F4EC4" w:rsidP="001A5D35">
      <w:pPr>
        <w:numPr>
          <w:ilvl w:val="0"/>
          <w:numId w:val="2"/>
        </w:numPr>
        <w:spacing w:line="360" w:lineRule="auto"/>
        <w:ind w:left="0" w:firstLine="0"/>
        <w:jc w:val="both"/>
        <w:rPr>
          <w:rFonts w:ascii="Palatino Linotype" w:eastAsia="Palatino Linotype" w:hAnsi="Palatino Linotype" w:cs="Palatino Linotype"/>
        </w:rPr>
      </w:pPr>
      <w:r w:rsidRPr="000D5F0E">
        <w:rPr>
          <w:rFonts w:ascii="Palatino Linotype" w:eastAsia="Palatino Linotype" w:hAnsi="Palatino Linotype" w:cs="Palatino Linotype"/>
        </w:rPr>
        <w:t>Como ya se mencionó el</w:t>
      </w:r>
      <w:r w:rsidRPr="000D5F0E">
        <w:rPr>
          <w:rFonts w:ascii="Palatino Linotype" w:eastAsia="Palatino Linotype" w:hAnsi="Palatino Linotype" w:cs="Palatino Linotype"/>
          <w:b/>
        </w:rPr>
        <w:t xml:space="preserve"> Sujeto Obligado</w:t>
      </w:r>
      <w:r w:rsidRPr="000D5F0E">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0D5F0E">
        <w:rPr>
          <w:rFonts w:ascii="Palatino Linotype" w:hAnsi="Palatino Linotype"/>
        </w:rPr>
        <w:t>del Reglamento Interior del Instituto de Transparencia, Acceso a la Información y Protección de Datos Personales</w:t>
      </w:r>
      <w:r w:rsidRPr="000D5F0E">
        <w:rPr>
          <w:rFonts w:ascii="Palatino Linotype" w:eastAsia="Palatino Linotype" w:hAnsi="Palatino Linotype" w:cs="Palatino Linotype"/>
        </w:rPr>
        <w:t xml:space="preserve"> del Estado de México y Municipios, se determine lo conducente.</w:t>
      </w:r>
    </w:p>
    <w:p w:rsidR="008F4EC4" w:rsidRPr="000D5F0E" w:rsidRDefault="008F4EC4" w:rsidP="008F4EC4">
      <w:pPr>
        <w:pStyle w:val="Prrafodelista"/>
        <w:spacing w:line="360" w:lineRule="auto"/>
        <w:ind w:left="0" w:right="49"/>
        <w:jc w:val="both"/>
        <w:rPr>
          <w:rFonts w:ascii="Palatino Linotype" w:eastAsia="Palatino Linotype" w:hAnsi="Palatino Linotype" w:cs="Palatino Linotype"/>
        </w:rPr>
      </w:pPr>
    </w:p>
    <w:p w:rsidR="008F4EC4" w:rsidRPr="000D5F0E" w:rsidRDefault="008F4EC4" w:rsidP="008F4EC4">
      <w:pPr>
        <w:spacing w:line="360" w:lineRule="auto"/>
        <w:jc w:val="both"/>
      </w:pPr>
      <w:r w:rsidRPr="000D5F0E">
        <w:rPr>
          <w:rFonts w:ascii="Palatino Linotype" w:hAnsi="Palatino Linotype" w:cs="Arial"/>
        </w:rPr>
        <w:lastRenderedPageBreak/>
        <w:t xml:space="preserve">Por lo tanto, de lo expuesto y con fundamento en la fracción IV del artículo 186, de la Ley de Transparencia y Acceso a la Información Pública del Estado de México y Municipios, se </w:t>
      </w:r>
      <w:r w:rsidRPr="000D5F0E">
        <w:rPr>
          <w:rFonts w:ascii="Palatino Linotype" w:hAnsi="Palatino Linotype" w:cs="Arial"/>
          <w:b/>
        </w:rPr>
        <w:t>ORDENA</w:t>
      </w:r>
      <w:r w:rsidRPr="000D5F0E">
        <w:rPr>
          <w:rFonts w:ascii="Palatino Linotype" w:hAnsi="Palatino Linotype" w:cs="Arial"/>
        </w:rPr>
        <w:t xml:space="preserve"> al </w:t>
      </w:r>
      <w:r w:rsidRPr="000D5F0E">
        <w:rPr>
          <w:rFonts w:ascii="Palatino Linotype" w:hAnsi="Palatino Linotype" w:cs="Arial"/>
          <w:b/>
        </w:rPr>
        <w:t>Sujeto Obligado</w:t>
      </w:r>
      <w:r w:rsidRPr="000D5F0E">
        <w:rPr>
          <w:rFonts w:ascii="Palatino Linotype" w:hAnsi="Palatino Linotype" w:cs="Arial"/>
        </w:rPr>
        <w:t xml:space="preserve">, atienda la solicitud de información </w:t>
      </w:r>
      <w:r w:rsidRPr="000D5F0E">
        <w:rPr>
          <w:rFonts w:ascii="Palatino Linotype" w:hAnsi="Palatino Linotype" w:cs="Arial"/>
          <w:b/>
          <w:bCs/>
        </w:rPr>
        <w:t xml:space="preserve"> </w:t>
      </w:r>
      <w:r w:rsidR="004949A5" w:rsidRPr="000D5F0E">
        <w:rPr>
          <w:rFonts w:ascii="Palatino Linotype" w:hAnsi="Palatino Linotype" w:cs="Arial"/>
          <w:b/>
          <w:bCs/>
        </w:rPr>
        <w:t>00229/TEPOTZOT/IP/2024</w:t>
      </w:r>
      <w:r w:rsidRPr="000D5F0E">
        <w:rPr>
          <w:rFonts w:ascii="Palatino Linotype" w:hAnsi="Palatino Linotype" w:cs="Arial"/>
          <w:b/>
          <w:bCs/>
        </w:rPr>
        <w:t xml:space="preserve">, </w:t>
      </w:r>
      <w:r w:rsidR="006513CF" w:rsidRPr="000D5F0E">
        <w:rPr>
          <w:rFonts w:ascii="Palatino Linotype" w:hAnsi="Palatino Linotype" w:cs="Arial"/>
        </w:rPr>
        <w:t>que ha</w:t>
      </w:r>
      <w:r w:rsidRPr="000D5F0E">
        <w:rPr>
          <w:rFonts w:ascii="Palatino Linotype" w:hAnsi="Palatino Linotype" w:cs="Arial"/>
        </w:rPr>
        <w:t xml:space="preserve"> sido materia del presente fallo.</w:t>
      </w:r>
    </w:p>
    <w:p w:rsidR="002A29F7" w:rsidRPr="000D5F0E" w:rsidRDefault="002A29F7" w:rsidP="006F6AC6">
      <w:pPr>
        <w:pBdr>
          <w:top w:val="nil"/>
          <w:left w:val="nil"/>
          <w:bottom w:val="nil"/>
          <w:right w:val="nil"/>
          <w:between w:val="nil"/>
        </w:pBdr>
        <w:spacing w:line="360" w:lineRule="auto"/>
        <w:rPr>
          <w:rFonts w:ascii="Palatino Linotype" w:eastAsia="Palatino Linotype" w:hAnsi="Palatino Linotype" w:cs="Palatino Linotype"/>
          <w:color w:val="000000"/>
        </w:rPr>
      </w:pPr>
    </w:p>
    <w:p w:rsidR="002A29F7" w:rsidRPr="000D5F0E" w:rsidRDefault="00D02CF1" w:rsidP="006F6AC6">
      <w:pPr>
        <w:numPr>
          <w:ilvl w:val="0"/>
          <w:numId w:val="2"/>
        </w:numPr>
        <w:pBdr>
          <w:top w:val="nil"/>
          <w:left w:val="nil"/>
          <w:bottom w:val="nil"/>
          <w:right w:val="nil"/>
          <w:between w:val="nil"/>
        </w:pBdr>
        <w:spacing w:line="360" w:lineRule="auto"/>
        <w:ind w:left="0" w:firstLine="0"/>
        <w:jc w:val="both"/>
        <w:rPr>
          <w:color w:val="000000"/>
        </w:rPr>
      </w:pPr>
      <w:bookmarkStart w:id="5" w:name="_heading=h.3dy6vkm" w:colFirst="0" w:colLast="0"/>
      <w:bookmarkEnd w:id="5"/>
      <w:r w:rsidRPr="000D5F0E">
        <w:rPr>
          <w:rFonts w:ascii="Palatino Linotype" w:eastAsia="Palatino Linotype" w:hAnsi="Palatino Linotype" w:cs="Palatino Linotype"/>
          <w:color w:val="000000"/>
        </w:rPr>
        <w:t xml:space="preserve">Ahora bien, en lo que respecta al Recurso de Revisión </w:t>
      </w:r>
      <w:r w:rsidR="00C97E6F" w:rsidRPr="000D5F0E">
        <w:rPr>
          <w:rFonts w:ascii="Palatino Linotype" w:eastAsia="Palatino Linotype" w:hAnsi="Palatino Linotype" w:cs="Palatino Linotype"/>
          <w:b/>
          <w:bCs/>
          <w:color w:val="000000"/>
        </w:rPr>
        <w:t xml:space="preserve">05523/INFOEM/IP/RR/2024,  </w:t>
      </w:r>
      <w:r w:rsidRPr="000D5F0E">
        <w:rPr>
          <w:rFonts w:ascii="Palatino Linotype" w:eastAsia="Palatino Linotype" w:hAnsi="Palatino Linotype" w:cs="Palatino Linotype"/>
          <w:color w:val="000000"/>
        </w:rPr>
        <w:t xml:space="preserve">el particular  </w:t>
      </w:r>
      <w:r w:rsidR="00F12910" w:rsidRPr="000D5F0E">
        <w:rPr>
          <w:rFonts w:ascii="Palatino Linotype" w:eastAsia="Palatino Linotype" w:hAnsi="Palatino Linotype" w:cs="Palatino Linotype"/>
          <w:color w:val="000000"/>
        </w:rPr>
        <w:t xml:space="preserve">solicitó tener acceso, a </w:t>
      </w:r>
      <w:r w:rsidR="00C97E6F" w:rsidRPr="000D5F0E">
        <w:rPr>
          <w:rFonts w:ascii="Palatino Linotype" w:eastAsia="Palatino Linotype" w:hAnsi="Palatino Linotype" w:cs="Palatino Linotype"/>
          <w:color w:val="000000"/>
        </w:rPr>
        <w:t xml:space="preserve">las </w:t>
      </w:r>
      <w:r w:rsidR="00C97E6F" w:rsidRPr="000D5F0E">
        <w:rPr>
          <w:rFonts w:ascii="Palatino Linotype" w:eastAsia="Times New Roman" w:hAnsi="Palatino Linotype"/>
          <w:i/>
          <w:lang w:eastAsia="es-MX"/>
        </w:rPr>
        <w:t xml:space="preserve">“Pólizas de seguro vehicular de las 38 unidades nuevas que entregó la presidenta municipal María de los Ángeles </w:t>
      </w:r>
      <w:proofErr w:type="spellStart"/>
      <w:r w:rsidR="00C97E6F" w:rsidRPr="000D5F0E">
        <w:rPr>
          <w:rFonts w:ascii="Palatino Linotype" w:eastAsia="Times New Roman" w:hAnsi="Palatino Linotype"/>
          <w:i/>
          <w:lang w:eastAsia="es-MX"/>
        </w:rPr>
        <w:t>Zuppa</w:t>
      </w:r>
      <w:proofErr w:type="spellEnd"/>
      <w:r w:rsidR="00C97E6F" w:rsidRPr="000D5F0E">
        <w:rPr>
          <w:rFonts w:ascii="Palatino Linotype" w:eastAsia="Times New Roman" w:hAnsi="Palatino Linotype"/>
          <w:i/>
          <w:lang w:eastAsia="es-MX"/>
        </w:rPr>
        <w:t xml:space="preserve"> Villegas el pasado 13 de septiembre de 2023.” (Sic),</w:t>
      </w:r>
      <w:r w:rsidR="00C97E6F" w:rsidRPr="000D5F0E">
        <w:rPr>
          <w:rFonts w:ascii="Palatino Linotype" w:eastAsia="Times New Roman" w:hAnsi="Palatino Linotype"/>
          <w:lang w:eastAsia="es-MX"/>
        </w:rPr>
        <w:t xml:space="preserve"> a lo que </w:t>
      </w:r>
      <w:r w:rsidR="00C97E6F" w:rsidRPr="000D5F0E">
        <w:rPr>
          <w:rFonts w:ascii="Palatino Linotype" w:hAnsi="Palatino Linotype"/>
        </w:rPr>
        <w:t xml:space="preserve">el </w:t>
      </w:r>
      <w:r w:rsidR="00C97E6F" w:rsidRPr="000D5F0E">
        <w:rPr>
          <w:rFonts w:ascii="Palatino Linotype" w:hAnsi="Palatino Linotype" w:cs="Arial"/>
          <w:b/>
          <w:lang w:eastAsia="es-MX"/>
        </w:rPr>
        <w:t>Sujeto Obligado</w:t>
      </w:r>
      <w:r w:rsidR="00C97E6F" w:rsidRPr="000D5F0E">
        <w:rPr>
          <w:rFonts w:ascii="Palatino Linotype" w:hAnsi="Palatino Linotype" w:cs="Arial"/>
          <w:lang w:eastAsia="es-MX"/>
        </w:rPr>
        <w:t xml:space="preserve"> fue omiso en responder la solicitud de información hecha por el </w:t>
      </w:r>
      <w:r w:rsidR="00C97E6F" w:rsidRPr="000D5F0E">
        <w:rPr>
          <w:rFonts w:ascii="Palatino Linotype" w:hAnsi="Palatino Linotype" w:cs="Arial"/>
          <w:b/>
          <w:lang w:eastAsia="es-MX"/>
        </w:rPr>
        <w:t>Recurrente</w:t>
      </w:r>
      <w:r w:rsidR="00C97E6F" w:rsidRPr="000D5F0E">
        <w:rPr>
          <w:rFonts w:ascii="Palatino Linotype" w:hAnsi="Palatino Linotype" w:cs="Arial"/>
          <w:lang w:eastAsia="es-MX"/>
        </w:rPr>
        <w:t xml:space="preserve">, es decir, </w:t>
      </w:r>
      <w:r w:rsidR="00C97E6F" w:rsidRPr="000D5F0E">
        <w:rPr>
          <w:rFonts w:ascii="Palatino Linotype" w:hAnsi="Palatino Linotype"/>
          <w:lang w:eastAsia="es-MX"/>
        </w:rPr>
        <w:t xml:space="preserve">incumplió las obligaciones que se le imponen como </w:t>
      </w:r>
      <w:r w:rsidR="00C97E6F" w:rsidRPr="000D5F0E">
        <w:rPr>
          <w:rFonts w:ascii="Palatino Linotype" w:hAnsi="Palatino Linotype"/>
          <w:b/>
          <w:lang w:eastAsia="es-MX"/>
        </w:rPr>
        <w:t>Sujeto Obligado</w:t>
      </w:r>
      <w:r w:rsidR="00C97E6F" w:rsidRPr="000D5F0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rsidR="00A244CB" w:rsidRPr="000D5F0E" w:rsidRDefault="00A244CB" w:rsidP="00A244C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29F7" w:rsidRPr="000D5F0E" w:rsidRDefault="00C97E6F" w:rsidP="006F6AC6">
      <w:pPr>
        <w:numPr>
          <w:ilvl w:val="0"/>
          <w:numId w:val="2"/>
        </w:numPr>
        <w:spacing w:line="360" w:lineRule="auto"/>
        <w:ind w:left="0" w:firstLine="0"/>
        <w:jc w:val="both"/>
        <w:rPr>
          <w:color w:val="000000"/>
        </w:rPr>
      </w:pPr>
      <w:r w:rsidRPr="000D5F0E">
        <w:rPr>
          <w:rFonts w:ascii="Palatino Linotype" w:eastAsia="Palatino Linotype" w:hAnsi="Palatino Linotype" w:cs="Palatino Linotype"/>
        </w:rPr>
        <w:t>Inconforme el particular con dicha vulneración al derecho de acceso a la información</w:t>
      </w:r>
      <w:r w:rsidR="00F12910" w:rsidRPr="000D5F0E">
        <w:rPr>
          <w:rFonts w:ascii="Palatino Linotype" w:eastAsia="Palatino Linotype" w:hAnsi="Palatino Linotype" w:cs="Palatino Linotype"/>
        </w:rPr>
        <w:t xml:space="preserve">, interpuso </w:t>
      </w:r>
      <w:r w:rsidRPr="000D5F0E">
        <w:rPr>
          <w:rFonts w:ascii="Palatino Linotype" w:eastAsia="Palatino Linotype" w:hAnsi="Palatino Linotype" w:cs="Palatino Linotype"/>
        </w:rPr>
        <w:t xml:space="preserve">Recurso </w:t>
      </w:r>
      <w:r w:rsidR="00F12910" w:rsidRPr="000D5F0E">
        <w:rPr>
          <w:rFonts w:ascii="Palatino Linotype" w:eastAsia="Palatino Linotype" w:hAnsi="Palatino Linotype" w:cs="Palatino Linotype"/>
        </w:rPr>
        <w:t xml:space="preserve">de </w:t>
      </w:r>
      <w:r w:rsidRPr="000D5F0E">
        <w:rPr>
          <w:rFonts w:ascii="Palatino Linotype" w:eastAsia="Palatino Linotype" w:hAnsi="Palatino Linotype" w:cs="Palatino Linotype"/>
        </w:rPr>
        <w:t xml:space="preserve">Revisión </w:t>
      </w:r>
      <w:r w:rsidR="00F12910" w:rsidRPr="000D5F0E">
        <w:rPr>
          <w:rFonts w:ascii="Palatino Linotype" w:eastAsia="Palatino Linotype" w:hAnsi="Palatino Linotype" w:cs="Palatino Linotype"/>
        </w:rPr>
        <w:t xml:space="preserve">argumentando la </w:t>
      </w:r>
      <w:r w:rsidRPr="000D5F0E">
        <w:rPr>
          <w:rFonts w:ascii="Palatino Linotype" w:eastAsia="Palatino Linotype" w:hAnsi="Palatino Linotype" w:cs="Palatino Linotype"/>
        </w:rPr>
        <w:t xml:space="preserve">falta de respuesta a la </w:t>
      </w:r>
      <w:r w:rsidR="00BA43FB" w:rsidRPr="000D5F0E">
        <w:rPr>
          <w:rFonts w:ascii="Palatino Linotype" w:eastAsia="Palatino Linotype" w:hAnsi="Palatino Linotype" w:cs="Palatino Linotype"/>
        </w:rPr>
        <w:t>información solicitada</w:t>
      </w:r>
      <w:r w:rsidR="00F12910" w:rsidRPr="000D5F0E">
        <w:rPr>
          <w:rFonts w:ascii="Palatino Linotype" w:eastAsia="Palatino Linotype" w:hAnsi="Palatino Linotype" w:cs="Palatino Linotype"/>
          <w:b/>
        </w:rPr>
        <w:t>.</w:t>
      </w:r>
    </w:p>
    <w:p w:rsidR="005E72F6" w:rsidRPr="000D5F0E" w:rsidRDefault="005E72F6" w:rsidP="005E72F6">
      <w:pPr>
        <w:spacing w:line="360" w:lineRule="auto"/>
        <w:jc w:val="both"/>
        <w:rPr>
          <w:color w:val="000000"/>
        </w:rPr>
      </w:pPr>
    </w:p>
    <w:p w:rsidR="002A29F7" w:rsidRPr="000D5F0E" w:rsidRDefault="00F12910" w:rsidP="006F6AC6">
      <w:pPr>
        <w:numPr>
          <w:ilvl w:val="0"/>
          <w:numId w:val="2"/>
        </w:numPr>
        <w:spacing w:line="360" w:lineRule="auto"/>
        <w:ind w:left="0" w:firstLine="0"/>
        <w:jc w:val="both"/>
      </w:pPr>
      <w:r w:rsidRPr="000D5F0E">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BA4DD8" w:rsidRPr="000D5F0E">
        <w:rPr>
          <w:rFonts w:ascii="Palatino Linotype" w:eastAsia="Palatino Linotype" w:hAnsi="Palatino Linotype" w:cs="Palatino Linotype"/>
        </w:rPr>
        <w:t>a en el artículo 179, fracción</w:t>
      </w:r>
      <w:r w:rsidRPr="000D5F0E">
        <w:rPr>
          <w:rFonts w:ascii="Palatino Linotype" w:eastAsia="Palatino Linotype" w:hAnsi="Palatino Linotype" w:cs="Palatino Linotype"/>
        </w:rPr>
        <w:t xml:space="preserve"> </w:t>
      </w:r>
      <w:r w:rsidR="00DD06CE" w:rsidRPr="000D5F0E">
        <w:rPr>
          <w:rFonts w:ascii="Palatino Linotype" w:eastAsia="Palatino Linotype" w:hAnsi="Palatino Linotype" w:cs="Palatino Linotype"/>
        </w:rPr>
        <w:t>VII</w:t>
      </w:r>
      <w:r w:rsidRPr="000D5F0E">
        <w:rPr>
          <w:rFonts w:ascii="Palatino Linotype" w:eastAsia="Palatino Linotype" w:hAnsi="Palatino Linotype" w:cs="Palatino Linotype"/>
        </w:rPr>
        <w:t>,</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de la Ley de Transparencia y Acceso a la Información Pública del Estado de</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México</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y</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 xml:space="preserve">Municipios; </w:t>
      </w:r>
      <w:r w:rsidR="00BA4DD8" w:rsidRPr="000D5F0E">
        <w:rPr>
          <w:rFonts w:ascii="Palatino Linotype" w:eastAsia="Palatino Linotype" w:hAnsi="Palatino Linotype" w:cs="Palatino Linotype"/>
          <w:color w:val="000000"/>
        </w:rPr>
        <w:t>fracción que determina la</w:t>
      </w:r>
      <w:r w:rsidRPr="000D5F0E">
        <w:rPr>
          <w:rFonts w:ascii="Palatino Linotype" w:eastAsia="Palatino Linotype" w:hAnsi="Palatino Linotype" w:cs="Palatino Linotype"/>
          <w:color w:val="000000"/>
        </w:rPr>
        <w:t xml:space="preserve"> hipót</w:t>
      </w:r>
      <w:r w:rsidR="00BA4DD8" w:rsidRPr="000D5F0E">
        <w:rPr>
          <w:rFonts w:ascii="Palatino Linotype" w:eastAsia="Palatino Linotype" w:hAnsi="Palatino Linotype" w:cs="Palatino Linotype"/>
          <w:color w:val="000000"/>
        </w:rPr>
        <w:t>esis relativa</w:t>
      </w:r>
      <w:r w:rsidRPr="000D5F0E">
        <w:rPr>
          <w:rFonts w:ascii="Palatino Linotype" w:eastAsia="Palatino Linotype" w:hAnsi="Palatino Linotype" w:cs="Palatino Linotype"/>
          <w:color w:val="000000"/>
        </w:rPr>
        <w:t xml:space="preserve"> a </w:t>
      </w:r>
      <w:r w:rsidRPr="000D5F0E">
        <w:rPr>
          <w:rFonts w:ascii="Palatino Linotype" w:eastAsia="Palatino Linotype" w:hAnsi="Palatino Linotype" w:cs="Palatino Linotype"/>
        </w:rPr>
        <w:t xml:space="preserve">la </w:t>
      </w:r>
      <w:r w:rsidR="00DD06CE" w:rsidRPr="000D5F0E">
        <w:rPr>
          <w:rFonts w:ascii="Palatino Linotype" w:eastAsia="Palatino Linotype" w:hAnsi="Palatino Linotype" w:cs="Palatino Linotype"/>
        </w:rPr>
        <w:t>falta de respuesta a una solicitud de acceso a la información</w:t>
      </w:r>
      <w:r w:rsidRPr="000D5F0E">
        <w:rPr>
          <w:rFonts w:ascii="Palatino Linotype" w:eastAsia="Palatino Linotype" w:hAnsi="Palatino Linotype" w:cs="Palatino Linotype"/>
          <w:color w:val="000000"/>
        </w:rPr>
        <w:t xml:space="preserve">; </w:t>
      </w:r>
      <w:r w:rsidRPr="000D5F0E">
        <w:rPr>
          <w:rFonts w:ascii="Palatino Linotype" w:eastAsia="Palatino Linotype" w:hAnsi="Palatino Linotype" w:cs="Palatino Linotype"/>
        </w:rPr>
        <w:t xml:space="preserve">contexto </w:t>
      </w:r>
      <w:r w:rsidRPr="000D5F0E">
        <w:rPr>
          <w:rFonts w:ascii="Palatino Linotype" w:eastAsia="Palatino Linotype" w:hAnsi="Palatino Linotype" w:cs="Palatino Linotype"/>
        </w:rPr>
        <w:lastRenderedPageBreak/>
        <w:t>del cual se dolió el Recurrente al momento de interponer su inconformidad.</w:t>
      </w:r>
      <w:r w:rsidRPr="000D5F0E">
        <w:rPr>
          <w:rFonts w:ascii="Palatino Linotype" w:eastAsia="Palatino Linotype" w:hAnsi="Palatino Linotype" w:cs="Palatino Linotype"/>
          <w:color w:val="000000"/>
        </w:rPr>
        <w:t xml:space="preserve"> De modo tal que el presente recurso de revisión se </w:t>
      </w:r>
      <w:r w:rsidRPr="000D5F0E">
        <w:rPr>
          <w:rFonts w:ascii="Palatino Linotype" w:eastAsia="Palatino Linotype" w:hAnsi="Palatino Linotype" w:cs="Palatino Linotype"/>
        </w:rPr>
        <w:t>abocará</w:t>
      </w:r>
      <w:r w:rsidRPr="000D5F0E">
        <w:rPr>
          <w:rFonts w:ascii="Palatino Linotype" w:eastAsia="Palatino Linotype" w:hAnsi="Palatino Linotype" w:cs="Palatino Linotype"/>
          <w:color w:val="000000"/>
        </w:rPr>
        <w:t xml:space="preserve"> en determinar si el Sujeto Obligado actualiza la causal de procedencia</w:t>
      </w:r>
      <w:r w:rsidRPr="000D5F0E">
        <w:rPr>
          <w:rFonts w:ascii="Palatino Linotype" w:eastAsia="Palatino Linotype" w:hAnsi="Palatino Linotype" w:cs="Palatino Linotype"/>
          <w:b/>
          <w:color w:val="000000"/>
        </w:rPr>
        <w:t xml:space="preserve"> </w:t>
      </w:r>
      <w:r w:rsidR="00DD06CE" w:rsidRPr="000D5F0E">
        <w:rPr>
          <w:rFonts w:ascii="Palatino Linotype" w:eastAsia="Palatino Linotype" w:hAnsi="Palatino Linotype" w:cs="Palatino Linotype"/>
          <w:color w:val="000000"/>
        </w:rPr>
        <w:t>señalada.</w:t>
      </w:r>
    </w:p>
    <w:p w:rsidR="008F4EC4" w:rsidRPr="000D5F0E" w:rsidRDefault="008F4EC4" w:rsidP="008F4EC4">
      <w:pPr>
        <w:spacing w:line="360" w:lineRule="auto"/>
        <w:jc w:val="both"/>
        <w:rPr>
          <w:rFonts w:ascii="Palatino Linotype" w:eastAsia="Times New Roman" w:hAnsi="Palatino Linotype"/>
          <w:lang w:eastAsia="es-MX"/>
        </w:rPr>
      </w:pPr>
      <w:bookmarkStart w:id="6" w:name="_heading=h.1t3h5sf" w:colFirst="0" w:colLast="0"/>
      <w:bookmarkEnd w:id="6"/>
    </w:p>
    <w:p w:rsidR="00C419DE" w:rsidRPr="000D5F0E" w:rsidRDefault="00B22E86" w:rsidP="00B22E86">
      <w:pPr>
        <w:numPr>
          <w:ilvl w:val="0"/>
          <w:numId w:val="2"/>
        </w:numPr>
        <w:spacing w:line="360" w:lineRule="auto"/>
        <w:ind w:left="0" w:firstLine="0"/>
        <w:jc w:val="both"/>
        <w:rPr>
          <w:rFonts w:ascii="Palatino Linotype" w:eastAsia="Times New Roman" w:hAnsi="Palatino Linotype"/>
          <w:lang w:eastAsia="es-MX"/>
        </w:rPr>
      </w:pPr>
      <w:r w:rsidRPr="000D5F0E">
        <w:rPr>
          <w:rFonts w:ascii="Palatino Linotype" w:eastAsia="Times New Roman" w:hAnsi="Palatino Linotype"/>
          <w:lang w:eastAsia="es-MX"/>
        </w:rPr>
        <w:t xml:space="preserve">De lo anterior, es importante señalar que de </w:t>
      </w:r>
      <w:r w:rsidR="00C419DE" w:rsidRPr="000D5F0E">
        <w:rPr>
          <w:rFonts w:ascii="Palatino Linotype" w:eastAsia="Times New Roman" w:hAnsi="Palatino Linotype"/>
          <w:lang w:eastAsia="es-MX"/>
        </w:rPr>
        <w:t xml:space="preserve">acuerdo al </w:t>
      </w:r>
      <w:r w:rsidR="00592CE1" w:rsidRPr="000D5F0E">
        <w:rPr>
          <w:rFonts w:ascii="Palatino Linotype" w:eastAsia="Times New Roman" w:hAnsi="Palatino Linotype"/>
          <w:lang w:eastAsia="es-MX"/>
        </w:rPr>
        <w:t>Bando Municipal de Tepotzotlán 2024, establece que la Presidenta Municipal se auxiliará de diversas direcciones y áreas de la Administración Pública Municipal, mismas que estarán bajo su subordinación, entre ellas la Dirección de Administración y Finanzas con funciones de Tesorería, tal como lo señala el artículo 38, fracción I, numeral 4:</w:t>
      </w:r>
    </w:p>
    <w:p w:rsidR="00592CE1" w:rsidRPr="000D5F0E" w:rsidRDefault="00592CE1" w:rsidP="00592CE1">
      <w:pPr>
        <w:ind w:left="1134" w:right="902"/>
        <w:jc w:val="both"/>
        <w:rPr>
          <w:rFonts w:ascii="Palatino Linotype" w:eastAsia="Times New Roman" w:hAnsi="Palatino Linotype"/>
          <w:i/>
          <w:sz w:val="22"/>
          <w:szCs w:val="22"/>
          <w:lang w:eastAsia="es-MX"/>
        </w:rPr>
      </w:pPr>
    </w:p>
    <w:p w:rsidR="00592CE1" w:rsidRPr="000D5F0E" w:rsidRDefault="00592CE1" w:rsidP="00592CE1">
      <w:pPr>
        <w:ind w:left="1134" w:right="902"/>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 xml:space="preserve">ARTÍCULO 38.- La Presidenta Municipal se auxiliará de las siguientes direcciones y áreas de la Administración Pública Municipal, mismas que estarán bajo su subordinación: </w:t>
      </w:r>
    </w:p>
    <w:p w:rsidR="00592CE1" w:rsidRPr="000D5F0E" w:rsidRDefault="00592CE1" w:rsidP="00592CE1">
      <w:pPr>
        <w:ind w:left="1134" w:right="902"/>
        <w:jc w:val="both"/>
        <w:rPr>
          <w:rFonts w:ascii="Palatino Linotype" w:eastAsia="Times New Roman" w:hAnsi="Palatino Linotype"/>
          <w:i/>
          <w:sz w:val="22"/>
          <w:szCs w:val="22"/>
          <w:lang w:eastAsia="es-MX"/>
        </w:rPr>
      </w:pPr>
    </w:p>
    <w:p w:rsidR="00592CE1" w:rsidRPr="000D5F0E" w:rsidRDefault="00592CE1" w:rsidP="00592CE1">
      <w:pPr>
        <w:ind w:left="1134" w:right="902"/>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 xml:space="preserve">I. DEPENDENCIAS ADMINISTRATIVAS </w:t>
      </w:r>
    </w:p>
    <w:p w:rsidR="00592CE1" w:rsidRPr="000D5F0E" w:rsidRDefault="00592CE1" w:rsidP="00592CE1">
      <w:pPr>
        <w:ind w:left="1134" w:right="902"/>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w:t>
      </w:r>
    </w:p>
    <w:p w:rsidR="00592CE1" w:rsidRPr="000D5F0E" w:rsidRDefault="00592CE1" w:rsidP="00592CE1">
      <w:pPr>
        <w:ind w:left="1134" w:right="902"/>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 xml:space="preserve"> 4. Dirección de Administración y Finanzas con funciones de Tesorería;</w:t>
      </w:r>
    </w:p>
    <w:p w:rsidR="00592CE1" w:rsidRPr="000D5F0E" w:rsidRDefault="00592CE1" w:rsidP="00592CE1">
      <w:pPr>
        <w:ind w:left="1134" w:right="902"/>
        <w:jc w:val="both"/>
        <w:rPr>
          <w:rFonts w:ascii="Palatino Linotype" w:eastAsia="Times New Roman" w:hAnsi="Palatino Linotype"/>
          <w:i/>
          <w:sz w:val="22"/>
          <w:szCs w:val="22"/>
          <w:lang w:eastAsia="es-MX"/>
        </w:rPr>
      </w:pPr>
      <w:r w:rsidRPr="000D5F0E">
        <w:rPr>
          <w:rFonts w:ascii="Palatino Linotype" w:eastAsia="Times New Roman" w:hAnsi="Palatino Linotype"/>
          <w:i/>
          <w:sz w:val="22"/>
          <w:szCs w:val="22"/>
          <w:lang w:eastAsia="es-MX"/>
        </w:rPr>
        <w:t>…</w:t>
      </w:r>
    </w:p>
    <w:p w:rsidR="00C419DE" w:rsidRPr="000D5F0E" w:rsidRDefault="00C419DE" w:rsidP="00C419DE">
      <w:pPr>
        <w:spacing w:line="360" w:lineRule="auto"/>
        <w:jc w:val="both"/>
      </w:pPr>
    </w:p>
    <w:p w:rsidR="005D0F9A" w:rsidRPr="000D5F0E" w:rsidRDefault="00C419DE" w:rsidP="00CE50AC">
      <w:pPr>
        <w:numPr>
          <w:ilvl w:val="0"/>
          <w:numId w:val="2"/>
        </w:numPr>
        <w:spacing w:line="360" w:lineRule="auto"/>
        <w:ind w:left="0" w:firstLine="0"/>
        <w:jc w:val="both"/>
        <w:rPr>
          <w:rFonts w:ascii="Palatino Linotype" w:eastAsia="Times New Roman" w:hAnsi="Palatino Linotype"/>
          <w:lang w:eastAsia="es-MX"/>
        </w:rPr>
      </w:pPr>
      <w:r w:rsidRPr="000D5F0E">
        <w:rPr>
          <w:rFonts w:ascii="Palatino Linotype" w:eastAsia="Times New Roman" w:hAnsi="Palatino Linotype"/>
          <w:lang w:eastAsia="es-MX"/>
        </w:rPr>
        <w:t xml:space="preserve">En el mismo tenor, </w:t>
      </w:r>
      <w:r w:rsidR="00CE50AC" w:rsidRPr="000D5F0E">
        <w:rPr>
          <w:rFonts w:ascii="Palatino Linotype" w:eastAsia="Times New Roman" w:hAnsi="Palatino Linotype"/>
          <w:lang w:eastAsia="es-MX"/>
        </w:rPr>
        <w:t>de conformidad con los artículos 47 y 48, del señalado Bando Municipal, la Dirección de Administración y Fianzas asumirá las funciones y atribuciones de la Tesorería, establecidas en el artículo 95 de la Ley Orgánica Municipal del Estado de México de forma enunciativa y no limitativa, y es el único órgano encargado de la recaudación de los ingresos municipales y responsable de realizar las erogaciones que lleve a cabo el Ayuntamiento.</w:t>
      </w:r>
    </w:p>
    <w:p w:rsidR="006A5F4B" w:rsidRPr="000D5F0E" w:rsidRDefault="006A5F4B" w:rsidP="006A5F4B">
      <w:pPr>
        <w:spacing w:line="360" w:lineRule="auto"/>
        <w:jc w:val="both"/>
        <w:rPr>
          <w:rFonts w:ascii="Palatino Linotype" w:eastAsia="Times New Roman" w:hAnsi="Palatino Linotype"/>
          <w:lang w:eastAsia="es-MX"/>
        </w:rPr>
      </w:pPr>
    </w:p>
    <w:p w:rsidR="00D55D03" w:rsidRPr="000D5F0E" w:rsidRDefault="00CE50AC" w:rsidP="00D55335">
      <w:pPr>
        <w:numPr>
          <w:ilvl w:val="0"/>
          <w:numId w:val="2"/>
        </w:numPr>
        <w:spacing w:line="360" w:lineRule="auto"/>
        <w:ind w:left="0" w:firstLine="0"/>
        <w:jc w:val="both"/>
        <w:rPr>
          <w:rFonts w:ascii="Palatino Linotype" w:eastAsia="Times New Roman" w:hAnsi="Palatino Linotype"/>
          <w:lang w:eastAsia="es-MX"/>
        </w:rPr>
      </w:pPr>
      <w:r w:rsidRPr="000D5F0E">
        <w:rPr>
          <w:rFonts w:ascii="Palatino Linotype" w:eastAsia="Times New Roman" w:hAnsi="Palatino Linotype"/>
          <w:lang w:eastAsia="es-MX"/>
        </w:rPr>
        <w:t xml:space="preserve">De lo anterior se desprende que el área mencionada es la encargada de poseer y administrar la información requerida en la solicitud de información, </w:t>
      </w:r>
      <w:r w:rsidR="00D55335" w:rsidRPr="000D5F0E">
        <w:rPr>
          <w:rFonts w:ascii="Palatino Linotype" w:hAnsi="Palatino Linotype"/>
          <w:lang w:eastAsia="es-MX"/>
        </w:rPr>
        <w:t xml:space="preserve">ya que por </w:t>
      </w:r>
      <w:r w:rsidR="00D55335" w:rsidRPr="000D5F0E">
        <w:rPr>
          <w:rFonts w:ascii="Palatino Linotype" w:hAnsi="Palatino Linotype"/>
          <w:lang w:eastAsia="es-MX"/>
        </w:rPr>
        <w:lastRenderedPageBreak/>
        <w:t>parte del Sujeto Obligado, es de señalar que</w:t>
      </w:r>
      <w:r w:rsidR="00D55335" w:rsidRPr="000D5F0E">
        <w:rPr>
          <w:rFonts w:ascii="Palatino Linotype" w:eastAsia="Times New Roman" w:hAnsi="Palatino Linotype"/>
          <w:lang w:eastAsia="es-MX"/>
        </w:rPr>
        <w:t xml:space="preserve"> </w:t>
      </w:r>
      <w:r w:rsidRPr="000D5F0E">
        <w:rPr>
          <w:rFonts w:ascii="Palatino Linotype" w:eastAsia="Times New Roman" w:hAnsi="Palatino Linotype"/>
          <w:lang w:eastAsia="es-MX"/>
        </w:rPr>
        <w:t xml:space="preserve">en informe justificado, a través del pronunciamiento hecho por la misma, se adjuntaron </w:t>
      </w:r>
      <w:r w:rsidR="00D55335" w:rsidRPr="000D5F0E">
        <w:rPr>
          <w:rFonts w:ascii="Palatino Linotype" w:eastAsia="Times New Roman" w:hAnsi="Palatino Linotype"/>
          <w:lang w:eastAsia="es-MX"/>
        </w:rPr>
        <w:t>13 pólizas de seguro automotriz</w:t>
      </w:r>
      <w:r w:rsidR="00D55D03" w:rsidRPr="000D5F0E">
        <w:rPr>
          <w:rFonts w:ascii="Palatino Linotype" w:hAnsi="Palatino Linotype"/>
          <w:lang w:eastAsia="es-MX"/>
        </w:rPr>
        <w:t>, es así entonces que e</w:t>
      </w:r>
      <w:r w:rsidR="00D55D03" w:rsidRPr="000D5F0E">
        <w:rPr>
          <w:rFonts w:ascii="Palatino Linotype" w:eastAsia="Times New Roman" w:hAnsi="Palatino Linotype" w:cs="Times New Roman"/>
          <w:lang w:eastAsia="es-MX"/>
        </w:rPr>
        <w:t>l Sujeto Obligado acepta tácitamente que posee y administra la información requerida, ya que de las documentales inmersas en el expediente del SAIMEX, se aprecia que remitió información acerca del requerimiento solicitado, por lo tanto se obvia el estudio de la naturaleza de la información, toda vez que está aceptando contar con ella, de hecho el estudio de la fuente obligacional que constriñe al Sujeto Obligado a contar con ella, se realiza con la finalidad de determinar si este se encuentra obligado a generarla, poseerla o administrarla, pero en los casos en que de la respuesta, acepta o bien otorga indicios de que cuenta con ella, seria ocioso delimitar las norma jurídica que determine si la dependencia, cuenta con ella o no.</w:t>
      </w:r>
    </w:p>
    <w:p w:rsidR="00D55D03" w:rsidRPr="000D5F0E" w:rsidRDefault="00D55D03" w:rsidP="00D55D03">
      <w:pPr>
        <w:spacing w:line="360" w:lineRule="auto"/>
        <w:jc w:val="both"/>
        <w:rPr>
          <w:rFonts w:ascii="Palatino Linotype" w:eastAsia="Times New Roman" w:hAnsi="Palatino Linotype"/>
          <w:lang w:eastAsia="es-MX"/>
        </w:rPr>
      </w:pPr>
    </w:p>
    <w:p w:rsidR="007039D1" w:rsidRPr="000D5F0E" w:rsidRDefault="007B44C8" w:rsidP="001C6538">
      <w:pPr>
        <w:numPr>
          <w:ilvl w:val="0"/>
          <w:numId w:val="2"/>
        </w:numPr>
        <w:spacing w:line="360" w:lineRule="auto"/>
        <w:ind w:left="0" w:firstLine="0"/>
        <w:jc w:val="both"/>
      </w:pPr>
      <w:r w:rsidRPr="000D5F0E">
        <w:rPr>
          <w:rFonts w:ascii="Palatino Linotype" w:hAnsi="Palatino Linotype"/>
        </w:rPr>
        <w:t xml:space="preserve">Ahora bien por lo que respecta </w:t>
      </w:r>
      <w:r w:rsidR="007039D1" w:rsidRPr="000D5F0E">
        <w:rPr>
          <w:rFonts w:ascii="Palatino Linotype" w:hAnsi="Palatino Linotype"/>
        </w:rPr>
        <w:t xml:space="preserve">la información proporcionada por el Sujeto Obligado en informe justificado, </w:t>
      </w:r>
      <w:r w:rsidR="006B5ACF" w:rsidRPr="000D5F0E">
        <w:rPr>
          <w:rFonts w:ascii="Palatino Linotype" w:hAnsi="Palatino Linotype"/>
        </w:rPr>
        <w:t xml:space="preserve">se encuentra el oficio en el que se hace del conocimiento que en la Sexagésima Segunda Sesión Extraordinaria del Comité de Transparencia, mediante acuerdo 02/SE/62/CT/2024 </w:t>
      </w:r>
      <w:r w:rsidR="006B5ACF" w:rsidRPr="000D5F0E">
        <w:rPr>
          <w:rFonts w:ascii="Palatino Linotype" w:hAnsi="Palatino Linotype"/>
          <w:b/>
        </w:rPr>
        <w:t>se aprobó la clasificación de información como confidencial de los datos personales concernientes a firma, marca, modelo, color, número de motor y de serie, placas de circulación del vehículo y número de póliza de seguro vehicular</w:t>
      </w:r>
      <w:r w:rsidR="006B5ACF" w:rsidRPr="000D5F0E">
        <w:rPr>
          <w:rFonts w:ascii="Palatino Linotype" w:hAnsi="Palatino Linotype"/>
        </w:rPr>
        <w:t>, así como se remiten 13 pólizas de seguro vehicular en versión pública, donde se aprecian testados los datos ya mencionados.</w:t>
      </w:r>
    </w:p>
    <w:p w:rsidR="007039D1" w:rsidRPr="000D5F0E" w:rsidRDefault="007039D1" w:rsidP="007039D1">
      <w:pPr>
        <w:spacing w:line="360" w:lineRule="auto"/>
        <w:jc w:val="both"/>
      </w:pPr>
    </w:p>
    <w:p w:rsidR="007B44C8" w:rsidRPr="000D5F0E" w:rsidRDefault="006B5ACF" w:rsidP="006B5ACF">
      <w:pPr>
        <w:numPr>
          <w:ilvl w:val="0"/>
          <w:numId w:val="2"/>
        </w:numPr>
        <w:spacing w:line="360" w:lineRule="auto"/>
        <w:ind w:left="0" w:firstLine="0"/>
        <w:jc w:val="both"/>
      </w:pPr>
      <w:r w:rsidRPr="000D5F0E">
        <w:rPr>
          <w:rFonts w:ascii="Palatino Linotype" w:hAnsi="Palatino Linotype"/>
        </w:rPr>
        <w:lastRenderedPageBreak/>
        <w:t>Es de señalar que de las pólizas de seguros</w:t>
      </w:r>
      <w:r w:rsidR="007B44C8" w:rsidRPr="000D5F0E">
        <w:rPr>
          <w:rFonts w:ascii="Palatino Linotype" w:hAnsi="Palatino Linotype"/>
        </w:rPr>
        <w:t xml:space="preserve"> de los vehículos </w:t>
      </w:r>
      <w:r w:rsidRPr="000D5F0E">
        <w:rPr>
          <w:rFonts w:ascii="Palatino Linotype" w:hAnsi="Palatino Linotype"/>
        </w:rPr>
        <w:t>referidos en la solicitud de información</w:t>
      </w:r>
      <w:r w:rsidR="007B44C8" w:rsidRPr="000D5F0E">
        <w:rPr>
          <w:rFonts w:ascii="Palatino Linotype" w:hAnsi="Palatino Linotype"/>
        </w:rPr>
        <w:t xml:space="preserve">, es necesario hacer hincapié en que </w:t>
      </w:r>
      <w:r w:rsidR="007B44C8" w:rsidRPr="000D5F0E">
        <w:rPr>
          <w:rFonts w:ascii="Palatino Linotype" w:hAnsi="Palatino Linotype" w:cs="Arial"/>
        </w:rPr>
        <w:t xml:space="preserve">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7B44C8" w:rsidRPr="000D5F0E" w:rsidRDefault="007B44C8" w:rsidP="007B44C8">
      <w:pPr>
        <w:ind w:left="851" w:right="899"/>
        <w:jc w:val="both"/>
        <w:rPr>
          <w:rFonts w:ascii="Palatino Linotype" w:hAnsi="Palatino Linotype" w:cs="Arial"/>
          <w:i/>
        </w:rPr>
      </w:pPr>
    </w:p>
    <w:p w:rsidR="007B44C8" w:rsidRPr="000D5F0E" w:rsidRDefault="007B44C8" w:rsidP="0027258E">
      <w:pPr>
        <w:ind w:left="1134" w:right="899"/>
        <w:jc w:val="both"/>
        <w:rPr>
          <w:rFonts w:ascii="Palatino Linotype" w:hAnsi="Palatino Linotype" w:cs="Arial"/>
          <w:i/>
          <w:sz w:val="22"/>
          <w:szCs w:val="22"/>
        </w:rPr>
      </w:pPr>
      <w:r w:rsidRPr="000D5F0E">
        <w:rPr>
          <w:rFonts w:ascii="Palatino Linotype" w:hAnsi="Palatino Linotype" w:cs="Arial"/>
          <w:i/>
          <w:sz w:val="22"/>
          <w:szCs w:val="22"/>
        </w:rPr>
        <w:t>“</w:t>
      </w:r>
      <w:r w:rsidRPr="000D5F0E">
        <w:rPr>
          <w:rFonts w:ascii="Palatino Linotype" w:hAnsi="Palatino Linotype" w:cs="Arial"/>
          <w:b/>
          <w:i/>
          <w:sz w:val="22"/>
          <w:szCs w:val="22"/>
        </w:rPr>
        <w:t xml:space="preserve">Artículo 3. </w:t>
      </w:r>
      <w:r w:rsidRPr="000D5F0E">
        <w:rPr>
          <w:rFonts w:ascii="Palatino Linotype" w:hAnsi="Palatino Linotype" w:cs="Arial"/>
          <w:i/>
          <w:sz w:val="22"/>
          <w:szCs w:val="22"/>
        </w:rPr>
        <w:t>Para los efectos de la presente Ley se entenderá por:</w:t>
      </w:r>
    </w:p>
    <w:p w:rsidR="007B44C8" w:rsidRPr="000D5F0E" w:rsidRDefault="007B44C8" w:rsidP="0027258E">
      <w:pPr>
        <w:ind w:left="1134" w:right="899"/>
        <w:jc w:val="both"/>
        <w:rPr>
          <w:rFonts w:ascii="Palatino Linotype" w:hAnsi="Palatino Linotype" w:cs="Arial"/>
          <w:i/>
          <w:sz w:val="22"/>
          <w:szCs w:val="22"/>
        </w:rPr>
      </w:pPr>
      <w:r w:rsidRPr="000D5F0E">
        <w:rPr>
          <w:rFonts w:ascii="Palatino Linotype" w:hAnsi="Palatino Linotype" w:cs="Arial"/>
          <w:i/>
          <w:sz w:val="22"/>
          <w:szCs w:val="22"/>
        </w:rPr>
        <w:t>…</w:t>
      </w:r>
    </w:p>
    <w:p w:rsidR="007B44C8" w:rsidRPr="000D5F0E" w:rsidRDefault="007B44C8" w:rsidP="0027258E">
      <w:pPr>
        <w:ind w:left="1134" w:right="899"/>
        <w:jc w:val="both"/>
        <w:rPr>
          <w:rFonts w:ascii="Palatino Linotype" w:hAnsi="Palatino Linotype" w:cs="Arial"/>
          <w:i/>
          <w:color w:val="000000"/>
          <w:sz w:val="22"/>
          <w:szCs w:val="22"/>
        </w:rPr>
      </w:pPr>
      <w:r w:rsidRPr="000D5F0E">
        <w:rPr>
          <w:rFonts w:ascii="Palatino Linotype" w:hAnsi="Palatino Linotype" w:cs="Arial"/>
          <w:b/>
          <w:i/>
          <w:color w:val="000000"/>
          <w:sz w:val="22"/>
          <w:szCs w:val="22"/>
        </w:rPr>
        <w:t>XI. Documento:</w:t>
      </w:r>
      <w:r w:rsidRPr="000D5F0E">
        <w:rPr>
          <w:rFonts w:ascii="Palatino Linotype" w:hAnsi="Palatino Linotype" w:cs="Arial"/>
          <w:i/>
          <w:color w:val="000000"/>
          <w:sz w:val="22"/>
          <w:szCs w:val="22"/>
        </w:rPr>
        <w:t xml:space="preserve"> Los expedientes, reportes, estudios, actas</w:t>
      </w:r>
      <w:r w:rsidRPr="000D5F0E">
        <w:rPr>
          <w:rFonts w:ascii="Palatino Linotype" w:hAnsi="Palatino Linotype" w:cs="Arial"/>
          <w:b/>
          <w:i/>
          <w:color w:val="000000"/>
          <w:sz w:val="22"/>
          <w:szCs w:val="22"/>
        </w:rPr>
        <w:t>,</w:t>
      </w:r>
      <w:r w:rsidRPr="000D5F0E">
        <w:rPr>
          <w:rFonts w:ascii="Palatino Linotype" w:hAnsi="Palatino Linotype" w:cs="Arial"/>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rsidR="007B44C8" w:rsidRPr="000D5F0E" w:rsidRDefault="007B44C8" w:rsidP="007B44C8">
      <w:pPr>
        <w:spacing w:line="360" w:lineRule="auto"/>
        <w:ind w:right="-93"/>
        <w:jc w:val="both"/>
        <w:rPr>
          <w:rFonts w:ascii="Palatino Linotype" w:hAnsi="Palatino Linotype" w:cs="Arial"/>
        </w:rPr>
      </w:pPr>
    </w:p>
    <w:p w:rsidR="007B44C8" w:rsidRPr="000D5F0E" w:rsidRDefault="006B5ACF" w:rsidP="006B5ACF">
      <w:pPr>
        <w:numPr>
          <w:ilvl w:val="0"/>
          <w:numId w:val="2"/>
        </w:numPr>
        <w:spacing w:line="360" w:lineRule="auto"/>
        <w:ind w:left="0" w:firstLine="0"/>
        <w:jc w:val="both"/>
        <w:rPr>
          <w:rFonts w:ascii="Palatino Linotype" w:eastAsia="Times New Roman" w:hAnsi="Palatino Linotype"/>
          <w:lang w:eastAsia="es-MX"/>
        </w:rPr>
      </w:pPr>
      <w:r w:rsidRPr="000D5F0E">
        <w:rPr>
          <w:rFonts w:ascii="Palatino Linotype" w:eastAsia="Times New Roman" w:hAnsi="Palatino Linotype"/>
          <w:lang w:eastAsia="es-MX"/>
        </w:rPr>
        <w:t>Por otra parte, si bien el Sujeto Obligado entregó 13 pólizas de seguro vehicular en una versión pública con la que se pretende colmar el derecho de acceso a la información representado en la solicitud de información respectiva, es de analizar dicha versión pública, a fin de determinar si contempla las formalidades establecidas en la norma</w:t>
      </w:r>
      <w:r w:rsidR="00D022CA" w:rsidRPr="000D5F0E">
        <w:rPr>
          <w:rFonts w:ascii="Palatino Linotype" w:eastAsia="Times New Roman" w:hAnsi="Palatino Linotype"/>
          <w:lang w:eastAsia="es-MX"/>
        </w:rPr>
        <w:t xml:space="preserve">, recordando que el Comité de Transparencia del Sujeto </w:t>
      </w:r>
      <w:r w:rsidR="00D022CA" w:rsidRPr="000D5F0E">
        <w:rPr>
          <w:rFonts w:ascii="Palatino Linotype" w:eastAsia="Times New Roman" w:hAnsi="Palatino Linotype"/>
          <w:lang w:eastAsia="es-MX"/>
        </w:rPr>
        <w:lastRenderedPageBreak/>
        <w:t xml:space="preserve">Obligado determinó suprimir los datos relativos a </w:t>
      </w:r>
      <w:r w:rsidR="00D022CA" w:rsidRPr="000D5F0E">
        <w:rPr>
          <w:rFonts w:ascii="Palatino Linotype" w:hAnsi="Palatino Linotype"/>
          <w:b/>
        </w:rPr>
        <w:t>firma, marca, modelo, color, número de motor y de serie, placas de circulación del vehículo y número de póliza de seguro vehicular</w:t>
      </w:r>
      <w:r w:rsidR="00D022CA" w:rsidRPr="000D5F0E">
        <w:rPr>
          <w:rFonts w:ascii="Palatino Linotype" w:hAnsi="Palatino Linotype"/>
        </w:rPr>
        <w:t>.</w:t>
      </w:r>
    </w:p>
    <w:p w:rsidR="00D022CA" w:rsidRPr="000D5F0E" w:rsidRDefault="00D022CA" w:rsidP="00D022CA">
      <w:pPr>
        <w:spacing w:line="360" w:lineRule="auto"/>
        <w:jc w:val="both"/>
        <w:rPr>
          <w:rFonts w:ascii="Palatino Linotype" w:eastAsia="Times New Roman" w:hAnsi="Palatino Linotype"/>
          <w:lang w:eastAsia="es-MX"/>
        </w:rPr>
      </w:pPr>
    </w:p>
    <w:p w:rsidR="007B44C8" w:rsidRPr="000D5F0E" w:rsidRDefault="00D022CA" w:rsidP="00D022CA">
      <w:pPr>
        <w:numPr>
          <w:ilvl w:val="0"/>
          <w:numId w:val="2"/>
        </w:numPr>
        <w:spacing w:line="360" w:lineRule="auto"/>
        <w:ind w:left="0" w:firstLine="0"/>
        <w:jc w:val="both"/>
        <w:rPr>
          <w:rFonts w:ascii="Palatino Linotype" w:eastAsia="Times New Roman" w:hAnsi="Palatino Linotype"/>
          <w:lang w:eastAsia="es-MX"/>
        </w:rPr>
      </w:pPr>
      <w:r w:rsidRPr="000D5F0E">
        <w:rPr>
          <w:rFonts w:ascii="Palatino Linotype" w:hAnsi="Palatino Linotype"/>
          <w:color w:val="000000" w:themeColor="text1"/>
        </w:rPr>
        <w:t xml:space="preserve">El </w:t>
      </w:r>
      <w:r w:rsidR="007B44C8" w:rsidRPr="000D5F0E">
        <w:rPr>
          <w:rFonts w:ascii="Palatino Linotype" w:hAnsi="Palatino Linotype"/>
          <w:color w:val="000000" w:themeColor="text1"/>
        </w:rPr>
        <w:t xml:space="preserve">artículo 122 de la Ley de Transparencia y Acceso a la Información Pública del Estado de México y Municipios, establece que la </w:t>
      </w:r>
      <w:r w:rsidR="007B44C8" w:rsidRPr="000D5F0E">
        <w:rPr>
          <w:rFonts w:ascii="Palatino Linotype" w:hAnsi="Palatino Linotype"/>
          <w:b/>
          <w:color w:val="000000" w:themeColor="text1"/>
        </w:rPr>
        <w:t>clasificación</w:t>
      </w:r>
      <w:r w:rsidR="007B44C8" w:rsidRPr="000D5F0E">
        <w:rPr>
          <w:rFonts w:ascii="Palatino Linotype" w:hAnsi="Palatino Linotype"/>
          <w:color w:val="000000" w:themeColor="text1"/>
        </w:rPr>
        <w:t xml:space="preserve"> es el proceso mediante el cual el </w:t>
      </w:r>
      <w:r w:rsidR="007B44C8" w:rsidRPr="000D5F0E">
        <w:rPr>
          <w:rFonts w:ascii="Palatino Linotype" w:hAnsi="Palatino Linotype"/>
          <w:b/>
          <w:color w:val="000000" w:themeColor="text1"/>
        </w:rPr>
        <w:t>SUJETO OBLIGADO</w:t>
      </w:r>
      <w:r w:rsidR="007B44C8" w:rsidRPr="000D5F0E">
        <w:rPr>
          <w:rFonts w:ascii="Palatino Linotype" w:hAnsi="Palatino Linotype"/>
          <w:color w:val="000000" w:themeColor="text1"/>
        </w:rPr>
        <w:t xml:space="preserve"> determina que la información en su poder actualiza alguno de los supuestos de </w:t>
      </w:r>
      <w:r w:rsidR="007B44C8" w:rsidRPr="000D5F0E">
        <w:rPr>
          <w:rFonts w:ascii="Palatino Linotype" w:hAnsi="Palatino Linotype"/>
          <w:b/>
          <w:color w:val="000000" w:themeColor="text1"/>
        </w:rPr>
        <w:t>reserva</w:t>
      </w:r>
      <w:r w:rsidR="007B44C8" w:rsidRPr="000D5F0E">
        <w:rPr>
          <w:rFonts w:ascii="Palatino Linotype" w:hAnsi="Palatino Linotype"/>
          <w:color w:val="000000" w:themeColor="text1"/>
        </w:rPr>
        <w:t xml:space="preserve"> o </w:t>
      </w:r>
      <w:r w:rsidR="007B44C8" w:rsidRPr="000D5F0E">
        <w:rPr>
          <w:rFonts w:ascii="Palatino Linotype" w:hAnsi="Palatino Linotype"/>
          <w:b/>
          <w:color w:val="000000" w:themeColor="text1"/>
        </w:rPr>
        <w:t>confidencialidad</w:t>
      </w:r>
      <w:r w:rsidR="007B44C8" w:rsidRPr="000D5F0E">
        <w:rPr>
          <w:rFonts w:ascii="Palatino Linotype" w:hAnsi="Palatino Linotype"/>
          <w:color w:val="000000" w:themeColor="text1"/>
        </w:rPr>
        <w:t xml:space="preserve"> contenidos en los artículos 140 o 143 de la Ley de mérito.</w:t>
      </w:r>
    </w:p>
    <w:p w:rsidR="00D022CA" w:rsidRPr="000D5F0E" w:rsidRDefault="00D022CA" w:rsidP="00D022CA">
      <w:pPr>
        <w:spacing w:line="360" w:lineRule="auto"/>
        <w:jc w:val="both"/>
        <w:rPr>
          <w:rFonts w:ascii="Palatino Linotype" w:eastAsia="Times New Roman" w:hAnsi="Palatino Linotype"/>
          <w:lang w:eastAsia="es-MX"/>
        </w:rPr>
      </w:pPr>
    </w:p>
    <w:p w:rsidR="007B44C8" w:rsidRPr="000D5F0E" w:rsidRDefault="007B44C8" w:rsidP="00D022CA">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Aunado a lo anterior, la Ley de la materia</w:t>
      </w:r>
      <w:r w:rsidR="00530142" w:rsidRPr="000D5F0E">
        <w:rPr>
          <w:rFonts w:ascii="Palatino Linotype" w:hAnsi="Palatino Linotype"/>
          <w:color w:val="000000" w:themeColor="text1"/>
        </w:rPr>
        <w:t xml:space="preserve"> en su artículo 132</w:t>
      </w:r>
      <w:r w:rsidRPr="000D5F0E">
        <w:rPr>
          <w:rFonts w:ascii="Palatino Linotype" w:hAnsi="Palatino Linotype"/>
          <w:color w:val="000000" w:themeColor="text1"/>
        </w:rPr>
        <w:t xml:space="preserve"> establece que la clasificación de la información se llevará a cabo en el momento en que:</w:t>
      </w:r>
    </w:p>
    <w:p w:rsidR="007B44C8" w:rsidRPr="000D5F0E" w:rsidRDefault="007B44C8" w:rsidP="00530142">
      <w:pPr>
        <w:pStyle w:val="Prrafodelista"/>
        <w:numPr>
          <w:ilvl w:val="1"/>
          <w:numId w:val="31"/>
        </w:numPr>
        <w:tabs>
          <w:tab w:val="left" w:pos="426"/>
        </w:tabs>
        <w:ind w:left="1134" w:right="51" w:hanging="357"/>
        <w:jc w:val="both"/>
        <w:rPr>
          <w:rFonts w:ascii="Palatino Linotype" w:hAnsi="Palatino Linotype"/>
          <w:color w:val="000000" w:themeColor="text1"/>
        </w:rPr>
      </w:pPr>
      <w:r w:rsidRPr="000D5F0E">
        <w:rPr>
          <w:rFonts w:ascii="Palatino Linotype" w:hAnsi="Palatino Linotype"/>
          <w:color w:val="000000" w:themeColor="text1"/>
        </w:rPr>
        <w:t xml:space="preserve">Se reciba una solicitud de acceso a la información; </w:t>
      </w:r>
    </w:p>
    <w:p w:rsidR="007B44C8" w:rsidRPr="000D5F0E" w:rsidRDefault="007B44C8" w:rsidP="00530142">
      <w:pPr>
        <w:pStyle w:val="Prrafodelista"/>
        <w:numPr>
          <w:ilvl w:val="1"/>
          <w:numId w:val="31"/>
        </w:numPr>
        <w:tabs>
          <w:tab w:val="left" w:pos="426"/>
        </w:tabs>
        <w:ind w:left="1134" w:right="51" w:hanging="357"/>
        <w:jc w:val="both"/>
        <w:rPr>
          <w:rFonts w:ascii="Palatino Linotype" w:hAnsi="Palatino Linotype"/>
          <w:color w:val="000000" w:themeColor="text1"/>
        </w:rPr>
      </w:pPr>
      <w:r w:rsidRPr="000D5F0E">
        <w:rPr>
          <w:rFonts w:ascii="Palatino Linotype" w:hAnsi="Palatino Linotype"/>
          <w:color w:val="000000" w:themeColor="text1"/>
        </w:rPr>
        <w:t xml:space="preserve">Se determine mediante resolución de autoridad competente; o </w:t>
      </w:r>
    </w:p>
    <w:p w:rsidR="0027258E" w:rsidRPr="000D5F0E" w:rsidRDefault="007B44C8" w:rsidP="0027258E">
      <w:pPr>
        <w:pStyle w:val="Prrafodelista"/>
        <w:numPr>
          <w:ilvl w:val="1"/>
          <w:numId w:val="31"/>
        </w:numPr>
        <w:tabs>
          <w:tab w:val="left" w:pos="426"/>
        </w:tabs>
        <w:ind w:left="1134" w:right="51" w:hanging="357"/>
        <w:jc w:val="both"/>
        <w:rPr>
          <w:rFonts w:ascii="Palatino Linotype" w:hAnsi="Palatino Linotype"/>
          <w:color w:val="000000" w:themeColor="text1"/>
        </w:rPr>
      </w:pPr>
      <w:r w:rsidRPr="000D5F0E">
        <w:rPr>
          <w:rFonts w:ascii="Palatino Linotype" w:hAnsi="Palatino Linotype"/>
          <w:color w:val="000000" w:themeColor="text1"/>
        </w:rPr>
        <w:t>Se generen versiones públicas para dar cumplimiento a las obligaciones de transparencia previstas en esta Ley.</w:t>
      </w:r>
    </w:p>
    <w:p w:rsidR="0027258E" w:rsidRPr="000D5F0E" w:rsidRDefault="0027258E" w:rsidP="0027258E">
      <w:pPr>
        <w:pStyle w:val="Prrafodelista"/>
        <w:tabs>
          <w:tab w:val="left" w:pos="426"/>
        </w:tabs>
        <w:ind w:left="1134" w:right="51"/>
        <w:jc w:val="both"/>
        <w:rPr>
          <w:rFonts w:ascii="Palatino Linotype" w:hAnsi="Palatino Linotype"/>
          <w:color w:val="000000" w:themeColor="text1"/>
        </w:rPr>
      </w:pPr>
    </w:p>
    <w:p w:rsidR="0027258E" w:rsidRPr="000D5F0E" w:rsidRDefault="0027258E" w:rsidP="0027258E">
      <w:pPr>
        <w:pStyle w:val="Prrafodelista"/>
        <w:tabs>
          <w:tab w:val="left" w:pos="426"/>
        </w:tabs>
        <w:ind w:left="1134" w:right="51"/>
        <w:jc w:val="both"/>
        <w:rPr>
          <w:rFonts w:ascii="Palatino Linotype" w:hAnsi="Palatino Linotype"/>
          <w:color w:val="000000" w:themeColor="text1"/>
        </w:rPr>
      </w:pPr>
    </w:p>
    <w:p w:rsidR="007B44C8" w:rsidRPr="000D5F0E" w:rsidRDefault="007B44C8" w:rsidP="00530142">
      <w:pPr>
        <w:numPr>
          <w:ilvl w:val="0"/>
          <w:numId w:val="2"/>
        </w:numPr>
        <w:spacing w:line="360" w:lineRule="auto"/>
        <w:ind w:left="0" w:firstLine="0"/>
        <w:jc w:val="both"/>
        <w:rPr>
          <w:rFonts w:ascii="Palatino Linotype" w:hAnsi="Palatino Linotype" w:cs="Tahoma"/>
          <w:bCs/>
          <w:iCs/>
        </w:rPr>
      </w:pPr>
      <w:r w:rsidRPr="000D5F0E">
        <w:rPr>
          <w:rFonts w:ascii="Palatino Linotype" w:hAnsi="Palatino Linotype"/>
          <w:color w:val="000000" w:themeColor="text1"/>
        </w:rPr>
        <w:t xml:space="preserve">Por su parte, el tercer párrafo del artículo 122 de la Ley de mérito establece que </w:t>
      </w:r>
      <w:r w:rsidRPr="000D5F0E">
        <w:rPr>
          <w:rFonts w:ascii="Palatino Linotype" w:hAnsi="Palatino Linotype"/>
          <w:b/>
          <w:color w:val="000000" w:themeColor="text1"/>
        </w:rPr>
        <w:t>los titulares de las áreas de los sujetos obligados serán los responsables de clasificar la información</w:t>
      </w:r>
      <w:r w:rsidRPr="000D5F0E">
        <w:rPr>
          <w:rFonts w:ascii="Palatino Linotype" w:hAnsi="Palatino Linotype"/>
          <w:color w:val="000000" w:themeColor="text1"/>
        </w:rPr>
        <w:t>.</w:t>
      </w:r>
    </w:p>
    <w:p w:rsidR="00530142" w:rsidRPr="000D5F0E" w:rsidRDefault="00530142" w:rsidP="00530142">
      <w:pPr>
        <w:spacing w:line="360" w:lineRule="auto"/>
        <w:jc w:val="both"/>
        <w:rPr>
          <w:rFonts w:ascii="Palatino Linotype" w:hAnsi="Palatino Linotype" w:cs="Tahoma"/>
          <w:bCs/>
          <w:iCs/>
        </w:rPr>
      </w:pPr>
    </w:p>
    <w:p w:rsidR="007B44C8" w:rsidRPr="000D5F0E" w:rsidRDefault="007B44C8" w:rsidP="0027258E">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s="Tahoma"/>
          <w:bCs/>
          <w:iCs/>
        </w:rPr>
        <w:t xml:space="preserve">En </w:t>
      </w:r>
      <w:r w:rsidRPr="000D5F0E">
        <w:rPr>
          <w:rFonts w:ascii="Palatino Linotype" w:hAnsi="Palatino Linotype"/>
          <w:color w:val="000000" w:themeColor="text1"/>
        </w:rPr>
        <w:t xml:space="preserve">ese tenor, conviene señalar que </w:t>
      </w:r>
      <w:r w:rsidRPr="000D5F0E">
        <w:rPr>
          <w:rFonts w:ascii="Palatino Linotype" w:hAnsi="Palatino Linotype"/>
          <w:b/>
          <w:color w:val="000000" w:themeColor="text1"/>
        </w:rPr>
        <w:t>en los casos en que se niegue el acceso a la información, por actualizarse alguno de los supuestos de clasificación</w:t>
      </w:r>
      <w:r w:rsidRPr="000D5F0E">
        <w:rPr>
          <w:rFonts w:ascii="Palatino Linotype" w:hAnsi="Palatino Linotype"/>
          <w:color w:val="000000" w:themeColor="text1"/>
        </w:rPr>
        <w:t xml:space="preserve">, </w:t>
      </w:r>
      <w:r w:rsidRPr="000D5F0E">
        <w:rPr>
          <w:rFonts w:ascii="Palatino Linotype" w:hAnsi="Palatino Linotype"/>
          <w:b/>
          <w:color w:val="000000" w:themeColor="text1"/>
        </w:rPr>
        <w:t>el Comité de Transparencia deberá confirmar, modificar o revocar la decisión</w:t>
      </w:r>
      <w:r w:rsidRPr="000D5F0E">
        <w:rPr>
          <w:rFonts w:ascii="Palatino Linotype" w:hAnsi="Palatino Linotype"/>
          <w:color w:val="000000" w:themeColor="text1"/>
        </w:rPr>
        <w:t xml:space="preserve">; y, para motivar la clasificación de la información y la ampliación del plazo de reserva, </w:t>
      </w:r>
      <w:r w:rsidRPr="000D5F0E">
        <w:rPr>
          <w:rFonts w:ascii="Palatino Linotype" w:hAnsi="Palatino Linotype"/>
          <w:color w:val="000000" w:themeColor="text1"/>
        </w:rPr>
        <w:lastRenderedPageBreak/>
        <w:t xml:space="preserve">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sidRPr="000D5F0E">
        <w:rPr>
          <w:rFonts w:ascii="Palatino Linotype" w:hAnsi="Palatino Linotype"/>
          <w:b/>
          <w:color w:val="000000" w:themeColor="text1"/>
        </w:rPr>
        <w:t>prueba de daño</w:t>
      </w:r>
      <w:r w:rsidRPr="000D5F0E">
        <w:rPr>
          <w:rStyle w:val="Refdenotaalpie"/>
          <w:rFonts w:ascii="Palatino Linotype" w:hAnsi="Palatino Linotype"/>
          <w:b/>
          <w:color w:val="000000" w:themeColor="text1"/>
        </w:rPr>
        <w:footnoteReference w:id="1"/>
      </w:r>
      <w:r w:rsidRPr="000D5F0E">
        <w:rPr>
          <w:rFonts w:ascii="Palatino Linotype" w:hAnsi="Palatino Linotype"/>
          <w:color w:val="000000" w:themeColor="text1"/>
        </w:rPr>
        <w:t>.</w:t>
      </w:r>
    </w:p>
    <w:p w:rsidR="0027258E" w:rsidRPr="000D5F0E" w:rsidRDefault="0027258E" w:rsidP="0027258E">
      <w:pPr>
        <w:spacing w:line="360" w:lineRule="auto"/>
        <w:jc w:val="both"/>
        <w:rPr>
          <w:rFonts w:ascii="Palatino Linotype" w:hAnsi="Palatino Linotype"/>
          <w:color w:val="000000" w:themeColor="text1"/>
        </w:rPr>
      </w:pPr>
    </w:p>
    <w:p w:rsidR="007B44C8" w:rsidRPr="000D5F0E" w:rsidRDefault="007B44C8" w:rsidP="0027258E">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Cabe destacar que, en la aplicación de la prueba de daño, el </w:t>
      </w:r>
      <w:r w:rsidRPr="000D5F0E">
        <w:rPr>
          <w:rFonts w:ascii="Palatino Linotype" w:hAnsi="Palatino Linotype"/>
          <w:b/>
          <w:bCs/>
          <w:color w:val="000000" w:themeColor="text1"/>
        </w:rPr>
        <w:t>SUJETO OBLIGADO</w:t>
      </w:r>
      <w:r w:rsidRPr="000D5F0E">
        <w:rPr>
          <w:rFonts w:ascii="Palatino Linotype" w:hAnsi="Palatino Linotype"/>
          <w:color w:val="000000" w:themeColor="text1"/>
        </w:rPr>
        <w:t xml:space="preserve"> deberá precisar las razones objetivas por las que la apertura de la información generaría una afectación, justificando que</w:t>
      </w:r>
      <w:r w:rsidRPr="000D5F0E">
        <w:rPr>
          <w:rStyle w:val="Refdenotaalpie"/>
          <w:rFonts w:ascii="Palatino Linotype" w:hAnsi="Palatino Linotype"/>
          <w:color w:val="000000" w:themeColor="text1"/>
        </w:rPr>
        <w:footnoteReference w:id="2"/>
      </w:r>
      <w:r w:rsidRPr="000D5F0E">
        <w:rPr>
          <w:rFonts w:ascii="Palatino Linotype" w:hAnsi="Palatino Linotype"/>
          <w:color w:val="000000" w:themeColor="text1"/>
        </w:rPr>
        <w:t>:</w:t>
      </w:r>
    </w:p>
    <w:p w:rsidR="007B44C8" w:rsidRPr="000D5F0E" w:rsidRDefault="007B44C8" w:rsidP="0027258E">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0D5F0E">
        <w:rPr>
          <w:rFonts w:ascii="Palatino Linotype" w:hAnsi="Palatino Linotype"/>
          <w:color w:val="000000" w:themeColor="text1"/>
        </w:rPr>
        <w:t xml:space="preserve">La divulgación de la información representa un riesgo real, demostrable e identificable del perjuicio significativo al interés público o a la seguridad pública; </w:t>
      </w:r>
    </w:p>
    <w:p w:rsidR="007B44C8" w:rsidRPr="000D5F0E" w:rsidRDefault="007B44C8" w:rsidP="0027258E">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0D5F0E">
        <w:rPr>
          <w:rFonts w:ascii="Palatino Linotype" w:hAnsi="Palatino Linotype"/>
          <w:color w:val="000000" w:themeColor="text1"/>
        </w:rPr>
        <w:t xml:space="preserve">El riesgo de perjuicio que supondría la divulgación supera el interés público general de que se difunda; y </w:t>
      </w:r>
    </w:p>
    <w:p w:rsidR="007B44C8" w:rsidRPr="000D5F0E" w:rsidRDefault="007B44C8" w:rsidP="0027258E">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0D5F0E">
        <w:rPr>
          <w:rFonts w:ascii="Palatino Linotype" w:hAnsi="Palatino Linotype"/>
          <w:color w:val="000000" w:themeColor="text1"/>
        </w:rPr>
        <w:t>La limitación se adecua al principio de proporcionalidad y representa el medio menos restrictivo disponible representa el medio menos restrictivo disponible para evitar el perjuicio.</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C30A87">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Por su parte</w:t>
      </w:r>
      <w:r w:rsidRPr="000D5F0E">
        <w:rPr>
          <w:rFonts w:ascii="Palatino Linotype" w:eastAsia="MS Mincho" w:hAnsi="Palatino Linotype"/>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sidRPr="000D5F0E">
        <w:rPr>
          <w:rFonts w:ascii="Palatino Linotype" w:eastAsia="MS Mincho" w:hAnsi="Palatino Linotype"/>
          <w:b/>
        </w:rPr>
        <w:t>tiempo</w:t>
      </w:r>
      <w:r w:rsidRPr="000D5F0E">
        <w:rPr>
          <w:rFonts w:ascii="Palatino Linotype" w:eastAsia="MS Mincho" w:hAnsi="Palatino Linotype"/>
        </w:rPr>
        <w:t xml:space="preserve">, </w:t>
      </w:r>
      <w:r w:rsidRPr="000D5F0E">
        <w:rPr>
          <w:rFonts w:ascii="Palatino Linotype" w:eastAsia="MS Mincho" w:hAnsi="Palatino Linotype"/>
          <w:b/>
        </w:rPr>
        <w:t>modo</w:t>
      </w:r>
      <w:r w:rsidRPr="000D5F0E">
        <w:rPr>
          <w:rFonts w:ascii="Palatino Linotype" w:eastAsia="MS Mincho" w:hAnsi="Palatino Linotype"/>
        </w:rPr>
        <w:t xml:space="preserve"> y </w:t>
      </w:r>
      <w:r w:rsidRPr="000D5F0E">
        <w:rPr>
          <w:rFonts w:ascii="Palatino Linotype" w:eastAsia="MS Mincho" w:hAnsi="Palatino Linotype"/>
          <w:b/>
        </w:rPr>
        <w:t>lugar</w:t>
      </w:r>
      <w:r w:rsidRPr="000D5F0E">
        <w:rPr>
          <w:rFonts w:ascii="Palatino Linotype" w:eastAsia="MS Mincho" w:hAnsi="Palatino Linotype"/>
        </w:rPr>
        <w:t>.</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C30A87">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Consecuencia 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Información Pública del Estado de México y Municipios, como información clasificada</w:t>
      </w:r>
      <w:r w:rsidRPr="000D5F0E">
        <w:rPr>
          <w:rStyle w:val="Refdenotaalpie"/>
          <w:rFonts w:ascii="Palatino Linotype" w:hAnsi="Palatino Linotype"/>
          <w:color w:val="000000" w:themeColor="text1"/>
        </w:rPr>
        <w:footnoteReference w:id="3"/>
      </w:r>
      <w:r w:rsidRPr="000D5F0E">
        <w:rPr>
          <w:rFonts w:ascii="Palatino Linotype" w:hAnsi="Palatino Linotype"/>
          <w:color w:val="000000" w:themeColor="text1"/>
        </w:rPr>
        <w:t>.</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C30A87">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Al respecto, las </w:t>
      </w:r>
      <w:r w:rsidRPr="000D5F0E">
        <w:rPr>
          <w:rFonts w:ascii="Palatino Linotype" w:eastAsia="MS Mincho" w:hAnsi="Palatino Linotype"/>
        </w:rPr>
        <w:t>disposiciones constitucionales y legales en la materia establecen los dos supuestos generales para clasificar la información: por reserva y por confidencialidad.</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C30A87">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Por 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sidRPr="000D5F0E">
        <w:rPr>
          <w:rFonts w:ascii="Palatino Linotype" w:hAnsi="Palatino Linotype"/>
          <w:b/>
          <w:color w:val="000000" w:themeColor="text1"/>
        </w:rPr>
        <w:t>reservada</w:t>
      </w:r>
      <w:r w:rsidRPr="000D5F0E">
        <w:rPr>
          <w:rFonts w:ascii="Palatino Linotype" w:hAnsi="Palatino Linotype"/>
          <w:color w:val="000000" w:themeColor="text1"/>
        </w:rPr>
        <w:t>, conforme a los criterios siguientes:</w:t>
      </w:r>
    </w:p>
    <w:p w:rsidR="007B44C8" w:rsidRPr="000D5F0E" w:rsidRDefault="007B44C8" w:rsidP="00C30A87">
      <w:pPr>
        <w:pStyle w:val="Prrafodelista"/>
        <w:tabs>
          <w:tab w:val="left" w:pos="426"/>
        </w:tabs>
        <w:ind w:left="0" w:right="51"/>
        <w:jc w:val="both"/>
        <w:rPr>
          <w:rFonts w:ascii="Palatino Linotype" w:hAnsi="Palatino Linotype"/>
          <w:color w:val="000000" w:themeColor="text1"/>
        </w:rPr>
      </w:pP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i/>
          <w:sz w:val="22"/>
        </w:rPr>
        <w:t>“</w:t>
      </w:r>
      <w:r w:rsidRPr="000D5F0E">
        <w:rPr>
          <w:rFonts w:ascii="Palatino Linotype" w:hAnsi="Palatino Linotype"/>
          <w:b/>
          <w:i/>
          <w:sz w:val="22"/>
        </w:rPr>
        <w:t>I.</w:t>
      </w:r>
      <w:r w:rsidRPr="000D5F0E">
        <w:rPr>
          <w:rFonts w:ascii="Palatino Linotype" w:hAnsi="Palatino Linotype"/>
          <w:i/>
          <w:sz w:val="22"/>
        </w:rPr>
        <w:t xml:space="preserve"> Comprometa la seguridad pública y cuente con un propósito genuino y un efecto demostrable;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lastRenderedPageBreak/>
        <w:t>II.</w:t>
      </w:r>
      <w:r w:rsidRPr="000D5F0E">
        <w:rPr>
          <w:rFonts w:ascii="Palatino Linotype" w:hAnsi="Palatino Linotype"/>
          <w:i/>
          <w:sz w:val="22"/>
        </w:rPr>
        <w:t xml:space="preserve"> Pueda menoscabar la conducción de las negociaciones y relaciones internacionales;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III.</w:t>
      </w:r>
      <w:r w:rsidRPr="000D5F0E">
        <w:rPr>
          <w:rFonts w:ascii="Palatino Linotype" w:hAnsi="Palatino Linotype"/>
          <w:i/>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IV.</w:t>
      </w:r>
      <w:r w:rsidRPr="000D5F0E">
        <w:rPr>
          <w:rFonts w:ascii="Palatino Linotype" w:hAnsi="Palatino Linotype"/>
          <w:i/>
          <w:sz w:val="22"/>
        </w:rPr>
        <w:t xml:space="preserve"> Ponga en riesgo la vida, la seguridad o la salud de una persona física;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V.</w:t>
      </w:r>
      <w:r w:rsidRPr="000D5F0E">
        <w:rPr>
          <w:rFonts w:ascii="Palatino Linotype" w:hAnsi="Palatino Linotype"/>
          <w:i/>
          <w:sz w:val="22"/>
        </w:rPr>
        <w:t xml:space="preserve"> Aquella cuya divulgación obstruya o pueda causar un serio perjuicio a: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1.</w:t>
      </w:r>
      <w:r w:rsidRPr="000D5F0E">
        <w:rPr>
          <w:rFonts w:ascii="Palatino Linotype" w:hAnsi="Palatino Linotype"/>
          <w:i/>
          <w:sz w:val="22"/>
        </w:rPr>
        <w:t xml:space="preserve"> Las actividades de fiscalización, verificación, inspección, comprobación y auditoría sobre el cumplimiento de las Leyes; o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2.</w:t>
      </w:r>
      <w:r w:rsidRPr="000D5F0E">
        <w:rPr>
          <w:rFonts w:ascii="Palatino Linotype" w:hAnsi="Palatino Linotype"/>
          <w:i/>
          <w:sz w:val="22"/>
        </w:rPr>
        <w:t xml:space="preserve"> La recaudación de las contribuciones.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VI.</w:t>
      </w:r>
      <w:r w:rsidRPr="000D5F0E">
        <w:rPr>
          <w:rFonts w:ascii="Palatino Linotype" w:hAnsi="Palatino Linotype"/>
          <w:i/>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VII.</w:t>
      </w:r>
      <w:r w:rsidRPr="000D5F0E">
        <w:rPr>
          <w:rFonts w:ascii="Palatino Linotype" w:hAnsi="Palatino Linotype"/>
          <w:i/>
          <w:sz w:val="22"/>
        </w:rPr>
        <w:t xml:space="preserve"> La que contengan las opiniones, recomendaciones o puntos de vista que formen parte del proceso deliberativo de los servidores públicos, hasta en tanto sea adoptada la decisión definitiva, la cual deberá estar documentada;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VIII.</w:t>
      </w:r>
      <w:r w:rsidRPr="000D5F0E">
        <w:rPr>
          <w:rFonts w:ascii="Palatino Linotype" w:hAnsi="Palatino Linotype"/>
          <w:i/>
          <w:sz w:val="22"/>
        </w:rPr>
        <w:t xml:space="preserve"> Vulnere la conducción de los expedientes judiciales o de los procedimientos administrativos seguidos en forma de juicio, en tanto no hayan quedado firmes;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IX.</w:t>
      </w:r>
      <w:r w:rsidRPr="000D5F0E">
        <w:rPr>
          <w:rFonts w:ascii="Palatino Linotype" w:hAnsi="Palatino Linotype"/>
          <w:i/>
          <w:sz w:val="22"/>
        </w:rPr>
        <w:t xml:space="preserve"> Se encuentre contenida dentro de las investigaciones de hechos que la Ley señale como delitos y se tramiten ante el Ministerio Público;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b/>
          <w:i/>
          <w:sz w:val="22"/>
        </w:rPr>
        <w:t>X.</w:t>
      </w:r>
      <w:r w:rsidRPr="000D5F0E">
        <w:rPr>
          <w:rFonts w:ascii="Palatino Linotype" w:hAnsi="Palatino Linotype"/>
          <w:i/>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7B44C8" w:rsidRPr="000D5F0E" w:rsidRDefault="007B44C8" w:rsidP="00C30A87">
      <w:pPr>
        <w:pStyle w:val="Prrafodelista"/>
        <w:tabs>
          <w:tab w:val="left" w:pos="993"/>
        </w:tabs>
        <w:ind w:left="1134" w:right="902"/>
        <w:jc w:val="both"/>
        <w:rPr>
          <w:rFonts w:ascii="Palatino Linotype" w:hAnsi="Palatino Linotype"/>
          <w:i/>
          <w:sz w:val="22"/>
        </w:rPr>
      </w:pPr>
      <w:r w:rsidRPr="000D5F0E">
        <w:rPr>
          <w:rFonts w:ascii="Palatino Linotype" w:hAnsi="Palatino Linotype"/>
          <w:i/>
          <w:sz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7B44C8" w:rsidRPr="000D5F0E" w:rsidRDefault="007B44C8" w:rsidP="00C30A87">
      <w:pPr>
        <w:pStyle w:val="Prrafodelista"/>
        <w:tabs>
          <w:tab w:val="left" w:pos="993"/>
        </w:tabs>
        <w:ind w:left="1134" w:right="902"/>
        <w:jc w:val="both"/>
        <w:rPr>
          <w:rFonts w:ascii="Palatino Linotype" w:hAnsi="Palatino Linotype"/>
          <w:i/>
          <w:color w:val="000000" w:themeColor="text1"/>
          <w:sz w:val="22"/>
        </w:rPr>
      </w:pPr>
      <w:r w:rsidRPr="000D5F0E">
        <w:rPr>
          <w:rFonts w:ascii="Palatino Linotype" w:hAnsi="Palatino Linotype"/>
          <w:b/>
          <w:i/>
          <w:sz w:val="22"/>
        </w:rPr>
        <w:t>XI.</w:t>
      </w:r>
      <w:r w:rsidRPr="000D5F0E">
        <w:rPr>
          <w:rFonts w:ascii="Palatino Linotype" w:hAnsi="Palatino Linotype"/>
          <w:i/>
          <w:sz w:val="22"/>
        </w:rPr>
        <w:t xml:space="preserve"> Las que por disposición expresa de una ley tengan tal carácter, siempre que sean acordes con las bases, principios y disposiciones establecidos en esta Ley y no la contravengan; así como las previstas en tratados internacionales.”</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C30A87">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lastRenderedPageBreak/>
        <w:t xml:space="preserve">Mientras que el artículo 143 de la Ley de mérito reconoce que se considerará a información </w:t>
      </w:r>
      <w:r w:rsidRPr="000D5F0E">
        <w:rPr>
          <w:rFonts w:ascii="Palatino Linotype" w:hAnsi="Palatino Linotype"/>
          <w:b/>
          <w:color w:val="000000" w:themeColor="text1"/>
        </w:rPr>
        <w:t>confidencial</w:t>
      </w:r>
      <w:r w:rsidRPr="000D5F0E">
        <w:rPr>
          <w:rFonts w:ascii="Palatino Linotype" w:hAnsi="Palatino Linotype"/>
          <w:color w:val="000000" w:themeColor="text1"/>
        </w:rPr>
        <w:t>, la clasificada como tal, de manera permanente, por su naturaleza, cuando:</w:t>
      </w:r>
    </w:p>
    <w:p w:rsidR="007B44C8" w:rsidRPr="000D5F0E" w:rsidRDefault="007B44C8" w:rsidP="00C30A87">
      <w:pPr>
        <w:pStyle w:val="Prrafodelista"/>
        <w:tabs>
          <w:tab w:val="left" w:pos="426"/>
        </w:tabs>
        <w:ind w:left="1134" w:right="900"/>
        <w:jc w:val="both"/>
        <w:rPr>
          <w:rFonts w:ascii="Palatino Linotype" w:hAnsi="Palatino Linotype"/>
          <w:color w:val="000000" w:themeColor="text1"/>
        </w:rPr>
      </w:pPr>
    </w:p>
    <w:p w:rsidR="007B44C8" w:rsidRPr="000D5F0E" w:rsidRDefault="007B44C8" w:rsidP="00C30A87">
      <w:pPr>
        <w:pStyle w:val="Prrafodelista"/>
        <w:tabs>
          <w:tab w:val="left" w:pos="426"/>
        </w:tabs>
        <w:ind w:left="1134" w:right="900"/>
        <w:jc w:val="both"/>
        <w:rPr>
          <w:rFonts w:ascii="Palatino Linotype" w:hAnsi="Palatino Linotype"/>
          <w:i/>
          <w:color w:val="000000" w:themeColor="text1"/>
          <w:sz w:val="22"/>
        </w:rPr>
      </w:pPr>
      <w:r w:rsidRPr="000D5F0E">
        <w:rPr>
          <w:rFonts w:ascii="Palatino Linotype" w:hAnsi="Palatino Linotype"/>
          <w:i/>
          <w:color w:val="000000" w:themeColor="text1"/>
          <w:sz w:val="22"/>
        </w:rPr>
        <w:t>“</w:t>
      </w:r>
      <w:r w:rsidRPr="000D5F0E">
        <w:rPr>
          <w:rFonts w:ascii="Palatino Linotype" w:hAnsi="Palatino Linotype"/>
          <w:b/>
          <w:i/>
          <w:color w:val="000000" w:themeColor="text1"/>
          <w:sz w:val="22"/>
        </w:rPr>
        <w:t>I.</w:t>
      </w:r>
      <w:r w:rsidRPr="000D5F0E">
        <w:rPr>
          <w:rFonts w:ascii="Palatino Linotype" w:hAnsi="Palatino Linotype"/>
          <w:i/>
          <w:color w:val="000000" w:themeColor="text1"/>
          <w:sz w:val="22"/>
        </w:rPr>
        <w:t xml:space="preserve"> Se refiera a la información privada y los datos personales concernientes a una persona física o jurídico colectiva identificada o identificable; </w:t>
      </w:r>
    </w:p>
    <w:p w:rsidR="007B44C8" w:rsidRPr="000D5F0E" w:rsidRDefault="007B44C8" w:rsidP="00C30A87">
      <w:pPr>
        <w:pStyle w:val="Prrafodelista"/>
        <w:tabs>
          <w:tab w:val="left" w:pos="426"/>
        </w:tabs>
        <w:ind w:left="1134" w:right="900"/>
        <w:jc w:val="both"/>
        <w:rPr>
          <w:rFonts w:ascii="Palatino Linotype" w:hAnsi="Palatino Linotype"/>
          <w:i/>
          <w:color w:val="000000" w:themeColor="text1"/>
          <w:sz w:val="22"/>
        </w:rPr>
      </w:pPr>
      <w:r w:rsidRPr="000D5F0E">
        <w:rPr>
          <w:rFonts w:ascii="Palatino Linotype" w:hAnsi="Palatino Linotype"/>
          <w:b/>
          <w:i/>
          <w:color w:val="000000" w:themeColor="text1"/>
          <w:sz w:val="22"/>
        </w:rPr>
        <w:t>II.</w:t>
      </w:r>
      <w:r w:rsidRPr="000D5F0E">
        <w:rPr>
          <w:rFonts w:ascii="Palatino Linotype" w:hAnsi="Palatino Linotype"/>
          <w:i/>
          <w:color w:val="000000" w:themeColor="text1"/>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rsidR="007B44C8" w:rsidRPr="000D5F0E" w:rsidRDefault="007B44C8" w:rsidP="00C30A87">
      <w:pPr>
        <w:pStyle w:val="Prrafodelista"/>
        <w:tabs>
          <w:tab w:val="left" w:pos="426"/>
        </w:tabs>
        <w:ind w:left="1134" w:right="900"/>
        <w:jc w:val="both"/>
        <w:rPr>
          <w:rFonts w:ascii="Palatino Linotype" w:hAnsi="Palatino Linotype"/>
          <w:i/>
          <w:color w:val="000000" w:themeColor="text1"/>
          <w:sz w:val="22"/>
        </w:rPr>
      </w:pPr>
      <w:r w:rsidRPr="000D5F0E">
        <w:rPr>
          <w:rFonts w:ascii="Palatino Linotype" w:hAnsi="Palatino Linotype"/>
          <w:b/>
          <w:i/>
          <w:color w:val="000000" w:themeColor="text1"/>
          <w:sz w:val="22"/>
        </w:rPr>
        <w:t>III.</w:t>
      </w:r>
      <w:r w:rsidRPr="000D5F0E">
        <w:rPr>
          <w:rFonts w:ascii="Palatino Linotype" w:hAnsi="Palatino Linotype"/>
          <w:i/>
          <w:color w:val="000000" w:themeColor="text1"/>
          <w:sz w:val="22"/>
        </w:rPr>
        <w:t xml:space="preserve"> La que presenten los particulares a los sujetos obligados, de conformidad con lo dispuesto por las leyes o los tratados internacionales.”</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0329B1">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Así las cosas, los Sujetos Obligados deberán aplicar, de manera restrictiva y limitada, las excepciones al derecho de acceso a la información y sólo podrán invocarlas cuando acrediten su procedencia, sin ampliar las excepciones o supuestos de </w:t>
      </w:r>
      <w:r w:rsidRPr="000D5F0E">
        <w:rPr>
          <w:rFonts w:ascii="Palatino Linotype" w:hAnsi="Palatino Linotype"/>
          <w:b/>
          <w:color w:val="000000" w:themeColor="text1"/>
        </w:rPr>
        <w:t>reserva</w:t>
      </w:r>
      <w:r w:rsidRPr="000D5F0E">
        <w:rPr>
          <w:rFonts w:ascii="Palatino Linotype" w:hAnsi="Palatino Linotype"/>
          <w:color w:val="000000" w:themeColor="text1"/>
        </w:rPr>
        <w:t xml:space="preserve"> o </w:t>
      </w:r>
      <w:r w:rsidRPr="000D5F0E">
        <w:rPr>
          <w:rFonts w:ascii="Palatino Linotype" w:hAnsi="Palatino Linotype"/>
          <w:b/>
          <w:color w:val="000000" w:themeColor="text1"/>
        </w:rPr>
        <w:t>confidencialidad</w:t>
      </w:r>
      <w:r w:rsidRPr="000D5F0E">
        <w:rPr>
          <w:rFonts w:ascii="Palatino Linotype" w:hAnsi="Palatino Linotype"/>
          <w:color w:val="000000" w:themeColor="text1"/>
        </w:rPr>
        <w:t xml:space="preserve"> previstos en la Ley General y la Ley de Transparencia y Acceso a la Información Pública del Estado de México y Municipios, aduciendo analogía o mayoría de razón</w:t>
      </w:r>
      <w:r w:rsidRPr="000D5F0E">
        <w:rPr>
          <w:rStyle w:val="Refdenotaalpie"/>
          <w:rFonts w:ascii="Palatino Linotype" w:hAnsi="Palatino Linotype"/>
          <w:color w:val="000000" w:themeColor="text1"/>
        </w:rPr>
        <w:footnoteReference w:id="4"/>
      </w:r>
      <w:r w:rsidRPr="000D5F0E">
        <w:rPr>
          <w:rFonts w:ascii="Palatino Linotype" w:hAnsi="Palatino Linotype"/>
          <w:color w:val="000000" w:themeColor="text1"/>
        </w:rPr>
        <w:t>.</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0329B1">
      <w:pPr>
        <w:numPr>
          <w:ilvl w:val="0"/>
          <w:numId w:val="2"/>
        </w:numPr>
        <w:spacing w:line="360" w:lineRule="auto"/>
        <w:ind w:left="0" w:firstLine="0"/>
        <w:jc w:val="both"/>
        <w:rPr>
          <w:rFonts w:ascii="Palatino Linotype" w:eastAsia="Times New Roman" w:hAnsi="Palatino Linotype" w:cs="Arial"/>
          <w:bCs/>
          <w:color w:val="000000" w:themeColor="text1"/>
        </w:rPr>
      </w:pPr>
      <w:r w:rsidRPr="000D5F0E">
        <w:rPr>
          <w:rFonts w:ascii="Palatino Linotype" w:hAnsi="Palatino Linotype"/>
          <w:color w:val="000000" w:themeColor="text1"/>
        </w:rPr>
        <w:t xml:space="preserve">Una vez establecido lo anterior, y como ha sido reiterado a lo largo del presente estudio, de las constancias que obran dentro del expediente digital formado en el </w:t>
      </w:r>
      <w:r w:rsidRPr="000D5F0E">
        <w:rPr>
          <w:rFonts w:ascii="Palatino Linotype" w:hAnsi="Palatino Linotype"/>
          <w:b/>
          <w:color w:val="000000" w:themeColor="text1"/>
        </w:rPr>
        <w:t>SAIMEX</w:t>
      </w:r>
      <w:r w:rsidRPr="000D5F0E">
        <w:rPr>
          <w:rFonts w:ascii="Palatino Linotype" w:hAnsi="Palatino Linotype"/>
          <w:color w:val="000000" w:themeColor="text1"/>
        </w:rPr>
        <w:t>, con</w:t>
      </w:r>
      <w:r w:rsidR="00530142" w:rsidRPr="000D5F0E">
        <w:rPr>
          <w:rFonts w:ascii="Palatino Linotype" w:hAnsi="Palatino Linotype"/>
          <w:color w:val="000000" w:themeColor="text1"/>
        </w:rPr>
        <w:t xml:space="preserve"> motivo del recurso de revisión </w:t>
      </w:r>
      <w:r w:rsidR="00530142" w:rsidRPr="000D5F0E">
        <w:rPr>
          <w:rFonts w:ascii="Palatino Linotype" w:hAnsi="Palatino Linotype"/>
          <w:b/>
          <w:bCs/>
          <w:color w:val="000000" w:themeColor="text1"/>
        </w:rPr>
        <w:t>05523/INFOEM/IP/RR/2024</w:t>
      </w:r>
      <w:r w:rsidRPr="000D5F0E">
        <w:rPr>
          <w:rFonts w:ascii="Palatino Linotype" w:eastAsia="Times New Roman" w:hAnsi="Palatino Linotype" w:cs="Arial"/>
          <w:bCs/>
          <w:color w:val="000000" w:themeColor="text1"/>
        </w:rPr>
        <w:t>, se advierte que el</w:t>
      </w:r>
      <w:r w:rsidRPr="000D5F0E">
        <w:rPr>
          <w:rFonts w:ascii="Palatino Linotype" w:eastAsia="Times New Roman" w:hAnsi="Palatino Linotype" w:cs="Arial"/>
          <w:b/>
          <w:bCs/>
          <w:color w:val="000000" w:themeColor="text1"/>
        </w:rPr>
        <w:t xml:space="preserve"> SUJETO OBLIGADO</w:t>
      </w:r>
      <w:r w:rsidRPr="000D5F0E">
        <w:rPr>
          <w:rFonts w:ascii="Palatino Linotype" w:eastAsia="Times New Roman" w:hAnsi="Palatino Linotype" w:cs="Arial"/>
          <w:bCs/>
          <w:color w:val="000000" w:themeColor="text1"/>
        </w:rPr>
        <w:t xml:space="preserve"> </w:t>
      </w:r>
      <w:r w:rsidR="00FC6C5C" w:rsidRPr="000D5F0E">
        <w:rPr>
          <w:rFonts w:ascii="Palatino Linotype" w:eastAsia="Times New Roman" w:hAnsi="Palatino Linotype" w:cs="Arial"/>
          <w:bCs/>
          <w:color w:val="000000" w:themeColor="text1"/>
        </w:rPr>
        <w:t xml:space="preserve">hace del conocimiento que </w:t>
      </w:r>
      <w:r w:rsidR="00530142" w:rsidRPr="000D5F0E">
        <w:rPr>
          <w:rFonts w:ascii="Palatino Linotype" w:eastAsia="Times New Roman" w:hAnsi="Palatino Linotype" w:cs="Arial"/>
          <w:bCs/>
          <w:color w:val="000000" w:themeColor="text1"/>
        </w:rPr>
        <w:t xml:space="preserve">en la </w:t>
      </w:r>
      <w:r w:rsidR="00FC6C5C" w:rsidRPr="000D5F0E">
        <w:rPr>
          <w:rFonts w:ascii="Palatino Linotype" w:eastAsia="Times New Roman" w:hAnsi="Palatino Linotype" w:cs="Arial"/>
          <w:bCs/>
          <w:color w:val="000000" w:themeColor="text1"/>
        </w:rPr>
        <w:t>Sexagésima Segunda</w:t>
      </w:r>
      <w:r w:rsidR="00530142" w:rsidRPr="000D5F0E">
        <w:rPr>
          <w:rFonts w:ascii="Palatino Linotype" w:eastAsia="Times New Roman" w:hAnsi="Palatino Linotype" w:cs="Arial"/>
          <w:bCs/>
          <w:color w:val="000000" w:themeColor="text1"/>
        </w:rPr>
        <w:t xml:space="preserve"> Sesión Extraordinaria del Comité de Transparencia, mediante </w:t>
      </w:r>
      <w:r w:rsidR="00FC6C5C" w:rsidRPr="000D5F0E">
        <w:rPr>
          <w:rFonts w:ascii="Palatino Linotype" w:eastAsia="Times New Roman" w:hAnsi="Palatino Linotype" w:cs="Arial"/>
          <w:bCs/>
          <w:color w:val="000000" w:themeColor="text1"/>
        </w:rPr>
        <w:t xml:space="preserve">ACUERDO </w:t>
      </w:r>
      <w:r w:rsidR="00530142" w:rsidRPr="000D5F0E">
        <w:rPr>
          <w:rFonts w:ascii="Palatino Linotype" w:eastAsia="Times New Roman" w:hAnsi="Palatino Linotype" w:cs="Arial"/>
          <w:bCs/>
          <w:color w:val="000000" w:themeColor="text1"/>
        </w:rPr>
        <w:lastRenderedPageBreak/>
        <w:t xml:space="preserve">02/SE/62/CT/2024 </w:t>
      </w:r>
      <w:r w:rsidR="00FC6C5C" w:rsidRPr="000D5F0E">
        <w:rPr>
          <w:rFonts w:ascii="Palatino Linotype" w:eastAsia="Times New Roman" w:hAnsi="Palatino Linotype" w:cs="Arial"/>
          <w:b/>
          <w:bCs/>
          <w:color w:val="000000" w:themeColor="text1"/>
        </w:rPr>
        <w:t>se</w:t>
      </w:r>
      <w:r w:rsidR="00530142" w:rsidRPr="000D5F0E">
        <w:rPr>
          <w:rFonts w:ascii="Palatino Linotype" w:eastAsia="Times New Roman" w:hAnsi="Palatino Linotype" w:cs="Arial"/>
          <w:b/>
          <w:bCs/>
          <w:color w:val="000000" w:themeColor="text1"/>
        </w:rPr>
        <w:t xml:space="preserve"> aprobó la clasificación de información como confidencial</w:t>
      </w:r>
      <w:r w:rsidR="00530142" w:rsidRPr="000D5F0E">
        <w:rPr>
          <w:rFonts w:ascii="Palatino Linotype" w:eastAsia="Times New Roman" w:hAnsi="Palatino Linotype" w:cs="Arial"/>
          <w:bCs/>
          <w:color w:val="000000" w:themeColor="text1"/>
        </w:rPr>
        <w:t xml:space="preserve"> de los datos personales concernientes a </w:t>
      </w:r>
      <w:r w:rsidR="00FC6C5C" w:rsidRPr="000D5F0E">
        <w:rPr>
          <w:rFonts w:ascii="Palatino Linotype" w:eastAsia="Times New Roman" w:hAnsi="Palatino Linotype" w:cs="Arial"/>
          <w:bCs/>
          <w:color w:val="000000" w:themeColor="text1"/>
        </w:rPr>
        <w:t xml:space="preserve">FIRMA, MARCA, MODELO, COLOR, NÚMERO DE MOTOR Y DE SERIE, PLACAS DE CIRCULACIÓN DEL VEHÍCULO Y NÚMERO DE PÓLIZA, de las pólizas </w:t>
      </w:r>
      <w:r w:rsidR="00530142" w:rsidRPr="000D5F0E">
        <w:rPr>
          <w:rFonts w:ascii="Palatino Linotype" w:eastAsia="Times New Roman" w:hAnsi="Palatino Linotype" w:cs="Arial"/>
          <w:bCs/>
          <w:color w:val="000000" w:themeColor="text1"/>
        </w:rPr>
        <w:t>de seguro vehicular con vigencia 2023-2024 d</w:t>
      </w:r>
      <w:r w:rsidR="00FC6C5C" w:rsidRPr="000D5F0E">
        <w:rPr>
          <w:rFonts w:ascii="Palatino Linotype" w:eastAsia="Times New Roman" w:hAnsi="Palatino Linotype" w:cs="Arial"/>
          <w:bCs/>
          <w:color w:val="000000" w:themeColor="text1"/>
        </w:rPr>
        <w:t>el Ayuntamiento de Tepotzotlán</w:t>
      </w:r>
      <w:r w:rsidR="00530142" w:rsidRPr="000D5F0E">
        <w:rPr>
          <w:rFonts w:ascii="Palatino Linotype" w:eastAsia="Times New Roman" w:hAnsi="Palatino Linotype" w:cs="Arial"/>
          <w:bCs/>
          <w:color w:val="000000" w:themeColor="text1"/>
        </w:rPr>
        <w:t>, mismos que se deberán entregar en versión pública.</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s="Tahoma"/>
          <w:bCs/>
          <w:iCs/>
        </w:rPr>
      </w:pPr>
    </w:p>
    <w:p w:rsidR="007B44C8" w:rsidRPr="000D5F0E" w:rsidRDefault="001C6538" w:rsidP="000329B1">
      <w:pPr>
        <w:numPr>
          <w:ilvl w:val="0"/>
          <w:numId w:val="2"/>
        </w:numPr>
        <w:spacing w:line="360" w:lineRule="auto"/>
        <w:ind w:left="0" w:firstLine="0"/>
        <w:jc w:val="both"/>
        <w:rPr>
          <w:rFonts w:ascii="Palatino Linotype" w:hAnsi="Palatino Linotype" w:cs="Tahoma"/>
          <w:bCs/>
          <w:iCs/>
        </w:rPr>
      </w:pPr>
      <w:r w:rsidRPr="000D5F0E">
        <w:rPr>
          <w:rFonts w:ascii="Palatino Linotype" w:hAnsi="Palatino Linotype"/>
          <w:color w:val="000000" w:themeColor="text1"/>
        </w:rPr>
        <w:t>Conforme a lo establecido en el ACUERDO 02/SE/62/CT/2024</w:t>
      </w:r>
      <w:r w:rsidR="007B44C8" w:rsidRPr="000D5F0E">
        <w:rPr>
          <w:rFonts w:ascii="Palatino Linotype" w:hAnsi="Palatino Linotype"/>
          <w:color w:val="000000" w:themeColor="text1"/>
        </w:rPr>
        <w:t xml:space="preserve"> se advierte que el </w:t>
      </w:r>
      <w:r w:rsidR="007B44C8" w:rsidRPr="000D5F0E">
        <w:rPr>
          <w:rFonts w:ascii="Palatino Linotype" w:hAnsi="Palatino Linotype"/>
          <w:b/>
          <w:color w:val="000000" w:themeColor="text1"/>
        </w:rPr>
        <w:t>SUJETO OBLIGADO</w:t>
      </w:r>
      <w:r w:rsidR="007B44C8" w:rsidRPr="000D5F0E">
        <w:rPr>
          <w:rFonts w:ascii="Palatino Linotype" w:hAnsi="Palatino Linotype"/>
          <w:color w:val="000000" w:themeColor="text1"/>
        </w:rPr>
        <w:t xml:space="preserve"> fundó la necesidad de </w:t>
      </w:r>
      <w:r w:rsidR="008A486B" w:rsidRPr="000D5F0E">
        <w:rPr>
          <w:rFonts w:ascii="Palatino Linotype" w:hAnsi="Palatino Linotype"/>
          <w:color w:val="000000" w:themeColor="text1"/>
        </w:rPr>
        <w:t>clasificar la información como confidencial</w:t>
      </w:r>
      <w:r w:rsidR="007B44C8" w:rsidRPr="000D5F0E">
        <w:rPr>
          <w:rFonts w:ascii="Palatino Linotype" w:hAnsi="Palatino Linotype"/>
          <w:color w:val="000000" w:themeColor="text1"/>
        </w:rPr>
        <w:t xml:space="preserve"> con base en lo establecido </w:t>
      </w:r>
      <w:r w:rsidRPr="000D5F0E">
        <w:rPr>
          <w:rFonts w:ascii="Palatino Linotype" w:hAnsi="Palatino Linotype"/>
          <w:color w:val="000000" w:themeColor="text1"/>
        </w:rPr>
        <w:t>en el artículo 143</w:t>
      </w:r>
      <w:r w:rsidR="007B44C8" w:rsidRPr="000D5F0E">
        <w:rPr>
          <w:rFonts w:ascii="Palatino Linotype" w:hAnsi="Palatino Linotype"/>
          <w:color w:val="000000" w:themeColor="text1"/>
        </w:rPr>
        <w:t xml:space="preserve"> de la Ley de Transparencia y Acceso a la Información Pública del Estado de México y Municipios</w:t>
      </w:r>
      <w:r w:rsidR="00837A51" w:rsidRPr="000D5F0E">
        <w:rPr>
          <w:rFonts w:ascii="Palatino Linotype" w:hAnsi="Palatino Linotype"/>
          <w:color w:val="000000" w:themeColor="text1"/>
        </w:rPr>
        <w:t>; el numeral Trigésimo octavo, fracción I, de los Lineamientos Generales en Materia de Clasificación y Desclasificación de la Información, así como para la Elaboración de Versiones Públicas</w:t>
      </w:r>
      <w:r w:rsidR="007B44C8" w:rsidRPr="000D5F0E">
        <w:rPr>
          <w:rFonts w:ascii="Palatino Linotype" w:hAnsi="Palatino Linotype"/>
          <w:color w:val="000000" w:themeColor="text1"/>
        </w:rPr>
        <w:t xml:space="preserve">, </w:t>
      </w:r>
      <w:r w:rsidR="00837A51" w:rsidRPr="000D5F0E">
        <w:rPr>
          <w:rFonts w:ascii="Palatino Linotype" w:hAnsi="Palatino Linotype"/>
          <w:color w:val="000000" w:themeColor="text1"/>
        </w:rPr>
        <w:t>y el artículo 1, fracción I, de los Lineamientos sobre medidas de seguridad aplicables a los sistemas de datos personales que se encuentran en posesión de los sujetos obligados de la Ley de Protección de Datos Personales del Estado de México, todos relativos a datos personales de identificación.</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s="Tahoma"/>
          <w:bCs/>
          <w:iCs/>
        </w:rPr>
      </w:pPr>
    </w:p>
    <w:p w:rsidR="007B44C8" w:rsidRPr="000D5F0E" w:rsidRDefault="007B44C8" w:rsidP="000329B1">
      <w:pPr>
        <w:numPr>
          <w:ilvl w:val="0"/>
          <w:numId w:val="2"/>
        </w:numPr>
        <w:spacing w:line="360" w:lineRule="auto"/>
        <w:ind w:left="0" w:firstLine="0"/>
        <w:jc w:val="both"/>
        <w:rPr>
          <w:rFonts w:ascii="Palatino Linotype" w:hAnsi="Palatino Linotype" w:cs="Tahoma"/>
          <w:bCs/>
          <w:iCs/>
        </w:rPr>
      </w:pPr>
      <w:r w:rsidRPr="000D5F0E">
        <w:rPr>
          <w:rFonts w:ascii="Palatino Linotype" w:hAnsi="Palatino Linotype"/>
          <w:color w:val="000000" w:themeColor="text1"/>
        </w:rPr>
        <w:t xml:space="preserve">De tal modo que, para el presente asunto, no se advierte que la publicación de la información </w:t>
      </w:r>
      <w:r w:rsidR="00CB3FC3" w:rsidRPr="000D5F0E">
        <w:rPr>
          <w:rFonts w:ascii="Palatino Linotype" w:hAnsi="Palatino Linotype"/>
          <w:color w:val="000000" w:themeColor="text1"/>
        </w:rPr>
        <w:t xml:space="preserve">contenida en las pólizas de seguro vehicular </w:t>
      </w:r>
      <w:r w:rsidRPr="000D5F0E">
        <w:rPr>
          <w:rFonts w:ascii="Palatino Linotype" w:hAnsi="Palatino Linotype"/>
          <w:color w:val="000000" w:themeColor="text1"/>
        </w:rPr>
        <w:t xml:space="preserve">se relacione de ninguna manera con la necesidad de </w:t>
      </w:r>
      <w:r w:rsidR="001C6538" w:rsidRPr="000D5F0E">
        <w:rPr>
          <w:rFonts w:ascii="Palatino Linotype" w:hAnsi="Palatino Linotype"/>
          <w:color w:val="000000" w:themeColor="text1"/>
        </w:rPr>
        <w:t>clasificar la información como confidencial.</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s="Tahoma"/>
          <w:bCs/>
          <w:iCs/>
        </w:rPr>
      </w:pPr>
    </w:p>
    <w:p w:rsidR="007B44C8" w:rsidRPr="000D5F0E" w:rsidRDefault="007B44C8" w:rsidP="000329B1">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s="Tahoma"/>
          <w:bCs/>
          <w:iCs/>
        </w:rPr>
        <w:lastRenderedPageBreak/>
        <w:t xml:space="preserve">Por cuanto hace a la información susceptible de clasificarse como información confidencial, el lineamiento trigésimo octavo de los Lineamientos reconocen justamente a los </w:t>
      </w:r>
      <w:r w:rsidRPr="000D5F0E">
        <w:rPr>
          <w:rFonts w:ascii="Palatino Linotype" w:hAnsi="Palatino Linotype" w:cs="Tahoma"/>
          <w:b/>
          <w:bCs/>
          <w:iCs/>
        </w:rPr>
        <w:t>datos personales</w:t>
      </w:r>
      <w:r w:rsidRPr="000D5F0E">
        <w:rPr>
          <w:rFonts w:ascii="Palatino Linotype" w:hAnsi="Palatino Linotype" w:cs="Tahoma"/>
          <w:bCs/>
          <w:iCs/>
        </w:rPr>
        <w:t xml:space="preserve">, entendidos como cualquier información concerniente a una </w:t>
      </w:r>
      <w:r w:rsidRPr="000D5F0E">
        <w:rPr>
          <w:rFonts w:ascii="Palatino Linotype" w:hAnsi="Palatino Linotype" w:cs="Tahoma"/>
          <w:b/>
          <w:bCs/>
          <w:iCs/>
        </w:rPr>
        <w:t>persona física identificada o identificable</w:t>
      </w:r>
      <w:r w:rsidRPr="000D5F0E">
        <w:rPr>
          <w:rFonts w:ascii="Palatino Linotype" w:hAnsi="Palatino Linotype" w:cs="Tahoma"/>
          <w:bCs/>
          <w:iCs/>
        </w:rPr>
        <w:t>, en términos de la norma aplicable que, de manera enunciativa más no limitativa, se pueden identificar de acuerdo a las siguientes categorías:</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identificativos:</w:t>
      </w:r>
      <w:r w:rsidRPr="000D5F0E">
        <w:rPr>
          <w:rFonts w:ascii="Palatino Linotype" w:hAnsi="Palatino Linotype" w:cs="Tahoma"/>
          <w:bCs/>
          <w:iCs/>
          <w:sz w:val="22"/>
          <w:szCs w:val="22"/>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de origen:</w:t>
      </w:r>
      <w:r w:rsidRPr="000D5F0E">
        <w:rPr>
          <w:rFonts w:ascii="Palatino Linotype" w:hAnsi="Palatino Linotype" w:cs="Tahoma"/>
          <w:bCs/>
          <w:iCs/>
          <w:sz w:val="22"/>
          <w:szCs w:val="22"/>
        </w:rPr>
        <w:t xml:space="preserve"> Origen, etnia, raza, color de piel, color de ojos, color y tipo de cabello, estatura, complexión,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 xml:space="preserve">Datos ideológicos: </w:t>
      </w:r>
      <w:r w:rsidRPr="000D5F0E">
        <w:rPr>
          <w:rFonts w:ascii="Palatino Linotype" w:hAnsi="Palatino Linotype" w:cs="Tahoma"/>
          <w:bCs/>
          <w:iCs/>
          <w:sz w:val="22"/>
          <w:szCs w:val="22"/>
        </w:rPr>
        <w:t xml:space="preserve">Ideologías, creencias, opinión política, afiliación política, opinión pública, afiliación sindical, religión, convicción filosófica y análoga.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sobre la salud:</w:t>
      </w:r>
      <w:r w:rsidRPr="000D5F0E">
        <w:rPr>
          <w:rFonts w:ascii="Palatino Linotype" w:hAnsi="Palatino Linotype" w:cs="Tahoma"/>
          <w:bCs/>
          <w:iCs/>
          <w:sz w:val="22"/>
          <w:szCs w:val="22"/>
        </w:rPr>
        <w:t xml:space="preserve">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Laborales:</w:t>
      </w:r>
      <w:r w:rsidRPr="000D5F0E">
        <w:rPr>
          <w:rFonts w:ascii="Palatino Linotype" w:hAnsi="Palatino Linotype" w:cs="Tahoma"/>
          <w:bCs/>
          <w:iCs/>
          <w:sz w:val="22"/>
          <w:szCs w:val="22"/>
        </w:rPr>
        <w:t xml:space="preserve"> Número de seguridad social, documentos de reclutamiento o selección, nombramientos, incidencia, capacitación, </w:t>
      </w:r>
      <w:r w:rsidRPr="000D5F0E">
        <w:rPr>
          <w:rFonts w:ascii="Palatino Linotype" w:hAnsi="Palatino Linotype" w:cs="Tahoma"/>
          <w:bCs/>
          <w:iCs/>
          <w:sz w:val="22"/>
          <w:szCs w:val="22"/>
        </w:rPr>
        <w:lastRenderedPageBreak/>
        <w:t xml:space="preserve">actividades extracurriculares, referencias laborales, referencias personales, solicitud de empleo, hoja de servicio,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patrimoniales:</w:t>
      </w:r>
      <w:r w:rsidRPr="000D5F0E">
        <w:rPr>
          <w:rFonts w:ascii="Palatino Linotype" w:hAnsi="Palatino Linotype" w:cs="Tahoma"/>
          <w:bCs/>
          <w:iCs/>
          <w:sz w:val="22"/>
          <w:szCs w:val="22"/>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sobre situación jurídica o legal:</w:t>
      </w:r>
      <w:r w:rsidRPr="000D5F0E">
        <w:rPr>
          <w:rFonts w:ascii="Palatino Linotype" w:hAnsi="Palatino Linotype" w:cs="Tahoma"/>
          <w:bCs/>
          <w:iCs/>
          <w:sz w:val="22"/>
          <w:szCs w:val="22"/>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académicos:</w:t>
      </w:r>
      <w:r w:rsidRPr="000D5F0E">
        <w:rPr>
          <w:rFonts w:ascii="Palatino Linotype" w:hAnsi="Palatino Linotype" w:cs="Tahoma"/>
          <w:bCs/>
          <w:iCs/>
          <w:sz w:val="22"/>
          <w:szCs w:val="22"/>
        </w:rPr>
        <w:t xml:space="preserve"> Trayectoria educativa, avances de créditos, tipos de exámenes, promedio, calificaciones, títulos, cédula profesional, certificados, reconocimientos y análogos.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de tránsito y movimientos migratorios:</w:t>
      </w:r>
      <w:r w:rsidRPr="000D5F0E">
        <w:rPr>
          <w:rFonts w:ascii="Palatino Linotype" w:hAnsi="Palatino Linotype" w:cs="Tahoma"/>
          <w:bCs/>
          <w:iCs/>
          <w:sz w:val="22"/>
          <w:szCs w:val="22"/>
        </w:rPr>
        <w:t xml:space="preserve"> Información relativa al tránsito de las personas dentro y fuera del país, así como información migratoria, cédula migratoria, visa, pasaporte. </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electrónicos:</w:t>
      </w:r>
      <w:r w:rsidRPr="000D5F0E">
        <w:rPr>
          <w:rFonts w:ascii="Palatino Linotype" w:hAnsi="Palatino Linotype" w:cs="Tahoma"/>
          <w:bCs/>
          <w:iCs/>
          <w:sz w:val="22"/>
          <w:szCs w:val="22"/>
        </w:rPr>
        <w:t xml:space="preserve"> Firma electrónica, dirección de correo electrónico, código QR; y</w:t>
      </w:r>
    </w:p>
    <w:p w:rsidR="007B44C8" w:rsidRPr="000D5F0E" w:rsidRDefault="007B44C8" w:rsidP="000329B1">
      <w:pPr>
        <w:pStyle w:val="Prrafodelista"/>
        <w:numPr>
          <w:ilvl w:val="1"/>
          <w:numId w:val="39"/>
        </w:numPr>
        <w:tabs>
          <w:tab w:val="left" w:pos="426"/>
        </w:tabs>
        <w:spacing w:before="240" w:after="240" w:line="360" w:lineRule="auto"/>
        <w:ind w:left="993" w:right="616"/>
        <w:jc w:val="both"/>
        <w:rPr>
          <w:rFonts w:ascii="Palatino Linotype" w:hAnsi="Palatino Linotype"/>
          <w:color w:val="000000" w:themeColor="text1"/>
          <w:sz w:val="22"/>
          <w:szCs w:val="22"/>
        </w:rPr>
      </w:pPr>
      <w:r w:rsidRPr="000D5F0E">
        <w:rPr>
          <w:rFonts w:ascii="Palatino Linotype" w:hAnsi="Palatino Linotype" w:cs="Tahoma"/>
          <w:b/>
          <w:bCs/>
          <w:iCs/>
          <w:sz w:val="22"/>
          <w:szCs w:val="22"/>
        </w:rPr>
        <w:t>Datos biométricos:</w:t>
      </w:r>
      <w:r w:rsidRPr="000D5F0E">
        <w:rPr>
          <w:rFonts w:ascii="Palatino Linotype" w:hAnsi="Palatino Linotype" w:cs="Tahoma"/>
          <w:bCs/>
          <w:iCs/>
          <w:sz w:val="22"/>
          <w:szCs w:val="22"/>
        </w:rPr>
        <w:t xml:space="preserve"> Huella dactilar, reconocimiento facial, reconocimiento de iris, reconocimiento de la geometría de la mano, reconocimiento vascular, reconocimiento de escritura, reconocimiento de voz, reconocimiento de escritura de teclado y análogos.</w:t>
      </w:r>
    </w:p>
    <w:p w:rsidR="007B44C8" w:rsidRPr="000D5F0E" w:rsidRDefault="007B44C8" w:rsidP="007B44C8">
      <w:pPr>
        <w:pStyle w:val="Prrafodelista"/>
        <w:tabs>
          <w:tab w:val="left" w:pos="426"/>
        </w:tabs>
        <w:spacing w:before="240" w:after="240" w:line="360" w:lineRule="auto"/>
        <w:ind w:left="0" w:right="51"/>
        <w:jc w:val="both"/>
        <w:rPr>
          <w:rFonts w:ascii="Palatino Linotype" w:hAnsi="Palatino Linotype"/>
          <w:color w:val="000000" w:themeColor="text1"/>
        </w:rPr>
      </w:pPr>
    </w:p>
    <w:p w:rsidR="007B44C8" w:rsidRPr="000D5F0E" w:rsidRDefault="007B44C8" w:rsidP="00544A34">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lastRenderedPageBreak/>
        <w:t xml:space="preserve">Con base en lo anterior, debemos señalar que la información contenida en </w:t>
      </w:r>
      <w:r w:rsidR="00D40B7E" w:rsidRPr="000D5F0E">
        <w:rPr>
          <w:rFonts w:ascii="Palatino Linotype" w:hAnsi="Palatino Linotype"/>
          <w:color w:val="000000" w:themeColor="text1"/>
        </w:rPr>
        <w:t>las pólizas de seguro vehicular</w:t>
      </w:r>
      <w:r w:rsidR="00544A34" w:rsidRPr="000D5F0E">
        <w:rPr>
          <w:rFonts w:ascii="Palatino Linotype" w:hAnsi="Palatino Linotype"/>
          <w:color w:val="000000" w:themeColor="text1"/>
        </w:rPr>
        <w:t xml:space="preserve"> podría</w:t>
      </w:r>
      <w:r w:rsidRPr="000D5F0E">
        <w:rPr>
          <w:rFonts w:ascii="Palatino Linotype" w:hAnsi="Palatino Linotype"/>
          <w:color w:val="000000" w:themeColor="text1"/>
        </w:rPr>
        <w:t xml:space="preserve"> ser</w:t>
      </w:r>
      <w:r w:rsidR="00544A34" w:rsidRPr="000D5F0E">
        <w:rPr>
          <w:rFonts w:ascii="Palatino Linotype" w:hAnsi="Palatino Linotype"/>
          <w:color w:val="000000" w:themeColor="text1"/>
        </w:rPr>
        <w:t xml:space="preserve"> entregada</w:t>
      </w:r>
      <w:r w:rsidR="00D40B7E" w:rsidRPr="000D5F0E">
        <w:rPr>
          <w:rFonts w:ascii="Palatino Linotype" w:hAnsi="Palatino Linotype"/>
          <w:color w:val="000000" w:themeColor="text1"/>
        </w:rPr>
        <w:t xml:space="preserve"> sin problema alguno.</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544A34">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Por ello y para fines prácticos, podemos elaborar una tabla de identificación de la naturaleza de los datos personales contenidos </w:t>
      </w:r>
      <w:r w:rsidR="00D40B7E" w:rsidRPr="000D5F0E">
        <w:rPr>
          <w:rFonts w:ascii="Palatino Linotype" w:hAnsi="Palatino Linotype"/>
          <w:color w:val="000000" w:themeColor="text1"/>
        </w:rPr>
        <w:t>en la póliza de seguro que fueron testados:</w:t>
      </w:r>
    </w:p>
    <w:p w:rsidR="007B44C8" w:rsidRPr="000D5F0E" w:rsidRDefault="007B44C8" w:rsidP="00544A34">
      <w:pPr>
        <w:pStyle w:val="Prrafodelista"/>
        <w:tabs>
          <w:tab w:val="left" w:pos="426"/>
        </w:tabs>
        <w:ind w:left="0" w:right="51"/>
        <w:jc w:val="both"/>
        <w:rPr>
          <w:rFonts w:ascii="Palatino Linotype" w:hAnsi="Palatino Linotype"/>
          <w:color w:val="000000" w:themeColor="text1"/>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4536"/>
      </w:tblGrid>
      <w:tr w:rsidR="00B85110" w:rsidRPr="000D5F0E" w:rsidTr="00544A34">
        <w:trPr>
          <w:jc w:val="center"/>
        </w:trPr>
        <w:tc>
          <w:tcPr>
            <w:tcW w:w="2547" w:type="dxa"/>
            <w:shd w:val="clear" w:color="auto" w:fill="D9D9D9" w:themeFill="background1" w:themeFillShade="D9"/>
            <w:vAlign w:val="center"/>
          </w:tcPr>
          <w:p w:rsidR="00B85110" w:rsidRPr="000D5F0E" w:rsidRDefault="00B85110" w:rsidP="00B85110">
            <w:pPr>
              <w:pStyle w:val="Prrafodelista"/>
              <w:tabs>
                <w:tab w:val="left" w:pos="426"/>
              </w:tabs>
              <w:ind w:left="0" w:right="51"/>
              <w:jc w:val="center"/>
              <w:rPr>
                <w:rFonts w:ascii="Palatino Linotype" w:hAnsi="Palatino Linotype"/>
                <w:b/>
                <w:color w:val="000000" w:themeColor="text1"/>
                <w:sz w:val="20"/>
                <w:szCs w:val="20"/>
              </w:rPr>
            </w:pPr>
            <w:r w:rsidRPr="000D5F0E">
              <w:rPr>
                <w:rFonts w:ascii="Palatino Linotype" w:hAnsi="Palatino Linotype"/>
                <w:b/>
                <w:color w:val="000000" w:themeColor="text1"/>
                <w:sz w:val="20"/>
                <w:szCs w:val="20"/>
              </w:rPr>
              <w:t>INFORMACIÓN TESTADA</w:t>
            </w:r>
          </w:p>
        </w:tc>
        <w:tc>
          <w:tcPr>
            <w:tcW w:w="4536" w:type="dxa"/>
            <w:shd w:val="clear" w:color="auto" w:fill="D9D9D9" w:themeFill="background1" w:themeFillShade="D9"/>
            <w:vAlign w:val="center"/>
          </w:tcPr>
          <w:p w:rsidR="00B85110" w:rsidRPr="000D5F0E" w:rsidRDefault="00B85110" w:rsidP="003D49A3">
            <w:pPr>
              <w:pStyle w:val="Prrafodelista"/>
              <w:tabs>
                <w:tab w:val="left" w:pos="426"/>
              </w:tabs>
              <w:ind w:left="0" w:right="51"/>
              <w:jc w:val="center"/>
              <w:rPr>
                <w:rFonts w:ascii="Palatino Linotype" w:hAnsi="Palatino Linotype"/>
                <w:b/>
                <w:color w:val="000000" w:themeColor="text1"/>
                <w:sz w:val="20"/>
                <w:szCs w:val="20"/>
              </w:rPr>
            </w:pPr>
            <w:r w:rsidRPr="000D5F0E">
              <w:rPr>
                <w:rFonts w:ascii="Palatino Linotype" w:hAnsi="Palatino Linotype"/>
                <w:b/>
                <w:color w:val="000000" w:themeColor="text1"/>
                <w:sz w:val="20"/>
                <w:szCs w:val="20"/>
              </w:rPr>
              <w:t>CATEGORÍA DEL DATO PERSONAL RELACIONADA CON LA INFORMACIÓN CLASIFICADA</w:t>
            </w:r>
          </w:p>
        </w:tc>
      </w:tr>
      <w:tr w:rsidR="00B85110" w:rsidRPr="000D5F0E" w:rsidTr="00544A34">
        <w:trPr>
          <w:jc w:val="center"/>
        </w:trPr>
        <w:tc>
          <w:tcPr>
            <w:tcW w:w="2547" w:type="dxa"/>
            <w:shd w:val="clear" w:color="auto" w:fill="auto"/>
            <w:vAlign w:val="center"/>
          </w:tcPr>
          <w:p w:rsidR="00B85110" w:rsidRPr="000D5F0E" w:rsidRDefault="00B85110" w:rsidP="003D49A3">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Firma</w:t>
            </w:r>
          </w:p>
        </w:tc>
        <w:tc>
          <w:tcPr>
            <w:tcW w:w="4536" w:type="dxa"/>
            <w:shd w:val="clear" w:color="auto" w:fill="auto"/>
            <w:vAlign w:val="center"/>
          </w:tcPr>
          <w:p w:rsidR="00B85110" w:rsidRPr="000D5F0E" w:rsidRDefault="00B85110" w:rsidP="003D49A3">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bCs/>
                <w:iCs/>
                <w:color w:val="000000" w:themeColor="text1"/>
                <w:sz w:val="20"/>
                <w:szCs w:val="20"/>
              </w:rPr>
              <w:t>Datos identificativos</w:t>
            </w:r>
          </w:p>
        </w:tc>
      </w:tr>
      <w:tr w:rsidR="00B85110" w:rsidRPr="000D5F0E" w:rsidTr="00544A34">
        <w:trPr>
          <w:jc w:val="center"/>
        </w:trPr>
        <w:tc>
          <w:tcPr>
            <w:tcW w:w="2547"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Marca</w:t>
            </w:r>
          </w:p>
        </w:tc>
        <w:tc>
          <w:tcPr>
            <w:tcW w:w="4536" w:type="dxa"/>
            <w:shd w:val="clear" w:color="auto" w:fill="auto"/>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N/A</w:t>
            </w:r>
          </w:p>
        </w:tc>
      </w:tr>
      <w:tr w:rsidR="00B85110" w:rsidRPr="000D5F0E" w:rsidTr="00544A34">
        <w:trPr>
          <w:jc w:val="center"/>
        </w:trPr>
        <w:tc>
          <w:tcPr>
            <w:tcW w:w="2547"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Modelo</w:t>
            </w:r>
          </w:p>
        </w:tc>
        <w:tc>
          <w:tcPr>
            <w:tcW w:w="4536" w:type="dxa"/>
            <w:shd w:val="clear" w:color="auto" w:fill="auto"/>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N/A</w:t>
            </w:r>
          </w:p>
        </w:tc>
      </w:tr>
      <w:tr w:rsidR="00B85110" w:rsidRPr="000D5F0E" w:rsidTr="00544A34">
        <w:trPr>
          <w:jc w:val="center"/>
        </w:trPr>
        <w:tc>
          <w:tcPr>
            <w:tcW w:w="2547"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Color</w:t>
            </w:r>
          </w:p>
        </w:tc>
        <w:tc>
          <w:tcPr>
            <w:tcW w:w="4536" w:type="dxa"/>
            <w:shd w:val="clear" w:color="auto" w:fill="auto"/>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N/A</w:t>
            </w:r>
          </w:p>
        </w:tc>
      </w:tr>
      <w:tr w:rsidR="00B85110" w:rsidRPr="000D5F0E" w:rsidTr="00544A34">
        <w:trPr>
          <w:jc w:val="center"/>
        </w:trPr>
        <w:tc>
          <w:tcPr>
            <w:tcW w:w="2547"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Número de motor</w:t>
            </w:r>
          </w:p>
        </w:tc>
        <w:tc>
          <w:tcPr>
            <w:tcW w:w="4536"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Datos patrimoniales</w:t>
            </w:r>
          </w:p>
        </w:tc>
      </w:tr>
      <w:tr w:rsidR="00B85110" w:rsidRPr="000D5F0E" w:rsidTr="00544A34">
        <w:trPr>
          <w:jc w:val="center"/>
        </w:trPr>
        <w:tc>
          <w:tcPr>
            <w:tcW w:w="2547"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Número de Serie</w:t>
            </w:r>
          </w:p>
        </w:tc>
        <w:tc>
          <w:tcPr>
            <w:tcW w:w="4536" w:type="dxa"/>
            <w:shd w:val="clear" w:color="auto" w:fill="auto"/>
            <w:vAlign w:val="center"/>
          </w:tcPr>
          <w:p w:rsidR="00B85110" w:rsidRPr="000D5F0E" w:rsidRDefault="00B85110" w:rsidP="00D40B7E">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Datos patrimoniales</w:t>
            </w:r>
          </w:p>
        </w:tc>
      </w:tr>
      <w:tr w:rsidR="00B85110" w:rsidRPr="000D5F0E" w:rsidTr="00544A34">
        <w:trPr>
          <w:jc w:val="center"/>
        </w:trPr>
        <w:tc>
          <w:tcPr>
            <w:tcW w:w="2547" w:type="dxa"/>
            <w:shd w:val="clear" w:color="auto" w:fill="auto"/>
            <w:vAlign w:val="center"/>
          </w:tcPr>
          <w:p w:rsidR="00B85110" w:rsidRPr="000D5F0E" w:rsidRDefault="00B85110" w:rsidP="00B85110">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Placa</w:t>
            </w:r>
          </w:p>
        </w:tc>
        <w:tc>
          <w:tcPr>
            <w:tcW w:w="4536" w:type="dxa"/>
            <w:shd w:val="clear" w:color="auto" w:fill="auto"/>
            <w:vAlign w:val="center"/>
          </w:tcPr>
          <w:p w:rsidR="00B85110" w:rsidRPr="000D5F0E" w:rsidRDefault="00B85110" w:rsidP="00B85110">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Datos patrimoniales</w:t>
            </w:r>
          </w:p>
        </w:tc>
      </w:tr>
      <w:tr w:rsidR="00B85110" w:rsidRPr="000D5F0E" w:rsidTr="00544A34">
        <w:trPr>
          <w:jc w:val="center"/>
        </w:trPr>
        <w:tc>
          <w:tcPr>
            <w:tcW w:w="2547" w:type="dxa"/>
            <w:shd w:val="clear" w:color="auto" w:fill="auto"/>
            <w:vAlign w:val="center"/>
          </w:tcPr>
          <w:p w:rsidR="00B85110" w:rsidRPr="000D5F0E" w:rsidRDefault="00B85110" w:rsidP="00B85110">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Póliza</w:t>
            </w:r>
          </w:p>
        </w:tc>
        <w:tc>
          <w:tcPr>
            <w:tcW w:w="4536" w:type="dxa"/>
            <w:shd w:val="clear" w:color="auto" w:fill="auto"/>
          </w:tcPr>
          <w:p w:rsidR="00B85110" w:rsidRPr="000D5F0E" w:rsidRDefault="00B85110" w:rsidP="00B85110">
            <w:pPr>
              <w:pStyle w:val="Prrafodelista"/>
              <w:tabs>
                <w:tab w:val="left" w:pos="426"/>
              </w:tabs>
              <w:ind w:left="0" w:right="51"/>
              <w:jc w:val="center"/>
              <w:rPr>
                <w:rFonts w:ascii="Palatino Linotype" w:hAnsi="Palatino Linotype"/>
                <w:color w:val="000000" w:themeColor="text1"/>
                <w:sz w:val="20"/>
                <w:szCs w:val="20"/>
              </w:rPr>
            </w:pPr>
            <w:r w:rsidRPr="000D5F0E">
              <w:rPr>
                <w:rFonts w:ascii="Palatino Linotype" w:hAnsi="Palatino Linotype"/>
                <w:color w:val="000000" w:themeColor="text1"/>
                <w:sz w:val="20"/>
                <w:szCs w:val="20"/>
              </w:rPr>
              <w:t>Datos patrimoniales</w:t>
            </w:r>
          </w:p>
        </w:tc>
      </w:tr>
    </w:tbl>
    <w:p w:rsidR="00B85110" w:rsidRPr="000D5F0E" w:rsidRDefault="00B85110" w:rsidP="00B85110">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B85110" w:rsidP="00FB18E5">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De lo anterior se desprende que ninguno de los datos anteriormente señalados actualiza la necesidad de clasificarse la información como confidencial, conforme </w:t>
      </w:r>
      <w:r w:rsidR="00FB18E5" w:rsidRPr="000D5F0E">
        <w:rPr>
          <w:rFonts w:ascii="Palatino Linotype" w:hAnsi="Palatino Linotype"/>
          <w:color w:val="000000" w:themeColor="text1"/>
        </w:rPr>
        <w:t>al análisis siguiente</w:t>
      </w:r>
      <w:r w:rsidRPr="000D5F0E">
        <w:rPr>
          <w:rFonts w:ascii="Palatino Linotype" w:hAnsi="Palatino Linotype"/>
          <w:color w:val="000000" w:themeColor="text1"/>
        </w:rPr>
        <w:t>:</w:t>
      </w:r>
    </w:p>
    <w:p w:rsidR="00266C62" w:rsidRPr="000D5F0E" w:rsidRDefault="00266C62" w:rsidP="00266C62">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266C62">
      <w:pPr>
        <w:pStyle w:val="Prrafodelista"/>
        <w:tabs>
          <w:tab w:val="left" w:pos="426"/>
        </w:tabs>
        <w:spacing w:line="360" w:lineRule="auto"/>
        <w:ind w:left="0" w:right="51"/>
        <w:jc w:val="both"/>
        <w:rPr>
          <w:rFonts w:ascii="Palatino Linotype" w:hAnsi="Palatino Linotype"/>
          <w:b/>
          <w:color w:val="000000" w:themeColor="text1"/>
          <w:u w:val="single"/>
        </w:rPr>
      </w:pPr>
      <w:r w:rsidRPr="000D5F0E">
        <w:rPr>
          <w:rFonts w:ascii="Palatino Linotype" w:hAnsi="Palatino Linotype"/>
          <w:b/>
          <w:color w:val="000000" w:themeColor="text1"/>
          <w:u w:val="single"/>
        </w:rPr>
        <w:t>Del número de motor y serie.</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Por cuanto hace al número de motor de un vehículo, éste es grabado por el fabricante en el bloque del motor, con el objetivo de servir para ubicar e identificar esta pieza del vehículo para casos en los que sea necesario, como robo, informes de </w:t>
      </w:r>
      <w:r w:rsidRPr="000D5F0E">
        <w:rPr>
          <w:rFonts w:ascii="Palatino Linotype" w:hAnsi="Palatino Linotype"/>
          <w:color w:val="000000" w:themeColor="text1"/>
        </w:rPr>
        <w:lastRenderedPageBreak/>
        <w:t>accidentes y reclamaciones de seguros</w:t>
      </w:r>
      <w:r w:rsidRPr="000D5F0E">
        <w:rPr>
          <w:rStyle w:val="Refdenotaalpie"/>
          <w:rFonts w:ascii="Palatino Linotype" w:hAnsi="Palatino Linotype"/>
          <w:color w:val="000000" w:themeColor="text1"/>
        </w:rPr>
        <w:footnoteReference w:id="5"/>
      </w:r>
      <w:r w:rsidRPr="000D5F0E">
        <w:rPr>
          <w:rFonts w:ascii="Palatino Linotype" w:hAnsi="Palatino Linotype"/>
          <w:color w:val="000000" w:themeColor="text1"/>
        </w:rPr>
        <w:t>; existe otro dato, conocido como VIN, sin embargo, ambos son identificadores diferentes</w:t>
      </w:r>
      <w:r w:rsidRPr="000D5F0E">
        <w:rPr>
          <w:rStyle w:val="Refdenotaalpie"/>
          <w:rFonts w:ascii="Palatino Linotype" w:hAnsi="Palatino Linotype"/>
          <w:color w:val="000000" w:themeColor="text1"/>
        </w:rPr>
        <w:footnoteReference w:id="6"/>
      </w:r>
      <w:r w:rsidRPr="000D5F0E">
        <w:rPr>
          <w:rFonts w:ascii="Palatino Linotype" w:hAnsi="Palatino Linotype"/>
          <w:color w:val="000000" w:themeColor="text1"/>
        </w:rPr>
        <w:t xml:space="preserve">. </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El número de motor cuenta con información codificada que otorga referencias importantes como el año y país de fabricación, o el tipo de motor</w:t>
      </w:r>
      <w:r w:rsidRPr="000D5F0E">
        <w:rPr>
          <w:rStyle w:val="Refdenotaalpie"/>
          <w:rFonts w:ascii="Palatino Linotype" w:hAnsi="Palatino Linotype"/>
          <w:color w:val="000000" w:themeColor="text1"/>
        </w:rPr>
        <w:footnoteReference w:id="7"/>
      </w:r>
      <w:r w:rsidRPr="000D5F0E">
        <w:rPr>
          <w:rFonts w:ascii="Palatino Linotype" w:hAnsi="Palatino Linotype"/>
          <w:color w:val="000000" w:themeColor="text1"/>
        </w:rPr>
        <w:t xml:space="preserve">; mientras que el VIN </w:t>
      </w:r>
      <w:r w:rsidR="00B85110" w:rsidRPr="000D5F0E">
        <w:rPr>
          <w:rFonts w:ascii="Palatino Linotype" w:hAnsi="Palatino Linotype"/>
          <w:color w:val="000000" w:themeColor="text1"/>
        </w:rPr>
        <w:t xml:space="preserve">(por sus siglas en inglés) </w:t>
      </w:r>
      <w:r w:rsidRPr="000D5F0E">
        <w:rPr>
          <w:rFonts w:ascii="Palatino Linotype" w:hAnsi="Palatino Linotype"/>
          <w:color w:val="000000" w:themeColor="text1"/>
        </w:rPr>
        <w:t>o Número de Identificación de Vehículo consiste en un estándar internacional que consta de 17 caracteres alfanuméricos que permiten identificar y conocer los registros de un vehículo automotor.</w:t>
      </w:r>
      <w:r w:rsidR="00266C62" w:rsidRPr="000D5F0E">
        <w:rPr>
          <w:rFonts w:ascii="Palatino Linotype" w:hAnsi="Palatino Linotype"/>
          <w:color w:val="000000" w:themeColor="text1"/>
        </w:rPr>
        <w:t xml:space="preserve"> </w:t>
      </w:r>
      <w:r w:rsidRPr="000D5F0E">
        <w:rPr>
          <w:rFonts w:ascii="Palatino Linotype" w:hAnsi="Palatino Linotype"/>
          <w:color w:val="000000" w:themeColor="text1"/>
        </w:rPr>
        <w:t xml:space="preserve">Cabe señalar que ambos números, el VIN y el número de motor, generan una huella de identificación única para cada vehículo en todo el mundo. </w:t>
      </w:r>
    </w:p>
    <w:p w:rsidR="00266C62" w:rsidRPr="000D5F0E" w:rsidRDefault="00266C62" w:rsidP="00266C62">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266C62">
      <w:pPr>
        <w:pStyle w:val="Prrafodelista"/>
        <w:tabs>
          <w:tab w:val="left" w:pos="426"/>
        </w:tabs>
        <w:spacing w:line="360" w:lineRule="auto"/>
        <w:ind w:left="0" w:right="51"/>
        <w:jc w:val="both"/>
        <w:rPr>
          <w:rFonts w:ascii="Palatino Linotype" w:hAnsi="Palatino Linotype"/>
          <w:b/>
          <w:color w:val="000000" w:themeColor="text1"/>
          <w:u w:val="single"/>
        </w:rPr>
      </w:pPr>
      <w:r w:rsidRPr="000D5F0E">
        <w:rPr>
          <w:rFonts w:ascii="Palatino Linotype" w:hAnsi="Palatino Linotype"/>
          <w:b/>
          <w:color w:val="000000" w:themeColor="text1"/>
          <w:u w:val="single"/>
        </w:rPr>
        <w:t>Del número de placa.</w:t>
      </w:r>
    </w:p>
    <w:p w:rsidR="007B44C8" w:rsidRPr="000D5F0E" w:rsidRDefault="007B44C8" w:rsidP="007B44C8">
      <w:pPr>
        <w:tabs>
          <w:tab w:val="left" w:pos="426"/>
        </w:tabs>
        <w:spacing w:line="360" w:lineRule="auto"/>
        <w:ind w:right="51"/>
        <w:jc w:val="both"/>
        <w:rPr>
          <w:rFonts w:ascii="Palatino Linotype" w:hAnsi="Palatino Linotype"/>
          <w:color w:val="000000" w:themeColor="text1"/>
        </w:rPr>
      </w:pPr>
    </w:p>
    <w:p w:rsidR="007B44C8" w:rsidRPr="000D5F0E" w:rsidRDefault="00266C62" w:rsidP="003162EF">
      <w:pPr>
        <w:numPr>
          <w:ilvl w:val="0"/>
          <w:numId w:val="2"/>
        </w:numPr>
        <w:spacing w:line="360" w:lineRule="auto"/>
        <w:ind w:left="0" w:firstLine="0"/>
        <w:jc w:val="both"/>
        <w:rPr>
          <w:rFonts w:ascii="Palatino Linotype" w:hAnsi="Palatino Linotype"/>
          <w:i/>
          <w:color w:val="000000" w:themeColor="text1"/>
        </w:rPr>
      </w:pPr>
      <w:r w:rsidRPr="000D5F0E">
        <w:rPr>
          <w:rFonts w:ascii="Palatino Linotype" w:hAnsi="Palatino Linotype"/>
          <w:color w:val="000000" w:themeColor="text1"/>
        </w:rPr>
        <w:t>El artículo 7.7</w:t>
      </w:r>
      <w:r w:rsidR="007B44C8" w:rsidRPr="000D5F0E">
        <w:rPr>
          <w:rFonts w:ascii="Palatino Linotype" w:hAnsi="Palatino Linotype"/>
          <w:color w:val="000000" w:themeColor="text1"/>
        </w:rPr>
        <w:t xml:space="preserve"> del Código Administrativo del Estado de México establece que le </w:t>
      </w:r>
      <w:r w:rsidR="00FE6D0B" w:rsidRPr="000D5F0E">
        <w:rPr>
          <w:rFonts w:ascii="Palatino Linotype" w:hAnsi="Palatino Linotype"/>
          <w:i/>
          <w:color w:val="000000" w:themeColor="text1"/>
        </w:rPr>
        <w:t>“Corresponde a la Secretaría de Movilidad matricular los vehículos de transporte…</w:t>
      </w:r>
      <w:r w:rsidR="00FE6D0B" w:rsidRPr="000D5F0E">
        <w:rPr>
          <w:i/>
        </w:rPr>
        <w:t xml:space="preserve"> </w:t>
      </w:r>
      <w:r w:rsidR="00FE6D0B" w:rsidRPr="000D5F0E">
        <w:rPr>
          <w:rFonts w:ascii="Palatino Linotype" w:hAnsi="Palatino Linotype"/>
          <w:i/>
          <w:color w:val="000000" w:themeColor="text1"/>
        </w:rPr>
        <w:t xml:space="preserve">destinado para prestar un servicio a la población por parte de organismos y dependencias federales, estatales o municipales tales como de seguridad pública, tránsito estatal y municipal, protección civil, rescate, bomberos, policía ministerial, servicio médico forense, traslado de valores, ambulancias, servicios funerarios, de traslado de residuos y materiales peligrosos, pipas para agua potable, recolección y traslado de residuos líquidos y sólidos, mantenimiento de redes hidráulicas y eléctricas; y en general, todos aquellos vehículos que </w:t>
      </w:r>
      <w:r w:rsidR="00FE6D0B" w:rsidRPr="000D5F0E">
        <w:rPr>
          <w:rFonts w:ascii="Palatino Linotype" w:hAnsi="Palatino Linotype"/>
          <w:i/>
          <w:color w:val="000000" w:themeColor="text1"/>
        </w:rPr>
        <w:lastRenderedPageBreak/>
        <w:t>deban registrarse en el Estado de México y que no sean de servicio particular, y de particulares sobre servicios similares; expidiendo calcomanías, tarjetas de circulación y demás elementos de identificación que se estimen necesarios”</w:t>
      </w:r>
      <w:r w:rsidR="00FE6D0B" w:rsidRPr="000D5F0E">
        <w:rPr>
          <w:rFonts w:ascii="Palatino Linotype" w:hAnsi="Palatino Linotype"/>
          <w:color w:val="000000" w:themeColor="text1"/>
        </w:rPr>
        <w:t>, así como el 7.8 establece que “</w:t>
      </w:r>
      <w:r w:rsidR="00FE6D0B" w:rsidRPr="000D5F0E">
        <w:rPr>
          <w:rFonts w:ascii="Palatino Linotype" w:hAnsi="Palatino Linotype"/>
          <w:i/>
          <w:color w:val="000000" w:themeColor="text1"/>
        </w:rPr>
        <w:t>Corresponde a la Secretaría de Finanzas matricular los vehículos destinados al transporte de uso particular, expidiendo las placas de matriculación, calcomanías, tarjetas de circulación y demás elementos de identificación que se estimen necesarios; así como realizar todos aquellos trámites de control vehicular que modifiquen y actualicen el registro del vehículo.”</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Por lo tanto, la matriculación de un vehículo </w:t>
      </w:r>
      <w:r w:rsidR="00FE6D0B" w:rsidRPr="000D5F0E">
        <w:rPr>
          <w:rFonts w:ascii="Palatino Linotype" w:hAnsi="Palatino Linotype"/>
          <w:color w:val="000000" w:themeColor="text1"/>
        </w:rPr>
        <w:t>tiene la finalidad</w:t>
      </w:r>
      <w:r w:rsidRPr="000D5F0E">
        <w:rPr>
          <w:rFonts w:ascii="Palatino Linotype" w:hAnsi="Palatino Linotype"/>
          <w:color w:val="000000" w:themeColor="text1"/>
        </w:rPr>
        <w:t xml:space="preserve"> dar de alta un vehículo automotor </w:t>
      </w:r>
      <w:r w:rsidR="00FE6D0B" w:rsidRPr="000D5F0E">
        <w:rPr>
          <w:rFonts w:ascii="Palatino Linotype" w:hAnsi="Palatino Linotype"/>
          <w:color w:val="000000" w:themeColor="text1"/>
        </w:rPr>
        <w:t>para determinar al propietario</w:t>
      </w:r>
      <w:r w:rsidRPr="000D5F0E">
        <w:rPr>
          <w:rFonts w:ascii="Palatino Linotype" w:hAnsi="Palatino Linotype"/>
          <w:color w:val="000000" w:themeColor="text1"/>
        </w:rPr>
        <w:t>, lo cual devengará en una serie de derechos y obligaciones de carácter patrimonial y fiscal para éste.</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No se omite mencionar que el número de placa de un vehículo permite consultar diversos portales relacionados con el estado de éste, tales como si se encuentra vigente su obligación de pago de tenencia, e inclusive si tiene algún reporte de robo o si se encuentra vinculado en la comisión de algún hecho delictivo. </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Por otro lado, la Ley del Registro Público Vehicular establece que éste es registro tendrá por objeto la identificación y control vehicular; en la que consten las inscripciones o altas, bajas, </w:t>
      </w:r>
      <w:proofErr w:type="spellStart"/>
      <w:r w:rsidRPr="000D5F0E">
        <w:rPr>
          <w:rFonts w:ascii="Palatino Linotype" w:hAnsi="Palatino Linotype"/>
          <w:color w:val="000000" w:themeColor="text1"/>
        </w:rPr>
        <w:t>emplacamientos</w:t>
      </w:r>
      <w:proofErr w:type="spellEnd"/>
      <w:r w:rsidRPr="000D5F0E">
        <w:rPr>
          <w:rFonts w:ascii="Palatino Linotype" w:hAnsi="Palatino Linotype"/>
          <w:color w:val="000000" w:themeColor="text1"/>
        </w:rPr>
        <w:t>, infracciones, pérdidas, robos, recuperaciones y destrucción de los vehículos que se fabrican, ensamblan, importan o circulan en el territorio nacional, así como brindar servicios de información al público</w:t>
      </w:r>
      <w:r w:rsidRPr="000D5F0E">
        <w:rPr>
          <w:rStyle w:val="Refdenotaalpie"/>
          <w:rFonts w:ascii="Palatino Linotype" w:hAnsi="Palatino Linotype"/>
          <w:color w:val="000000" w:themeColor="text1"/>
        </w:rPr>
        <w:footnoteReference w:id="8"/>
      </w:r>
      <w:r w:rsidRPr="000D5F0E">
        <w:rPr>
          <w:rFonts w:ascii="Palatino Linotype" w:hAnsi="Palatino Linotype"/>
          <w:color w:val="000000" w:themeColor="text1"/>
        </w:rPr>
        <w:t>.</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El Registro Público Vehicular estará conformado por una base de datos integrada por la información que de cada vehículo proporcionen las autoridades federales, las Entidades Federativas y los sujetos obligados a realizar las inscripciones y a presentar los avisos, de conformidad con lo dispuesto en su norma</w:t>
      </w:r>
      <w:r w:rsidRPr="000D5F0E">
        <w:rPr>
          <w:rStyle w:val="Refdenotaalpie"/>
          <w:rFonts w:ascii="Palatino Linotype" w:hAnsi="Palatino Linotype"/>
          <w:color w:val="000000" w:themeColor="text1"/>
        </w:rPr>
        <w:footnoteReference w:id="9"/>
      </w:r>
      <w:r w:rsidRPr="000D5F0E">
        <w:rPr>
          <w:rFonts w:ascii="Palatino Linotype" w:hAnsi="Palatino Linotype"/>
          <w:color w:val="000000" w:themeColor="text1"/>
        </w:rPr>
        <w:t>.</w:t>
      </w:r>
    </w:p>
    <w:p w:rsidR="007B44C8" w:rsidRPr="000D5F0E" w:rsidRDefault="007B44C8" w:rsidP="003162EF">
      <w:pPr>
        <w:pStyle w:val="Prrafodelista"/>
        <w:tabs>
          <w:tab w:val="left" w:pos="426"/>
        </w:tabs>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Así, al ingresar al portal del Registro Público Vehicular</w:t>
      </w:r>
      <w:r w:rsidRPr="000D5F0E">
        <w:rPr>
          <w:rStyle w:val="Refdenotaalpie"/>
          <w:rFonts w:ascii="Palatino Linotype" w:hAnsi="Palatino Linotype"/>
          <w:color w:val="000000" w:themeColor="text1"/>
        </w:rPr>
        <w:footnoteReference w:id="10"/>
      </w:r>
      <w:r w:rsidRPr="000D5F0E">
        <w:rPr>
          <w:rFonts w:ascii="Palatino Linotype" w:hAnsi="Palatino Linotype"/>
          <w:color w:val="000000" w:themeColor="text1"/>
        </w:rPr>
        <w:t xml:space="preserve">, se requiere la inscripción de un criterio de búsqueda, el cual podrá ser el </w:t>
      </w:r>
      <w:r w:rsidRPr="000D5F0E">
        <w:rPr>
          <w:rFonts w:ascii="Palatino Linotype" w:hAnsi="Palatino Linotype"/>
          <w:b/>
          <w:color w:val="000000" w:themeColor="text1"/>
        </w:rPr>
        <w:t>número de placa</w:t>
      </w:r>
      <w:r w:rsidRPr="000D5F0E">
        <w:rPr>
          <w:rFonts w:ascii="Palatino Linotype" w:hAnsi="Palatino Linotype"/>
          <w:color w:val="000000" w:themeColor="text1"/>
        </w:rPr>
        <w:t xml:space="preserve">, VIN, y el folio o número </w:t>
      </w:r>
      <w:r w:rsidR="00FE6D0B" w:rsidRPr="000D5F0E">
        <w:rPr>
          <w:rFonts w:ascii="Palatino Linotype" w:hAnsi="Palatino Linotype"/>
          <w:color w:val="000000" w:themeColor="text1"/>
        </w:rPr>
        <w:t>de la constancia de inscripción.</w:t>
      </w:r>
    </w:p>
    <w:p w:rsidR="00FE6D0B" w:rsidRPr="000D5F0E" w:rsidRDefault="00FE6D0B" w:rsidP="003162EF">
      <w:pPr>
        <w:pStyle w:val="Prrafodelista"/>
        <w:tabs>
          <w:tab w:val="left" w:pos="426"/>
        </w:tabs>
        <w:ind w:left="0" w:right="51"/>
        <w:jc w:val="both"/>
        <w:rPr>
          <w:rFonts w:ascii="Palatino Linotype" w:hAnsi="Palatino Linotype"/>
          <w:color w:val="000000" w:themeColor="text1"/>
        </w:rPr>
      </w:pPr>
    </w:p>
    <w:p w:rsidR="007B44C8"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Al ingresar un criterio válido, el portal arrojará cinco reportes, a saber:</w:t>
      </w:r>
    </w:p>
    <w:p w:rsidR="007B44C8" w:rsidRPr="000D5F0E" w:rsidRDefault="007B44C8" w:rsidP="003162EF">
      <w:pPr>
        <w:pStyle w:val="Prrafodelista"/>
        <w:numPr>
          <w:ilvl w:val="0"/>
          <w:numId w:val="40"/>
        </w:numPr>
        <w:tabs>
          <w:tab w:val="left" w:pos="426"/>
        </w:tabs>
        <w:ind w:left="1491" w:right="51" w:hanging="357"/>
        <w:jc w:val="both"/>
        <w:rPr>
          <w:rFonts w:ascii="Palatino Linotype" w:hAnsi="Palatino Linotype"/>
          <w:color w:val="000000" w:themeColor="text1"/>
          <w:sz w:val="22"/>
          <w:szCs w:val="22"/>
        </w:rPr>
      </w:pPr>
      <w:r w:rsidRPr="000D5F0E">
        <w:rPr>
          <w:rFonts w:ascii="Palatino Linotype" w:hAnsi="Palatino Linotype"/>
          <w:color w:val="000000" w:themeColor="text1"/>
          <w:sz w:val="22"/>
          <w:szCs w:val="22"/>
        </w:rPr>
        <w:t>Si el vehículo está inscrito en el Registro Público Vehicular;</w:t>
      </w:r>
    </w:p>
    <w:p w:rsidR="007B44C8" w:rsidRPr="000D5F0E" w:rsidRDefault="007B44C8" w:rsidP="003162EF">
      <w:pPr>
        <w:pStyle w:val="Prrafodelista"/>
        <w:numPr>
          <w:ilvl w:val="0"/>
          <w:numId w:val="40"/>
        </w:numPr>
        <w:tabs>
          <w:tab w:val="left" w:pos="426"/>
        </w:tabs>
        <w:ind w:left="1491" w:right="51" w:hanging="357"/>
        <w:jc w:val="both"/>
        <w:rPr>
          <w:rFonts w:ascii="Palatino Linotype" w:hAnsi="Palatino Linotype"/>
          <w:color w:val="000000" w:themeColor="text1"/>
          <w:sz w:val="22"/>
          <w:szCs w:val="22"/>
        </w:rPr>
      </w:pPr>
      <w:r w:rsidRPr="000D5F0E">
        <w:rPr>
          <w:rFonts w:ascii="Palatino Linotype" w:hAnsi="Palatino Linotype"/>
          <w:color w:val="000000" w:themeColor="text1"/>
          <w:sz w:val="22"/>
          <w:szCs w:val="22"/>
        </w:rPr>
        <w:t>Si alguna Fiscalía General de Justicia ha emitido un reporte de robo;</w:t>
      </w:r>
    </w:p>
    <w:p w:rsidR="007B44C8" w:rsidRPr="000D5F0E" w:rsidRDefault="007B44C8" w:rsidP="003162EF">
      <w:pPr>
        <w:pStyle w:val="Prrafodelista"/>
        <w:numPr>
          <w:ilvl w:val="0"/>
          <w:numId w:val="40"/>
        </w:numPr>
        <w:tabs>
          <w:tab w:val="left" w:pos="426"/>
        </w:tabs>
        <w:ind w:left="1491" w:right="51" w:hanging="357"/>
        <w:jc w:val="both"/>
        <w:rPr>
          <w:rFonts w:ascii="Palatino Linotype" w:hAnsi="Palatino Linotype"/>
          <w:color w:val="000000" w:themeColor="text1"/>
          <w:sz w:val="22"/>
          <w:szCs w:val="22"/>
        </w:rPr>
      </w:pPr>
      <w:r w:rsidRPr="000D5F0E">
        <w:rPr>
          <w:rFonts w:ascii="Palatino Linotype" w:hAnsi="Palatino Linotype"/>
          <w:color w:val="000000" w:themeColor="text1"/>
          <w:sz w:val="22"/>
          <w:szCs w:val="22"/>
        </w:rPr>
        <w:t>Si la Oficina Coordinadora de Riesgos Asegurados ha emitido un reporte de robo;</w:t>
      </w:r>
    </w:p>
    <w:p w:rsidR="007B44C8" w:rsidRPr="000D5F0E" w:rsidRDefault="007B44C8" w:rsidP="003162EF">
      <w:pPr>
        <w:pStyle w:val="Prrafodelista"/>
        <w:numPr>
          <w:ilvl w:val="0"/>
          <w:numId w:val="40"/>
        </w:numPr>
        <w:tabs>
          <w:tab w:val="left" w:pos="426"/>
        </w:tabs>
        <w:ind w:left="1491" w:right="51" w:hanging="357"/>
        <w:jc w:val="both"/>
        <w:rPr>
          <w:rFonts w:ascii="Palatino Linotype" w:hAnsi="Palatino Linotype"/>
          <w:color w:val="000000" w:themeColor="text1"/>
          <w:sz w:val="22"/>
          <w:szCs w:val="22"/>
        </w:rPr>
      </w:pPr>
      <w:r w:rsidRPr="000D5F0E">
        <w:rPr>
          <w:rFonts w:ascii="Palatino Linotype" w:hAnsi="Palatino Linotype"/>
          <w:color w:val="000000" w:themeColor="text1"/>
          <w:sz w:val="22"/>
          <w:szCs w:val="22"/>
        </w:rPr>
        <w:t>Si existe algún reporte de robo registrado en Estados Unidos o Canadá; y</w:t>
      </w:r>
    </w:p>
    <w:p w:rsidR="007B44C8" w:rsidRPr="000D5F0E" w:rsidRDefault="007B44C8" w:rsidP="003162EF">
      <w:pPr>
        <w:pStyle w:val="Prrafodelista"/>
        <w:numPr>
          <w:ilvl w:val="0"/>
          <w:numId w:val="40"/>
        </w:numPr>
        <w:tabs>
          <w:tab w:val="left" w:pos="426"/>
        </w:tabs>
        <w:ind w:left="1491" w:right="51" w:hanging="357"/>
        <w:jc w:val="both"/>
        <w:rPr>
          <w:rFonts w:ascii="Palatino Linotype" w:hAnsi="Palatino Linotype"/>
          <w:color w:val="000000" w:themeColor="text1"/>
          <w:sz w:val="22"/>
          <w:szCs w:val="22"/>
        </w:rPr>
      </w:pPr>
      <w:r w:rsidRPr="000D5F0E">
        <w:rPr>
          <w:rFonts w:ascii="Palatino Linotype" w:hAnsi="Palatino Linotype"/>
          <w:color w:val="000000" w:themeColor="text1"/>
          <w:sz w:val="22"/>
          <w:szCs w:val="22"/>
        </w:rPr>
        <w:t>Si existe algún aviso ministerial o judicial relacionado con la comisión de algún delito.</w:t>
      </w:r>
    </w:p>
    <w:p w:rsidR="007B44C8" w:rsidRPr="000D5F0E" w:rsidRDefault="007B44C8" w:rsidP="007B44C8">
      <w:pPr>
        <w:pStyle w:val="Prrafodelista"/>
        <w:tabs>
          <w:tab w:val="left" w:pos="426"/>
        </w:tabs>
        <w:spacing w:line="360" w:lineRule="auto"/>
        <w:ind w:left="0" w:right="51"/>
        <w:jc w:val="both"/>
        <w:rPr>
          <w:rFonts w:ascii="Palatino Linotype" w:hAnsi="Palatino Linotype"/>
          <w:color w:val="000000" w:themeColor="text1"/>
        </w:rPr>
      </w:pPr>
    </w:p>
    <w:p w:rsidR="00FE6D0B" w:rsidRPr="000D5F0E" w:rsidRDefault="007B44C8"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Cuando el vehículo a consultar no tiene ninguna irregularidad, cada uno de los reportes antes mencionados mostrarán un mensaje que indique, justamente, que el vehículo no tiene un rep</w:t>
      </w:r>
      <w:r w:rsidR="00FE6D0B" w:rsidRPr="000D5F0E">
        <w:rPr>
          <w:rFonts w:ascii="Palatino Linotype" w:hAnsi="Palatino Linotype"/>
          <w:color w:val="000000" w:themeColor="text1"/>
        </w:rPr>
        <w:t>orte o irregularidad detectada.</w:t>
      </w:r>
    </w:p>
    <w:p w:rsidR="003162EF" w:rsidRPr="000D5F0E" w:rsidRDefault="003162EF" w:rsidP="003162EF">
      <w:pPr>
        <w:jc w:val="both"/>
        <w:rPr>
          <w:rFonts w:ascii="Palatino Linotype" w:hAnsi="Palatino Linotype"/>
          <w:color w:val="000000" w:themeColor="text1"/>
        </w:rPr>
      </w:pPr>
    </w:p>
    <w:p w:rsidR="007B44C8" w:rsidRPr="000D5F0E" w:rsidRDefault="00765F50" w:rsidP="003162EF">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De lo expuesto se determina que </w:t>
      </w:r>
      <w:r w:rsidR="007B44C8" w:rsidRPr="000D5F0E">
        <w:rPr>
          <w:rFonts w:ascii="Palatino Linotype" w:hAnsi="Palatino Linotype"/>
          <w:color w:val="000000" w:themeColor="text1"/>
        </w:rPr>
        <w:t>dar a conocer la información permitiría que la ciudadanía cuente con más herramientas de consulta del estado que guardan los vehículos registrados en el Estado de México.</w:t>
      </w:r>
    </w:p>
    <w:p w:rsidR="007E015D" w:rsidRPr="000D5F0E" w:rsidRDefault="007E015D" w:rsidP="007E015D">
      <w:pPr>
        <w:pStyle w:val="Prrafodelista"/>
        <w:tabs>
          <w:tab w:val="left" w:pos="426"/>
        </w:tabs>
        <w:spacing w:line="360" w:lineRule="auto"/>
        <w:ind w:left="0" w:right="51"/>
        <w:jc w:val="both"/>
        <w:rPr>
          <w:rFonts w:ascii="Palatino Linotype" w:hAnsi="Palatino Linotype"/>
          <w:color w:val="000000" w:themeColor="text1"/>
        </w:rPr>
      </w:pPr>
    </w:p>
    <w:p w:rsidR="007E015D" w:rsidRPr="000D5F0E" w:rsidRDefault="00150323" w:rsidP="007E015D">
      <w:pPr>
        <w:pStyle w:val="Prrafodelista"/>
        <w:tabs>
          <w:tab w:val="left" w:pos="426"/>
        </w:tabs>
        <w:spacing w:line="360" w:lineRule="auto"/>
        <w:ind w:left="0" w:right="51"/>
        <w:jc w:val="both"/>
        <w:rPr>
          <w:rFonts w:ascii="Palatino Linotype" w:hAnsi="Palatino Linotype"/>
          <w:b/>
          <w:color w:val="000000" w:themeColor="text1"/>
          <w:u w:val="single"/>
        </w:rPr>
      </w:pPr>
      <w:r w:rsidRPr="000D5F0E">
        <w:rPr>
          <w:rFonts w:ascii="Palatino Linotype" w:hAnsi="Palatino Linotype"/>
          <w:b/>
          <w:color w:val="000000" w:themeColor="text1"/>
          <w:u w:val="single"/>
        </w:rPr>
        <w:t xml:space="preserve">De la </w:t>
      </w:r>
      <w:r w:rsidR="007E015D" w:rsidRPr="000D5F0E">
        <w:rPr>
          <w:rFonts w:ascii="Palatino Linotype" w:hAnsi="Palatino Linotype"/>
          <w:b/>
          <w:color w:val="000000" w:themeColor="text1"/>
          <w:u w:val="single"/>
        </w:rPr>
        <w:t>Marca, modelo y color</w:t>
      </w:r>
    </w:p>
    <w:p w:rsidR="007E015D" w:rsidRPr="000D5F0E" w:rsidRDefault="007E015D" w:rsidP="007E015D">
      <w:pPr>
        <w:pStyle w:val="Prrafodelista"/>
        <w:tabs>
          <w:tab w:val="left" w:pos="426"/>
        </w:tabs>
        <w:spacing w:line="360" w:lineRule="auto"/>
        <w:ind w:left="0" w:right="51"/>
        <w:jc w:val="both"/>
        <w:rPr>
          <w:rFonts w:ascii="Palatino Linotype" w:hAnsi="Palatino Linotype"/>
          <w:b/>
          <w:color w:val="000000" w:themeColor="text1"/>
        </w:rPr>
      </w:pPr>
    </w:p>
    <w:p w:rsidR="007E015D" w:rsidRPr="000D5F0E" w:rsidRDefault="007E015D" w:rsidP="00F13E29">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Los datos referentes a la marca de un auto hacen referencia al fabricante del mismo, mientras que el modelo representa la versión o diseño específico del </w:t>
      </w:r>
      <w:r w:rsidR="00F13E29" w:rsidRPr="000D5F0E">
        <w:rPr>
          <w:rFonts w:ascii="Palatino Linotype" w:hAnsi="Palatino Linotype"/>
          <w:color w:val="000000" w:themeColor="text1"/>
        </w:rPr>
        <w:t>éste</w:t>
      </w:r>
      <w:r w:rsidRPr="000D5F0E">
        <w:rPr>
          <w:rFonts w:ascii="Palatino Linotype" w:hAnsi="Palatino Linotype"/>
          <w:color w:val="000000" w:themeColor="text1"/>
        </w:rPr>
        <w:t xml:space="preserve"> y el color es el aspecto que se le da a una cosa. Por lo que</w:t>
      </w:r>
      <w:r w:rsidR="00F13E29" w:rsidRPr="000D5F0E">
        <w:rPr>
          <w:rFonts w:ascii="Palatino Linotype" w:hAnsi="Palatino Linotype"/>
          <w:color w:val="000000" w:themeColor="text1"/>
        </w:rPr>
        <w:t>,</w:t>
      </w:r>
      <w:r w:rsidRPr="000D5F0E">
        <w:rPr>
          <w:rFonts w:ascii="Palatino Linotype" w:hAnsi="Palatino Linotype"/>
          <w:color w:val="000000" w:themeColor="text1"/>
        </w:rPr>
        <w:t xml:space="preserve"> como ya se estableció en párrafos anteriores, estos datos no constituyen ningún motivo de clasificación de información, sino por el contrario abonan a la obligación de transparentar los bienes y recursos públicos del Estado, al dar a conocer a la ciudadanía la información respecto del patrimonio de los Sujetos Obligados.</w:t>
      </w:r>
    </w:p>
    <w:p w:rsidR="007E015D" w:rsidRPr="000D5F0E" w:rsidRDefault="007E015D" w:rsidP="007E015D">
      <w:pPr>
        <w:pStyle w:val="Prrafodelista"/>
        <w:tabs>
          <w:tab w:val="left" w:pos="426"/>
        </w:tabs>
        <w:spacing w:line="360" w:lineRule="auto"/>
        <w:ind w:left="0" w:right="51"/>
        <w:jc w:val="both"/>
        <w:rPr>
          <w:rFonts w:ascii="Palatino Linotype" w:hAnsi="Palatino Linotype"/>
          <w:color w:val="000000" w:themeColor="text1"/>
        </w:rPr>
      </w:pPr>
    </w:p>
    <w:p w:rsidR="007E015D" w:rsidRPr="000D5F0E" w:rsidRDefault="00150323" w:rsidP="007E015D">
      <w:pPr>
        <w:pStyle w:val="Prrafodelista"/>
        <w:tabs>
          <w:tab w:val="left" w:pos="426"/>
        </w:tabs>
        <w:spacing w:line="360" w:lineRule="auto"/>
        <w:ind w:left="0" w:right="51"/>
        <w:jc w:val="both"/>
        <w:rPr>
          <w:rFonts w:ascii="Palatino Linotype" w:hAnsi="Palatino Linotype"/>
          <w:b/>
          <w:color w:val="000000" w:themeColor="text1"/>
          <w:u w:val="single"/>
        </w:rPr>
      </w:pPr>
      <w:r w:rsidRPr="000D5F0E">
        <w:rPr>
          <w:rFonts w:ascii="Palatino Linotype" w:hAnsi="Palatino Linotype"/>
          <w:b/>
          <w:color w:val="000000" w:themeColor="text1"/>
          <w:u w:val="single"/>
        </w:rPr>
        <w:t xml:space="preserve">Del </w:t>
      </w:r>
      <w:r w:rsidR="007E015D" w:rsidRPr="000D5F0E">
        <w:rPr>
          <w:rFonts w:ascii="Palatino Linotype" w:hAnsi="Palatino Linotype"/>
          <w:b/>
          <w:color w:val="000000" w:themeColor="text1"/>
          <w:u w:val="single"/>
        </w:rPr>
        <w:t xml:space="preserve">Número de póliza </w:t>
      </w:r>
    </w:p>
    <w:p w:rsidR="007E015D" w:rsidRPr="000D5F0E" w:rsidRDefault="007E015D" w:rsidP="007E015D">
      <w:pPr>
        <w:pStyle w:val="Prrafodelista"/>
        <w:tabs>
          <w:tab w:val="left" w:pos="426"/>
        </w:tabs>
        <w:spacing w:line="360" w:lineRule="auto"/>
        <w:ind w:left="0" w:right="51"/>
        <w:jc w:val="both"/>
        <w:rPr>
          <w:rFonts w:ascii="Palatino Linotype" w:hAnsi="Palatino Linotype"/>
          <w:b/>
          <w:color w:val="000000" w:themeColor="text1"/>
        </w:rPr>
      </w:pPr>
    </w:p>
    <w:p w:rsidR="00150323" w:rsidRPr="000D5F0E" w:rsidRDefault="007E015D" w:rsidP="00045558">
      <w:pPr>
        <w:numPr>
          <w:ilvl w:val="0"/>
          <w:numId w:val="2"/>
        </w:numPr>
        <w:spacing w:line="360" w:lineRule="auto"/>
        <w:ind w:left="0" w:firstLine="0"/>
        <w:jc w:val="both"/>
        <w:rPr>
          <w:rFonts w:ascii="Palatino Linotype" w:hAnsi="Palatino Linotype"/>
          <w:color w:val="000000" w:themeColor="text1"/>
        </w:rPr>
      </w:pPr>
      <w:r w:rsidRPr="000D5F0E">
        <w:rPr>
          <w:rFonts w:ascii="Palatino Linotype" w:hAnsi="Palatino Linotype"/>
          <w:color w:val="000000" w:themeColor="text1"/>
        </w:rPr>
        <w:t xml:space="preserve">El número de póliza de un seguro vehicular </w:t>
      </w:r>
      <w:r w:rsidR="00045558" w:rsidRPr="000D5F0E">
        <w:rPr>
          <w:rFonts w:ascii="Palatino Linotype" w:hAnsi="Palatino Linotype"/>
          <w:color w:val="000000" w:themeColor="text1"/>
        </w:rPr>
        <w:t>representa</w:t>
      </w:r>
      <w:r w:rsidRPr="000D5F0E">
        <w:rPr>
          <w:rFonts w:ascii="Palatino Linotype" w:hAnsi="Palatino Linotype"/>
          <w:color w:val="000000" w:themeColor="text1"/>
        </w:rPr>
        <w:t xml:space="preserve"> una referencia numérica que una empresa aseguradora otorga a cada contrato de seguro automotriz</w:t>
      </w:r>
      <w:r w:rsidR="009C5CD3" w:rsidRPr="000D5F0E">
        <w:rPr>
          <w:rFonts w:ascii="Palatino Linotype" w:hAnsi="Palatino Linotype"/>
          <w:color w:val="000000" w:themeColor="text1"/>
        </w:rPr>
        <w:t>. Este código individualiza el contrato</w:t>
      </w:r>
      <w:r w:rsidR="00045558" w:rsidRPr="000D5F0E">
        <w:rPr>
          <w:rFonts w:ascii="Palatino Linotype" w:hAnsi="Palatino Linotype"/>
          <w:color w:val="000000" w:themeColor="text1"/>
        </w:rPr>
        <w:t xml:space="preserve"> del seguro para cada vehículo, por lo que e</w:t>
      </w:r>
      <w:r w:rsidR="009C5CD3" w:rsidRPr="000D5F0E">
        <w:rPr>
          <w:rFonts w:ascii="Palatino Linotype" w:hAnsi="Palatino Linotype"/>
          <w:color w:val="000000" w:themeColor="text1"/>
        </w:rPr>
        <w:t xml:space="preserve">ste dato no </w:t>
      </w:r>
      <w:r w:rsidR="00072EDD" w:rsidRPr="000D5F0E">
        <w:rPr>
          <w:rFonts w:ascii="Palatino Linotype" w:hAnsi="Palatino Linotype"/>
          <w:color w:val="000000" w:themeColor="text1"/>
        </w:rPr>
        <w:t>constituye</w:t>
      </w:r>
      <w:r w:rsidR="009C5CD3" w:rsidRPr="000D5F0E">
        <w:rPr>
          <w:rFonts w:ascii="Palatino Linotype" w:hAnsi="Palatino Linotype"/>
          <w:color w:val="000000" w:themeColor="text1"/>
        </w:rPr>
        <w:t xml:space="preserve"> ningún motivo de clasificación de información.</w:t>
      </w:r>
      <w:bookmarkStart w:id="7" w:name="_Toc57387186"/>
    </w:p>
    <w:p w:rsidR="00150323" w:rsidRPr="000D5F0E" w:rsidRDefault="00150323" w:rsidP="00150323">
      <w:pPr>
        <w:pStyle w:val="Prrafodelista"/>
        <w:tabs>
          <w:tab w:val="left" w:pos="426"/>
        </w:tabs>
        <w:spacing w:line="360" w:lineRule="auto"/>
        <w:ind w:left="0" w:right="51"/>
        <w:jc w:val="both"/>
        <w:rPr>
          <w:rFonts w:ascii="Palatino Linotype" w:hAnsi="Palatino Linotype"/>
          <w:color w:val="000000" w:themeColor="text1"/>
        </w:rPr>
      </w:pPr>
    </w:p>
    <w:p w:rsidR="00072EDD" w:rsidRPr="000D5F0E" w:rsidRDefault="00072EDD" w:rsidP="00150323">
      <w:pPr>
        <w:pStyle w:val="Prrafodelista"/>
        <w:tabs>
          <w:tab w:val="left" w:pos="426"/>
        </w:tabs>
        <w:spacing w:line="360" w:lineRule="auto"/>
        <w:ind w:left="0" w:right="51"/>
        <w:jc w:val="both"/>
        <w:rPr>
          <w:rFonts w:ascii="Palatino Linotype" w:hAnsi="Palatino Linotype"/>
          <w:color w:val="000000" w:themeColor="text1"/>
          <w:u w:val="single"/>
        </w:rPr>
      </w:pPr>
      <w:r w:rsidRPr="000D5F0E">
        <w:rPr>
          <w:rFonts w:ascii="Palatino Linotype" w:hAnsi="Palatino Linotype"/>
          <w:b/>
          <w:u w:val="single"/>
        </w:rPr>
        <w:t>De la firma</w:t>
      </w:r>
      <w:bookmarkEnd w:id="7"/>
    </w:p>
    <w:p w:rsidR="00072EDD" w:rsidRPr="000D5F0E" w:rsidRDefault="00072EDD" w:rsidP="00150323">
      <w:pPr>
        <w:spacing w:line="360" w:lineRule="auto"/>
        <w:contextualSpacing/>
        <w:jc w:val="both"/>
        <w:rPr>
          <w:rFonts w:ascii="Palatino Linotype" w:hAnsi="Palatino Linotype"/>
          <w:b/>
        </w:rPr>
      </w:pPr>
    </w:p>
    <w:p w:rsidR="00072EDD" w:rsidRPr="000D5F0E" w:rsidRDefault="00150323" w:rsidP="00045558">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Es </w:t>
      </w:r>
      <w:r w:rsidR="00072EDD" w:rsidRPr="000D5F0E">
        <w:rPr>
          <w:rFonts w:ascii="Palatino Linotype" w:hAnsi="Palatino Linotype"/>
        </w:rPr>
        <w:t xml:space="preserve">indispensable mencionar que la </w:t>
      </w:r>
      <w:r w:rsidR="00072EDD" w:rsidRPr="000D5F0E">
        <w:rPr>
          <w:rFonts w:ascii="Palatino Linotype" w:hAnsi="Palatino Linotype"/>
          <w:b/>
          <w:bCs/>
        </w:rPr>
        <w:t xml:space="preserve">representación </w:t>
      </w:r>
      <w:r w:rsidR="00072EDD" w:rsidRPr="000D5F0E">
        <w:rPr>
          <w:rFonts w:ascii="Palatino Linotype" w:hAnsi="Palatino Linotype"/>
        </w:rPr>
        <w:t xml:space="preserve">de manera genérica es una figura jurídica por medio de la cual se permite alterar la esfera jurídica de una persona por medio de la actuación de otra capaz. Sánchez </w:t>
      </w:r>
      <w:proofErr w:type="spellStart"/>
      <w:r w:rsidR="00072EDD" w:rsidRPr="000D5F0E">
        <w:rPr>
          <w:rFonts w:ascii="Palatino Linotype" w:hAnsi="Palatino Linotype"/>
        </w:rPr>
        <w:t>Medal</w:t>
      </w:r>
      <w:proofErr w:type="spellEnd"/>
      <w:r w:rsidR="00072EDD" w:rsidRPr="000D5F0E">
        <w:rPr>
          <w:rFonts w:ascii="Palatino Linotype" w:hAnsi="Palatino Linotype"/>
        </w:rPr>
        <w:t xml:space="preserve"> define la representación como </w:t>
      </w:r>
      <w:r w:rsidR="00072EDD" w:rsidRPr="000D5F0E">
        <w:rPr>
          <w:rFonts w:ascii="Palatino Linotype" w:hAnsi="Palatino Linotype"/>
          <w:i/>
        </w:rPr>
        <w:t xml:space="preserve">“acción de representar, o sea el acto por virtud del cual una persona </w:t>
      </w:r>
      <w:r w:rsidR="00072EDD" w:rsidRPr="000D5F0E">
        <w:rPr>
          <w:rFonts w:ascii="Palatino Linotype" w:hAnsi="Palatino Linotype"/>
          <w:i/>
        </w:rPr>
        <w:lastRenderedPageBreak/>
        <w:t xml:space="preserve">dotada de poder, llamada representante, obra a nombre y por cuenta de otra llamada representada”. </w:t>
      </w:r>
    </w:p>
    <w:p w:rsidR="00150323" w:rsidRPr="000D5F0E" w:rsidRDefault="00150323" w:rsidP="00150323">
      <w:pPr>
        <w:spacing w:after="160" w:line="360" w:lineRule="auto"/>
        <w:ind w:left="360"/>
        <w:contextualSpacing/>
        <w:jc w:val="both"/>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Ahora bien, existen diversas clases de representación como lo son la legal, la voluntaria y la estatutaria. </w:t>
      </w:r>
    </w:p>
    <w:p w:rsidR="00072EDD" w:rsidRPr="000D5F0E" w:rsidRDefault="00072EDD" w:rsidP="00072EDD">
      <w:pPr>
        <w:spacing w:line="360" w:lineRule="auto"/>
        <w:ind w:left="360"/>
        <w:contextualSpacing/>
        <w:jc w:val="both"/>
        <w:rPr>
          <w:rFonts w:ascii="Palatino Linotype" w:hAnsi="Palatino Linotype"/>
        </w:rPr>
      </w:pPr>
    </w:p>
    <w:p w:rsidR="00072EDD" w:rsidRPr="000D5F0E" w:rsidRDefault="00150323" w:rsidP="00072EDD">
      <w:pPr>
        <w:spacing w:line="360" w:lineRule="auto"/>
        <w:ind w:left="360"/>
        <w:contextualSpacing/>
        <w:jc w:val="both"/>
        <w:rPr>
          <w:rFonts w:ascii="Palatino Linotype" w:hAnsi="Palatino Linotype"/>
        </w:rPr>
      </w:pPr>
      <w:r w:rsidRPr="000D5F0E">
        <w:rPr>
          <w:rFonts w:ascii="Palatino Linotype" w:hAnsi="Palatino Linotype"/>
          <w:b/>
          <w:bCs/>
        </w:rPr>
        <w:t>“</w:t>
      </w:r>
      <w:r w:rsidR="00072EDD" w:rsidRPr="000D5F0E">
        <w:rPr>
          <w:rFonts w:ascii="Palatino Linotype" w:hAnsi="Palatino Linotype"/>
          <w:b/>
          <w:bCs/>
        </w:rPr>
        <w:t xml:space="preserve">Representación Legal. </w:t>
      </w:r>
      <w:r w:rsidR="00072EDD" w:rsidRPr="000D5F0E">
        <w:rPr>
          <w:rFonts w:ascii="Palatino Linotype" w:hAnsi="Palatino Linotype"/>
        </w:rPr>
        <w:t xml:space="preserve">La que se establece en la ley positiva para que determinadas personas, fundamentalmente aquellas a quienes se les ha negado la capacidad de ejercicio, puedan hacer valer sus derechos o puedan cumplir con sus obligaciones mediante la actuación de otra capaz. </w:t>
      </w:r>
    </w:p>
    <w:p w:rsidR="00072EDD" w:rsidRPr="000D5F0E" w:rsidRDefault="00072EDD" w:rsidP="00072EDD">
      <w:pPr>
        <w:spacing w:line="360" w:lineRule="auto"/>
        <w:ind w:left="360"/>
        <w:contextualSpacing/>
        <w:jc w:val="both"/>
        <w:rPr>
          <w:rFonts w:ascii="Palatino Linotype" w:hAnsi="Palatino Linotype"/>
        </w:rPr>
      </w:pPr>
      <w:r w:rsidRPr="000D5F0E">
        <w:rPr>
          <w:rFonts w:ascii="Palatino Linotype" w:hAnsi="Palatino Linotype"/>
          <w:b/>
          <w:bCs/>
        </w:rPr>
        <w:t xml:space="preserve">Representación Voluntaria. </w:t>
      </w:r>
      <w:r w:rsidRPr="000D5F0E">
        <w:rPr>
          <w:rFonts w:ascii="Palatino Linotype" w:hAnsi="Palatino Linotype"/>
        </w:rPr>
        <w:t xml:space="preserve">La que permite que una persona altere la esfera jurídica de otra quien ha recibido la autorización correspondiente en forma expresa y determinada.  </w:t>
      </w:r>
    </w:p>
    <w:p w:rsidR="00072EDD" w:rsidRPr="000D5F0E" w:rsidRDefault="00072EDD" w:rsidP="00072EDD">
      <w:pPr>
        <w:spacing w:line="360" w:lineRule="auto"/>
        <w:ind w:left="360"/>
        <w:contextualSpacing/>
        <w:jc w:val="both"/>
        <w:rPr>
          <w:rFonts w:ascii="Palatino Linotype" w:hAnsi="Palatino Linotype"/>
        </w:rPr>
      </w:pPr>
      <w:r w:rsidRPr="000D5F0E">
        <w:rPr>
          <w:rFonts w:ascii="Palatino Linotype" w:hAnsi="Palatino Linotype"/>
          <w:b/>
          <w:bCs/>
        </w:rPr>
        <w:t xml:space="preserve">Representación Estatutaria. </w:t>
      </w:r>
      <w:r w:rsidRPr="000D5F0E">
        <w:rPr>
          <w:rFonts w:ascii="Palatino Linotype" w:hAnsi="Palatino Linotype"/>
          <w:bCs/>
        </w:rPr>
        <w:t>La que permite a los entes jurídicos o personas morales exteriorizarse en una sociedad y que por virtud de la cual una persona física u otra persona moral quien a su vez se encuentra representada en último término por una persona física, altera con su actuación la esfera jurídica o jurídica económica de aquella para hacer posible valer sus derechos o cumplir con sus obligaciones.</w:t>
      </w:r>
      <w:r w:rsidRPr="000D5F0E">
        <w:rPr>
          <w:rFonts w:ascii="Palatino Linotype" w:hAnsi="Palatino Linotype"/>
        </w:rPr>
        <w:t xml:space="preserve"> […] En la representación estatutaria, la ley no señala quién o quiénes pueden o deben ser los representantes legales de las personas morales, sino que deja a libre arbitrio de otras personas o de otros órganos, quiénes deben de representar a esas personas. […] La representación estatutaria puede conferirse mediante un poder, pero generalmente no es este el medio formal de </w:t>
      </w:r>
      <w:r w:rsidRPr="000D5F0E">
        <w:rPr>
          <w:rFonts w:ascii="Palatino Linotype" w:hAnsi="Palatino Linotype"/>
        </w:rPr>
        <w:lastRenderedPageBreak/>
        <w:t xml:space="preserve">su constitución, sino un medio diferente que </w:t>
      </w:r>
      <w:r w:rsidRPr="000D5F0E">
        <w:rPr>
          <w:rFonts w:ascii="Palatino Linotype" w:hAnsi="Palatino Linotype"/>
          <w:b/>
        </w:rPr>
        <w:t>consiste en un acto de simple designación de la persona para el desempeño de determinado cargo.</w:t>
      </w:r>
      <w:r w:rsidR="00150323" w:rsidRPr="000D5F0E">
        <w:rPr>
          <w:rFonts w:ascii="Palatino Linotype" w:hAnsi="Palatino Linotype"/>
          <w:b/>
        </w:rPr>
        <w:t>”</w:t>
      </w:r>
      <w:r w:rsidR="00150323" w:rsidRPr="000D5F0E">
        <w:rPr>
          <w:rStyle w:val="Refdenotaalpie"/>
          <w:rFonts w:ascii="Palatino Linotype" w:hAnsi="Palatino Linotype"/>
          <w:b/>
        </w:rPr>
        <w:footnoteReference w:id="11"/>
      </w:r>
    </w:p>
    <w:p w:rsidR="00072EDD" w:rsidRPr="000D5F0E" w:rsidRDefault="00072EDD" w:rsidP="00150323">
      <w:pPr>
        <w:spacing w:line="360" w:lineRule="auto"/>
        <w:contextualSpacing/>
        <w:jc w:val="both"/>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De lo anterior tenemos que la </w:t>
      </w:r>
      <w:r w:rsidRPr="000D5F0E">
        <w:rPr>
          <w:rFonts w:ascii="Palatino Linotype" w:hAnsi="Palatino Linotype"/>
          <w:b/>
        </w:rPr>
        <w:t xml:space="preserve">representación </w:t>
      </w:r>
      <w:r w:rsidRPr="000D5F0E">
        <w:rPr>
          <w:rFonts w:ascii="Palatino Linotype" w:hAnsi="Palatino Linotype"/>
        </w:rPr>
        <w:t xml:space="preserve">se traduce al acto de manifestarse a nombre de otra persona, quién en el caso concreto, el representante es elegido por terceros a través de una designación. </w:t>
      </w:r>
    </w:p>
    <w:p w:rsidR="00072EDD" w:rsidRPr="000D5F0E" w:rsidRDefault="00072EDD" w:rsidP="00150323">
      <w:pPr>
        <w:spacing w:line="360" w:lineRule="auto"/>
        <w:contextualSpacing/>
        <w:jc w:val="both"/>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Con la anterior explicación, se pretende llegar a que las figuras de representante legal, administrador único y apoderado legal, medularmente juegan el papel de representación legal de las personas morales, y poseen la facultad de tomar cualquier tipo de decisiones y tiene plenos poderes para ello. </w:t>
      </w:r>
    </w:p>
    <w:p w:rsidR="00072EDD" w:rsidRPr="000D5F0E" w:rsidRDefault="00072EDD" w:rsidP="00072EDD">
      <w:pPr>
        <w:spacing w:line="360" w:lineRule="auto"/>
        <w:ind w:left="360"/>
        <w:contextualSpacing/>
        <w:jc w:val="both"/>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En razón de lo anterior, cabe mencionar que el Instituto Nacional de Acceso a la Información y Protección de Datos Personales, ha precisado en diversas ocasiones que la </w:t>
      </w:r>
      <w:r w:rsidRPr="000D5F0E">
        <w:rPr>
          <w:rFonts w:ascii="Palatino Linotype" w:hAnsi="Palatino Linotype"/>
          <w:b/>
        </w:rPr>
        <w:t>firma y el nombre del representante legal de una persona moral</w:t>
      </w:r>
      <w:r w:rsidRPr="000D5F0E">
        <w:rPr>
          <w:rFonts w:ascii="Palatino Linotype" w:hAnsi="Palatino Linotype"/>
        </w:rPr>
        <w:t xml:space="preserve">, no podría ser objeto de clasificación, ya que si bien el nombre y la firma corresponden a una persona física, esta actuó en nombre y representación de una persona moral, no a nombre propio; en consecuencia, el nombre y la firma, al haber sido objeto de dar cumplimiento a la normatividad y otorgar validez al acto jurídico celebrado, deben ser considerados como públicos, análisis aplicable al presente caso. </w:t>
      </w:r>
    </w:p>
    <w:p w:rsidR="00072EDD" w:rsidRPr="000D5F0E" w:rsidRDefault="00072EDD" w:rsidP="00072EDD">
      <w:pPr>
        <w:pStyle w:val="Prrafodelista"/>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lastRenderedPageBreak/>
        <w:t xml:space="preserve">Derivado de ello, es imprescindible traer a colación lo que establece el Criterio del Instituto Nacional de Transparencia, Acceso a la Información y Protección de Datos, el cual menciona lo siguiente: </w:t>
      </w:r>
    </w:p>
    <w:p w:rsidR="00072EDD" w:rsidRPr="000D5F0E" w:rsidRDefault="00072EDD" w:rsidP="00072EDD">
      <w:pPr>
        <w:spacing w:line="360" w:lineRule="auto"/>
        <w:ind w:left="360"/>
        <w:contextualSpacing/>
        <w:jc w:val="both"/>
        <w:rPr>
          <w:rFonts w:ascii="Palatino Linotype" w:hAnsi="Palatino Linotype"/>
        </w:rPr>
      </w:pPr>
    </w:p>
    <w:p w:rsidR="00072EDD" w:rsidRPr="000D5F0E" w:rsidRDefault="00072EDD" w:rsidP="00150323">
      <w:pPr>
        <w:ind w:left="1276" w:right="902"/>
        <w:contextualSpacing/>
        <w:jc w:val="both"/>
        <w:rPr>
          <w:rFonts w:ascii="Palatino Linotype" w:hAnsi="Palatino Linotype"/>
          <w:i/>
          <w:sz w:val="22"/>
          <w:szCs w:val="22"/>
        </w:rPr>
      </w:pPr>
      <w:r w:rsidRPr="000D5F0E">
        <w:rPr>
          <w:rFonts w:ascii="Palatino Linotype" w:hAnsi="Palatino Linotype"/>
          <w:b/>
          <w:i/>
          <w:sz w:val="22"/>
          <w:szCs w:val="22"/>
        </w:rPr>
        <w:t>Datos de identificación del representante o apoderado legal. Naturaleza jurídica.</w:t>
      </w:r>
      <w:r w:rsidRPr="000D5F0E">
        <w:rPr>
          <w:rFonts w:ascii="Palatino Linotype" w:hAnsi="Palatino Linotype"/>
          <w:i/>
          <w:sz w:val="22"/>
          <w:szCs w:val="22"/>
        </w:rPr>
        <w:t xml:space="preserve"> El nombre, la firma y la rúbrica de una persona física, que actúe como representante o apoderado legal de un tercero que haya celebrado un acto jurídico, con algún sujeto obligado, </w:t>
      </w:r>
      <w:r w:rsidRPr="000D5F0E">
        <w:rPr>
          <w:rFonts w:ascii="Palatino Linotype" w:hAnsi="Palatino Linotype"/>
          <w:b/>
          <w:i/>
          <w:sz w:val="22"/>
          <w:szCs w:val="22"/>
        </w:rPr>
        <w:t>es información pública</w:t>
      </w:r>
      <w:r w:rsidRPr="000D5F0E">
        <w:rPr>
          <w:rFonts w:ascii="Palatino Linotype" w:hAnsi="Palatino Linotype"/>
          <w:i/>
          <w:sz w:val="22"/>
          <w:szCs w:val="22"/>
        </w:rPr>
        <w:t>, en razón de que tales datos fueron proporcionados con el objeto de expresar el consentimiento obligacional del tercero y otorgar validez a dicho instrumento jurídico, NO así las firmas correspondientes a personas físicas, por lo que el sujeto obligado deberá de tomar en considera esta sugerencia.</w:t>
      </w:r>
    </w:p>
    <w:p w:rsidR="00072EDD" w:rsidRPr="000D5F0E" w:rsidRDefault="00072EDD" w:rsidP="00150323">
      <w:pPr>
        <w:ind w:left="1276" w:right="902"/>
        <w:contextualSpacing/>
        <w:jc w:val="both"/>
        <w:rPr>
          <w:rFonts w:ascii="Palatino Linotype" w:hAnsi="Palatino Linotype"/>
          <w:i/>
          <w:sz w:val="22"/>
          <w:szCs w:val="22"/>
        </w:rPr>
      </w:pPr>
    </w:p>
    <w:p w:rsidR="00150323" w:rsidRPr="000D5F0E" w:rsidRDefault="00072EDD" w:rsidP="00150323">
      <w:pPr>
        <w:ind w:left="1276" w:right="902"/>
        <w:contextualSpacing/>
        <w:jc w:val="both"/>
        <w:rPr>
          <w:rFonts w:ascii="Palatino Linotype" w:hAnsi="Palatino Linotype"/>
          <w:i/>
          <w:sz w:val="22"/>
          <w:szCs w:val="22"/>
        </w:rPr>
      </w:pPr>
      <w:r w:rsidRPr="000D5F0E">
        <w:rPr>
          <w:rFonts w:ascii="Palatino Linotype" w:hAnsi="Palatino Linotype"/>
          <w:i/>
          <w:sz w:val="22"/>
          <w:szCs w:val="22"/>
        </w:rPr>
        <w:t xml:space="preserve">Resoluciones: </w:t>
      </w:r>
    </w:p>
    <w:p w:rsidR="00150323" w:rsidRPr="000D5F0E" w:rsidRDefault="00072EDD" w:rsidP="00150323">
      <w:pPr>
        <w:ind w:left="1276" w:right="902"/>
        <w:contextualSpacing/>
        <w:jc w:val="both"/>
        <w:rPr>
          <w:rFonts w:ascii="Palatino Linotype" w:hAnsi="Palatino Linotype"/>
          <w:i/>
          <w:sz w:val="22"/>
          <w:szCs w:val="22"/>
        </w:rPr>
      </w:pPr>
      <w:r w:rsidRPr="000D5F0E">
        <w:rPr>
          <w:rFonts w:ascii="Palatino Linotype" w:hAnsi="Palatino Linotype"/>
          <w:i/>
          <w:sz w:val="22"/>
          <w:szCs w:val="22"/>
        </w:rPr>
        <w:t xml:space="preserve">RRA 3104/16. Secretaría de la Defensa Nacional. 01 de noviembre del 2016. Por unanimidad. Comisionado Ponente Oscar Mauricio Guerra Ford. </w:t>
      </w:r>
    </w:p>
    <w:p w:rsidR="00150323" w:rsidRPr="000D5F0E" w:rsidRDefault="00072EDD" w:rsidP="00150323">
      <w:pPr>
        <w:ind w:left="1276" w:right="902"/>
        <w:contextualSpacing/>
        <w:jc w:val="both"/>
        <w:rPr>
          <w:rFonts w:ascii="Palatino Linotype" w:hAnsi="Palatino Linotype"/>
          <w:i/>
          <w:sz w:val="22"/>
          <w:szCs w:val="22"/>
        </w:rPr>
      </w:pPr>
      <w:r w:rsidRPr="000D5F0E">
        <w:rPr>
          <w:rFonts w:ascii="Palatino Linotype" w:hAnsi="Palatino Linotype"/>
          <w:i/>
          <w:sz w:val="22"/>
          <w:szCs w:val="22"/>
        </w:rPr>
        <w:t xml:space="preserve">RRA 2923/16. Administración Portuaria Integral de Lázaro Cárdenas, S.A. de C.V. 13 de diciembre de 2016. Por unanimidad. Comisionada Ponente María Patricia </w:t>
      </w:r>
      <w:proofErr w:type="spellStart"/>
      <w:r w:rsidRPr="000D5F0E">
        <w:rPr>
          <w:rFonts w:ascii="Palatino Linotype" w:hAnsi="Palatino Linotype"/>
          <w:i/>
          <w:sz w:val="22"/>
          <w:szCs w:val="22"/>
        </w:rPr>
        <w:t>Kurczyn</w:t>
      </w:r>
      <w:proofErr w:type="spellEnd"/>
      <w:r w:rsidRPr="000D5F0E">
        <w:rPr>
          <w:rFonts w:ascii="Palatino Linotype" w:hAnsi="Palatino Linotype"/>
          <w:i/>
          <w:sz w:val="22"/>
          <w:szCs w:val="22"/>
        </w:rPr>
        <w:t xml:space="preserve"> Villalobos. </w:t>
      </w:r>
    </w:p>
    <w:p w:rsidR="00072EDD" w:rsidRPr="000D5F0E" w:rsidRDefault="00072EDD" w:rsidP="00150323">
      <w:pPr>
        <w:ind w:left="1276" w:right="902"/>
        <w:contextualSpacing/>
        <w:jc w:val="both"/>
        <w:rPr>
          <w:rFonts w:ascii="Palatino Linotype" w:hAnsi="Palatino Linotype"/>
          <w:i/>
          <w:sz w:val="22"/>
          <w:szCs w:val="22"/>
        </w:rPr>
      </w:pPr>
      <w:r w:rsidRPr="000D5F0E">
        <w:rPr>
          <w:rFonts w:ascii="Palatino Linotype" w:hAnsi="Palatino Linotype"/>
          <w:i/>
          <w:sz w:val="22"/>
          <w:szCs w:val="22"/>
        </w:rPr>
        <w:t xml:space="preserve">RRA 2855/17. Comisión Nacional de Hidrocarburos. 14 de junio de 2017. Por unanimidad con los votos particulares de los Comisionados Areli Cano Guadiana y Oscar Mauricio Guerra Ford. Comisionada Ponente Ximena Puente de la Mora. </w:t>
      </w:r>
    </w:p>
    <w:p w:rsidR="00072EDD" w:rsidRPr="000D5F0E" w:rsidRDefault="00072EDD" w:rsidP="00072EDD">
      <w:pPr>
        <w:spacing w:line="360" w:lineRule="auto"/>
        <w:ind w:left="360"/>
        <w:contextualSpacing/>
        <w:jc w:val="both"/>
        <w:rPr>
          <w:rFonts w:ascii="Palatino Linotype" w:hAnsi="Palatino Linotype"/>
        </w:rPr>
      </w:pPr>
    </w:p>
    <w:p w:rsidR="00072EDD" w:rsidRPr="000D5F0E" w:rsidRDefault="00072EDD"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Es entonces que, siguiendo la secuencia lógica y tomando como partida que la representación es el acto de manifestarse a nombre de otra persona, tenemos que: </w:t>
      </w:r>
    </w:p>
    <w:p w:rsidR="00072EDD" w:rsidRPr="000D5F0E" w:rsidRDefault="00072EDD" w:rsidP="00144B19">
      <w:pPr>
        <w:pStyle w:val="Prrafodelista"/>
        <w:numPr>
          <w:ilvl w:val="0"/>
          <w:numId w:val="34"/>
        </w:numPr>
        <w:spacing w:line="360" w:lineRule="auto"/>
        <w:ind w:left="1134" w:right="900"/>
        <w:jc w:val="both"/>
        <w:rPr>
          <w:rFonts w:ascii="Palatino Linotype" w:hAnsi="Palatino Linotype"/>
          <w:b/>
          <w:sz w:val="22"/>
          <w:szCs w:val="22"/>
        </w:rPr>
      </w:pPr>
      <w:r w:rsidRPr="000D5F0E">
        <w:rPr>
          <w:rFonts w:ascii="Palatino Linotype" w:hAnsi="Palatino Linotype"/>
          <w:b/>
          <w:sz w:val="22"/>
          <w:szCs w:val="22"/>
        </w:rPr>
        <w:t xml:space="preserve">El administrador y el apoderado representan legalmente a las personas morales. </w:t>
      </w:r>
    </w:p>
    <w:p w:rsidR="00072EDD" w:rsidRPr="000D5F0E" w:rsidRDefault="00072EDD" w:rsidP="00144B19">
      <w:pPr>
        <w:pStyle w:val="Prrafodelista"/>
        <w:numPr>
          <w:ilvl w:val="0"/>
          <w:numId w:val="34"/>
        </w:numPr>
        <w:spacing w:line="360" w:lineRule="auto"/>
        <w:ind w:left="1134" w:right="900"/>
        <w:jc w:val="both"/>
        <w:rPr>
          <w:rFonts w:ascii="Palatino Linotype" w:hAnsi="Palatino Linotype"/>
          <w:b/>
          <w:sz w:val="22"/>
          <w:szCs w:val="22"/>
        </w:rPr>
      </w:pPr>
      <w:r w:rsidRPr="000D5F0E">
        <w:rPr>
          <w:rFonts w:ascii="Palatino Linotype" w:hAnsi="Palatino Linotype"/>
          <w:b/>
          <w:sz w:val="22"/>
          <w:szCs w:val="22"/>
        </w:rPr>
        <w:t xml:space="preserve">El nombre y la firma del representante legal, no pueden ser objeto de clasificación. </w:t>
      </w:r>
    </w:p>
    <w:p w:rsidR="00072EDD" w:rsidRPr="000D5F0E" w:rsidRDefault="00072EDD" w:rsidP="00144B19">
      <w:pPr>
        <w:pStyle w:val="Prrafodelista"/>
        <w:numPr>
          <w:ilvl w:val="0"/>
          <w:numId w:val="34"/>
        </w:numPr>
        <w:spacing w:line="360" w:lineRule="auto"/>
        <w:ind w:left="1134" w:right="900"/>
        <w:jc w:val="both"/>
        <w:rPr>
          <w:rFonts w:ascii="Palatino Linotype" w:hAnsi="Palatino Linotype"/>
          <w:b/>
          <w:sz w:val="22"/>
          <w:szCs w:val="22"/>
        </w:rPr>
      </w:pPr>
      <w:r w:rsidRPr="000D5F0E">
        <w:rPr>
          <w:rFonts w:ascii="Palatino Linotype" w:hAnsi="Palatino Linotype"/>
          <w:b/>
          <w:sz w:val="22"/>
          <w:szCs w:val="22"/>
        </w:rPr>
        <w:t xml:space="preserve">Nombre y firma del apoderado y administrador no son objeto de clasificación. </w:t>
      </w:r>
    </w:p>
    <w:p w:rsidR="00072EDD" w:rsidRPr="000D5F0E" w:rsidRDefault="00072EDD" w:rsidP="007E015D">
      <w:pPr>
        <w:pStyle w:val="Prrafodelista"/>
        <w:tabs>
          <w:tab w:val="left" w:pos="426"/>
        </w:tabs>
        <w:spacing w:line="360" w:lineRule="auto"/>
        <w:ind w:left="0" w:right="51"/>
        <w:jc w:val="both"/>
        <w:rPr>
          <w:rFonts w:ascii="Palatino Linotype" w:hAnsi="Palatino Linotype"/>
          <w:color w:val="000000" w:themeColor="text1"/>
        </w:rPr>
      </w:pPr>
    </w:p>
    <w:p w:rsidR="00D17344" w:rsidRPr="000D5F0E" w:rsidRDefault="00D17344"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De modo que la </w:t>
      </w:r>
      <w:r w:rsidRPr="000D5F0E">
        <w:rPr>
          <w:rFonts w:ascii="Palatino Linotype" w:hAnsi="Palatino Linotype"/>
          <w:b/>
        </w:rPr>
        <w:t>firma y el nombre del representante legal de una persona moral</w:t>
      </w:r>
      <w:r w:rsidRPr="000D5F0E">
        <w:rPr>
          <w:rFonts w:ascii="Palatino Linotype" w:hAnsi="Palatino Linotype"/>
        </w:rPr>
        <w:t>, no podría ser objeto de clasificación, ya que actuó en nombre y representación de esta, no a nombre propio; en consecuencia, el nombre y la firma, al haber sido objeto de otorgar validez a un acto jurídico celebrado, deben ser considerados como públicos.</w:t>
      </w:r>
    </w:p>
    <w:p w:rsidR="00D17344" w:rsidRPr="000D5F0E" w:rsidRDefault="00D17344" w:rsidP="00D17344">
      <w:pPr>
        <w:spacing w:line="360" w:lineRule="auto"/>
        <w:jc w:val="both"/>
        <w:rPr>
          <w:rFonts w:ascii="Palatino Linotype" w:hAnsi="Palatino Linotype"/>
        </w:rPr>
      </w:pPr>
    </w:p>
    <w:p w:rsidR="00051451" w:rsidRPr="000D5F0E" w:rsidRDefault="00051451" w:rsidP="00144B19">
      <w:pPr>
        <w:numPr>
          <w:ilvl w:val="0"/>
          <w:numId w:val="2"/>
        </w:numPr>
        <w:spacing w:line="360" w:lineRule="auto"/>
        <w:ind w:left="0" w:firstLine="0"/>
        <w:jc w:val="both"/>
        <w:rPr>
          <w:rFonts w:ascii="Palatino Linotype" w:hAnsi="Palatino Linotype"/>
        </w:rPr>
      </w:pPr>
      <w:r w:rsidRPr="000D5F0E">
        <w:rPr>
          <w:rFonts w:ascii="Palatino Linotype" w:hAnsi="Palatino Linotype"/>
        </w:rPr>
        <w:t>Ahora bien, el principio de máxima publicidad establece que la información en posesión de los sujetos obligados será pública, completa, oportuna y accesible, sujeta a un claro régimen de excepciones que deberán estar definidas y ser además legítimas y estrictamente necesarias</w:t>
      </w:r>
      <w:r w:rsidR="00B8749A" w:rsidRPr="000D5F0E">
        <w:rPr>
          <w:rFonts w:ascii="Palatino Linotype" w:hAnsi="Palatino Linotype"/>
        </w:rPr>
        <w:t>.</w:t>
      </w:r>
    </w:p>
    <w:p w:rsidR="00051451" w:rsidRPr="000D5F0E" w:rsidRDefault="00051451" w:rsidP="00B8749A">
      <w:pPr>
        <w:spacing w:after="160" w:line="360" w:lineRule="auto"/>
        <w:ind w:left="360"/>
        <w:contextualSpacing/>
        <w:jc w:val="both"/>
        <w:rPr>
          <w:rFonts w:ascii="Palatino Linotype" w:hAnsi="Palatino Linotype"/>
        </w:rPr>
      </w:pPr>
    </w:p>
    <w:p w:rsidR="00051451" w:rsidRPr="000D5F0E" w:rsidRDefault="00051451" w:rsidP="008577B5">
      <w:pPr>
        <w:numPr>
          <w:ilvl w:val="0"/>
          <w:numId w:val="2"/>
        </w:numPr>
        <w:spacing w:line="360" w:lineRule="auto"/>
        <w:ind w:left="0" w:firstLine="0"/>
        <w:jc w:val="both"/>
        <w:rPr>
          <w:rFonts w:ascii="Palatino Linotype" w:hAnsi="Palatino Linotype"/>
        </w:rPr>
      </w:pPr>
      <w:r w:rsidRPr="000D5F0E">
        <w:rPr>
          <w:rFonts w:ascii="Palatino Linotype" w:hAnsi="Palatino Linotype"/>
          <w:b/>
        </w:rPr>
        <w:t xml:space="preserve">Es de precisar que, la información referente a </w:t>
      </w:r>
      <w:r w:rsidR="001C2C94" w:rsidRPr="000D5F0E">
        <w:rPr>
          <w:rFonts w:ascii="Palatino Linotype" w:hAnsi="Palatino Linotype"/>
          <w:b/>
        </w:rPr>
        <w:t xml:space="preserve">firma, marca, modelo, color, número de motor y de serie, placas de circulación y número de póliza de las pólizas de seguro vehicular </w:t>
      </w:r>
      <w:r w:rsidRPr="000D5F0E">
        <w:rPr>
          <w:rFonts w:ascii="Palatino Linotype" w:hAnsi="Palatino Linotype"/>
          <w:b/>
        </w:rPr>
        <w:t>de los vehículos propiedad de los Sujetos Obligados se constituye como información de acceso público</w:t>
      </w:r>
      <w:r w:rsidRPr="000D5F0E">
        <w:rPr>
          <w:rFonts w:ascii="Palatino Linotype" w:hAnsi="Palatino Linotype"/>
        </w:rPr>
        <w:t xml:space="preserve">, máxime que con la otorgación de la información se otorga certeza a los Particulares, respecto al patrimonio de los Sujetos Obligados, y al estar relacionado con el ejercicio de recursos públicos cobra mayor relevancia el permitir el acceso a dicha información. </w:t>
      </w:r>
    </w:p>
    <w:p w:rsidR="00051451" w:rsidRPr="000D5F0E" w:rsidRDefault="00051451" w:rsidP="001C2C94">
      <w:pPr>
        <w:spacing w:after="160" w:line="360" w:lineRule="auto"/>
        <w:ind w:left="360"/>
        <w:contextualSpacing/>
        <w:jc w:val="both"/>
        <w:rPr>
          <w:rFonts w:ascii="Palatino Linotype" w:hAnsi="Palatino Linotype"/>
        </w:rPr>
      </w:pPr>
    </w:p>
    <w:p w:rsidR="00051451" w:rsidRPr="000D5F0E" w:rsidRDefault="00051451" w:rsidP="008577B5">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Así entonces, la restricción de clasificar la información como confidencial, únicamente abarca a la protección de la esfera jurídica de los Particulares, cuando los datos relacionados con su persona son requeridos y pueden ocasionar un daño real, o bien a los Sujetos Obligados, siempre y cuando no se utilicen recursos </w:t>
      </w:r>
      <w:r w:rsidRPr="000D5F0E">
        <w:rPr>
          <w:rFonts w:ascii="Palatino Linotype" w:hAnsi="Palatino Linotype"/>
        </w:rPr>
        <w:lastRenderedPageBreak/>
        <w:t xml:space="preserve">públicos, lo que nos lleva a comprender, que el uso de los recursos públicos que ejercen los </w:t>
      </w:r>
      <w:r w:rsidR="001C2C94" w:rsidRPr="000D5F0E">
        <w:rPr>
          <w:rFonts w:ascii="Palatino Linotype" w:hAnsi="Palatino Linotype"/>
        </w:rPr>
        <w:t>Ayuntamientos</w:t>
      </w:r>
      <w:r w:rsidRPr="000D5F0E">
        <w:rPr>
          <w:rFonts w:ascii="Palatino Linotype" w:hAnsi="Palatino Linotype"/>
        </w:rPr>
        <w:t>, no pueden ser clasificados</w:t>
      </w:r>
      <w:r w:rsidR="001C2C94" w:rsidRPr="000D5F0E">
        <w:rPr>
          <w:rFonts w:ascii="Palatino Linotype" w:hAnsi="Palatino Linotype"/>
        </w:rPr>
        <w:t xml:space="preserve"> como información confidencial.</w:t>
      </w:r>
    </w:p>
    <w:p w:rsidR="001C2C94" w:rsidRPr="000D5F0E" w:rsidRDefault="001C2C94" w:rsidP="001C2C94">
      <w:pPr>
        <w:spacing w:after="160" w:line="360" w:lineRule="auto"/>
        <w:ind w:left="360"/>
        <w:contextualSpacing/>
        <w:jc w:val="both"/>
        <w:rPr>
          <w:rFonts w:ascii="Palatino Linotype" w:hAnsi="Palatino Linotype"/>
        </w:rPr>
      </w:pPr>
    </w:p>
    <w:p w:rsidR="00051451" w:rsidRPr="000D5F0E" w:rsidRDefault="00051451" w:rsidP="008577B5">
      <w:pPr>
        <w:numPr>
          <w:ilvl w:val="0"/>
          <w:numId w:val="2"/>
        </w:numPr>
        <w:spacing w:line="360" w:lineRule="auto"/>
        <w:ind w:left="0" w:firstLine="0"/>
        <w:jc w:val="both"/>
        <w:rPr>
          <w:rFonts w:ascii="Palatino Linotype" w:hAnsi="Palatino Linotype"/>
        </w:rPr>
      </w:pPr>
      <w:r w:rsidRPr="000D5F0E">
        <w:rPr>
          <w:rFonts w:ascii="Palatino Linotype" w:hAnsi="Palatino Linotype"/>
        </w:rPr>
        <w:t xml:space="preserve">Así, en conclusión a todo lo antes expuesto, se colige que la </w:t>
      </w:r>
      <w:r w:rsidR="001C2C94" w:rsidRPr="000D5F0E">
        <w:rPr>
          <w:rFonts w:ascii="Palatino Linotype" w:hAnsi="Palatino Linotype"/>
        </w:rPr>
        <w:t>información proporcionada por</w:t>
      </w:r>
      <w:r w:rsidRPr="000D5F0E">
        <w:rPr>
          <w:rFonts w:ascii="Palatino Linotype" w:hAnsi="Palatino Linotype"/>
        </w:rPr>
        <w:t xml:space="preserve"> Sujeto Obligado no da cuenta a lo solicitado, </w:t>
      </w:r>
      <w:r w:rsidR="001C2C94" w:rsidRPr="000D5F0E">
        <w:rPr>
          <w:rFonts w:ascii="Palatino Linotype" w:hAnsi="Palatino Linotype"/>
        </w:rPr>
        <w:t>ya que la versión pública con la que se pretendió satisfacer el derecho de acceso a la información fue incorrecta al suprimir datos de interés público.</w:t>
      </w:r>
    </w:p>
    <w:p w:rsidR="001C2C94" w:rsidRPr="000D5F0E" w:rsidRDefault="001C2C94" w:rsidP="001C2C94">
      <w:pPr>
        <w:spacing w:after="160" w:line="360" w:lineRule="auto"/>
        <w:contextualSpacing/>
        <w:jc w:val="both"/>
        <w:rPr>
          <w:rFonts w:ascii="Palatino Linotype" w:hAnsi="Palatino Linotype"/>
        </w:rPr>
      </w:pPr>
    </w:p>
    <w:p w:rsidR="007E015D" w:rsidRPr="000D5F0E" w:rsidRDefault="001C2C94" w:rsidP="008577B5">
      <w:pPr>
        <w:numPr>
          <w:ilvl w:val="0"/>
          <w:numId w:val="2"/>
        </w:numPr>
        <w:spacing w:line="360" w:lineRule="auto"/>
        <w:ind w:left="0" w:firstLine="0"/>
        <w:jc w:val="both"/>
        <w:rPr>
          <w:rFonts w:ascii="Palatino Linotype" w:hAnsi="Palatino Linotype"/>
        </w:rPr>
      </w:pPr>
      <w:r w:rsidRPr="000D5F0E">
        <w:rPr>
          <w:rFonts w:ascii="Palatino Linotype" w:eastAsia="Palatino Linotype" w:hAnsi="Palatino Linotype" w:cs="Palatino Linotype"/>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rsidR="001C2C94" w:rsidRPr="000D5F0E" w:rsidRDefault="001C2C94" w:rsidP="001C2C94">
      <w:pPr>
        <w:spacing w:after="160" w:line="360" w:lineRule="auto"/>
        <w:ind w:left="360"/>
        <w:contextualSpacing/>
        <w:jc w:val="both"/>
        <w:rPr>
          <w:rFonts w:ascii="Palatino Linotype" w:hAnsi="Palatino Linotype"/>
        </w:rPr>
      </w:pPr>
    </w:p>
    <w:p w:rsidR="001C2C94" w:rsidRPr="000D5F0E" w:rsidRDefault="001C2C94" w:rsidP="008577B5">
      <w:pPr>
        <w:numPr>
          <w:ilvl w:val="0"/>
          <w:numId w:val="2"/>
        </w:numPr>
        <w:spacing w:line="360" w:lineRule="auto"/>
        <w:ind w:left="0" w:firstLine="0"/>
        <w:jc w:val="both"/>
        <w:rPr>
          <w:rFonts w:ascii="Palatino Linotype" w:hAnsi="Palatino Linotype"/>
        </w:rPr>
      </w:pPr>
      <w:r w:rsidRPr="000D5F0E">
        <w:rPr>
          <w:rFonts w:ascii="Palatino Linotype" w:eastAsia="Palatino Linotype" w:hAnsi="Palatino Linotype" w:cs="Palatino Linotype"/>
        </w:rPr>
        <w:t>Adicionalmente a lo anterior, los datos contenidos en las pólizas de seguro vehicular revisten en su totalidad interés público, por lo que deberán ser entregadas de manera íntegra.</w:t>
      </w:r>
    </w:p>
    <w:p w:rsidR="00F761B6" w:rsidRPr="000D5F0E" w:rsidRDefault="00F761B6" w:rsidP="008577B5">
      <w:pPr>
        <w:numPr>
          <w:ilvl w:val="0"/>
          <w:numId w:val="2"/>
        </w:numPr>
        <w:spacing w:line="360" w:lineRule="auto"/>
        <w:ind w:left="0" w:firstLine="0"/>
        <w:jc w:val="both"/>
        <w:rPr>
          <w:rFonts w:ascii="Palatino Linotype" w:hAnsi="Palatino Linotype"/>
        </w:rPr>
      </w:pPr>
      <w:r w:rsidRPr="000D5F0E">
        <w:rPr>
          <w:rFonts w:ascii="Palatino Linotype" w:hAnsi="Palatino Linotype"/>
        </w:rPr>
        <w:lastRenderedPageBreak/>
        <w:t xml:space="preserve">En esta tesitura es de recordar que el particular solicitó </w:t>
      </w:r>
      <w:r w:rsidRPr="000D5F0E">
        <w:rPr>
          <w:rFonts w:ascii="Palatino Linotype" w:eastAsia="Times New Roman" w:hAnsi="Palatino Linotype"/>
          <w:i/>
          <w:sz w:val="22"/>
          <w:szCs w:val="22"/>
          <w:lang w:eastAsia="es-MX"/>
        </w:rPr>
        <w:t xml:space="preserve">“Pólizas de seguro vehicular de las 38 unidades nuevas que entregó la presidenta municipal María de los Ángeles </w:t>
      </w:r>
      <w:proofErr w:type="spellStart"/>
      <w:r w:rsidRPr="000D5F0E">
        <w:rPr>
          <w:rFonts w:ascii="Palatino Linotype" w:eastAsia="Times New Roman" w:hAnsi="Palatino Linotype"/>
          <w:i/>
          <w:sz w:val="22"/>
          <w:szCs w:val="22"/>
          <w:lang w:eastAsia="es-MX"/>
        </w:rPr>
        <w:t>Zuppa</w:t>
      </w:r>
      <w:proofErr w:type="spellEnd"/>
      <w:r w:rsidRPr="000D5F0E">
        <w:rPr>
          <w:rFonts w:ascii="Palatino Linotype" w:eastAsia="Times New Roman" w:hAnsi="Palatino Linotype"/>
          <w:i/>
          <w:sz w:val="22"/>
          <w:szCs w:val="22"/>
          <w:lang w:eastAsia="es-MX"/>
        </w:rPr>
        <w:t xml:space="preserve"> Villegas el pasado 13 de septiembre de 2023.” (Sic)</w:t>
      </w:r>
      <w:r w:rsidRPr="000D5F0E">
        <w:rPr>
          <w:rFonts w:ascii="Palatino Linotype" w:eastAsia="Times New Roman" w:hAnsi="Palatino Linotype"/>
          <w:sz w:val="22"/>
          <w:szCs w:val="22"/>
          <w:lang w:eastAsia="es-MX"/>
        </w:rPr>
        <w:t xml:space="preserve">, </w:t>
      </w:r>
      <w:r w:rsidRPr="000D5F0E">
        <w:rPr>
          <w:rFonts w:ascii="Palatino Linotype" w:eastAsia="Times New Roman" w:hAnsi="Palatino Linotype"/>
          <w:lang w:eastAsia="es-MX"/>
        </w:rPr>
        <w:t>del análisis de las constancias que obran en el expediente se entregaron 13</w:t>
      </w:r>
      <w:r w:rsidRPr="000D5F0E">
        <w:rPr>
          <w:rFonts w:ascii="Palatino Linotype" w:hAnsi="Palatino Linotype"/>
        </w:rPr>
        <w:t xml:space="preserve"> pólizas de seguro vehicular, por lo que esta ponencia realizó una búsqueda en internet, localizándose algunas noticias al respecto, como la que manifiesta:</w:t>
      </w:r>
      <w:r w:rsidR="008577B5" w:rsidRPr="000D5F0E">
        <w:rPr>
          <w:rFonts w:ascii="Palatino Linotype" w:hAnsi="Palatino Linotype"/>
        </w:rPr>
        <w:t xml:space="preserve"> </w:t>
      </w:r>
      <w:r w:rsidRPr="000D5F0E">
        <w:rPr>
          <w:rFonts w:ascii="Palatino Linotype" w:hAnsi="Palatino Linotype"/>
          <w:i/>
          <w:sz w:val="20"/>
          <w:szCs w:val="20"/>
        </w:rPr>
        <w:t xml:space="preserve">“En Tepotzotlán, Estado de México, este miércoles se celebró el CLXXVI aniversario de la Gesta Heroica de los Niños Héroes de Chapultepec, con la </w:t>
      </w:r>
      <w:r w:rsidRPr="000D5F0E">
        <w:rPr>
          <w:rFonts w:ascii="Palatino Linotype" w:hAnsi="Palatino Linotype"/>
          <w:b/>
          <w:i/>
          <w:sz w:val="20"/>
          <w:szCs w:val="20"/>
        </w:rPr>
        <w:t xml:space="preserve">entrega de 38 vehículos que serán destinados a las diferentes direcciones del ayuntamiento, destacó la presidenta municipal </w:t>
      </w:r>
      <w:proofErr w:type="spellStart"/>
      <w:r w:rsidRPr="000D5F0E">
        <w:rPr>
          <w:rFonts w:ascii="Palatino Linotype" w:hAnsi="Palatino Linotype"/>
          <w:b/>
          <w:i/>
          <w:sz w:val="20"/>
          <w:szCs w:val="20"/>
        </w:rPr>
        <w:t>Maria</w:t>
      </w:r>
      <w:proofErr w:type="spellEnd"/>
      <w:r w:rsidRPr="000D5F0E">
        <w:rPr>
          <w:rFonts w:ascii="Palatino Linotype" w:hAnsi="Palatino Linotype"/>
          <w:b/>
          <w:i/>
          <w:sz w:val="20"/>
          <w:szCs w:val="20"/>
        </w:rPr>
        <w:t xml:space="preserve"> de los </w:t>
      </w:r>
      <w:proofErr w:type="spellStart"/>
      <w:r w:rsidRPr="000D5F0E">
        <w:rPr>
          <w:rFonts w:ascii="Palatino Linotype" w:hAnsi="Palatino Linotype"/>
          <w:b/>
          <w:i/>
          <w:sz w:val="20"/>
          <w:szCs w:val="20"/>
        </w:rPr>
        <w:t>Angeles</w:t>
      </w:r>
      <w:proofErr w:type="spellEnd"/>
      <w:r w:rsidRPr="000D5F0E">
        <w:rPr>
          <w:rFonts w:ascii="Palatino Linotype" w:hAnsi="Palatino Linotype"/>
          <w:b/>
          <w:i/>
          <w:sz w:val="20"/>
          <w:szCs w:val="20"/>
        </w:rPr>
        <w:t xml:space="preserve"> </w:t>
      </w:r>
      <w:proofErr w:type="spellStart"/>
      <w:r w:rsidRPr="000D5F0E">
        <w:rPr>
          <w:rFonts w:ascii="Palatino Linotype" w:hAnsi="Palatino Linotype"/>
          <w:b/>
          <w:i/>
          <w:sz w:val="20"/>
          <w:szCs w:val="20"/>
        </w:rPr>
        <w:t>Zuppa</w:t>
      </w:r>
      <w:proofErr w:type="spellEnd"/>
      <w:r w:rsidRPr="000D5F0E">
        <w:rPr>
          <w:rFonts w:ascii="Palatino Linotype" w:hAnsi="Palatino Linotype"/>
          <w:b/>
          <w:i/>
          <w:sz w:val="20"/>
          <w:szCs w:val="20"/>
        </w:rPr>
        <w:t xml:space="preserve"> Villegas</w:t>
      </w:r>
      <w:r w:rsidRPr="000D5F0E">
        <w:rPr>
          <w:rFonts w:ascii="Palatino Linotype" w:hAnsi="Palatino Linotype"/>
          <w:i/>
          <w:sz w:val="20"/>
          <w:szCs w:val="20"/>
        </w:rPr>
        <w:t>.</w:t>
      </w:r>
      <w:r w:rsidRPr="000D5F0E">
        <w:rPr>
          <w:rFonts w:ascii="Palatino Linotype" w:hAnsi="Palatino Linotype"/>
        </w:rPr>
        <w:t xml:space="preserve"> </w:t>
      </w:r>
      <w:r w:rsidRPr="000D5F0E">
        <w:rPr>
          <w:rFonts w:ascii="Palatino Linotype" w:hAnsi="Palatino Linotype"/>
          <w:i/>
          <w:sz w:val="20"/>
          <w:szCs w:val="20"/>
        </w:rPr>
        <w:t xml:space="preserve">De esta manera, con la finalidad de reforzar la seguridad en Tepotzotlán, </w:t>
      </w:r>
      <w:r w:rsidRPr="000D5F0E">
        <w:rPr>
          <w:rFonts w:ascii="Palatino Linotype" w:hAnsi="Palatino Linotype"/>
          <w:b/>
          <w:i/>
          <w:sz w:val="20"/>
          <w:szCs w:val="20"/>
        </w:rPr>
        <w:t>la alcaldesa entregó 20 patrullas a la dirección de seguridad pública</w:t>
      </w:r>
      <w:r w:rsidRPr="000D5F0E">
        <w:rPr>
          <w:rFonts w:ascii="Palatino Linotype" w:hAnsi="Palatino Linotype"/>
          <w:i/>
          <w:sz w:val="20"/>
          <w:szCs w:val="20"/>
        </w:rPr>
        <w:t xml:space="preserve">; para mejorar la respuesta ante los llamados de emergencia entregó </w:t>
      </w:r>
      <w:r w:rsidRPr="000D5F0E">
        <w:rPr>
          <w:rFonts w:ascii="Palatino Linotype" w:hAnsi="Palatino Linotype"/>
          <w:b/>
          <w:i/>
          <w:sz w:val="20"/>
          <w:szCs w:val="20"/>
        </w:rPr>
        <w:t>2 ambulancias</w:t>
      </w:r>
      <w:r w:rsidRPr="000D5F0E">
        <w:rPr>
          <w:rFonts w:ascii="Palatino Linotype" w:hAnsi="Palatino Linotype"/>
          <w:i/>
          <w:sz w:val="20"/>
          <w:szCs w:val="20"/>
        </w:rPr>
        <w:t xml:space="preserve">, y para </w:t>
      </w:r>
      <w:proofErr w:type="spellStart"/>
      <w:r w:rsidRPr="000D5F0E">
        <w:rPr>
          <w:rFonts w:ascii="Palatino Linotype" w:hAnsi="Palatino Linotype"/>
          <w:i/>
          <w:sz w:val="20"/>
          <w:szCs w:val="20"/>
        </w:rPr>
        <w:t>eficientar</w:t>
      </w:r>
      <w:proofErr w:type="spellEnd"/>
      <w:r w:rsidRPr="000D5F0E">
        <w:rPr>
          <w:rFonts w:ascii="Palatino Linotype" w:hAnsi="Palatino Linotype"/>
          <w:i/>
          <w:sz w:val="20"/>
          <w:szCs w:val="20"/>
        </w:rPr>
        <w:t xml:space="preserve"> el trabajo de las áreas operativas del ayuntamiento, hizo entrega de </w:t>
      </w:r>
      <w:r w:rsidRPr="000D5F0E">
        <w:rPr>
          <w:rFonts w:ascii="Palatino Linotype" w:hAnsi="Palatino Linotype"/>
          <w:b/>
          <w:i/>
          <w:sz w:val="20"/>
          <w:szCs w:val="20"/>
        </w:rPr>
        <w:t>16 vehículos utilitarios</w:t>
      </w:r>
      <w:r w:rsidRPr="000D5F0E">
        <w:rPr>
          <w:rFonts w:ascii="Palatino Linotype" w:hAnsi="Palatino Linotype"/>
          <w:i/>
          <w:sz w:val="20"/>
          <w:szCs w:val="20"/>
        </w:rPr>
        <w:t>…”</w:t>
      </w:r>
      <w:r w:rsidR="00E34A5A" w:rsidRPr="000D5F0E">
        <w:rPr>
          <w:rFonts w:ascii="Palatino Linotype" w:hAnsi="Palatino Linotype"/>
          <w:sz w:val="20"/>
          <w:szCs w:val="20"/>
        </w:rPr>
        <w:t xml:space="preserve">, </w:t>
      </w:r>
      <w:r w:rsidR="00E34A5A" w:rsidRPr="000D5F0E">
        <w:rPr>
          <w:rFonts w:ascii="Palatino Linotype" w:hAnsi="Palatino Linotype"/>
        </w:rPr>
        <w:t>tal como se muestra en la siguiente captura de pantalla</w:t>
      </w:r>
      <w:r w:rsidR="00E34A5A" w:rsidRPr="000D5F0E">
        <w:rPr>
          <w:rStyle w:val="Refdenotaalpie"/>
          <w:rFonts w:ascii="Palatino Linotype" w:hAnsi="Palatino Linotype"/>
        </w:rPr>
        <w:footnoteReference w:id="12"/>
      </w:r>
      <w:r w:rsidR="00E34A5A" w:rsidRPr="000D5F0E">
        <w:rPr>
          <w:rFonts w:ascii="Palatino Linotype" w:hAnsi="Palatino Linotype"/>
        </w:rPr>
        <w:t>:</w:t>
      </w:r>
    </w:p>
    <w:p w:rsidR="00E34A5A" w:rsidRPr="000D5F0E" w:rsidRDefault="00E34A5A" w:rsidP="00E34A5A">
      <w:pPr>
        <w:spacing w:after="160" w:line="360" w:lineRule="auto"/>
        <w:contextualSpacing/>
        <w:jc w:val="center"/>
        <w:rPr>
          <w:rFonts w:ascii="Palatino Linotype" w:hAnsi="Palatino Linotype"/>
        </w:rPr>
      </w:pPr>
      <w:r w:rsidRPr="000D5F0E">
        <w:rPr>
          <w:rFonts w:ascii="Palatino Linotype" w:hAnsi="Palatino Linotype"/>
          <w:noProof/>
          <w:lang w:val="es-MX" w:eastAsia="es-MX"/>
        </w:rPr>
        <w:drawing>
          <wp:inline distT="0" distB="0" distL="0" distR="0" wp14:anchorId="769A1B8B" wp14:editId="720110E6">
            <wp:extent cx="3432695" cy="2532380"/>
            <wp:effectExtent l="152400" t="152400" r="358775" b="3632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3453" cy="2636221"/>
                    </a:xfrm>
                    <a:prstGeom prst="rect">
                      <a:avLst/>
                    </a:prstGeom>
                    <a:ln>
                      <a:noFill/>
                    </a:ln>
                    <a:effectLst>
                      <a:outerShdw blurRad="292100" dist="139700" dir="2700000" algn="tl" rotWithShape="0">
                        <a:srgbClr val="333333">
                          <a:alpha val="65000"/>
                        </a:srgbClr>
                      </a:outerShdw>
                    </a:effectLst>
                  </pic:spPr>
                </pic:pic>
              </a:graphicData>
            </a:graphic>
          </wp:inline>
        </w:drawing>
      </w:r>
    </w:p>
    <w:p w:rsidR="00F761B6" w:rsidRPr="000D5F0E" w:rsidRDefault="00F761B6" w:rsidP="00F761B6">
      <w:pPr>
        <w:spacing w:after="160" w:line="360" w:lineRule="auto"/>
        <w:contextualSpacing/>
        <w:jc w:val="both"/>
        <w:rPr>
          <w:rFonts w:ascii="Palatino Linotype" w:hAnsi="Palatino Linotype"/>
        </w:rPr>
      </w:pPr>
    </w:p>
    <w:p w:rsidR="007E015D" w:rsidRPr="000D5F0E" w:rsidRDefault="007278AD" w:rsidP="00CA6605">
      <w:pPr>
        <w:numPr>
          <w:ilvl w:val="0"/>
          <w:numId w:val="2"/>
        </w:numPr>
        <w:spacing w:line="360" w:lineRule="auto"/>
        <w:ind w:left="0" w:firstLine="0"/>
        <w:jc w:val="both"/>
        <w:rPr>
          <w:rFonts w:ascii="Palatino Linotype" w:hAnsi="Palatino Linotype"/>
          <w:b/>
          <w:color w:val="000000" w:themeColor="text1"/>
        </w:rPr>
      </w:pPr>
      <w:r w:rsidRPr="000D5F0E">
        <w:rPr>
          <w:rFonts w:ascii="Palatino Linotype" w:hAnsi="Palatino Linotype"/>
        </w:rPr>
        <w:t>En</w:t>
      </w:r>
      <w:r w:rsidRPr="000D5F0E">
        <w:rPr>
          <w:rFonts w:ascii="Palatino Linotype" w:hAnsi="Palatino Linotype" w:cs="Arial"/>
        </w:rPr>
        <w:t xml:space="preserve"> consecuencia a lo expuesto y con fundamento en la fracción IV del artículo 186, de la Ley de Transparencia y Acceso a la Información Pública del Estado de México y Municipios, se </w:t>
      </w:r>
      <w:r w:rsidRPr="000D5F0E">
        <w:rPr>
          <w:rFonts w:ascii="Palatino Linotype" w:hAnsi="Palatino Linotype" w:cs="Arial"/>
          <w:b/>
        </w:rPr>
        <w:t>ORDENA</w:t>
      </w:r>
      <w:r w:rsidRPr="000D5F0E">
        <w:rPr>
          <w:rFonts w:ascii="Palatino Linotype" w:hAnsi="Palatino Linotype" w:cs="Arial"/>
        </w:rPr>
        <w:t xml:space="preserve"> al </w:t>
      </w:r>
      <w:r w:rsidRPr="000D5F0E">
        <w:rPr>
          <w:rFonts w:ascii="Palatino Linotype" w:hAnsi="Palatino Linotype" w:cs="Arial"/>
          <w:b/>
        </w:rPr>
        <w:t>Sujeto Obligado</w:t>
      </w:r>
      <w:r w:rsidRPr="000D5F0E">
        <w:rPr>
          <w:rFonts w:ascii="Palatino Linotype" w:hAnsi="Palatino Linotype" w:cs="Arial"/>
        </w:rPr>
        <w:t xml:space="preserve">, </w:t>
      </w:r>
      <w:r w:rsidR="00D512A4" w:rsidRPr="000D5F0E">
        <w:rPr>
          <w:rFonts w:ascii="Palatino Linotype" w:hAnsi="Palatino Linotype" w:cs="Arial"/>
        </w:rPr>
        <w:t>entregar la información requerida en la</w:t>
      </w:r>
      <w:r w:rsidRPr="000D5F0E">
        <w:rPr>
          <w:rFonts w:ascii="Palatino Linotype" w:hAnsi="Palatino Linotype" w:cs="Arial"/>
        </w:rPr>
        <w:t xml:space="preserve"> solicitud de información </w:t>
      </w:r>
      <w:r w:rsidRPr="000D5F0E">
        <w:rPr>
          <w:rFonts w:ascii="Palatino Linotype" w:hAnsi="Palatino Linotype" w:cs="Arial"/>
          <w:b/>
          <w:bCs/>
        </w:rPr>
        <w:t xml:space="preserve"> 00191/TEPOTZOT/IP/2024</w:t>
      </w:r>
      <w:r w:rsidR="00D512A4" w:rsidRPr="000D5F0E">
        <w:rPr>
          <w:rFonts w:ascii="Palatino Linotype" w:hAnsi="Palatino Linotype" w:cs="Arial"/>
          <w:b/>
          <w:bCs/>
        </w:rPr>
        <w:t xml:space="preserve">, </w:t>
      </w:r>
      <w:r w:rsidR="00D512A4" w:rsidRPr="000D5F0E">
        <w:rPr>
          <w:rFonts w:ascii="Palatino Linotype" w:hAnsi="Palatino Linotype" w:cs="Arial"/>
          <w:bCs/>
        </w:rPr>
        <w:t xml:space="preserve">previa búsqueda exhaustiva y razonable, </w:t>
      </w:r>
      <w:r w:rsidR="00493938" w:rsidRPr="000D5F0E">
        <w:rPr>
          <w:rFonts w:ascii="Palatino Linotype" w:hAnsi="Palatino Linotype" w:cs="Arial"/>
          <w:bCs/>
        </w:rPr>
        <w:t xml:space="preserve">de ser el caso </w:t>
      </w:r>
      <w:r w:rsidR="00D512A4" w:rsidRPr="000D5F0E">
        <w:rPr>
          <w:rFonts w:ascii="Palatino Linotype" w:hAnsi="Palatino Linotype" w:cs="Arial"/>
          <w:bCs/>
        </w:rPr>
        <w:t>en versión pública para los documentos faltantes</w:t>
      </w:r>
      <w:r w:rsidR="00D512A4" w:rsidRPr="000D5F0E">
        <w:rPr>
          <w:rFonts w:ascii="Palatino Linotype" w:hAnsi="Palatino Linotype" w:cs="Arial"/>
          <w:b/>
          <w:bCs/>
        </w:rPr>
        <w:t xml:space="preserve"> </w:t>
      </w:r>
      <w:r w:rsidRPr="000D5F0E">
        <w:rPr>
          <w:rFonts w:ascii="Palatino Linotype" w:hAnsi="Palatino Linotype" w:cs="Arial"/>
          <w:bCs/>
        </w:rPr>
        <w:t>y entregue la información integra</w:t>
      </w:r>
      <w:r w:rsidRPr="000D5F0E">
        <w:rPr>
          <w:rFonts w:ascii="Palatino Linotype" w:hAnsi="Palatino Linotype" w:cs="Arial"/>
          <w:b/>
          <w:bCs/>
        </w:rPr>
        <w:t xml:space="preserve">, </w:t>
      </w:r>
      <w:r w:rsidR="00D512A4" w:rsidRPr="000D5F0E">
        <w:rPr>
          <w:rFonts w:ascii="Palatino Linotype" w:hAnsi="Palatino Linotype" w:cs="Arial"/>
        </w:rPr>
        <w:t xml:space="preserve">que remitió en informe justificado. </w:t>
      </w:r>
    </w:p>
    <w:p w:rsidR="00D55D03" w:rsidRPr="000D5F0E" w:rsidRDefault="00D55D03">
      <w:pPr>
        <w:rPr>
          <w:rFonts w:ascii="Palatino Linotype" w:hAnsi="Palatino Linotype" w:cs="Arial"/>
        </w:rPr>
      </w:pPr>
    </w:p>
    <w:p w:rsidR="00411F6E" w:rsidRPr="000D5F0E" w:rsidRDefault="008B3124" w:rsidP="00411F6E">
      <w:pPr>
        <w:keepNext/>
        <w:keepLines/>
        <w:spacing w:after="160" w:line="360" w:lineRule="auto"/>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t>CUARTA</w:t>
      </w:r>
      <w:r w:rsidR="00411F6E" w:rsidRPr="000D5F0E">
        <w:rPr>
          <w:rFonts w:ascii="Palatino Linotype" w:eastAsia="Palatino Linotype" w:hAnsi="Palatino Linotype" w:cs="Palatino Linotype"/>
          <w:b/>
          <w:color w:val="000000"/>
        </w:rPr>
        <w:t>. De la versión pública.</w:t>
      </w:r>
    </w:p>
    <w:p w:rsidR="00411F6E" w:rsidRPr="000D5F0E" w:rsidRDefault="00411F6E" w:rsidP="00411F6E">
      <w:pPr>
        <w:keepNext/>
        <w:keepLines/>
        <w:numPr>
          <w:ilvl w:val="0"/>
          <w:numId w:val="42"/>
        </w:numPr>
        <w:tabs>
          <w:tab w:val="left" w:pos="284"/>
        </w:tabs>
        <w:spacing w:after="160" w:line="360" w:lineRule="auto"/>
        <w:rPr>
          <w:rFonts w:ascii="Palatino Linotype" w:eastAsia="Palatino Linotype" w:hAnsi="Palatino Linotype" w:cs="Palatino Linotype"/>
          <w:b/>
          <w:color w:val="000000"/>
        </w:rPr>
      </w:pPr>
      <w:bookmarkStart w:id="8" w:name="_heading=h.3rdcrjn" w:colFirst="0" w:colLast="0"/>
      <w:bookmarkEnd w:id="8"/>
      <w:r w:rsidRPr="000D5F0E">
        <w:rPr>
          <w:rFonts w:ascii="Palatino Linotype" w:eastAsia="Palatino Linotype" w:hAnsi="Palatino Linotype" w:cs="Palatino Linotype"/>
          <w:b/>
          <w:color w:val="000000"/>
        </w:rPr>
        <w:t xml:space="preserve">Nociones generales. </w:t>
      </w:r>
    </w:p>
    <w:p w:rsidR="00411F6E" w:rsidRPr="000D5F0E" w:rsidRDefault="00411F6E" w:rsidP="00AE3CC6">
      <w:pPr>
        <w:numPr>
          <w:ilvl w:val="0"/>
          <w:numId w:val="2"/>
        </w:numPr>
        <w:spacing w:line="360" w:lineRule="auto"/>
        <w:ind w:left="0" w:firstLine="0"/>
        <w:jc w:val="both"/>
        <w:rPr>
          <w:rFonts w:ascii="Palatino Linotype" w:eastAsia="MS Mincho" w:hAnsi="Palatino Linotype" w:cs="Arial"/>
        </w:rPr>
      </w:pPr>
      <w:r w:rsidRPr="000D5F0E">
        <w:rPr>
          <w:rFonts w:ascii="Palatino Linotype" w:eastAsia="MS Mincho" w:hAnsi="Palatino Linotype" w:cs="Arial"/>
        </w:rPr>
        <w:t xml:space="preserve">Debe destacarse, que si debido a la información solicitada por el </w:t>
      </w:r>
      <w:r w:rsidRPr="000D5F0E">
        <w:rPr>
          <w:rFonts w:ascii="Palatino Linotype" w:eastAsia="MS Mincho" w:hAnsi="Palatino Linotype" w:cs="Arial"/>
          <w:b/>
        </w:rPr>
        <w:t>RECURRENTE</w:t>
      </w:r>
      <w:r w:rsidRPr="000D5F0E">
        <w:rPr>
          <w:rFonts w:ascii="Palatino Linotype" w:eastAsia="MS Mincho" w:hAnsi="Palatino Linotype" w:cs="Arial"/>
        </w:rPr>
        <w:t xml:space="preserve">, obran datos personales susceptibles de protegerse, así como información susceptible de clasificarse como confidencial,  el </w:t>
      </w:r>
      <w:r w:rsidRPr="000D5F0E">
        <w:rPr>
          <w:rFonts w:ascii="Palatino Linotype" w:eastAsia="MS Mincho" w:hAnsi="Palatino Linotype" w:cs="Arial"/>
          <w:b/>
        </w:rPr>
        <w:t xml:space="preserve">SUJETO OBLIGADO </w:t>
      </w:r>
      <w:r w:rsidRPr="000D5F0E">
        <w:rPr>
          <w:rFonts w:ascii="Palatino Linotype" w:eastAsia="MS Mincho" w:hAnsi="Palatino Linotype" w:cs="Arial"/>
        </w:rPr>
        <w:t xml:space="preserve">deberá de hacer la adecuada versión pública, protegiendo los datos que no son susceptibles de ser proporcionados. </w:t>
      </w:r>
    </w:p>
    <w:p w:rsidR="00411F6E" w:rsidRPr="000D5F0E" w:rsidRDefault="00411F6E" w:rsidP="00411F6E">
      <w:pPr>
        <w:tabs>
          <w:tab w:val="left" w:pos="0"/>
          <w:tab w:val="left" w:pos="284"/>
        </w:tabs>
        <w:spacing w:line="360" w:lineRule="auto"/>
        <w:ind w:right="49"/>
        <w:jc w:val="both"/>
        <w:rPr>
          <w:rFonts w:ascii="Palatino Linotype" w:eastAsia="Palatino Linotype" w:hAnsi="Palatino Linotype" w:cs="Palatino Linotype"/>
        </w:rPr>
      </w:pPr>
    </w:p>
    <w:p w:rsidR="00411F6E" w:rsidRPr="000D5F0E" w:rsidRDefault="00411F6E" w:rsidP="00AE3CC6">
      <w:pPr>
        <w:numPr>
          <w:ilvl w:val="0"/>
          <w:numId w:val="2"/>
        </w:numPr>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color w:val="000000"/>
        </w:rPr>
        <w:t>No pasa desapercibido para este Órgano Garante que los sujetos obligados</w:t>
      </w:r>
      <w:r w:rsidRPr="000D5F0E">
        <w:rPr>
          <w:rFonts w:ascii="Palatino Linotype" w:eastAsia="Palatino Linotype" w:hAnsi="Palatino Linotype" w:cs="Palatino Linotype"/>
          <w:b/>
          <w:color w:val="000000"/>
        </w:rPr>
        <w:t xml:space="preserve"> </w:t>
      </w:r>
      <w:r w:rsidRPr="000D5F0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11F6E" w:rsidRPr="000D5F0E" w:rsidRDefault="00411F6E" w:rsidP="00411F6E">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411F6E" w:rsidRPr="000D5F0E" w:rsidTr="00493938">
        <w:tc>
          <w:tcPr>
            <w:tcW w:w="2689" w:type="dxa"/>
          </w:tcPr>
          <w:p w:rsidR="00411F6E" w:rsidRPr="000D5F0E" w:rsidRDefault="00411F6E" w:rsidP="00493938">
            <w:pPr>
              <w:tabs>
                <w:tab w:val="left" w:pos="284"/>
              </w:tabs>
              <w:spacing w:line="360" w:lineRule="auto"/>
              <w:rPr>
                <w:rFonts w:ascii="Palatino Linotype" w:eastAsia="Palatino Linotype" w:hAnsi="Palatino Linotype" w:cs="Palatino Linotype"/>
                <w:b/>
                <w:sz w:val="22"/>
              </w:rPr>
            </w:pPr>
            <w:r w:rsidRPr="000D5F0E">
              <w:rPr>
                <w:rFonts w:ascii="Palatino Linotype" w:eastAsia="Palatino Linotype" w:hAnsi="Palatino Linotype" w:cs="Palatino Linotype"/>
                <w:b/>
                <w:sz w:val="22"/>
              </w:rPr>
              <w:lastRenderedPageBreak/>
              <w:t>a) Requisitos previos.</w:t>
            </w:r>
          </w:p>
        </w:tc>
        <w:tc>
          <w:tcPr>
            <w:tcW w:w="6520"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b/>
                <w:color w:val="000000"/>
                <w:sz w:val="22"/>
              </w:rPr>
            </w:pPr>
            <w:r w:rsidRPr="000D5F0E">
              <w:rPr>
                <w:rFonts w:ascii="Palatino Linotype" w:eastAsia="Palatino Linotype" w:hAnsi="Palatino Linotype" w:cs="Palatino Linotype"/>
                <w:b/>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b/>
                <w:color w:val="000000"/>
                <w:sz w:val="22"/>
              </w:rPr>
            </w:pPr>
            <w:r w:rsidRPr="000D5F0E">
              <w:rPr>
                <w:rFonts w:ascii="Palatino Linotype" w:eastAsia="Palatino Linotype" w:hAnsi="Palatino Linotype" w:cs="Palatino Linotype"/>
                <w:b/>
                <w:color w:val="000000"/>
                <w:sz w:val="22"/>
              </w:rPr>
              <w:t>Al hacerlo tienen que precisar de qué información se trata, señalando el supuesto de clasificación (confidencialidad o reserva).</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b/>
                <w:color w:val="000000"/>
                <w:sz w:val="22"/>
              </w:rPr>
            </w:pPr>
            <w:r w:rsidRPr="000D5F0E">
              <w:rPr>
                <w:rFonts w:ascii="Palatino Linotype" w:eastAsia="Palatino Linotype" w:hAnsi="Palatino Linotype" w:cs="Palatino Linotype"/>
                <w:b/>
                <w:color w:val="000000"/>
                <w:sz w:val="22"/>
              </w:rPr>
              <w:t>Además, se debe señalar el procedimiento, de los tres que establecen los artículos 132 y 106 de la Ley Estatal y General, respectivamente.</w:t>
            </w:r>
          </w:p>
          <w:p w:rsidR="00411F6E" w:rsidRPr="000D5F0E" w:rsidRDefault="00411F6E" w:rsidP="00493938">
            <w:pPr>
              <w:tabs>
                <w:tab w:val="left" w:pos="284"/>
              </w:tabs>
              <w:spacing w:line="360" w:lineRule="auto"/>
              <w:jc w:val="both"/>
              <w:rPr>
                <w:rFonts w:ascii="Palatino Linotype" w:eastAsia="Palatino Linotype" w:hAnsi="Palatino Linotype" w:cs="Palatino Linotype"/>
                <w:b/>
                <w:sz w:val="22"/>
              </w:rPr>
            </w:pPr>
            <w:r w:rsidRPr="000D5F0E">
              <w:rPr>
                <w:rFonts w:ascii="Palatino Linotype" w:eastAsia="Palatino Linotype" w:hAnsi="Palatino Linotype" w:cs="Palatino Linotype"/>
                <w:b/>
                <w:color w:val="000000"/>
                <w:sz w:val="22"/>
              </w:rPr>
              <w:t xml:space="preserve">El último de estos requisitos previos consiste en que no se pueden emitir acuerdos de carácter general ni particular, esto es, </w:t>
            </w:r>
            <w:r w:rsidRPr="000D5F0E">
              <w:rPr>
                <w:rFonts w:ascii="Palatino Linotype" w:eastAsia="Palatino Linotype" w:hAnsi="Palatino Linotype" w:cs="Palatino Linotype"/>
                <w:b/>
                <w:color w:val="000000"/>
                <w:sz w:val="22"/>
                <w:u w:val="single"/>
              </w:rPr>
              <w:t>no se puede hacer un acuerdo para clasificar de manera general todos los documentos de un expediente o área, sin</w:t>
            </w:r>
            <w:r w:rsidRPr="000D5F0E">
              <w:rPr>
                <w:rFonts w:ascii="Palatino Linotype" w:eastAsia="Palatino Linotype" w:hAnsi="Palatino Linotype" w:cs="Palatino Linotype"/>
                <w:b/>
                <w:color w:val="000000"/>
                <w:sz w:val="22"/>
              </w:rPr>
              <w:t xml:space="preserve"> individualizar su análisis y tampoco se puede hacer un acuerdo por cada dato que se vaya a clasificar dentro de un documento con diez datos, por ejemplo, susceptibles de ser clasificados.</w:t>
            </w:r>
          </w:p>
        </w:tc>
      </w:tr>
      <w:tr w:rsidR="00411F6E" w:rsidRPr="000D5F0E" w:rsidTr="00493938">
        <w:tc>
          <w:tcPr>
            <w:tcW w:w="2689" w:type="dxa"/>
          </w:tcPr>
          <w:p w:rsidR="00411F6E" w:rsidRPr="000D5F0E" w:rsidRDefault="00411F6E" w:rsidP="00493938">
            <w:pPr>
              <w:tabs>
                <w:tab w:val="left" w:pos="284"/>
              </w:tabs>
              <w:spacing w:line="360" w:lineRule="auto"/>
              <w:rPr>
                <w:rFonts w:ascii="Palatino Linotype" w:eastAsia="Palatino Linotype" w:hAnsi="Palatino Linotype" w:cs="Palatino Linotype"/>
                <w:b/>
                <w:sz w:val="22"/>
              </w:rPr>
            </w:pPr>
            <w:r w:rsidRPr="000D5F0E">
              <w:rPr>
                <w:rFonts w:ascii="Palatino Linotype" w:eastAsia="Palatino Linotype" w:hAnsi="Palatino Linotype" w:cs="Palatino Linotype"/>
                <w:b/>
                <w:sz w:val="22"/>
              </w:rPr>
              <w:t>b) Supuestos de clasificación.</w:t>
            </w:r>
          </w:p>
        </w:tc>
        <w:tc>
          <w:tcPr>
            <w:tcW w:w="6520"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0D5F0E">
              <w:rPr>
                <w:rFonts w:ascii="Palatino Linotype" w:eastAsia="Palatino Linotype" w:hAnsi="Palatino Linotype" w:cs="Palatino Linotype"/>
                <w:color w:val="000000"/>
                <w:sz w:val="22"/>
              </w:rPr>
              <w:lastRenderedPageBreak/>
              <w:t>debe realizarse de manera restrictiva y limitada, por lo que debe acreditarse que se cumple con esta condición y no se pueden ampliar las excepciones o supuestos de clasificación aduciendo analogía o mayoría de razón.</w:t>
            </w:r>
          </w:p>
          <w:p w:rsidR="00411F6E" w:rsidRPr="000D5F0E" w:rsidRDefault="00411F6E" w:rsidP="00493938">
            <w:pPr>
              <w:tabs>
                <w:tab w:val="left" w:pos="284"/>
              </w:tabs>
              <w:spacing w:line="360" w:lineRule="auto"/>
              <w:jc w:val="both"/>
              <w:rPr>
                <w:rFonts w:ascii="Palatino Linotype" w:eastAsia="Palatino Linotype" w:hAnsi="Palatino Linotype" w:cs="Palatino Linotype"/>
                <w:sz w:val="22"/>
              </w:rPr>
            </w:pPr>
            <w:r w:rsidRPr="000D5F0E">
              <w:rPr>
                <w:rFonts w:ascii="Palatino Linotype" w:eastAsia="Palatino Linotype" w:hAnsi="Palatino Linotype" w:cs="Palatino Linotype"/>
                <w:color w:val="000000"/>
                <w:sz w:val="22"/>
              </w:rPr>
              <w:t xml:space="preserve">El </w:t>
            </w:r>
            <w:r w:rsidRPr="000D5F0E">
              <w:rPr>
                <w:rFonts w:ascii="Palatino Linotype" w:eastAsia="Palatino Linotype" w:hAnsi="Palatino Linotype" w:cs="Palatino Linotype"/>
                <w:b/>
                <w:color w:val="000000"/>
                <w:sz w:val="22"/>
              </w:rPr>
              <w:t>Sujeto Obligado</w:t>
            </w:r>
            <w:r w:rsidRPr="000D5F0E">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11F6E" w:rsidRPr="000D5F0E" w:rsidTr="00493938">
        <w:tc>
          <w:tcPr>
            <w:tcW w:w="2689" w:type="dxa"/>
          </w:tcPr>
          <w:p w:rsidR="00411F6E" w:rsidRPr="000D5F0E" w:rsidRDefault="00411F6E" w:rsidP="00493938">
            <w:pPr>
              <w:tabs>
                <w:tab w:val="left" w:pos="284"/>
              </w:tabs>
              <w:spacing w:line="360" w:lineRule="auto"/>
              <w:rPr>
                <w:rFonts w:ascii="Palatino Linotype" w:eastAsia="Palatino Linotype" w:hAnsi="Palatino Linotype" w:cs="Palatino Linotype"/>
                <w:b/>
                <w:sz w:val="22"/>
              </w:rPr>
            </w:pPr>
            <w:r w:rsidRPr="000D5F0E">
              <w:rPr>
                <w:rFonts w:ascii="Palatino Linotype" w:eastAsia="Palatino Linotype" w:hAnsi="Palatino Linotype" w:cs="Palatino Linotype"/>
                <w:b/>
                <w:sz w:val="22"/>
              </w:rPr>
              <w:lastRenderedPageBreak/>
              <w:t>c) Formalidades para emitir el acuerdo de clasificación.</w:t>
            </w:r>
          </w:p>
        </w:tc>
        <w:tc>
          <w:tcPr>
            <w:tcW w:w="6520"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Es necesario que </w:t>
            </w:r>
            <w:r w:rsidRPr="000D5F0E">
              <w:rPr>
                <w:rFonts w:ascii="Palatino Linotype" w:eastAsia="Palatino Linotype" w:hAnsi="Palatino Linotype" w:cs="Palatino Linotype"/>
                <w:b/>
                <w:color w:val="000000"/>
                <w:sz w:val="22"/>
                <w:u w:val="single"/>
              </w:rPr>
              <w:t>el acto reúna con los requisitos elementales</w:t>
            </w:r>
            <w:r w:rsidRPr="000D5F0E">
              <w:rPr>
                <w:rFonts w:ascii="Palatino Linotype" w:eastAsia="Palatino Linotype" w:hAnsi="Palatino Linotype" w:cs="Palatino Linotype"/>
                <w:color w:val="000000"/>
                <w:sz w:val="22"/>
              </w:rPr>
              <w:t>, entre ellos, que la autoridad que va a emitir el acto de autoridad sea la legalmente facultada para ello.</w:t>
            </w:r>
          </w:p>
          <w:p w:rsidR="00411F6E" w:rsidRPr="000D5F0E" w:rsidRDefault="00411F6E" w:rsidP="00493938">
            <w:pPr>
              <w:tabs>
                <w:tab w:val="left" w:pos="284"/>
              </w:tabs>
              <w:spacing w:line="360" w:lineRule="auto"/>
              <w:jc w:val="both"/>
              <w:rPr>
                <w:rFonts w:ascii="Palatino Linotype" w:eastAsia="Palatino Linotype" w:hAnsi="Palatino Linotype" w:cs="Palatino Linotype"/>
                <w:sz w:val="22"/>
              </w:rPr>
            </w:pPr>
            <w:r w:rsidRPr="000D5F0E">
              <w:rPr>
                <w:rFonts w:ascii="Palatino Linotype" w:eastAsia="Palatino Linotype" w:hAnsi="Palatino Linotype" w:cs="Palatino Linotype"/>
                <w:color w:val="000000"/>
                <w:sz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11F6E" w:rsidRPr="000D5F0E" w:rsidTr="00493938">
        <w:tc>
          <w:tcPr>
            <w:tcW w:w="2689" w:type="dxa"/>
          </w:tcPr>
          <w:p w:rsidR="00411F6E" w:rsidRPr="000D5F0E" w:rsidRDefault="00411F6E" w:rsidP="00493938">
            <w:pPr>
              <w:tabs>
                <w:tab w:val="left" w:pos="284"/>
              </w:tabs>
              <w:spacing w:line="360" w:lineRule="auto"/>
              <w:rPr>
                <w:rFonts w:ascii="Palatino Linotype" w:eastAsia="Palatino Linotype" w:hAnsi="Palatino Linotype" w:cs="Palatino Linotype"/>
                <w:b/>
                <w:sz w:val="22"/>
              </w:rPr>
            </w:pPr>
          </w:p>
          <w:p w:rsidR="00411F6E" w:rsidRPr="000D5F0E" w:rsidRDefault="00411F6E" w:rsidP="00493938">
            <w:pPr>
              <w:tabs>
                <w:tab w:val="left" w:pos="284"/>
              </w:tabs>
              <w:spacing w:line="360" w:lineRule="auto"/>
              <w:jc w:val="both"/>
              <w:rPr>
                <w:rFonts w:ascii="Palatino Linotype" w:eastAsia="Palatino Linotype" w:hAnsi="Palatino Linotype" w:cs="Palatino Linotype"/>
                <w:b/>
                <w:sz w:val="22"/>
              </w:rPr>
            </w:pPr>
            <w:r w:rsidRPr="000D5F0E">
              <w:rPr>
                <w:rFonts w:ascii="Palatino Linotype" w:eastAsia="Palatino Linotype" w:hAnsi="Palatino Linotype" w:cs="Palatino Linotype"/>
                <w:b/>
                <w:color w:val="000000"/>
                <w:sz w:val="22"/>
              </w:rPr>
              <w:lastRenderedPageBreak/>
              <w:t xml:space="preserve">d) Requisitos de fondo del acuerdo de clasificación. </w:t>
            </w:r>
          </w:p>
        </w:tc>
        <w:tc>
          <w:tcPr>
            <w:tcW w:w="6520"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lastRenderedPageBreak/>
              <w:t xml:space="preserve">Como se ha señalado antes, al hacer el juicio de subsunción o encaje entre el supuesto de hecho y la hipótesis jurídica, se debe </w:t>
            </w:r>
            <w:r w:rsidRPr="000D5F0E">
              <w:rPr>
                <w:rFonts w:ascii="Palatino Linotype" w:eastAsia="Palatino Linotype" w:hAnsi="Palatino Linotype" w:cs="Palatino Linotype"/>
                <w:color w:val="000000"/>
                <w:sz w:val="22"/>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0D5F0E">
              <w:rPr>
                <w:rFonts w:ascii="Palatino Linotype" w:eastAsia="Palatino Linotype" w:hAnsi="Palatino Linotype" w:cs="Palatino Linotype"/>
                <w:b/>
                <w:color w:val="000000"/>
                <w:sz w:val="22"/>
              </w:rPr>
              <w:t>Sujetos Obligados</w:t>
            </w:r>
            <w:r w:rsidRPr="000D5F0E">
              <w:rPr>
                <w:rFonts w:ascii="Palatino Linotype" w:eastAsia="Palatino Linotype" w:hAnsi="Palatino Linotype" w:cs="Palatino Linotype"/>
                <w:color w:val="000000"/>
                <w:sz w:val="22"/>
              </w:rPr>
              <w:t xml:space="preserve">, por lo que deberán fundar y motivar debidamente la clasificación. </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De lo anterior, se desprende que para una correcta </w:t>
            </w:r>
            <w:r w:rsidRPr="000D5F0E">
              <w:rPr>
                <w:rFonts w:ascii="Palatino Linotype" w:eastAsia="Palatino Linotype" w:hAnsi="Palatino Linotype" w:cs="Palatino Linotype"/>
                <w:b/>
                <w:color w:val="000000"/>
                <w:sz w:val="22"/>
              </w:rPr>
              <w:t>clasificación total o parcial</w:t>
            </w:r>
            <w:r w:rsidRPr="000D5F0E">
              <w:rPr>
                <w:rFonts w:ascii="Palatino Linotype" w:eastAsia="Palatino Linotype" w:hAnsi="Palatino Linotype" w:cs="Palatino Linotype"/>
                <w:color w:val="000000"/>
                <w:sz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Ahora bien, </w:t>
            </w:r>
            <w:r w:rsidRPr="000D5F0E">
              <w:rPr>
                <w:rFonts w:ascii="Palatino Linotype" w:eastAsia="Palatino Linotype" w:hAnsi="Palatino Linotype" w:cs="Palatino Linotype"/>
                <w:b/>
                <w:color w:val="000000"/>
                <w:sz w:val="22"/>
                <w:u w:val="single"/>
              </w:rPr>
              <w:t>para cada caso además de fundar y motivar</w:t>
            </w:r>
            <w:r w:rsidRPr="000D5F0E">
              <w:rPr>
                <w:rFonts w:ascii="Palatino Linotype" w:eastAsia="Palatino Linotype" w:hAnsi="Palatino Linotype" w:cs="Palatino Linotype"/>
                <w:color w:val="000000"/>
                <w:sz w:val="22"/>
              </w:rPr>
              <w:t xml:space="preserve">, se debe identificar con claridad que datos contenidos en las </w:t>
            </w:r>
            <w:r w:rsidRPr="000D5F0E">
              <w:rPr>
                <w:rFonts w:ascii="Palatino Linotype" w:eastAsia="Palatino Linotype" w:hAnsi="Palatino Linotype" w:cs="Palatino Linotype"/>
                <w:color w:val="000000"/>
                <w:sz w:val="22"/>
              </w:rPr>
              <w:lastRenderedPageBreak/>
              <w:t>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11F6E" w:rsidRPr="000D5F0E" w:rsidTr="00493938">
        <w:tc>
          <w:tcPr>
            <w:tcW w:w="2689"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b/>
                <w:sz w:val="22"/>
              </w:rPr>
            </w:pPr>
            <w:r w:rsidRPr="000D5F0E">
              <w:rPr>
                <w:rFonts w:ascii="Palatino Linotype" w:eastAsia="Palatino Linotype" w:hAnsi="Palatino Linotype" w:cs="Palatino Linotype"/>
                <w:b/>
                <w:sz w:val="22"/>
              </w:rPr>
              <w:lastRenderedPageBreak/>
              <w:t xml:space="preserve">e) Condiciones especiales de la clasificación de la información como confidencial. </w:t>
            </w:r>
          </w:p>
        </w:tc>
        <w:tc>
          <w:tcPr>
            <w:tcW w:w="6520" w:type="dxa"/>
          </w:tcPr>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rsidR="00411F6E" w:rsidRPr="000D5F0E" w:rsidRDefault="00411F6E" w:rsidP="00493938">
            <w:pPr>
              <w:tabs>
                <w:tab w:val="left" w:pos="284"/>
              </w:tabs>
              <w:spacing w:line="360" w:lineRule="auto"/>
              <w:ind w:right="49"/>
              <w:jc w:val="both"/>
              <w:rPr>
                <w:rFonts w:ascii="Palatino Linotype" w:eastAsia="Palatino Linotype" w:hAnsi="Palatino Linotype" w:cs="Palatino Linotype"/>
                <w:color w:val="000000"/>
                <w:sz w:val="22"/>
              </w:rPr>
            </w:pPr>
            <w:r w:rsidRPr="000D5F0E">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11F6E" w:rsidRPr="000D5F0E" w:rsidRDefault="00411F6E" w:rsidP="00493938">
            <w:pPr>
              <w:tabs>
                <w:tab w:val="left" w:pos="284"/>
              </w:tabs>
              <w:spacing w:line="360" w:lineRule="auto"/>
              <w:rPr>
                <w:rFonts w:ascii="Palatino Linotype" w:eastAsia="Palatino Linotype" w:hAnsi="Palatino Linotype" w:cs="Palatino Linotype"/>
                <w:sz w:val="22"/>
              </w:rPr>
            </w:pPr>
            <w:r w:rsidRPr="000D5F0E">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11F6E" w:rsidRPr="000D5F0E" w:rsidRDefault="00411F6E" w:rsidP="00411F6E">
      <w:pPr>
        <w:tabs>
          <w:tab w:val="left" w:pos="284"/>
        </w:tabs>
        <w:spacing w:line="360" w:lineRule="auto"/>
        <w:rPr>
          <w:rFonts w:ascii="Palatino Linotype" w:eastAsia="Palatino Linotype" w:hAnsi="Palatino Linotype" w:cs="Palatino Linotype"/>
          <w:color w:val="000000"/>
        </w:rPr>
      </w:pPr>
    </w:p>
    <w:p w:rsidR="00411F6E" w:rsidRPr="000D5F0E" w:rsidRDefault="00411F6E" w:rsidP="00AE3CC6">
      <w:pPr>
        <w:numPr>
          <w:ilvl w:val="0"/>
          <w:numId w:val="2"/>
        </w:numPr>
        <w:spacing w:line="360" w:lineRule="auto"/>
        <w:ind w:left="0" w:firstLine="0"/>
        <w:jc w:val="both"/>
        <w:rPr>
          <w:rFonts w:ascii="Palatino Linotype" w:eastAsia="Palatino Linotype" w:hAnsi="Palatino Linotype" w:cs="Palatino Linotype"/>
          <w:lang w:eastAsia="es-MX"/>
        </w:rPr>
      </w:pPr>
      <w:r w:rsidRPr="000D5F0E">
        <w:rPr>
          <w:rFonts w:ascii="Palatino Linotype" w:eastAsia="Palatino Linotype" w:hAnsi="Palatino Linotype" w:cs="Palatino Linotype"/>
          <w:lang w:eastAsia="es-MX"/>
        </w:rPr>
        <w:t xml:space="preserve">De lo anterior, se debe de mencionar que el </w:t>
      </w:r>
      <w:r w:rsidRPr="000D5F0E">
        <w:rPr>
          <w:rFonts w:ascii="Palatino Linotype" w:eastAsia="Palatino Linotype" w:hAnsi="Palatino Linotype" w:cs="Palatino Linotype"/>
          <w:b/>
          <w:lang w:eastAsia="es-MX"/>
        </w:rPr>
        <w:t xml:space="preserve">SUJETO OBLIGADO </w:t>
      </w:r>
      <w:r w:rsidRPr="000D5F0E">
        <w:rPr>
          <w:rFonts w:ascii="Palatino Linotype" w:eastAsia="Palatino Linotype" w:hAnsi="Palatino Linotype" w:cs="Palatino Linotype"/>
          <w:lang w:eastAsia="es-MX"/>
        </w:rPr>
        <w:t>deberá de realizar un análisis respecto al contenido de las pólizas de seguro vehicular faltantes, ya que estos solo deberán de ser clasificados como confidenciales si tiene relación con datos personales.</w:t>
      </w:r>
    </w:p>
    <w:p w:rsidR="00411F6E" w:rsidRPr="000D5F0E" w:rsidRDefault="00411F6E" w:rsidP="00411F6E">
      <w:pPr>
        <w:tabs>
          <w:tab w:val="left" w:pos="284"/>
        </w:tabs>
        <w:spacing w:line="360" w:lineRule="auto"/>
        <w:jc w:val="both"/>
        <w:rPr>
          <w:rFonts w:ascii="Palatino Linotype" w:eastAsia="Palatino Linotype" w:hAnsi="Palatino Linotype" w:cs="Palatino Linotype"/>
          <w:color w:val="000000"/>
        </w:rPr>
      </w:pPr>
    </w:p>
    <w:p w:rsidR="00411F6E" w:rsidRPr="000D5F0E" w:rsidRDefault="00411F6E" w:rsidP="00AE3CC6">
      <w:pPr>
        <w:numPr>
          <w:ilvl w:val="0"/>
          <w:numId w:val="2"/>
        </w:numPr>
        <w:spacing w:line="360" w:lineRule="auto"/>
        <w:ind w:left="0" w:firstLine="0"/>
        <w:jc w:val="both"/>
        <w:rPr>
          <w:rFonts w:ascii="Palatino Linotype" w:eastAsia="Palatino Linotype" w:hAnsi="Palatino Linotype" w:cs="Palatino Linotype"/>
          <w:color w:val="000000"/>
        </w:rPr>
      </w:pPr>
      <w:r w:rsidRPr="000D5F0E">
        <w:rPr>
          <w:rFonts w:ascii="Palatino Linotype" w:eastAsia="Palatino Linotype" w:hAnsi="Palatino Linotype" w:cs="Palatino Linotype"/>
        </w:rPr>
        <w:lastRenderedPageBreak/>
        <w:t>Derivado de lo establecido en párrafos anteriores, si el SUJETO OBLIGADO incumple con estas formalidades y entrega la información sin proteger los datos personales incumple con lo que estipula las disposiciones legales establecidas, asimismo que si entrega un documento testado sin el debido acuerdo de clasificación.</w:t>
      </w:r>
    </w:p>
    <w:p w:rsidR="002A29F7" w:rsidRPr="000D5F0E" w:rsidRDefault="002A29F7" w:rsidP="006F6AC6">
      <w:pPr>
        <w:rPr>
          <w:rFonts w:ascii="Palatino Linotype" w:eastAsia="Palatino Linotype" w:hAnsi="Palatino Linotype" w:cs="Palatino Linotype"/>
          <w:color w:val="000000"/>
        </w:rPr>
      </w:pPr>
    </w:p>
    <w:p w:rsidR="003F68C1" w:rsidRPr="000D5F0E" w:rsidRDefault="003F68C1" w:rsidP="00160FA0">
      <w:pPr>
        <w:numPr>
          <w:ilvl w:val="0"/>
          <w:numId w:val="2"/>
        </w:numPr>
        <w:spacing w:line="360" w:lineRule="auto"/>
        <w:ind w:left="0" w:firstLine="0"/>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0D5F0E">
        <w:rPr>
          <w:rFonts w:ascii="Palatino Linotype" w:eastAsia="Palatino Linotype" w:hAnsi="Palatino Linotype" w:cs="Palatino Linotype"/>
          <w:b/>
          <w:color w:val="000000"/>
        </w:rPr>
        <w:t>ÓRGANO GARANTE</w:t>
      </w:r>
      <w:r w:rsidRPr="000D5F0E">
        <w:rPr>
          <w:rFonts w:ascii="Palatino Linotype" w:eastAsia="Palatino Linotype" w:hAnsi="Palatino Linotype" w:cs="Palatino Linotype"/>
          <w:color w:val="000000"/>
        </w:rPr>
        <w:t xml:space="preserve"> emite los siguientes</w:t>
      </w:r>
      <w:r w:rsidRPr="000D5F0E">
        <w:rPr>
          <w:rFonts w:ascii="Palatino Linotype" w:eastAsia="Palatino Linotype" w:hAnsi="Palatino Linotype" w:cs="Palatino Linotype"/>
          <w:color w:val="222222"/>
        </w:rPr>
        <w:t xml:space="preserve">: </w:t>
      </w:r>
    </w:p>
    <w:p w:rsidR="003F68C1" w:rsidRPr="000D5F0E" w:rsidRDefault="003F68C1" w:rsidP="003F68C1">
      <w:pPr>
        <w:spacing w:line="360" w:lineRule="auto"/>
        <w:ind w:right="34"/>
        <w:jc w:val="both"/>
        <w:rPr>
          <w:rFonts w:ascii="Palatino Linotype" w:eastAsia="Palatino Linotype" w:hAnsi="Palatino Linotype" w:cs="Palatino Linotype"/>
          <w:color w:val="000000"/>
        </w:rPr>
      </w:pPr>
    </w:p>
    <w:p w:rsidR="003F68C1" w:rsidRPr="000D5F0E" w:rsidRDefault="003F68C1" w:rsidP="003F68C1">
      <w:pPr>
        <w:keepNext/>
        <w:keepLines/>
        <w:spacing w:line="360" w:lineRule="auto"/>
        <w:jc w:val="center"/>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t>R E S O L U T I V O S</w:t>
      </w:r>
    </w:p>
    <w:p w:rsidR="00BA36A4" w:rsidRPr="000D5F0E" w:rsidRDefault="00BA36A4" w:rsidP="006F6AC6">
      <w:pPr>
        <w:tabs>
          <w:tab w:val="left" w:pos="3374"/>
        </w:tabs>
        <w:spacing w:line="360" w:lineRule="auto"/>
        <w:rPr>
          <w:rFonts w:ascii="Palatino Linotype" w:eastAsia="Palatino Linotype" w:hAnsi="Palatino Linotype" w:cs="Palatino Linotype"/>
        </w:rPr>
      </w:pPr>
    </w:p>
    <w:p w:rsidR="00BA36A4" w:rsidRPr="000D5F0E" w:rsidRDefault="00BA36A4" w:rsidP="00BA36A4">
      <w:pPr>
        <w:spacing w:line="360" w:lineRule="auto"/>
        <w:jc w:val="both"/>
        <w:rPr>
          <w:rFonts w:ascii="Palatino Linotype" w:eastAsia="Palatino Linotype" w:hAnsi="Palatino Linotype" w:cs="Palatino Linotype"/>
        </w:rPr>
      </w:pPr>
      <w:r w:rsidRPr="000D5F0E">
        <w:rPr>
          <w:rFonts w:ascii="Palatino Linotype" w:eastAsia="Palatino Linotype" w:hAnsi="Palatino Linotype" w:cs="Palatino Linotype"/>
          <w:b/>
        </w:rPr>
        <w:t xml:space="preserve">PRIMERO. </w:t>
      </w:r>
      <w:r w:rsidRPr="000D5F0E">
        <w:rPr>
          <w:rFonts w:ascii="Palatino Linotype" w:eastAsia="Palatino Linotype" w:hAnsi="Palatino Linotype" w:cs="Palatino Linotype"/>
        </w:rPr>
        <w:t>Resultan fundadas las</w:t>
      </w:r>
      <w:r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razones o motivos de inconformidad hechos valer en los recursos de revisión</w:t>
      </w:r>
      <w:r w:rsidRPr="000D5F0E">
        <w:rPr>
          <w:rFonts w:ascii="Palatino Linotype" w:eastAsia="Palatino Linotype" w:hAnsi="Palatino Linotype" w:cs="Palatino Linotype"/>
          <w:b/>
        </w:rPr>
        <w:t> </w:t>
      </w:r>
      <w:r w:rsidRPr="000D5F0E">
        <w:rPr>
          <w:rFonts w:ascii="Palatino Linotype" w:hAnsi="Palatino Linotype"/>
          <w:b/>
          <w:bCs/>
          <w:color w:val="000000"/>
        </w:rPr>
        <w:t xml:space="preserve">05523/INFOEM/IP/RR/2024 y </w:t>
      </w:r>
      <w:r w:rsidRPr="000D5F0E">
        <w:rPr>
          <w:rFonts w:ascii="Palatino Linotype" w:eastAsia="Palatino Linotype" w:hAnsi="Palatino Linotype" w:cs="Palatino Linotype"/>
          <w:b/>
          <w:color w:val="000000"/>
        </w:rPr>
        <w:t xml:space="preserve">07513/INFOEM/IP/RR/2024 </w:t>
      </w:r>
      <w:r w:rsidRPr="000D5F0E">
        <w:rPr>
          <w:rFonts w:ascii="Palatino Linotype" w:eastAsia="Palatino Linotype" w:hAnsi="Palatino Linotype" w:cs="Palatino Linotype"/>
        </w:rPr>
        <w:t xml:space="preserve">en términos del </w:t>
      </w:r>
      <w:r w:rsidRPr="000D5F0E">
        <w:rPr>
          <w:rFonts w:ascii="Palatino Linotype" w:eastAsia="Palatino Linotype" w:hAnsi="Palatino Linotype" w:cs="Palatino Linotype"/>
          <w:b/>
        </w:rPr>
        <w:t xml:space="preserve">Considerando </w:t>
      </w:r>
      <w:r w:rsidR="00546460" w:rsidRPr="000D5F0E">
        <w:rPr>
          <w:rFonts w:ascii="Palatino Linotype" w:eastAsia="Palatino Linotype" w:hAnsi="Palatino Linotype" w:cs="Palatino Linotype"/>
          <w:b/>
        </w:rPr>
        <w:t>TERCERO</w:t>
      </w:r>
      <w:r w:rsidR="005275D0"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de la presente resolución.</w:t>
      </w:r>
    </w:p>
    <w:p w:rsidR="00BA36A4" w:rsidRPr="000D5F0E" w:rsidRDefault="00BA36A4" w:rsidP="00BA36A4">
      <w:pPr>
        <w:spacing w:line="360" w:lineRule="auto"/>
        <w:jc w:val="both"/>
        <w:rPr>
          <w:rFonts w:ascii="Palatino Linotype" w:eastAsia="Palatino Linotype" w:hAnsi="Palatino Linotype" w:cs="Palatino Linotype"/>
          <w:b/>
        </w:rPr>
      </w:pPr>
    </w:p>
    <w:p w:rsidR="00BA36A4" w:rsidRPr="000D5F0E" w:rsidRDefault="00BA36A4" w:rsidP="00BA36A4">
      <w:pPr>
        <w:spacing w:line="360" w:lineRule="auto"/>
        <w:ind w:right="48"/>
        <w:jc w:val="both"/>
        <w:rPr>
          <w:rFonts w:ascii="Palatino Linotype" w:eastAsia="Palatino Linotype" w:hAnsi="Palatino Linotype" w:cs="Palatino Linotype"/>
        </w:rPr>
      </w:pPr>
      <w:bookmarkStart w:id="9" w:name="_heading=h.17dp8vu" w:colFirst="0" w:colLast="0"/>
      <w:bookmarkEnd w:id="9"/>
      <w:r w:rsidRPr="000D5F0E">
        <w:rPr>
          <w:rFonts w:ascii="Palatino Linotype" w:eastAsia="Palatino Linotype" w:hAnsi="Palatino Linotype" w:cs="Palatino Linotype"/>
          <w:b/>
        </w:rPr>
        <w:t>SEGUNDO.</w:t>
      </w:r>
      <w:r w:rsidRPr="000D5F0E">
        <w:rPr>
          <w:rFonts w:ascii="Palatino Linotype" w:eastAsia="Palatino Linotype" w:hAnsi="Palatino Linotype" w:cs="Palatino Linotype"/>
          <w:color w:val="2F5496"/>
        </w:rPr>
        <w:t xml:space="preserve"> </w:t>
      </w:r>
      <w:r w:rsidRPr="000D5F0E">
        <w:rPr>
          <w:rFonts w:ascii="Palatino Linotype" w:eastAsia="Palatino Linotype" w:hAnsi="Palatino Linotype" w:cs="Palatino Linotype"/>
        </w:rPr>
        <w:t>Se</w:t>
      </w:r>
      <w:r w:rsidRPr="000D5F0E">
        <w:rPr>
          <w:rFonts w:ascii="Palatino Linotype" w:eastAsia="Palatino Linotype" w:hAnsi="Palatino Linotype" w:cs="Palatino Linotype"/>
          <w:b/>
        </w:rPr>
        <w:t xml:space="preserve"> ORDENA </w:t>
      </w:r>
      <w:r w:rsidRPr="000D5F0E">
        <w:rPr>
          <w:rFonts w:ascii="Palatino Linotype" w:eastAsia="Palatino Linotype" w:hAnsi="Palatino Linotype" w:cs="Palatino Linotype"/>
        </w:rPr>
        <w:t xml:space="preserve">al </w:t>
      </w:r>
      <w:r w:rsidR="00452886" w:rsidRPr="000D5F0E">
        <w:rPr>
          <w:rFonts w:ascii="Palatino Linotype" w:eastAsia="Palatino Linotype" w:hAnsi="Palatino Linotype" w:cs="Palatino Linotype"/>
          <w:b/>
        </w:rPr>
        <w:t>Sujeto Obligado</w:t>
      </w:r>
      <w:r w:rsidRPr="000D5F0E">
        <w:rPr>
          <w:rFonts w:ascii="Palatino Linotype" w:eastAsia="Palatino Linotype" w:hAnsi="Palatino Linotype" w:cs="Palatino Linotype"/>
          <w:b/>
        </w:rPr>
        <w:t xml:space="preserve"> </w:t>
      </w:r>
      <w:r w:rsidR="00493938" w:rsidRPr="000D5F0E">
        <w:rPr>
          <w:rFonts w:ascii="Palatino Linotype" w:eastAsia="Palatino Linotype" w:hAnsi="Palatino Linotype" w:cs="Palatino Linotype"/>
        </w:rPr>
        <w:t xml:space="preserve">respecto de </w:t>
      </w:r>
      <w:r w:rsidR="005275D0" w:rsidRPr="000D5F0E">
        <w:rPr>
          <w:rFonts w:ascii="Palatino Linotype" w:eastAsia="Palatino Linotype" w:hAnsi="Palatino Linotype" w:cs="Palatino Linotype"/>
        </w:rPr>
        <w:t>l</w:t>
      </w:r>
      <w:r w:rsidRPr="000D5F0E">
        <w:rPr>
          <w:rFonts w:ascii="Palatino Linotype" w:eastAsia="Palatino Linotype" w:hAnsi="Palatino Linotype" w:cs="Palatino Linotype"/>
        </w:rPr>
        <w:t xml:space="preserve">a solicitud de información </w:t>
      </w:r>
      <w:r w:rsidR="00AC3CB8" w:rsidRPr="000D5F0E">
        <w:rPr>
          <w:rFonts w:ascii="Palatino Linotype" w:eastAsia="Palatino Linotype" w:hAnsi="Palatino Linotype" w:cs="Palatino Linotype"/>
          <w:b/>
        </w:rPr>
        <w:t>00191/TEPOTZOT/IP/2024</w:t>
      </w:r>
      <w:r w:rsidR="005275D0" w:rsidRPr="000D5F0E">
        <w:rPr>
          <w:rFonts w:ascii="Palatino Linotype" w:eastAsia="Palatino Linotype" w:hAnsi="Palatino Linotype" w:cs="Palatino Linotype"/>
          <w:b/>
        </w:rPr>
        <w:t xml:space="preserve">, </w:t>
      </w:r>
      <w:r w:rsidRPr="000D5F0E">
        <w:rPr>
          <w:rFonts w:ascii="Palatino Linotype" w:eastAsia="Palatino Linotype" w:hAnsi="Palatino Linotype" w:cs="Palatino Linotype"/>
        </w:rPr>
        <w:t xml:space="preserve">entregar vía Sistema de Acceso a la Información Mexiquense </w:t>
      </w:r>
      <w:r w:rsidR="005275D0" w:rsidRPr="000D5F0E">
        <w:rPr>
          <w:rFonts w:ascii="Palatino Linotype" w:eastAsia="Palatino Linotype" w:hAnsi="Palatino Linotype" w:cs="Palatino Linotype"/>
          <w:b/>
        </w:rPr>
        <w:t>(SAIMEX)</w:t>
      </w:r>
      <w:r w:rsidR="005B48E6" w:rsidRPr="000D5F0E">
        <w:rPr>
          <w:rFonts w:ascii="Palatino Linotype" w:eastAsia="Palatino Linotype" w:hAnsi="Palatino Linotype" w:cs="Palatino Linotype"/>
        </w:rPr>
        <w:t xml:space="preserve">, </w:t>
      </w:r>
      <w:r w:rsidR="005B48E6" w:rsidRPr="000D5F0E">
        <w:rPr>
          <w:rFonts w:ascii="Palatino Linotype" w:hAnsi="Palatino Linotype" w:cs="Arial"/>
          <w:bCs/>
        </w:rPr>
        <w:t>previa búsqueda exhaustiva y razonable</w:t>
      </w:r>
      <w:r w:rsidR="00493938" w:rsidRPr="000D5F0E">
        <w:rPr>
          <w:rFonts w:ascii="Palatino Linotype" w:hAnsi="Palatino Linotype" w:cs="Arial"/>
          <w:bCs/>
        </w:rPr>
        <w:t>,</w:t>
      </w:r>
      <w:r w:rsidR="005B48E6" w:rsidRPr="000D5F0E">
        <w:rPr>
          <w:rFonts w:ascii="Palatino Linotype" w:eastAsia="Palatino Linotype" w:hAnsi="Palatino Linotype" w:cs="Palatino Linotype"/>
        </w:rPr>
        <w:t xml:space="preserve"> la siguiente información:</w:t>
      </w:r>
    </w:p>
    <w:p w:rsidR="00FA5C94" w:rsidRPr="000D5F0E" w:rsidRDefault="00FA5C94" w:rsidP="00BA36A4">
      <w:pPr>
        <w:spacing w:line="360" w:lineRule="auto"/>
        <w:ind w:right="48"/>
        <w:jc w:val="both"/>
        <w:rPr>
          <w:rFonts w:ascii="Palatino Linotype" w:eastAsia="Palatino Linotype" w:hAnsi="Palatino Linotype" w:cs="Palatino Linotype"/>
        </w:rPr>
      </w:pPr>
    </w:p>
    <w:p w:rsidR="00BA36A4" w:rsidRPr="000D5F0E" w:rsidRDefault="005B48E6" w:rsidP="005B48E6">
      <w:pPr>
        <w:pStyle w:val="Prrafodelista"/>
        <w:numPr>
          <w:ilvl w:val="0"/>
          <w:numId w:val="38"/>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lastRenderedPageBreak/>
        <w:t>Las pólizas de seguro vehicular remitidas en informe justificado en su versión íntegra.</w:t>
      </w:r>
    </w:p>
    <w:p w:rsidR="005B48E6" w:rsidRPr="000D5F0E" w:rsidRDefault="005B48E6" w:rsidP="00AC3CB8">
      <w:pPr>
        <w:pStyle w:val="Prrafodelista"/>
        <w:numPr>
          <w:ilvl w:val="0"/>
          <w:numId w:val="38"/>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r w:rsidRPr="000D5F0E">
        <w:rPr>
          <w:rFonts w:ascii="Palatino Linotype" w:eastAsia="Palatino Linotype" w:hAnsi="Palatino Linotype" w:cs="Palatino Linotype"/>
          <w:b/>
          <w:color w:val="000000"/>
        </w:rPr>
        <w:t xml:space="preserve">Pólizas de seguro vehicular faltantes, de las unidades nuevas entregadas el 13 de septiembre de 2023, </w:t>
      </w:r>
      <w:r w:rsidR="00493938" w:rsidRPr="000D5F0E">
        <w:rPr>
          <w:rFonts w:ascii="Palatino Linotype" w:eastAsia="Palatino Linotype" w:hAnsi="Palatino Linotype" w:cs="Palatino Linotype"/>
          <w:b/>
          <w:color w:val="000000"/>
        </w:rPr>
        <w:t xml:space="preserve">de ser el caso </w:t>
      </w:r>
      <w:r w:rsidRPr="000D5F0E">
        <w:rPr>
          <w:rFonts w:ascii="Palatino Linotype" w:eastAsia="Palatino Linotype" w:hAnsi="Palatino Linotype" w:cs="Palatino Linotype"/>
          <w:b/>
          <w:color w:val="000000"/>
        </w:rPr>
        <w:t>en versión pública</w:t>
      </w:r>
      <w:r w:rsidR="00493938" w:rsidRPr="000D5F0E">
        <w:rPr>
          <w:rFonts w:ascii="Palatino Linotype" w:eastAsia="Palatino Linotype" w:hAnsi="Palatino Linotype" w:cs="Palatino Linotype"/>
          <w:b/>
          <w:color w:val="000000"/>
        </w:rPr>
        <w:t>.</w:t>
      </w:r>
    </w:p>
    <w:p w:rsidR="005B48E6" w:rsidRPr="000D5F0E" w:rsidRDefault="005B48E6" w:rsidP="005B48E6">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p>
    <w:p w:rsidR="005B48E6" w:rsidRPr="000D5F0E" w:rsidRDefault="005B48E6" w:rsidP="005B48E6">
      <w:pPr>
        <w:tabs>
          <w:tab w:val="left" w:pos="8080"/>
        </w:tabs>
        <w:spacing w:line="360" w:lineRule="auto"/>
        <w:ind w:right="49"/>
        <w:jc w:val="both"/>
        <w:rPr>
          <w:rFonts w:ascii="Palatino Linotype" w:eastAsia="Calibri" w:hAnsi="Palatino Linotype" w:cs="Arial"/>
        </w:rPr>
      </w:pPr>
      <w:r w:rsidRPr="000D5F0E">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0D5F0E">
        <w:rPr>
          <w:rFonts w:ascii="Palatino Linotype" w:eastAsia="Calibri" w:hAnsi="Palatino Linotype" w:cs="Arial"/>
          <w:b/>
        </w:rPr>
        <w:t>RECURRENTE.</w:t>
      </w:r>
    </w:p>
    <w:p w:rsidR="00AC3CB8" w:rsidRPr="000D5F0E" w:rsidRDefault="00AC3CB8" w:rsidP="005B48E6">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p>
    <w:p w:rsidR="00AC3CB8" w:rsidRPr="000D5F0E" w:rsidRDefault="005B48E6" w:rsidP="00AC3CB8">
      <w:pPr>
        <w:spacing w:line="360" w:lineRule="auto"/>
        <w:ind w:right="48"/>
        <w:jc w:val="both"/>
        <w:rPr>
          <w:rFonts w:ascii="Palatino Linotype" w:eastAsia="Palatino Linotype" w:hAnsi="Palatino Linotype" w:cs="Palatino Linotype"/>
        </w:rPr>
      </w:pPr>
      <w:r w:rsidRPr="000D5F0E">
        <w:rPr>
          <w:rFonts w:ascii="Palatino Linotype" w:eastAsia="Palatino Linotype" w:hAnsi="Palatino Linotype" w:cs="Palatino Linotype"/>
          <w:b/>
        </w:rPr>
        <w:t>TERCERO</w:t>
      </w:r>
      <w:r w:rsidR="00AC3CB8" w:rsidRPr="000D5F0E">
        <w:rPr>
          <w:rFonts w:ascii="Palatino Linotype" w:eastAsia="Palatino Linotype" w:hAnsi="Palatino Linotype" w:cs="Palatino Linotype"/>
          <w:b/>
        </w:rPr>
        <w:t>.</w:t>
      </w:r>
      <w:r w:rsidR="00AC3CB8" w:rsidRPr="000D5F0E">
        <w:rPr>
          <w:rFonts w:ascii="Palatino Linotype" w:eastAsia="Palatino Linotype" w:hAnsi="Palatino Linotype" w:cs="Palatino Linotype"/>
          <w:color w:val="2F5496"/>
        </w:rPr>
        <w:t xml:space="preserve"> </w:t>
      </w:r>
      <w:r w:rsidR="00AC3CB8" w:rsidRPr="000D5F0E">
        <w:rPr>
          <w:rFonts w:ascii="Palatino Linotype" w:eastAsia="Palatino Linotype" w:hAnsi="Palatino Linotype" w:cs="Palatino Linotype"/>
        </w:rPr>
        <w:t>Se</w:t>
      </w:r>
      <w:r w:rsidR="00AC3CB8" w:rsidRPr="000D5F0E">
        <w:rPr>
          <w:rFonts w:ascii="Palatino Linotype" w:eastAsia="Palatino Linotype" w:hAnsi="Palatino Linotype" w:cs="Palatino Linotype"/>
          <w:b/>
        </w:rPr>
        <w:t xml:space="preserve"> ORDENA </w:t>
      </w:r>
      <w:r w:rsidR="00AC3CB8" w:rsidRPr="000D5F0E">
        <w:rPr>
          <w:rFonts w:ascii="Palatino Linotype" w:eastAsia="Palatino Linotype" w:hAnsi="Palatino Linotype" w:cs="Palatino Linotype"/>
        </w:rPr>
        <w:t xml:space="preserve">al </w:t>
      </w:r>
      <w:r w:rsidR="00452886" w:rsidRPr="000D5F0E">
        <w:rPr>
          <w:rFonts w:ascii="Palatino Linotype" w:eastAsia="Palatino Linotype" w:hAnsi="Palatino Linotype" w:cs="Palatino Linotype"/>
          <w:b/>
        </w:rPr>
        <w:t>Sujeto Obligado</w:t>
      </w:r>
      <w:r w:rsidR="00AC3CB8" w:rsidRPr="000D5F0E">
        <w:rPr>
          <w:rFonts w:ascii="Palatino Linotype" w:eastAsia="Palatino Linotype" w:hAnsi="Palatino Linotype" w:cs="Palatino Linotype"/>
          <w:b/>
        </w:rPr>
        <w:t xml:space="preserve"> </w:t>
      </w:r>
      <w:r w:rsidR="00AC3CB8" w:rsidRPr="000D5F0E">
        <w:rPr>
          <w:rFonts w:ascii="Palatino Linotype" w:eastAsia="Palatino Linotype" w:hAnsi="Palatino Linotype" w:cs="Palatino Linotype"/>
        </w:rPr>
        <w:t xml:space="preserve">dar atención a la solicitud de información </w:t>
      </w:r>
      <w:r w:rsidR="00AC3CB8" w:rsidRPr="000D5F0E">
        <w:rPr>
          <w:rFonts w:ascii="Palatino Linotype" w:eastAsia="Palatino Linotype" w:hAnsi="Palatino Linotype" w:cs="Palatino Linotype"/>
          <w:b/>
        </w:rPr>
        <w:t xml:space="preserve">00229/TEPOTZOT/IP/2024 </w:t>
      </w:r>
      <w:r w:rsidR="00AC3CB8" w:rsidRPr="000D5F0E">
        <w:rPr>
          <w:rFonts w:ascii="Palatino Linotype" w:eastAsia="Palatino Linotype" w:hAnsi="Palatino Linotype" w:cs="Palatino Linotype"/>
        </w:rPr>
        <w:t xml:space="preserve">y entregar vía Sistema de Acceso a la Información Mexiquense </w:t>
      </w:r>
      <w:r w:rsidR="00452886" w:rsidRPr="000D5F0E">
        <w:rPr>
          <w:rFonts w:ascii="Palatino Linotype" w:eastAsia="Palatino Linotype" w:hAnsi="Palatino Linotype" w:cs="Palatino Linotype"/>
          <w:b/>
        </w:rPr>
        <w:t>(SAIMEX)</w:t>
      </w:r>
      <w:r w:rsidR="00546460" w:rsidRPr="000D5F0E">
        <w:rPr>
          <w:rFonts w:ascii="Palatino Linotype" w:eastAsia="Palatino Linotype" w:hAnsi="Palatino Linotype" w:cs="Palatino Linotype"/>
          <w:b/>
        </w:rPr>
        <w:t xml:space="preserve">, </w:t>
      </w:r>
      <w:r w:rsidR="00546460" w:rsidRPr="000D5F0E">
        <w:rPr>
          <w:rFonts w:ascii="Palatino Linotype" w:eastAsia="Palatino Linotype" w:hAnsi="Palatino Linotype" w:cs="Palatino Linotype"/>
        </w:rPr>
        <w:t xml:space="preserve">en términos del </w:t>
      </w:r>
      <w:r w:rsidR="00546460" w:rsidRPr="000D5F0E">
        <w:rPr>
          <w:rFonts w:ascii="Palatino Linotype" w:eastAsia="Palatino Linotype" w:hAnsi="Palatino Linotype" w:cs="Palatino Linotype"/>
          <w:b/>
        </w:rPr>
        <w:t xml:space="preserve">Considerando TERCERO </w:t>
      </w:r>
      <w:r w:rsidR="00546460" w:rsidRPr="000D5F0E">
        <w:rPr>
          <w:rFonts w:ascii="Palatino Linotype" w:eastAsia="Palatino Linotype" w:hAnsi="Palatino Linotype" w:cs="Palatino Linotype"/>
        </w:rPr>
        <w:t>de la presente resolución.</w:t>
      </w:r>
    </w:p>
    <w:p w:rsidR="00BA36A4" w:rsidRPr="000D5F0E" w:rsidRDefault="00BA36A4" w:rsidP="00BA36A4">
      <w:pPr>
        <w:spacing w:line="360" w:lineRule="auto"/>
        <w:ind w:right="40"/>
        <w:jc w:val="both"/>
        <w:rPr>
          <w:rFonts w:ascii="Palatino Linotype" w:eastAsia="Palatino Linotype" w:hAnsi="Palatino Linotype" w:cs="Palatino Linotype"/>
        </w:rPr>
      </w:pPr>
    </w:p>
    <w:p w:rsidR="00BA36A4" w:rsidRPr="000D5F0E" w:rsidRDefault="00493938" w:rsidP="00BA36A4">
      <w:pPr>
        <w:tabs>
          <w:tab w:val="left" w:pos="8080"/>
        </w:tabs>
        <w:spacing w:line="360" w:lineRule="auto"/>
        <w:ind w:right="49"/>
        <w:jc w:val="both"/>
        <w:rPr>
          <w:rFonts w:ascii="Palatino Linotype" w:eastAsia="Palatino Linotype" w:hAnsi="Palatino Linotype" w:cs="Palatino Linotype"/>
          <w:b/>
        </w:rPr>
      </w:pPr>
      <w:r w:rsidRPr="000D5F0E">
        <w:rPr>
          <w:rFonts w:ascii="Palatino Linotype" w:eastAsia="Palatino Linotype" w:hAnsi="Palatino Linotype" w:cs="Palatino Linotype"/>
          <w:b/>
        </w:rPr>
        <w:t>CUARTO</w:t>
      </w:r>
      <w:r w:rsidR="00BA36A4" w:rsidRPr="000D5F0E">
        <w:rPr>
          <w:rFonts w:ascii="Palatino Linotype" w:eastAsia="Palatino Linotype" w:hAnsi="Palatino Linotype" w:cs="Palatino Linotype"/>
          <w:b/>
        </w:rPr>
        <w:t xml:space="preserve">. </w:t>
      </w:r>
      <w:r w:rsidR="00BA36A4" w:rsidRPr="000D5F0E">
        <w:rPr>
          <w:rFonts w:ascii="Palatino Linotype" w:eastAsia="Palatino Linotype" w:hAnsi="Palatino Linotype" w:cs="Palatino Linotype"/>
          <w:b/>
          <w:color w:val="000000"/>
        </w:rPr>
        <w:t>Notifíquese</w:t>
      </w:r>
      <w:r w:rsidR="00BA36A4" w:rsidRPr="000D5F0E">
        <w:rPr>
          <w:rFonts w:ascii="Palatino Linotype" w:eastAsia="Palatino Linotype" w:hAnsi="Palatino Linotype" w:cs="Palatino Linotype"/>
          <w:color w:val="000000"/>
        </w:rPr>
        <w:t xml:space="preserve"> al </w:t>
      </w:r>
      <w:r w:rsidR="00BA36A4" w:rsidRPr="000D5F0E">
        <w:rPr>
          <w:rFonts w:ascii="Palatino Linotype" w:eastAsia="Palatino Linotype" w:hAnsi="Palatino Linotype" w:cs="Palatino Linotype"/>
          <w:color w:val="222222"/>
        </w:rPr>
        <w:t xml:space="preserve">Titular de la Unidad de Transparencia del </w:t>
      </w:r>
      <w:r w:rsidR="00BA36A4" w:rsidRPr="000D5F0E">
        <w:rPr>
          <w:rFonts w:ascii="Palatino Linotype" w:eastAsia="Palatino Linotype" w:hAnsi="Palatino Linotype" w:cs="Palatino Linotype"/>
          <w:b/>
          <w:color w:val="222222"/>
        </w:rPr>
        <w:t>SUJETO OBLIGADO</w:t>
      </w:r>
      <w:r w:rsidR="00BA36A4" w:rsidRPr="000D5F0E">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00AC3CB8" w:rsidRPr="000D5F0E">
        <w:rPr>
          <w:rFonts w:ascii="Palatino Linotype" w:eastAsia="Palatino Linotype" w:hAnsi="Palatino Linotype" w:cs="Palatino Linotype"/>
          <w:color w:val="222222"/>
        </w:rPr>
        <w:t>de</w:t>
      </w:r>
      <w:r w:rsidR="00BA36A4" w:rsidRPr="000D5F0E">
        <w:rPr>
          <w:rFonts w:ascii="Palatino Linotype" w:eastAsia="Palatino Linotype" w:hAnsi="Palatino Linotype" w:cs="Palatino Linotype"/>
          <w:color w:val="222222"/>
        </w:rPr>
        <w:t xml:space="preserve"> cumplimiento a lo ordenado dentro del plazo de diez días hábiles, e informe a este Instituto en un plazo de tres días hábiles siguientes sobre el cumplimiento dado a la presente, y se </w:t>
      </w:r>
      <w:r w:rsidR="00BA36A4" w:rsidRPr="000D5F0E">
        <w:rPr>
          <w:rFonts w:ascii="Palatino Linotype" w:eastAsia="Palatino Linotype" w:hAnsi="Palatino Linotype" w:cs="Palatino Linotype"/>
          <w:color w:val="222222"/>
        </w:rPr>
        <w:lastRenderedPageBreak/>
        <w:t>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BA36A4" w:rsidRPr="000D5F0E">
        <w:rPr>
          <w:rFonts w:ascii="Palatino Linotype" w:eastAsia="Palatino Linotype" w:hAnsi="Palatino Linotype" w:cs="Palatino Linotype"/>
        </w:rPr>
        <w:t>.</w:t>
      </w:r>
    </w:p>
    <w:p w:rsidR="00BA36A4" w:rsidRPr="000D5F0E" w:rsidRDefault="00BA36A4" w:rsidP="00BA36A4">
      <w:pPr>
        <w:shd w:val="clear" w:color="auto" w:fill="FFFFFF"/>
        <w:spacing w:line="360" w:lineRule="auto"/>
        <w:jc w:val="both"/>
        <w:rPr>
          <w:rFonts w:ascii="Palatino Linotype" w:eastAsia="Palatino Linotype" w:hAnsi="Palatino Linotype" w:cs="Palatino Linotype"/>
          <w:b/>
        </w:rPr>
      </w:pPr>
    </w:p>
    <w:p w:rsidR="00BA36A4" w:rsidRPr="000D5F0E" w:rsidRDefault="00493938" w:rsidP="00BA36A4">
      <w:pPr>
        <w:shd w:val="clear" w:color="auto" w:fill="FFFFFF"/>
        <w:spacing w:line="360" w:lineRule="auto"/>
        <w:jc w:val="both"/>
        <w:rPr>
          <w:rFonts w:ascii="Palatino Linotype" w:eastAsia="Palatino Linotype" w:hAnsi="Palatino Linotype" w:cs="Palatino Linotype"/>
        </w:rPr>
      </w:pPr>
      <w:r w:rsidRPr="000D5F0E">
        <w:rPr>
          <w:rFonts w:ascii="Palatino Linotype" w:eastAsia="Palatino Linotype" w:hAnsi="Palatino Linotype" w:cs="Palatino Linotype"/>
          <w:b/>
        </w:rPr>
        <w:t>QUINTO</w:t>
      </w:r>
      <w:r w:rsidR="00BA36A4" w:rsidRPr="000D5F0E">
        <w:rPr>
          <w:rFonts w:ascii="Palatino Linotype" w:eastAsia="Palatino Linotype" w:hAnsi="Palatino Linotype" w:cs="Palatino Linotype"/>
          <w:b/>
        </w:rPr>
        <w:t xml:space="preserve">. </w:t>
      </w:r>
      <w:r w:rsidR="00BA36A4" w:rsidRPr="000D5F0E">
        <w:rPr>
          <w:rFonts w:ascii="Palatino Linotype" w:eastAsia="Palatino Linotype" w:hAnsi="Palatino Linotype" w:cs="Palatino Linotype"/>
        </w:rPr>
        <w:t xml:space="preserve">Notifíquese al </w:t>
      </w:r>
      <w:r w:rsidR="00BA36A4" w:rsidRPr="000D5F0E">
        <w:rPr>
          <w:rFonts w:ascii="Palatino Linotype" w:eastAsia="Palatino Linotype" w:hAnsi="Palatino Linotype" w:cs="Palatino Linotype"/>
          <w:b/>
        </w:rPr>
        <w:t xml:space="preserve">RECURRENTE </w:t>
      </w:r>
      <w:r w:rsidR="00BA36A4" w:rsidRPr="000D5F0E">
        <w:rPr>
          <w:rFonts w:ascii="Palatino Linotype" w:eastAsia="Palatino Linotype" w:hAnsi="Palatino Linotype" w:cs="Palatino Linotype"/>
        </w:rPr>
        <w:t>la presente resolución vía Sistema de Acceso a I</w:t>
      </w:r>
      <w:r w:rsidR="00AC3CB8" w:rsidRPr="000D5F0E">
        <w:rPr>
          <w:rFonts w:ascii="Palatino Linotype" w:eastAsia="Palatino Linotype" w:hAnsi="Palatino Linotype" w:cs="Palatino Linotype"/>
        </w:rPr>
        <w:t>nformación Mexiquense (SAIMEX)</w:t>
      </w:r>
      <w:r w:rsidR="00AC3CB8" w:rsidRPr="000D5F0E">
        <w:rPr>
          <w:rFonts w:ascii="Palatino Linotype" w:eastAsia="Palatino Linotype" w:hAnsi="Palatino Linotype" w:cs="Palatino Linotype"/>
          <w:b/>
        </w:rPr>
        <w:t>, y s</w:t>
      </w:r>
      <w:r w:rsidR="00BA36A4" w:rsidRPr="000D5F0E">
        <w:rPr>
          <w:rFonts w:ascii="Palatino Linotype" w:eastAsia="Palatino Linotype" w:hAnsi="Palatino Linotype" w:cs="Palatino Linotype"/>
        </w:rPr>
        <w:t xml:space="preserve">e hace </w:t>
      </w:r>
      <w:r w:rsidR="00AC3CB8" w:rsidRPr="000D5F0E">
        <w:rPr>
          <w:rFonts w:ascii="Palatino Linotype" w:eastAsia="Palatino Linotype" w:hAnsi="Palatino Linotype" w:cs="Palatino Linotype"/>
        </w:rPr>
        <w:t>de su conocimiento</w:t>
      </w:r>
      <w:r w:rsidR="00BA36A4" w:rsidRPr="000D5F0E">
        <w:rPr>
          <w:rFonts w:ascii="Palatino Linotype" w:eastAsia="Palatino Linotype" w:hAnsi="Palatino Linotype" w:cs="Palatino Linotype"/>
          <w:b/>
        </w:rPr>
        <w:t xml:space="preserve"> </w:t>
      </w:r>
      <w:r w:rsidR="00BA36A4" w:rsidRPr="000D5F0E">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A36A4" w:rsidRPr="000D5F0E" w:rsidRDefault="00BA36A4" w:rsidP="00BA36A4">
      <w:pPr>
        <w:shd w:val="clear" w:color="auto" w:fill="FFFFFF"/>
        <w:spacing w:line="360" w:lineRule="auto"/>
        <w:jc w:val="both"/>
        <w:rPr>
          <w:rFonts w:ascii="Palatino Linotype" w:eastAsia="Palatino Linotype" w:hAnsi="Palatino Linotype" w:cs="Palatino Linotype"/>
        </w:rPr>
      </w:pPr>
    </w:p>
    <w:p w:rsidR="00BA36A4" w:rsidRPr="000D5F0E" w:rsidRDefault="00493938" w:rsidP="00BA36A4">
      <w:pPr>
        <w:spacing w:line="360" w:lineRule="auto"/>
        <w:jc w:val="both"/>
        <w:rPr>
          <w:rFonts w:ascii="Palatino Linotype" w:eastAsia="Palatino Linotype" w:hAnsi="Palatino Linotype" w:cs="Palatino Linotype"/>
        </w:rPr>
      </w:pPr>
      <w:r w:rsidRPr="000D5F0E">
        <w:rPr>
          <w:rFonts w:ascii="Palatino Linotype" w:eastAsia="Palatino Linotype" w:hAnsi="Palatino Linotype" w:cs="Palatino Linotype"/>
          <w:b/>
        </w:rPr>
        <w:t>SEXTO</w:t>
      </w:r>
      <w:r w:rsidR="00BA36A4" w:rsidRPr="000D5F0E">
        <w:rPr>
          <w:rFonts w:ascii="Palatino Linotype" w:eastAsia="Palatino Linotype" w:hAnsi="Palatino Linotype" w:cs="Palatino Linotype"/>
          <w:b/>
        </w:rPr>
        <w:t xml:space="preserve">. </w:t>
      </w:r>
      <w:r w:rsidR="0022432A" w:rsidRPr="000D5F0E">
        <w:rPr>
          <w:rFonts w:ascii="Palatino Linotype" w:hAnsi="Palatino Linotype"/>
          <w:b/>
          <w:lang w:eastAsia="es-ES_tradnl"/>
        </w:rPr>
        <w:t>Se hace del conocimiento</w:t>
      </w:r>
      <w:r w:rsidR="0022432A" w:rsidRPr="000D5F0E">
        <w:rPr>
          <w:rFonts w:ascii="Palatino Linotype" w:hAnsi="Palatino Linotype"/>
          <w:lang w:eastAsia="es-ES_tradnl"/>
        </w:rPr>
        <w:t xml:space="preserve"> del </w:t>
      </w:r>
      <w:r w:rsidR="0022432A" w:rsidRPr="000D5F0E">
        <w:rPr>
          <w:rFonts w:ascii="Palatino Linotype" w:hAnsi="Palatino Linotype"/>
          <w:b/>
          <w:lang w:eastAsia="es-ES_tradnl"/>
        </w:rPr>
        <w:t>Recurrente</w:t>
      </w:r>
      <w:r w:rsidR="0022432A" w:rsidRPr="000D5F0E">
        <w:rPr>
          <w:rFonts w:ascii="Palatino Linotype" w:hAnsi="Palatino Linotype"/>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BA36A4" w:rsidRPr="000D5F0E" w:rsidRDefault="00BA36A4" w:rsidP="00BA36A4">
      <w:pPr>
        <w:spacing w:line="360" w:lineRule="auto"/>
        <w:jc w:val="both"/>
        <w:rPr>
          <w:rFonts w:ascii="Palatino Linotype" w:eastAsia="Palatino Linotype" w:hAnsi="Palatino Linotype" w:cs="Palatino Linotype"/>
        </w:rPr>
      </w:pPr>
    </w:p>
    <w:p w:rsidR="00BA36A4" w:rsidRPr="000D5F0E" w:rsidRDefault="00493938" w:rsidP="00BA36A4">
      <w:pPr>
        <w:spacing w:line="360" w:lineRule="auto"/>
        <w:jc w:val="both"/>
        <w:rPr>
          <w:rFonts w:ascii="Palatino Linotype" w:eastAsia="Palatino Linotype" w:hAnsi="Palatino Linotype" w:cs="Palatino Linotype"/>
          <w:b/>
        </w:rPr>
      </w:pPr>
      <w:r w:rsidRPr="000D5F0E">
        <w:rPr>
          <w:rFonts w:ascii="Palatino Linotype" w:eastAsia="Palatino Linotype" w:hAnsi="Palatino Linotype" w:cs="Palatino Linotype"/>
          <w:b/>
        </w:rPr>
        <w:t>SÉPTIMO</w:t>
      </w:r>
      <w:r w:rsidR="00BA36A4" w:rsidRPr="000D5F0E">
        <w:rPr>
          <w:rFonts w:ascii="Palatino Linotype" w:eastAsia="Palatino Linotype" w:hAnsi="Palatino Linotype" w:cs="Palatino Linotype"/>
          <w:b/>
        </w:rPr>
        <w:t>.</w:t>
      </w:r>
      <w:r w:rsidR="00BA36A4" w:rsidRPr="000D5F0E">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w:t>
      </w:r>
      <w:r w:rsidR="00BA36A4" w:rsidRPr="000D5F0E">
        <w:rPr>
          <w:rFonts w:ascii="Palatino Linotype" w:eastAsia="Palatino Linotype" w:hAnsi="Palatino Linotype" w:cs="Palatino Linotype"/>
        </w:rPr>
        <w:lastRenderedPageBreak/>
        <w:t xml:space="preserve">conducente, en términos de lo señalado en el </w:t>
      </w:r>
      <w:r w:rsidR="00BA36A4" w:rsidRPr="000D5F0E">
        <w:rPr>
          <w:rFonts w:ascii="Palatino Linotype" w:eastAsia="Palatino Linotype" w:hAnsi="Palatino Linotype" w:cs="Palatino Linotype"/>
          <w:b/>
        </w:rPr>
        <w:t xml:space="preserve">Considerando </w:t>
      </w:r>
      <w:r w:rsidR="0022432A" w:rsidRPr="000D5F0E">
        <w:rPr>
          <w:rFonts w:ascii="Palatino Linotype" w:eastAsia="Palatino Linotype" w:hAnsi="Palatino Linotype" w:cs="Palatino Linotype"/>
          <w:b/>
        </w:rPr>
        <w:t>TERCERO</w:t>
      </w:r>
      <w:r w:rsidR="00BA36A4" w:rsidRPr="000D5F0E">
        <w:rPr>
          <w:rFonts w:ascii="Palatino Linotype" w:eastAsia="Palatino Linotype" w:hAnsi="Palatino Linotype" w:cs="Palatino Linotype"/>
        </w:rPr>
        <w:t xml:space="preserve"> de la presente Resolución</w:t>
      </w:r>
      <w:r w:rsidR="00BA36A4" w:rsidRPr="000D5F0E">
        <w:rPr>
          <w:rFonts w:ascii="Palatino Linotype" w:eastAsia="Palatino Linotype" w:hAnsi="Palatino Linotype" w:cs="Palatino Linotype"/>
          <w:b/>
        </w:rPr>
        <w:t>.</w:t>
      </w:r>
    </w:p>
    <w:p w:rsidR="00BA36A4" w:rsidRPr="000D5F0E" w:rsidRDefault="00BA36A4" w:rsidP="00BA36A4">
      <w:pPr>
        <w:spacing w:line="360" w:lineRule="auto"/>
        <w:jc w:val="both"/>
        <w:rPr>
          <w:rFonts w:ascii="Palatino Linotype" w:eastAsia="Palatino Linotype" w:hAnsi="Palatino Linotype" w:cs="Palatino Linotype"/>
          <w:b/>
        </w:rPr>
      </w:pPr>
    </w:p>
    <w:p w:rsidR="002F4005" w:rsidRPr="003C7186" w:rsidRDefault="002F4005" w:rsidP="002F4005">
      <w:pPr>
        <w:spacing w:line="360" w:lineRule="auto"/>
        <w:ind w:left="-142" w:right="-234" w:firstLine="1"/>
        <w:jc w:val="both"/>
        <w:rPr>
          <w:rFonts w:ascii="Palatino Linotype" w:hAnsi="Palatino Linotype"/>
        </w:rPr>
      </w:pPr>
      <w:r w:rsidRPr="000D5F0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r w:rsidRPr="003C7186">
        <w:rPr>
          <w:rFonts w:ascii="Palatino Linotype" w:hAnsi="Palatino Linotype"/>
        </w:rPr>
        <w:t xml:space="preserve"> </w:t>
      </w:r>
    </w:p>
    <w:p w:rsidR="00BA36A4" w:rsidRPr="00BA36A4" w:rsidRDefault="00BA36A4" w:rsidP="00BA36A4">
      <w:pPr>
        <w:spacing w:before="240" w:after="240" w:line="360" w:lineRule="auto"/>
        <w:ind w:firstLine="1"/>
        <w:jc w:val="both"/>
        <w:rPr>
          <w:rFonts w:ascii="Palatino Linotype" w:eastAsia="Palatino Linotype" w:hAnsi="Palatino Linotype" w:cs="Palatino Linotype"/>
        </w:rPr>
      </w:pPr>
    </w:p>
    <w:p w:rsidR="002A29F7" w:rsidRDefault="00F12910" w:rsidP="006F6AC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2A29F7">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4B" w:rsidRDefault="0034684B">
      <w:r>
        <w:separator/>
      </w:r>
    </w:p>
  </w:endnote>
  <w:endnote w:type="continuationSeparator" w:id="0">
    <w:p w:rsidR="0034684B" w:rsidRDefault="0034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8" w:rsidRDefault="004939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D5F0E">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D5F0E">
      <w:rPr>
        <w:rFonts w:ascii="Palatino Linotype" w:eastAsia="Palatino Linotype" w:hAnsi="Palatino Linotype" w:cs="Palatino Linotype"/>
        <w:noProof/>
        <w:color w:val="000000"/>
        <w:sz w:val="20"/>
        <w:szCs w:val="20"/>
      </w:rPr>
      <w:t>50</w:t>
    </w:r>
    <w:r>
      <w:rPr>
        <w:rFonts w:ascii="Palatino Linotype" w:eastAsia="Palatino Linotype" w:hAnsi="Palatino Linotype" w:cs="Palatino Linotype"/>
        <w:color w:val="000000"/>
        <w:sz w:val="20"/>
        <w:szCs w:val="20"/>
      </w:rPr>
      <w:fldChar w:fldCharType="end"/>
    </w:r>
  </w:p>
  <w:p w:rsidR="00493938" w:rsidRDefault="0049393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8" w:rsidRDefault="004939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D5F0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D5F0E">
      <w:rPr>
        <w:rFonts w:ascii="Palatino Linotype" w:eastAsia="Palatino Linotype" w:hAnsi="Palatino Linotype" w:cs="Palatino Linotype"/>
        <w:noProof/>
        <w:color w:val="000000"/>
        <w:sz w:val="20"/>
        <w:szCs w:val="20"/>
      </w:rPr>
      <w:t>50</w:t>
    </w:r>
    <w:r>
      <w:rPr>
        <w:rFonts w:ascii="Palatino Linotype" w:eastAsia="Palatino Linotype" w:hAnsi="Palatino Linotype" w:cs="Palatino Linotype"/>
        <w:color w:val="000000"/>
        <w:sz w:val="20"/>
        <w:szCs w:val="20"/>
      </w:rPr>
      <w:fldChar w:fldCharType="end"/>
    </w:r>
  </w:p>
  <w:p w:rsidR="00493938" w:rsidRDefault="0049393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4B" w:rsidRDefault="0034684B">
      <w:r>
        <w:separator/>
      </w:r>
    </w:p>
  </w:footnote>
  <w:footnote w:type="continuationSeparator" w:id="0">
    <w:p w:rsidR="0034684B" w:rsidRDefault="0034684B">
      <w:r>
        <w:continuationSeparator/>
      </w:r>
    </w:p>
  </w:footnote>
  <w:footnote w:id="1">
    <w:p w:rsidR="00493938" w:rsidRDefault="00493938" w:rsidP="007B44C8">
      <w:pPr>
        <w:pStyle w:val="Textonotapie"/>
      </w:pPr>
      <w:r>
        <w:rPr>
          <w:rStyle w:val="Refdenotaalpie"/>
        </w:rPr>
        <w:footnoteRef/>
      </w:r>
      <w:r>
        <w:t xml:space="preserve"> Artículo 128, Ley de Transparencia y Acceso a la Información Pública del Estado de México y Municipios.</w:t>
      </w:r>
    </w:p>
  </w:footnote>
  <w:footnote w:id="2">
    <w:p w:rsidR="00493938" w:rsidRDefault="00493938" w:rsidP="007B44C8">
      <w:pPr>
        <w:pStyle w:val="Textonotapie"/>
      </w:pPr>
      <w:r>
        <w:rPr>
          <w:rStyle w:val="Refdenotaalpie"/>
        </w:rPr>
        <w:footnoteRef/>
      </w:r>
      <w:r>
        <w:t xml:space="preserve"> Artículo 129, Ídem.</w:t>
      </w:r>
    </w:p>
  </w:footnote>
  <w:footnote w:id="3">
    <w:p w:rsidR="00493938" w:rsidRDefault="00493938" w:rsidP="007B44C8">
      <w:pPr>
        <w:pStyle w:val="Textonotapie"/>
      </w:pPr>
      <w:r>
        <w:rPr>
          <w:rStyle w:val="Refdenotaalpie"/>
        </w:rPr>
        <w:footnoteRef/>
      </w:r>
      <w:r>
        <w:t xml:space="preserve"> Artículo 134, Ley de Transparencia y Acceso a la Información Pública del Estado de México y Municipios.</w:t>
      </w:r>
    </w:p>
  </w:footnote>
  <w:footnote w:id="4">
    <w:p w:rsidR="00493938" w:rsidRDefault="00493938" w:rsidP="007B44C8">
      <w:pPr>
        <w:pStyle w:val="Textonotapie"/>
      </w:pPr>
      <w:r>
        <w:rPr>
          <w:rStyle w:val="Refdenotaalpie"/>
        </w:rPr>
        <w:footnoteRef/>
      </w:r>
      <w:r>
        <w:t xml:space="preserve"> Artículo 130, Ley de Transparencia y Acceso a la Información Pública del Estado de México y Municipios.</w:t>
      </w:r>
    </w:p>
  </w:footnote>
  <w:footnote w:id="5">
    <w:p w:rsidR="00493938" w:rsidRDefault="00493938" w:rsidP="007B44C8">
      <w:pPr>
        <w:pStyle w:val="Textonotapie"/>
        <w:jc w:val="both"/>
      </w:pPr>
      <w:r>
        <w:rPr>
          <w:rStyle w:val="Refdenotaalpie"/>
        </w:rPr>
        <w:footnoteRef/>
      </w:r>
      <w:r>
        <w:t xml:space="preserve"> </w:t>
      </w:r>
      <w:proofErr w:type="spellStart"/>
      <w:r>
        <w:t>Bonifaz</w:t>
      </w:r>
      <w:proofErr w:type="spellEnd"/>
      <w:r>
        <w:t>, Ana. (17 de enero de 2023). ¿Dónde está el número de motor y para qué sirve</w:t>
      </w:r>
      <w:proofErr w:type="gramStart"/>
      <w:r>
        <w:t>?.</w:t>
      </w:r>
      <w:proofErr w:type="gramEnd"/>
      <w:r>
        <w:t xml:space="preserve"> </w:t>
      </w:r>
      <w:r>
        <w:rPr>
          <w:i/>
        </w:rPr>
        <w:t>Rastreator.mx</w:t>
      </w:r>
      <w:r>
        <w:t xml:space="preserve">. Artículos. Seguros de Auto. Disponible en </w:t>
      </w:r>
      <w:r w:rsidRPr="00A761A2">
        <w:t>https://www.rastreator.mx/seguros-de-auto/articulos-destacados/donde-esta-el-numero-de-motor-y-para-que-sirve</w:t>
      </w:r>
    </w:p>
  </w:footnote>
  <w:footnote w:id="6">
    <w:p w:rsidR="00493938" w:rsidRDefault="00493938" w:rsidP="007B44C8">
      <w:pPr>
        <w:pStyle w:val="Textonotapie"/>
      </w:pPr>
      <w:r>
        <w:rPr>
          <w:rStyle w:val="Refdenotaalpie"/>
        </w:rPr>
        <w:footnoteRef/>
      </w:r>
      <w:r>
        <w:t xml:space="preserve"> Ibídem.</w:t>
      </w:r>
    </w:p>
  </w:footnote>
  <w:footnote w:id="7">
    <w:p w:rsidR="00493938" w:rsidRDefault="00493938" w:rsidP="007B44C8">
      <w:pPr>
        <w:pStyle w:val="Textonotapie"/>
      </w:pPr>
      <w:r>
        <w:rPr>
          <w:rStyle w:val="Refdenotaalpie"/>
        </w:rPr>
        <w:footnoteRef/>
      </w:r>
      <w:r>
        <w:t xml:space="preserve"> Ibídem.</w:t>
      </w:r>
    </w:p>
  </w:footnote>
  <w:footnote w:id="8">
    <w:p w:rsidR="00493938" w:rsidRDefault="00493938" w:rsidP="007B44C8">
      <w:pPr>
        <w:pStyle w:val="Textonotapie"/>
      </w:pPr>
      <w:r>
        <w:rPr>
          <w:rStyle w:val="Refdenotaalpie"/>
        </w:rPr>
        <w:footnoteRef/>
      </w:r>
      <w:r>
        <w:t xml:space="preserve"> Artículo 6, Ley del Registro Público Vehicular.</w:t>
      </w:r>
    </w:p>
  </w:footnote>
  <w:footnote w:id="9">
    <w:p w:rsidR="00493938" w:rsidRDefault="00493938" w:rsidP="007B44C8">
      <w:pPr>
        <w:pStyle w:val="Textonotapie"/>
      </w:pPr>
      <w:r>
        <w:rPr>
          <w:rStyle w:val="Refdenotaalpie"/>
        </w:rPr>
        <w:footnoteRef/>
      </w:r>
      <w:r>
        <w:t xml:space="preserve"> Artículo 7, Ley del Registro Público Vehicular.</w:t>
      </w:r>
    </w:p>
  </w:footnote>
  <w:footnote w:id="10">
    <w:p w:rsidR="00493938" w:rsidRDefault="00493938" w:rsidP="007B44C8">
      <w:pPr>
        <w:pStyle w:val="Textonotapie"/>
      </w:pPr>
      <w:r>
        <w:rPr>
          <w:rStyle w:val="Refdenotaalpie"/>
        </w:rPr>
        <w:footnoteRef/>
      </w:r>
      <w:r>
        <w:t xml:space="preserve"> </w:t>
      </w:r>
      <w:r w:rsidRPr="00653DD9">
        <w:t>https://www2.repuve.gob.mx:8443/ciudadania/</w:t>
      </w:r>
    </w:p>
  </w:footnote>
  <w:footnote w:id="11">
    <w:p w:rsidR="00493938" w:rsidRDefault="00493938" w:rsidP="00045558">
      <w:pPr>
        <w:pStyle w:val="Textonotapie"/>
        <w:jc w:val="both"/>
      </w:pPr>
      <w:r>
        <w:rPr>
          <w:rStyle w:val="Refdenotaalpie"/>
        </w:rPr>
        <w:footnoteRef/>
      </w:r>
      <w:r>
        <w:t xml:space="preserve"> Poder, representación y mandato. Rafael Manuel Oliveros Lara. Consultable en </w:t>
      </w:r>
      <w:r w:rsidRPr="00150323">
        <w:t>https://archivos.juridicas.unam.mx/www/bjv/libros/11/5040/13.pdf</w:t>
      </w:r>
    </w:p>
  </w:footnote>
  <w:footnote w:id="12">
    <w:p w:rsidR="00493938" w:rsidRDefault="00493938" w:rsidP="00A019B4">
      <w:pPr>
        <w:pStyle w:val="Textonotapie"/>
        <w:jc w:val="both"/>
      </w:pPr>
      <w:r>
        <w:rPr>
          <w:rStyle w:val="Refdenotaalpie"/>
        </w:rPr>
        <w:footnoteRef/>
      </w:r>
      <w:r>
        <w:t xml:space="preserve"> Información consultable en la siguiente liga </w:t>
      </w:r>
      <w:r w:rsidRPr="00E34A5A">
        <w:t>https://veraznoticiasymas.com/municipios/tepotzotlan/tepotzotlan-invierte-24-millones-en-nuevas-unidades/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8" w:rsidRDefault="0034684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8" w:rsidRDefault="00493938">
    <w:pPr>
      <w:widowControl w:val="0"/>
      <w:pBdr>
        <w:top w:val="nil"/>
        <w:left w:val="nil"/>
        <w:bottom w:val="nil"/>
        <w:right w:val="nil"/>
        <w:between w:val="nil"/>
      </w:pBdr>
      <w:spacing w:line="276" w:lineRule="auto"/>
      <w:rPr>
        <w:color w:val="000000"/>
      </w:rPr>
    </w:pPr>
  </w:p>
  <w:tbl>
    <w:tblPr>
      <w:tblStyle w:val="a2"/>
      <w:tblW w:w="7620" w:type="dxa"/>
      <w:tblInd w:w="2552" w:type="dxa"/>
      <w:tblLayout w:type="fixed"/>
      <w:tblLook w:val="0400" w:firstRow="0" w:lastRow="0" w:firstColumn="0" w:lastColumn="0" w:noHBand="0" w:noVBand="1"/>
    </w:tblPr>
    <w:tblGrid>
      <w:gridCol w:w="2985"/>
      <w:gridCol w:w="4635"/>
    </w:tblGrid>
    <w:tr w:rsidR="00493938" w:rsidTr="007F3F93">
      <w:trPr>
        <w:trHeight w:val="227"/>
      </w:trPr>
      <w:tc>
        <w:tcPr>
          <w:tcW w:w="2985" w:type="dxa"/>
        </w:tcPr>
        <w:p w:rsidR="00493938" w:rsidRDefault="00493938" w:rsidP="00D6614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493938" w:rsidRDefault="00493938" w:rsidP="00D6614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5523/INFOEM/IP/RR/2024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493938" w:rsidTr="007F3F93">
      <w:trPr>
        <w:trHeight w:val="342"/>
      </w:trPr>
      <w:tc>
        <w:tcPr>
          <w:tcW w:w="2985" w:type="dxa"/>
        </w:tcPr>
        <w:p w:rsidR="00493938" w:rsidRDefault="00493938" w:rsidP="00D6614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493938" w:rsidRPr="008A03B4" w:rsidRDefault="00493938" w:rsidP="00D6614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D6614E">
            <w:rPr>
              <w:rFonts w:ascii="Palatino Linotype" w:eastAsia="Palatino Linotype" w:hAnsi="Palatino Linotype" w:cs="Palatino Linotype"/>
              <w:bCs/>
              <w:color w:val="000000"/>
              <w:sz w:val="22"/>
              <w:szCs w:val="22"/>
            </w:rPr>
            <w:t>Ayuntamiento de Tepotzotlán</w:t>
          </w:r>
        </w:p>
      </w:tc>
    </w:tr>
    <w:tr w:rsidR="00493938" w:rsidTr="007F3F93">
      <w:trPr>
        <w:trHeight w:val="342"/>
      </w:trPr>
      <w:tc>
        <w:tcPr>
          <w:tcW w:w="2985" w:type="dxa"/>
        </w:tcPr>
        <w:p w:rsidR="00493938" w:rsidRDefault="00493938" w:rsidP="00D6614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493938" w:rsidRDefault="00493938" w:rsidP="00D6614E">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93938" w:rsidRDefault="0034684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8" w:rsidRDefault="00493938">
    <w:pPr>
      <w:widowControl w:val="0"/>
      <w:pBdr>
        <w:top w:val="nil"/>
        <w:left w:val="nil"/>
        <w:bottom w:val="nil"/>
        <w:right w:val="nil"/>
        <w:between w:val="nil"/>
      </w:pBdr>
      <w:spacing w:line="276" w:lineRule="auto"/>
      <w:rPr>
        <w:color w:val="000000"/>
        <w:sz w:val="14"/>
        <w:szCs w:val="14"/>
      </w:rPr>
    </w:pPr>
  </w:p>
  <w:tbl>
    <w:tblPr>
      <w:tblStyle w:val="a2"/>
      <w:tblW w:w="7620" w:type="dxa"/>
      <w:tblInd w:w="2552" w:type="dxa"/>
      <w:tblLayout w:type="fixed"/>
      <w:tblLook w:val="0400" w:firstRow="0" w:lastRow="0" w:firstColumn="0" w:lastColumn="0" w:noHBand="0" w:noVBand="1"/>
    </w:tblPr>
    <w:tblGrid>
      <w:gridCol w:w="2985"/>
      <w:gridCol w:w="4635"/>
    </w:tblGrid>
    <w:tr w:rsidR="00493938">
      <w:trPr>
        <w:trHeight w:val="227"/>
      </w:trPr>
      <w:tc>
        <w:tcPr>
          <w:tcW w:w="2985" w:type="dxa"/>
        </w:tcPr>
        <w:p w:rsidR="00493938" w:rsidRDefault="004939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493938" w:rsidRDefault="004939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5523/INFOEM/IP/RR/2024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493938">
      <w:trPr>
        <w:trHeight w:val="242"/>
      </w:trPr>
      <w:tc>
        <w:tcPr>
          <w:tcW w:w="2985" w:type="dxa"/>
        </w:tcPr>
        <w:p w:rsidR="00493938" w:rsidRDefault="004939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493938" w:rsidRDefault="000D5F0E">
          <w:pPr>
            <w:pBdr>
              <w:top w:val="nil"/>
              <w:left w:val="nil"/>
              <w:bottom w:val="nil"/>
              <w:right w:val="nil"/>
              <w:between w:val="nil"/>
            </w:pBdr>
            <w:tabs>
              <w:tab w:val="right" w:pos="8838"/>
              <w:tab w:val="left" w:pos="521"/>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XXXXXXXXXXX</w:t>
          </w:r>
        </w:p>
      </w:tc>
    </w:tr>
    <w:tr w:rsidR="00493938">
      <w:trPr>
        <w:trHeight w:val="342"/>
      </w:trPr>
      <w:tc>
        <w:tcPr>
          <w:tcW w:w="2985" w:type="dxa"/>
        </w:tcPr>
        <w:p w:rsidR="00493938" w:rsidRDefault="004939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493938" w:rsidRPr="008A03B4" w:rsidRDefault="004939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D6614E">
            <w:rPr>
              <w:rFonts w:ascii="Palatino Linotype" w:eastAsia="Palatino Linotype" w:hAnsi="Palatino Linotype" w:cs="Palatino Linotype"/>
              <w:bCs/>
              <w:color w:val="000000"/>
              <w:sz w:val="22"/>
              <w:szCs w:val="22"/>
            </w:rPr>
            <w:t>Ayuntamiento de Tepotzotlán</w:t>
          </w:r>
        </w:p>
      </w:tc>
    </w:tr>
    <w:tr w:rsidR="00493938">
      <w:trPr>
        <w:trHeight w:val="342"/>
      </w:trPr>
      <w:tc>
        <w:tcPr>
          <w:tcW w:w="2985" w:type="dxa"/>
        </w:tcPr>
        <w:p w:rsidR="00493938" w:rsidRDefault="004939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493938" w:rsidRDefault="004939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93938" w:rsidRDefault="0034684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EFA"/>
    <w:multiLevelType w:val="multilevel"/>
    <w:tmpl w:val="4FE8F5B6"/>
    <w:lvl w:ilvl="0">
      <w:start w:val="51"/>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EA54BF"/>
    <w:multiLevelType w:val="hybridMultilevel"/>
    <w:tmpl w:val="CA64D22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DB75B19"/>
    <w:multiLevelType w:val="hybridMultilevel"/>
    <w:tmpl w:val="28AC92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F7465"/>
    <w:multiLevelType w:val="hybridMultilevel"/>
    <w:tmpl w:val="115C661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238284E"/>
    <w:multiLevelType w:val="multilevel"/>
    <w:tmpl w:val="00F04CA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6690E"/>
    <w:multiLevelType w:val="multilevel"/>
    <w:tmpl w:val="6D525660"/>
    <w:lvl w:ilvl="0">
      <w:start w:val="8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6460B"/>
    <w:multiLevelType w:val="hybridMultilevel"/>
    <w:tmpl w:val="A5D09B6E"/>
    <w:lvl w:ilvl="0" w:tplc="E36EB920">
      <w:start w:val="1"/>
      <w:numFmt w:val="decimal"/>
      <w:lvlText w:val="%1."/>
      <w:lvlJc w:val="left"/>
      <w:pPr>
        <w:ind w:left="1070" w:hanging="360"/>
      </w:pPr>
      <w:rPr>
        <w:rFonts w:ascii="Palatino Linotype" w:hAnsi="Palatino Linotype" w:hint="default"/>
        <w:b/>
        <w:i w:val="0"/>
        <w:color w:val="auto"/>
        <w:sz w:val="24"/>
      </w:rPr>
    </w:lvl>
    <w:lvl w:ilvl="1" w:tplc="080A0001">
      <w:start w:val="1"/>
      <w:numFmt w:val="bullet"/>
      <w:lvlText w:val=""/>
      <w:lvlJc w:val="left"/>
      <w:pPr>
        <w:ind w:left="36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F74688"/>
    <w:multiLevelType w:val="hybridMultilevel"/>
    <w:tmpl w:val="2E48CE7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2FC65C7"/>
    <w:multiLevelType w:val="hybridMultilevel"/>
    <w:tmpl w:val="6D362E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ED71D2"/>
    <w:multiLevelType w:val="multilevel"/>
    <w:tmpl w:val="CE869B3A"/>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294046A8"/>
    <w:multiLevelType w:val="multilevel"/>
    <w:tmpl w:val="9C4C8BD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822A35"/>
    <w:multiLevelType w:val="multilevel"/>
    <w:tmpl w:val="B8342D5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6" w15:restartNumberingAfterBreak="0">
    <w:nsid w:val="2A941BEA"/>
    <w:multiLevelType w:val="multilevel"/>
    <w:tmpl w:val="0A64F8E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24B69"/>
    <w:multiLevelType w:val="multilevel"/>
    <w:tmpl w:val="729A0C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32E54908"/>
    <w:multiLevelType w:val="hybridMultilevel"/>
    <w:tmpl w:val="04AECDCC"/>
    <w:lvl w:ilvl="0" w:tplc="080A0011">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4317490"/>
    <w:multiLevelType w:val="hybridMultilevel"/>
    <w:tmpl w:val="91A6FBFE"/>
    <w:lvl w:ilvl="0" w:tplc="E36EB920">
      <w:start w:val="1"/>
      <w:numFmt w:val="decimal"/>
      <w:lvlText w:val="%1."/>
      <w:lvlJc w:val="left"/>
      <w:pPr>
        <w:ind w:left="502"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F93026"/>
    <w:multiLevelType w:val="multilevel"/>
    <w:tmpl w:val="99FE55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7B276F9"/>
    <w:multiLevelType w:val="multilevel"/>
    <w:tmpl w:val="021C5BA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6844C3"/>
    <w:multiLevelType w:val="multilevel"/>
    <w:tmpl w:val="57526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upperLetter"/>
      <w:lvlText w:val="%4."/>
      <w:lvlJc w:val="left"/>
      <w:pPr>
        <w:ind w:left="2880" w:hanging="360"/>
      </w:pPr>
      <w:rPr>
        <w:i w:val="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3E520470"/>
    <w:multiLevelType w:val="multilevel"/>
    <w:tmpl w:val="D5D03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1778" w:hanging="360"/>
      </w:pPr>
      <w:rPr>
        <w:i w:val="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E562102"/>
    <w:multiLevelType w:val="multilevel"/>
    <w:tmpl w:val="FFB8F07C"/>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0D1F93"/>
    <w:multiLevelType w:val="multilevel"/>
    <w:tmpl w:val="FC40E77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8"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246ACA"/>
    <w:multiLevelType w:val="multilevel"/>
    <w:tmpl w:val="2CBA41AA"/>
    <w:lvl w:ilvl="0">
      <w:start w:val="68"/>
      <w:numFmt w:val="decimal"/>
      <w:lvlText w:val="%1."/>
      <w:lvlJc w:val="left"/>
      <w:pPr>
        <w:ind w:left="4613" w:hanging="360"/>
      </w:pPr>
      <w:rPr>
        <w:rFonts w:ascii="Palatino Linotype" w:eastAsia="Palatino Linotype" w:hAnsi="Palatino Linotype" w:cs="Palatino Linotype" w:hint="default"/>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hint="default"/>
        <w:b/>
        <w:color w:val="000000"/>
        <w:sz w:val="24"/>
        <w:szCs w:val="24"/>
      </w:rPr>
    </w:lvl>
    <w:lvl w:ilvl="2">
      <w:start w:val="4"/>
      <w:numFmt w:val="lowerRoman"/>
      <w:lvlText w:val="%3."/>
      <w:lvlJc w:val="right"/>
      <w:pPr>
        <w:ind w:left="2160" w:hanging="180"/>
      </w:pPr>
      <w:rPr>
        <w:rFonts w:hint="default"/>
      </w:rPr>
    </w:lvl>
    <w:lvl w:ilvl="3">
      <w:start w:val="1"/>
      <w:numFmt w:val="lowerLetter"/>
      <w:lvlText w:val="%4)"/>
      <w:lvlJc w:val="left"/>
      <w:pPr>
        <w:ind w:left="644" w:hanging="359"/>
      </w:pPr>
      <w:rPr>
        <w:rFonts w:hint="default"/>
      </w:rPr>
    </w:lvl>
    <w:lvl w:ilvl="4">
      <w:start w:val="104"/>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547856"/>
    <w:multiLevelType w:val="multilevel"/>
    <w:tmpl w:val="AFA254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2A6F29"/>
    <w:multiLevelType w:val="hybridMultilevel"/>
    <w:tmpl w:val="AE184C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A12C33"/>
    <w:multiLevelType w:val="multilevel"/>
    <w:tmpl w:val="C864432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5"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36" w15:restartNumberingAfterBreak="0">
    <w:nsid w:val="6C780FB0"/>
    <w:multiLevelType w:val="multilevel"/>
    <w:tmpl w:val="E5DE32E8"/>
    <w:lvl w:ilvl="0">
      <w:start w:val="1"/>
      <w:numFmt w:val="bullet"/>
      <w:lvlText w:val="▪"/>
      <w:lvlJc w:val="left"/>
      <w:pPr>
        <w:ind w:left="2433" w:hanging="360"/>
      </w:pPr>
      <w:rPr>
        <w:rFonts w:ascii="Noto Sans Symbols" w:eastAsia="Noto Sans Symbols" w:hAnsi="Noto Sans Symbols" w:cs="Noto Sans Symbols"/>
      </w:rPr>
    </w:lvl>
    <w:lvl w:ilvl="1">
      <w:start w:val="1"/>
      <w:numFmt w:val="bullet"/>
      <w:lvlText w:val="o"/>
      <w:lvlJc w:val="left"/>
      <w:pPr>
        <w:ind w:left="3153" w:hanging="360"/>
      </w:pPr>
      <w:rPr>
        <w:rFonts w:ascii="Courier New" w:eastAsia="Courier New" w:hAnsi="Courier New" w:cs="Courier New"/>
      </w:rPr>
    </w:lvl>
    <w:lvl w:ilvl="2">
      <w:start w:val="1"/>
      <w:numFmt w:val="bullet"/>
      <w:lvlText w:val="▪"/>
      <w:lvlJc w:val="left"/>
      <w:pPr>
        <w:ind w:left="3873" w:hanging="360"/>
      </w:pPr>
      <w:rPr>
        <w:rFonts w:ascii="Noto Sans Symbols" w:eastAsia="Noto Sans Symbols" w:hAnsi="Noto Sans Symbols" w:cs="Noto Sans Symbols"/>
      </w:rPr>
    </w:lvl>
    <w:lvl w:ilvl="3">
      <w:start w:val="1"/>
      <w:numFmt w:val="bullet"/>
      <w:lvlText w:val="●"/>
      <w:lvlJc w:val="left"/>
      <w:pPr>
        <w:ind w:left="4593" w:hanging="360"/>
      </w:pPr>
      <w:rPr>
        <w:rFonts w:ascii="Noto Sans Symbols" w:eastAsia="Noto Sans Symbols" w:hAnsi="Noto Sans Symbols" w:cs="Noto Sans Symbols"/>
      </w:rPr>
    </w:lvl>
    <w:lvl w:ilvl="4">
      <w:start w:val="1"/>
      <w:numFmt w:val="bullet"/>
      <w:lvlText w:val="o"/>
      <w:lvlJc w:val="left"/>
      <w:pPr>
        <w:ind w:left="5313" w:hanging="360"/>
      </w:pPr>
      <w:rPr>
        <w:rFonts w:ascii="Courier New" w:eastAsia="Courier New" w:hAnsi="Courier New" w:cs="Courier New"/>
      </w:rPr>
    </w:lvl>
    <w:lvl w:ilvl="5">
      <w:start w:val="1"/>
      <w:numFmt w:val="bullet"/>
      <w:lvlText w:val="▪"/>
      <w:lvlJc w:val="left"/>
      <w:pPr>
        <w:ind w:left="6033" w:hanging="360"/>
      </w:pPr>
      <w:rPr>
        <w:rFonts w:ascii="Noto Sans Symbols" w:eastAsia="Noto Sans Symbols" w:hAnsi="Noto Sans Symbols" w:cs="Noto Sans Symbols"/>
      </w:rPr>
    </w:lvl>
    <w:lvl w:ilvl="6">
      <w:start w:val="1"/>
      <w:numFmt w:val="bullet"/>
      <w:lvlText w:val="●"/>
      <w:lvlJc w:val="left"/>
      <w:pPr>
        <w:ind w:left="6753" w:hanging="360"/>
      </w:pPr>
      <w:rPr>
        <w:rFonts w:ascii="Noto Sans Symbols" w:eastAsia="Noto Sans Symbols" w:hAnsi="Noto Sans Symbols" w:cs="Noto Sans Symbols"/>
      </w:rPr>
    </w:lvl>
    <w:lvl w:ilvl="7">
      <w:start w:val="1"/>
      <w:numFmt w:val="bullet"/>
      <w:lvlText w:val="o"/>
      <w:lvlJc w:val="left"/>
      <w:pPr>
        <w:ind w:left="7473" w:hanging="360"/>
      </w:pPr>
      <w:rPr>
        <w:rFonts w:ascii="Courier New" w:eastAsia="Courier New" w:hAnsi="Courier New" w:cs="Courier New"/>
      </w:rPr>
    </w:lvl>
    <w:lvl w:ilvl="8">
      <w:start w:val="1"/>
      <w:numFmt w:val="bullet"/>
      <w:lvlText w:val="▪"/>
      <w:lvlJc w:val="left"/>
      <w:pPr>
        <w:ind w:left="8193" w:hanging="360"/>
      </w:pPr>
      <w:rPr>
        <w:rFonts w:ascii="Noto Sans Symbols" w:eastAsia="Noto Sans Symbols" w:hAnsi="Noto Sans Symbols" w:cs="Noto Sans Symbols"/>
      </w:rPr>
    </w:lvl>
  </w:abstractNum>
  <w:abstractNum w:abstractNumId="37"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935B92"/>
    <w:multiLevelType w:val="hybridMultilevel"/>
    <w:tmpl w:val="7BCE30EC"/>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41" w15:restartNumberingAfterBreak="0">
    <w:nsid w:val="7AD05162"/>
    <w:multiLevelType w:val="multilevel"/>
    <w:tmpl w:val="D292A05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76171"/>
    <w:multiLevelType w:val="multilevel"/>
    <w:tmpl w:val="ECC6E6E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3" w15:restartNumberingAfterBreak="0">
    <w:nsid w:val="7BAF3DB4"/>
    <w:multiLevelType w:val="hybridMultilevel"/>
    <w:tmpl w:val="A6F80E5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4" w15:restartNumberingAfterBreak="0">
    <w:nsid w:val="7C0239C2"/>
    <w:multiLevelType w:val="hybridMultilevel"/>
    <w:tmpl w:val="18CEE1E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4"/>
  </w:num>
  <w:num w:numId="2">
    <w:abstractNumId w:val="28"/>
  </w:num>
  <w:num w:numId="3">
    <w:abstractNumId w:val="30"/>
  </w:num>
  <w:num w:numId="4">
    <w:abstractNumId w:val="38"/>
  </w:num>
  <w:num w:numId="5">
    <w:abstractNumId w:val="15"/>
  </w:num>
  <w:num w:numId="6">
    <w:abstractNumId w:val="42"/>
  </w:num>
  <w:num w:numId="7">
    <w:abstractNumId w:val="36"/>
  </w:num>
  <w:num w:numId="8">
    <w:abstractNumId w:val="11"/>
  </w:num>
  <w:num w:numId="9">
    <w:abstractNumId w:val="27"/>
  </w:num>
  <w:num w:numId="10">
    <w:abstractNumId w:val="17"/>
  </w:num>
  <w:num w:numId="11">
    <w:abstractNumId w:val="31"/>
  </w:num>
  <w:num w:numId="12">
    <w:abstractNumId w:val="41"/>
  </w:num>
  <w:num w:numId="13">
    <w:abstractNumId w:val="19"/>
  </w:num>
  <w:num w:numId="14">
    <w:abstractNumId w:val="4"/>
  </w:num>
  <w:num w:numId="15">
    <w:abstractNumId w:val="22"/>
  </w:num>
  <w:num w:numId="16">
    <w:abstractNumId w:val="21"/>
  </w:num>
  <w:num w:numId="17">
    <w:abstractNumId w:val="33"/>
  </w:num>
  <w:num w:numId="18">
    <w:abstractNumId w:val="2"/>
  </w:num>
  <w:num w:numId="19">
    <w:abstractNumId w:val="8"/>
  </w:num>
  <w:num w:numId="20">
    <w:abstractNumId w:val="18"/>
  </w:num>
  <w:num w:numId="21">
    <w:abstractNumId w:val="16"/>
  </w:num>
  <w:num w:numId="22">
    <w:abstractNumId w:val="35"/>
  </w:num>
  <w:num w:numId="23">
    <w:abstractNumId w:val="13"/>
  </w:num>
  <w:num w:numId="24">
    <w:abstractNumId w:val="26"/>
  </w:num>
  <w:num w:numId="25">
    <w:abstractNumId w:val="34"/>
  </w:num>
  <w:num w:numId="26">
    <w:abstractNumId w:val="20"/>
  </w:num>
  <w:num w:numId="27">
    <w:abstractNumId w:val="14"/>
  </w:num>
  <w:num w:numId="28">
    <w:abstractNumId w:val="39"/>
  </w:num>
  <w:num w:numId="29">
    <w:abstractNumId w:val="12"/>
  </w:num>
  <w:num w:numId="30">
    <w:abstractNumId w:val="32"/>
  </w:num>
  <w:num w:numId="31">
    <w:abstractNumId w:val="37"/>
  </w:num>
  <w:num w:numId="32">
    <w:abstractNumId w:val="1"/>
  </w:num>
  <w:num w:numId="33">
    <w:abstractNumId w:val="44"/>
  </w:num>
  <w:num w:numId="34">
    <w:abstractNumId w:val="10"/>
  </w:num>
  <w:num w:numId="35">
    <w:abstractNumId w:val="9"/>
  </w:num>
  <w:num w:numId="36">
    <w:abstractNumId w:val="23"/>
  </w:num>
  <w:num w:numId="37">
    <w:abstractNumId w:val="25"/>
  </w:num>
  <w:num w:numId="38">
    <w:abstractNumId w:val="3"/>
  </w:num>
  <w:num w:numId="39">
    <w:abstractNumId w:val="6"/>
  </w:num>
  <w:num w:numId="40">
    <w:abstractNumId w:val="40"/>
  </w:num>
  <w:num w:numId="41">
    <w:abstractNumId w:val="43"/>
  </w:num>
  <w:num w:numId="42">
    <w:abstractNumId w:val="7"/>
  </w:num>
  <w:num w:numId="43">
    <w:abstractNumId w:val="0"/>
  </w:num>
  <w:num w:numId="44">
    <w:abstractNumId w:val="2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F7"/>
    <w:rsid w:val="00000250"/>
    <w:rsid w:val="00000A91"/>
    <w:rsid w:val="00004E18"/>
    <w:rsid w:val="00010F86"/>
    <w:rsid w:val="00025575"/>
    <w:rsid w:val="000279B6"/>
    <w:rsid w:val="000329B1"/>
    <w:rsid w:val="00036B68"/>
    <w:rsid w:val="0004508E"/>
    <w:rsid w:val="00045558"/>
    <w:rsid w:val="00045C3E"/>
    <w:rsid w:val="00051451"/>
    <w:rsid w:val="0005627D"/>
    <w:rsid w:val="00056A27"/>
    <w:rsid w:val="00061B71"/>
    <w:rsid w:val="000623B7"/>
    <w:rsid w:val="00070503"/>
    <w:rsid w:val="00072EDD"/>
    <w:rsid w:val="00073CC8"/>
    <w:rsid w:val="0009279E"/>
    <w:rsid w:val="000A63D4"/>
    <w:rsid w:val="000A6E2B"/>
    <w:rsid w:val="000B036B"/>
    <w:rsid w:val="000D3932"/>
    <w:rsid w:val="000D3DE3"/>
    <w:rsid w:val="000D4B6A"/>
    <w:rsid w:val="000D4E14"/>
    <w:rsid w:val="000D5F0E"/>
    <w:rsid w:val="000E3725"/>
    <w:rsid w:val="000E46FB"/>
    <w:rsid w:val="000F27CA"/>
    <w:rsid w:val="0011366F"/>
    <w:rsid w:val="00132080"/>
    <w:rsid w:val="001347B3"/>
    <w:rsid w:val="00144B19"/>
    <w:rsid w:val="00150323"/>
    <w:rsid w:val="00160FA0"/>
    <w:rsid w:val="00162B9D"/>
    <w:rsid w:val="001724CA"/>
    <w:rsid w:val="00177963"/>
    <w:rsid w:val="0018044B"/>
    <w:rsid w:val="00181F57"/>
    <w:rsid w:val="00185A54"/>
    <w:rsid w:val="0019037A"/>
    <w:rsid w:val="00196F98"/>
    <w:rsid w:val="001A3DE9"/>
    <w:rsid w:val="001A5D35"/>
    <w:rsid w:val="001A76D0"/>
    <w:rsid w:val="001C2C94"/>
    <w:rsid w:val="001C6538"/>
    <w:rsid w:val="001D2A10"/>
    <w:rsid w:val="001E1A5C"/>
    <w:rsid w:val="001F1D4F"/>
    <w:rsid w:val="001F2A42"/>
    <w:rsid w:val="001F6258"/>
    <w:rsid w:val="001F7530"/>
    <w:rsid w:val="00201668"/>
    <w:rsid w:val="00215A91"/>
    <w:rsid w:val="0022432A"/>
    <w:rsid w:val="00234460"/>
    <w:rsid w:val="0023450D"/>
    <w:rsid w:val="00235FF5"/>
    <w:rsid w:val="0024346E"/>
    <w:rsid w:val="00250076"/>
    <w:rsid w:val="002548D4"/>
    <w:rsid w:val="00264E21"/>
    <w:rsid w:val="00266C62"/>
    <w:rsid w:val="0027258E"/>
    <w:rsid w:val="00273051"/>
    <w:rsid w:val="002739B6"/>
    <w:rsid w:val="00277029"/>
    <w:rsid w:val="00281C2A"/>
    <w:rsid w:val="0028351C"/>
    <w:rsid w:val="002846F6"/>
    <w:rsid w:val="002967D6"/>
    <w:rsid w:val="002A29F7"/>
    <w:rsid w:val="002A6523"/>
    <w:rsid w:val="002B5A0C"/>
    <w:rsid w:val="002C28FE"/>
    <w:rsid w:val="002C5BD6"/>
    <w:rsid w:val="002C5F4D"/>
    <w:rsid w:val="002D32F4"/>
    <w:rsid w:val="002D51DE"/>
    <w:rsid w:val="002D58E7"/>
    <w:rsid w:val="002D7B04"/>
    <w:rsid w:val="002E42CE"/>
    <w:rsid w:val="002E4F14"/>
    <w:rsid w:val="002E5258"/>
    <w:rsid w:val="002F04ED"/>
    <w:rsid w:val="002F28F0"/>
    <w:rsid w:val="002F4005"/>
    <w:rsid w:val="002F49DE"/>
    <w:rsid w:val="002F6D85"/>
    <w:rsid w:val="003026C5"/>
    <w:rsid w:val="0030717E"/>
    <w:rsid w:val="00313A98"/>
    <w:rsid w:val="00315D7D"/>
    <w:rsid w:val="003162EF"/>
    <w:rsid w:val="0032022E"/>
    <w:rsid w:val="003252C2"/>
    <w:rsid w:val="003259BA"/>
    <w:rsid w:val="003278B1"/>
    <w:rsid w:val="00330AC6"/>
    <w:rsid w:val="00343BD8"/>
    <w:rsid w:val="0034684B"/>
    <w:rsid w:val="003635B5"/>
    <w:rsid w:val="00364155"/>
    <w:rsid w:val="003714CD"/>
    <w:rsid w:val="00384766"/>
    <w:rsid w:val="003851DF"/>
    <w:rsid w:val="00385ACC"/>
    <w:rsid w:val="003925CC"/>
    <w:rsid w:val="0039572E"/>
    <w:rsid w:val="00396C84"/>
    <w:rsid w:val="003A06A0"/>
    <w:rsid w:val="003A4FB7"/>
    <w:rsid w:val="003D49A3"/>
    <w:rsid w:val="003D6F26"/>
    <w:rsid w:val="003F68C1"/>
    <w:rsid w:val="004107D1"/>
    <w:rsid w:val="00411F6E"/>
    <w:rsid w:val="0043123C"/>
    <w:rsid w:val="00440FEF"/>
    <w:rsid w:val="0044135B"/>
    <w:rsid w:val="00444938"/>
    <w:rsid w:val="00445838"/>
    <w:rsid w:val="00451301"/>
    <w:rsid w:val="0045258A"/>
    <w:rsid w:val="00452886"/>
    <w:rsid w:val="00455765"/>
    <w:rsid w:val="00456A9C"/>
    <w:rsid w:val="00457000"/>
    <w:rsid w:val="004740CC"/>
    <w:rsid w:val="004774C9"/>
    <w:rsid w:val="004838EA"/>
    <w:rsid w:val="00484538"/>
    <w:rsid w:val="00493938"/>
    <w:rsid w:val="004949A5"/>
    <w:rsid w:val="00495624"/>
    <w:rsid w:val="004A0B31"/>
    <w:rsid w:val="004B00D3"/>
    <w:rsid w:val="004D0C8D"/>
    <w:rsid w:val="004D23B1"/>
    <w:rsid w:val="004D29D3"/>
    <w:rsid w:val="004D4120"/>
    <w:rsid w:val="004D5387"/>
    <w:rsid w:val="004E3654"/>
    <w:rsid w:val="004E546E"/>
    <w:rsid w:val="004E5E1D"/>
    <w:rsid w:val="004E603E"/>
    <w:rsid w:val="004F1256"/>
    <w:rsid w:val="004F1F3C"/>
    <w:rsid w:val="004F4AAF"/>
    <w:rsid w:val="004F5EF5"/>
    <w:rsid w:val="005237E6"/>
    <w:rsid w:val="005275D0"/>
    <w:rsid w:val="00530142"/>
    <w:rsid w:val="00537448"/>
    <w:rsid w:val="00541F96"/>
    <w:rsid w:val="00544A34"/>
    <w:rsid w:val="00546460"/>
    <w:rsid w:val="00555FF6"/>
    <w:rsid w:val="00562578"/>
    <w:rsid w:val="00564765"/>
    <w:rsid w:val="005761A8"/>
    <w:rsid w:val="00581CC1"/>
    <w:rsid w:val="0058381B"/>
    <w:rsid w:val="00592CE1"/>
    <w:rsid w:val="005A044B"/>
    <w:rsid w:val="005A1AC1"/>
    <w:rsid w:val="005A4DE2"/>
    <w:rsid w:val="005A4F14"/>
    <w:rsid w:val="005B437E"/>
    <w:rsid w:val="005B48E6"/>
    <w:rsid w:val="005C3E1A"/>
    <w:rsid w:val="005D0F9A"/>
    <w:rsid w:val="005D2178"/>
    <w:rsid w:val="005D4420"/>
    <w:rsid w:val="005D4643"/>
    <w:rsid w:val="005E23F1"/>
    <w:rsid w:val="005E3903"/>
    <w:rsid w:val="005E5FB0"/>
    <w:rsid w:val="005E72F6"/>
    <w:rsid w:val="0061533B"/>
    <w:rsid w:val="00633C3A"/>
    <w:rsid w:val="00634B11"/>
    <w:rsid w:val="006404F2"/>
    <w:rsid w:val="00642650"/>
    <w:rsid w:val="00647D31"/>
    <w:rsid w:val="006513CF"/>
    <w:rsid w:val="00662BFA"/>
    <w:rsid w:val="006654E8"/>
    <w:rsid w:val="00670500"/>
    <w:rsid w:val="00687494"/>
    <w:rsid w:val="006941B6"/>
    <w:rsid w:val="006A1368"/>
    <w:rsid w:val="006A23E2"/>
    <w:rsid w:val="006A2A67"/>
    <w:rsid w:val="006A5F4B"/>
    <w:rsid w:val="006B3DAF"/>
    <w:rsid w:val="006B4D95"/>
    <w:rsid w:val="006B5382"/>
    <w:rsid w:val="006B5ACF"/>
    <w:rsid w:val="006B774D"/>
    <w:rsid w:val="006C683A"/>
    <w:rsid w:val="006E26BB"/>
    <w:rsid w:val="006E290D"/>
    <w:rsid w:val="006F087F"/>
    <w:rsid w:val="006F3CB0"/>
    <w:rsid w:val="006F6AC6"/>
    <w:rsid w:val="007039D1"/>
    <w:rsid w:val="00710928"/>
    <w:rsid w:val="0072324F"/>
    <w:rsid w:val="007278AD"/>
    <w:rsid w:val="00731B5B"/>
    <w:rsid w:val="00733411"/>
    <w:rsid w:val="00757F0B"/>
    <w:rsid w:val="00761066"/>
    <w:rsid w:val="00764E20"/>
    <w:rsid w:val="00765F50"/>
    <w:rsid w:val="007667EF"/>
    <w:rsid w:val="00773159"/>
    <w:rsid w:val="00773956"/>
    <w:rsid w:val="00773DEE"/>
    <w:rsid w:val="0078686E"/>
    <w:rsid w:val="0079007C"/>
    <w:rsid w:val="007906D9"/>
    <w:rsid w:val="00790F55"/>
    <w:rsid w:val="007A6290"/>
    <w:rsid w:val="007B44C8"/>
    <w:rsid w:val="007C1670"/>
    <w:rsid w:val="007C49F8"/>
    <w:rsid w:val="007D165E"/>
    <w:rsid w:val="007D7B04"/>
    <w:rsid w:val="007E015D"/>
    <w:rsid w:val="007E0B73"/>
    <w:rsid w:val="007E0F7E"/>
    <w:rsid w:val="007E3DF9"/>
    <w:rsid w:val="007F034F"/>
    <w:rsid w:val="007F18EE"/>
    <w:rsid w:val="007F3F93"/>
    <w:rsid w:val="0082576A"/>
    <w:rsid w:val="00827D35"/>
    <w:rsid w:val="008343C3"/>
    <w:rsid w:val="00837A51"/>
    <w:rsid w:val="00837DCE"/>
    <w:rsid w:val="00843202"/>
    <w:rsid w:val="00844814"/>
    <w:rsid w:val="0085047F"/>
    <w:rsid w:val="008577B5"/>
    <w:rsid w:val="00862DA3"/>
    <w:rsid w:val="00875103"/>
    <w:rsid w:val="00886C6C"/>
    <w:rsid w:val="008921F8"/>
    <w:rsid w:val="008A03B4"/>
    <w:rsid w:val="008A486B"/>
    <w:rsid w:val="008B1C1B"/>
    <w:rsid w:val="008B3124"/>
    <w:rsid w:val="008C3BF7"/>
    <w:rsid w:val="008D3454"/>
    <w:rsid w:val="008D72C9"/>
    <w:rsid w:val="008F4EC4"/>
    <w:rsid w:val="009123BA"/>
    <w:rsid w:val="00914C59"/>
    <w:rsid w:val="00925D2A"/>
    <w:rsid w:val="00927133"/>
    <w:rsid w:val="00930B95"/>
    <w:rsid w:val="00931E94"/>
    <w:rsid w:val="00932461"/>
    <w:rsid w:val="009576B4"/>
    <w:rsid w:val="00962AC1"/>
    <w:rsid w:val="009806EB"/>
    <w:rsid w:val="00996DB3"/>
    <w:rsid w:val="009A29E6"/>
    <w:rsid w:val="009B1F5C"/>
    <w:rsid w:val="009B721D"/>
    <w:rsid w:val="009C1DDF"/>
    <w:rsid w:val="009C5CD3"/>
    <w:rsid w:val="009E0EFA"/>
    <w:rsid w:val="009E258B"/>
    <w:rsid w:val="009E731C"/>
    <w:rsid w:val="009F2A6E"/>
    <w:rsid w:val="00A019B4"/>
    <w:rsid w:val="00A02B0D"/>
    <w:rsid w:val="00A03B66"/>
    <w:rsid w:val="00A244CB"/>
    <w:rsid w:val="00A50897"/>
    <w:rsid w:val="00A52DAD"/>
    <w:rsid w:val="00A536B3"/>
    <w:rsid w:val="00A55331"/>
    <w:rsid w:val="00A55416"/>
    <w:rsid w:val="00A561E2"/>
    <w:rsid w:val="00A60A77"/>
    <w:rsid w:val="00A62B97"/>
    <w:rsid w:val="00A72F3E"/>
    <w:rsid w:val="00A7725B"/>
    <w:rsid w:val="00AA55BF"/>
    <w:rsid w:val="00AB34A6"/>
    <w:rsid w:val="00AB3924"/>
    <w:rsid w:val="00AC0DB6"/>
    <w:rsid w:val="00AC3758"/>
    <w:rsid w:val="00AC3CB8"/>
    <w:rsid w:val="00AC406E"/>
    <w:rsid w:val="00AC5450"/>
    <w:rsid w:val="00AD138F"/>
    <w:rsid w:val="00AD5678"/>
    <w:rsid w:val="00AE1CEC"/>
    <w:rsid w:val="00AE3CC6"/>
    <w:rsid w:val="00AE5D71"/>
    <w:rsid w:val="00AF0E1E"/>
    <w:rsid w:val="00AF529D"/>
    <w:rsid w:val="00AF713D"/>
    <w:rsid w:val="00B17687"/>
    <w:rsid w:val="00B22E86"/>
    <w:rsid w:val="00B24480"/>
    <w:rsid w:val="00B262F8"/>
    <w:rsid w:val="00B32BB9"/>
    <w:rsid w:val="00B36008"/>
    <w:rsid w:val="00B579EF"/>
    <w:rsid w:val="00B57BAC"/>
    <w:rsid w:val="00B70ED0"/>
    <w:rsid w:val="00B73EA7"/>
    <w:rsid w:val="00B84673"/>
    <w:rsid w:val="00B85110"/>
    <w:rsid w:val="00B85FEC"/>
    <w:rsid w:val="00B8749A"/>
    <w:rsid w:val="00B93675"/>
    <w:rsid w:val="00BA36A4"/>
    <w:rsid w:val="00BA43FB"/>
    <w:rsid w:val="00BA4DD8"/>
    <w:rsid w:val="00BB1E65"/>
    <w:rsid w:val="00BB7005"/>
    <w:rsid w:val="00BC4C2F"/>
    <w:rsid w:val="00BC7793"/>
    <w:rsid w:val="00BE47EB"/>
    <w:rsid w:val="00BE4EA1"/>
    <w:rsid w:val="00BF4CCB"/>
    <w:rsid w:val="00BF5D09"/>
    <w:rsid w:val="00BF5D24"/>
    <w:rsid w:val="00C02FE7"/>
    <w:rsid w:val="00C05D0F"/>
    <w:rsid w:val="00C16D03"/>
    <w:rsid w:val="00C21878"/>
    <w:rsid w:val="00C25927"/>
    <w:rsid w:val="00C27226"/>
    <w:rsid w:val="00C27431"/>
    <w:rsid w:val="00C27F2A"/>
    <w:rsid w:val="00C30A87"/>
    <w:rsid w:val="00C343D0"/>
    <w:rsid w:val="00C419DE"/>
    <w:rsid w:val="00C5008D"/>
    <w:rsid w:val="00C52CB2"/>
    <w:rsid w:val="00C57FFC"/>
    <w:rsid w:val="00C627DB"/>
    <w:rsid w:val="00C70106"/>
    <w:rsid w:val="00C707DF"/>
    <w:rsid w:val="00C97E6F"/>
    <w:rsid w:val="00CA6605"/>
    <w:rsid w:val="00CA7A6A"/>
    <w:rsid w:val="00CB3FC3"/>
    <w:rsid w:val="00CB4CF7"/>
    <w:rsid w:val="00CC4100"/>
    <w:rsid w:val="00CC5559"/>
    <w:rsid w:val="00CD3576"/>
    <w:rsid w:val="00CE3BA3"/>
    <w:rsid w:val="00CE50AC"/>
    <w:rsid w:val="00CF2EA8"/>
    <w:rsid w:val="00D022CA"/>
    <w:rsid w:val="00D02CF1"/>
    <w:rsid w:val="00D04393"/>
    <w:rsid w:val="00D1678C"/>
    <w:rsid w:val="00D17344"/>
    <w:rsid w:val="00D223ED"/>
    <w:rsid w:val="00D25665"/>
    <w:rsid w:val="00D26B45"/>
    <w:rsid w:val="00D33B8D"/>
    <w:rsid w:val="00D40B7E"/>
    <w:rsid w:val="00D43BF3"/>
    <w:rsid w:val="00D44F62"/>
    <w:rsid w:val="00D512A4"/>
    <w:rsid w:val="00D55335"/>
    <w:rsid w:val="00D55D03"/>
    <w:rsid w:val="00D61B40"/>
    <w:rsid w:val="00D6614E"/>
    <w:rsid w:val="00D66559"/>
    <w:rsid w:val="00D80826"/>
    <w:rsid w:val="00D9424B"/>
    <w:rsid w:val="00DA1C4B"/>
    <w:rsid w:val="00DA2B09"/>
    <w:rsid w:val="00DB29DA"/>
    <w:rsid w:val="00DC2F05"/>
    <w:rsid w:val="00DC31EE"/>
    <w:rsid w:val="00DD06CE"/>
    <w:rsid w:val="00DE16D5"/>
    <w:rsid w:val="00DE6964"/>
    <w:rsid w:val="00DF37BF"/>
    <w:rsid w:val="00E00ADB"/>
    <w:rsid w:val="00E01531"/>
    <w:rsid w:val="00E14A31"/>
    <w:rsid w:val="00E20798"/>
    <w:rsid w:val="00E20983"/>
    <w:rsid w:val="00E23DFA"/>
    <w:rsid w:val="00E30AFD"/>
    <w:rsid w:val="00E34A5A"/>
    <w:rsid w:val="00E516B0"/>
    <w:rsid w:val="00E52BDA"/>
    <w:rsid w:val="00E61E5A"/>
    <w:rsid w:val="00E64E84"/>
    <w:rsid w:val="00E65B1B"/>
    <w:rsid w:val="00E66138"/>
    <w:rsid w:val="00E82691"/>
    <w:rsid w:val="00E92E1D"/>
    <w:rsid w:val="00E95232"/>
    <w:rsid w:val="00E95FF9"/>
    <w:rsid w:val="00EA186A"/>
    <w:rsid w:val="00EA3BD2"/>
    <w:rsid w:val="00EA57CB"/>
    <w:rsid w:val="00EA7509"/>
    <w:rsid w:val="00EC6483"/>
    <w:rsid w:val="00ED4DAE"/>
    <w:rsid w:val="00ED4FCE"/>
    <w:rsid w:val="00EE791B"/>
    <w:rsid w:val="00EF518E"/>
    <w:rsid w:val="00EF5392"/>
    <w:rsid w:val="00EF68F6"/>
    <w:rsid w:val="00EF6BFF"/>
    <w:rsid w:val="00F036B1"/>
    <w:rsid w:val="00F109C7"/>
    <w:rsid w:val="00F12910"/>
    <w:rsid w:val="00F13B43"/>
    <w:rsid w:val="00F13E29"/>
    <w:rsid w:val="00F14719"/>
    <w:rsid w:val="00F270FF"/>
    <w:rsid w:val="00F354E0"/>
    <w:rsid w:val="00F36EE7"/>
    <w:rsid w:val="00F4642E"/>
    <w:rsid w:val="00F5383D"/>
    <w:rsid w:val="00F62005"/>
    <w:rsid w:val="00F70FC0"/>
    <w:rsid w:val="00F755C8"/>
    <w:rsid w:val="00F761B6"/>
    <w:rsid w:val="00F76B02"/>
    <w:rsid w:val="00F77541"/>
    <w:rsid w:val="00F849CE"/>
    <w:rsid w:val="00F87878"/>
    <w:rsid w:val="00F90612"/>
    <w:rsid w:val="00F92828"/>
    <w:rsid w:val="00FA220B"/>
    <w:rsid w:val="00FA2FA0"/>
    <w:rsid w:val="00FA5C94"/>
    <w:rsid w:val="00FB0B4B"/>
    <w:rsid w:val="00FB18E5"/>
    <w:rsid w:val="00FB2E38"/>
    <w:rsid w:val="00FB720D"/>
    <w:rsid w:val="00FC2A6A"/>
    <w:rsid w:val="00FC519B"/>
    <w:rsid w:val="00FC6C5C"/>
    <w:rsid w:val="00FD3151"/>
    <w:rsid w:val="00FE5C23"/>
    <w:rsid w:val="00FE6D0B"/>
    <w:rsid w:val="00FF4314"/>
    <w:rsid w:val="00FF5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BB04B3-09A8-406E-A269-E1BC8D3B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styleId="Tabladecuadrcula6concolores">
    <w:name w:val="Grid Table 6 Colorful"/>
    <w:basedOn w:val="Tablanormal"/>
    <w:uiPriority w:val="51"/>
    <w:rsid w:val="007B44C8"/>
    <w:rPr>
      <w:rFonts w:asciiTheme="minorHAnsi" w:eastAsiaTheme="minorHAnsi" w:hAnsiTheme="minorHAnsi" w:cstheme="minorBid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761B6"/>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6674">
      <w:bodyDiv w:val="1"/>
      <w:marLeft w:val="0"/>
      <w:marRight w:val="0"/>
      <w:marTop w:val="0"/>
      <w:marBottom w:val="0"/>
      <w:divBdr>
        <w:top w:val="none" w:sz="0" w:space="0" w:color="auto"/>
        <w:left w:val="none" w:sz="0" w:space="0" w:color="auto"/>
        <w:bottom w:val="none" w:sz="0" w:space="0" w:color="auto"/>
        <w:right w:val="none" w:sz="0" w:space="0" w:color="auto"/>
      </w:divBdr>
    </w:div>
    <w:div w:id="107283173">
      <w:bodyDiv w:val="1"/>
      <w:marLeft w:val="0"/>
      <w:marRight w:val="0"/>
      <w:marTop w:val="0"/>
      <w:marBottom w:val="0"/>
      <w:divBdr>
        <w:top w:val="none" w:sz="0" w:space="0" w:color="auto"/>
        <w:left w:val="none" w:sz="0" w:space="0" w:color="auto"/>
        <w:bottom w:val="none" w:sz="0" w:space="0" w:color="auto"/>
        <w:right w:val="none" w:sz="0" w:space="0" w:color="auto"/>
      </w:divBdr>
    </w:div>
    <w:div w:id="219368112">
      <w:bodyDiv w:val="1"/>
      <w:marLeft w:val="0"/>
      <w:marRight w:val="0"/>
      <w:marTop w:val="0"/>
      <w:marBottom w:val="0"/>
      <w:divBdr>
        <w:top w:val="none" w:sz="0" w:space="0" w:color="auto"/>
        <w:left w:val="none" w:sz="0" w:space="0" w:color="auto"/>
        <w:bottom w:val="none" w:sz="0" w:space="0" w:color="auto"/>
        <w:right w:val="none" w:sz="0" w:space="0" w:color="auto"/>
      </w:divBdr>
    </w:div>
    <w:div w:id="248006623">
      <w:bodyDiv w:val="1"/>
      <w:marLeft w:val="0"/>
      <w:marRight w:val="0"/>
      <w:marTop w:val="0"/>
      <w:marBottom w:val="0"/>
      <w:divBdr>
        <w:top w:val="none" w:sz="0" w:space="0" w:color="auto"/>
        <w:left w:val="none" w:sz="0" w:space="0" w:color="auto"/>
        <w:bottom w:val="none" w:sz="0" w:space="0" w:color="auto"/>
        <w:right w:val="none" w:sz="0" w:space="0" w:color="auto"/>
      </w:divBdr>
    </w:div>
    <w:div w:id="393626429">
      <w:bodyDiv w:val="1"/>
      <w:marLeft w:val="0"/>
      <w:marRight w:val="0"/>
      <w:marTop w:val="0"/>
      <w:marBottom w:val="0"/>
      <w:divBdr>
        <w:top w:val="none" w:sz="0" w:space="0" w:color="auto"/>
        <w:left w:val="none" w:sz="0" w:space="0" w:color="auto"/>
        <w:bottom w:val="none" w:sz="0" w:space="0" w:color="auto"/>
        <w:right w:val="none" w:sz="0" w:space="0" w:color="auto"/>
      </w:divBdr>
    </w:div>
    <w:div w:id="404187758">
      <w:bodyDiv w:val="1"/>
      <w:marLeft w:val="0"/>
      <w:marRight w:val="0"/>
      <w:marTop w:val="0"/>
      <w:marBottom w:val="0"/>
      <w:divBdr>
        <w:top w:val="none" w:sz="0" w:space="0" w:color="auto"/>
        <w:left w:val="none" w:sz="0" w:space="0" w:color="auto"/>
        <w:bottom w:val="none" w:sz="0" w:space="0" w:color="auto"/>
        <w:right w:val="none" w:sz="0" w:space="0" w:color="auto"/>
      </w:divBdr>
      <w:divsChild>
        <w:div w:id="1737632424">
          <w:marLeft w:val="0"/>
          <w:marRight w:val="0"/>
          <w:marTop w:val="0"/>
          <w:marBottom w:val="0"/>
          <w:divBdr>
            <w:top w:val="none" w:sz="0" w:space="0" w:color="auto"/>
            <w:left w:val="none" w:sz="0" w:space="0" w:color="auto"/>
            <w:bottom w:val="none" w:sz="0" w:space="0" w:color="auto"/>
            <w:right w:val="none" w:sz="0" w:space="0" w:color="auto"/>
          </w:divBdr>
        </w:div>
      </w:divsChild>
    </w:div>
    <w:div w:id="649334899">
      <w:bodyDiv w:val="1"/>
      <w:marLeft w:val="0"/>
      <w:marRight w:val="0"/>
      <w:marTop w:val="0"/>
      <w:marBottom w:val="0"/>
      <w:divBdr>
        <w:top w:val="none" w:sz="0" w:space="0" w:color="auto"/>
        <w:left w:val="none" w:sz="0" w:space="0" w:color="auto"/>
        <w:bottom w:val="none" w:sz="0" w:space="0" w:color="auto"/>
        <w:right w:val="none" w:sz="0" w:space="0" w:color="auto"/>
      </w:divBdr>
      <w:divsChild>
        <w:div w:id="153573476">
          <w:marLeft w:val="0"/>
          <w:marRight w:val="0"/>
          <w:marTop w:val="0"/>
          <w:marBottom w:val="0"/>
          <w:divBdr>
            <w:top w:val="none" w:sz="0" w:space="0" w:color="auto"/>
            <w:left w:val="none" w:sz="0" w:space="0" w:color="auto"/>
            <w:bottom w:val="none" w:sz="0" w:space="0" w:color="auto"/>
            <w:right w:val="none" w:sz="0" w:space="0" w:color="auto"/>
          </w:divBdr>
        </w:div>
      </w:divsChild>
    </w:div>
    <w:div w:id="667825339">
      <w:bodyDiv w:val="1"/>
      <w:marLeft w:val="0"/>
      <w:marRight w:val="0"/>
      <w:marTop w:val="0"/>
      <w:marBottom w:val="0"/>
      <w:divBdr>
        <w:top w:val="none" w:sz="0" w:space="0" w:color="auto"/>
        <w:left w:val="none" w:sz="0" w:space="0" w:color="auto"/>
        <w:bottom w:val="none" w:sz="0" w:space="0" w:color="auto"/>
        <w:right w:val="none" w:sz="0" w:space="0" w:color="auto"/>
      </w:divBdr>
    </w:div>
    <w:div w:id="677777760">
      <w:bodyDiv w:val="1"/>
      <w:marLeft w:val="0"/>
      <w:marRight w:val="0"/>
      <w:marTop w:val="0"/>
      <w:marBottom w:val="0"/>
      <w:divBdr>
        <w:top w:val="none" w:sz="0" w:space="0" w:color="auto"/>
        <w:left w:val="none" w:sz="0" w:space="0" w:color="auto"/>
        <w:bottom w:val="none" w:sz="0" w:space="0" w:color="auto"/>
        <w:right w:val="none" w:sz="0" w:space="0" w:color="auto"/>
      </w:divBdr>
    </w:div>
    <w:div w:id="763379498">
      <w:bodyDiv w:val="1"/>
      <w:marLeft w:val="0"/>
      <w:marRight w:val="0"/>
      <w:marTop w:val="0"/>
      <w:marBottom w:val="0"/>
      <w:divBdr>
        <w:top w:val="none" w:sz="0" w:space="0" w:color="auto"/>
        <w:left w:val="none" w:sz="0" w:space="0" w:color="auto"/>
        <w:bottom w:val="none" w:sz="0" w:space="0" w:color="auto"/>
        <w:right w:val="none" w:sz="0" w:space="0" w:color="auto"/>
      </w:divBdr>
    </w:div>
    <w:div w:id="965742281">
      <w:bodyDiv w:val="1"/>
      <w:marLeft w:val="0"/>
      <w:marRight w:val="0"/>
      <w:marTop w:val="0"/>
      <w:marBottom w:val="0"/>
      <w:divBdr>
        <w:top w:val="none" w:sz="0" w:space="0" w:color="auto"/>
        <w:left w:val="none" w:sz="0" w:space="0" w:color="auto"/>
        <w:bottom w:val="none" w:sz="0" w:space="0" w:color="auto"/>
        <w:right w:val="none" w:sz="0" w:space="0" w:color="auto"/>
      </w:divBdr>
    </w:div>
    <w:div w:id="977295855">
      <w:bodyDiv w:val="1"/>
      <w:marLeft w:val="0"/>
      <w:marRight w:val="0"/>
      <w:marTop w:val="0"/>
      <w:marBottom w:val="0"/>
      <w:divBdr>
        <w:top w:val="none" w:sz="0" w:space="0" w:color="auto"/>
        <w:left w:val="none" w:sz="0" w:space="0" w:color="auto"/>
        <w:bottom w:val="none" w:sz="0" w:space="0" w:color="auto"/>
        <w:right w:val="none" w:sz="0" w:space="0" w:color="auto"/>
      </w:divBdr>
    </w:div>
    <w:div w:id="1157451860">
      <w:bodyDiv w:val="1"/>
      <w:marLeft w:val="0"/>
      <w:marRight w:val="0"/>
      <w:marTop w:val="0"/>
      <w:marBottom w:val="0"/>
      <w:divBdr>
        <w:top w:val="none" w:sz="0" w:space="0" w:color="auto"/>
        <w:left w:val="none" w:sz="0" w:space="0" w:color="auto"/>
        <w:bottom w:val="none" w:sz="0" w:space="0" w:color="auto"/>
        <w:right w:val="none" w:sz="0" w:space="0" w:color="auto"/>
      </w:divBdr>
    </w:div>
    <w:div w:id="1222865217">
      <w:bodyDiv w:val="1"/>
      <w:marLeft w:val="0"/>
      <w:marRight w:val="0"/>
      <w:marTop w:val="0"/>
      <w:marBottom w:val="0"/>
      <w:divBdr>
        <w:top w:val="none" w:sz="0" w:space="0" w:color="auto"/>
        <w:left w:val="none" w:sz="0" w:space="0" w:color="auto"/>
        <w:bottom w:val="none" w:sz="0" w:space="0" w:color="auto"/>
        <w:right w:val="none" w:sz="0" w:space="0" w:color="auto"/>
      </w:divBdr>
    </w:div>
    <w:div w:id="1227255079">
      <w:bodyDiv w:val="1"/>
      <w:marLeft w:val="0"/>
      <w:marRight w:val="0"/>
      <w:marTop w:val="0"/>
      <w:marBottom w:val="0"/>
      <w:divBdr>
        <w:top w:val="none" w:sz="0" w:space="0" w:color="auto"/>
        <w:left w:val="none" w:sz="0" w:space="0" w:color="auto"/>
        <w:bottom w:val="none" w:sz="0" w:space="0" w:color="auto"/>
        <w:right w:val="none" w:sz="0" w:space="0" w:color="auto"/>
      </w:divBdr>
    </w:div>
    <w:div w:id="1325666469">
      <w:bodyDiv w:val="1"/>
      <w:marLeft w:val="0"/>
      <w:marRight w:val="0"/>
      <w:marTop w:val="0"/>
      <w:marBottom w:val="0"/>
      <w:divBdr>
        <w:top w:val="none" w:sz="0" w:space="0" w:color="auto"/>
        <w:left w:val="none" w:sz="0" w:space="0" w:color="auto"/>
        <w:bottom w:val="none" w:sz="0" w:space="0" w:color="auto"/>
        <w:right w:val="none" w:sz="0" w:space="0" w:color="auto"/>
      </w:divBdr>
    </w:div>
    <w:div w:id="1351372687">
      <w:bodyDiv w:val="1"/>
      <w:marLeft w:val="0"/>
      <w:marRight w:val="0"/>
      <w:marTop w:val="0"/>
      <w:marBottom w:val="0"/>
      <w:divBdr>
        <w:top w:val="none" w:sz="0" w:space="0" w:color="auto"/>
        <w:left w:val="none" w:sz="0" w:space="0" w:color="auto"/>
        <w:bottom w:val="none" w:sz="0" w:space="0" w:color="auto"/>
        <w:right w:val="none" w:sz="0" w:space="0" w:color="auto"/>
      </w:divBdr>
    </w:div>
    <w:div w:id="1547765211">
      <w:bodyDiv w:val="1"/>
      <w:marLeft w:val="0"/>
      <w:marRight w:val="0"/>
      <w:marTop w:val="0"/>
      <w:marBottom w:val="0"/>
      <w:divBdr>
        <w:top w:val="none" w:sz="0" w:space="0" w:color="auto"/>
        <w:left w:val="none" w:sz="0" w:space="0" w:color="auto"/>
        <w:bottom w:val="none" w:sz="0" w:space="0" w:color="auto"/>
        <w:right w:val="none" w:sz="0" w:space="0" w:color="auto"/>
      </w:divBdr>
    </w:div>
    <w:div w:id="1621911964">
      <w:bodyDiv w:val="1"/>
      <w:marLeft w:val="0"/>
      <w:marRight w:val="0"/>
      <w:marTop w:val="0"/>
      <w:marBottom w:val="0"/>
      <w:divBdr>
        <w:top w:val="none" w:sz="0" w:space="0" w:color="auto"/>
        <w:left w:val="none" w:sz="0" w:space="0" w:color="auto"/>
        <w:bottom w:val="none" w:sz="0" w:space="0" w:color="auto"/>
        <w:right w:val="none" w:sz="0" w:space="0" w:color="auto"/>
      </w:divBdr>
    </w:div>
    <w:div w:id="1710257381">
      <w:bodyDiv w:val="1"/>
      <w:marLeft w:val="0"/>
      <w:marRight w:val="0"/>
      <w:marTop w:val="0"/>
      <w:marBottom w:val="0"/>
      <w:divBdr>
        <w:top w:val="none" w:sz="0" w:space="0" w:color="auto"/>
        <w:left w:val="none" w:sz="0" w:space="0" w:color="auto"/>
        <w:bottom w:val="none" w:sz="0" w:space="0" w:color="auto"/>
        <w:right w:val="none" w:sz="0" w:space="0" w:color="auto"/>
      </w:divBdr>
    </w:div>
    <w:div w:id="1873614086">
      <w:bodyDiv w:val="1"/>
      <w:marLeft w:val="0"/>
      <w:marRight w:val="0"/>
      <w:marTop w:val="0"/>
      <w:marBottom w:val="0"/>
      <w:divBdr>
        <w:top w:val="none" w:sz="0" w:space="0" w:color="auto"/>
        <w:left w:val="none" w:sz="0" w:space="0" w:color="auto"/>
        <w:bottom w:val="none" w:sz="0" w:space="0" w:color="auto"/>
        <w:right w:val="none" w:sz="0" w:space="0" w:color="auto"/>
      </w:divBdr>
    </w:div>
    <w:div w:id="1904832595">
      <w:bodyDiv w:val="1"/>
      <w:marLeft w:val="0"/>
      <w:marRight w:val="0"/>
      <w:marTop w:val="0"/>
      <w:marBottom w:val="0"/>
      <w:divBdr>
        <w:top w:val="none" w:sz="0" w:space="0" w:color="auto"/>
        <w:left w:val="none" w:sz="0" w:space="0" w:color="auto"/>
        <w:bottom w:val="none" w:sz="0" w:space="0" w:color="auto"/>
        <w:right w:val="none" w:sz="0" w:space="0" w:color="auto"/>
      </w:divBdr>
    </w:div>
    <w:div w:id="2057925080">
      <w:bodyDiv w:val="1"/>
      <w:marLeft w:val="0"/>
      <w:marRight w:val="0"/>
      <w:marTop w:val="0"/>
      <w:marBottom w:val="0"/>
      <w:divBdr>
        <w:top w:val="none" w:sz="0" w:space="0" w:color="auto"/>
        <w:left w:val="none" w:sz="0" w:space="0" w:color="auto"/>
        <w:bottom w:val="none" w:sz="0" w:space="0" w:color="auto"/>
        <w:right w:val="none" w:sz="0" w:space="0" w:color="auto"/>
      </w:divBdr>
    </w:div>
    <w:div w:id="2076655991">
      <w:bodyDiv w:val="1"/>
      <w:marLeft w:val="0"/>
      <w:marRight w:val="0"/>
      <w:marTop w:val="0"/>
      <w:marBottom w:val="0"/>
      <w:divBdr>
        <w:top w:val="none" w:sz="0" w:space="0" w:color="auto"/>
        <w:left w:val="none" w:sz="0" w:space="0" w:color="auto"/>
        <w:bottom w:val="none" w:sz="0" w:space="0" w:color="auto"/>
        <w:right w:val="none" w:sz="0" w:space="0" w:color="auto"/>
      </w:divBdr>
    </w:div>
    <w:div w:id="2134401152">
      <w:bodyDiv w:val="1"/>
      <w:marLeft w:val="0"/>
      <w:marRight w:val="0"/>
      <w:marTop w:val="0"/>
      <w:marBottom w:val="0"/>
      <w:divBdr>
        <w:top w:val="none" w:sz="0" w:space="0" w:color="auto"/>
        <w:left w:val="none" w:sz="0" w:space="0" w:color="auto"/>
        <w:bottom w:val="none" w:sz="0" w:space="0" w:color="auto"/>
        <w:right w:val="none" w:sz="0" w:space="0" w:color="auto"/>
      </w:divBdr>
    </w:div>
    <w:div w:id="213660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VhSoq4XnkTbT15/+pRZweduDg==">CgMxLjAyCGguZ2pkZ3hzMgloLjMwajB6bGwyCWguMWZvYjl0ZTIJaC4zem55c2g3MgloLjJldDkycDAyCGgudHlqY3d0MgloLjNkeTZ2a20yCWguMXQzaDVzZjIJaC4xa3N2NHV2MgloLjNyZGNyam4yCWguMjZpbjFyZzIOaC4zbHhlMnNlN2szMHcyDmguNjltM2E2c2pqdzZuMg1oLmEwa3o1aGxmNnhvMg5oLnZna2t0YjdwajIzYTIOaC5uOXpyYzVqenNsODEyDmgub2lkN3p6bHh6dnVvMg5oLnpnazU4bnpldnIyMDIOaC41MzdoanJybzA4dWUyDWguN3l6d3g5aWljZG0yCWguMjZpbjFyZzgAciExOUFmNGJQaDJCcW96VDM3U0FXQTZ4Y2pIZ0VnOXNmS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CC3B43-5015-43BC-9DE8-46EF5491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50</Pages>
  <Words>11377</Words>
  <Characters>62577</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INFOEM403</cp:lastModifiedBy>
  <cp:revision>16</cp:revision>
  <dcterms:created xsi:type="dcterms:W3CDTF">2025-01-20T17:26:00Z</dcterms:created>
  <dcterms:modified xsi:type="dcterms:W3CDTF">2025-02-10T22:14:00Z</dcterms:modified>
</cp:coreProperties>
</file>