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43C3E" w14:textId="20F33EC1" w:rsidR="00E31311" w:rsidRPr="00D276AE" w:rsidRDefault="00DF6EAE" w:rsidP="00E16D4D">
      <w:pPr>
        <w:tabs>
          <w:tab w:val="left" w:pos="3465"/>
        </w:tabs>
        <w:spacing w:line="360" w:lineRule="auto"/>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D276AE">
        <w:rPr>
          <w:rFonts w:ascii="Palatino Linotype" w:eastAsia="Palatino Linotype" w:hAnsi="Palatino Linotype" w:cs="Palatino Linotype"/>
          <w:color w:val="000000" w:themeColor="text1"/>
        </w:rPr>
        <w:t xml:space="preserve">do de México; </w:t>
      </w:r>
      <w:r w:rsidR="001660E4" w:rsidRPr="00D276AE">
        <w:rPr>
          <w:rFonts w:ascii="Palatino Linotype" w:eastAsia="Palatino Linotype" w:hAnsi="Palatino Linotype" w:cs="Palatino Linotype"/>
          <w:b/>
          <w:color w:val="000000" w:themeColor="text1"/>
        </w:rPr>
        <w:t xml:space="preserve">de fecha </w:t>
      </w:r>
      <w:r w:rsidR="00F816BA" w:rsidRPr="00D276AE">
        <w:rPr>
          <w:rFonts w:ascii="Palatino Linotype" w:eastAsia="Palatino Linotype" w:hAnsi="Palatino Linotype" w:cs="Palatino Linotype"/>
          <w:b/>
          <w:color w:val="000000" w:themeColor="text1"/>
        </w:rPr>
        <w:t>cuatro de junio</w:t>
      </w:r>
      <w:r w:rsidR="001660E4" w:rsidRPr="00D276AE">
        <w:rPr>
          <w:rFonts w:ascii="Palatino Linotype" w:eastAsia="Palatino Linotype" w:hAnsi="Palatino Linotype" w:cs="Palatino Linotype"/>
          <w:b/>
          <w:color w:val="000000" w:themeColor="text1"/>
        </w:rPr>
        <w:t xml:space="preserve"> de dos mil veinticinco</w:t>
      </w:r>
      <w:r w:rsidRPr="00D276AE">
        <w:rPr>
          <w:rFonts w:ascii="Palatino Linotype" w:eastAsia="Palatino Linotype" w:hAnsi="Palatino Linotype" w:cs="Palatino Linotype"/>
          <w:color w:val="000000" w:themeColor="text1"/>
        </w:rPr>
        <w:t>.</w:t>
      </w:r>
    </w:p>
    <w:p w14:paraId="0DB7EFFE" w14:textId="77777777" w:rsidR="00E31311" w:rsidRPr="00D276AE" w:rsidRDefault="00E31311" w:rsidP="00E16D4D">
      <w:pPr>
        <w:tabs>
          <w:tab w:val="left" w:pos="3465"/>
        </w:tabs>
        <w:spacing w:line="360" w:lineRule="auto"/>
        <w:jc w:val="both"/>
        <w:rPr>
          <w:rFonts w:ascii="Palatino Linotype" w:eastAsia="Palatino Linotype" w:hAnsi="Palatino Linotype" w:cs="Palatino Linotype"/>
          <w:color w:val="000000" w:themeColor="text1"/>
        </w:rPr>
      </w:pPr>
    </w:p>
    <w:p w14:paraId="647EA91B" w14:textId="71CDA8EB" w:rsidR="00E31311" w:rsidRPr="00D276AE" w:rsidRDefault="00DF6EAE" w:rsidP="00E16D4D">
      <w:pPr>
        <w:spacing w:line="360" w:lineRule="auto"/>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b/>
          <w:color w:val="000000" w:themeColor="text1"/>
        </w:rPr>
        <w:t>VISTO</w:t>
      </w:r>
      <w:r w:rsidR="00C07B7B" w:rsidRPr="00D276AE">
        <w:rPr>
          <w:rFonts w:ascii="Palatino Linotype" w:eastAsia="Palatino Linotype" w:hAnsi="Palatino Linotype" w:cs="Palatino Linotype"/>
          <w:color w:val="000000" w:themeColor="text1"/>
        </w:rPr>
        <w:t xml:space="preserve"> </w:t>
      </w:r>
      <w:r w:rsidRPr="00D276AE">
        <w:rPr>
          <w:rFonts w:ascii="Palatino Linotype" w:eastAsia="Palatino Linotype" w:hAnsi="Palatino Linotype" w:cs="Palatino Linotype"/>
          <w:color w:val="000000" w:themeColor="text1"/>
        </w:rPr>
        <w:t>l</w:t>
      </w:r>
      <w:r w:rsidR="00C07B7B" w:rsidRPr="00D276AE">
        <w:rPr>
          <w:rFonts w:ascii="Palatino Linotype" w:eastAsia="Palatino Linotype" w:hAnsi="Palatino Linotype" w:cs="Palatino Linotype"/>
          <w:color w:val="000000" w:themeColor="text1"/>
        </w:rPr>
        <w:t>os</w:t>
      </w:r>
      <w:r w:rsidRPr="00D276AE">
        <w:rPr>
          <w:rFonts w:ascii="Palatino Linotype" w:eastAsia="Palatino Linotype" w:hAnsi="Palatino Linotype" w:cs="Palatino Linotype"/>
          <w:color w:val="000000" w:themeColor="text1"/>
        </w:rPr>
        <w:t xml:space="preserve"> expediente</w:t>
      </w:r>
      <w:r w:rsidR="00C07B7B" w:rsidRPr="00D276AE">
        <w:rPr>
          <w:rFonts w:ascii="Palatino Linotype" w:eastAsia="Palatino Linotype" w:hAnsi="Palatino Linotype" w:cs="Palatino Linotype"/>
          <w:color w:val="000000" w:themeColor="text1"/>
        </w:rPr>
        <w:t>s</w:t>
      </w:r>
      <w:r w:rsidRPr="00D276AE">
        <w:rPr>
          <w:rFonts w:ascii="Palatino Linotype" w:eastAsia="Palatino Linotype" w:hAnsi="Palatino Linotype" w:cs="Palatino Linotype"/>
          <w:color w:val="000000" w:themeColor="text1"/>
        </w:rPr>
        <w:t xml:space="preserve"> elec</w:t>
      </w:r>
      <w:r w:rsidR="00A73D35" w:rsidRPr="00D276AE">
        <w:rPr>
          <w:rFonts w:ascii="Palatino Linotype" w:eastAsia="Palatino Linotype" w:hAnsi="Palatino Linotype" w:cs="Palatino Linotype"/>
          <w:color w:val="000000" w:themeColor="text1"/>
        </w:rPr>
        <w:t>trónico</w:t>
      </w:r>
      <w:r w:rsidR="00C07B7B" w:rsidRPr="00D276AE">
        <w:rPr>
          <w:rFonts w:ascii="Palatino Linotype" w:eastAsia="Palatino Linotype" w:hAnsi="Palatino Linotype" w:cs="Palatino Linotype"/>
          <w:color w:val="000000" w:themeColor="text1"/>
        </w:rPr>
        <w:t>s</w:t>
      </w:r>
      <w:r w:rsidR="00A73D35" w:rsidRPr="00D276AE">
        <w:rPr>
          <w:rFonts w:ascii="Palatino Linotype" w:eastAsia="Palatino Linotype" w:hAnsi="Palatino Linotype" w:cs="Palatino Linotype"/>
          <w:color w:val="000000" w:themeColor="text1"/>
        </w:rPr>
        <w:t xml:space="preserve"> formado</w:t>
      </w:r>
      <w:r w:rsidR="00C07B7B" w:rsidRPr="00D276AE">
        <w:rPr>
          <w:rFonts w:ascii="Palatino Linotype" w:eastAsia="Palatino Linotype" w:hAnsi="Palatino Linotype" w:cs="Palatino Linotype"/>
          <w:color w:val="000000" w:themeColor="text1"/>
        </w:rPr>
        <w:t>s</w:t>
      </w:r>
      <w:r w:rsidR="00A73D35" w:rsidRPr="00D276AE">
        <w:rPr>
          <w:rFonts w:ascii="Palatino Linotype" w:eastAsia="Palatino Linotype" w:hAnsi="Palatino Linotype" w:cs="Palatino Linotype"/>
          <w:color w:val="000000" w:themeColor="text1"/>
        </w:rPr>
        <w:t xml:space="preserve"> con motivo de</w:t>
      </w:r>
      <w:r w:rsidR="00F816BA" w:rsidRPr="00D276AE">
        <w:rPr>
          <w:rFonts w:ascii="Palatino Linotype" w:eastAsia="Palatino Linotype" w:hAnsi="Palatino Linotype" w:cs="Palatino Linotype"/>
          <w:color w:val="000000" w:themeColor="text1"/>
        </w:rPr>
        <w:t xml:space="preserve"> </w:t>
      </w:r>
      <w:r w:rsidR="00A73D35" w:rsidRPr="00D276AE">
        <w:rPr>
          <w:rFonts w:ascii="Palatino Linotype" w:eastAsia="Palatino Linotype" w:hAnsi="Palatino Linotype" w:cs="Palatino Linotype"/>
          <w:color w:val="000000" w:themeColor="text1"/>
        </w:rPr>
        <w:t>l</w:t>
      </w:r>
      <w:r w:rsidR="00F816BA" w:rsidRPr="00D276AE">
        <w:rPr>
          <w:rFonts w:ascii="Palatino Linotype" w:eastAsia="Palatino Linotype" w:hAnsi="Palatino Linotype" w:cs="Palatino Linotype"/>
          <w:color w:val="000000" w:themeColor="text1"/>
        </w:rPr>
        <w:t>os</w:t>
      </w:r>
      <w:r w:rsidR="00A73D35" w:rsidRPr="00D276AE">
        <w:rPr>
          <w:rFonts w:ascii="Palatino Linotype" w:eastAsia="Palatino Linotype" w:hAnsi="Palatino Linotype" w:cs="Palatino Linotype"/>
          <w:color w:val="000000" w:themeColor="text1"/>
        </w:rPr>
        <w:t xml:space="preserve"> Recurso</w:t>
      </w:r>
      <w:r w:rsidR="00F816BA" w:rsidRPr="00D276AE">
        <w:rPr>
          <w:rFonts w:ascii="Palatino Linotype" w:eastAsia="Palatino Linotype" w:hAnsi="Palatino Linotype" w:cs="Palatino Linotype"/>
          <w:color w:val="000000" w:themeColor="text1"/>
        </w:rPr>
        <w:t xml:space="preserve">s </w:t>
      </w:r>
      <w:r w:rsidR="00A73D35" w:rsidRPr="00D276AE">
        <w:rPr>
          <w:rFonts w:ascii="Palatino Linotype" w:eastAsia="Palatino Linotype" w:hAnsi="Palatino Linotype" w:cs="Palatino Linotype"/>
          <w:color w:val="000000" w:themeColor="text1"/>
        </w:rPr>
        <w:t>de R</w:t>
      </w:r>
      <w:r w:rsidRPr="00D276AE">
        <w:rPr>
          <w:rFonts w:ascii="Palatino Linotype" w:eastAsia="Palatino Linotype" w:hAnsi="Palatino Linotype" w:cs="Palatino Linotype"/>
          <w:color w:val="000000" w:themeColor="text1"/>
        </w:rPr>
        <w:t xml:space="preserve">evisión </w:t>
      </w:r>
      <w:r w:rsidR="00F816BA" w:rsidRPr="00D276AE">
        <w:rPr>
          <w:rFonts w:ascii="Palatino Linotype" w:eastAsia="Palatino Linotype" w:hAnsi="Palatino Linotype" w:cs="Palatino Linotype"/>
          <w:b/>
          <w:color w:val="000000" w:themeColor="text1"/>
        </w:rPr>
        <w:t>04973/INFOEM/IP/RR/2025, 04974/INFOEM/IP/RR/2025,</w:t>
      </w:r>
      <w:r w:rsidR="00F816BA" w:rsidRPr="00D276AE">
        <w:rPr>
          <w:rFonts w:ascii="Palatino Linotype" w:hAnsi="Palatino Linotype"/>
          <w:color w:val="000000" w:themeColor="text1"/>
        </w:rPr>
        <w:t xml:space="preserve"> </w:t>
      </w:r>
      <w:r w:rsidR="00F816BA" w:rsidRPr="00D276AE">
        <w:rPr>
          <w:rFonts w:ascii="Palatino Linotype" w:eastAsia="Palatino Linotype" w:hAnsi="Palatino Linotype" w:cs="Palatino Linotype"/>
          <w:b/>
          <w:color w:val="000000" w:themeColor="text1"/>
        </w:rPr>
        <w:t>04975/INFOEM/IP/RR/2025, 04976/INFOEM/IP/RR/2025,</w:t>
      </w:r>
      <w:r w:rsidR="00F816BA" w:rsidRPr="00D276AE">
        <w:rPr>
          <w:rFonts w:ascii="Palatino Linotype" w:hAnsi="Palatino Linotype"/>
          <w:color w:val="000000" w:themeColor="text1"/>
        </w:rPr>
        <w:t xml:space="preserve"> </w:t>
      </w:r>
      <w:r w:rsidR="00F816BA" w:rsidRPr="00D276AE">
        <w:rPr>
          <w:rFonts w:ascii="Palatino Linotype" w:eastAsia="Palatino Linotype" w:hAnsi="Palatino Linotype" w:cs="Palatino Linotype"/>
          <w:b/>
          <w:color w:val="000000" w:themeColor="text1"/>
        </w:rPr>
        <w:t>04977/INFOEM/IP/RR/2025,</w:t>
      </w:r>
      <w:r w:rsidR="00F816BA" w:rsidRPr="00D276AE">
        <w:rPr>
          <w:rFonts w:ascii="Palatino Linotype" w:hAnsi="Palatino Linotype"/>
          <w:color w:val="000000" w:themeColor="text1"/>
        </w:rPr>
        <w:t xml:space="preserve"> </w:t>
      </w:r>
      <w:r w:rsidR="00F816BA" w:rsidRPr="00D276AE">
        <w:rPr>
          <w:rFonts w:ascii="Palatino Linotype" w:eastAsia="Palatino Linotype" w:hAnsi="Palatino Linotype" w:cs="Palatino Linotype"/>
          <w:b/>
          <w:color w:val="000000" w:themeColor="text1"/>
        </w:rPr>
        <w:t>04978/INFOEM/IP/RR/2025</w:t>
      </w:r>
      <w:r w:rsidR="00F816BA" w:rsidRPr="00D276AE">
        <w:rPr>
          <w:rFonts w:ascii="Palatino Linotype" w:hAnsi="Palatino Linotype"/>
          <w:color w:val="000000" w:themeColor="text1"/>
        </w:rPr>
        <w:t xml:space="preserve"> y </w:t>
      </w:r>
      <w:r w:rsidR="00F816BA" w:rsidRPr="00D276AE">
        <w:rPr>
          <w:rFonts w:ascii="Palatino Linotype" w:eastAsia="Palatino Linotype" w:hAnsi="Palatino Linotype" w:cs="Palatino Linotype"/>
          <w:b/>
          <w:color w:val="000000" w:themeColor="text1"/>
        </w:rPr>
        <w:t>04979/INFOEM/IP/RR/2025</w:t>
      </w:r>
      <w:r w:rsidR="00CF251E" w:rsidRPr="00D276AE">
        <w:rPr>
          <w:rFonts w:ascii="Palatino Linotype" w:eastAsia="Palatino Linotype" w:hAnsi="Palatino Linotype" w:cs="Palatino Linotype"/>
          <w:b/>
          <w:color w:val="000000" w:themeColor="text1"/>
        </w:rPr>
        <w:t xml:space="preserve">, </w:t>
      </w:r>
      <w:r w:rsidR="00F816BA" w:rsidRPr="00D276AE">
        <w:rPr>
          <w:rFonts w:ascii="Palatino Linotype" w:eastAsia="Palatino Linotype" w:hAnsi="Palatino Linotype" w:cs="Palatino Linotype"/>
          <w:b/>
          <w:color w:val="000000" w:themeColor="text1"/>
        </w:rPr>
        <w:t xml:space="preserve"> </w:t>
      </w:r>
      <w:r w:rsidR="00CF251E" w:rsidRPr="00D276AE">
        <w:rPr>
          <w:rFonts w:ascii="Palatino Linotype" w:hAnsi="Palatino Linotype"/>
          <w:color w:val="000000" w:themeColor="text1"/>
        </w:rPr>
        <w:t>promovido por</w:t>
      </w:r>
      <w:r w:rsidR="00CF251E" w:rsidRPr="00D276AE">
        <w:rPr>
          <w:rFonts w:ascii="Palatino Linotype" w:hAnsi="Palatino Linotype"/>
          <w:b/>
          <w:bCs/>
          <w:color w:val="000000" w:themeColor="text1"/>
        </w:rPr>
        <w:t xml:space="preserve"> </w:t>
      </w:r>
      <w:r w:rsidR="00CF251E" w:rsidRPr="00D276AE">
        <w:rPr>
          <w:rFonts w:ascii="Palatino Linotype" w:hAnsi="Palatino Linotype"/>
          <w:b/>
          <w:color w:val="000000" w:themeColor="text1"/>
        </w:rPr>
        <w:t>una persona que no proporciono datos de identificación</w:t>
      </w:r>
      <w:r w:rsidR="00CF251E" w:rsidRPr="00D276AE">
        <w:rPr>
          <w:rFonts w:ascii="Palatino Linotype" w:hAnsi="Palatino Linotype"/>
          <w:color w:val="000000" w:themeColor="text1"/>
        </w:rPr>
        <w:t xml:space="preserve">, a quien en lo sucesivo se le identificará como </w:t>
      </w:r>
      <w:r w:rsidR="00CF251E" w:rsidRPr="00D276AE">
        <w:rPr>
          <w:rFonts w:ascii="Palatino Linotype" w:hAnsi="Palatino Linotype"/>
          <w:b/>
          <w:bCs/>
          <w:color w:val="000000" w:themeColor="text1"/>
        </w:rPr>
        <w:t>EL RECURRENTE</w:t>
      </w:r>
      <w:r w:rsidRPr="00D276AE">
        <w:rPr>
          <w:rFonts w:ascii="Palatino Linotype" w:eastAsia="Palatino Linotype" w:hAnsi="Palatino Linotype" w:cs="Palatino Linotype"/>
          <w:b/>
          <w:color w:val="000000" w:themeColor="text1"/>
        </w:rPr>
        <w:t>,</w:t>
      </w:r>
      <w:r w:rsidRPr="00D276AE">
        <w:rPr>
          <w:rFonts w:ascii="Palatino Linotype" w:eastAsia="Palatino Linotype" w:hAnsi="Palatino Linotype" w:cs="Palatino Linotype"/>
          <w:color w:val="000000" w:themeColor="text1"/>
        </w:rPr>
        <w:t xml:space="preserve"> en contra de la</w:t>
      </w:r>
      <w:r w:rsidR="00C07B7B" w:rsidRPr="00D276AE">
        <w:rPr>
          <w:rFonts w:ascii="Palatino Linotype" w:eastAsia="Palatino Linotype" w:hAnsi="Palatino Linotype" w:cs="Palatino Linotype"/>
          <w:color w:val="000000" w:themeColor="text1"/>
        </w:rPr>
        <w:t>s</w:t>
      </w:r>
      <w:r w:rsidRPr="00D276AE">
        <w:rPr>
          <w:rFonts w:ascii="Palatino Linotype" w:eastAsia="Palatino Linotype" w:hAnsi="Palatino Linotype" w:cs="Palatino Linotype"/>
          <w:color w:val="000000" w:themeColor="text1"/>
        </w:rPr>
        <w:t xml:space="preserve"> respuesta</w:t>
      </w:r>
      <w:r w:rsidR="00C07B7B" w:rsidRPr="00D276AE">
        <w:rPr>
          <w:rFonts w:ascii="Palatino Linotype" w:eastAsia="Palatino Linotype" w:hAnsi="Palatino Linotype" w:cs="Palatino Linotype"/>
          <w:color w:val="000000" w:themeColor="text1"/>
        </w:rPr>
        <w:t>s</w:t>
      </w:r>
      <w:r w:rsidRPr="00D276AE">
        <w:rPr>
          <w:rFonts w:ascii="Palatino Linotype" w:eastAsia="Palatino Linotype" w:hAnsi="Palatino Linotype" w:cs="Palatino Linotype"/>
          <w:color w:val="000000" w:themeColor="text1"/>
        </w:rPr>
        <w:t xml:space="preserve"> del </w:t>
      </w:r>
      <w:r w:rsidR="00DA5CE9" w:rsidRPr="00D276AE">
        <w:rPr>
          <w:rFonts w:ascii="Palatino Linotype" w:eastAsia="Palatino Linotype" w:hAnsi="Palatino Linotype" w:cs="Palatino Linotype"/>
          <w:b/>
          <w:color w:val="000000" w:themeColor="text1"/>
        </w:rPr>
        <w:t>Ayuntamiento de T</w:t>
      </w:r>
      <w:r w:rsidR="00F816BA" w:rsidRPr="00D276AE">
        <w:rPr>
          <w:rFonts w:ascii="Palatino Linotype" w:eastAsia="Palatino Linotype" w:hAnsi="Palatino Linotype" w:cs="Palatino Linotype"/>
          <w:b/>
          <w:color w:val="000000" w:themeColor="text1"/>
        </w:rPr>
        <w:t>oluca</w:t>
      </w:r>
      <w:r w:rsidRPr="00D276AE">
        <w:rPr>
          <w:rFonts w:ascii="Palatino Linotype" w:eastAsia="Palatino Linotype" w:hAnsi="Palatino Linotype" w:cs="Palatino Linotype"/>
          <w:b/>
          <w:color w:val="000000" w:themeColor="text1"/>
        </w:rPr>
        <w:t xml:space="preserve">, </w:t>
      </w:r>
      <w:r w:rsidRPr="00D276AE">
        <w:rPr>
          <w:rFonts w:ascii="Palatino Linotype" w:eastAsia="Palatino Linotype" w:hAnsi="Palatino Linotype" w:cs="Palatino Linotype"/>
          <w:color w:val="000000" w:themeColor="text1"/>
        </w:rPr>
        <w:t>en adelante el</w:t>
      </w:r>
      <w:r w:rsidRPr="00D276AE">
        <w:rPr>
          <w:rFonts w:ascii="Palatino Linotype" w:eastAsia="Palatino Linotype" w:hAnsi="Palatino Linotype" w:cs="Palatino Linotype"/>
          <w:b/>
          <w:color w:val="000000" w:themeColor="text1"/>
        </w:rPr>
        <w:t xml:space="preserve"> SUJETO OBLIGADO</w:t>
      </w:r>
      <w:r w:rsidRPr="00D276AE">
        <w:rPr>
          <w:rFonts w:ascii="Palatino Linotype" w:eastAsia="Palatino Linotype" w:hAnsi="Palatino Linotype" w:cs="Palatino Linotype"/>
          <w:color w:val="000000" w:themeColor="text1"/>
        </w:rPr>
        <w:t xml:space="preserve">, se procede a dictar la presente </w:t>
      </w:r>
      <w:r w:rsidR="00A73D35" w:rsidRPr="00D276AE">
        <w:rPr>
          <w:rFonts w:ascii="Palatino Linotype" w:eastAsia="Palatino Linotype" w:hAnsi="Palatino Linotype" w:cs="Palatino Linotype"/>
          <w:color w:val="000000" w:themeColor="text1"/>
        </w:rPr>
        <w:t>R</w:t>
      </w:r>
      <w:r w:rsidRPr="00D276AE">
        <w:rPr>
          <w:rFonts w:ascii="Palatino Linotype" w:eastAsia="Palatino Linotype" w:hAnsi="Palatino Linotype" w:cs="Palatino Linotype"/>
          <w:color w:val="000000" w:themeColor="text1"/>
        </w:rPr>
        <w:t>esolución, con base en los siguientes:</w:t>
      </w:r>
    </w:p>
    <w:p w14:paraId="6A2A55BC" w14:textId="77777777" w:rsidR="00E31311" w:rsidRPr="00D276AE" w:rsidRDefault="00E31311" w:rsidP="00E16D4D">
      <w:pPr>
        <w:spacing w:line="360" w:lineRule="auto"/>
        <w:jc w:val="both"/>
        <w:rPr>
          <w:rFonts w:ascii="Palatino Linotype" w:eastAsia="Palatino Linotype" w:hAnsi="Palatino Linotype" w:cs="Palatino Linotype"/>
          <w:b/>
          <w:color w:val="000000" w:themeColor="text1"/>
        </w:rPr>
      </w:pPr>
    </w:p>
    <w:p w14:paraId="752800D5" w14:textId="77777777" w:rsidR="00E31311" w:rsidRPr="00D276AE" w:rsidRDefault="00DF6EAE" w:rsidP="00E16D4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D276AE">
        <w:rPr>
          <w:rFonts w:ascii="Palatino Linotype" w:eastAsia="Palatino Linotype" w:hAnsi="Palatino Linotype" w:cs="Palatino Linotype"/>
          <w:b/>
          <w:color w:val="000000" w:themeColor="text1"/>
          <w:sz w:val="24"/>
          <w:szCs w:val="24"/>
        </w:rPr>
        <w:t>A N T E C E D E N T E S</w:t>
      </w:r>
    </w:p>
    <w:p w14:paraId="1AB4EF08" w14:textId="77777777" w:rsidR="00E31311" w:rsidRPr="00D276AE" w:rsidRDefault="00E31311" w:rsidP="00E16D4D">
      <w:pPr>
        <w:spacing w:line="360" w:lineRule="auto"/>
        <w:rPr>
          <w:rFonts w:ascii="Palatino Linotype" w:hAnsi="Palatino Linotype"/>
          <w:color w:val="000000" w:themeColor="text1"/>
        </w:rPr>
      </w:pPr>
    </w:p>
    <w:p w14:paraId="2A42BEEE" w14:textId="6FDD5C2E" w:rsidR="00E31311" w:rsidRPr="00D276AE" w:rsidRDefault="00F816BA" w:rsidP="00E16D4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276AE">
        <w:rPr>
          <w:rFonts w:ascii="Palatino Linotype" w:eastAsia="Palatino Linotype" w:hAnsi="Palatino Linotype" w:cs="Palatino Linotype"/>
          <w:color w:val="000000" w:themeColor="text1"/>
        </w:rPr>
        <w:t>El día</w:t>
      </w:r>
      <w:r w:rsidR="001660E4" w:rsidRPr="00D276AE">
        <w:rPr>
          <w:rFonts w:ascii="Palatino Linotype" w:eastAsia="Palatino Linotype" w:hAnsi="Palatino Linotype" w:cs="Palatino Linotype"/>
          <w:b/>
          <w:color w:val="000000" w:themeColor="text1"/>
        </w:rPr>
        <w:t xml:space="preserve"> </w:t>
      </w:r>
      <w:r w:rsidRPr="00D276AE">
        <w:rPr>
          <w:rFonts w:ascii="Palatino Linotype" w:eastAsia="Palatino Linotype" w:hAnsi="Palatino Linotype" w:cs="Palatino Linotype"/>
          <w:b/>
          <w:color w:val="000000" w:themeColor="text1"/>
        </w:rPr>
        <w:t>once de marzo</w:t>
      </w:r>
      <w:r w:rsidR="00D957BF" w:rsidRPr="00D276AE">
        <w:rPr>
          <w:rFonts w:ascii="Palatino Linotype" w:eastAsia="Palatino Linotype" w:hAnsi="Palatino Linotype" w:cs="Palatino Linotype"/>
          <w:b/>
          <w:color w:val="000000" w:themeColor="text1"/>
        </w:rPr>
        <w:t xml:space="preserve"> </w:t>
      </w:r>
      <w:r w:rsidR="00BB66B2" w:rsidRPr="00D276AE">
        <w:rPr>
          <w:rFonts w:ascii="Palatino Linotype" w:eastAsia="Palatino Linotype" w:hAnsi="Palatino Linotype" w:cs="Palatino Linotype"/>
          <w:b/>
          <w:color w:val="000000" w:themeColor="text1"/>
        </w:rPr>
        <w:t>de dos mil veinticinco</w:t>
      </w:r>
      <w:r w:rsidR="00DF6EAE" w:rsidRPr="00D276AE">
        <w:rPr>
          <w:rFonts w:ascii="Palatino Linotype" w:eastAsia="Palatino Linotype" w:hAnsi="Palatino Linotype" w:cs="Palatino Linotype"/>
          <w:b/>
          <w:color w:val="000000" w:themeColor="text1"/>
        </w:rPr>
        <w:t xml:space="preserve">, </w:t>
      </w:r>
      <w:r w:rsidR="00DF6EAE" w:rsidRPr="00D276AE">
        <w:rPr>
          <w:rFonts w:ascii="Palatino Linotype" w:eastAsia="Palatino Linotype" w:hAnsi="Palatino Linotype" w:cs="Palatino Linotype"/>
          <w:color w:val="000000" w:themeColor="text1"/>
        </w:rPr>
        <w:t>se present</w:t>
      </w:r>
      <w:r w:rsidRPr="00D276AE">
        <w:rPr>
          <w:rFonts w:ascii="Palatino Linotype" w:eastAsia="Palatino Linotype" w:hAnsi="Palatino Linotype" w:cs="Palatino Linotype"/>
          <w:color w:val="000000" w:themeColor="text1"/>
        </w:rPr>
        <w:t>aron</w:t>
      </w:r>
      <w:r w:rsidR="00DF6EAE" w:rsidRPr="00D276AE">
        <w:rPr>
          <w:rFonts w:ascii="Palatino Linotype" w:eastAsia="Palatino Linotype" w:hAnsi="Palatino Linotype" w:cs="Palatino Linotype"/>
          <w:color w:val="000000" w:themeColor="text1"/>
        </w:rPr>
        <w:t xml:space="preserve"> ante el </w:t>
      </w:r>
      <w:r w:rsidR="00DF6EAE" w:rsidRPr="00D276AE">
        <w:rPr>
          <w:rFonts w:ascii="Palatino Linotype" w:eastAsia="Palatino Linotype" w:hAnsi="Palatino Linotype" w:cs="Palatino Linotype"/>
          <w:b/>
          <w:color w:val="000000" w:themeColor="text1"/>
        </w:rPr>
        <w:t>SUJETO OBLIGADO</w:t>
      </w:r>
      <w:r w:rsidR="00A87FF1" w:rsidRPr="00D276AE">
        <w:rPr>
          <w:rFonts w:ascii="Palatino Linotype" w:eastAsia="Palatino Linotype" w:hAnsi="Palatino Linotype" w:cs="Palatino Linotype"/>
          <w:color w:val="000000" w:themeColor="text1"/>
        </w:rPr>
        <w:t xml:space="preserve"> vía</w:t>
      </w:r>
      <w:r w:rsidR="005706CE" w:rsidRPr="00D276AE">
        <w:rPr>
          <w:rFonts w:ascii="Palatino Linotype" w:eastAsia="Palatino Linotype" w:hAnsi="Palatino Linotype" w:cs="Palatino Linotype"/>
          <w:color w:val="000000" w:themeColor="text1"/>
        </w:rPr>
        <w:t xml:space="preserve"> </w:t>
      </w:r>
      <w:r w:rsidR="00A87FF1" w:rsidRPr="00D276AE">
        <w:rPr>
          <w:rFonts w:ascii="Palatino Linotype" w:eastAsia="Palatino Linotype" w:hAnsi="Palatino Linotype" w:cs="Palatino Linotype"/>
          <w:color w:val="000000" w:themeColor="text1"/>
        </w:rPr>
        <w:t>Sistema de Acceso a la Información Mexiquense</w:t>
      </w:r>
      <w:r w:rsidR="005706CE" w:rsidRPr="00D276AE">
        <w:rPr>
          <w:rFonts w:ascii="Palatino Linotype" w:eastAsia="Palatino Linotype" w:hAnsi="Palatino Linotype" w:cs="Palatino Linotype"/>
          <w:color w:val="000000" w:themeColor="text1"/>
        </w:rPr>
        <w:t xml:space="preserve"> (SAIMEX)</w:t>
      </w:r>
      <w:r w:rsidR="00DF6EAE" w:rsidRPr="00D276AE">
        <w:rPr>
          <w:rFonts w:ascii="Palatino Linotype" w:eastAsia="Palatino Linotype" w:hAnsi="Palatino Linotype" w:cs="Palatino Linotype"/>
          <w:color w:val="000000" w:themeColor="text1"/>
        </w:rPr>
        <w:t>, la</w:t>
      </w:r>
      <w:r w:rsidRPr="00D276AE">
        <w:rPr>
          <w:rFonts w:ascii="Palatino Linotype" w:eastAsia="Palatino Linotype" w:hAnsi="Palatino Linotype" w:cs="Palatino Linotype"/>
          <w:color w:val="000000" w:themeColor="text1"/>
        </w:rPr>
        <w:t>s</w:t>
      </w:r>
      <w:r w:rsidR="00DF6EAE" w:rsidRPr="00D276AE">
        <w:rPr>
          <w:rFonts w:ascii="Palatino Linotype" w:eastAsia="Palatino Linotype" w:hAnsi="Palatino Linotype" w:cs="Palatino Linotype"/>
          <w:color w:val="000000" w:themeColor="text1"/>
        </w:rPr>
        <w:t xml:space="preserve"> solicitud</w:t>
      </w:r>
      <w:r w:rsidRPr="00D276AE">
        <w:rPr>
          <w:rFonts w:ascii="Palatino Linotype" w:eastAsia="Palatino Linotype" w:hAnsi="Palatino Linotype" w:cs="Palatino Linotype"/>
          <w:color w:val="000000" w:themeColor="text1"/>
        </w:rPr>
        <w:t>es</w:t>
      </w:r>
      <w:r w:rsidR="00DF6EAE" w:rsidRPr="00D276AE">
        <w:rPr>
          <w:rFonts w:ascii="Palatino Linotype" w:eastAsia="Palatino Linotype" w:hAnsi="Palatino Linotype" w:cs="Palatino Linotype"/>
          <w:color w:val="000000" w:themeColor="text1"/>
        </w:rPr>
        <w:t xml:space="preserve"> de información </w:t>
      </w:r>
      <w:r w:rsidRPr="00D276AE">
        <w:rPr>
          <w:rFonts w:ascii="Palatino Linotype" w:eastAsia="Palatino Linotype" w:hAnsi="Palatino Linotype" w:cs="Palatino Linotype"/>
          <w:color w:val="000000" w:themeColor="text1"/>
        </w:rPr>
        <w:t>pública, en</w:t>
      </w:r>
      <w:r w:rsidR="00DF6EAE" w:rsidRPr="00D276AE">
        <w:rPr>
          <w:rFonts w:ascii="Palatino Linotype" w:eastAsia="Palatino Linotype" w:hAnsi="Palatino Linotype" w:cs="Palatino Linotype"/>
          <w:color w:val="000000" w:themeColor="text1"/>
        </w:rPr>
        <w:t xml:space="preserve"> la</w:t>
      </w:r>
      <w:r w:rsidRPr="00D276AE">
        <w:rPr>
          <w:rFonts w:ascii="Palatino Linotype" w:eastAsia="Palatino Linotype" w:hAnsi="Palatino Linotype" w:cs="Palatino Linotype"/>
          <w:color w:val="000000" w:themeColor="text1"/>
        </w:rPr>
        <w:t>s</w:t>
      </w:r>
      <w:r w:rsidR="00DF6EAE" w:rsidRPr="00D276AE">
        <w:rPr>
          <w:rFonts w:ascii="Palatino Linotype" w:eastAsia="Palatino Linotype" w:hAnsi="Palatino Linotype" w:cs="Palatino Linotype"/>
          <w:color w:val="000000" w:themeColor="text1"/>
        </w:rPr>
        <w:t xml:space="preserve"> que se solicitó la siguiente información:</w:t>
      </w:r>
    </w:p>
    <w:p w14:paraId="5DA36CB4" w14:textId="77777777" w:rsidR="00E31311" w:rsidRPr="00D276AE" w:rsidRDefault="00E31311" w:rsidP="00E16D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786CCC2" w14:textId="77777777" w:rsidR="00F816BA" w:rsidRPr="00D276AE" w:rsidRDefault="00F816BA"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 xml:space="preserve">  01475/TOLUCA/IP/2025 </w:t>
      </w:r>
    </w:p>
    <w:p w14:paraId="22249985" w14:textId="548041C5" w:rsidR="00E31311" w:rsidRPr="00D276AE" w:rsidRDefault="00A87FF1"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r w:rsidR="00F816BA" w:rsidRPr="00D276AE">
        <w:rPr>
          <w:rFonts w:ascii="Palatino Linotype" w:eastAsia="Palatino Linotype" w:hAnsi="Palatino Linotype" w:cs="Palatino Linotype"/>
          <w:i/>
          <w:color w:val="000000" w:themeColor="text1"/>
        </w:rPr>
        <w:t>De conformidad con el artículo octavo constitucional y cuarto de la Ley de Transparencia se solicita los documentos que acrediten el pago de ISR de los trabajadores de su municipio del ejercicio fiscal 2020</w:t>
      </w:r>
      <w:r w:rsidR="00DF6EAE" w:rsidRPr="00D276AE">
        <w:rPr>
          <w:rFonts w:ascii="Palatino Linotype" w:eastAsia="Palatino Linotype" w:hAnsi="Palatino Linotype" w:cs="Palatino Linotype"/>
          <w:i/>
          <w:color w:val="000000" w:themeColor="text1"/>
        </w:rPr>
        <w:t>”</w:t>
      </w:r>
    </w:p>
    <w:p w14:paraId="71225702" w14:textId="77777777" w:rsidR="00046609" w:rsidRPr="00D276AE" w:rsidRDefault="00046609"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9D6450A" w14:textId="77777777" w:rsidR="00C07B7B" w:rsidRPr="00D276AE" w:rsidRDefault="00C07B7B"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C2392A3" w14:textId="77777777" w:rsidR="00C07B7B" w:rsidRPr="00D276AE" w:rsidRDefault="00C07B7B"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1073C82" w14:textId="77777777" w:rsidR="00F816BA" w:rsidRPr="00D276AE" w:rsidRDefault="00F816BA"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 xml:space="preserve">  01474/TOLUCA/IP/2025</w:t>
      </w:r>
    </w:p>
    <w:p w14:paraId="7EE04E3E" w14:textId="634EC132" w:rsidR="00B72F90" w:rsidRPr="00D276AE" w:rsidRDefault="00B72F90"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r w:rsidR="00F816BA" w:rsidRPr="00D276AE">
        <w:rPr>
          <w:rFonts w:ascii="Palatino Linotype" w:hAnsi="Palatino Linotype"/>
          <w:color w:val="000000" w:themeColor="text1"/>
        </w:rPr>
        <w:t xml:space="preserve"> </w:t>
      </w:r>
      <w:r w:rsidR="00F816BA" w:rsidRPr="00D276AE">
        <w:rPr>
          <w:rFonts w:ascii="Palatino Linotype" w:eastAsia="Palatino Linotype" w:hAnsi="Palatino Linotype" w:cs="Palatino Linotype"/>
          <w:i/>
          <w:color w:val="000000" w:themeColor="text1"/>
        </w:rPr>
        <w:t>De conformidad con el artículo octavo constitucional y cuarto de la Ley de Transparencia se solicita los documentos que acrediten el pago de ISR de los trabajadores de su municipio del ejercicio fiscal 2019</w:t>
      </w:r>
      <w:r w:rsidRPr="00D276AE">
        <w:rPr>
          <w:rFonts w:ascii="Palatino Linotype" w:eastAsia="Palatino Linotype" w:hAnsi="Palatino Linotype" w:cs="Palatino Linotype"/>
          <w:i/>
          <w:color w:val="000000" w:themeColor="text1"/>
        </w:rPr>
        <w:t>"</w:t>
      </w:r>
    </w:p>
    <w:p w14:paraId="7E269CC0" w14:textId="77777777" w:rsidR="00B72F90" w:rsidRPr="00D276AE" w:rsidRDefault="00B72F90"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6BB1C384" w14:textId="77777777" w:rsidR="00F816BA" w:rsidRPr="00D276AE" w:rsidRDefault="00F816BA"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 xml:space="preserve">01473/TOLUCA/IP/2025 </w:t>
      </w:r>
    </w:p>
    <w:p w14:paraId="1F09E487" w14:textId="6D578FBC" w:rsidR="00B72F90" w:rsidRPr="00D276AE" w:rsidRDefault="00B72F90"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r w:rsidR="00F816BA" w:rsidRPr="00D276AE">
        <w:rPr>
          <w:rFonts w:ascii="Palatino Linotype" w:eastAsia="Palatino Linotype" w:hAnsi="Palatino Linotype" w:cs="Palatino Linotype"/>
          <w:i/>
          <w:color w:val="000000" w:themeColor="text1"/>
        </w:rPr>
        <w:t>De conformidad con el artículo octavo constitucional y cuarto de la Ley de Transparencia se solicita los documentos que acrediten el pago de ISR de los trabajadores de su municipio del ejercicio fiscal 2018</w:t>
      </w:r>
      <w:r w:rsidRPr="00D276AE">
        <w:rPr>
          <w:rFonts w:ascii="Palatino Linotype" w:eastAsia="Palatino Linotype" w:hAnsi="Palatino Linotype" w:cs="Palatino Linotype"/>
          <w:i/>
          <w:color w:val="000000" w:themeColor="text1"/>
        </w:rPr>
        <w:t>”</w:t>
      </w:r>
    </w:p>
    <w:p w14:paraId="5990C823" w14:textId="77777777" w:rsidR="00046609" w:rsidRPr="00D276AE" w:rsidRDefault="00046609"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451B551" w14:textId="77777777" w:rsidR="00F816BA" w:rsidRPr="00D276AE" w:rsidRDefault="00F816BA"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 xml:space="preserve">01472/TOLUCA/IP/2025 </w:t>
      </w:r>
    </w:p>
    <w:p w14:paraId="10F57E1A" w14:textId="0BD34D86" w:rsidR="00046609" w:rsidRPr="00D276AE" w:rsidRDefault="00046609"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r w:rsidR="00F816BA" w:rsidRPr="00D276AE">
        <w:rPr>
          <w:rFonts w:ascii="Palatino Linotype" w:eastAsia="Palatino Linotype" w:hAnsi="Palatino Linotype" w:cs="Palatino Linotype"/>
          <w:i/>
          <w:color w:val="000000" w:themeColor="text1"/>
        </w:rPr>
        <w:t>De conformidad con el artículo octavo constitucional y cuarto de la Ley de Transparencia se solicita los documentos que acrediten el pago de ISR de los trabajadores de su municipio del ejercicio fiscal 2017</w:t>
      </w:r>
      <w:r w:rsidRPr="00D276AE">
        <w:rPr>
          <w:rFonts w:ascii="Palatino Linotype" w:eastAsia="Palatino Linotype" w:hAnsi="Palatino Linotype" w:cs="Palatino Linotype"/>
          <w:i/>
          <w:color w:val="000000" w:themeColor="text1"/>
        </w:rPr>
        <w:t>”</w:t>
      </w:r>
    </w:p>
    <w:p w14:paraId="34F36F68" w14:textId="77777777" w:rsidR="00046609" w:rsidRPr="00D276AE" w:rsidRDefault="00046609"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9A2E3B6" w14:textId="77777777" w:rsidR="00F816BA" w:rsidRPr="00D276AE" w:rsidRDefault="00F816BA"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 xml:space="preserve"> 01471/TOLUCA/IP/2025</w:t>
      </w:r>
    </w:p>
    <w:p w14:paraId="4895501E" w14:textId="2C13AB64" w:rsidR="00046609" w:rsidRPr="00D276AE" w:rsidRDefault="00046609"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r w:rsidR="00F816BA" w:rsidRPr="00D276AE">
        <w:rPr>
          <w:rFonts w:ascii="Palatino Linotype" w:hAnsi="Palatino Linotype"/>
          <w:color w:val="000000" w:themeColor="text1"/>
        </w:rPr>
        <w:t xml:space="preserve"> </w:t>
      </w:r>
      <w:r w:rsidR="00F816BA" w:rsidRPr="00D276AE">
        <w:rPr>
          <w:rFonts w:ascii="Palatino Linotype" w:eastAsia="Palatino Linotype" w:hAnsi="Palatino Linotype" w:cs="Palatino Linotype"/>
          <w:i/>
          <w:color w:val="000000" w:themeColor="text1"/>
        </w:rPr>
        <w:t>De conformidad con el artículo octavo constitucional y cuarto de la Ley de Transparencia se solicita los documentos que acrediten el pago de ISR de los trabajadores de su municipio del ejercicio fiscal 2025</w:t>
      </w:r>
      <w:r w:rsidRPr="00D276AE">
        <w:rPr>
          <w:rFonts w:ascii="Palatino Linotype" w:eastAsia="Palatino Linotype" w:hAnsi="Palatino Linotype" w:cs="Palatino Linotype"/>
          <w:i/>
          <w:color w:val="000000" w:themeColor="text1"/>
        </w:rPr>
        <w:t>"</w:t>
      </w:r>
    </w:p>
    <w:p w14:paraId="0118F42B" w14:textId="77777777" w:rsidR="00C07B7B" w:rsidRPr="00D276AE" w:rsidRDefault="00C07B7B"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55BBE02" w14:textId="77777777" w:rsidR="00C07B7B" w:rsidRPr="00D276AE" w:rsidRDefault="00C07B7B"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B9528E6" w14:textId="77777777" w:rsidR="00C07B7B" w:rsidRPr="00D276AE" w:rsidRDefault="00C07B7B"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44EBA30" w14:textId="77777777" w:rsidR="00C07B7B" w:rsidRPr="00D276AE" w:rsidRDefault="00C07B7B"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32F62E5" w14:textId="77777777" w:rsidR="00046609" w:rsidRPr="00D276AE" w:rsidRDefault="00046609"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3D5CA33" w14:textId="77777777" w:rsidR="00F816BA" w:rsidRPr="00D276AE" w:rsidRDefault="00F816BA"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01469/TOLUCA/IP/2025</w:t>
      </w:r>
    </w:p>
    <w:p w14:paraId="32F00ECC" w14:textId="7FD03355" w:rsidR="00046609" w:rsidRPr="00D276AE" w:rsidRDefault="00046609"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r w:rsidR="00F816BA" w:rsidRPr="00D276AE">
        <w:rPr>
          <w:rFonts w:ascii="Palatino Linotype" w:eastAsia="Palatino Linotype" w:hAnsi="Palatino Linotype" w:cs="Palatino Linotype"/>
          <w:i/>
          <w:color w:val="000000" w:themeColor="text1"/>
        </w:rPr>
        <w:t>De conformidad con el artículo octavo constitucional y cuarto de la Ley de Transparencia se solicita los documentos que acrediten el pago de ISR de los trabajadores de su municipio del ejercicio fiscal 2023</w:t>
      </w:r>
      <w:r w:rsidRPr="00D276AE">
        <w:rPr>
          <w:rFonts w:ascii="Palatino Linotype" w:eastAsia="Palatino Linotype" w:hAnsi="Palatino Linotype" w:cs="Palatino Linotype"/>
          <w:i/>
          <w:color w:val="000000" w:themeColor="text1"/>
        </w:rPr>
        <w:t>"</w:t>
      </w:r>
    </w:p>
    <w:p w14:paraId="595B5EAC" w14:textId="77777777" w:rsidR="00AA3CBA" w:rsidRPr="00D276AE" w:rsidRDefault="00AA3CBA"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F639B35" w14:textId="77777777" w:rsidR="00F816BA" w:rsidRPr="00D276AE" w:rsidRDefault="00F816BA"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01468/TOLUCA/IP/2025</w:t>
      </w:r>
    </w:p>
    <w:p w14:paraId="29B896DC" w14:textId="6285BAFE" w:rsidR="00046609" w:rsidRPr="00D276AE" w:rsidRDefault="00F816BA"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 xml:space="preserve"> </w:t>
      </w:r>
      <w:r w:rsidR="00046609" w:rsidRPr="00D276AE">
        <w:rPr>
          <w:rFonts w:ascii="Palatino Linotype" w:eastAsia="Palatino Linotype" w:hAnsi="Palatino Linotype" w:cs="Palatino Linotype"/>
          <w:i/>
          <w:color w:val="000000" w:themeColor="text1"/>
        </w:rPr>
        <w:t>“</w:t>
      </w:r>
      <w:r w:rsidRPr="00D276AE">
        <w:rPr>
          <w:rFonts w:ascii="Palatino Linotype" w:eastAsia="Palatino Linotype" w:hAnsi="Palatino Linotype" w:cs="Palatino Linotype"/>
          <w:i/>
          <w:color w:val="000000" w:themeColor="text1"/>
        </w:rPr>
        <w:t>De conformidad con el artículo octavo constitucional y cuarto de la Ley de Transparencia se solicita los documentos que acrediten el pago de ISR de los trabajadores de su municipio del ejercicio fiscal 2022. De conformidad con el artículo octavo constitucional y cuarto de la Ley de Transparencia se solicita los documentos que acrediten el pago de ISR de los trabajadores de su municipio del ejercicio fiscal 2022.</w:t>
      </w:r>
      <w:r w:rsidR="00046609" w:rsidRPr="00D276AE">
        <w:rPr>
          <w:rFonts w:ascii="Palatino Linotype" w:eastAsia="Palatino Linotype" w:hAnsi="Palatino Linotype" w:cs="Palatino Linotype"/>
          <w:i/>
          <w:color w:val="000000" w:themeColor="text1"/>
        </w:rPr>
        <w:t>”</w:t>
      </w:r>
    </w:p>
    <w:p w14:paraId="29803F47" w14:textId="77777777" w:rsidR="00D61D82" w:rsidRPr="00D276AE" w:rsidRDefault="00D61D82" w:rsidP="00E16D4D">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14:paraId="380859F7" w14:textId="77777777" w:rsidR="00E31311" w:rsidRPr="00D276AE" w:rsidRDefault="00A87FF1" w:rsidP="00E16D4D">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t>Se eligió como modalidad de entrega</w:t>
      </w:r>
      <w:r w:rsidR="00370DEE" w:rsidRPr="00D276AE">
        <w:rPr>
          <w:rFonts w:ascii="Palatino Linotype" w:eastAsia="Palatino Linotype" w:hAnsi="Palatino Linotype" w:cs="Palatino Linotype"/>
          <w:color w:val="000000" w:themeColor="text1"/>
        </w:rPr>
        <w:t>:</w:t>
      </w:r>
      <w:r w:rsidRPr="00D276AE">
        <w:rPr>
          <w:rFonts w:ascii="Palatino Linotype" w:eastAsia="Palatino Linotype" w:hAnsi="Palatino Linotype" w:cs="Palatino Linotype"/>
          <w:color w:val="000000" w:themeColor="text1"/>
        </w:rPr>
        <w:t xml:space="preserve"> </w:t>
      </w:r>
      <w:r w:rsidRPr="00D276AE">
        <w:rPr>
          <w:rFonts w:ascii="Palatino Linotype" w:eastAsia="Palatino Linotype" w:hAnsi="Palatino Linotype" w:cs="Palatino Linotype"/>
          <w:b/>
          <w:color w:val="000000" w:themeColor="text1"/>
        </w:rPr>
        <w:t>SAIMEX</w:t>
      </w:r>
    </w:p>
    <w:p w14:paraId="33702409" w14:textId="77777777" w:rsidR="00E31311" w:rsidRPr="00D276AE" w:rsidRDefault="00E31311" w:rsidP="00E16D4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8F9A9BE" w14:textId="242C5D57" w:rsidR="00AA3CBA" w:rsidRPr="00D276AE" w:rsidRDefault="00AA3CBA" w:rsidP="00E16D4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El </w:t>
      </w:r>
      <w:r w:rsidRPr="00D276AE">
        <w:rPr>
          <w:rFonts w:ascii="Palatino Linotype" w:eastAsia="Palatino Linotype" w:hAnsi="Palatino Linotype" w:cs="Palatino Linotype"/>
          <w:b/>
          <w:color w:val="000000" w:themeColor="text1"/>
        </w:rPr>
        <w:t>once de marzo de dos mil veinticinco</w:t>
      </w:r>
      <w:r w:rsidRPr="00D276AE">
        <w:rPr>
          <w:rFonts w:ascii="Palatino Linotype" w:eastAsia="Palatino Linotype" w:hAnsi="Palatino Linotype" w:cs="Palatino Linotype"/>
          <w:color w:val="000000" w:themeColor="text1"/>
        </w:rPr>
        <w:t>, se realizaron los requerimientos al servidor público habilitado.</w:t>
      </w:r>
    </w:p>
    <w:p w14:paraId="2E27C1FA" w14:textId="77777777" w:rsidR="00AA3CBA" w:rsidRPr="00D276AE" w:rsidRDefault="00AA3CBA" w:rsidP="00E16D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7900129" w14:textId="27C08E02" w:rsidR="00EA18FD" w:rsidRPr="00D276AE" w:rsidRDefault="001660E4" w:rsidP="00E16D4D">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En fecha </w:t>
      </w:r>
      <w:r w:rsidR="00AA3CBA" w:rsidRPr="00D276AE">
        <w:rPr>
          <w:rFonts w:ascii="Palatino Linotype" w:eastAsia="Palatino Linotype" w:hAnsi="Palatino Linotype" w:cs="Palatino Linotype"/>
          <w:b/>
          <w:color w:val="000000" w:themeColor="text1"/>
        </w:rPr>
        <w:t>dos de abril de dos mil veinticinco</w:t>
      </w:r>
      <w:r w:rsidR="00AA3CBA" w:rsidRPr="00D276AE">
        <w:rPr>
          <w:rFonts w:ascii="Palatino Linotype" w:eastAsia="Palatino Linotype" w:hAnsi="Palatino Linotype" w:cs="Palatino Linotype"/>
          <w:color w:val="000000" w:themeColor="text1"/>
        </w:rPr>
        <w:t xml:space="preserve"> </w:t>
      </w:r>
      <w:r w:rsidR="00DF6EAE" w:rsidRPr="00D276AE">
        <w:rPr>
          <w:rFonts w:ascii="Palatino Linotype" w:eastAsia="Palatino Linotype" w:hAnsi="Palatino Linotype" w:cs="Palatino Linotype"/>
          <w:color w:val="000000" w:themeColor="text1"/>
        </w:rPr>
        <w:t xml:space="preserve">el </w:t>
      </w:r>
      <w:r w:rsidR="00DF6EAE" w:rsidRPr="00D276AE">
        <w:rPr>
          <w:rFonts w:ascii="Palatino Linotype" w:eastAsia="Palatino Linotype" w:hAnsi="Palatino Linotype" w:cs="Palatino Linotype"/>
          <w:b/>
          <w:color w:val="000000" w:themeColor="text1"/>
        </w:rPr>
        <w:t>SUJETO OBLIGADO,</w:t>
      </w:r>
      <w:r w:rsidR="00DF6EAE" w:rsidRPr="00D276AE">
        <w:rPr>
          <w:rFonts w:ascii="Palatino Linotype" w:eastAsia="Palatino Linotype" w:hAnsi="Palatino Linotype" w:cs="Palatino Linotype"/>
          <w:color w:val="000000" w:themeColor="text1"/>
        </w:rPr>
        <w:t xml:space="preserve"> dio respuesta a la</w:t>
      </w:r>
      <w:r w:rsidR="00AA3CBA" w:rsidRPr="00D276AE">
        <w:rPr>
          <w:rFonts w:ascii="Palatino Linotype" w:eastAsia="Palatino Linotype" w:hAnsi="Palatino Linotype" w:cs="Palatino Linotype"/>
          <w:color w:val="000000" w:themeColor="text1"/>
        </w:rPr>
        <w:t>s</w:t>
      </w:r>
      <w:r w:rsidR="00DF6EAE" w:rsidRPr="00D276AE">
        <w:rPr>
          <w:rFonts w:ascii="Palatino Linotype" w:eastAsia="Palatino Linotype" w:hAnsi="Palatino Linotype" w:cs="Palatino Linotype"/>
          <w:color w:val="000000" w:themeColor="text1"/>
        </w:rPr>
        <w:t xml:space="preserve"> solicitud</w:t>
      </w:r>
      <w:r w:rsidR="00AA3CBA" w:rsidRPr="00D276AE">
        <w:rPr>
          <w:rFonts w:ascii="Palatino Linotype" w:eastAsia="Palatino Linotype" w:hAnsi="Palatino Linotype" w:cs="Palatino Linotype"/>
          <w:color w:val="000000" w:themeColor="text1"/>
        </w:rPr>
        <w:t>es</w:t>
      </w:r>
      <w:r w:rsidR="008F4FE8" w:rsidRPr="00D276AE">
        <w:rPr>
          <w:rFonts w:ascii="Palatino Linotype" w:eastAsia="Palatino Linotype" w:hAnsi="Palatino Linotype" w:cs="Palatino Linotype"/>
          <w:color w:val="000000" w:themeColor="text1"/>
        </w:rPr>
        <w:t xml:space="preserve"> </w:t>
      </w:r>
      <w:r w:rsidR="00AA3CBA" w:rsidRPr="00D276AE">
        <w:rPr>
          <w:rFonts w:ascii="Palatino Linotype" w:eastAsia="Palatino Linotype" w:hAnsi="Palatino Linotype" w:cs="Palatino Linotype"/>
          <w:color w:val="000000" w:themeColor="text1"/>
        </w:rPr>
        <w:t>mencionadas en los mismos términos</w:t>
      </w:r>
      <w:r w:rsidR="003142E9" w:rsidRPr="00D276AE">
        <w:rPr>
          <w:rFonts w:ascii="Palatino Linotype" w:eastAsia="Palatino Linotype" w:hAnsi="Palatino Linotype" w:cs="Palatino Linotype"/>
          <w:color w:val="000000" w:themeColor="text1"/>
        </w:rPr>
        <w:t>,</w:t>
      </w:r>
      <w:r w:rsidR="00654D94" w:rsidRPr="00D276AE">
        <w:rPr>
          <w:rFonts w:ascii="Palatino Linotype" w:hAnsi="Palatino Linotype"/>
          <w:color w:val="000000" w:themeColor="text1"/>
        </w:rPr>
        <w:t xml:space="preserve"> </w:t>
      </w:r>
      <w:r w:rsidR="00654D94" w:rsidRPr="00D276AE">
        <w:rPr>
          <w:rFonts w:ascii="Palatino Linotype" w:eastAsia="Palatino Linotype" w:hAnsi="Palatino Linotype" w:cs="Palatino Linotype"/>
          <w:color w:val="000000" w:themeColor="text1"/>
        </w:rPr>
        <w:t xml:space="preserve">en la cual indica que la Dirección General de Administración y Servidora Pública Habilitada, informó que no es competencia de la Dirección General de Administración, toda vez que la información requerida en los términos solicitados no se genera, recopila, administra, procesa, archiva o conserva en esa Unidad Administrativa; así mismo la Tesorería Municipal y Servidor </w:t>
      </w:r>
      <w:r w:rsidR="00654D94" w:rsidRPr="00D276AE">
        <w:rPr>
          <w:rFonts w:ascii="Palatino Linotype" w:eastAsia="Palatino Linotype" w:hAnsi="Palatino Linotype" w:cs="Palatino Linotype"/>
          <w:color w:val="000000" w:themeColor="text1"/>
        </w:rPr>
        <w:lastRenderedPageBreak/>
        <w:t xml:space="preserve">Público Habilitado, informó que se anexa cumplimiento de fecha 19 de marzo de 2025, emitida por el Servicio de Administración Tributaria, la cual se integra considerando que es la documental idónea para evaluar si una persona física o moral está cumpliendo adecuadamente con sus obligaciones fiscales; para su expedición se analiza el cumplimiento en aspectos como la presentación de declaraciones fiscales, pago de impuestos, entrega de información relacionada con impuestos federales, y otras obligaciones tributarias. En este sentido, la opinión de cumplimiento en positiva, refleja que el Municipio de Toluca en su calidad de retenedor ha cumplido de manera satisfactoria con sus obligaciones fiscales, particularmente el entero del Impuesto Sobre la Renta de los  ejercicios fiscales </w:t>
      </w:r>
      <w:r w:rsidR="00EA18FD" w:rsidRPr="00D276AE">
        <w:rPr>
          <w:rFonts w:ascii="Palatino Linotype" w:eastAsia="Palatino Linotype" w:hAnsi="Palatino Linotype" w:cs="Palatino Linotype"/>
          <w:color w:val="000000" w:themeColor="text1"/>
        </w:rPr>
        <w:t xml:space="preserve">2018, 2027 (sic), </w:t>
      </w:r>
      <w:r w:rsidR="00654D94" w:rsidRPr="00D276AE">
        <w:rPr>
          <w:rFonts w:ascii="Palatino Linotype" w:eastAsia="Palatino Linotype" w:hAnsi="Palatino Linotype" w:cs="Palatino Linotype"/>
          <w:color w:val="000000" w:themeColor="text1"/>
        </w:rPr>
        <w:t>20</w:t>
      </w:r>
      <w:r w:rsidR="000D6EE0" w:rsidRPr="00D276AE">
        <w:rPr>
          <w:rFonts w:ascii="Palatino Linotype" w:eastAsia="Palatino Linotype" w:hAnsi="Palatino Linotype" w:cs="Palatino Linotype"/>
          <w:color w:val="000000" w:themeColor="text1"/>
        </w:rPr>
        <w:t>2</w:t>
      </w:r>
      <w:r w:rsidR="00654D94" w:rsidRPr="00D276AE">
        <w:rPr>
          <w:rFonts w:ascii="Palatino Linotype" w:eastAsia="Palatino Linotype" w:hAnsi="Palatino Linotype" w:cs="Palatino Linotype"/>
          <w:color w:val="000000" w:themeColor="text1"/>
        </w:rPr>
        <w:t>9</w:t>
      </w:r>
      <w:r w:rsidR="000D6EE0" w:rsidRPr="00D276AE">
        <w:rPr>
          <w:rFonts w:ascii="Palatino Linotype" w:eastAsia="Palatino Linotype" w:hAnsi="Palatino Linotype" w:cs="Palatino Linotype"/>
          <w:color w:val="000000" w:themeColor="text1"/>
        </w:rPr>
        <w:t>(sic)</w:t>
      </w:r>
      <w:r w:rsidR="00654D94" w:rsidRPr="00D276AE">
        <w:rPr>
          <w:rFonts w:ascii="Palatino Linotype" w:eastAsia="Palatino Linotype" w:hAnsi="Palatino Linotype" w:cs="Palatino Linotype"/>
          <w:color w:val="000000" w:themeColor="text1"/>
        </w:rPr>
        <w:t xml:space="preserve">, </w:t>
      </w:r>
      <w:r w:rsidR="00EA18FD" w:rsidRPr="00D276AE">
        <w:rPr>
          <w:rFonts w:ascii="Palatino Linotype" w:eastAsia="Palatino Linotype" w:hAnsi="Palatino Linotype" w:cs="Palatino Linotype"/>
          <w:color w:val="000000" w:themeColor="text1"/>
        </w:rPr>
        <w:t xml:space="preserve">2020, </w:t>
      </w:r>
      <w:r w:rsidR="00654D94" w:rsidRPr="00D276AE">
        <w:rPr>
          <w:rFonts w:ascii="Palatino Linotype" w:eastAsia="Palatino Linotype" w:hAnsi="Palatino Linotype" w:cs="Palatino Linotype"/>
          <w:color w:val="000000" w:themeColor="text1"/>
        </w:rPr>
        <w:t xml:space="preserve"> 2022</w:t>
      </w:r>
      <w:r w:rsidR="00EA18FD" w:rsidRPr="00D276AE">
        <w:rPr>
          <w:rFonts w:ascii="Palatino Linotype" w:eastAsia="Palatino Linotype" w:hAnsi="Palatino Linotype" w:cs="Palatino Linotype"/>
          <w:color w:val="000000" w:themeColor="text1"/>
        </w:rPr>
        <w:t xml:space="preserve">, 2023, 2025 </w:t>
      </w:r>
      <w:r w:rsidR="00654D94" w:rsidRPr="00D276AE">
        <w:rPr>
          <w:rFonts w:ascii="Palatino Linotype" w:eastAsia="Palatino Linotype" w:hAnsi="Palatino Linotype" w:cs="Palatino Linotype"/>
          <w:color w:val="000000" w:themeColor="text1"/>
        </w:rPr>
        <w:t xml:space="preserve">y anexa el acta de la tricentésima segunda sesión extraordinaria de fecha 24 de marzo 2025 del Comité de Transparencia del Municipio de Toluca, </w:t>
      </w:r>
      <w:r w:rsidR="00EA18FD" w:rsidRPr="00D276AE">
        <w:rPr>
          <w:rFonts w:ascii="Palatino Linotype" w:eastAsia="Palatino Linotype" w:hAnsi="Palatino Linotype" w:cs="Palatino Linotype"/>
          <w:color w:val="000000" w:themeColor="text1"/>
        </w:rPr>
        <w:t xml:space="preserve">la cual contiene la clasificación de la información como confidencial en partes </w:t>
      </w:r>
      <w:r w:rsidR="00654D94" w:rsidRPr="00D276AE">
        <w:rPr>
          <w:rFonts w:ascii="Palatino Linotype" w:eastAsia="Palatino Linotype" w:hAnsi="Palatino Linotype" w:cs="Palatino Linotype"/>
          <w:color w:val="000000" w:themeColor="text1"/>
        </w:rPr>
        <w:t>mediante los acuerdos número CT/SE/302/1</w:t>
      </w:r>
      <w:r w:rsidR="00EA18FD" w:rsidRPr="00D276AE">
        <w:rPr>
          <w:rFonts w:ascii="Palatino Linotype" w:eastAsia="Palatino Linotype" w:hAnsi="Palatino Linotype" w:cs="Palatino Linotype"/>
          <w:color w:val="000000" w:themeColor="text1"/>
        </w:rPr>
        <w:t>8</w:t>
      </w:r>
      <w:r w:rsidR="00654D94" w:rsidRPr="00D276AE">
        <w:rPr>
          <w:rFonts w:ascii="Palatino Linotype" w:eastAsia="Palatino Linotype" w:hAnsi="Palatino Linotype" w:cs="Palatino Linotype"/>
          <w:color w:val="000000" w:themeColor="text1"/>
        </w:rPr>
        <w:t>/2025, CT/SE/302/17/2025</w:t>
      </w:r>
      <w:r w:rsidR="00EA18FD" w:rsidRPr="00D276AE">
        <w:rPr>
          <w:rFonts w:ascii="Palatino Linotype" w:eastAsia="Palatino Linotype" w:hAnsi="Palatino Linotype" w:cs="Palatino Linotype"/>
          <w:color w:val="000000" w:themeColor="text1"/>
        </w:rPr>
        <w:t>, CT/SE/302/16/2025, CT/SE/302/15/2025, CT/SE/302/14/2025, CT/SE/302/12/2025, CT/SE/302/11/2025</w:t>
      </w:r>
      <w:r w:rsidR="00654D94" w:rsidRPr="00D276AE">
        <w:rPr>
          <w:rFonts w:ascii="Palatino Linotype" w:eastAsia="Palatino Linotype" w:hAnsi="Palatino Linotype" w:cs="Palatino Linotype"/>
          <w:color w:val="000000" w:themeColor="text1"/>
        </w:rPr>
        <w:t>.</w:t>
      </w:r>
      <w:r w:rsidR="00EA18FD" w:rsidRPr="00D276AE">
        <w:rPr>
          <w:rFonts w:ascii="Palatino Linotype" w:eastAsia="Palatino Linotype" w:hAnsi="Palatino Linotype" w:cs="Palatino Linotype"/>
          <w:color w:val="000000" w:themeColor="text1"/>
        </w:rPr>
        <w:t xml:space="preserve"> </w:t>
      </w:r>
    </w:p>
    <w:p w14:paraId="33A137B4" w14:textId="77777777" w:rsidR="00EA18FD" w:rsidRPr="00D276AE" w:rsidRDefault="00EA18FD" w:rsidP="00E16D4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7CA6ACBC" w14:textId="77D718F4" w:rsidR="003142E9" w:rsidRPr="00D276AE" w:rsidRDefault="00EA18FD" w:rsidP="00E16D4D">
      <w:pPr>
        <w:pStyle w:val="Prrafodelista"/>
        <w:pBdr>
          <w:top w:val="nil"/>
          <w:left w:val="nil"/>
          <w:bottom w:val="nil"/>
          <w:right w:val="nil"/>
          <w:between w:val="nil"/>
        </w:pBdr>
        <w:tabs>
          <w:tab w:val="left" w:pos="0"/>
        </w:tabs>
        <w:spacing w:line="360" w:lineRule="auto"/>
        <w:ind w:left="0"/>
        <w:jc w:val="both"/>
        <w:rPr>
          <w:rFonts w:ascii="Palatino Linotype" w:hAnsi="Palatino Linotype"/>
          <w:color w:val="000000" w:themeColor="text1"/>
        </w:rPr>
      </w:pPr>
      <w:r w:rsidRPr="00D276AE">
        <w:rPr>
          <w:rFonts w:ascii="Palatino Linotype" w:eastAsia="Palatino Linotype" w:hAnsi="Palatino Linotype" w:cs="Palatino Linotype"/>
          <w:color w:val="000000" w:themeColor="text1"/>
        </w:rPr>
        <w:t>A</w:t>
      </w:r>
      <w:r w:rsidR="00125BCA" w:rsidRPr="00D276AE">
        <w:rPr>
          <w:rFonts w:ascii="Palatino Linotype" w:eastAsia="Palatino Linotype" w:hAnsi="Palatino Linotype" w:cs="Palatino Linotype"/>
          <w:color w:val="000000" w:themeColor="text1"/>
        </w:rPr>
        <w:t xml:space="preserve">djunta </w:t>
      </w:r>
      <w:r w:rsidRPr="00D276AE">
        <w:rPr>
          <w:rFonts w:ascii="Palatino Linotype" w:eastAsia="Palatino Linotype" w:hAnsi="Palatino Linotype" w:cs="Palatino Linotype"/>
          <w:color w:val="000000" w:themeColor="text1"/>
        </w:rPr>
        <w:t>los</w:t>
      </w:r>
      <w:r w:rsidR="00125BCA" w:rsidRPr="00D276AE">
        <w:rPr>
          <w:rFonts w:ascii="Palatino Linotype" w:eastAsia="Palatino Linotype" w:hAnsi="Palatino Linotype" w:cs="Palatino Linotype"/>
          <w:color w:val="000000" w:themeColor="text1"/>
        </w:rPr>
        <w:t xml:space="preserve"> </w:t>
      </w:r>
      <w:r w:rsidR="008E63E2" w:rsidRPr="00D276AE">
        <w:rPr>
          <w:rFonts w:ascii="Palatino Linotype" w:eastAsia="Palatino Linotype" w:hAnsi="Palatino Linotype" w:cs="Palatino Linotype"/>
          <w:color w:val="000000" w:themeColor="text1"/>
        </w:rPr>
        <w:t>archivo denominado</w:t>
      </w:r>
      <w:r w:rsidRPr="00D276AE">
        <w:rPr>
          <w:rFonts w:ascii="Palatino Linotype" w:eastAsia="Palatino Linotype" w:hAnsi="Palatino Linotype" w:cs="Palatino Linotype"/>
          <w:color w:val="000000" w:themeColor="text1"/>
        </w:rPr>
        <w:t>s</w:t>
      </w:r>
      <w:r w:rsidR="008E63E2" w:rsidRPr="00D276AE">
        <w:rPr>
          <w:rFonts w:ascii="Palatino Linotype" w:eastAsia="Palatino Linotype" w:hAnsi="Palatino Linotype" w:cs="Palatino Linotype"/>
          <w:color w:val="000000" w:themeColor="text1"/>
        </w:rPr>
        <w:t xml:space="preserve"> </w:t>
      </w:r>
      <w:r w:rsidRPr="00D276AE">
        <w:rPr>
          <w:rFonts w:ascii="Palatino Linotype" w:eastAsia="Palatino Linotype" w:hAnsi="Palatino Linotype" w:cs="Palatino Linotype"/>
          <w:b/>
          <w:bCs/>
          <w:i/>
          <w:iCs/>
          <w:color w:val="000000" w:themeColor="text1"/>
        </w:rPr>
        <w:t xml:space="preserve">Opinion de cumplimiento .pdf,  R. 01475. 2025.pdf y ACTA TRICENTÉSIMA SEGUNDA SESIÓN EXTRAORDINARIA 2025.pdf, </w:t>
      </w:r>
      <w:r w:rsidR="008E63E2" w:rsidRPr="00D276AE">
        <w:rPr>
          <w:rFonts w:ascii="Palatino Linotype" w:eastAsia="Palatino Linotype" w:hAnsi="Palatino Linotype" w:cs="Palatino Linotype"/>
          <w:color w:val="000000" w:themeColor="text1"/>
        </w:rPr>
        <w:t xml:space="preserve"> cuyo contenido corresponde a</w:t>
      </w:r>
      <w:r w:rsidRPr="00D276AE">
        <w:rPr>
          <w:rFonts w:ascii="Palatino Linotype" w:eastAsia="Palatino Linotype" w:hAnsi="Palatino Linotype" w:cs="Palatino Linotype"/>
          <w:color w:val="000000" w:themeColor="text1"/>
        </w:rPr>
        <w:t xml:space="preserve"> opinión de</w:t>
      </w:r>
      <w:r w:rsidR="008E63E2" w:rsidRPr="00D276AE">
        <w:rPr>
          <w:rFonts w:ascii="Palatino Linotype" w:eastAsia="Palatino Linotype" w:hAnsi="Palatino Linotype" w:cs="Palatino Linotype"/>
          <w:color w:val="000000" w:themeColor="text1"/>
        </w:rPr>
        <w:t xml:space="preserve"> </w:t>
      </w:r>
      <w:r w:rsidRPr="00D276AE">
        <w:rPr>
          <w:rFonts w:ascii="Palatino Linotype" w:eastAsia="Palatino Linotype" w:hAnsi="Palatino Linotype" w:cs="Palatino Linotype"/>
          <w:color w:val="000000" w:themeColor="text1"/>
        </w:rPr>
        <w:t>cumplimiento de fecha 19 de marzo de 2025, emitida por el Servicio de Administración Tributaria, acta de la tricentésima segunda sesión extraordinaria de fecha 24 de marzo 2025 del Comité de Transparencia del Municipio de Toluca y respuesta.</w:t>
      </w:r>
    </w:p>
    <w:p w14:paraId="38C23E35" w14:textId="77777777" w:rsidR="00EA18FD" w:rsidRPr="00D276AE" w:rsidRDefault="00EA18FD" w:rsidP="00E16D4D">
      <w:pPr>
        <w:pStyle w:val="Prrafodelista"/>
        <w:ind w:left="0"/>
        <w:rPr>
          <w:rFonts w:ascii="Palatino Linotype" w:hAnsi="Palatino Linotype"/>
          <w:color w:val="000000" w:themeColor="text1"/>
        </w:rPr>
      </w:pPr>
    </w:p>
    <w:p w14:paraId="35988F67" w14:textId="77777777" w:rsidR="00EA18FD" w:rsidRPr="00D276AE" w:rsidRDefault="00EA18FD" w:rsidP="00E16D4D">
      <w:pPr>
        <w:pStyle w:val="Prrafodelista"/>
        <w:pBdr>
          <w:top w:val="nil"/>
          <w:left w:val="nil"/>
          <w:bottom w:val="nil"/>
          <w:right w:val="nil"/>
          <w:between w:val="nil"/>
        </w:pBdr>
        <w:tabs>
          <w:tab w:val="left" w:pos="0"/>
        </w:tabs>
        <w:spacing w:line="360" w:lineRule="auto"/>
        <w:ind w:left="0"/>
        <w:jc w:val="both"/>
        <w:rPr>
          <w:rFonts w:ascii="Palatino Linotype" w:hAnsi="Palatino Linotype"/>
          <w:color w:val="000000" w:themeColor="text1"/>
        </w:rPr>
      </w:pPr>
    </w:p>
    <w:p w14:paraId="213DA1AF" w14:textId="7212AD27" w:rsidR="00E31311" w:rsidRPr="00D276AE" w:rsidRDefault="00AE1941" w:rsidP="00E16D4D">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276AE">
        <w:rPr>
          <w:rFonts w:ascii="Palatino Linotype" w:eastAsia="Palatino Linotype" w:hAnsi="Palatino Linotype" w:cs="Palatino Linotype"/>
          <w:color w:val="000000" w:themeColor="text1"/>
        </w:rPr>
        <w:lastRenderedPageBreak/>
        <w:t xml:space="preserve">Inconforme con la respuesta el </w:t>
      </w:r>
      <w:r w:rsidR="00EA18FD" w:rsidRPr="00D276AE">
        <w:rPr>
          <w:rFonts w:ascii="Palatino Linotype" w:eastAsia="Palatino Linotype" w:hAnsi="Palatino Linotype" w:cs="Palatino Linotype"/>
          <w:b/>
          <w:color w:val="000000" w:themeColor="text1"/>
        </w:rPr>
        <w:t>treinta de abril</w:t>
      </w:r>
      <w:r w:rsidRPr="00D276AE">
        <w:rPr>
          <w:rFonts w:ascii="Palatino Linotype" w:eastAsia="Palatino Linotype" w:hAnsi="Palatino Linotype" w:cs="Palatino Linotype"/>
          <w:b/>
          <w:color w:val="000000" w:themeColor="text1"/>
        </w:rPr>
        <w:t xml:space="preserve"> del año en curso</w:t>
      </w:r>
      <w:r w:rsidRPr="00D276AE">
        <w:rPr>
          <w:rFonts w:ascii="Palatino Linotype" w:eastAsia="Palatino Linotype" w:hAnsi="Palatino Linotype" w:cs="Palatino Linotype"/>
          <w:color w:val="000000" w:themeColor="text1"/>
        </w:rPr>
        <w:t xml:space="preserve">, </w:t>
      </w:r>
      <w:r w:rsidR="000207B5" w:rsidRPr="00D276AE">
        <w:rPr>
          <w:rFonts w:ascii="Palatino Linotype" w:eastAsia="Palatino Linotype" w:hAnsi="Palatino Linotype" w:cs="Palatino Linotype"/>
          <w:color w:val="000000" w:themeColor="text1"/>
        </w:rPr>
        <w:t>interpuso los</w:t>
      </w:r>
      <w:r w:rsidR="00DF6EAE" w:rsidRPr="00D276AE">
        <w:rPr>
          <w:rFonts w:ascii="Palatino Linotype" w:eastAsia="Palatino Linotype" w:hAnsi="Palatino Linotype" w:cs="Palatino Linotype"/>
          <w:color w:val="000000" w:themeColor="text1"/>
        </w:rPr>
        <w:t xml:space="preserve"> recurso</w:t>
      </w:r>
      <w:r w:rsidR="000207B5" w:rsidRPr="00D276AE">
        <w:rPr>
          <w:rFonts w:ascii="Palatino Linotype" w:eastAsia="Palatino Linotype" w:hAnsi="Palatino Linotype" w:cs="Palatino Linotype"/>
          <w:color w:val="000000" w:themeColor="text1"/>
        </w:rPr>
        <w:t>s</w:t>
      </w:r>
      <w:r w:rsidR="00DF6EAE" w:rsidRPr="00D276AE">
        <w:rPr>
          <w:rFonts w:ascii="Palatino Linotype" w:eastAsia="Palatino Linotype" w:hAnsi="Palatino Linotype" w:cs="Palatino Linotype"/>
          <w:color w:val="000000" w:themeColor="text1"/>
        </w:rPr>
        <w:t xml:space="preserve"> de revisión </w:t>
      </w:r>
      <w:r w:rsidR="000207B5" w:rsidRPr="00D276AE">
        <w:rPr>
          <w:rFonts w:ascii="Palatino Linotype" w:eastAsia="Palatino Linotype" w:hAnsi="Palatino Linotype" w:cs="Palatino Linotype"/>
          <w:color w:val="000000" w:themeColor="text1"/>
        </w:rPr>
        <w:t xml:space="preserve">al rubro indicados </w:t>
      </w:r>
      <w:r w:rsidR="00DF6EAE" w:rsidRPr="00D276AE">
        <w:rPr>
          <w:rFonts w:ascii="Palatino Linotype" w:eastAsia="Palatino Linotype" w:hAnsi="Palatino Linotype" w:cs="Palatino Linotype"/>
          <w:color w:val="000000" w:themeColor="text1"/>
        </w:rPr>
        <w:t>en contra de la respuesta, manifestando las siguientes razones o motivos de inconformidad:</w:t>
      </w:r>
    </w:p>
    <w:p w14:paraId="547073F1" w14:textId="77777777" w:rsidR="00A87FF1" w:rsidRPr="00D276AE" w:rsidRDefault="00A87FF1" w:rsidP="00E16D4D">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5D6503A6" w14:textId="6D142F64" w:rsidR="00E31311" w:rsidRPr="00D276AE" w:rsidRDefault="00DF6EAE"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bookmarkStart w:id="1" w:name="_heading=h.30j0zll" w:colFirst="0" w:colLast="0"/>
      <w:bookmarkEnd w:id="1"/>
      <w:r w:rsidRPr="00D276AE">
        <w:rPr>
          <w:rFonts w:ascii="Palatino Linotype" w:eastAsia="Palatino Linotype" w:hAnsi="Palatino Linotype" w:cs="Palatino Linotype"/>
          <w:b/>
          <w:color w:val="000000" w:themeColor="text1"/>
        </w:rPr>
        <w:t xml:space="preserve">Acto impugnado: </w:t>
      </w:r>
      <w:r w:rsidR="00A87FF1" w:rsidRPr="00D276AE">
        <w:rPr>
          <w:rFonts w:ascii="Palatino Linotype" w:eastAsia="Palatino Linotype" w:hAnsi="Palatino Linotype" w:cs="Palatino Linotype"/>
          <w:i/>
          <w:color w:val="000000" w:themeColor="text1"/>
        </w:rPr>
        <w:t>“</w:t>
      </w:r>
      <w:r w:rsidR="006B1132" w:rsidRPr="00D276AE">
        <w:rPr>
          <w:rFonts w:ascii="Palatino Linotype" w:eastAsia="Palatino Linotype" w:hAnsi="Palatino Linotype" w:cs="Palatino Linotype"/>
          <w:i/>
          <w:color w:val="000000" w:themeColor="text1"/>
          <w:lang w:val="es-MX"/>
        </w:rPr>
        <w:t>La entrega de la información incompleta</w:t>
      </w:r>
      <w:r w:rsidRPr="00D276AE">
        <w:rPr>
          <w:rFonts w:ascii="Palatino Linotype" w:eastAsia="Palatino Linotype" w:hAnsi="Palatino Linotype" w:cs="Palatino Linotype"/>
          <w:i/>
          <w:color w:val="000000" w:themeColor="text1"/>
        </w:rPr>
        <w:t>”</w:t>
      </w:r>
    </w:p>
    <w:p w14:paraId="74DFFED1" w14:textId="77777777" w:rsidR="006B1132" w:rsidRPr="00D276AE" w:rsidRDefault="00DF6EAE" w:rsidP="00E16D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MX"/>
        </w:rPr>
      </w:pPr>
      <w:r w:rsidRPr="00D276AE">
        <w:rPr>
          <w:rFonts w:ascii="Palatino Linotype" w:eastAsia="Palatino Linotype" w:hAnsi="Palatino Linotype" w:cs="Palatino Linotype"/>
          <w:b/>
          <w:color w:val="000000" w:themeColor="text1"/>
        </w:rPr>
        <w:t>Razones o Motivos de Inconformidad:</w:t>
      </w:r>
      <w:r w:rsidR="00A87FF1" w:rsidRPr="00D276AE">
        <w:rPr>
          <w:rFonts w:ascii="Palatino Linotype" w:eastAsia="Palatino Linotype" w:hAnsi="Palatino Linotype" w:cs="Palatino Linotype"/>
          <w:i/>
          <w:color w:val="000000" w:themeColor="text1"/>
        </w:rPr>
        <w:t xml:space="preserve"> “</w:t>
      </w:r>
      <w:r w:rsidR="006B1132" w:rsidRPr="00D276AE">
        <w:rPr>
          <w:rFonts w:ascii="Palatino Linotype" w:eastAsia="Palatino Linotype" w:hAnsi="Palatino Linotype" w:cs="Palatino Linotype"/>
          <w:i/>
          <w:color w:val="000000" w:themeColor="text1"/>
          <w:lang w:val="es-MX"/>
        </w:rPr>
        <w:t>La entrega de la información incompleta</w:t>
      </w:r>
    </w:p>
    <w:p w14:paraId="5BF98962" w14:textId="77777777" w:rsidR="000207B5" w:rsidRPr="00D276AE" w:rsidRDefault="000207B5" w:rsidP="00E16D4D">
      <w:pPr>
        <w:spacing w:line="360" w:lineRule="auto"/>
        <w:jc w:val="both"/>
        <w:rPr>
          <w:rFonts w:ascii="Palatino Linotype" w:eastAsia="Palatino Linotype" w:hAnsi="Palatino Linotype" w:cs="Palatino Linotype"/>
          <w:b/>
          <w:color w:val="000000" w:themeColor="text1"/>
        </w:rPr>
      </w:pPr>
    </w:p>
    <w:p w14:paraId="0B79CC10" w14:textId="77777777" w:rsidR="006B1132" w:rsidRPr="00D276AE" w:rsidRDefault="006B1132" w:rsidP="00E16D4D">
      <w:pPr>
        <w:spacing w:line="360" w:lineRule="auto"/>
        <w:jc w:val="both"/>
        <w:rPr>
          <w:rFonts w:ascii="Palatino Linotype" w:eastAsia="Palatino Linotype" w:hAnsi="Palatino Linotype" w:cs="Palatino Linotype"/>
          <w:b/>
          <w:color w:val="000000" w:themeColor="text1"/>
        </w:rPr>
      </w:pPr>
    </w:p>
    <w:tbl>
      <w:tblPr>
        <w:tblStyle w:val="Tablaconcuadrcula"/>
        <w:tblW w:w="0" w:type="auto"/>
        <w:tblLook w:val="04A0" w:firstRow="1" w:lastRow="0" w:firstColumn="1" w:lastColumn="0" w:noHBand="0" w:noVBand="1"/>
      </w:tblPr>
      <w:tblGrid>
        <w:gridCol w:w="4460"/>
        <w:gridCol w:w="4461"/>
      </w:tblGrid>
      <w:tr w:rsidR="00E16D4D" w:rsidRPr="00D276AE" w14:paraId="3BCE7F75" w14:textId="77777777" w:rsidTr="006B1132">
        <w:tc>
          <w:tcPr>
            <w:tcW w:w="4460" w:type="dxa"/>
          </w:tcPr>
          <w:p w14:paraId="1B751137" w14:textId="75CB5C79" w:rsidR="006B1132" w:rsidRPr="00D276AE" w:rsidRDefault="006B1132" w:rsidP="00E16D4D">
            <w:pPr>
              <w:spacing w:line="360" w:lineRule="auto"/>
              <w:jc w:val="center"/>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RECURSO</w:t>
            </w:r>
          </w:p>
        </w:tc>
        <w:tc>
          <w:tcPr>
            <w:tcW w:w="4461" w:type="dxa"/>
          </w:tcPr>
          <w:p w14:paraId="75223169" w14:textId="5AFAB7E7" w:rsidR="006B1132" w:rsidRPr="00D276AE" w:rsidRDefault="006B1132" w:rsidP="00E16D4D">
            <w:pPr>
              <w:spacing w:line="360" w:lineRule="auto"/>
              <w:jc w:val="center"/>
              <w:rPr>
                <w:rFonts w:ascii="Palatino Linotype" w:eastAsia="Palatino Linotype" w:hAnsi="Palatino Linotype" w:cs="Palatino Linotype"/>
                <w:b/>
                <w:bCs/>
                <w:color w:val="000000" w:themeColor="text1"/>
              </w:rPr>
            </w:pPr>
            <w:r w:rsidRPr="00D276AE">
              <w:rPr>
                <w:rFonts w:ascii="Palatino Linotype" w:eastAsia="Palatino Linotype" w:hAnsi="Palatino Linotype" w:cs="Palatino Linotype"/>
                <w:b/>
                <w:bCs/>
                <w:color w:val="000000" w:themeColor="text1"/>
              </w:rPr>
              <w:t>RAZONES O MOTIVOS DE INCONFORMIDAD</w:t>
            </w:r>
          </w:p>
        </w:tc>
      </w:tr>
      <w:tr w:rsidR="00E16D4D" w:rsidRPr="00D276AE" w14:paraId="77CB819C" w14:textId="77777777" w:rsidTr="006B1132">
        <w:tc>
          <w:tcPr>
            <w:tcW w:w="4460" w:type="dxa"/>
          </w:tcPr>
          <w:p w14:paraId="7BFC7E25" w14:textId="384A1A83" w:rsidR="006B1132" w:rsidRPr="00D276AE" w:rsidRDefault="006B1132" w:rsidP="00E16D4D">
            <w:pP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04973/INFOEM/IP/RR/2025</w:t>
            </w:r>
          </w:p>
        </w:tc>
        <w:tc>
          <w:tcPr>
            <w:tcW w:w="4461" w:type="dxa"/>
          </w:tcPr>
          <w:p w14:paraId="1A8C7DEA" w14:textId="77777777"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 xml:space="preserve">Acto impugnado: </w:t>
            </w:r>
            <w:r w:rsidRPr="00D276AE">
              <w:rPr>
                <w:rFonts w:ascii="Palatino Linotype" w:eastAsia="Palatino Linotype" w:hAnsi="Palatino Linotype" w:cs="Palatino Linotype"/>
                <w:bCs/>
                <w:i/>
                <w:iCs/>
                <w:color w:val="000000" w:themeColor="text1"/>
                <w:lang w:val="es-MX"/>
              </w:rPr>
              <w:t>“La entrega de la información incompleta”</w:t>
            </w:r>
          </w:p>
          <w:p w14:paraId="20805F0F" w14:textId="1E5389BE"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 xml:space="preserve">Razones o Motivos de Inconformidad: </w:t>
            </w:r>
            <w:r w:rsidRPr="00D276AE">
              <w:rPr>
                <w:rFonts w:ascii="Palatino Linotype" w:eastAsia="Palatino Linotype" w:hAnsi="Palatino Linotype" w:cs="Palatino Linotype"/>
                <w:bCs/>
                <w:i/>
                <w:iCs/>
                <w:color w:val="000000" w:themeColor="text1"/>
                <w:lang w:val="es-MX"/>
              </w:rPr>
              <w:t>“La entrega de la información incompleta”</w:t>
            </w:r>
          </w:p>
        </w:tc>
      </w:tr>
      <w:tr w:rsidR="00E16D4D" w:rsidRPr="00D276AE" w14:paraId="72255099" w14:textId="77777777" w:rsidTr="006B1132">
        <w:tc>
          <w:tcPr>
            <w:tcW w:w="4460" w:type="dxa"/>
          </w:tcPr>
          <w:p w14:paraId="55384298" w14:textId="516AC383" w:rsidR="006B1132" w:rsidRPr="00D276AE" w:rsidRDefault="006B1132" w:rsidP="00E16D4D">
            <w:pP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04974/INFOEM/IP/RR/2025</w:t>
            </w:r>
          </w:p>
        </w:tc>
        <w:tc>
          <w:tcPr>
            <w:tcW w:w="4461" w:type="dxa"/>
          </w:tcPr>
          <w:p w14:paraId="4E88882B" w14:textId="2E9907E0"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 xml:space="preserve">Acto impugnado: </w:t>
            </w:r>
            <w:r w:rsidRPr="00D276AE">
              <w:rPr>
                <w:rFonts w:ascii="Palatino Linotype" w:eastAsia="Palatino Linotype" w:hAnsi="Palatino Linotype" w:cs="Palatino Linotype"/>
                <w:bCs/>
                <w:i/>
                <w:iCs/>
                <w:color w:val="000000" w:themeColor="text1"/>
                <w:lang w:val="es-MX"/>
              </w:rPr>
              <w:t>“La respuesta no entrega lo solicitado”</w:t>
            </w:r>
          </w:p>
          <w:p w14:paraId="0BE7A19C" w14:textId="502F91D2"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Razones o Motivos de Inconformidad:</w:t>
            </w:r>
          </w:p>
          <w:p w14:paraId="6A5FA40C" w14:textId="5433491C" w:rsidR="006B1132" w:rsidRPr="00D276AE" w:rsidRDefault="006B1132" w:rsidP="00E16D4D">
            <w:pP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Cs/>
                <w:i/>
                <w:iCs/>
                <w:color w:val="000000" w:themeColor="text1"/>
                <w:lang w:val="es-MX"/>
              </w:rPr>
              <w:t>“No entrega todo lo solicitado”</w:t>
            </w:r>
          </w:p>
        </w:tc>
      </w:tr>
      <w:tr w:rsidR="00E16D4D" w:rsidRPr="00D276AE" w14:paraId="5C8CC318" w14:textId="77777777" w:rsidTr="006B1132">
        <w:tc>
          <w:tcPr>
            <w:tcW w:w="4460" w:type="dxa"/>
          </w:tcPr>
          <w:p w14:paraId="1C920189" w14:textId="5DC10ED9" w:rsidR="006B1132" w:rsidRPr="00D276AE" w:rsidRDefault="006B1132" w:rsidP="00E16D4D">
            <w:pP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04975/INFOEM/IP/RR/2025</w:t>
            </w:r>
          </w:p>
        </w:tc>
        <w:tc>
          <w:tcPr>
            <w:tcW w:w="4461" w:type="dxa"/>
          </w:tcPr>
          <w:p w14:paraId="5E91DD26" w14:textId="74C1E354"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 xml:space="preserve">Acto impugnado: </w:t>
            </w:r>
            <w:r w:rsidRPr="00D276AE">
              <w:rPr>
                <w:rFonts w:ascii="Palatino Linotype" w:eastAsia="Palatino Linotype" w:hAnsi="Palatino Linotype" w:cs="Palatino Linotype"/>
                <w:bCs/>
                <w:i/>
                <w:iCs/>
                <w:color w:val="000000" w:themeColor="text1"/>
                <w:lang w:val="es-MX"/>
              </w:rPr>
              <w:t>“La respuesta no entrega lo solicitado”</w:t>
            </w:r>
          </w:p>
          <w:p w14:paraId="2851934D" w14:textId="7E92561C" w:rsidR="006B1132" w:rsidRPr="00D276AE" w:rsidRDefault="006B1132" w:rsidP="00E16D4D">
            <w:pPr>
              <w:spacing w:line="360" w:lineRule="auto"/>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lang w:val="es-MX"/>
              </w:rPr>
              <w:t xml:space="preserve">Razones o Motivos de Inconformidad: </w:t>
            </w:r>
            <w:r w:rsidRPr="00D276AE">
              <w:rPr>
                <w:rFonts w:ascii="Palatino Linotype" w:eastAsia="Palatino Linotype" w:hAnsi="Palatino Linotype" w:cs="Palatino Linotype"/>
                <w:bCs/>
                <w:i/>
                <w:iCs/>
                <w:color w:val="000000" w:themeColor="text1"/>
                <w:lang w:val="es-MX"/>
              </w:rPr>
              <w:t>“No entrega la información solicitada”</w:t>
            </w:r>
          </w:p>
        </w:tc>
      </w:tr>
      <w:tr w:rsidR="00E16D4D" w:rsidRPr="00D276AE" w14:paraId="391B6CC7" w14:textId="77777777" w:rsidTr="006B1132">
        <w:tc>
          <w:tcPr>
            <w:tcW w:w="4460" w:type="dxa"/>
          </w:tcPr>
          <w:p w14:paraId="1F254C8F" w14:textId="07DB5009" w:rsidR="006B1132" w:rsidRPr="00D276AE" w:rsidRDefault="006B1132" w:rsidP="00E16D4D">
            <w:pPr>
              <w:spacing w:line="360" w:lineRule="auto"/>
              <w:jc w:val="both"/>
              <w:rPr>
                <w:rFonts w:ascii="Palatino Linotype" w:eastAsia="Palatino Linotype" w:hAnsi="Palatino Linotype" w:cs="Palatino Linotype"/>
                <w:b/>
                <w:color w:val="000000" w:themeColor="text1"/>
                <w:lang w:val="en-US"/>
              </w:rPr>
            </w:pPr>
            <w:r w:rsidRPr="00D276AE">
              <w:rPr>
                <w:rFonts w:ascii="Palatino Linotype" w:eastAsia="Palatino Linotype" w:hAnsi="Palatino Linotype" w:cs="Palatino Linotype"/>
                <w:b/>
                <w:color w:val="000000" w:themeColor="text1"/>
                <w:lang w:val="en-US"/>
              </w:rPr>
              <w:t>04976/INFOEM/IP/RR/2025</w:t>
            </w:r>
          </w:p>
        </w:tc>
        <w:tc>
          <w:tcPr>
            <w:tcW w:w="4461" w:type="dxa"/>
          </w:tcPr>
          <w:p w14:paraId="4CA19837" w14:textId="77777777"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 xml:space="preserve">Acto impugnado: </w:t>
            </w:r>
            <w:r w:rsidRPr="00D276AE">
              <w:rPr>
                <w:rFonts w:ascii="Palatino Linotype" w:eastAsia="Palatino Linotype" w:hAnsi="Palatino Linotype" w:cs="Palatino Linotype"/>
                <w:bCs/>
                <w:i/>
                <w:iCs/>
                <w:color w:val="000000" w:themeColor="text1"/>
                <w:lang w:val="es-MX"/>
              </w:rPr>
              <w:t>“La respuesta no entrega lo solicitado”</w:t>
            </w:r>
          </w:p>
          <w:p w14:paraId="74F6BF72" w14:textId="12D0C784"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lastRenderedPageBreak/>
              <w:t xml:space="preserve">Razones o Motivos de Inconformidad: </w:t>
            </w:r>
            <w:r w:rsidRPr="00D276AE">
              <w:rPr>
                <w:rFonts w:ascii="Palatino Linotype" w:eastAsia="Palatino Linotype" w:hAnsi="Palatino Linotype" w:cs="Palatino Linotype"/>
                <w:bCs/>
                <w:i/>
                <w:iCs/>
                <w:color w:val="000000" w:themeColor="text1"/>
                <w:lang w:val="es-MX"/>
              </w:rPr>
              <w:t>“La entrega de la información incompleta”</w:t>
            </w:r>
          </w:p>
        </w:tc>
      </w:tr>
      <w:tr w:rsidR="00E16D4D" w:rsidRPr="00D276AE" w14:paraId="2158F08B" w14:textId="77777777" w:rsidTr="006B1132">
        <w:tc>
          <w:tcPr>
            <w:tcW w:w="4460" w:type="dxa"/>
          </w:tcPr>
          <w:p w14:paraId="6C28EB94" w14:textId="7667CF11" w:rsidR="006B1132" w:rsidRPr="00D276AE" w:rsidRDefault="006B1132" w:rsidP="00E16D4D">
            <w:pPr>
              <w:spacing w:line="360" w:lineRule="auto"/>
              <w:jc w:val="both"/>
              <w:rPr>
                <w:rFonts w:ascii="Palatino Linotype" w:eastAsia="Palatino Linotype" w:hAnsi="Palatino Linotype" w:cs="Palatino Linotype"/>
                <w:b/>
                <w:color w:val="000000" w:themeColor="text1"/>
                <w:lang w:val="en-US"/>
              </w:rPr>
            </w:pPr>
            <w:r w:rsidRPr="00D276AE">
              <w:rPr>
                <w:rFonts w:ascii="Palatino Linotype" w:eastAsia="Palatino Linotype" w:hAnsi="Palatino Linotype" w:cs="Palatino Linotype"/>
                <w:b/>
                <w:color w:val="000000" w:themeColor="text1"/>
                <w:lang w:val="en-US"/>
              </w:rPr>
              <w:lastRenderedPageBreak/>
              <w:t>04977/INFOEM/IP/RR/2025</w:t>
            </w:r>
          </w:p>
        </w:tc>
        <w:tc>
          <w:tcPr>
            <w:tcW w:w="4461" w:type="dxa"/>
          </w:tcPr>
          <w:p w14:paraId="7BBAEAD9" w14:textId="77777777"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 xml:space="preserve">Acto impugnado: </w:t>
            </w:r>
            <w:r w:rsidRPr="00D276AE">
              <w:rPr>
                <w:rFonts w:ascii="Palatino Linotype" w:eastAsia="Palatino Linotype" w:hAnsi="Palatino Linotype" w:cs="Palatino Linotype"/>
                <w:bCs/>
                <w:i/>
                <w:iCs/>
                <w:color w:val="000000" w:themeColor="text1"/>
                <w:lang w:val="es-MX"/>
              </w:rPr>
              <w:t>“La respuesta no entrega lo solicitado”</w:t>
            </w:r>
          </w:p>
          <w:p w14:paraId="78E26C12" w14:textId="4CD07D25"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 xml:space="preserve">Razones o Motivos de Inconformidad: </w:t>
            </w:r>
            <w:r w:rsidRPr="00D276AE">
              <w:rPr>
                <w:rFonts w:ascii="Palatino Linotype" w:eastAsia="Palatino Linotype" w:hAnsi="Palatino Linotype" w:cs="Palatino Linotype"/>
                <w:bCs/>
                <w:i/>
                <w:iCs/>
                <w:color w:val="000000" w:themeColor="text1"/>
                <w:lang w:val="es-MX"/>
              </w:rPr>
              <w:t>“La entrega de la información incompleta”</w:t>
            </w:r>
          </w:p>
        </w:tc>
      </w:tr>
      <w:tr w:rsidR="00E16D4D" w:rsidRPr="00D276AE" w14:paraId="1BEBAFD6" w14:textId="77777777" w:rsidTr="006B1132">
        <w:tc>
          <w:tcPr>
            <w:tcW w:w="4460" w:type="dxa"/>
          </w:tcPr>
          <w:p w14:paraId="04FBC144" w14:textId="0B701DFE" w:rsidR="006B1132" w:rsidRPr="00D276AE" w:rsidRDefault="006B1132" w:rsidP="00E16D4D">
            <w:pPr>
              <w:spacing w:line="360" w:lineRule="auto"/>
              <w:jc w:val="both"/>
              <w:rPr>
                <w:rFonts w:ascii="Palatino Linotype" w:eastAsia="Palatino Linotype" w:hAnsi="Palatino Linotype" w:cs="Palatino Linotype"/>
                <w:b/>
                <w:color w:val="000000" w:themeColor="text1"/>
                <w:lang w:val="en-US"/>
              </w:rPr>
            </w:pPr>
            <w:r w:rsidRPr="00D276AE">
              <w:rPr>
                <w:rFonts w:ascii="Palatino Linotype" w:eastAsia="Palatino Linotype" w:hAnsi="Palatino Linotype" w:cs="Palatino Linotype"/>
                <w:b/>
                <w:color w:val="000000" w:themeColor="text1"/>
                <w:lang w:val="en-US"/>
              </w:rPr>
              <w:t xml:space="preserve">04978/INFOEM/IP/RR/2025 </w:t>
            </w:r>
          </w:p>
        </w:tc>
        <w:tc>
          <w:tcPr>
            <w:tcW w:w="4461" w:type="dxa"/>
          </w:tcPr>
          <w:p w14:paraId="748CF5E7" w14:textId="77777777" w:rsidR="006B1132" w:rsidRPr="00D276AE" w:rsidRDefault="006B1132" w:rsidP="00E16D4D">
            <w:pPr>
              <w:spacing w:line="360" w:lineRule="auto"/>
              <w:jc w:val="both"/>
              <w:rPr>
                <w:rFonts w:ascii="Palatino Linotype" w:eastAsia="Palatino Linotype" w:hAnsi="Palatino Linotype" w:cs="Palatino Linotype"/>
                <w:bCs/>
                <w:i/>
                <w:iCs/>
                <w:color w:val="000000" w:themeColor="text1"/>
                <w:lang w:val="es-MX"/>
              </w:rPr>
            </w:pPr>
            <w:r w:rsidRPr="00D276AE">
              <w:rPr>
                <w:rFonts w:ascii="Palatino Linotype" w:eastAsia="Palatino Linotype" w:hAnsi="Palatino Linotype" w:cs="Palatino Linotype"/>
                <w:b/>
                <w:color w:val="000000" w:themeColor="text1"/>
                <w:lang w:val="es-MX"/>
              </w:rPr>
              <w:t xml:space="preserve">Acto impugnado: </w:t>
            </w:r>
            <w:r w:rsidRPr="00D276AE">
              <w:rPr>
                <w:rFonts w:ascii="Palatino Linotype" w:eastAsia="Palatino Linotype" w:hAnsi="Palatino Linotype" w:cs="Palatino Linotype"/>
                <w:bCs/>
                <w:i/>
                <w:iCs/>
                <w:color w:val="000000" w:themeColor="text1"/>
                <w:lang w:val="es-MX"/>
              </w:rPr>
              <w:t>“La entrega de la información incompleta”</w:t>
            </w:r>
          </w:p>
          <w:p w14:paraId="4931F0B2" w14:textId="5EC28977"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 xml:space="preserve">Razones o Motivos de Inconformidad: </w:t>
            </w:r>
            <w:r w:rsidRPr="00D276AE">
              <w:rPr>
                <w:rFonts w:ascii="Palatino Linotype" w:eastAsia="Palatino Linotype" w:hAnsi="Palatino Linotype" w:cs="Palatino Linotype"/>
                <w:bCs/>
                <w:i/>
                <w:iCs/>
                <w:color w:val="000000" w:themeColor="text1"/>
                <w:lang w:val="es-MX"/>
              </w:rPr>
              <w:t>“La entrega de la información incompleta”</w:t>
            </w:r>
          </w:p>
        </w:tc>
      </w:tr>
      <w:tr w:rsidR="006B1132" w:rsidRPr="00D276AE" w14:paraId="71BB63C1" w14:textId="77777777" w:rsidTr="006B1132">
        <w:tc>
          <w:tcPr>
            <w:tcW w:w="4460" w:type="dxa"/>
          </w:tcPr>
          <w:p w14:paraId="5B27B212" w14:textId="096DF919" w:rsidR="006B1132" w:rsidRPr="00D276AE" w:rsidRDefault="006B1132" w:rsidP="00E16D4D">
            <w:pPr>
              <w:spacing w:line="360" w:lineRule="auto"/>
              <w:jc w:val="both"/>
              <w:rPr>
                <w:rFonts w:ascii="Palatino Linotype" w:eastAsia="Palatino Linotype" w:hAnsi="Palatino Linotype" w:cs="Palatino Linotype"/>
                <w:b/>
                <w:color w:val="000000" w:themeColor="text1"/>
                <w:lang w:val="en-US"/>
              </w:rPr>
            </w:pPr>
            <w:r w:rsidRPr="00D276AE">
              <w:rPr>
                <w:rFonts w:ascii="Palatino Linotype" w:eastAsia="Palatino Linotype" w:hAnsi="Palatino Linotype" w:cs="Palatino Linotype"/>
                <w:b/>
                <w:color w:val="000000" w:themeColor="text1"/>
                <w:lang w:val="en-US"/>
              </w:rPr>
              <w:t>04979/INFOEM/IP/RR/2025</w:t>
            </w:r>
          </w:p>
        </w:tc>
        <w:tc>
          <w:tcPr>
            <w:tcW w:w="4461" w:type="dxa"/>
          </w:tcPr>
          <w:p w14:paraId="40228380" w14:textId="77777777" w:rsidR="006B1132" w:rsidRPr="00D276AE" w:rsidRDefault="006B1132" w:rsidP="00E16D4D">
            <w:pPr>
              <w:spacing w:line="360" w:lineRule="auto"/>
              <w:jc w:val="both"/>
              <w:rPr>
                <w:rFonts w:ascii="Palatino Linotype" w:eastAsia="Palatino Linotype" w:hAnsi="Palatino Linotype" w:cs="Palatino Linotype"/>
                <w:bCs/>
                <w:i/>
                <w:iCs/>
                <w:color w:val="000000" w:themeColor="text1"/>
                <w:lang w:val="es-MX"/>
              </w:rPr>
            </w:pPr>
            <w:r w:rsidRPr="00D276AE">
              <w:rPr>
                <w:rFonts w:ascii="Palatino Linotype" w:eastAsia="Palatino Linotype" w:hAnsi="Palatino Linotype" w:cs="Palatino Linotype"/>
                <w:b/>
                <w:color w:val="000000" w:themeColor="text1"/>
                <w:lang w:val="es-MX"/>
              </w:rPr>
              <w:t xml:space="preserve">Acto impugnado: </w:t>
            </w:r>
            <w:r w:rsidRPr="00D276AE">
              <w:rPr>
                <w:rFonts w:ascii="Palatino Linotype" w:eastAsia="Palatino Linotype" w:hAnsi="Palatino Linotype" w:cs="Palatino Linotype"/>
                <w:bCs/>
                <w:i/>
                <w:iCs/>
                <w:color w:val="000000" w:themeColor="text1"/>
                <w:lang w:val="es-MX"/>
              </w:rPr>
              <w:t>“La entrega de la información incompleta”</w:t>
            </w:r>
          </w:p>
          <w:p w14:paraId="1CE7552D" w14:textId="071B8F75"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r w:rsidRPr="00D276AE">
              <w:rPr>
                <w:rFonts w:ascii="Palatino Linotype" w:eastAsia="Palatino Linotype" w:hAnsi="Palatino Linotype" w:cs="Palatino Linotype"/>
                <w:b/>
                <w:color w:val="000000" w:themeColor="text1"/>
                <w:lang w:val="es-MX"/>
              </w:rPr>
              <w:t xml:space="preserve">Razones o Motivos de Inconformidad: </w:t>
            </w:r>
            <w:r w:rsidRPr="00D276AE">
              <w:rPr>
                <w:rFonts w:ascii="Palatino Linotype" w:eastAsia="Palatino Linotype" w:hAnsi="Palatino Linotype" w:cs="Palatino Linotype"/>
                <w:bCs/>
                <w:i/>
                <w:iCs/>
                <w:color w:val="000000" w:themeColor="text1"/>
                <w:lang w:val="es-MX"/>
              </w:rPr>
              <w:t>“La entrega de la información incompleta”</w:t>
            </w:r>
          </w:p>
        </w:tc>
      </w:tr>
    </w:tbl>
    <w:p w14:paraId="50140338" w14:textId="77777777" w:rsidR="006B1132" w:rsidRPr="00D276AE" w:rsidRDefault="006B1132" w:rsidP="00E16D4D">
      <w:pPr>
        <w:spacing w:line="360" w:lineRule="auto"/>
        <w:jc w:val="both"/>
        <w:rPr>
          <w:rFonts w:ascii="Palatino Linotype" w:eastAsia="Palatino Linotype" w:hAnsi="Palatino Linotype" w:cs="Palatino Linotype"/>
          <w:b/>
          <w:color w:val="000000" w:themeColor="text1"/>
          <w:lang w:val="es-MX"/>
        </w:rPr>
      </w:pPr>
    </w:p>
    <w:p w14:paraId="3AA39A19" w14:textId="77777777" w:rsidR="005B1F76" w:rsidRPr="00D276AE" w:rsidRDefault="00DF6EAE" w:rsidP="00E16D4D">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276AE">
        <w:rPr>
          <w:rFonts w:ascii="Palatino Linotype" w:eastAsia="Palatino Linotype" w:hAnsi="Palatino Linotype" w:cs="Palatino Linotype"/>
          <w:color w:val="000000" w:themeColor="text1"/>
        </w:rPr>
        <w:t>L</w:t>
      </w:r>
      <w:r w:rsidR="006B1132" w:rsidRPr="00D276AE">
        <w:rPr>
          <w:rFonts w:ascii="Palatino Linotype" w:eastAsia="Palatino Linotype" w:hAnsi="Palatino Linotype" w:cs="Palatino Linotype"/>
          <w:color w:val="000000" w:themeColor="text1"/>
        </w:rPr>
        <w:t>os</w:t>
      </w:r>
      <w:r w:rsidRPr="00D276AE">
        <w:rPr>
          <w:rFonts w:ascii="Palatino Linotype" w:eastAsia="Palatino Linotype" w:hAnsi="Palatino Linotype" w:cs="Palatino Linotype"/>
          <w:color w:val="000000" w:themeColor="text1"/>
        </w:rPr>
        <w:t xml:space="preserve"> Comisionad</w:t>
      </w:r>
      <w:r w:rsidR="006B1132" w:rsidRPr="00D276AE">
        <w:rPr>
          <w:rFonts w:ascii="Palatino Linotype" w:eastAsia="Palatino Linotype" w:hAnsi="Palatino Linotype" w:cs="Palatino Linotype"/>
          <w:color w:val="000000" w:themeColor="text1"/>
        </w:rPr>
        <w:t>os</w:t>
      </w:r>
      <w:r w:rsidRPr="00D276AE">
        <w:rPr>
          <w:rFonts w:ascii="Palatino Linotype" w:eastAsia="Palatino Linotype" w:hAnsi="Palatino Linotype" w:cs="Palatino Linotype"/>
          <w:color w:val="000000" w:themeColor="text1"/>
        </w:rPr>
        <w:t xml:space="preserve">  con fundamento en lo dispuesto por el artículo 185 fracción II de la ley de la materia, a través del </w:t>
      </w:r>
      <w:r w:rsidR="006B1132" w:rsidRPr="00D276AE">
        <w:rPr>
          <w:rFonts w:ascii="Palatino Linotype" w:eastAsia="Palatino Linotype" w:hAnsi="Palatino Linotype" w:cs="Palatino Linotype"/>
          <w:color w:val="000000" w:themeColor="text1"/>
        </w:rPr>
        <w:t xml:space="preserve">diversos </w:t>
      </w:r>
      <w:r w:rsidRPr="00D276AE">
        <w:rPr>
          <w:rFonts w:ascii="Palatino Linotype" w:eastAsia="Palatino Linotype" w:hAnsi="Palatino Linotype" w:cs="Palatino Linotype"/>
          <w:color w:val="000000" w:themeColor="text1"/>
        </w:rPr>
        <w:t>a</w:t>
      </w:r>
      <w:r w:rsidR="00A87FF1" w:rsidRPr="00D276AE">
        <w:rPr>
          <w:rFonts w:ascii="Palatino Linotype" w:eastAsia="Palatino Linotype" w:hAnsi="Palatino Linotype" w:cs="Palatino Linotype"/>
          <w:color w:val="000000" w:themeColor="text1"/>
        </w:rPr>
        <w:t>cuerdo</w:t>
      </w:r>
      <w:r w:rsidR="005B1F76" w:rsidRPr="00D276AE">
        <w:rPr>
          <w:rFonts w:ascii="Palatino Linotype" w:eastAsia="Palatino Linotype" w:hAnsi="Palatino Linotype" w:cs="Palatino Linotype"/>
          <w:color w:val="000000" w:themeColor="text1"/>
        </w:rPr>
        <w:t>s</w:t>
      </w:r>
      <w:r w:rsidR="00A87FF1" w:rsidRPr="00D276AE">
        <w:rPr>
          <w:rFonts w:ascii="Palatino Linotype" w:eastAsia="Palatino Linotype" w:hAnsi="Palatino Linotype" w:cs="Palatino Linotype"/>
          <w:color w:val="000000" w:themeColor="text1"/>
        </w:rPr>
        <w:t xml:space="preserve"> de admisión de fecha</w:t>
      </w:r>
      <w:r w:rsidR="005B1F76" w:rsidRPr="00D276AE">
        <w:rPr>
          <w:rFonts w:ascii="Palatino Linotype" w:eastAsia="Palatino Linotype" w:hAnsi="Palatino Linotype" w:cs="Palatino Linotype"/>
          <w:color w:val="000000" w:themeColor="text1"/>
        </w:rPr>
        <w:t>s</w:t>
      </w:r>
      <w:r w:rsidR="00A87FF1" w:rsidRPr="00D276AE">
        <w:rPr>
          <w:rFonts w:ascii="Palatino Linotype" w:eastAsia="Palatino Linotype" w:hAnsi="Palatino Linotype" w:cs="Palatino Linotype"/>
          <w:color w:val="000000" w:themeColor="text1"/>
        </w:rPr>
        <w:t xml:space="preserve"> </w:t>
      </w:r>
      <w:r w:rsidR="005B1F76" w:rsidRPr="00D276AE">
        <w:rPr>
          <w:rFonts w:ascii="Palatino Linotype" w:eastAsia="Palatino Linotype" w:hAnsi="Palatino Linotype" w:cs="Palatino Linotype"/>
          <w:b/>
          <w:bCs/>
          <w:color w:val="000000" w:themeColor="text1"/>
        </w:rPr>
        <w:t>seis, siete y ocho de mayo</w:t>
      </w:r>
      <w:r w:rsidRPr="00D276AE">
        <w:rPr>
          <w:rFonts w:ascii="Palatino Linotype" w:eastAsia="Palatino Linotype" w:hAnsi="Palatino Linotype" w:cs="Palatino Linotype"/>
          <w:b/>
          <w:bCs/>
          <w:color w:val="000000" w:themeColor="text1"/>
        </w:rPr>
        <w:t xml:space="preserve"> </w:t>
      </w:r>
      <w:r w:rsidR="002008D5" w:rsidRPr="00D276AE">
        <w:rPr>
          <w:rFonts w:ascii="Palatino Linotype" w:eastAsia="Palatino Linotype" w:hAnsi="Palatino Linotype" w:cs="Palatino Linotype"/>
          <w:b/>
          <w:bCs/>
          <w:color w:val="000000" w:themeColor="text1"/>
        </w:rPr>
        <w:t>de dos mil veinticinc</w:t>
      </w:r>
      <w:r w:rsidRPr="00D276AE">
        <w:rPr>
          <w:rFonts w:ascii="Palatino Linotype" w:eastAsia="Palatino Linotype" w:hAnsi="Palatino Linotype" w:cs="Palatino Linotype"/>
          <w:b/>
          <w:bCs/>
          <w:color w:val="000000" w:themeColor="text1"/>
        </w:rPr>
        <w:t>o</w:t>
      </w:r>
      <w:r w:rsidRPr="00D276AE">
        <w:rPr>
          <w:rFonts w:ascii="Palatino Linotype" w:eastAsia="Palatino Linotype" w:hAnsi="Palatino Linotype" w:cs="Palatino Linotype"/>
          <w:color w:val="000000" w:themeColor="text1"/>
        </w:rPr>
        <w:t>, pus</w:t>
      </w:r>
      <w:r w:rsidR="005B1F76" w:rsidRPr="00D276AE">
        <w:rPr>
          <w:rFonts w:ascii="Palatino Linotype" w:eastAsia="Palatino Linotype" w:hAnsi="Palatino Linotype" w:cs="Palatino Linotype"/>
          <w:color w:val="000000" w:themeColor="text1"/>
        </w:rPr>
        <w:t>ieron</w:t>
      </w:r>
      <w:r w:rsidRPr="00D276AE">
        <w:rPr>
          <w:rFonts w:ascii="Palatino Linotype" w:eastAsia="Palatino Linotype" w:hAnsi="Palatino Linotype" w:cs="Palatino Linotype"/>
          <w:color w:val="000000" w:themeColor="text1"/>
        </w:rPr>
        <w:t xml:space="preserve"> a disposición de las partes el expediente electrónico vía </w:t>
      </w:r>
      <w:r w:rsidRPr="00D276AE">
        <w:rPr>
          <w:rFonts w:ascii="Palatino Linotype" w:eastAsia="Palatino Linotype" w:hAnsi="Palatino Linotype" w:cs="Palatino Linotype"/>
          <w:b/>
          <w:color w:val="000000" w:themeColor="text1"/>
        </w:rPr>
        <w:t xml:space="preserve">SAIMEX </w:t>
      </w:r>
      <w:r w:rsidRPr="00D276AE">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D276AE">
        <w:rPr>
          <w:rFonts w:ascii="Palatino Linotype" w:eastAsia="Palatino Linotype" w:hAnsi="Palatino Linotype" w:cs="Palatino Linotype"/>
          <w:b/>
          <w:color w:val="000000" w:themeColor="text1"/>
        </w:rPr>
        <w:t>SUJETO OBLIGADO</w:t>
      </w:r>
      <w:r w:rsidRPr="00D276AE">
        <w:rPr>
          <w:rFonts w:ascii="Palatino Linotype" w:eastAsia="Palatino Linotype" w:hAnsi="Palatino Linotype" w:cs="Palatino Linotype"/>
          <w:color w:val="000000" w:themeColor="text1"/>
        </w:rPr>
        <w:t xml:space="preserve"> presentará el Informe Justificado procedente.</w:t>
      </w:r>
    </w:p>
    <w:p w14:paraId="75178519" w14:textId="77777777" w:rsidR="000517F2" w:rsidRPr="00D276AE" w:rsidRDefault="000517F2" w:rsidP="00E16D4D">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0C1309C3" w14:textId="62937DF0" w:rsidR="000517F2" w:rsidRPr="00D276AE" w:rsidRDefault="000517F2" w:rsidP="00E16D4D">
      <w:pPr>
        <w:numPr>
          <w:ilvl w:val="0"/>
          <w:numId w:val="3"/>
        </w:numPr>
        <w:tabs>
          <w:tab w:val="left" w:pos="0"/>
        </w:tabs>
        <w:spacing w:line="360" w:lineRule="auto"/>
        <w:ind w:left="0" w:firstLine="0"/>
        <w:jc w:val="both"/>
        <w:rPr>
          <w:rFonts w:ascii="Palatino Linotype" w:hAnsi="Palatino Linotype"/>
          <w:color w:val="000000" w:themeColor="text1"/>
        </w:rPr>
      </w:pPr>
      <w:r w:rsidRPr="00D276AE">
        <w:rPr>
          <w:rFonts w:ascii="Palatino Linotype" w:eastAsia="Palatino Linotype" w:hAnsi="Palatino Linotype" w:cs="Palatino Linotype"/>
          <w:color w:val="000000" w:themeColor="text1"/>
        </w:rPr>
        <w:lastRenderedPageBreak/>
        <w:t>Posteriormente se ordenó en la Décimo Séptima Sesión Ordinaria de catorce de mayo de 2025, la acumulación de los recursos al rubro indicados, a efecto de que se</w:t>
      </w:r>
      <w:r w:rsidRPr="00D276AE">
        <w:rPr>
          <w:rFonts w:ascii="Palatino Linotype" w:eastAsia="Palatino Linotype" w:hAnsi="Palatino Linotype" w:cs="Palatino Linotype"/>
          <w:b/>
          <w:color w:val="000000" w:themeColor="text1"/>
        </w:rPr>
        <w:t xml:space="preserve"> </w:t>
      </w:r>
      <w:r w:rsidRPr="00D276AE">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276AE">
        <w:rPr>
          <w:rFonts w:ascii="Palatino Linotype" w:eastAsia="Palatino Linotype" w:hAnsi="Palatino Linotype" w:cs="Palatino Linotype"/>
          <w:i/>
          <w:color w:val="000000" w:themeColor="text1"/>
          <w:vertAlign w:val="superscript"/>
        </w:rPr>
        <w:footnoteReference w:id="1"/>
      </w:r>
      <w:r w:rsidRPr="00D276AE">
        <w:rPr>
          <w:rFonts w:ascii="Palatino Linotype" w:eastAsia="Palatino Linotype" w:hAnsi="Palatino Linotype" w:cs="Palatino Linotype"/>
          <w:color w:val="000000" w:themeColor="text1"/>
        </w:rPr>
        <w:t>, que señala:</w:t>
      </w:r>
    </w:p>
    <w:p w14:paraId="1B498F3B" w14:textId="77777777" w:rsidR="00C07B7B" w:rsidRPr="00D276AE" w:rsidRDefault="00C07B7B" w:rsidP="00C07B7B">
      <w:pPr>
        <w:tabs>
          <w:tab w:val="left" w:pos="0"/>
        </w:tabs>
        <w:spacing w:line="360" w:lineRule="auto"/>
        <w:jc w:val="both"/>
        <w:rPr>
          <w:rFonts w:ascii="Palatino Linotype" w:hAnsi="Palatino Linotype"/>
          <w:color w:val="000000" w:themeColor="text1"/>
        </w:rPr>
      </w:pPr>
    </w:p>
    <w:p w14:paraId="516A2BFF" w14:textId="77777777" w:rsidR="000517F2" w:rsidRPr="00D276AE" w:rsidRDefault="000517F2" w:rsidP="00E16D4D">
      <w:pPr>
        <w:tabs>
          <w:tab w:val="left" w:pos="426"/>
        </w:tabs>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b/>
          <w:i/>
          <w:color w:val="000000" w:themeColor="text1"/>
        </w:rPr>
        <w:t>“ONCE.</w:t>
      </w:r>
      <w:r w:rsidRPr="00D276AE">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7126AB47" w14:textId="77777777" w:rsidR="000517F2" w:rsidRPr="00D276AE" w:rsidRDefault="000517F2" w:rsidP="00E16D4D">
      <w:pPr>
        <w:tabs>
          <w:tab w:val="left" w:pos="426"/>
        </w:tabs>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r w:rsidRPr="00D276AE">
        <w:rPr>
          <w:rFonts w:ascii="Palatino Linotype" w:eastAsia="Palatino Linotype" w:hAnsi="Palatino Linotype" w:cs="Palatino Linotype"/>
          <w:i/>
          <w:color w:val="000000" w:themeColor="text1"/>
        </w:rPr>
        <w:tab/>
      </w:r>
    </w:p>
    <w:p w14:paraId="7385B43B" w14:textId="77777777" w:rsidR="000517F2" w:rsidRPr="00D276AE" w:rsidRDefault="000517F2" w:rsidP="00E16D4D">
      <w:pPr>
        <w:tabs>
          <w:tab w:val="left" w:pos="426"/>
        </w:tabs>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b) Las partes o los actos impugnados sean iguales</w:t>
      </w:r>
    </w:p>
    <w:p w14:paraId="6B603BEF" w14:textId="77777777" w:rsidR="000517F2" w:rsidRPr="00D276AE" w:rsidRDefault="000517F2" w:rsidP="00E16D4D">
      <w:pPr>
        <w:tabs>
          <w:tab w:val="left" w:pos="426"/>
        </w:tabs>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c) Cuando se trate del mismo solicitante, el mismo SUJETO OBLIGADO, aunque se trate de solicitudes diversas;</w:t>
      </w:r>
    </w:p>
    <w:p w14:paraId="65E82D71" w14:textId="77777777" w:rsidR="000517F2" w:rsidRPr="00D276AE" w:rsidRDefault="000517F2" w:rsidP="00E16D4D">
      <w:pPr>
        <w:tabs>
          <w:tab w:val="left" w:pos="426"/>
        </w:tabs>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p>
    <w:p w14:paraId="17243E5E" w14:textId="77777777" w:rsidR="000517F2" w:rsidRPr="00D276AE" w:rsidRDefault="000517F2" w:rsidP="00E16D4D">
      <w:pPr>
        <w:tabs>
          <w:tab w:val="left" w:pos="426"/>
        </w:tabs>
        <w:spacing w:line="360" w:lineRule="auto"/>
        <w:jc w:val="both"/>
        <w:rPr>
          <w:rFonts w:ascii="Palatino Linotype" w:eastAsia="Palatino Linotype" w:hAnsi="Palatino Linotype" w:cs="Palatino Linotype"/>
          <w:i/>
          <w:color w:val="000000" w:themeColor="text1"/>
        </w:rPr>
      </w:pPr>
    </w:p>
    <w:p w14:paraId="6479485B" w14:textId="77777777" w:rsidR="000517F2" w:rsidRPr="00D276AE" w:rsidRDefault="000517F2" w:rsidP="00E16D4D">
      <w:pPr>
        <w:numPr>
          <w:ilvl w:val="0"/>
          <w:numId w:val="3"/>
        </w:numPr>
        <w:tabs>
          <w:tab w:val="left" w:pos="0"/>
        </w:tabs>
        <w:spacing w:line="360" w:lineRule="auto"/>
        <w:ind w:left="0" w:firstLine="0"/>
        <w:jc w:val="both"/>
        <w:rPr>
          <w:rFonts w:ascii="Palatino Linotype" w:hAnsi="Palatino Linotype"/>
          <w:color w:val="000000" w:themeColor="text1"/>
        </w:rPr>
      </w:pPr>
      <w:r w:rsidRPr="00D276AE">
        <w:rPr>
          <w:rFonts w:ascii="Palatino Linotype" w:eastAsia="Palatino Linotype" w:hAnsi="Palatino Linotype" w:cs="Palatino Linotype"/>
          <w:color w:val="000000" w:themeColor="text1"/>
        </w:rPr>
        <w:t>Es así que,</w:t>
      </w:r>
      <w:r w:rsidRPr="00D276AE">
        <w:rPr>
          <w:rFonts w:ascii="Palatino Linotype" w:eastAsia="Palatino Linotype" w:hAnsi="Palatino Linotype" w:cs="Palatino Linotype"/>
          <w:i/>
          <w:color w:val="000000" w:themeColor="text1"/>
        </w:rPr>
        <w:t xml:space="preserve"> </w:t>
      </w:r>
      <w:r w:rsidRPr="00D276AE">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w:t>
      </w:r>
      <w:r w:rsidRPr="00D276AE">
        <w:rPr>
          <w:rFonts w:ascii="Palatino Linotype" w:eastAsia="Palatino Linotype" w:hAnsi="Palatino Linotype" w:cs="Palatino Linotype"/>
          <w:color w:val="000000" w:themeColor="text1"/>
        </w:rPr>
        <w:lastRenderedPageBreak/>
        <w:t>Acceso a la Información Pública del Estado de México y Municipios en vigor, que a la letra señalan:</w:t>
      </w:r>
    </w:p>
    <w:p w14:paraId="1BD9AB58" w14:textId="77777777" w:rsidR="000517F2" w:rsidRPr="00D276AE" w:rsidRDefault="000517F2" w:rsidP="00E16D4D">
      <w:pPr>
        <w:tabs>
          <w:tab w:val="left" w:pos="567"/>
        </w:tabs>
        <w:spacing w:line="360" w:lineRule="auto"/>
        <w:jc w:val="center"/>
        <w:rPr>
          <w:rFonts w:ascii="Palatino Linotype" w:eastAsia="Palatino Linotype" w:hAnsi="Palatino Linotype" w:cs="Palatino Linotype"/>
          <w:b/>
          <w:i/>
          <w:color w:val="000000" w:themeColor="text1"/>
        </w:rPr>
      </w:pPr>
      <w:r w:rsidRPr="00D276AE">
        <w:rPr>
          <w:rFonts w:ascii="Palatino Linotype" w:eastAsia="Palatino Linotype" w:hAnsi="Palatino Linotype" w:cs="Palatino Linotype"/>
          <w:b/>
          <w:i/>
          <w:color w:val="000000" w:themeColor="text1"/>
        </w:rPr>
        <w:t>Código de Procedimientos Administrativos del Estado de México.</w:t>
      </w:r>
    </w:p>
    <w:p w14:paraId="088F121C" w14:textId="77777777" w:rsidR="000517F2" w:rsidRPr="00D276AE" w:rsidRDefault="000517F2" w:rsidP="00E16D4D">
      <w:pP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b/>
          <w:i/>
          <w:color w:val="000000" w:themeColor="text1"/>
        </w:rPr>
        <w:t>“Artículo 18.-</w:t>
      </w:r>
      <w:r w:rsidRPr="00D276AE">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3B6660E" w14:textId="77777777" w:rsidR="000517F2" w:rsidRPr="00D276AE" w:rsidRDefault="000517F2" w:rsidP="00E16D4D">
      <w:pPr>
        <w:tabs>
          <w:tab w:val="left" w:pos="567"/>
        </w:tabs>
        <w:spacing w:line="360" w:lineRule="auto"/>
        <w:jc w:val="both"/>
        <w:rPr>
          <w:rFonts w:ascii="Palatino Linotype" w:eastAsia="Palatino Linotype" w:hAnsi="Palatino Linotype" w:cs="Palatino Linotype"/>
          <w:i/>
          <w:color w:val="000000" w:themeColor="text1"/>
        </w:rPr>
      </w:pPr>
    </w:p>
    <w:p w14:paraId="37761588" w14:textId="77777777" w:rsidR="000517F2" w:rsidRPr="00D276AE" w:rsidRDefault="000517F2" w:rsidP="00E16D4D">
      <w:pPr>
        <w:spacing w:line="360" w:lineRule="auto"/>
        <w:jc w:val="both"/>
        <w:rPr>
          <w:rFonts w:ascii="Palatino Linotype" w:eastAsia="Palatino Linotype" w:hAnsi="Palatino Linotype" w:cs="Palatino Linotype"/>
          <w:b/>
          <w:i/>
          <w:color w:val="000000" w:themeColor="text1"/>
        </w:rPr>
      </w:pPr>
      <w:r w:rsidRPr="00D276AE">
        <w:rPr>
          <w:rFonts w:ascii="Palatino Linotype" w:eastAsia="Palatino Linotype" w:hAnsi="Palatino Linotype" w:cs="Palatino Linotype"/>
          <w:b/>
          <w:i/>
          <w:color w:val="000000" w:themeColor="text1"/>
        </w:rPr>
        <w:t>Ley de Transparencia y Acceso a la Información Pública del Estado de México y Municipios</w:t>
      </w:r>
    </w:p>
    <w:p w14:paraId="4824D25B" w14:textId="77777777" w:rsidR="000517F2" w:rsidRPr="00D276AE" w:rsidRDefault="000517F2" w:rsidP="00E16D4D">
      <w:pP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b/>
          <w:i/>
          <w:color w:val="000000" w:themeColor="text1"/>
        </w:rPr>
        <w:t>“Artículo 195.</w:t>
      </w:r>
      <w:r w:rsidRPr="00D276AE">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14:paraId="47A6BFA1" w14:textId="77777777" w:rsidR="000517F2" w:rsidRPr="00D276AE" w:rsidRDefault="000517F2" w:rsidP="00E16D4D">
      <w:pPr>
        <w:spacing w:line="360" w:lineRule="auto"/>
        <w:jc w:val="both"/>
        <w:rPr>
          <w:rFonts w:ascii="Palatino Linotype" w:hAnsi="Palatino Linotype"/>
          <w:color w:val="000000" w:themeColor="text1"/>
        </w:rPr>
      </w:pPr>
    </w:p>
    <w:p w14:paraId="6AAF0AFE" w14:textId="76F0A4C6" w:rsidR="008538DD" w:rsidRPr="00D276AE" w:rsidRDefault="00DF6EAE" w:rsidP="00E16D4D">
      <w:pPr>
        <w:pStyle w:val="Prrafodelista"/>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De lo anterior, el </w:t>
      </w:r>
      <w:r w:rsidRPr="00D276AE">
        <w:rPr>
          <w:rFonts w:ascii="Palatino Linotype" w:eastAsia="Palatino Linotype" w:hAnsi="Palatino Linotype" w:cs="Palatino Linotype"/>
          <w:b/>
          <w:color w:val="000000" w:themeColor="text1"/>
        </w:rPr>
        <w:t xml:space="preserve">SUJETO OBLIGADO </w:t>
      </w:r>
      <w:r w:rsidR="00F40924" w:rsidRPr="00D276AE">
        <w:rPr>
          <w:rFonts w:ascii="Palatino Linotype" w:eastAsia="Palatino Linotype" w:hAnsi="Palatino Linotype" w:cs="Palatino Linotype"/>
          <w:color w:val="000000" w:themeColor="text1"/>
        </w:rPr>
        <w:t>en</w:t>
      </w:r>
      <w:r w:rsidR="00D746B0" w:rsidRPr="00D276AE">
        <w:rPr>
          <w:rFonts w:ascii="Palatino Linotype" w:eastAsia="Palatino Linotype" w:hAnsi="Palatino Linotype" w:cs="Palatino Linotype"/>
          <w:color w:val="000000" w:themeColor="text1"/>
        </w:rPr>
        <w:t xml:space="preserve"> </w:t>
      </w:r>
      <w:r w:rsidR="00D778A4" w:rsidRPr="00D276AE">
        <w:rPr>
          <w:rFonts w:ascii="Palatino Linotype" w:eastAsia="Palatino Linotype" w:hAnsi="Palatino Linotype" w:cs="Palatino Linotype"/>
          <w:color w:val="000000" w:themeColor="text1"/>
        </w:rPr>
        <w:t>fecha</w:t>
      </w:r>
      <w:r w:rsidR="005B1F76" w:rsidRPr="00D276AE">
        <w:rPr>
          <w:rFonts w:ascii="Palatino Linotype" w:eastAsia="Palatino Linotype" w:hAnsi="Palatino Linotype" w:cs="Palatino Linotype"/>
          <w:color w:val="000000" w:themeColor="text1"/>
        </w:rPr>
        <w:t>s</w:t>
      </w:r>
      <w:r w:rsidR="00D778A4" w:rsidRPr="00D276AE">
        <w:rPr>
          <w:rFonts w:ascii="Palatino Linotype" w:eastAsia="Palatino Linotype" w:hAnsi="Palatino Linotype" w:cs="Palatino Linotype"/>
          <w:color w:val="000000" w:themeColor="text1"/>
        </w:rPr>
        <w:t xml:space="preserve"> </w:t>
      </w:r>
      <w:r w:rsidR="005B1F76" w:rsidRPr="00D276AE">
        <w:rPr>
          <w:rFonts w:ascii="Palatino Linotype" w:eastAsia="Palatino Linotype" w:hAnsi="Palatino Linotype" w:cs="Palatino Linotype"/>
          <w:b/>
          <w:bCs/>
          <w:color w:val="000000" w:themeColor="text1"/>
        </w:rPr>
        <w:t>quince, dieciséis y diecinueve de mayo de dos mil veinticinco</w:t>
      </w:r>
      <w:r w:rsidRPr="00D276AE">
        <w:rPr>
          <w:rFonts w:ascii="Palatino Linotype" w:eastAsia="Palatino Linotype" w:hAnsi="Palatino Linotype" w:cs="Palatino Linotype"/>
          <w:color w:val="000000" w:themeColor="text1"/>
        </w:rPr>
        <w:t xml:space="preserve"> rindió</w:t>
      </w:r>
      <w:r w:rsidR="005B1F76" w:rsidRPr="00D276AE">
        <w:rPr>
          <w:rFonts w:ascii="Palatino Linotype" w:eastAsia="Palatino Linotype" w:hAnsi="Palatino Linotype" w:cs="Palatino Linotype"/>
          <w:color w:val="000000" w:themeColor="text1"/>
        </w:rPr>
        <w:t xml:space="preserve"> los</w:t>
      </w:r>
      <w:r w:rsidRPr="00D276AE">
        <w:rPr>
          <w:rFonts w:ascii="Palatino Linotype" w:eastAsia="Palatino Linotype" w:hAnsi="Palatino Linotype" w:cs="Palatino Linotype"/>
          <w:color w:val="000000" w:themeColor="text1"/>
        </w:rPr>
        <w:t xml:space="preserve"> Inf</w:t>
      </w:r>
      <w:r w:rsidR="00F40924" w:rsidRPr="00D276AE">
        <w:rPr>
          <w:rFonts w:ascii="Palatino Linotype" w:eastAsia="Palatino Linotype" w:hAnsi="Palatino Linotype" w:cs="Palatino Linotype"/>
          <w:color w:val="000000" w:themeColor="text1"/>
        </w:rPr>
        <w:t>orme</w:t>
      </w:r>
      <w:r w:rsidR="005B1F76" w:rsidRPr="00D276AE">
        <w:rPr>
          <w:rFonts w:ascii="Palatino Linotype" w:eastAsia="Palatino Linotype" w:hAnsi="Palatino Linotype" w:cs="Palatino Linotype"/>
          <w:color w:val="000000" w:themeColor="text1"/>
        </w:rPr>
        <w:t>s</w:t>
      </w:r>
      <w:r w:rsidR="00F40924" w:rsidRPr="00D276AE">
        <w:rPr>
          <w:rFonts w:ascii="Palatino Linotype" w:eastAsia="Palatino Linotype" w:hAnsi="Palatino Linotype" w:cs="Palatino Linotype"/>
          <w:color w:val="000000" w:themeColor="text1"/>
        </w:rPr>
        <w:t xml:space="preserve"> Justificado</w:t>
      </w:r>
      <w:r w:rsidR="005B1F76" w:rsidRPr="00D276AE">
        <w:rPr>
          <w:rFonts w:ascii="Palatino Linotype" w:eastAsia="Palatino Linotype" w:hAnsi="Palatino Linotype" w:cs="Palatino Linotype"/>
          <w:color w:val="000000" w:themeColor="text1"/>
        </w:rPr>
        <w:t>s</w:t>
      </w:r>
      <w:r w:rsidR="008C543D" w:rsidRPr="00D276AE">
        <w:rPr>
          <w:rFonts w:ascii="Palatino Linotype" w:eastAsia="Palatino Linotype" w:hAnsi="Palatino Linotype" w:cs="Palatino Linotype"/>
          <w:color w:val="000000" w:themeColor="text1"/>
        </w:rPr>
        <w:t xml:space="preserve"> a</w:t>
      </w:r>
      <w:r w:rsidR="005B1F76" w:rsidRPr="00D276AE">
        <w:rPr>
          <w:rFonts w:ascii="Palatino Linotype" w:eastAsia="Palatino Linotype" w:hAnsi="Palatino Linotype" w:cs="Palatino Linotype"/>
          <w:color w:val="000000" w:themeColor="text1"/>
        </w:rPr>
        <w:t xml:space="preserve"> los</w:t>
      </w:r>
      <w:r w:rsidR="008C543D" w:rsidRPr="00D276AE">
        <w:rPr>
          <w:rFonts w:ascii="Palatino Linotype" w:eastAsia="Palatino Linotype" w:hAnsi="Palatino Linotype" w:cs="Palatino Linotype"/>
          <w:color w:val="000000" w:themeColor="text1"/>
        </w:rPr>
        <w:t xml:space="preserve"> Recurso</w:t>
      </w:r>
      <w:r w:rsidR="005B1F76" w:rsidRPr="00D276AE">
        <w:rPr>
          <w:rFonts w:ascii="Palatino Linotype" w:eastAsia="Palatino Linotype" w:hAnsi="Palatino Linotype" w:cs="Palatino Linotype"/>
          <w:color w:val="000000" w:themeColor="text1"/>
        </w:rPr>
        <w:t>s</w:t>
      </w:r>
      <w:r w:rsidR="008C543D" w:rsidRPr="00D276AE">
        <w:rPr>
          <w:rFonts w:ascii="Palatino Linotype" w:eastAsia="Palatino Linotype" w:hAnsi="Palatino Linotype" w:cs="Palatino Linotype"/>
          <w:color w:val="000000" w:themeColor="text1"/>
        </w:rPr>
        <w:t xml:space="preserve"> de Revisión</w:t>
      </w:r>
      <w:r w:rsidR="00D778A4" w:rsidRPr="00D276AE">
        <w:rPr>
          <w:rFonts w:ascii="Palatino Linotype" w:eastAsia="Palatino Linotype" w:hAnsi="Palatino Linotype" w:cs="Palatino Linotype"/>
          <w:color w:val="000000" w:themeColor="text1"/>
        </w:rPr>
        <w:t xml:space="preserve">, </w:t>
      </w:r>
      <w:r w:rsidR="008538DD" w:rsidRPr="00D276AE">
        <w:rPr>
          <w:rFonts w:ascii="Palatino Linotype" w:eastAsia="Palatino Linotype" w:hAnsi="Palatino Linotype" w:cs="Palatino Linotype"/>
          <w:color w:val="000000" w:themeColor="text1"/>
        </w:rPr>
        <w:t xml:space="preserve">mediante el archivo </w:t>
      </w:r>
      <w:r w:rsidR="008538DD" w:rsidRPr="00D276AE">
        <w:rPr>
          <w:rFonts w:ascii="Palatino Linotype" w:eastAsia="Palatino Linotype" w:hAnsi="Palatino Linotype" w:cs="Palatino Linotype"/>
          <w:color w:val="000000" w:themeColor="text1"/>
          <w:u w:val="single"/>
        </w:rPr>
        <w:t>Ratificación.pdf</w:t>
      </w:r>
      <w:r w:rsidR="008538DD" w:rsidRPr="00D276AE">
        <w:rPr>
          <w:rFonts w:ascii="Palatino Linotype" w:eastAsia="Palatino Linotype" w:hAnsi="Palatino Linotype" w:cs="Palatino Linotype"/>
          <w:color w:val="000000" w:themeColor="text1"/>
        </w:rPr>
        <w:t xml:space="preserve">, mismos que se pusieron a la vista mediante acuerdo de </w:t>
      </w:r>
      <w:r w:rsidR="008538DD" w:rsidRPr="00D276AE">
        <w:rPr>
          <w:rFonts w:ascii="Palatino Linotype" w:eastAsia="Palatino Linotype" w:hAnsi="Palatino Linotype" w:cs="Palatino Linotype"/>
          <w:b/>
          <w:bCs/>
          <w:color w:val="000000" w:themeColor="text1"/>
        </w:rPr>
        <w:t xml:space="preserve">veintisiete de mayo de dos mil veinticinco, </w:t>
      </w:r>
      <w:r w:rsidR="008538DD" w:rsidRPr="00D276AE">
        <w:rPr>
          <w:rFonts w:ascii="Palatino Linotype" w:eastAsia="Palatino Linotype" w:hAnsi="Palatino Linotype" w:cs="Palatino Linotype"/>
          <w:color w:val="000000" w:themeColor="text1"/>
        </w:rPr>
        <w:t xml:space="preserve"> </w:t>
      </w:r>
      <w:r w:rsidR="00D778A4" w:rsidRPr="00D276AE">
        <w:rPr>
          <w:rFonts w:ascii="Palatino Linotype" w:eastAsia="Palatino Linotype" w:hAnsi="Palatino Linotype" w:cs="Palatino Linotype"/>
          <w:color w:val="000000" w:themeColor="text1"/>
        </w:rPr>
        <w:t>a través de</w:t>
      </w:r>
      <w:r w:rsidR="005B1F76" w:rsidRPr="00D276AE">
        <w:rPr>
          <w:rFonts w:ascii="Palatino Linotype" w:eastAsia="Palatino Linotype" w:hAnsi="Palatino Linotype" w:cs="Palatino Linotype"/>
          <w:color w:val="000000" w:themeColor="text1"/>
        </w:rPr>
        <w:t xml:space="preserve"> los </w:t>
      </w:r>
      <w:r w:rsidR="00D778A4" w:rsidRPr="00D276AE">
        <w:rPr>
          <w:rFonts w:ascii="Palatino Linotype" w:eastAsia="Palatino Linotype" w:hAnsi="Palatino Linotype" w:cs="Palatino Linotype"/>
          <w:color w:val="000000" w:themeColor="text1"/>
        </w:rPr>
        <w:t xml:space="preserve"> cual</w:t>
      </w:r>
      <w:r w:rsidR="005B1F76" w:rsidRPr="00D276AE">
        <w:rPr>
          <w:rFonts w:ascii="Palatino Linotype" w:eastAsia="Palatino Linotype" w:hAnsi="Palatino Linotype" w:cs="Palatino Linotype"/>
          <w:color w:val="000000" w:themeColor="text1"/>
        </w:rPr>
        <w:t>es</w:t>
      </w:r>
      <w:r w:rsidR="00D778A4" w:rsidRPr="00D276AE">
        <w:rPr>
          <w:rFonts w:ascii="Palatino Linotype" w:eastAsia="Palatino Linotype" w:hAnsi="Palatino Linotype" w:cs="Palatino Linotype"/>
          <w:color w:val="000000" w:themeColor="text1"/>
        </w:rPr>
        <w:t xml:space="preserve"> de manera toral </w:t>
      </w:r>
      <w:r w:rsidR="005B1F76" w:rsidRPr="00D276AE">
        <w:rPr>
          <w:rFonts w:ascii="Palatino Linotype" w:eastAsia="Palatino Linotype" w:hAnsi="Palatino Linotype" w:cs="Palatino Linotype"/>
          <w:color w:val="000000" w:themeColor="text1"/>
        </w:rPr>
        <w:t>ratifica</w:t>
      </w:r>
      <w:r w:rsidR="00D778A4" w:rsidRPr="00D276AE">
        <w:rPr>
          <w:rFonts w:ascii="Palatino Linotype" w:eastAsia="Palatino Linotype" w:hAnsi="Palatino Linotype" w:cs="Palatino Linotype"/>
          <w:color w:val="000000" w:themeColor="text1"/>
        </w:rPr>
        <w:t xml:space="preserve"> su</w:t>
      </w:r>
      <w:r w:rsidR="008538DD" w:rsidRPr="00D276AE">
        <w:rPr>
          <w:rFonts w:ascii="Palatino Linotype" w:eastAsia="Palatino Linotype" w:hAnsi="Palatino Linotype" w:cs="Palatino Linotype"/>
          <w:color w:val="000000" w:themeColor="text1"/>
        </w:rPr>
        <w:t>s</w:t>
      </w:r>
      <w:r w:rsidR="00D778A4" w:rsidRPr="00D276AE">
        <w:rPr>
          <w:rFonts w:ascii="Palatino Linotype" w:eastAsia="Palatino Linotype" w:hAnsi="Palatino Linotype" w:cs="Palatino Linotype"/>
          <w:color w:val="000000" w:themeColor="text1"/>
        </w:rPr>
        <w:t xml:space="preserve"> respuesta</w:t>
      </w:r>
      <w:r w:rsidR="008538DD" w:rsidRPr="00D276AE">
        <w:rPr>
          <w:rFonts w:ascii="Palatino Linotype" w:eastAsia="Palatino Linotype" w:hAnsi="Palatino Linotype" w:cs="Palatino Linotype"/>
          <w:color w:val="000000" w:themeColor="text1"/>
        </w:rPr>
        <w:t>s</w:t>
      </w:r>
      <w:r w:rsidR="00D778A4" w:rsidRPr="00D276AE">
        <w:rPr>
          <w:rFonts w:ascii="Palatino Linotype" w:eastAsia="Palatino Linotype" w:hAnsi="Palatino Linotype" w:cs="Palatino Linotype"/>
          <w:color w:val="000000" w:themeColor="text1"/>
        </w:rPr>
        <w:t xml:space="preserve"> inicial</w:t>
      </w:r>
      <w:r w:rsidR="008538DD" w:rsidRPr="00D276AE">
        <w:rPr>
          <w:rFonts w:ascii="Palatino Linotype" w:eastAsia="Palatino Linotype" w:hAnsi="Palatino Linotype" w:cs="Palatino Linotype"/>
          <w:color w:val="000000" w:themeColor="text1"/>
        </w:rPr>
        <w:t>es</w:t>
      </w:r>
      <w:r w:rsidR="00D778A4" w:rsidRPr="00D276AE">
        <w:rPr>
          <w:rFonts w:ascii="Palatino Linotype" w:eastAsia="Palatino Linotype" w:hAnsi="Palatino Linotype" w:cs="Palatino Linotype"/>
          <w:color w:val="000000" w:themeColor="text1"/>
        </w:rPr>
        <w:t xml:space="preserve">, </w:t>
      </w:r>
      <w:r w:rsidR="005B1F76" w:rsidRPr="00D276AE">
        <w:rPr>
          <w:rFonts w:ascii="Palatino Linotype" w:eastAsia="Palatino Linotype" w:hAnsi="Palatino Linotype" w:cs="Palatino Linotype"/>
          <w:color w:val="000000" w:themeColor="text1"/>
        </w:rPr>
        <w:t xml:space="preserve">y en los recursos </w:t>
      </w:r>
      <w:r w:rsidR="005B1F76" w:rsidRPr="00D276AE">
        <w:rPr>
          <w:rFonts w:ascii="Palatino Linotype" w:eastAsia="Palatino Linotype" w:hAnsi="Palatino Linotype" w:cs="Palatino Linotype"/>
          <w:b/>
          <w:color w:val="000000" w:themeColor="text1"/>
        </w:rPr>
        <w:t>04975/INFOEM/IP/RR/2025</w:t>
      </w:r>
      <w:r w:rsidR="008538DD" w:rsidRPr="00D276AE">
        <w:rPr>
          <w:rFonts w:ascii="Palatino Linotype" w:eastAsia="Palatino Linotype" w:hAnsi="Palatino Linotype" w:cs="Palatino Linotype"/>
          <w:b/>
          <w:color w:val="000000" w:themeColor="text1"/>
        </w:rPr>
        <w:t xml:space="preserve"> y 04976/INFOEM/IP/RR/2025 </w:t>
      </w:r>
      <w:r w:rsidR="005B1F76" w:rsidRPr="00D276AE">
        <w:rPr>
          <w:rFonts w:ascii="Palatino Linotype" w:eastAsia="Palatino Linotype" w:hAnsi="Palatino Linotype" w:cs="Palatino Linotype"/>
          <w:b/>
          <w:color w:val="000000" w:themeColor="text1"/>
        </w:rPr>
        <w:t xml:space="preserve"> </w:t>
      </w:r>
      <w:r w:rsidR="005B1F76" w:rsidRPr="00D276AE">
        <w:rPr>
          <w:rFonts w:ascii="Palatino Linotype" w:eastAsia="Palatino Linotype" w:hAnsi="Palatino Linotype" w:cs="Palatino Linotype"/>
          <w:color w:val="000000" w:themeColor="text1"/>
        </w:rPr>
        <w:t xml:space="preserve">agrega </w:t>
      </w:r>
      <w:r w:rsidR="008538DD" w:rsidRPr="00D276AE">
        <w:rPr>
          <w:rFonts w:ascii="Palatino Linotype" w:eastAsia="Palatino Linotype" w:hAnsi="Palatino Linotype" w:cs="Palatino Linotype"/>
          <w:color w:val="000000" w:themeColor="text1"/>
        </w:rPr>
        <w:t>los</w:t>
      </w:r>
      <w:r w:rsidR="005B1F76" w:rsidRPr="00D276AE">
        <w:rPr>
          <w:rFonts w:ascii="Palatino Linotype" w:eastAsia="Palatino Linotype" w:hAnsi="Palatino Linotype" w:cs="Palatino Linotype"/>
          <w:color w:val="000000" w:themeColor="text1"/>
        </w:rPr>
        <w:t xml:space="preserve"> archivo</w:t>
      </w:r>
      <w:r w:rsidR="008538DD" w:rsidRPr="00D276AE">
        <w:rPr>
          <w:rFonts w:ascii="Palatino Linotype" w:eastAsia="Palatino Linotype" w:hAnsi="Palatino Linotype" w:cs="Palatino Linotype"/>
          <w:color w:val="000000" w:themeColor="text1"/>
        </w:rPr>
        <w:t>s</w:t>
      </w:r>
      <w:r w:rsidR="005B1F76" w:rsidRPr="00D276AE">
        <w:rPr>
          <w:rFonts w:ascii="Palatino Linotype" w:eastAsia="Palatino Linotype" w:hAnsi="Palatino Linotype" w:cs="Palatino Linotype"/>
          <w:color w:val="000000" w:themeColor="text1"/>
        </w:rPr>
        <w:t xml:space="preserve"> </w:t>
      </w:r>
      <w:r w:rsidR="005B1F76" w:rsidRPr="00D276AE">
        <w:rPr>
          <w:rFonts w:ascii="Palatino Linotype" w:eastAsia="Palatino Linotype" w:hAnsi="Palatino Linotype" w:cs="Palatino Linotype"/>
          <w:color w:val="000000" w:themeColor="text1"/>
          <w:u w:val="single"/>
        </w:rPr>
        <w:t>ANEXOS 04975-2025.pdf</w:t>
      </w:r>
      <w:r w:rsidR="008538DD" w:rsidRPr="00D276AE">
        <w:rPr>
          <w:rFonts w:ascii="Palatino Linotype" w:eastAsia="Palatino Linotype" w:hAnsi="Palatino Linotype" w:cs="Palatino Linotype"/>
          <w:color w:val="000000" w:themeColor="text1"/>
          <w:u w:val="single"/>
        </w:rPr>
        <w:t xml:space="preserve"> </w:t>
      </w:r>
      <w:r w:rsidR="008538DD" w:rsidRPr="00D276AE">
        <w:rPr>
          <w:rFonts w:ascii="Palatino Linotype" w:eastAsia="Palatino Linotype" w:hAnsi="Palatino Linotype" w:cs="Palatino Linotype"/>
          <w:color w:val="000000" w:themeColor="text1"/>
        </w:rPr>
        <w:t>y</w:t>
      </w:r>
      <w:r w:rsidR="008538DD" w:rsidRPr="00D276AE">
        <w:rPr>
          <w:rFonts w:ascii="Palatino Linotype" w:eastAsia="Palatino Linotype" w:hAnsi="Palatino Linotype" w:cs="Palatino Linotype"/>
          <w:color w:val="000000" w:themeColor="text1"/>
          <w:u w:val="single"/>
        </w:rPr>
        <w:t xml:space="preserve"> ANEXOS 04976-2025.pdf</w:t>
      </w:r>
      <w:r w:rsidR="008538DD" w:rsidRPr="00D276AE">
        <w:rPr>
          <w:rFonts w:ascii="Palatino Linotype" w:eastAsia="Palatino Linotype" w:hAnsi="Palatino Linotype" w:cs="Palatino Linotype"/>
          <w:color w:val="000000" w:themeColor="text1"/>
        </w:rPr>
        <w:t xml:space="preserve"> </w:t>
      </w:r>
      <w:r w:rsidR="005B1F76" w:rsidRPr="00D276AE">
        <w:rPr>
          <w:rFonts w:ascii="Palatino Linotype" w:eastAsia="Palatino Linotype" w:hAnsi="Palatino Linotype" w:cs="Palatino Linotype"/>
          <w:color w:val="000000" w:themeColor="text1"/>
        </w:rPr>
        <w:t>que contiene</w:t>
      </w:r>
      <w:r w:rsidR="008538DD" w:rsidRPr="00D276AE">
        <w:rPr>
          <w:rFonts w:ascii="Palatino Linotype" w:eastAsia="Palatino Linotype" w:hAnsi="Palatino Linotype" w:cs="Palatino Linotype"/>
          <w:color w:val="000000" w:themeColor="text1"/>
        </w:rPr>
        <w:t>n</w:t>
      </w:r>
      <w:r w:rsidR="005B1F76" w:rsidRPr="00D276AE">
        <w:rPr>
          <w:rFonts w:ascii="Palatino Linotype" w:eastAsia="Palatino Linotype" w:hAnsi="Palatino Linotype" w:cs="Palatino Linotype"/>
          <w:color w:val="000000" w:themeColor="text1"/>
        </w:rPr>
        <w:t xml:space="preserve"> la ratificación de emitida por los Servidores Públicos Habilitados de la  </w:t>
      </w:r>
      <w:r w:rsidR="008538DD" w:rsidRPr="00D276AE">
        <w:rPr>
          <w:rFonts w:ascii="Palatino Linotype" w:eastAsia="Palatino Linotype" w:hAnsi="Palatino Linotype" w:cs="Palatino Linotype"/>
          <w:color w:val="000000" w:themeColor="text1"/>
        </w:rPr>
        <w:t>Dirección General de Administración y la Tesorería Municipal.</w:t>
      </w:r>
    </w:p>
    <w:p w14:paraId="481DCF1E" w14:textId="77777777" w:rsidR="008538DD" w:rsidRPr="00D276AE" w:rsidRDefault="008538DD" w:rsidP="00E16D4D">
      <w:pPr>
        <w:pStyle w:val="Prrafodelista"/>
        <w:ind w:left="0"/>
        <w:rPr>
          <w:rFonts w:ascii="Palatino Linotype" w:eastAsia="Palatino Linotype" w:hAnsi="Palatino Linotype" w:cs="Palatino Linotype"/>
          <w:color w:val="000000" w:themeColor="text1"/>
        </w:rPr>
      </w:pPr>
    </w:p>
    <w:p w14:paraId="3C799889" w14:textId="1D65D734" w:rsidR="00E31311" w:rsidRPr="00D276AE" w:rsidRDefault="00DF6EAE" w:rsidP="00E16D4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2" w:name="_heading=h.1fob9te" w:colFirst="0" w:colLast="0"/>
      <w:bookmarkEnd w:id="2"/>
      <w:r w:rsidRPr="00D276AE">
        <w:rPr>
          <w:rFonts w:ascii="Palatino Linotype" w:eastAsia="Palatino Linotype" w:hAnsi="Palatino Linotype" w:cs="Palatino Linotype"/>
          <w:color w:val="000000" w:themeColor="text1"/>
        </w:rPr>
        <w:t xml:space="preserve">Seguidamente, mediante </w:t>
      </w:r>
      <w:r w:rsidR="00D746B0" w:rsidRPr="00D276AE">
        <w:rPr>
          <w:rFonts w:ascii="Palatino Linotype" w:eastAsia="Palatino Linotype" w:hAnsi="Palatino Linotype" w:cs="Palatino Linotype"/>
          <w:color w:val="000000" w:themeColor="text1"/>
        </w:rPr>
        <w:t xml:space="preserve">acuerdo de fecha </w:t>
      </w:r>
      <w:r w:rsidR="008538DD" w:rsidRPr="00D276AE">
        <w:rPr>
          <w:rFonts w:ascii="Palatino Linotype" w:eastAsia="Palatino Linotype" w:hAnsi="Palatino Linotype" w:cs="Palatino Linotype"/>
          <w:b/>
          <w:bCs/>
          <w:color w:val="000000" w:themeColor="text1"/>
        </w:rPr>
        <w:t>tres de junio de dos mil veinticinco</w:t>
      </w:r>
      <w:r w:rsidR="008538DD" w:rsidRPr="00D276AE">
        <w:rPr>
          <w:rFonts w:ascii="Palatino Linotype" w:eastAsia="Palatino Linotype" w:hAnsi="Palatino Linotype" w:cs="Palatino Linotype"/>
          <w:color w:val="000000" w:themeColor="text1"/>
        </w:rPr>
        <w:t xml:space="preserve"> </w:t>
      </w:r>
      <w:r w:rsidR="00271F83" w:rsidRPr="00D276AE">
        <w:rPr>
          <w:rFonts w:ascii="Palatino Linotype" w:eastAsia="Palatino Linotype" w:hAnsi="Palatino Linotype" w:cs="Palatino Linotype"/>
          <w:color w:val="000000" w:themeColor="text1"/>
        </w:rPr>
        <w:t xml:space="preserve">se </w:t>
      </w:r>
      <w:r w:rsidRPr="00D276AE">
        <w:rPr>
          <w:rFonts w:ascii="Palatino Linotype" w:eastAsia="Palatino Linotype" w:hAnsi="Palatino Linotype" w:cs="Palatino Linotype"/>
          <w:color w:val="000000" w:themeColor="text1"/>
        </w:rPr>
        <w:t>decretó el cierre de instrucción, por lo que no habiendo más que hacer constar, y</w:t>
      </w:r>
    </w:p>
    <w:p w14:paraId="1FDD96FD" w14:textId="77777777" w:rsidR="00E31311" w:rsidRPr="00D276AE" w:rsidRDefault="00E31311" w:rsidP="00E16D4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2F62BE0" w14:textId="77777777" w:rsidR="00E31311" w:rsidRPr="00D276AE" w:rsidRDefault="00DF6EAE" w:rsidP="00E16D4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C O N S I D E R A N D O</w:t>
      </w:r>
    </w:p>
    <w:p w14:paraId="08FDDA30" w14:textId="77777777" w:rsidR="00E31311" w:rsidRPr="00D276AE" w:rsidRDefault="00E31311" w:rsidP="00E16D4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0DA8248E" w14:textId="77777777" w:rsidR="00E31311" w:rsidRPr="00D276AE" w:rsidRDefault="00DF6EAE" w:rsidP="00E16D4D">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3znysh7" w:colFirst="0" w:colLast="0"/>
      <w:bookmarkEnd w:id="3"/>
      <w:r w:rsidRPr="00D276AE">
        <w:rPr>
          <w:rFonts w:ascii="Palatino Linotype" w:eastAsia="Palatino Linotype" w:hAnsi="Palatino Linotype" w:cs="Palatino Linotype"/>
          <w:b/>
          <w:color w:val="000000" w:themeColor="text1"/>
          <w:sz w:val="24"/>
          <w:szCs w:val="24"/>
        </w:rPr>
        <w:t>PRIMERO. De la competencia</w:t>
      </w:r>
    </w:p>
    <w:p w14:paraId="2E6EE784" w14:textId="77777777" w:rsidR="008538DD" w:rsidRPr="00D276AE" w:rsidRDefault="008538DD" w:rsidP="00E16D4D">
      <w:pPr>
        <w:rPr>
          <w:rFonts w:ascii="Palatino Linotype" w:hAnsi="Palatino Linotype"/>
          <w:color w:val="000000" w:themeColor="text1"/>
        </w:rPr>
      </w:pPr>
    </w:p>
    <w:p w14:paraId="068F0925" w14:textId="77777777" w:rsidR="00E31311" w:rsidRPr="00D276AE" w:rsidRDefault="008A63D6" w:rsidP="00E16D4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276AE">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C41F10" w:rsidRPr="00D276AE">
        <w:rPr>
          <w:rFonts w:ascii="Palatino Linotype" w:eastAsia="Palatino Linotype" w:hAnsi="Palatino Linotype" w:cs="Palatino Linotype"/>
          <w:color w:val="000000" w:themeColor="text1"/>
        </w:rPr>
        <w:t>.</w:t>
      </w:r>
    </w:p>
    <w:p w14:paraId="385E94B4" w14:textId="77777777" w:rsidR="00E31311" w:rsidRPr="00D276AE" w:rsidRDefault="00E31311" w:rsidP="00E16D4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F7B8314" w14:textId="77777777" w:rsidR="00E31311" w:rsidRPr="00D276AE" w:rsidRDefault="00DF6EAE" w:rsidP="00E16D4D">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D276AE">
        <w:rPr>
          <w:rFonts w:ascii="Palatino Linotype" w:eastAsia="Palatino Linotype" w:hAnsi="Palatino Linotype" w:cs="Palatino Linotype"/>
          <w:b/>
          <w:color w:val="000000" w:themeColor="text1"/>
          <w:sz w:val="24"/>
          <w:szCs w:val="24"/>
        </w:rPr>
        <w:t>SEGUNDO. De la oportunidad y procedencia.</w:t>
      </w:r>
    </w:p>
    <w:p w14:paraId="56DA0CF9" w14:textId="77777777" w:rsidR="008538DD" w:rsidRPr="00D276AE" w:rsidRDefault="008538DD" w:rsidP="00E16D4D">
      <w:pPr>
        <w:rPr>
          <w:rFonts w:ascii="Palatino Linotype" w:hAnsi="Palatino Linotype"/>
          <w:color w:val="000000" w:themeColor="text1"/>
        </w:rPr>
      </w:pPr>
    </w:p>
    <w:p w14:paraId="606046E4" w14:textId="77777777" w:rsidR="006B1EE0" w:rsidRPr="00D276AE" w:rsidRDefault="006B1EE0" w:rsidP="00E16D4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w:t>
      </w:r>
      <w:r w:rsidRPr="00D276AE">
        <w:rPr>
          <w:rFonts w:ascii="Palatino Linotype" w:eastAsia="Palatino Linotype" w:hAnsi="Palatino Linotype" w:cs="Palatino Linotype"/>
          <w:color w:val="000000" w:themeColor="text1"/>
        </w:rPr>
        <w:lastRenderedPageBreak/>
        <w:t>se encuentre en trámite algún medio de defensa presentado por el Recurrente ante otra instancia.</w:t>
      </w:r>
    </w:p>
    <w:p w14:paraId="3567D1F5" w14:textId="77777777" w:rsidR="008538DD" w:rsidRPr="00D276AE" w:rsidRDefault="008538DD" w:rsidP="00E16D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88C949C" w14:textId="77777777" w:rsidR="001C4076" w:rsidRPr="00D276AE" w:rsidRDefault="001C4076" w:rsidP="00E16D4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42E0135" w14:textId="77777777" w:rsidR="001C4076" w:rsidRPr="00D276AE" w:rsidRDefault="001C4076" w:rsidP="00E16D4D">
      <w:pPr>
        <w:spacing w:line="360" w:lineRule="auto"/>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r w:rsidRPr="00D276AE">
        <w:rPr>
          <w:rFonts w:ascii="Palatino Linotype" w:eastAsia="Palatino Linotype" w:hAnsi="Palatino Linotype" w:cs="Palatino Linotype"/>
          <w:b/>
          <w:i/>
          <w:color w:val="000000" w:themeColor="text1"/>
        </w:rPr>
        <w:t>Las solicitudes anónimas</w:t>
      </w:r>
      <w:r w:rsidRPr="00D276AE">
        <w:rPr>
          <w:rFonts w:ascii="Palatino Linotype" w:eastAsia="Palatino Linotype" w:hAnsi="Palatino Linotype" w:cs="Palatino Linotype"/>
          <w:i/>
          <w:color w:val="000000" w:themeColor="text1"/>
        </w:rPr>
        <w:t xml:space="preserve">, con nombre incompleto o seudónimo </w:t>
      </w:r>
      <w:r w:rsidRPr="00D276AE">
        <w:rPr>
          <w:rFonts w:ascii="Palatino Linotype" w:eastAsia="Palatino Linotype" w:hAnsi="Palatino Linotype" w:cs="Palatino Linotype"/>
          <w:b/>
          <w:i/>
          <w:color w:val="000000" w:themeColor="text1"/>
        </w:rPr>
        <w:t>serán procedentes para su trámite por parte del sujeto obligado ante quien se presente</w:t>
      </w:r>
      <w:r w:rsidRPr="00D276AE">
        <w:rPr>
          <w:rFonts w:ascii="Palatino Linotype" w:eastAsia="Palatino Linotype" w:hAnsi="Palatino Linotype" w:cs="Palatino Linotype"/>
          <w:i/>
          <w:color w:val="000000" w:themeColor="text1"/>
        </w:rPr>
        <w:t>. No podrá requerirse información adicional con motivo del nombre proporcionado por el solicitante."</w:t>
      </w:r>
    </w:p>
    <w:p w14:paraId="23F1349C" w14:textId="77777777" w:rsidR="001C4076" w:rsidRPr="00D276AE" w:rsidRDefault="001C4076" w:rsidP="00E16D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77BFCF1" w14:textId="77777777" w:rsidR="001C4076" w:rsidRPr="00D276AE" w:rsidRDefault="001C4076" w:rsidP="00E16D4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AA39333" w14:textId="77777777" w:rsidR="006B1EE0" w:rsidRPr="00D276AE" w:rsidRDefault="006B1EE0" w:rsidP="00E16D4D">
      <w:pPr>
        <w:spacing w:line="360" w:lineRule="auto"/>
        <w:jc w:val="both"/>
        <w:rPr>
          <w:rFonts w:ascii="Palatino Linotype" w:eastAsia="Palatino Linotype" w:hAnsi="Palatino Linotype" w:cs="Palatino Linotype"/>
          <w:color w:val="000000" w:themeColor="text1"/>
        </w:rPr>
      </w:pPr>
    </w:p>
    <w:p w14:paraId="2052E9DD" w14:textId="77777777" w:rsidR="006B1EE0" w:rsidRPr="00D276AE" w:rsidRDefault="006B1EE0" w:rsidP="00E16D4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14:paraId="27E29110" w14:textId="77777777" w:rsidR="00405DED" w:rsidRPr="00D276AE" w:rsidRDefault="00405DED" w:rsidP="00E16D4D">
      <w:pPr>
        <w:pStyle w:val="Prrafodelista"/>
        <w:spacing w:line="360" w:lineRule="auto"/>
        <w:ind w:left="0"/>
        <w:rPr>
          <w:rFonts w:ascii="Palatino Linotype" w:eastAsia="Palatino Linotype" w:hAnsi="Palatino Linotype" w:cs="Palatino Linotype"/>
          <w:color w:val="000000" w:themeColor="text1"/>
        </w:rPr>
      </w:pPr>
    </w:p>
    <w:p w14:paraId="39E3DB1E" w14:textId="77777777" w:rsidR="00E31311" w:rsidRPr="00D276AE" w:rsidRDefault="00DF6EAE" w:rsidP="00E16D4D">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D276AE">
        <w:rPr>
          <w:rFonts w:ascii="Palatino Linotype" w:eastAsia="Palatino Linotype" w:hAnsi="Palatino Linotype" w:cs="Palatino Linotype"/>
          <w:b/>
          <w:color w:val="000000" w:themeColor="text1"/>
          <w:sz w:val="24"/>
          <w:szCs w:val="24"/>
        </w:rPr>
        <w:t xml:space="preserve">TERCERO. Del planteamiento de la </w:t>
      </w:r>
      <w:r w:rsidRPr="00D276AE">
        <w:rPr>
          <w:rFonts w:ascii="Palatino Linotype" w:eastAsia="Palatino Linotype" w:hAnsi="Palatino Linotype" w:cs="Palatino Linotype"/>
          <w:b/>
          <w:i/>
          <w:color w:val="000000" w:themeColor="text1"/>
          <w:sz w:val="24"/>
          <w:szCs w:val="24"/>
        </w:rPr>
        <w:t>Litis</w:t>
      </w:r>
      <w:r w:rsidRPr="00D276AE">
        <w:rPr>
          <w:rFonts w:ascii="Palatino Linotype" w:eastAsia="Palatino Linotype" w:hAnsi="Palatino Linotype" w:cs="Palatino Linotype"/>
          <w:b/>
          <w:color w:val="000000" w:themeColor="text1"/>
          <w:sz w:val="24"/>
          <w:szCs w:val="24"/>
        </w:rPr>
        <w:t>.</w:t>
      </w:r>
    </w:p>
    <w:p w14:paraId="1E5E2FAF" w14:textId="77777777" w:rsidR="008538DD" w:rsidRPr="00D276AE" w:rsidRDefault="008538DD" w:rsidP="00E16D4D">
      <w:pPr>
        <w:rPr>
          <w:rFonts w:ascii="Palatino Linotype" w:hAnsi="Palatino Linotype"/>
          <w:color w:val="000000" w:themeColor="text1"/>
        </w:rPr>
      </w:pPr>
    </w:p>
    <w:p w14:paraId="6C76E777" w14:textId="2D956BAB" w:rsidR="00C86DBE" w:rsidRPr="00D276AE" w:rsidRDefault="00DF6EAE" w:rsidP="00E16D4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Se solicitó tener acceso, a </w:t>
      </w:r>
      <w:r w:rsidR="008538DD" w:rsidRPr="00D276AE">
        <w:rPr>
          <w:rFonts w:ascii="Palatino Linotype" w:eastAsia="Palatino Linotype" w:hAnsi="Palatino Linotype" w:cs="Palatino Linotype"/>
          <w:color w:val="000000" w:themeColor="text1"/>
        </w:rPr>
        <w:t>los documentos que acrediten el pago de ISR de los trabajadores del municipio de los ejercicios fiscales 2017, 2018, 2019, 2020, 2022, 2023 y 2025</w:t>
      </w:r>
      <w:r w:rsidR="00D52CBA" w:rsidRPr="00D276AE">
        <w:rPr>
          <w:rFonts w:ascii="Palatino Linotype" w:eastAsia="Palatino Linotype" w:hAnsi="Palatino Linotype" w:cs="Palatino Linotype"/>
          <w:color w:val="000000" w:themeColor="text1"/>
        </w:rPr>
        <w:t>.</w:t>
      </w:r>
    </w:p>
    <w:p w14:paraId="104D9DB3" w14:textId="77777777" w:rsidR="008538DD" w:rsidRPr="00D276AE" w:rsidRDefault="008538DD" w:rsidP="00E16D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89AB7AB" w14:textId="03DD7ED9" w:rsidR="006B1EE0" w:rsidRPr="00D276AE" w:rsidRDefault="006B1EE0" w:rsidP="00E16D4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En respuesta, el </w:t>
      </w:r>
      <w:r w:rsidRPr="00D276AE">
        <w:rPr>
          <w:rFonts w:ascii="Palatino Linotype" w:eastAsia="Palatino Linotype" w:hAnsi="Palatino Linotype" w:cs="Palatino Linotype"/>
          <w:b/>
          <w:color w:val="000000" w:themeColor="text1"/>
        </w:rPr>
        <w:t xml:space="preserve">SUJETO OBLIGADO </w:t>
      </w:r>
      <w:r w:rsidR="00D52CBA" w:rsidRPr="00D276AE">
        <w:rPr>
          <w:rFonts w:ascii="Palatino Linotype" w:eastAsia="Palatino Linotype" w:hAnsi="Palatino Linotype" w:cs="Palatino Linotype"/>
          <w:b/>
          <w:color w:val="000000" w:themeColor="text1"/>
        </w:rPr>
        <w:t>hace entrega de la opinión de</w:t>
      </w:r>
      <w:r w:rsidR="00D52CBA" w:rsidRPr="00D276AE">
        <w:rPr>
          <w:rFonts w:ascii="Palatino Linotype" w:eastAsia="Palatino Linotype" w:hAnsi="Palatino Linotype" w:cs="Palatino Linotype"/>
          <w:color w:val="000000" w:themeColor="text1"/>
        </w:rPr>
        <w:t xml:space="preserve"> cumplimiento de fecha 19 de marzo de 2025, emitida por el Servicio de Administración Tributaria</w:t>
      </w:r>
      <w:r w:rsidR="00150225" w:rsidRPr="00D276AE">
        <w:rPr>
          <w:rFonts w:ascii="Palatino Linotype" w:eastAsia="Palatino Linotype" w:hAnsi="Palatino Linotype" w:cs="Palatino Linotype"/>
          <w:color w:val="000000" w:themeColor="text1"/>
        </w:rPr>
        <w:t>. Inconforme con la misma</w:t>
      </w:r>
      <w:r w:rsidRPr="00D276AE">
        <w:rPr>
          <w:rFonts w:ascii="Palatino Linotype" w:eastAsia="Palatino Linotype" w:hAnsi="Palatino Linotype" w:cs="Palatino Linotype"/>
          <w:color w:val="000000" w:themeColor="text1"/>
        </w:rPr>
        <w:t xml:space="preserve">, se interpuso recurso de revisión </w:t>
      </w:r>
      <w:r w:rsidR="00150225" w:rsidRPr="00D276AE">
        <w:rPr>
          <w:rFonts w:ascii="Palatino Linotype" w:eastAsia="Palatino Linotype" w:hAnsi="Palatino Linotype" w:cs="Palatino Linotype"/>
          <w:color w:val="000000" w:themeColor="text1"/>
        </w:rPr>
        <w:t xml:space="preserve">en contra de la </w:t>
      </w:r>
      <w:r w:rsidR="001C4076" w:rsidRPr="00D276AE">
        <w:rPr>
          <w:rFonts w:ascii="Palatino Linotype" w:eastAsia="Palatino Linotype" w:hAnsi="Palatino Linotype" w:cs="Palatino Linotype"/>
          <w:color w:val="000000" w:themeColor="text1"/>
        </w:rPr>
        <w:t>entrega de información que no corresponde con l</w:t>
      </w:r>
      <w:r w:rsidR="001A54DB" w:rsidRPr="00D276AE">
        <w:rPr>
          <w:rFonts w:ascii="Palatino Linotype" w:eastAsia="Palatino Linotype" w:hAnsi="Palatino Linotype" w:cs="Palatino Linotype"/>
          <w:color w:val="000000" w:themeColor="text1"/>
        </w:rPr>
        <w:t>o</w:t>
      </w:r>
      <w:r w:rsidR="001C4076" w:rsidRPr="00D276AE">
        <w:rPr>
          <w:rFonts w:ascii="Palatino Linotype" w:eastAsia="Palatino Linotype" w:hAnsi="Palatino Linotype" w:cs="Palatino Linotype"/>
          <w:color w:val="000000" w:themeColor="text1"/>
        </w:rPr>
        <w:t xml:space="preserve"> solicitad</w:t>
      </w:r>
      <w:r w:rsidR="001A54DB" w:rsidRPr="00D276AE">
        <w:rPr>
          <w:rFonts w:ascii="Palatino Linotype" w:eastAsia="Palatino Linotype" w:hAnsi="Palatino Linotype" w:cs="Palatino Linotype"/>
          <w:color w:val="000000" w:themeColor="text1"/>
        </w:rPr>
        <w:t xml:space="preserve">o </w:t>
      </w:r>
      <w:r w:rsidR="00D52CBA" w:rsidRPr="00D276AE">
        <w:rPr>
          <w:rFonts w:ascii="Palatino Linotype" w:eastAsia="Palatino Linotype" w:hAnsi="Palatino Linotype" w:cs="Palatino Linotype"/>
          <w:color w:val="000000" w:themeColor="text1"/>
        </w:rPr>
        <w:t>y la entrega de la información incompleta.</w:t>
      </w:r>
    </w:p>
    <w:p w14:paraId="5284E347" w14:textId="77777777" w:rsidR="00E31311" w:rsidRPr="00D276AE" w:rsidRDefault="00E31311" w:rsidP="00E16D4D">
      <w:pPr>
        <w:tabs>
          <w:tab w:val="left" w:pos="933"/>
        </w:tabs>
        <w:spacing w:line="360" w:lineRule="auto"/>
        <w:jc w:val="both"/>
        <w:rPr>
          <w:rFonts w:ascii="Palatino Linotype" w:eastAsia="Palatino Linotype" w:hAnsi="Palatino Linotype" w:cs="Palatino Linotype"/>
          <w:color w:val="000000" w:themeColor="text1"/>
        </w:rPr>
      </w:pPr>
    </w:p>
    <w:p w14:paraId="4F0FF18F" w14:textId="1734F026" w:rsidR="00E31311" w:rsidRPr="00D276AE" w:rsidRDefault="00DF6EAE" w:rsidP="00E16D4D">
      <w:pPr>
        <w:numPr>
          <w:ilvl w:val="0"/>
          <w:numId w:val="3"/>
        </w:numPr>
        <w:spacing w:line="360" w:lineRule="auto"/>
        <w:ind w:left="0" w:firstLine="0"/>
        <w:jc w:val="both"/>
        <w:rPr>
          <w:rFonts w:ascii="Palatino Linotype" w:hAnsi="Palatino Linotype"/>
          <w:color w:val="000000" w:themeColor="text1"/>
        </w:rPr>
      </w:pPr>
      <w:r w:rsidRPr="00D276AE">
        <w:rPr>
          <w:rFonts w:ascii="Palatino Linotype" w:eastAsia="Palatino Linotype" w:hAnsi="Palatino Linotype" w:cs="Palatino Linotype"/>
          <w:color w:val="000000" w:themeColor="text1"/>
        </w:rPr>
        <w:t>En dichas condiciones</w:t>
      </w:r>
      <w:r w:rsidR="00E938F5" w:rsidRPr="00D276AE">
        <w:rPr>
          <w:rFonts w:ascii="Palatino Linotype" w:eastAsia="Palatino Linotype" w:hAnsi="Palatino Linotype" w:cs="Palatino Linotype"/>
          <w:color w:val="000000" w:themeColor="text1"/>
        </w:rPr>
        <w:t xml:space="preserve"> se presume que el particular se duele de la negativa de la entrega de la información</w:t>
      </w:r>
      <w:r w:rsidRPr="00D276AE">
        <w:rPr>
          <w:rFonts w:ascii="Palatino Linotype" w:eastAsia="Palatino Linotype" w:hAnsi="Palatino Linotype" w:cs="Palatino Linotype"/>
          <w:color w:val="000000" w:themeColor="text1"/>
        </w:rPr>
        <w:t>,</w:t>
      </w:r>
      <w:r w:rsidR="00E938F5" w:rsidRPr="00D276AE">
        <w:rPr>
          <w:rFonts w:ascii="Palatino Linotype" w:eastAsia="Palatino Linotype" w:hAnsi="Palatino Linotype" w:cs="Palatino Linotype"/>
          <w:color w:val="000000" w:themeColor="text1"/>
        </w:rPr>
        <w:t xml:space="preserve"> por lo tanto</w:t>
      </w:r>
      <w:r w:rsidRPr="00D276AE">
        <w:rPr>
          <w:rFonts w:ascii="Palatino Linotype" w:eastAsia="Palatino Linotype" w:hAnsi="Palatino Linotype" w:cs="Palatino Linotype"/>
          <w:color w:val="000000" w:themeColor="text1"/>
        </w:rPr>
        <w:t xml:space="preserve"> la </w:t>
      </w:r>
      <w:r w:rsidRPr="00D276AE">
        <w:rPr>
          <w:rFonts w:ascii="Palatino Linotype" w:eastAsia="Palatino Linotype" w:hAnsi="Palatino Linotype" w:cs="Palatino Linotype"/>
          <w:i/>
          <w:color w:val="000000" w:themeColor="text1"/>
        </w:rPr>
        <w:t>Litis</w:t>
      </w:r>
      <w:r w:rsidRPr="00D276AE">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D276AE">
        <w:rPr>
          <w:rFonts w:ascii="Palatino Linotype" w:eastAsia="Palatino Linotype" w:hAnsi="Palatino Linotype" w:cs="Palatino Linotype"/>
          <w:b/>
          <w:color w:val="000000" w:themeColor="text1"/>
        </w:rPr>
        <w:t xml:space="preserve">fracción </w:t>
      </w:r>
      <w:r w:rsidR="001C4076" w:rsidRPr="00D276AE">
        <w:rPr>
          <w:rFonts w:ascii="Palatino Linotype" w:eastAsia="Palatino Linotype" w:hAnsi="Palatino Linotype" w:cs="Palatino Linotype"/>
          <w:b/>
          <w:color w:val="000000" w:themeColor="text1"/>
        </w:rPr>
        <w:t>V</w:t>
      </w:r>
      <w:r w:rsidR="00150225" w:rsidRPr="00D276AE">
        <w:rPr>
          <w:rFonts w:ascii="Palatino Linotype" w:eastAsia="Palatino Linotype" w:hAnsi="Palatino Linotype" w:cs="Palatino Linotype"/>
          <w:b/>
          <w:color w:val="000000" w:themeColor="text1"/>
        </w:rPr>
        <w:t>I</w:t>
      </w:r>
      <w:r w:rsidRPr="00D276AE">
        <w:rPr>
          <w:rFonts w:ascii="Palatino Linotype" w:eastAsia="Palatino Linotype" w:hAnsi="Palatino Linotype" w:cs="Palatino Linotype"/>
          <w:b/>
          <w:color w:val="000000" w:themeColor="text1"/>
        </w:rPr>
        <w:t xml:space="preserve"> </w:t>
      </w:r>
      <w:r w:rsidRPr="00D276AE">
        <w:rPr>
          <w:rFonts w:ascii="Palatino Linotype" w:eastAsia="Palatino Linotype" w:hAnsi="Palatino Linotype" w:cs="Palatino Linotype"/>
          <w:color w:val="000000" w:themeColor="text1"/>
        </w:rPr>
        <w:t xml:space="preserve">de la </w:t>
      </w:r>
      <w:r w:rsidRPr="00D276AE">
        <w:rPr>
          <w:rFonts w:ascii="Palatino Linotype" w:eastAsia="Palatino Linotype" w:hAnsi="Palatino Linotype" w:cs="Palatino Linotype"/>
          <w:b/>
          <w:color w:val="000000" w:themeColor="text1"/>
        </w:rPr>
        <w:t xml:space="preserve">Ley de Transparencia y Acceso a la Información Pública del </w:t>
      </w:r>
      <w:r w:rsidRPr="00D276AE">
        <w:rPr>
          <w:rFonts w:ascii="Palatino Linotype" w:eastAsia="Palatino Linotype" w:hAnsi="Palatino Linotype" w:cs="Palatino Linotype"/>
          <w:color w:val="000000" w:themeColor="text1"/>
        </w:rPr>
        <w:t>Estado</w:t>
      </w:r>
      <w:r w:rsidRPr="00D276AE">
        <w:rPr>
          <w:rFonts w:ascii="Palatino Linotype" w:eastAsia="Palatino Linotype" w:hAnsi="Palatino Linotype" w:cs="Palatino Linotype"/>
          <w:b/>
          <w:color w:val="000000" w:themeColor="text1"/>
        </w:rPr>
        <w:t xml:space="preserve"> de México y Municipios</w:t>
      </w:r>
      <w:r w:rsidRPr="00D276AE">
        <w:rPr>
          <w:rFonts w:ascii="Palatino Linotype" w:eastAsia="Palatino Linotype" w:hAnsi="Palatino Linotype" w:cs="Palatino Linotype"/>
          <w:color w:val="000000" w:themeColor="text1"/>
        </w:rPr>
        <w:t>; fracción que determina la hipót</w:t>
      </w:r>
      <w:r w:rsidR="00677898" w:rsidRPr="00D276AE">
        <w:rPr>
          <w:rFonts w:ascii="Palatino Linotype" w:eastAsia="Palatino Linotype" w:hAnsi="Palatino Linotype" w:cs="Palatino Linotype"/>
          <w:color w:val="000000" w:themeColor="text1"/>
        </w:rPr>
        <w:t xml:space="preserve">esis jurídica relativa a </w:t>
      </w:r>
      <w:r w:rsidR="00150225" w:rsidRPr="00D276AE">
        <w:rPr>
          <w:rFonts w:ascii="Palatino Linotype" w:eastAsia="Palatino Linotype" w:hAnsi="Palatino Linotype" w:cs="Palatino Linotype"/>
          <w:color w:val="000000" w:themeColor="text1"/>
        </w:rPr>
        <w:t>la</w:t>
      </w:r>
      <w:r w:rsidR="001C4076" w:rsidRPr="00D276AE">
        <w:rPr>
          <w:rFonts w:ascii="Palatino Linotype" w:eastAsia="Palatino Linotype" w:hAnsi="Palatino Linotype" w:cs="Palatino Linotype"/>
          <w:color w:val="000000" w:themeColor="text1"/>
        </w:rPr>
        <w:t xml:space="preserve"> </w:t>
      </w:r>
      <w:r w:rsidR="00D52CBA" w:rsidRPr="00D276AE">
        <w:rPr>
          <w:rFonts w:ascii="Palatino Linotype" w:eastAsia="Palatino Linotype" w:hAnsi="Palatino Linotype" w:cs="Palatino Linotype"/>
          <w:color w:val="000000" w:themeColor="text1"/>
        </w:rPr>
        <w:t>entrega de información que no corresponde con la solicitado</w:t>
      </w:r>
      <w:r w:rsidRPr="00D276AE">
        <w:rPr>
          <w:rFonts w:ascii="Palatino Linotype" w:eastAsia="Palatino Linotype" w:hAnsi="Palatino Linotype" w:cs="Palatino Linotype"/>
          <w:color w:val="000000" w:themeColor="text1"/>
        </w:rPr>
        <w:t xml:space="preserve">; contexto del cual se dolió </w:t>
      </w:r>
      <w:r w:rsidR="00BB66B2" w:rsidRPr="00D276AE">
        <w:rPr>
          <w:rFonts w:ascii="Palatino Linotype" w:eastAsia="Palatino Linotype" w:hAnsi="Palatino Linotype" w:cs="Palatino Linotype"/>
          <w:b/>
          <w:color w:val="000000" w:themeColor="text1"/>
        </w:rPr>
        <w:t>LA RECURRENTE</w:t>
      </w:r>
      <w:r w:rsidRPr="00D276AE">
        <w:rPr>
          <w:rFonts w:ascii="Palatino Linotype" w:eastAsia="Palatino Linotype" w:hAnsi="Palatino Linotype" w:cs="Palatino Linotype"/>
          <w:b/>
          <w:color w:val="000000" w:themeColor="text1"/>
        </w:rPr>
        <w:t xml:space="preserve"> </w:t>
      </w:r>
      <w:r w:rsidRPr="00D276AE">
        <w:rPr>
          <w:rFonts w:ascii="Palatino Linotype" w:eastAsia="Palatino Linotype" w:hAnsi="Palatino Linotype" w:cs="Palatino Linotype"/>
          <w:color w:val="000000" w:themeColor="text1"/>
        </w:rPr>
        <w:t>al momento de interponer su inconformidad.</w:t>
      </w:r>
    </w:p>
    <w:p w14:paraId="31B2E1D4" w14:textId="77777777" w:rsidR="00150225" w:rsidRPr="00D276AE" w:rsidRDefault="00150225" w:rsidP="00E16D4D">
      <w:pPr>
        <w:pStyle w:val="Prrafodelista"/>
        <w:spacing w:line="360" w:lineRule="auto"/>
        <w:ind w:left="0"/>
        <w:rPr>
          <w:rFonts w:ascii="Palatino Linotype" w:hAnsi="Palatino Linotype"/>
          <w:color w:val="000000" w:themeColor="text1"/>
        </w:rPr>
      </w:pPr>
    </w:p>
    <w:p w14:paraId="368E448E" w14:textId="77777777" w:rsidR="00E31311" w:rsidRPr="00D276AE" w:rsidRDefault="00DF6EAE" w:rsidP="00E16D4D">
      <w:pPr>
        <w:numPr>
          <w:ilvl w:val="0"/>
          <w:numId w:val="3"/>
        </w:numPr>
        <w:spacing w:line="360" w:lineRule="auto"/>
        <w:ind w:left="0" w:firstLine="0"/>
        <w:jc w:val="both"/>
        <w:rPr>
          <w:rFonts w:ascii="Palatino Linotype" w:hAnsi="Palatino Linotype"/>
          <w:color w:val="000000" w:themeColor="text1"/>
        </w:rPr>
      </w:pPr>
      <w:r w:rsidRPr="00D276AE">
        <w:rPr>
          <w:rFonts w:ascii="Palatino Linotype" w:eastAsia="Palatino Linotype" w:hAnsi="Palatino Linotype" w:cs="Palatino Linotype"/>
          <w:color w:val="000000" w:themeColor="text1"/>
        </w:rPr>
        <w:t xml:space="preserve">De modo tal que el presente recurso de revisión se abocará en determinar si el </w:t>
      </w:r>
      <w:r w:rsidRPr="00D276AE">
        <w:rPr>
          <w:rFonts w:ascii="Palatino Linotype" w:eastAsia="Palatino Linotype" w:hAnsi="Palatino Linotype" w:cs="Palatino Linotype"/>
          <w:b/>
          <w:color w:val="000000" w:themeColor="text1"/>
        </w:rPr>
        <w:t>SUJETO</w:t>
      </w:r>
      <w:r w:rsidRPr="00D276AE">
        <w:rPr>
          <w:rFonts w:ascii="Palatino Linotype" w:eastAsia="Palatino Linotype" w:hAnsi="Palatino Linotype" w:cs="Palatino Linotype"/>
          <w:color w:val="000000" w:themeColor="text1"/>
        </w:rPr>
        <w:t xml:space="preserve"> </w:t>
      </w:r>
      <w:r w:rsidRPr="00D276AE">
        <w:rPr>
          <w:rFonts w:ascii="Palatino Linotype" w:eastAsia="Palatino Linotype" w:hAnsi="Palatino Linotype" w:cs="Palatino Linotype"/>
          <w:b/>
          <w:color w:val="000000" w:themeColor="text1"/>
        </w:rPr>
        <w:t>OBLIGADO</w:t>
      </w:r>
      <w:r w:rsidRPr="00D276AE">
        <w:rPr>
          <w:rFonts w:ascii="Palatino Linotype" w:eastAsia="Palatino Linotype" w:hAnsi="Palatino Linotype" w:cs="Palatino Linotype"/>
          <w:color w:val="000000" w:themeColor="text1"/>
        </w:rPr>
        <w:t xml:space="preserve"> con su respuesta ciertamente actualiza la causal de procedencia</w:t>
      </w:r>
      <w:r w:rsidRPr="00D276AE">
        <w:rPr>
          <w:rFonts w:ascii="Palatino Linotype" w:eastAsia="Palatino Linotype" w:hAnsi="Palatino Linotype" w:cs="Palatino Linotype"/>
          <w:b/>
          <w:color w:val="000000" w:themeColor="text1"/>
        </w:rPr>
        <w:t xml:space="preserve"> </w:t>
      </w:r>
      <w:r w:rsidRPr="00D276AE">
        <w:rPr>
          <w:rFonts w:ascii="Palatino Linotype" w:eastAsia="Palatino Linotype" w:hAnsi="Palatino Linotype" w:cs="Palatino Linotype"/>
          <w:color w:val="000000" w:themeColor="text1"/>
        </w:rPr>
        <w:t xml:space="preserve">antes señalada. </w:t>
      </w:r>
    </w:p>
    <w:p w14:paraId="2446DD50" w14:textId="77777777" w:rsidR="00027932" w:rsidRPr="00D276AE" w:rsidRDefault="00027932" w:rsidP="00E16D4D">
      <w:pPr>
        <w:spacing w:line="360" w:lineRule="auto"/>
        <w:jc w:val="both"/>
        <w:rPr>
          <w:rFonts w:ascii="Palatino Linotype" w:eastAsia="Palatino Linotype" w:hAnsi="Palatino Linotype" w:cs="Palatino Linotype"/>
          <w:color w:val="000000" w:themeColor="text1"/>
        </w:rPr>
      </w:pPr>
    </w:p>
    <w:p w14:paraId="3585424D" w14:textId="77777777" w:rsidR="00027932" w:rsidRPr="00D276AE" w:rsidRDefault="00027932" w:rsidP="00E16D4D">
      <w:pPr>
        <w:spacing w:line="360" w:lineRule="auto"/>
        <w:jc w:val="both"/>
        <w:rPr>
          <w:rFonts w:ascii="Palatino Linotype" w:eastAsia="Palatino Linotype" w:hAnsi="Palatino Linotype" w:cs="Palatino Linotype"/>
          <w:b/>
          <w:color w:val="000000" w:themeColor="text1"/>
          <w:lang w:eastAsia="es-MX"/>
        </w:rPr>
      </w:pPr>
      <w:bookmarkStart w:id="6" w:name="_heading=h.3dy6vkm" w:colFirst="0" w:colLast="0"/>
      <w:bookmarkEnd w:id="6"/>
      <w:r w:rsidRPr="00D276AE">
        <w:rPr>
          <w:rFonts w:ascii="Palatino Linotype" w:eastAsia="Palatino Linotype" w:hAnsi="Palatino Linotype" w:cs="Palatino Linotype"/>
          <w:b/>
          <w:color w:val="000000" w:themeColor="text1"/>
        </w:rPr>
        <w:t>CUARTO. Estudio y Resolución del asunto.</w:t>
      </w:r>
    </w:p>
    <w:p w14:paraId="544D6168" w14:textId="77777777" w:rsidR="00027932" w:rsidRPr="00D276AE" w:rsidRDefault="00027932" w:rsidP="00E16D4D">
      <w:pPr>
        <w:jc w:val="both"/>
        <w:rPr>
          <w:rFonts w:ascii="Palatino Linotype" w:eastAsia="Palatino Linotype" w:hAnsi="Palatino Linotype" w:cs="Palatino Linotype"/>
          <w:b/>
          <w:color w:val="000000" w:themeColor="text1"/>
        </w:rPr>
      </w:pPr>
    </w:p>
    <w:p w14:paraId="379EC007" w14:textId="2F704D15" w:rsidR="00027932" w:rsidRPr="00D276AE" w:rsidRDefault="00027932" w:rsidP="00E16D4D">
      <w:pPr>
        <w:pStyle w:val="Prrafodelista"/>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60399FF0" w14:textId="77777777" w:rsidR="00027932" w:rsidRPr="00D276AE" w:rsidRDefault="00027932" w:rsidP="00E16D4D">
      <w:pPr>
        <w:spacing w:line="360" w:lineRule="auto"/>
        <w:jc w:val="both"/>
        <w:rPr>
          <w:rFonts w:ascii="Palatino Linotype" w:eastAsia="Palatino Linotype" w:hAnsi="Palatino Linotype" w:cs="Palatino Linotype"/>
          <w:b/>
          <w:color w:val="000000" w:themeColor="text1"/>
        </w:rPr>
      </w:pPr>
    </w:p>
    <w:p w14:paraId="1DB99A66" w14:textId="77777777"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t xml:space="preserve">Definiendo el Derecho de Acceso a la Información Pública como: </w:t>
      </w:r>
      <w:r w:rsidRPr="00D276AE">
        <w:rPr>
          <w:rFonts w:ascii="Palatino Linotype" w:eastAsia="Palatino Linotype" w:hAnsi="Palatino Linotype" w:cs="Palatino Linotype"/>
          <w:i/>
          <w:color w:val="000000" w:themeColor="text1"/>
        </w:rPr>
        <w:t xml:space="preserve">La igualdad de </w:t>
      </w:r>
      <w:r w:rsidRPr="00D276AE">
        <w:rPr>
          <w:rFonts w:ascii="Palatino Linotype" w:eastAsia="Palatino Linotype" w:hAnsi="Palatino Linotype" w:cs="Palatino Linotype"/>
          <w:color w:val="000000" w:themeColor="text1"/>
        </w:rPr>
        <w:t>oportunidades</w:t>
      </w:r>
      <w:r w:rsidRPr="00D276AE">
        <w:rPr>
          <w:rFonts w:ascii="Palatino Linotype" w:eastAsia="Palatino Linotype" w:hAnsi="Palatino Linotype" w:cs="Palatino Linotype"/>
          <w:i/>
          <w:color w:val="000000" w:themeColor="text1"/>
        </w:rPr>
        <w:t xml:space="preserve"> para recibir, buscar e impartir información</w:t>
      </w:r>
      <w:r w:rsidRPr="00D276AE">
        <w:rPr>
          <w:rFonts w:ascii="Palatino Linotype" w:eastAsia="Palatino Linotype" w:hAnsi="Palatino Linotype" w:cs="Palatino Linotype"/>
          <w:i/>
          <w:color w:val="000000" w:themeColor="text1"/>
          <w:vertAlign w:val="superscript"/>
        </w:rPr>
        <w:footnoteReference w:id="2"/>
      </w:r>
      <w:r w:rsidRPr="00D276AE">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76AE">
        <w:rPr>
          <w:rFonts w:ascii="Palatino Linotype" w:eastAsia="Palatino Linotype" w:hAnsi="Palatino Linotype" w:cs="Palatino Linotype"/>
          <w:i/>
          <w:color w:val="000000" w:themeColor="text1"/>
          <w:vertAlign w:val="superscript"/>
        </w:rPr>
        <w:footnoteReference w:id="3"/>
      </w:r>
      <w:r w:rsidRPr="00D276AE">
        <w:rPr>
          <w:rFonts w:ascii="Palatino Linotype" w:eastAsia="Palatino Linotype" w:hAnsi="Palatino Linotype" w:cs="Palatino Linotype"/>
          <w:color w:val="000000" w:themeColor="text1"/>
        </w:rPr>
        <w:t>que se constituye como una herramienta fundamental para ejercer</w:t>
      </w:r>
      <w:r w:rsidRPr="00D276AE">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D276AE">
        <w:rPr>
          <w:rFonts w:ascii="Palatino Linotype" w:eastAsia="Palatino Linotype" w:hAnsi="Palatino Linotype" w:cs="Palatino Linotype"/>
          <w:i/>
          <w:color w:val="000000" w:themeColor="text1"/>
          <w:vertAlign w:val="superscript"/>
        </w:rPr>
        <w:footnoteReference w:id="4"/>
      </w:r>
      <w:r w:rsidRPr="00D276AE">
        <w:rPr>
          <w:rFonts w:ascii="Palatino Linotype" w:eastAsia="Palatino Linotype" w:hAnsi="Palatino Linotype" w:cs="Palatino Linotype"/>
          <w:color w:val="000000" w:themeColor="text1"/>
        </w:rPr>
        <w:t>fomentando</w:t>
      </w:r>
      <w:r w:rsidRPr="00D276AE">
        <w:rPr>
          <w:rFonts w:ascii="Palatino Linotype" w:eastAsia="Palatino Linotype" w:hAnsi="Palatino Linotype" w:cs="Palatino Linotype"/>
          <w:i/>
          <w:color w:val="000000" w:themeColor="text1"/>
        </w:rPr>
        <w:t xml:space="preserve"> la transparencia de las actividades estatales y </w:t>
      </w:r>
      <w:r w:rsidRPr="00D276AE">
        <w:rPr>
          <w:rFonts w:ascii="Palatino Linotype" w:eastAsia="Palatino Linotype" w:hAnsi="Palatino Linotype" w:cs="Palatino Linotype"/>
          <w:color w:val="000000" w:themeColor="text1"/>
        </w:rPr>
        <w:t>promoviendo</w:t>
      </w:r>
      <w:r w:rsidRPr="00D276AE">
        <w:rPr>
          <w:rFonts w:ascii="Palatino Linotype" w:eastAsia="Palatino Linotype" w:hAnsi="Palatino Linotype" w:cs="Palatino Linotype"/>
          <w:i/>
          <w:color w:val="000000" w:themeColor="text1"/>
        </w:rPr>
        <w:t xml:space="preserve"> la responsabilidad de los funcionarios sobre su gestión pública,</w:t>
      </w:r>
      <w:r w:rsidRPr="00D276AE">
        <w:rPr>
          <w:rFonts w:ascii="Palatino Linotype" w:eastAsia="Palatino Linotype" w:hAnsi="Palatino Linotype" w:cs="Palatino Linotype"/>
          <w:i/>
          <w:color w:val="000000" w:themeColor="text1"/>
          <w:vertAlign w:val="superscript"/>
        </w:rPr>
        <w:footnoteReference w:id="5"/>
      </w:r>
      <w:r w:rsidRPr="00D276AE">
        <w:rPr>
          <w:rFonts w:ascii="Palatino Linotype" w:eastAsia="Palatino Linotype" w:hAnsi="Palatino Linotype" w:cs="Palatino Linotype"/>
          <w:color w:val="000000" w:themeColor="text1"/>
        </w:rPr>
        <w:t>que permite</w:t>
      </w:r>
      <w:r w:rsidRPr="00D276A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7464F738" w14:textId="77777777" w:rsidR="00027932" w:rsidRPr="00D276AE" w:rsidRDefault="00027932" w:rsidP="00E16D4D">
      <w:pPr>
        <w:rPr>
          <w:rFonts w:ascii="Palatino Linotype" w:eastAsia="Palatino Linotype" w:hAnsi="Palatino Linotype" w:cs="Palatino Linotype"/>
          <w:color w:val="000000" w:themeColor="text1"/>
        </w:rPr>
      </w:pPr>
    </w:p>
    <w:p w14:paraId="606D1A13" w14:textId="77777777"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548E391F" w14:textId="77777777" w:rsidR="00027932" w:rsidRPr="00D276AE" w:rsidRDefault="00027932" w:rsidP="00E16D4D">
      <w:pPr>
        <w:jc w:val="both"/>
        <w:rPr>
          <w:rFonts w:ascii="Palatino Linotype" w:eastAsia="Palatino Linotype" w:hAnsi="Palatino Linotype" w:cs="Palatino Linotype"/>
          <w:b/>
          <w:color w:val="000000" w:themeColor="text1"/>
        </w:rPr>
      </w:pPr>
    </w:p>
    <w:p w14:paraId="6F323B84"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r w:rsidRPr="00D276AE">
        <w:rPr>
          <w:rFonts w:ascii="Palatino Linotype" w:eastAsia="Palatino Linotype" w:hAnsi="Palatino Linotype" w:cs="Palatino Linotype"/>
          <w:b/>
          <w:i/>
          <w:color w:val="000000" w:themeColor="text1"/>
        </w:rPr>
        <w:t>Artículo 1.-</w:t>
      </w:r>
      <w:r w:rsidRPr="00D276AE">
        <w:rPr>
          <w:rFonts w:ascii="Palatino Linotype" w:eastAsia="Palatino Linotype" w:hAnsi="Palatino Linotype" w:cs="Palatino Linotype"/>
          <w:i/>
          <w:color w:val="000000" w:themeColor="text1"/>
        </w:rPr>
        <w:t xml:space="preserve"> </w:t>
      </w:r>
    </w:p>
    <w:p w14:paraId="75222E50"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p>
    <w:p w14:paraId="3B579A8A"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Todas las</w:t>
      </w:r>
      <w:r w:rsidRPr="00D276AE">
        <w:rPr>
          <w:rFonts w:ascii="Palatino Linotype" w:eastAsia="Palatino Linotype" w:hAnsi="Palatino Linotype" w:cs="Palatino Linotype"/>
          <w:color w:val="000000" w:themeColor="text1"/>
        </w:rPr>
        <w:t xml:space="preserve"> </w:t>
      </w:r>
      <w:r w:rsidRPr="00D276AE">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AD07421" w14:textId="77777777" w:rsidR="00027932" w:rsidRPr="00D276AE" w:rsidRDefault="00027932" w:rsidP="00E16D4D">
      <w:pPr>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i/>
          <w:color w:val="000000" w:themeColor="text1"/>
        </w:rPr>
        <w:t>(…)</w:t>
      </w:r>
      <w:r w:rsidRPr="00D276AE">
        <w:rPr>
          <w:rFonts w:ascii="Palatino Linotype" w:eastAsia="Palatino Linotype" w:hAnsi="Palatino Linotype" w:cs="Palatino Linotype"/>
          <w:color w:val="000000" w:themeColor="text1"/>
        </w:rPr>
        <w:t>”</w:t>
      </w:r>
    </w:p>
    <w:p w14:paraId="1A03E138" w14:textId="77777777" w:rsidR="00027932" w:rsidRPr="00D276AE" w:rsidRDefault="00027932" w:rsidP="00E16D4D">
      <w:pPr>
        <w:jc w:val="both"/>
        <w:rPr>
          <w:rFonts w:ascii="Palatino Linotype" w:eastAsia="Palatino Linotype" w:hAnsi="Palatino Linotype" w:cs="Palatino Linotype"/>
          <w:b/>
          <w:color w:val="000000" w:themeColor="text1"/>
        </w:rPr>
      </w:pPr>
    </w:p>
    <w:p w14:paraId="21E3E2E8" w14:textId="77777777"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E84B5A6" w14:textId="77777777" w:rsidR="00027932" w:rsidRPr="00D276AE" w:rsidRDefault="00027932" w:rsidP="00E16D4D">
      <w:pPr>
        <w:jc w:val="both"/>
        <w:rPr>
          <w:rFonts w:ascii="Palatino Linotype" w:eastAsia="Palatino Linotype" w:hAnsi="Palatino Linotype" w:cs="Palatino Linotype"/>
          <w:b/>
          <w:color w:val="000000" w:themeColor="text1"/>
        </w:rPr>
      </w:pPr>
    </w:p>
    <w:p w14:paraId="04397335" w14:textId="77777777"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2B0559D3" w14:textId="77777777" w:rsidR="00027932" w:rsidRPr="00D276AE" w:rsidRDefault="00027932" w:rsidP="00E16D4D">
      <w:pPr>
        <w:rPr>
          <w:rFonts w:ascii="Palatino Linotype" w:eastAsia="Palatino Linotype" w:hAnsi="Palatino Linotype" w:cs="Palatino Linotype"/>
          <w:b/>
          <w:color w:val="000000" w:themeColor="text1"/>
        </w:rPr>
      </w:pPr>
    </w:p>
    <w:p w14:paraId="0753B585" w14:textId="77777777" w:rsidR="00027932" w:rsidRPr="00D276AE" w:rsidRDefault="00027932" w:rsidP="00E16D4D">
      <w:pPr>
        <w:jc w:val="both"/>
        <w:rPr>
          <w:rFonts w:ascii="Palatino Linotype" w:eastAsia="Palatino Linotype" w:hAnsi="Palatino Linotype" w:cs="Palatino Linotype"/>
          <w:b/>
          <w:i/>
          <w:color w:val="000000" w:themeColor="text1"/>
        </w:rPr>
      </w:pPr>
      <w:r w:rsidRPr="00D276AE">
        <w:rPr>
          <w:rFonts w:ascii="Palatino Linotype" w:eastAsia="Palatino Linotype" w:hAnsi="Palatino Linotype" w:cs="Palatino Linotype"/>
          <w:b/>
          <w:i/>
          <w:color w:val="000000" w:themeColor="text1"/>
        </w:rPr>
        <w:t>Constitución Política de los Estados Unidos Mexicanos</w:t>
      </w:r>
    </w:p>
    <w:p w14:paraId="316755D5" w14:textId="77777777" w:rsidR="00027932" w:rsidRPr="00D276AE" w:rsidRDefault="00027932" w:rsidP="00E16D4D">
      <w:pPr>
        <w:jc w:val="both"/>
        <w:rPr>
          <w:rFonts w:ascii="Palatino Linotype" w:eastAsia="Palatino Linotype" w:hAnsi="Palatino Linotype" w:cs="Palatino Linotype"/>
          <w:b/>
          <w:i/>
          <w:color w:val="000000" w:themeColor="text1"/>
        </w:rPr>
      </w:pPr>
    </w:p>
    <w:p w14:paraId="64548DCA" w14:textId="77777777" w:rsidR="00027932" w:rsidRPr="00D276AE" w:rsidRDefault="00027932" w:rsidP="00E16D4D">
      <w:pPr>
        <w:jc w:val="both"/>
        <w:rPr>
          <w:rFonts w:ascii="Palatino Linotype" w:eastAsia="Palatino Linotype" w:hAnsi="Palatino Linotype" w:cs="Palatino Linotype"/>
          <w:b/>
          <w:i/>
          <w:color w:val="000000" w:themeColor="text1"/>
        </w:rPr>
      </w:pPr>
      <w:r w:rsidRPr="00D276AE">
        <w:rPr>
          <w:rFonts w:ascii="Palatino Linotype" w:eastAsia="Palatino Linotype" w:hAnsi="Palatino Linotype" w:cs="Palatino Linotype"/>
          <w:b/>
          <w:i/>
          <w:color w:val="000000" w:themeColor="text1"/>
        </w:rPr>
        <w:t>“Artículo 6.</w:t>
      </w:r>
      <w:r w:rsidRPr="00D276AE">
        <w:rPr>
          <w:rFonts w:ascii="Palatino Linotype" w:eastAsia="Palatino Linotype" w:hAnsi="Palatino Linotype" w:cs="Palatino Linotype"/>
          <w:i/>
          <w:color w:val="000000" w:themeColor="text1"/>
        </w:rPr>
        <w:t xml:space="preserve"> …</w:t>
      </w:r>
    </w:p>
    <w:p w14:paraId="1AD06E2E"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p>
    <w:p w14:paraId="491F8E7C"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lastRenderedPageBreak/>
        <w:t>Para efectos de lo dispuesto en el presente artículo se observará lo siguiente:</w:t>
      </w:r>
    </w:p>
    <w:p w14:paraId="5AAA1897" w14:textId="77777777" w:rsidR="00027932" w:rsidRPr="00D276AE" w:rsidRDefault="00027932" w:rsidP="00E16D4D">
      <w:pPr>
        <w:jc w:val="both"/>
        <w:rPr>
          <w:rFonts w:ascii="Palatino Linotype" w:eastAsia="Palatino Linotype" w:hAnsi="Palatino Linotype" w:cs="Palatino Linotype"/>
          <w:b/>
          <w:i/>
          <w:color w:val="000000" w:themeColor="text1"/>
        </w:rPr>
      </w:pPr>
      <w:r w:rsidRPr="00D276AE">
        <w:rPr>
          <w:rFonts w:ascii="Palatino Linotype" w:eastAsia="Palatino Linotype" w:hAnsi="Palatino Linotype" w:cs="Palatino Linotype"/>
          <w:b/>
          <w:i/>
          <w:color w:val="000000" w:themeColor="text1"/>
        </w:rPr>
        <w:t>A</w:t>
      </w:r>
      <w:r w:rsidRPr="00D276AE">
        <w:rPr>
          <w:rFonts w:ascii="Palatino Linotype" w:eastAsia="Palatino Linotype" w:hAnsi="Palatino Linotype" w:cs="Palatino Linotype"/>
          <w:i/>
          <w:color w:val="000000" w:themeColor="text1"/>
        </w:rPr>
        <w:t xml:space="preserve">. </w:t>
      </w:r>
      <w:r w:rsidRPr="00D276AE">
        <w:rPr>
          <w:rFonts w:ascii="Palatino Linotype" w:eastAsia="Palatino Linotype" w:hAnsi="Palatino Linotype" w:cs="Palatino Linotype"/>
          <w:b/>
          <w:i/>
          <w:color w:val="000000" w:themeColor="text1"/>
        </w:rPr>
        <w:t>Para el ejercicio del derecho de acceso a la información</w:t>
      </w:r>
      <w:r w:rsidRPr="00D276AE">
        <w:rPr>
          <w:rFonts w:ascii="Palatino Linotype" w:eastAsia="Palatino Linotype" w:hAnsi="Palatino Linotype" w:cs="Palatino Linotype"/>
          <w:i/>
          <w:color w:val="000000" w:themeColor="text1"/>
        </w:rPr>
        <w:t xml:space="preserve">, la Federación y </w:t>
      </w:r>
      <w:r w:rsidRPr="00D276AE">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4A7E4820"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b/>
          <w:i/>
          <w:color w:val="000000" w:themeColor="text1"/>
        </w:rPr>
        <w:t xml:space="preserve">I. </w:t>
      </w:r>
      <w:r w:rsidRPr="00D276AE">
        <w:rPr>
          <w:rFonts w:ascii="Palatino Linotype" w:eastAsia="Palatino Linotype" w:hAnsi="Palatino Linotype" w:cs="Palatino Linotype"/>
          <w:b/>
          <w:i/>
          <w:color w:val="000000" w:themeColor="text1"/>
        </w:rPr>
        <w:tab/>
        <w:t>Toda la información en posesión de cualquier</w:t>
      </w:r>
      <w:r w:rsidRPr="00D276AE">
        <w:rPr>
          <w:rFonts w:ascii="Palatino Linotype" w:eastAsia="Palatino Linotype" w:hAnsi="Palatino Linotype" w:cs="Palatino Linotype"/>
          <w:i/>
          <w:color w:val="000000" w:themeColor="text1"/>
        </w:rPr>
        <w:t xml:space="preserve"> </w:t>
      </w:r>
      <w:r w:rsidRPr="00D276AE">
        <w:rPr>
          <w:rFonts w:ascii="Palatino Linotype" w:eastAsia="Palatino Linotype" w:hAnsi="Palatino Linotype" w:cs="Palatino Linotype"/>
          <w:b/>
          <w:i/>
          <w:color w:val="000000" w:themeColor="text1"/>
        </w:rPr>
        <w:t>autoridad</w:t>
      </w:r>
      <w:r w:rsidRPr="00D276AE">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276AE">
        <w:rPr>
          <w:rFonts w:ascii="Palatino Linotype" w:eastAsia="Palatino Linotype" w:hAnsi="Palatino Linotype" w:cs="Palatino Linotype"/>
          <w:b/>
          <w:i/>
          <w:color w:val="000000" w:themeColor="text1"/>
        </w:rPr>
        <w:t>municipal</w:t>
      </w:r>
      <w:r w:rsidRPr="00D276AE">
        <w:rPr>
          <w:rFonts w:ascii="Palatino Linotype" w:eastAsia="Palatino Linotype" w:hAnsi="Palatino Linotype" w:cs="Palatino Linotype"/>
          <w:i/>
          <w:color w:val="000000" w:themeColor="text1"/>
        </w:rPr>
        <w:t xml:space="preserve">, </w:t>
      </w:r>
      <w:r w:rsidRPr="00D276AE">
        <w:rPr>
          <w:rFonts w:ascii="Palatino Linotype" w:eastAsia="Palatino Linotype" w:hAnsi="Palatino Linotype" w:cs="Palatino Linotype"/>
          <w:b/>
          <w:i/>
          <w:color w:val="000000" w:themeColor="text1"/>
        </w:rPr>
        <w:t>es pública</w:t>
      </w:r>
      <w:r w:rsidRPr="00D276AE">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276AE">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276A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69A1C359" w14:textId="77777777" w:rsidR="00027932" w:rsidRPr="00D276AE" w:rsidRDefault="00027932" w:rsidP="00E16D4D">
      <w:pPr>
        <w:tabs>
          <w:tab w:val="left" w:pos="426"/>
          <w:tab w:val="left" w:pos="567"/>
        </w:tabs>
        <w:jc w:val="both"/>
        <w:rPr>
          <w:rFonts w:ascii="Palatino Linotype" w:eastAsia="Palatino Linotype" w:hAnsi="Palatino Linotype" w:cs="Palatino Linotype"/>
          <w:color w:val="000000" w:themeColor="text1"/>
        </w:rPr>
      </w:pPr>
    </w:p>
    <w:p w14:paraId="7DD0115C" w14:textId="77777777" w:rsidR="00027932" w:rsidRPr="00D276AE" w:rsidRDefault="00027932" w:rsidP="00E16D4D">
      <w:pPr>
        <w:jc w:val="both"/>
        <w:rPr>
          <w:rFonts w:ascii="Palatino Linotype" w:eastAsia="Palatino Linotype" w:hAnsi="Palatino Linotype" w:cs="Palatino Linotype"/>
          <w:b/>
          <w:i/>
          <w:color w:val="000000" w:themeColor="text1"/>
        </w:rPr>
      </w:pPr>
      <w:r w:rsidRPr="00D276AE">
        <w:rPr>
          <w:rFonts w:ascii="Palatino Linotype" w:eastAsia="Palatino Linotype" w:hAnsi="Palatino Linotype" w:cs="Palatino Linotype"/>
          <w:b/>
          <w:i/>
          <w:color w:val="000000" w:themeColor="text1"/>
        </w:rPr>
        <w:t>Constitución Política del Estado Libre y Soberano de México</w:t>
      </w:r>
    </w:p>
    <w:p w14:paraId="3236E312"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b/>
          <w:i/>
          <w:color w:val="000000" w:themeColor="text1"/>
        </w:rPr>
        <w:t>“Artículo 5</w:t>
      </w:r>
      <w:r w:rsidRPr="00D276AE">
        <w:rPr>
          <w:rFonts w:ascii="Palatino Linotype" w:eastAsia="Palatino Linotype" w:hAnsi="Palatino Linotype" w:cs="Palatino Linotype"/>
          <w:i/>
          <w:color w:val="000000" w:themeColor="text1"/>
        </w:rPr>
        <w:t>.-…</w:t>
      </w:r>
    </w:p>
    <w:p w14:paraId="7EB1EBB2"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w:t>
      </w:r>
    </w:p>
    <w:p w14:paraId="0AAC1AC8"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276AE">
        <w:rPr>
          <w:rFonts w:ascii="Palatino Linotype" w:eastAsia="Palatino Linotype" w:hAnsi="Palatino Linotype" w:cs="Palatino Linotype"/>
          <w:i/>
          <w:color w:val="000000" w:themeColor="text1"/>
        </w:rPr>
        <w:t>.</w:t>
      </w:r>
    </w:p>
    <w:p w14:paraId="078C1BBD"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10D42A" w14:textId="77777777" w:rsidR="00027932" w:rsidRPr="00D276AE" w:rsidRDefault="00027932" w:rsidP="00E16D4D">
      <w:pPr>
        <w:jc w:val="both"/>
        <w:rPr>
          <w:rFonts w:ascii="Palatino Linotype" w:eastAsia="Palatino Linotype" w:hAnsi="Palatino Linotype" w:cs="Palatino Linotype"/>
          <w:i/>
          <w:color w:val="000000" w:themeColor="text1"/>
        </w:rPr>
      </w:pPr>
    </w:p>
    <w:p w14:paraId="11A81312" w14:textId="77777777" w:rsidR="00027932" w:rsidRPr="00D276AE" w:rsidRDefault="00027932" w:rsidP="00E16D4D">
      <w:pPr>
        <w:jc w:val="both"/>
        <w:rPr>
          <w:rFonts w:ascii="Palatino Linotype" w:eastAsia="Palatino Linotype" w:hAnsi="Palatino Linotype" w:cs="Palatino Linotype"/>
          <w:i/>
          <w:color w:val="000000" w:themeColor="text1"/>
        </w:rPr>
      </w:pPr>
      <w:r w:rsidRPr="00D276AE">
        <w:rPr>
          <w:rFonts w:ascii="Palatino Linotype" w:eastAsia="Palatino Linotype" w:hAnsi="Palatino Linotype" w:cs="Palatino Linotype"/>
          <w:b/>
          <w:i/>
          <w:color w:val="000000" w:themeColor="text1"/>
        </w:rPr>
        <w:t>Este derecho se regirá por los principios y bases siguientes</w:t>
      </w:r>
      <w:r w:rsidRPr="00D276AE">
        <w:rPr>
          <w:rFonts w:ascii="Palatino Linotype" w:eastAsia="Palatino Linotype" w:hAnsi="Palatino Linotype" w:cs="Palatino Linotype"/>
          <w:i/>
          <w:color w:val="000000" w:themeColor="text1"/>
        </w:rPr>
        <w:t>:</w:t>
      </w:r>
    </w:p>
    <w:p w14:paraId="77F05BC6" w14:textId="77777777" w:rsidR="00027932" w:rsidRPr="00D276AE" w:rsidRDefault="00027932" w:rsidP="00E16D4D">
      <w:pPr>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i/>
          <w:color w:val="000000" w:themeColor="text1"/>
        </w:rPr>
        <w:t>Toda la información en posesión de cualquier autoridad, entidad, órgano y organismos de los</w:t>
      </w:r>
      <w:r w:rsidRPr="00D276AE">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276AE">
        <w:rPr>
          <w:rFonts w:ascii="Palatino Linotype" w:eastAsia="Palatino Linotype" w:hAnsi="Palatino Linotype" w:cs="Palatino Linotype"/>
          <w:b/>
          <w:i/>
          <w:color w:val="000000" w:themeColor="text1"/>
        </w:rPr>
        <w:t>municipales</w:t>
      </w:r>
      <w:r w:rsidRPr="00D276AE">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276AE">
        <w:rPr>
          <w:rFonts w:ascii="Palatino Linotype" w:eastAsia="Palatino Linotype" w:hAnsi="Palatino Linotype" w:cs="Palatino Linotype"/>
          <w:b/>
          <w:i/>
          <w:color w:val="000000" w:themeColor="text1"/>
        </w:rPr>
        <w:t>es pública</w:t>
      </w:r>
      <w:r w:rsidRPr="00D276AE">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276AE">
        <w:rPr>
          <w:rFonts w:ascii="Palatino Linotype" w:eastAsia="Palatino Linotype" w:hAnsi="Palatino Linotype" w:cs="Palatino Linotype"/>
          <w:b/>
          <w:i/>
          <w:color w:val="000000" w:themeColor="text1"/>
        </w:rPr>
        <w:t>En la interpretación de este derecho deberá prevalecer el principio de máxima publicidad</w:t>
      </w:r>
      <w:r w:rsidRPr="00D276AE">
        <w:rPr>
          <w:rFonts w:ascii="Palatino Linotype" w:eastAsia="Palatino Linotype" w:hAnsi="Palatino Linotype" w:cs="Palatino Linotype"/>
          <w:i/>
          <w:color w:val="000000" w:themeColor="text1"/>
        </w:rPr>
        <w:t xml:space="preserve">. </w:t>
      </w:r>
      <w:r w:rsidRPr="00D276AE">
        <w:rPr>
          <w:rFonts w:ascii="Palatino Linotype" w:eastAsia="Palatino Linotype" w:hAnsi="Palatino Linotype" w:cs="Palatino Linotype"/>
          <w:b/>
          <w:i/>
          <w:color w:val="000000" w:themeColor="text1"/>
        </w:rPr>
        <w:t xml:space="preserve">Los sujetos obligados deberán documentar todo acto que derive del ejercicio de sus </w:t>
      </w:r>
      <w:r w:rsidRPr="00D276AE">
        <w:rPr>
          <w:rFonts w:ascii="Palatino Linotype" w:eastAsia="Palatino Linotype" w:hAnsi="Palatino Linotype" w:cs="Palatino Linotype"/>
          <w:b/>
          <w:i/>
          <w:color w:val="000000" w:themeColor="text1"/>
        </w:rPr>
        <w:lastRenderedPageBreak/>
        <w:t>facultades, competencias o funciones</w:t>
      </w:r>
      <w:r w:rsidRPr="00D276A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AFDAAA5" w14:textId="77777777" w:rsidR="00027932" w:rsidRPr="00D276AE" w:rsidRDefault="00027932" w:rsidP="00E16D4D">
      <w:pPr>
        <w:rPr>
          <w:rFonts w:ascii="Palatino Linotype" w:eastAsia="Palatino Linotype" w:hAnsi="Palatino Linotype" w:cs="Palatino Linotype"/>
          <w:b/>
          <w:color w:val="000000" w:themeColor="text1"/>
        </w:rPr>
      </w:pPr>
    </w:p>
    <w:p w14:paraId="5088758D" w14:textId="77777777"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276AE">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276AE">
        <w:rPr>
          <w:rFonts w:ascii="Palatino Linotype" w:eastAsia="Palatino Linotype" w:hAnsi="Palatino Linotype" w:cs="Palatino Linotype"/>
          <w:color w:val="000000" w:themeColor="text1"/>
        </w:rPr>
        <w:t>, contemplando el derecho de las personas con discapacidad y hablantes de lengua indígena.</w:t>
      </w:r>
    </w:p>
    <w:p w14:paraId="1E12747F" w14:textId="77777777" w:rsidR="00027932" w:rsidRPr="00D276AE" w:rsidRDefault="00027932" w:rsidP="00E16D4D">
      <w:pPr>
        <w:jc w:val="both"/>
        <w:rPr>
          <w:rFonts w:ascii="Palatino Linotype" w:eastAsia="Palatino Linotype" w:hAnsi="Palatino Linotype" w:cs="Palatino Linotype"/>
          <w:b/>
          <w:color w:val="000000" w:themeColor="text1"/>
        </w:rPr>
      </w:pPr>
    </w:p>
    <w:p w14:paraId="450BF08C" w14:textId="77777777"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276AE">
        <w:rPr>
          <w:rFonts w:ascii="Palatino Linotype" w:eastAsia="Palatino Linotype" w:hAnsi="Palatino Linotype" w:cs="Palatino Linotype"/>
          <w:i/>
          <w:color w:val="000000" w:themeColor="text1"/>
        </w:rPr>
        <w:t>solicitudes de acceso a la información</w:t>
      </w:r>
      <w:r w:rsidRPr="00D276AE">
        <w:rPr>
          <w:rFonts w:ascii="Palatino Linotype" w:eastAsia="Palatino Linotype" w:hAnsi="Palatino Linotype" w:cs="Palatino Linotype"/>
          <w:color w:val="000000" w:themeColor="text1"/>
        </w:rPr>
        <w:t>.</w:t>
      </w:r>
    </w:p>
    <w:p w14:paraId="7617FE7A" w14:textId="77777777" w:rsidR="00027932" w:rsidRPr="00D276AE" w:rsidRDefault="00027932" w:rsidP="00E16D4D">
      <w:pPr>
        <w:jc w:val="both"/>
        <w:rPr>
          <w:rFonts w:ascii="Palatino Linotype" w:eastAsia="Palatino Linotype" w:hAnsi="Palatino Linotype" w:cs="Palatino Linotype"/>
          <w:b/>
          <w:color w:val="000000" w:themeColor="text1"/>
        </w:rPr>
      </w:pPr>
    </w:p>
    <w:p w14:paraId="118A8370" w14:textId="77777777"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t xml:space="preserve">Así entonces, se procede analizar, en primer lugar, si el </w:t>
      </w:r>
      <w:r w:rsidRPr="00D276AE">
        <w:rPr>
          <w:rFonts w:ascii="Palatino Linotype" w:eastAsia="Palatino Linotype" w:hAnsi="Palatino Linotype" w:cs="Palatino Linotype"/>
          <w:b/>
          <w:color w:val="000000" w:themeColor="text1"/>
        </w:rPr>
        <w:t>SUJETO OBLIGADO</w:t>
      </w:r>
      <w:r w:rsidRPr="00D276AE">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2237630" w14:textId="77777777" w:rsidR="00C07B7B" w:rsidRPr="00D276AE" w:rsidRDefault="00C07B7B" w:rsidP="00C07B7B">
      <w:pPr>
        <w:spacing w:line="360" w:lineRule="auto"/>
        <w:jc w:val="both"/>
        <w:rPr>
          <w:rFonts w:ascii="Palatino Linotype" w:eastAsia="Palatino Linotype" w:hAnsi="Palatino Linotype" w:cs="Palatino Linotype"/>
          <w:b/>
          <w:color w:val="000000" w:themeColor="text1"/>
        </w:rPr>
      </w:pPr>
    </w:p>
    <w:p w14:paraId="09E10F92" w14:textId="77777777" w:rsidR="00027932" w:rsidRPr="00D276AE" w:rsidRDefault="00027932" w:rsidP="00E16D4D">
      <w:pPr>
        <w:rPr>
          <w:rFonts w:ascii="Palatino Linotype" w:eastAsia="Palatino Linotype" w:hAnsi="Palatino Linotype" w:cs="Palatino Linotype"/>
          <w:b/>
          <w:color w:val="000000" w:themeColor="text1"/>
        </w:rPr>
      </w:pPr>
    </w:p>
    <w:p w14:paraId="1A1F0A24" w14:textId="0C693136" w:rsidR="00027932" w:rsidRPr="00D276AE" w:rsidRDefault="00027932" w:rsidP="00E16D4D">
      <w:pPr>
        <w:pStyle w:val="Prrafodelista"/>
        <w:keepNext/>
        <w:keepLines/>
        <w:numPr>
          <w:ilvl w:val="0"/>
          <w:numId w:val="32"/>
        </w:numPr>
        <w:spacing w:line="360" w:lineRule="auto"/>
        <w:ind w:left="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De la información solicitada y la respuesta del SUJETO OBLIGADO.</w:t>
      </w:r>
    </w:p>
    <w:p w14:paraId="33D4C01A" w14:textId="77777777" w:rsidR="00027932" w:rsidRPr="00D276AE" w:rsidRDefault="00027932" w:rsidP="00E16D4D">
      <w:pPr>
        <w:rPr>
          <w:rFonts w:ascii="Palatino Linotype" w:eastAsia="Palatino Linotype" w:hAnsi="Palatino Linotype" w:cs="Palatino Linotype"/>
          <w:b/>
          <w:color w:val="000000" w:themeColor="text1"/>
        </w:rPr>
      </w:pPr>
    </w:p>
    <w:p w14:paraId="03DA61B1" w14:textId="77777777"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w:t>
      </w:r>
      <w:r w:rsidRPr="00D276AE">
        <w:rPr>
          <w:rFonts w:ascii="Palatino Linotype" w:eastAsia="Palatino Linotype" w:hAnsi="Palatino Linotype" w:cs="Palatino Linotype"/>
          <w:color w:val="000000" w:themeColor="text1"/>
        </w:rPr>
        <w:lastRenderedPageBreak/>
        <w:t>acuerdo con lo establecido en el artículo 8 de la Ley de Transparencia y Acceso a la Información Pública del Estado de México y Municipios.</w:t>
      </w:r>
    </w:p>
    <w:p w14:paraId="6BE27846" w14:textId="77777777" w:rsidR="00027932" w:rsidRPr="00D276AE" w:rsidRDefault="00027932" w:rsidP="00E16D4D">
      <w:pPr>
        <w:jc w:val="both"/>
        <w:rPr>
          <w:rFonts w:ascii="Palatino Linotype" w:eastAsia="Palatino Linotype" w:hAnsi="Palatino Linotype" w:cs="Palatino Linotype"/>
          <w:b/>
          <w:color w:val="000000" w:themeColor="text1"/>
        </w:rPr>
      </w:pPr>
    </w:p>
    <w:p w14:paraId="0D201C15" w14:textId="422E471C"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Así, debemos recapitular que, el </w:t>
      </w:r>
      <w:r w:rsidRPr="00D276AE">
        <w:rPr>
          <w:rFonts w:ascii="Palatino Linotype" w:eastAsia="Palatino Linotype" w:hAnsi="Palatino Linotype" w:cs="Palatino Linotype"/>
          <w:b/>
          <w:color w:val="000000" w:themeColor="text1"/>
        </w:rPr>
        <w:t>RECURRENTE</w:t>
      </w:r>
      <w:r w:rsidRPr="00D276AE">
        <w:rPr>
          <w:rFonts w:ascii="Palatino Linotype" w:eastAsia="Palatino Linotype" w:hAnsi="Palatino Linotype" w:cs="Palatino Linotype"/>
          <w:color w:val="000000" w:themeColor="text1"/>
        </w:rPr>
        <w:t xml:space="preserve"> solicitó el soporte documental donde conste o se advierta  el pago de ISR de los trabajadores del municipio de los ejercicios fiscales 2017, 2018, 2019, 2020, 2022, 2023 y 2025.</w:t>
      </w:r>
    </w:p>
    <w:p w14:paraId="3603E533" w14:textId="77777777" w:rsidR="001F344C" w:rsidRPr="00D276AE" w:rsidRDefault="001F344C" w:rsidP="00E16D4D">
      <w:pPr>
        <w:spacing w:line="360" w:lineRule="auto"/>
        <w:jc w:val="both"/>
        <w:rPr>
          <w:rFonts w:ascii="Palatino Linotype" w:eastAsia="Palatino Linotype" w:hAnsi="Palatino Linotype" w:cs="Palatino Linotype"/>
          <w:color w:val="000000" w:themeColor="text1"/>
        </w:rPr>
      </w:pPr>
    </w:p>
    <w:p w14:paraId="4E7C9C1C" w14:textId="2937BA34" w:rsidR="001C4076" w:rsidRPr="00D276AE" w:rsidRDefault="001F344C" w:rsidP="00E16D4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Del Recurso de referencia, </w:t>
      </w:r>
      <w:r w:rsidR="006B1EE0" w:rsidRPr="00D276AE">
        <w:rPr>
          <w:rFonts w:ascii="Palatino Linotype" w:eastAsia="Palatino Linotype" w:hAnsi="Palatino Linotype" w:cs="Palatino Linotype"/>
          <w:color w:val="000000" w:themeColor="text1"/>
        </w:rPr>
        <w:t xml:space="preserve">resulta oportuno </w:t>
      </w:r>
      <w:r w:rsidRPr="00D276AE">
        <w:rPr>
          <w:rFonts w:ascii="Palatino Linotype" w:eastAsia="Palatino Linotype" w:hAnsi="Palatino Linotype" w:cs="Palatino Linotype"/>
          <w:color w:val="000000" w:themeColor="text1"/>
        </w:rPr>
        <w:t xml:space="preserve">primeramente </w:t>
      </w:r>
      <w:r w:rsidR="00014868" w:rsidRPr="00D276AE">
        <w:rPr>
          <w:rFonts w:ascii="Palatino Linotype" w:eastAsia="Palatino Linotype" w:hAnsi="Palatino Linotype" w:cs="Palatino Linotype"/>
          <w:color w:val="000000" w:themeColor="text1"/>
        </w:rPr>
        <w:t xml:space="preserve">recordar </w:t>
      </w:r>
      <w:r w:rsidR="001C4076" w:rsidRPr="00D276AE">
        <w:rPr>
          <w:rFonts w:ascii="Palatino Linotype" w:eastAsia="Palatino Linotype" w:hAnsi="Palatino Linotype" w:cs="Palatino Linotype"/>
          <w:color w:val="000000" w:themeColor="text1"/>
        </w:rPr>
        <w:t>los motivos de inconformidad que versan en la entrega de información que no corresponde con la solicitada</w:t>
      </w:r>
      <w:r w:rsidR="00FF36B4" w:rsidRPr="00D276AE">
        <w:rPr>
          <w:rFonts w:ascii="Palatino Linotype" w:eastAsia="Palatino Linotype" w:hAnsi="Palatino Linotype" w:cs="Palatino Linotype"/>
          <w:color w:val="000000" w:themeColor="text1"/>
        </w:rPr>
        <w:t>, por corresponder lo entregado a</w:t>
      </w:r>
      <w:r w:rsidR="00027932" w:rsidRPr="00D276AE">
        <w:rPr>
          <w:rFonts w:ascii="Palatino Linotype" w:eastAsia="Palatino Linotype" w:hAnsi="Palatino Linotype" w:cs="Palatino Linotype"/>
          <w:color w:val="000000" w:themeColor="text1"/>
        </w:rPr>
        <w:t xml:space="preserve"> la opinión de</w:t>
      </w:r>
      <w:r w:rsidR="00FF36B4" w:rsidRPr="00D276AE">
        <w:rPr>
          <w:rFonts w:ascii="Palatino Linotype" w:eastAsia="Palatino Linotype" w:hAnsi="Palatino Linotype" w:cs="Palatino Linotype"/>
          <w:color w:val="000000" w:themeColor="text1"/>
        </w:rPr>
        <w:t xml:space="preserve"> </w:t>
      </w:r>
      <w:r w:rsidR="00027932" w:rsidRPr="00D276AE">
        <w:rPr>
          <w:rFonts w:ascii="Palatino Linotype" w:eastAsia="Palatino Linotype" w:hAnsi="Palatino Linotype" w:cs="Palatino Linotype"/>
          <w:color w:val="000000" w:themeColor="text1"/>
        </w:rPr>
        <w:t>cumplimiento de fecha 19 de marzo de 2025, emitida por el Servicio de Administración Tributaria, e indica que al ser la opinión de cumplimiento positiva, refleja que el Municipio de Toluca en su calidad de retenedor ha cumplido de manera satisfactoria con sus obligaciones fiscales, particularmente el entero del Impuesto Sobre la Renta de los  ejercicios fiscales 2018, 2020,  2022, 2023, 2025, 2027 y 2029</w:t>
      </w:r>
      <w:r w:rsidR="00FF36B4" w:rsidRPr="00D276AE">
        <w:rPr>
          <w:rFonts w:ascii="Palatino Linotype" w:eastAsia="Palatino Linotype" w:hAnsi="Palatino Linotype" w:cs="Palatino Linotype"/>
          <w:color w:val="000000" w:themeColor="text1"/>
        </w:rPr>
        <w:t>; toda vez que el acto impugnado versa en controvertir, que el documento corresponde a un extracto o resumen y no estrictamente en lo solicitado.</w:t>
      </w:r>
    </w:p>
    <w:p w14:paraId="1D7DBC0F" w14:textId="77777777" w:rsidR="001C4076" w:rsidRPr="00D276AE" w:rsidRDefault="001C4076" w:rsidP="00E16D4D">
      <w:pPr>
        <w:pStyle w:val="Prrafodelista"/>
        <w:spacing w:line="360" w:lineRule="auto"/>
        <w:ind w:left="0"/>
        <w:rPr>
          <w:rFonts w:ascii="Palatino Linotype" w:eastAsia="Palatino Linotype" w:hAnsi="Palatino Linotype" w:cs="Palatino Linotype"/>
          <w:color w:val="000000" w:themeColor="text1"/>
        </w:rPr>
      </w:pPr>
    </w:p>
    <w:p w14:paraId="583A1DAF" w14:textId="77777777" w:rsidR="000C7D38" w:rsidRPr="00D276AE" w:rsidRDefault="00FF36B4" w:rsidP="00E16D4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Dicho lo anterior, se puede mencionar de manera inicial que ciertamente, lo entregado</w:t>
      </w:r>
      <w:r w:rsidR="00D93E76" w:rsidRPr="00D276AE">
        <w:rPr>
          <w:rFonts w:ascii="Palatino Linotype" w:hAnsi="Palatino Linotype"/>
          <w:color w:val="000000" w:themeColor="text1"/>
        </w:rPr>
        <w:t xml:space="preserve"> </w:t>
      </w:r>
      <w:r w:rsidRPr="00D276AE">
        <w:rPr>
          <w:rFonts w:ascii="Palatino Linotype" w:eastAsia="Palatino Linotype" w:hAnsi="Palatino Linotype" w:cs="Palatino Linotype"/>
          <w:color w:val="000000" w:themeColor="text1"/>
        </w:rPr>
        <w:t xml:space="preserve">no corresponde en </w:t>
      </w:r>
      <w:r w:rsidRPr="00D276AE">
        <w:rPr>
          <w:rFonts w:ascii="Palatino Linotype" w:eastAsia="Palatino Linotype" w:hAnsi="Palatino Linotype" w:cs="Palatino Linotype"/>
          <w:i/>
          <w:color w:val="000000" w:themeColor="text1"/>
        </w:rPr>
        <w:t xml:space="preserve">stricto sensu </w:t>
      </w:r>
      <w:r w:rsidRPr="00D276AE">
        <w:rPr>
          <w:rFonts w:ascii="Palatino Linotype" w:eastAsia="Palatino Linotype" w:hAnsi="Palatino Linotype" w:cs="Palatino Linotype"/>
          <w:color w:val="000000" w:themeColor="text1"/>
        </w:rPr>
        <w:t xml:space="preserve">a lo </w:t>
      </w:r>
      <w:r w:rsidR="001A54DB" w:rsidRPr="00D276AE">
        <w:rPr>
          <w:rFonts w:ascii="Palatino Linotype" w:eastAsia="Palatino Linotype" w:hAnsi="Palatino Linotype" w:cs="Palatino Linotype"/>
          <w:color w:val="000000" w:themeColor="text1"/>
        </w:rPr>
        <w:t>solicitado</w:t>
      </w:r>
      <w:r w:rsidRPr="00D276AE">
        <w:rPr>
          <w:rFonts w:ascii="Palatino Linotype" w:eastAsia="Palatino Linotype" w:hAnsi="Palatino Linotype" w:cs="Palatino Linotype"/>
          <w:color w:val="000000" w:themeColor="text1"/>
        </w:rPr>
        <w:t>; no obstante se procede a</w:t>
      </w:r>
      <w:r w:rsidR="001A54DB" w:rsidRPr="00D276AE">
        <w:rPr>
          <w:rFonts w:ascii="Palatino Linotype" w:eastAsia="Palatino Linotype" w:hAnsi="Palatino Linotype" w:cs="Palatino Linotype"/>
          <w:color w:val="000000" w:themeColor="text1"/>
        </w:rPr>
        <w:t xml:space="preserve"> su</w:t>
      </w:r>
      <w:r w:rsidRPr="00D276AE">
        <w:rPr>
          <w:rFonts w:ascii="Palatino Linotype" w:eastAsia="Palatino Linotype" w:hAnsi="Palatino Linotype" w:cs="Palatino Linotype"/>
          <w:color w:val="000000" w:themeColor="text1"/>
        </w:rPr>
        <w:t xml:space="preserve"> análisis a efecto de determinar si lo entregado eventualmente puede colmar o no la solicitud de información.</w:t>
      </w:r>
    </w:p>
    <w:p w14:paraId="4891A9D3" w14:textId="77777777" w:rsidR="000C7D38" w:rsidRPr="00D276AE" w:rsidRDefault="000C7D38" w:rsidP="00E16D4D">
      <w:pPr>
        <w:pStyle w:val="Prrafodelista"/>
        <w:ind w:left="0"/>
        <w:rPr>
          <w:rFonts w:ascii="Palatino Linotype" w:hAnsi="Palatino Linotype"/>
          <w:color w:val="000000" w:themeColor="text1"/>
        </w:rPr>
      </w:pPr>
    </w:p>
    <w:p w14:paraId="1D385F58" w14:textId="57EA7292" w:rsidR="000C7D38" w:rsidRPr="00D276AE" w:rsidRDefault="000C7D38" w:rsidP="00E16D4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En lo que corresponde a la opinión de cumplimiento del Servicio de Administración Tributaria (SAT), partiremos que éste es un órgano desconcentrado de </w:t>
      </w:r>
      <w:r w:rsidRPr="00D276AE">
        <w:rPr>
          <w:rFonts w:ascii="Palatino Linotype" w:eastAsia="Palatino Linotype" w:hAnsi="Palatino Linotype" w:cs="Palatino Linotype"/>
          <w:color w:val="000000" w:themeColor="text1"/>
        </w:rPr>
        <w:lastRenderedPageBreak/>
        <w:t>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14:paraId="16AE791B"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w:t>
      </w:r>
      <w:r w:rsidRPr="00D276AE">
        <w:rPr>
          <w:rFonts w:cs="Times New Roman"/>
          <w:b/>
          <w:color w:val="000000" w:themeColor="text1"/>
          <w:sz w:val="24"/>
          <w:szCs w:val="24"/>
          <w:lang w:val="es-ES_tradnl" w:eastAsia="es-ES"/>
        </w:rPr>
        <w:t xml:space="preserve">Artículo 27. </w:t>
      </w:r>
      <w:r w:rsidRPr="00D276AE">
        <w:rPr>
          <w:rFonts w:cs="Times New Roman"/>
          <w:color w:val="000000" w:themeColor="text1"/>
          <w:sz w:val="24"/>
          <w:szCs w:val="24"/>
          <w:lang w:val="es-ES_tradnl" w:eastAsia="es-ES"/>
        </w:rPr>
        <w:t>En materia del Registro Federal de Contribuyentes, se estará a lo siguiente:</w:t>
      </w:r>
    </w:p>
    <w:p w14:paraId="3E68B4E2"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b/>
          <w:color w:val="000000" w:themeColor="text1"/>
          <w:sz w:val="24"/>
          <w:szCs w:val="24"/>
          <w:lang w:val="es-ES_tradnl" w:eastAsia="es-ES"/>
        </w:rPr>
        <w:t>A.</w:t>
      </w:r>
      <w:r w:rsidRPr="00D276AE">
        <w:rPr>
          <w:rFonts w:cs="Times New Roman"/>
          <w:color w:val="000000" w:themeColor="text1"/>
          <w:sz w:val="24"/>
          <w:szCs w:val="24"/>
          <w:lang w:val="es-ES_tradnl" w:eastAsia="es-ES"/>
        </w:rPr>
        <w:t xml:space="preserve"> Sujetos y sus obligaciones específicas:</w:t>
      </w:r>
    </w:p>
    <w:p w14:paraId="51F02528"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w:t>
      </w:r>
    </w:p>
    <w:p w14:paraId="04CE4E52"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b/>
          <w:color w:val="000000" w:themeColor="text1"/>
          <w:sz w:val="24"/>
          <w:szCs w:val="24"/>
          <w:lang w:val="es-ES_tradnl" w:eastAsia="es-ES"/>
        </w:rPr>
        <w:t>VI.</w:t>
      </w:r>
      <w:r w:rsidRPr="00D276AE">
        <w:rPr>
          <w:rFonts w:cs="Times New Roman"/>
          <w:color w:val="000000" w:themeColor="text1"/>
          <w:sz w:val="24"/>
          <w:szCs w:val="24"/>
          <w:lang w:val="es-ES_tradnl" w:eastAsia="es-ES"/>
        </w:rPr>
        <w:t xml:space="preserve"> Las unidades administrativas y los órganos administrativos desconcentrados de las dependencias y las demás áreas u órganos de la Federación, de las Entidades Federativas, </w:t>
      </w:r>
      <w:r w:rsidRPr="00D276AE">
        <w:rPr>
          <w:rFonts w:cs="Times New Roman"/>
          <w:color w:val="000000" w:themeColor="text1"/>
          <w:sz w:val="24"/>
          <w:szCs w:val="24"/>
          <w:u w:val="single"/>
          <w:lang w:val="es-ES_tradnl" w:eastAsia="es-ES"/>
        </w:rPr>
        <w:t>de los municipios</w:t>
      </w:r>
      <w:r w:rsidRPr="00D276AE">
        <w:rPr>
          <w:rFonts w:cs="Times New Roman"/>
          <w:color w:val="000000" w:themeColor="text1"/>
          <w:sz w:val="24"/>
          <w:szCs w:val="24"/>
          <w:lang w:val="es-ES_tradnl" w:eastAsia="es-ES"/>
        </w:rPr>
        <w:t xml:space="preserve">, de los organismos descentralizados y de los órganos constitucionales autónomos, </w:t>
      </w:r>
      <w:r w:rsidRPr="00D276AE">
        <w:rPr>
          <w:rFonts w:cs="Times New Roman"/>
          <w:color w:val="000000" w:themeColor="text1"/>
          <w:sz w:val="24"/>
          <w:szCs w:val="24"/>
          <w:u w:val="single"/>
          <w:lang w:val="es-ES_tradnl" w:eastAsia="es-ES"/>
        </w:rPr>
        <w:t>que cuenten con autorización del ente público al que pertenezcan, que tengan el carácter de retenedor</w:t>
      </w:r>
      <w:r w:rsidRPr="00D276AE">
        <w:rPr>
          <w:rFonts w:cs="Times New Roman"/>
          <w:color w:val="000000" w:themeColor="text1"/>
          <w:sz w:val="24"/>
          <w:szCs w:val="24"/>
          <w:lang w:val="es-ES_tradnl" w:eastAsia="es-ES"/>
        </w:rPr>
        <w:t xml:space="preserve"> o de contribuyente, de conformidad con las leyes fiscales, en forma separada del ente público al que pertenezcan, deberán dar cumplimiento a las obligaciones previstas en las fracciones I, II y III del apartado B del presente artículo</w:t>
      </w:r>
    </w:p>
    <w:p w14:paraId="799F4AA5"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b/>
          <w:color w:val="000000" w:themeColor="text1"/>
          <w:sz w:val="24"/>
          <w:szCs w:val="24"/>
          <w:lang w:val="es-ES_tradnl" w:eastAsia="es-ES"/>
        </w:rPr>
        <w:t>Artículo 29.</w:t>
      </w:r>
      <w:r w:rsidRPr="00D276AE">
        <w:rPr>
          <w:rFonts w:cs="Times New Roman"/>
          <w:color w:val="000000" w:themeColor="text1"/>
          <w:sz w:val="24"/>
          <w:szCs w:val="24"/>
          <w:lang w:val="es-ES_tradnl" w:eastAsia="es-ES"/>
        </w:rPr>
        <w:t xml:space="preserve"> </w:t>
      </w:r>
      <w:r w:rsidRPr="00D276AE">
        <w:rPr>
          <w:rFonts w:cs="Times New Roman"/>
          <w:color w:val="000000" w:themeColor="text1"/>
          <w:sz w:val="24"/>
          <w:szCs w:val="24"/>
          <w:u w:val="single"/>
          <w:lang w:val="es-ES_tradnl" w:eastAsia="es-ES"/>
        </w:rPr>
        <w:t>Cuando las leyes fiscales establezcan la obligación de expedir comprobantes fiscales por los actos o actividades que realicen, por los ingresos que se perciban o por las retenciones de contribuciones que efectúen</w:t>
      </w:r>
      <w:r w:rsidRPr="00D276AE">
        <w:rPr>
          <w:rFonts w:cs="Times New Roman"/>
          <w:color w:val="000000" w:themeColor="text1"/>
          <w:sz w:val="24"/>
          <w:szCs w:val="24"/>
          <w:lang w:val="es-ES_tradnl" w:eastAsia="es-ES"/>
        </w:rPr>
        <w:t xml:space="preserve">,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w:t>
      </w:r>
      <w:r w:rsidRPr="00D276AE">
        <w:rPr>
          <w:rFonts w:cs="Times New Roman"/>
          <w:color w:val="000000" w:themeColor="text1"/>
          <w:sz w:val="24"/>
          <w:szCs w:val="24"/>
          <w:lang w:val="es-ES_tradnl" w:eastAsia="es-ES"/>
        </w:rPr>
        <w:lastRenderedPageBreak/>
        <w:t>Internet respectivo. Los contribuyentes que exporten mercancías que no sean objeto de enajenación o cuya enajenación sea a título gratuito, deberán expedir el comprobante fiscal digital por Internet que ampare la operación.</w:t>
      </w:r>
    </w:p>
    <w:p w14:paraId="6EFF983F"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Los contribuyentes a que se refiere el párrafo anterior deberán cumplir con las obligaciones siguientes:</w:t>
      </w:r>
    </w:p>
    <w:p w14:paraId="5E808FE9"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051DD48F"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II. Tramitar ante el Servicio de Administración Tributaria el certificado para el uso de los sellos digitales.</w:t>
      </w:r>
    </w:p>
    <w:p w14:paraId="64702F8A"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EDCA6D0"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31F83FB2"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lastRenderedPageBreak/>
        <w:t>La tramitación de un certificado de sello digital sólo podrá efectuarse mediante formato electrónico que cuente con la firma electrónica avanzada de la persona solicitante.</w:t>
      </w:r>
    </w:p>
    <w:p w14:paraId="1BB06A1B"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59E34A80"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7FADEF48"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4EC194BE"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b) Asignar el folio del comprobante fiscal digital.</w:t>
      </w:r>
    </w:p>
    <w:p w14:paraId="737412F7"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 xml:space="preserve">c) Incorporar el sello digital del Servicio de Administración Tributaria </w:t>
      </w:r>
    </w:p>
    <w:p w14:paraId="470874AF"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2A71273B"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lastRenderedPageBreak/>
        <w:t>VI. Cumplir con las especificaciones que en materia de informática determine el Servicio de Administración Tributaria mediante reglas de carácter general.</w:t>
      </w:r>
    </w:p>
    <w:p w14:paraId="51FACB1D"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1D4EF8B8"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79A874DF"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4E987A89"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lastRenderedPageBreak/>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4AA1A66C"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b/>
          <w:color w:val="000000" w:themeColor="text1"/>
          <w:sz w:val="24"/>
          <w:szCs w:val="24"/>
          <w:lang w:val="es-ES_tradnl" w:eastAsia="es-ES"/>
        </w:rPr>
        <w:t>Artículo 32-D.</w:t>
      </w:r>
      <w:r w:rsidRPr="00D276AE">
        <w:rPr>
          <w:rFonts w:cs="Times New Roman"/>
          <w:color w:val="000000" w:themeColor="text1"/>
          <w:sz w:val="24"/>
          <w:szCs w:val="24"/>
          <w:lang w:val="es-ES_tradnl" w:eastAsia="es-ES"/>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14:paraId="367A501B"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w:t>
      </w:r>
    </w:p>
    <w:p w14:paraId="0D5FF19B"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 xml:space="preserve">Para participar como proveedores de los sujetos señalados en el primer párrafo de este artículo, los contribuyentes estarán obligados a autorizar al Servicio de Administración Tributaria y a las autoridades fiscales federales en materia de seguridad social, </w:t>
      </w:r>
      <w:r w:rsidRPr="00D276AE">
        <w:rPr>
          <w:rFonts w:cs="Times New Roman"/>
          <w:color w:val="000000" w:themeColor="text1"/>
          <w:sz w:val="24"/>
          <w:szCs w:val="24"/>
          <w:u w:val="single"/>
          <w:lang w:val="es-ES_tradnl" w:eastAsia="es-ES"/>
        </w:rPr>
        <w:t>para que hagan público el resultado de la opinión del cumplimiento</w:t>
      </w:r>
      <w:r w:rsidRPr="00D276AE">
        <w:rPr>
          <w:rFonts w:cs="Times New Roman"/>
          <w:color w:val="000000" w:themeColor="text1"/>
          <w:sz w:val="24"/>
          <w:szCs w:val="24"/>
          <w:lang w:val="es-ES_tradnl" w:eastAsia="es-ES"/>
        </w:rPr>
        <w:t>, a través del procedimiento que establezcan dicho órgano desconcentrado y autoridades fiscales federales, mediante reglas de carácter general, además de cumplir con lo establecido en las fracciones anteriores.</w:t>
      </w:r>
    </w:p>
    <w:p w14:paraId="34C479F6"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b/>
          <w:color w:val="000000" w:themeColor="text1"/>
          <w:sz w:val="24"/>
          <w:szCs w:val="24"/>
          <w:lang w:val="es-ES_tradnl" w:eastAsia="es-ES"/>
        </w:rPr>
        <w:t>Artículo 32-G.</w:t>
      </w:r>
      <w:r w:rsidRPr="00D276AE">
        <w:rPr>
          <w:rFonts w:cs="Times New Roman"/>
          <w:color w:val="000000" w:themeColor="text1"/>
          <w:sz w:val="24"/>
          <w:szCs w:val="24"/>
          <w:lang w:val="es-ES_tradnl" w:eastAsia="es-ES"/>
        </w:rPr>
        <w:t xml:space="preserve"> La Federación, las Entidades Federativas, el Distrito Federal, y sus Organismos Descentralizados, </w:t>
      </w:r>
      <w:r w:rsidRPr="00D276AE">
        <w:rPr>
          <w:rFonts w:cs="Times New Roman"/>
          <w:b/>
          <w:color w:val="000000" w:themeColor="text1"/>
          <w:sz w:val="24"/>
          <w:szCs w:val="24"/>
          <w:u w:val="single"/>
          <w:lang w:val="es-ES_tradnl" w:eastAsia="es-ES"/>
        </w:rPr>
        <w:t>así como los Municipios</w:t>
      </w:r>
      <w:r w:rsidRPr="00D276AE">
        <w:rPr>
          <w:rFonts w:cs="Times New Roman"/>
          <w:color w:val="000000" w:themeColor="text1"/>
          <w:sz w:val="24"/>
          <w:szCs w:val="24"/>
          <w:lang w:val="es-ES_tradnl" w:eastAsia="es-ES"/>
        </w:rPr>
        <w:t>, tendrán la obligación de presentar ante las autoridades fiscales, a través de los medios y formatos electrónicos que señale el Servicio de Administración, la información relativa a:</w:t>
      </w:r>
    </w:p>
    <w:p w14:paraId="7087A41C"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lastRenderedPageBreak/>
        <w:t xml:space="preserve">I. </w:t>
      </w:r>
      <w:r w:rsidRPr="00D276AE">
        <w:rPr>
          <w:rFonts w:cs="Times New Roman"/>
          <w:b/>
          <w:color w:val="000000" w:themeColor="text1"/>
          <w:sz w:val="24"/>
          <w:szCs w:val="24"/>
          <w:u w:val="single"/>
          <w:lang w:val="es-ES_tradnl" w:eastAsia="es-ES"/>
        </w:rPr>
        <w:t>Las personas a las que en el mes inmediato anterior les hubieren efectuado retenciones de impuesto sobre la renta</w:t>
      </w:r>
      <w:r w:rsidRPr="00D276AE">
        <w:rPr>
          <w:rFonts w:cs="Times New Roman"/>
          <w:b/>
          <w:color w:val="000000" w:themeColor="text1"/>
          <w:sz w:val="24"/>
          <w:szCs w:val="24"/>
          <w:lang w:val="es-ES_tradnl" w:eastAsia="es-ES"/>
        </w:rPr>
        <w:t xml:space="preserve">, </w:t>
      </w:r>
      <w:r w:rsidRPr="00D276AE">
        <w:rPr>
          <w:rFonts w:cs="Times New Roman"/>
          <w:color w:val="000000" w:themeColor="text1"/>
          <w:sz w:val="24"/>
          <w:szCs w:val="24"/>
          <w:lang w:val="es-ES_tradnl" w:eastAsia="es-ES"/>
        </w:rPr>
        <w:t>así como de los residentes en el extranjero a los que les hayan efectuado pagos de acuerdo con lo previsto en el Título V de la Ley del Impuesto sobre la Renta.</w:t>
      </w:r>
    </w:p>
    <w:p w14:paraId="1EAFCCE5"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59543772"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color w:val="000000" w:themeColor="text1"/>
          <w:sz w:val="24"/>
          <w:szCs w:val="24"/>
          <w:lang w:val="es-ES_tradnl" w:eastAsia="es-ES"/>
        </w:rPr>
        <w:t>La información a que se refiere el párrafo anterior se deberá presentar a más tardar el día 17 del mes posterior al que corresponda dicha información”</w:t>
      </w:r>
    </w:p>
    <w:p w14:paraId="0EDFEA7B" w14:textId="77777777" w:rsidR="000C7D38" w:rsidRPr="00D276AE" w:rsidRDefault="000C7D38" w:rsidP="00E16D4D">
      <w:pPr>
        <w:pStyle w:val="Citas"/>
        <w:ind w:left="0" w:right="0"/>
        <w:rPr>
          <w:rFonts w:cs="Times New Roman"/>
          <w:color w:val="000000" w:themeColor="text1"/>
          <w:sz w:val="24"/>
          <w:szCs w:val="24"/>
          <w:lang w:val="es-ES_tradnl" w:eastAsia="es-ES"/>
        </w:rPr>
      </w:pPr>
    </w:p>
    <w:p w14:paraId="3F3330E6" w14:textId="77777777" w:rsidR="000C7D38" w:rsidRPr="00D276AE" w:rsidRDefault="000C7D38" w:rsidP="00E16D4D">
      <w:pPr>
        <w:pStyle w:val="Citas"/>
        <w:ind w:left="0" w:right="0"/>
        <w:jc w:val="center"/>
        <w:rPr>
          <w:rFonts w:cs="Times New Roman"/>
          <w:b/>
          <w:color w:val="000000" w:themeColor="text1"/>
          <w:sz w:val="24"/>
          <w:szCs w:val="24"/>
          <w:lang w:val="es-ES_tradnl" w:eastAsia="es-ES"/>
        </w:rPr>
      </w:pPr>
      <w:r w:rsidRPr="00D276AE">
        <w:rPr>
          <w:rFonts w:cs="Times New Roman"/>
          <w:b/>
          <w:color w:val="000000" w:themeColor="text1"/>
          <w:sz w:val="24"/>
          <w:szCs w:val="24"/>
          <w:lang w:val="es-ES_tradnl" w:eastAsia="es-ES"/>
        </w:rPr>
        <w:t>LEY DEL IMPUESTO SOBRE LA RENTA</w:t>
      </w:r>
    </w:p>
    <w:p w14:paraId="29E7B495" w14:textId="77777777" w:rsidR="000C7D38" w:rsidRPr="00D276AE" w:rsidRDefault="000C7D38" w:rsidP="00E16D4D">
      <w:pPr>
        <w:pStyle w:val="Citas"/>
        <w:ind w:left="0" w:right="0"/>
        <w:rPr>
          <w:rFonts w:cs="Times New Roman"/>
          <w:b/>
          <w:color w:val="000000" w:themeColor="text1"/>
          <w:sz w:val="24"/>
          <w:szCs w:val="24"/>
          <w:lang w:val="es-ES_tradnl" w:eastAsia="es-ES"/>
        </w:rPr>
      </w:pPr>
      <w:r w:rsidRPr="00D276AE">
        <w:rPr>
          <w:rFonts w:cs="Times New Roman"/>
          <w:b/>
          <w:color w:val="000000" w:themeColor="text1"/>
          <w:sz w:val="24"/>
          <w:szCs w:val="24"/>
          <w:lang w:val="es-ES_tradnl" w:eastAsia="es-ES"/>
        </w:rPr>
        <w:t>CAPÍTULO I</w:t>
      </w:r>
    </w:p>
    <w:p w14:paraId="3907877B" w14:textId="77777777" w:rsidR="000C7D38" w:rsidRPr="00D276AE" w:rsidRDefault="000C7D38" w:rsidP="00E16D4D">
      <w:pPr>
        <w:pStyle w:val="Citas"/>
        <w:ind w:left="0" w:right="0"/>
        <w:rPr>
          <w:rFonts w:cs="Times New Roman"/>
          <w:b/>
          <w:color w:val="000000" w:themeColor="text1"/>
          <w:sz w:val="24"/>
          <w:szCs w:val="24"/>
          <w:lang w:val="es-ES_tradnl" w:eastAsia="es-ES"/>
        </w:rPr>
      </w:pPr>
      <w:r w:rsidRPr="00D276AE">
        <w:rPr>
          <w:rFonts w:cs="Times New Roman"/>
          <w:b/>
          <w:color w:val="000000" w:themeColor="text1"/>
          <w:sz w:val="24"/>
          <w:szCs w:val="24"/>
          <w:lang w:val="es-ES_tradnl" w:eastAsia="es-ES"/>
        </w:rPr>
        <w:t xml:space="preserve">DE LOS INGRESOS POR SALARIOS Y EN GENERAL POR LA </w:t>
      </w:r>
    </w:p>
    <w:p w14:paraId="70E53ADE" w14:textId="77777777" w:rsidR="000C7D38" w:rsidRPr="00D276AE" w:rsidRDefault="000C7D38" w:rsidP="00E16D4D">
      <w:pPr>
        <w:pStyle w:val="Citas"/>
        <w:ind w:left="0" w:right="0"/>
        <w:rPr>
          <w:rFonts w:cs="Times New Roman"/>
          <w:b/>
          <w:color w:val="000000" w:themeColor="text1"/>
          <w:sz w:val="24"/>
          <w:szCs w:val="24"/>
          <w:lang w:val="es-ES_tradnl" w:eastAsia="es-ES"/>
        </w:rPr>
      </w:pPr>
      <w:r w:rsidRPr="00D276AE">
        <w:rPr>
          <w:rFonts w:cs="Times New Roman"/>
          <w:b/>
          <w:color w:val="000000" w:themeColor="text1"/>
          <w:sz w:val="24"/>
          <w:szCs w:val="24"/>
          <w:lang w:val="es-ES_tradnl" w:eastAsia="es-ES"/>
        </w:rPr>
        <w:t>PRESTACIÓN DE UN SERVICIO PERSONAL SUBORDINADO</w:t>
      </w:r>
    </w:p>
    <w:p w14:paraId="251057E7"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b/>
          <w:color w:val="000000" w:themeColor="text1"/>
          <w:sz w:val="24"/>
          <w:szCs w:val="24"/>
          <w:lang w:val="es-ES_tradnl" w:eastAsia="es-ES"/>
        </w:rPr>
        <w:t xml:space="preserve">Artículo 94. </w:t>
      </w:r>
      <w:r w:rsidRPr="00D276AE">
        <w:rPr>
          <w:rFonts w:cs="Times New Roman"/>
          <w:b/>
          <w:color w:val="000000" w:themeColor="text1"/>
          <w:sz w:val="24"/>
          <w:szCs w:val="24"/>
          <w:u w:val="single"/>
          <w:lang w:val="es-ES_tradnl" w:eastAsia="es-ES"/>
        </w:rPr>
        <w:t>Se consideran ingresos por la prestación de un servicio personal subordinado</w:t>
      </w:r>
      <w:r w:rsidRPr="00D276AE">
        <w:rPr>
          <w:rFonts w:cs="Times New Roman"/>
          <w:b/>
          <w:color w:val="000000" w:themeColor="text1"/>
          <w:sz w:val="24"/>
          <w:szCs w:val="24"/>
          <w:lang w:val="es-ES_tradnl" w:eastAsia="es-ES"/>
        </w:rPr>
        <w:t>,</w:t>
      </w:r>
      <w:r w:rsidRPr="00D276AE">
        <w:rPr>
          <w:rFonts w:cs="Times New Roman"/>
          <w:color w:val="000000" w:themeColor="text1"/>
          <w:sz w:val="24"/>
          <w:szCs w:val="24"/>
          <w:lang w:val="es-ES_tradnl" w:eastAsia="es-ES"/>
        </w:rPr>
        <w:t xml:space="preserve">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7F08F921" w14:textId="77777777" w:rsidR="000C7D38" w:rsidRPr="00D276AE" w:rsidRDefault="000C7D38" w:rsidP="00E16D4D">
      <w:pPr>
        <w:pStyle w:val="Citas"/>
        <w:ind w:left="0" w:right="0"/>
        <w:rPr>
          <w:rFonts w:cs="Times New Roman"/>
          <w:color w:val="000000" w:themeColor="text1"/>
          <w:sz w:val="24"/>
          <w:szCs w:val="24"/>
          <w:lang w:val="es-ES_tradnl" w:eastAsia="es-ES"/>
        </w:rPr>
      </w:pPr>
      <w:r w:rsidRPr="00D276AE">
        <w:rPr>
          <w:rFonts w:cs="Times New Roman"/>
          <w:b/>
          <w:color w:val="000000" w:themeColor="text1"/>
          <w:sz w:val="24"/>
          <w:szCs w:val="24"/>
          <w:lang w:val="es-ES_tradnl" w:eastAsia="es-ES"/>
        </w:rPr>
        <w:lastRenderedPageBreak/>
        <w:t xml:space="preserve">I. </w:t>
      </w:r>
      <w:r w:rsidRPr="00D276AE">
        <w:rPr>
          <w:rFonts w:cs="Times New Roman"/>
          <w:color w:val="000000" w:themeColor="text1"/>
          <w:sz w:val="24"/>
          <w:szCs w:val="24"/>
          <w:lang w:val="es-ES_tradnl" w:eastAsia="es-ES"/>
        </w:rPr>
        <w:t xml:space="preserve">Las remuneraciones y demás prestaciones, obtenidas por los funcionarios y trabajadores de la Federación, de las entidades federativas y de </w:t>
      </w:r>
      <w:r w:rsidRPr="00D276AE">
        <w:rPr>
          <w:rFonts w:cs="Times New Roman"/>
          <w:b/>
          <w:color w:val="000000" w:themeColor="text1"/>
          <w:sz w:val="24"/>
          <w:szCs w:val="24"/>
          <w:u w:val="single"/>
          <w:lang w:val="es-ES_tradnl" w:eastAsia="es-ES"/>
        </w:rPr>
        <w:t>los municipios</w:t>
      </w:r>
      <w:r w:rsidRPr="00D276AE">
        <w:rPr>
          <w:rFonts w:cs="Times New Roman"/>
          <w:b/>
          <w:color w:val="000000" w:themeColor="text1"/>
          <w:sz w:val="24"/>
          <w:szCs w:val="24"/>
          <w:lang w:val="es-ES_tradnl" w:eastAsia="es-ES"/>
        </w:rPr>
        <w:t>,</w:t>
      </w:r>
      <w:r w:rsidRPr="00D276AE">
        <w:rPr>
          <w:rFonts w:cs="Times New Roman"/>
          <w:color w:val="000000" w:themeColor="text1"/>
          <w:sz w:val="24"/>
          <w:szCs w:val="24"/>
          <w:lang w:val="es-ES_tradnl" w:eastAsia="es-ES"/>
        </w:rPr>
        <w:t xml:space="preserve"> aun cuando sean por concepto de gastos no sujetos a comprobación, así como los obtenidos por los miembros de las fuerzas armadas.</w:t>
      </w:r>
    </w:p>
    <w:p w14:paraId="164A5A61" w14:textId="77777777" w:rsidR="000C7D38" w:rsidRPr="00D276AE" w:rsidRDefault="000C7D38" w:rsidP="00E16D4D">
      <w:pPr>
        <w:pStyle w:val="Citas"/>
        <w:ind w:left="0" w:right="0"/>
        <w:rPr>
          <w:rFonts w:cs="Times New Roman"/>
          <w:b/>
          <w:color w:val="000000" w:themeColor="text1"/>
          <w:sz w:val="24"/>
          <w:szCs w:val="24"/>
          <w:lang w:val="es-ES_tradnl" w:eastAsia="es-ES"/>
        </w:rPr>
      </w:pPr>
      <w:r w:rsidRPr="00D276AE">
        <w:rPr>
          <w:rFonts w:cs="Times New Roman"/>
          <w:b/>
          <w:color w:val="000000" w:themeColor="text1"/>
          <w:sz w:val="24"/>
          <w:szCs w:val="24"/>
          <w:lang w:val="es-ES_tradnl" w:eastAsia="es-ES"/>
        </w:rPr>
        <w:t xml:space="preserve">Artículo 96. </w:t>
      </w:r>
      <w:r w:rsidRPr="00D276AE">
        <w:rPr>
          <w:rFonts w:cs="Times New Roman"/>
          <w:color w:val="000000" w:themeColor="text1"/>
          <w:sz w:val="24"/>
          <w:szCs w:val="24"/>
          <w:lang w:val="es-ES_tradnl" w:eastAsia="es-ES"/>
        </w:rPr>
        <w:t xml:space="preserve">Quienes hagan pagos por los conceptos a que se refiere este Capítulo </w:t>
      </w:r>
      <w:r w:rsidRPr="00D276AE">
        <w:rPr>
          <w:rFonts w:cs="Times New Roman"/>
          <w:b/>
          <w:color w:val="000000" w:themeColor="text1"/>
          <w:sz w:val="24"/>
          <w:szCs w:val="24"/>
          <w:lang w:val="es-ES_tradnl" w:eastAsia="es-ES"/>
        </w:rPr>
        <w:t>e</w:t>
      </w:r>
      <w:r w:rsidRPr="00D276AE">
        <w:rPr>
          <w:rFonts w:cs="Times New Roman"/>
          <w:b/>
          <w:color w:val="000000" w:themeColor="text1"/>
          <w:sz w:val="24"/>
          <w:szCs w:val="24"/>
          <w:u w:val="single"/>
          <w:lang w:val="es-ES_tradnl" w:eastAsia="es-ES"/>
        </w:rPr>
        <w:t>stán obligados a efectuar retenciones y enteros mensuales que tendrán el carácter de pagos provisionales a cuenta del impuesto anual</w:t>
      </w:r>
      <w:r w:rsidRPr="00D276AE">
        <w:rPr>
          <w:rFonts w:cs="Times New Roman"/>
          <w:color w:val="000000" w:themeColor="text1"/>
          <w:sz w:val="24"/>
          <w:szCs w:val="24"/>
          <w:u w:val="single"/>
          <w:lang w:val="es-ES_tradnl" w:eastAsia="es-ES"/>
        </w:rPr>
        <w:t>.</w:t>
      </w:r>
      <w:r w:rsidRPr="00D276AE">
        <w:rPr>
          <w:rFonts w:cs="Times New Roman"/>
          <w:color w:val="000000" w:themeColor="text1"/>
          <w:sz w:val="24"/>
          <w:szCs w:val="24"/>
          <w:lang w:val="es-ES_tradnl" w:eastAsia="es-ES"/>
        </w:rPr>
        <w:t xml:space="preserve"> No se efectuará retención a las personas que en el mes únicamente perciban un salario mínimo general correspondiente al área geográfica del contribuyente.” </w:t>
      </w:r>
      <w:r w:rsidRPr="00D276AE">
        <w:rPr>
          <w:rFonts w:cs="Times New Roman"/>
          <w:b/>
          <w:color w:val="000000" w:themeColor="text1"/>
          <w:sz w:val="24"/>
          <w:szCs w:val="24"/>
          <w:lang w:val="es-ES_tradnl" w:eastAsia="es-ES"/>
        </w:rPr>
        <w:t>[Sic]</w:t>
      </w:r>
    </w:p>
    <w:p w14:paraId="3D7A0A96" w14:textId="77777777" w:rsidR="000C7D38" w:rsidRPr="00D276AE" w:rsidRDefault="000C7D38" w:rsidP="00E16D4D">
      <w:pPr>
        <w:pStyle w:val="Citas"/>
        <w:ind w:left="0" w:right="0"/>
        <w:rPr>
          <w:rFonts w:cs="Times New Roman"/>
          <w:color w:val="000000" w:themeColor="text1"/>
          <w:sz w:val="24"/>
          <w:szCs w:val="24"/>
          <w:lang w:val="es-ES_tradnl" w:eastAsia="es-ES"/>
        </w:rPr>
      </w:pPr>
    </w:p>
    <w:p w14:paraId="7B6AA7DE" w14:textId="77777777" w:rsidR="00F93188" w:rsidRPr="00D276AE" w:rsidRDefault="000C7D38" w:rsidP="00E16D4D">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Calibri" w:hAnsi="Palatino Linotype" w:cs="Times New Roman"/>
          <w:color w:val="000000" w:themeColor="text1"/>
        </w:rPr>
        <w:t>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obligaciones fiscales.</w:t>
      </w:r>
    </w:p>
    <w:p w14:paraId="7579D318" w14:textId="77777777" w:rsidR="00C07B7B" w:rsidRPr="00D276AE" w:rsidRDefault="00C07B7B" w:rsidP="00C07B7B">
      <w:pPr>
        <w:pStyle w:val="Prrafodelista"/>
        <w:spacing w:line="360" w:lineRule="auto"/>
        <w:ind w:left="0"/>
        <w:jc w:val="both"/>
        <w:rPr>
          <w:rFonts w:ascii="Palatino Linotype" w:eastAsia="Palatino Linotype" w:hAnsi="Palatino Linotype" w:cs="Palatino Linotype"/>
          <w:color w:val="000000" w:themeColor="text1"/>
        </w:rPr>
      </w:pPr>
    </w:p>
    <w:p w14:paraId="16DCE75B" w14:textId="77777777" w:rsidR="00F93188" w:rsidRPr="00D276AE" w:rsidRDefault="000C7D38" w:rsidP="00E16D4D">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lastRenderedPageBreak/>
        <w:t xml:space="preserve">Por tanto, la Opinión de Cumplimiento no es el documento que acredita el pago de ISR de los trabajadores. La Opinión de Cumplimiento es un documento emitido por el SAT que verifica si un contribuyente está al corriente con sus obligaciones fiscales. </w:t>
      </w:r>
    </w:p>
    <w:p w14:paraId="40560C3A" w14:textId="77777777" w:rsidR="00F93188" w:rsidRPr="00D276AE" w:rsidRDefault="00F93188" w:rsidP="00E16D4D">
      <w:pPr>
        <w:pStyle w:val="Prrafodelista"/>
        <w:spacing w:line="360" w:lineRule="auto"/>
        <w:ind w:left="0"/>
        <w:jc w:val="both"/>
        <w:rPr>
          <w:rFonts w:ascii="Palatino Linotype" w:eastAsia="Palatino Linotype" w:hAnsi="Palatino Linotype" w:cs="Palatino Linotype"/>
          <w:color w:val="000000" w:themeColor="text1"/>
        </w:rPr>
      </w:pPr>
    </w:p>
    <w:p w14:paraId="605EC6A6" w14:textId="77777777" w:rsidR="00F93188" w:rsidRPr="00D276AE" w:rsidRDefault="00F93188" w:rsidP="00E16D4D">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Aunado a ello, el Sujeto obligado remitió la Opinión de Cumplimiento en versión pública  y anexa el acta de la tricentésima segunda sesión extraordinaria de fecha 24 de marzo 2025 del Comité de Transparencia del Municipio de Toluca, la cual contiene la clasificación de la información como confidencial en partes mediante los acuerdos número CT/SE/302/18/2025, CT/SE/302/17/2025, CT/SE/302/16/2025, CT/SE/302/15/2025, CT/SE/302/14/2025, CT/SE/302/12/2025, CT/SE/302/11/2025. </w:t>
      </w:r>
    </w:p>
    <w:p w14:paraId="2EF7B70E" w14:textId="77777777" w:rsidR="00F93188" w:rsidRPr="00D276AE" w:rsidRDefault="00F93188" w:rsidP="00E16D4D">
      <w:pPr>
        <w:pStyle w:val="Prrafodelista"/>
        <w:ind w:left="0"/>
        <w:rPr>
          <w:rFonts w:ascii="Palatino Linotype" w:eastAsia="Palatino Linotype" w:hAnsi="Palatino Linotype" w:cs="Palatino Linotype"/>
          <w:color w:val="000000" w:themeColor="text1"/>
        </w:rPr>
      </w:pPr>
    </w:p>
    <w:p w14:paraId="7DFA47B8" w14:textId="7FBA9875" w:rsidR="00B73005" w:rsidRPr="00D276AE" w:rsidRDefault="00F93188" w:rsidP="00E16D4D">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lang w:val="es-MX"/>
        </w:rPr>
      </w:pPr>
      <w:r w:rsidRPr="00D276AE">
        <w:rPr>
          <w:rFonts w:ascii="Palatino Linotype" w:eastAsia="Palatino Linotype" w:hAnsi="Palatino Linotype" w:cs="Palatino Linotype"/>
          <w:color w:val="000000" w:themeColor="text1"/>
        </w:rPr>
        <w:t xml:space="preserve"> En la cual testa el folio, RFC, </w:t>
      </w:r>
      <w:r w:rsidRPr="00D276AE">
        <w:rPr>
          <w:rFonts w:ascii="Palatino Linotype" w:eastAsia="Palatino Linotype" w:hAnsi="Palatino Linotype" w:cs="Palatino Linotype"/>
          <w:color w:val="000000" w:themeColor="text1"/>
          <w:lang w:val="es-MX"/>
        </w:rPr>
        <w:t xml:space="preserve">el código QR, Cadena Original y Sello Digital, sin embargo estos últimos verifican la autenticidad de la opinión de cumplimiento </w:t>
      </w:r>
      <w:r w:rsidRPr="00D276AE">
        <w:rPr>
          <w:rFonts w:ascii="Palatino Linotype" w:eastAsia="Palatino Linotype" w:hAnsi="Palatino Linotype" w:cs="Palatino Linotype"/>
          <w:color w:val="000000" w:themeColor="text1"/>
        </w:rPr>
        <w:t>al</w:t>
      </w:r>
      <w:r w:rsidR="00B73005" w:rsidRPr="00D276AE">
        <w:rPr>
          <w:rFonts w:ascii="Palatino Linotype" w:eastAsia="Palatino Linotype" w:hAnsi="Palatino Linotype" w:cs="Palatino Linotype"/>
          <w:color w:val="000000" w:themeColor="text1"/>
          <w:lang w:val="es-MX"/>
        </w:rPr>
        <w:t xml:space="preserve"> escanear el código QR generara una liga del SAT, para confirmar que la opinión verificada fue emitida efectivamente por el Servicio de Administración Tributaria y puedes confirmar que la opinan coincida con el RFC del contribuyente que se está consultando.</w:t>
      </w:r>
      <w:r w:rsidRPr="00D276AE">
        <w:rPr>
          <w:rFonts w:ascii="Palatino Linotype" w:eastAsia="Palatino Linotype" w:hAnsi="Palatino Linotype" w:cs="Palatino Linotype"/>
          <w:color w:val="000000" w:themeColor="text1"/>
          <w:lang w:val="es-MX"/>
        </w:rPr>
        <w:t xml:space="preserve"> </w:t>
      </w:r>
      <w:r w:rsidR="00B73005" w:rsidRPr="00D276AE">
        <w:rPr>
          <w:rFonts w:ascii="Palatino Linotype" w:eastAsia="Palatino Linotype" w:hAnsi="Palatino Linotype" w:cs="Palatino Linotype"/>
          <w:color w:val="000000" w:themeColor="text1"/>
          <w:lang w:val="es-MX"/>
        </w:rPr>
        <w:t>Así mismo, la opinión de cumplimiento es un documento generado de forma electrónica y por lo cual cuenta con una Cadena Original y Sello Digital</w:t>
      </w:r>
      <w:r w:rsidRPr="00D276AE">
        <w:rPr>
          <w:rFonts w:ascii="Palatino Linotype" w:eastAsia="Palatino Linotype" w:hAnsi="Palatino Linotype" w:cs="Palatino Linotype"/>
          <w:color w:val="000000" w:themeColor="text1"/>
          <w:lang w:val="es-MX"/>
        </w:rPr>
        <w:t>, como se aprecia en la siguiente imagen:</w:t>
      </w:r>
    </w:p>
    <w:p w14:paraId="68AD8A6A" w14:textId="77777777" w:rsidR="00F93188" w:rsidRPr="00D276AE" w:rsidRDefault="00F93188" w:rsidP="00E16D4D">
      <w:pPr>
        <w:pStyle w:val="Prrafodelista"/>
        <w:ind w:left="0"/>
        <w:rPr>
          <w:rFonts w:ascii="Palatino Linotype" w:eastAsia="Palatino Linotype" w:hAnsi="Palatino Linotype" w:cs="Palatino Linotype"/>
          <w:color w:val="000000" w:themeColor="text1"/>
          <w:lang w:val="es-MX"/>
        </w:rPr>
      </w:pPr>
    </w:p>
    <w:p w14:paraId="707C3942" w14:textId="77777777" w:rsidR="00F93188" w:rsidRPr="00D276AE" w:rsidRDefault="00F93188" w:rsidP="00E16D4D">
      <w:pPr>
        <w:pStyle w:val="Prrafodelista"/>
        <w:spacing w:line="360" w:lineRule="auto"/>
        <w:ind w:left="0"/>
        <w:jc w:val="both"/>
        <w:rPr>
          <w:rFonts w:ascii="Palatino Linotype" w:eastAsia="Palatino Linotype" w:hAnsi="Palatino Linotype" w:cs="Palatino Linotype"/>
          <w:color w:val="000000" w:themeColor="text1"/>
          <w:lang w:val="es-MX"/>
        </w:rPr>
      </w:pPr>
    </w:p>
    <w:p w14:paraId="75C8DB0E" w14:textId="77777777" w:rsidR="00B73005" w:rsidRPr="00D276AE" w:rsidRDefault="00B73005" w:rsidP="00E16D4D">
      <w:pPr>
        <w:spacing w:line="360" w:lineRule="auto"/>
        <w:jc w:val="both"/>
        <w:rPr>
          <w:rFonts w:ascii="Palatino Linotype" w:eastAsia="Palatino Linotype" w:hAnsi="Palatino Linotype" w:cs="Palatino Linotype"/>
          <w:color w:val="000000" w:themeColor="text1"/>
          <w:lang w:val="es-MX"/>
        </w:rPr>
      </w:pPr>
    </w:p>
    <w:p w14:paraId="4A3075A8" w14:textId="27A519E8" w:rsidR="00B73005" w:rsidRPr="00D276AE" w:rsidRDefault="00B73005" w:rsidP="00E16D4D">
      <w:pPr>
        <w:spacing w:line="360" w:lineRule="auto"/>
        <w:jc w:val="both"/>
        <w:rPr>
          <w:rFonts w:ascii="Palatino Linotype" w:eastAsia="Palatino Linotype" w:hAnsi="Palatino Linotype" w:cs="Palatino Linotype"/>
          <w:color w:val="000000" w:themeColor="text1"/>
          <w:lang w:val="es-MX"/>
        </w:rPr>
      </w:pPr>
      <w:r w:rsidRPr="00D276AE">
        <w:rPr>
          <w:rFonts w:ascii="Palatino Linotype" w:hAnsi="Palatino Linotype"/>
          <w:noProof/>
          <w:color w:val="000000" w:themeColor="text1"/>
          <w:lang w:val="es-MX" w:eastAsia="es-MX"/>
        </w:rPr>
        <w:lastRenderedPageBreak/>
        <w:drawing>
          <wp:inline distT="0" distB="0" distL="0" distR="0" wp14:anchorId="39095E2B" wp14:editId="09D0866C">
            <wp:extent cx="5671185" cy="3455670"/>
            <wp:effectExtent l="0" t="0" r="5715" b="0"/>
            <wp:docPr id="1948910829" name="Imagen 1" descr="como revisar la opinion de cumpl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o revisar la opinion de cumplimien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185" cy="3455670"/>
                    </a:xfrm>
                    <a:prstGeom prst="rect">
                      <a:avLst/>
                    </a:prstGeom>
                    <a:noFill/>
                    <a:ln>
                      <a:noFill/>
                    </a:ln>
                  </pic:spPr>
                </pic:pic>
              </a:graphicData>
            </a:graphic>
          </wp:inline>
        </w:drawing>
      </w:r>
    </w:p>
    <w:p w14:paraId="5D7DC2F2" w14:textId="77777777" w:rsidR="00B73005" w:rsidRPr="00D276AE" w:rsidRDefault="00B73005" w:rsidP="00E16D4D">
      <w:pPr>
        <w:spacing w:line="360" w:lineRule="auto"/>
        <w:jc w:val="both"/>
        <w:rPr>
          <w:rFonts w:ascii="Palatino Linotype" w:eastAsia="Palatino Linotype" w:hAnsi="Palatino Linotype" w:cs="Palatino Linotype"/>
          <w:color w:val="000000" w:themeColor="text1"/>
        </w:rPr>
      </w:pPr>
    </w:p>
    <w:p w14:paraId="00061182" w14:textId="77777777" w:rsidR="00F93188" w:rsidRPr="00D276AE" w:rsidRDefault="00F93188" w:rsidP="00E16D4D">
      <w:pPr>
        <w:pStyle w:val="Prrafodelista"/>
        <w:numPr>
          <w:ilvl w:val="0"/>
          <w:numId w:val="3"/>
        </w:numPr>
        <w:spacing w:line="360" w:lineRule="auto"/>
        <w:ind w:left="0" w:firstLine="0"/>
        <w:jc w:val="both"/>
        <w:rPr>
          <w:rFonts w:ascii="Palatino Linotype" w:eastAsia="Calibri" w:hAnsi="Palatino Linotype" w:cs="Arial"/>
          <w:iCs/>
          <w:color w:val="000000" w:themeColor="text1"/>
          <w:lang w:val="es-MX" w:eastAsia="es-MX"/>
        </w:rPr>
      </w:pPr>
      <w:r w:rsidRPr="00D276AE">
        <w:rPr>
          <w:rFonts w:ascii="Palatino Linotype" w:eastAsia="Palatino Linotype" w:hAnsi="Palatino Linotype" w:cs="Palatino Linotype"/>
          <w:color w:val="000000" w:themeColor="text1"/>
        </w:rPr>
        <w:t>Asimismo, e</w:t>
      </w:r>
      <w:r w:rsidR="000C7D38" w:rsidRPr="00D276AE">
        <w:rPr>
          <w:rFonts w:ascii="Palatino Linotype" w:eastAsia="Palatino Linotype" w:hAnsi="Palatino Linotype" w:cs="Palatino Linotype"/>
          <w:color w:val="000000" w:themeColor="text1"/>
        </w:rPr>
        <w:t xml:space="preserve">l documento que acredita el pago de ISR de los trabajadores </w:t>
      </w:r>
      <w:r w:rsidRPr="00D276AE">
        <w:rPr>
          <w:rFonts w:ascii="Palatino Linotype" w:eastAsia="Palatino Linotype" w:hAnsi="Palatino Linotype" w:cs="Palatino Linotype"/>
          <w:color w:val="000000" w:themeColor="text1"/>
        </w:rPr>
        <w:t xml:space="preserve">es </w:t>
      </w:r>
      <w:r w:rsidR="000C7D38" w:rsidRPr="00D276AE">
        <w:rPr>
          <w:rFonts w:ascii="Palatino Linotype" w:eastAsia="Palatino Linotype" w:hAnsi="Palatino Linotype" w:cs="Palatino Linotype"/>
          <w:color w:val="000000" w:themeColor="text1"/>
        </w:rPr>
        <w:t xml:space="preserve">el </w:t>
      </w:r>
      <w:r w:rsidR="000C7D38" w:rsidRPr="00D276AE">
        <w:rPr>
          <w:rFonts w:ascii="Palatino Linotype" w:eastAsia="Palatino Linotype" w:hAnsi="Palatino Linotype" w:cs="Palatino Linotype"/>
          <w:b/>
          <w:bCs/>
          <w:color w:val="000000" w:themeColor="text1"/>
        </w:rPr>
        <w:t>comprobante de pago de retenciones de ISR</w:t>
      </w:r>
      <w:r w:rsidR="000C7D38" w:rsidRPr="00D276AE">
        <w:rPr>
          <w:rFonts w:ascii="Palatino Linotype" w:eastAsia="Palatino Linotype" w:hAnsi="Palatino Linotype" w:cs="Palatino Linotype"/>
          <w:color w:val="000000" w:themeColor="text1"/>
        </w:rPr>
        <w:t xml:space="preserve">, </w:t>
      </w:r>
      <w:r w:rsidRPr="00D276AE">
        <w:rPr>
          <w:rFonts w:ascii="Palatino Linotype" w:eastAsia="Palatino Linotype" w:hAnsi="Palatino Linotype" w:cs="Palatino Linotype"/>
          <w:color w:val="000000" w:themeColor="text1"/>
        </w:rPr>
        <w:t xml:space="preserve"> el cual </w:t>
      </w:r>
      <w:r w:rsidR="000C7D38" w:rsidRPr="00D276AE">
        <w:rPr>
          <w:rFonts w:ascii="Palatino Linotype" w:eastAsia="Palatino Linotype" w:hAnsi="Palatino Linotype" w:cs="Palatino Linotype"/>
          <w:color w:val="000000" w:themeColor="text1"/>
        </w:rPr>
        <w:t>demuestra que se ha cumplido con la obligación de retener y enterar el impuesto a la autoridad fiscal.</w:t>
      </w:r>
    </w:p>
    <w:p w14:paraId="68761729" w14:textId="77777777" w:rsidR="00F93188" w:rsidRPr="00D276AE" w:rsidRDefault="00F93188" w:rsidP="00E16D4D">
      <w:pPr>
        <w:pStyle w:val="Prrafodelista"/>
        <w:spacing w:line="360" w:lineRule="auto"/>
        <w:ind w:left="0"/>
        <w:jc w:val="both"/>
        <w:rPr>
          <w:rFonts w:ascii="Palatino Linotype" w:eastAsia="Calibri" w:hAnsi="Palatino Linotype" w:cs="Arial"/>
          <w:iCs/>
          <w:color w:val="000000" w:themeColor="text1"/>
          <w:lang w:val="es-MX" w:eastAsia="es-MX"/>
        </w:rPr>
      </w:pPr>
    </w:p>
    <w:p w14:paraId="33AFB185" w14:textId="03DA4AD9" w:rsidR="00F93188" w:rsidRPr="00D276AE" w:rsidRDefault="00F93188" w:rsidP="00E16D4D">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Al respecto, es de señalar los artículos 31, fracción XVIII, 53, fracción III, 93, 95, fracciones I, IV, de la Ley Orgánica Municipal del Estado de México, estipulan: </w:t>
      </w:r>
    </w:p>
    <w:p w14:paraId="763A1993" w14:textId="77777777" w:rsidR="00F93188" w:rsidRPr="00D276AE" w:rsidRDefault="00F93188" w:rsidP="00E16D4D">
      <w:pPr>
        <w:spacing w:line="360" w:lineRule="auto"/>
        <w:rPr>
          <w:rFonts w:ascii="Palatino Linotype" w:eastAsia="Palatino Linotype" w:hAnsi="Palatino Linotype" w:cs="Palatino Linotype"/>
          <w:color w:val="000000" w:themeColor="text1"/>
        </w:rPr>
      </w:pPr>
    </w:p>
    <w:p w14:paraId="2DF40993" w14:textId="77777777" w:rsidR="00F93188" w:rsidRPr="00D276AE" w:rsidRDefault="00F93188" w:rsidP="00E16D4D">
      <w:pPr>
        <w:autoSpaceDE w:val="0"/>
        <w:autoSpaceDN w:val="0"/>
        <w:adjustRightInd w:val="0"/>
        <w:spacing w:line="360" w:lineRule="auto"/>
        <w:rPr>
          <w:rFonts w:ascii="Palatino Linotype" w:eastAsia="Palatino Linotype" w:hAnsi="Palatino Linotype" w:cs="Palatino Linotype"/>
          <w:i/>
          <w:iCs/>
          <w:color w:val="000000" w:themeColor="text1"/>
        </w:rPr>
      </w:pPr>
      <w:r w:rsidRPr="00D276AE">
        <w:rPr>
          <w:rFonts w:ascii="Palatino Linotype" w:eastAsia="Palatino Linotype" w:hAnsi="Palatino Linotype" w:cs="Palatino Linotype"/>
          <w:i/>
          <w:iCs/>
          <w:color w:val="000000" w:themeColor="text1"/>
        </w:rPr>
        <w:t>“Artículo 31. Son atribuciones de los ayuntamientos:</w:t>
      </w:r>
    </w:p>
    <w:p w14:paraId="062018E8" w14:textId="77777777" w:rsidR="00F93188" w:rsidRPr="00D276AE" w:rsidRDefault="00F93188" w:rsidP="00E16D4D">
      <w:pPr>
        <w:autoSpaceDE w:val="0"/>
        <w:autoSpaceDN w:val="0"/>
        <w:adjustRightInd w:val="0"/>
        <w:spacing w:line="360" w:lineRule="auto"/>
        <w:rPr>
          <w:rFonts w:ascii="Palatino Linotype" w:eastAsia="Palatino Linotype" w:hAnsi="Palatino Linotype" w:cs="Palatino Linotype"/>
          <w:i/>
          <w:iCs/>
          <w:color w:val="000000" w:themeColor="text1"/>
        </w:rPr>
      </w:pPr>
      <w:r w:rsidRPr="00D276AE">
        <w:rPr>
          <w:rFonts w:ascii="Palatino Linotype" w:eastAsia="Palatino Linotype" w:hAnsi="Palatino Linotype" w:cs="Palatino Linotype"/>
          <w:i/>
          <w:iCs/>
          <w:color w:val="000000" w:themeColor="text1"/>
        </w:rPr>
        <w:t>(...)</w:t>
      </w:r>
    </w:p>
    <w:p w14:paraId="18684138" w14:textId="77777777" w:rsidR="00F93188" w:rsidRPr="00D276AE" w:rsidRDefault="00F93188" w:rsidP="00E16D4D">
      <w:pPr>
        <w:autoSpaceDE w:val="0"/>
        <w:autoSpaceDN w:val="0"/>
        <w:adjustRightInd w:val="0"/>
        <w:spacing w:line="360" w:lineRule="auto"/>
        <w:rPr>
          <w:rFonts w:ascii="Palatino Linotype" w:eastAsia="Palatino Linotype" w:hAnsi="Palatino Linotype" w:cs="Palatino Linotype"/>
          <w:i/>
          <w:iCs/>
          <w:color w:val="000000" w:themeColor="text1"/>
        </w:rPr>
      </w:pPr>
      <w:r w:rsidRPr="00D276AE">
        <w:rPr>
          <w:rFonts w:ascii="Palatino Linotype" w:eastAsia="Palatino Linotype" w:hAnsi="Palatino Linotype" w:cs="Palatino Linotype"/>
          <w:i/>
          <w:iCs/>
          <w:color w:val="000000" w:themeColor="text1"/>
        </w:rPr>
        <w:t>XVIII. Administrar su hacienda en términos de ley, y controlar a través del presidente y síndico la aplicación del presupuesto de egresos del municipio;</w:t>
      </w:r>
    </w:p>
    <w:p w14:paraId="729AB903" w14:textId="77777777" w:rsidR="00F93188" w:rsidRPr="00D276AE" w:rsidRDefault="00F93188" w:rsidP="00E16D4D">
      <w:pPr>
        <w:autoSpaceDE w:val="0"/>
        <w:autoSpaceDN w:val="0"/>
        <w:adjustRightInd w:val="0"/>
        <w:spacing w:line="360" w:lineRule="auto"/>
        <w:rPr>
          <w:rFonts w:ascii="Palatino Linotype" w:eastAsia="Palatino Linotype" w:hAnsi="Palatino Linotype" w:cs="Palatino Linotype"/>
          <w:i/>
          <w:iCs/>
          <w:color w:val="000000" w:themeColor="text1"/>
        </w:rPr>
      </w:pPr>
      <w:r w:rsidRPr="00D276AE">
        <w:rPr>
          <w:rFonts w:ascii="Palatino Linotype" w:eastAsia="Palatino Linotype" w:hAnsi="Palatino Linotype" w:cs="Palatino Linotype"/>
          <w:i/>
          <w:iCs/>
          <w:color w:val="000000" w:themeColor="text1"/>
        </w:rPr>
        <w:lastRenderedPageBreak/>
        <w:t>(…)</w:t>
      </w:r>
    </w:p>
    <w:p w14:paraId="34B8A6B8" w14:textId="77777777" w:rsidR="00F93188" w:rsidRPr="00D276AE" w:rsidRDefault="00F93188" w:rsidP="00E16D4D">
      <w:pPr>
        <w:autoSpaceDE w:val="0"/>
        <w:autoSpaceDN w:val="0"/>
        <w:adjustRightInd w:val="0"/>
        <w:spacing w:line="360" w:lineRule="auto"/>
        <w:rPr>
          <w:rFonts w:ascii="Palatino Linotype" w:eastAsia="Palatino Linotype" w:hAnsi="Palatino Linotype" w:cs="Palatino Linotype"/>
          <w:i/>
          <w:iCs/>
          <w:color w:val="000000" w:themeColor="text1"/>
        </w:rPr>
      </w:pPr>
      <w:r w:rsidRPr="00D276AE">
        <w:rPr>
          <w:rFonts w:ascii="Palatino Linotype" w:eastAsia="Palatino Linotype" w:hAnsi="Palatino Linotype" w:cs="Palatino Linotype"/>
          <w:i/>
          <w:iCs/>
          <w:color w:val="000000" w:themeColor="text1"/>
        </w:rPr>
        <w:t>Artículo 53. Los síndicos tendrán las siguientes atribuciones:</w:t>
      </w:r>
    </w:p>
    <w:p w14:paraId="2AE0B9C9"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eastAsia="es-MX"/>
        </w:rPr>
      </w:pPr>
      <w:r w:rsidRPr="00D276AE">
        <w:rPr>
          <w:rFonts w:ascii="Palatino Linotype" w:eastAsia="Calibri" w:hAnsi="Palatino Linotype" w:cs="Arial"/>
          <w:i/>
          <w:iCs/>
          <w:color w:val="000000" w:themeColor="text1"/>
          <w:lang w:eastAsia="es-MX"/>
        </w:rPr>
        <w:t>(…)</w:t>
      </w:r>
    </w:p>
    <w:p w14:paraId="0A441ECD"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eastAsia="es-MX"/>
        </w:rPr>
      </w:pPr>
      <w:r w:rsidRPr="00D276AE">
        <w:rPr>
          <w:rFonts w:ascii="Palatino Linotype" w:eastAsia="Calibri" w:hAnsi="Palatino Linotype" w:cs="Arial"/>
          <w:i/>
          <w:iCs/>
          <w:color w:val="000000" w:themeColor="text1"/>
          <w:lang w:eastAsia="es-MX"/>
        </w:rPr>
        <w:t>III. Cuidar que la aplicación de los gastos se haga llenando todos los requisitos legales y conforme al presupuesto respectivo;</w:t>
      </w:r>
    </w:p>
    <w:p w14:paraId="725E5C96"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eastAsia="es-MX"/>
        </w:rPr>
      </w:pPr>
      <w:r w:rsidRPr="00D276AE">
        <w:rPr>
          <w:rFonts w:ascii="Palatino Linotype" w:eastAsia="Calibri" w:hAnsi="Palatino Linotype" w:cs="Arial"/>
          <w:i/>
          <w:iCs/>
          <w:color w:val="000000" w:themeColor="text1"/>
          <w:lang w:eastAsia="es-MX"/>
        </w:rPr>
        <w:t>(…)</w:t>
      </w:r>
    </w:p>
    <w:p w14:paraId="2912D696"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eastAsia="es-MX"/>
        </w:rPr>
      </w:pPr>
      <w:r w:rsidRPr="00D276AE">
        <w:rPr>
          <w:rFonts w:ascii="Palatino Linotype" w:eastAsia="Calibri" w:hAnsi="Palatino Linotype" w:cs="Arial"/>
          <w:i/>
          <w:iCs/>
          <w:color w:val="000000" w:themeColor="text1"/>
          <w:lang w:eastAsia="es-MX"/>
        </w:rPr>
        <w:t>Artículo 93. La tesorería municipal es el órgano encargado de la recaudación de los ingresos municipales y responsable de realizar las erogaciones que haga el ayuntamiento.</w:t>
      </w:r>
    </w:p>
    <w:p w14:paraId="52BF0824"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eastAsia="es-MX"/>
        </w:rPr>
      </w:pPr>
      <w:r w:rsidRPr="00D276AE">
        <w:rPr>
          <w:rFonts w:ascii="Palatino Linotype" w:eastAsia="Calibri" w:hAnsi="Palatino Linotype" w:cs="Arial"/>
          <w:i/>
          <w:iCs/>
          <w:color w:val="000000" w:themeColor="text1"/>
          <w:lang w:eastAsia="es-MX"/>
        </w:rPr>
        <w:t>(…)</w:t>
      </w:r>
    </w:p>
    <w:p w14:paraId="05A82A25"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eastAsia="es-MX"/>
        </w:rPr>
      </w:pPr>
      <w:r w:rsidRPr="00D276AE">
        <w:rPr>
          <w:rFonts w:ascii="Palatino Linotype" w:eastAsia="Calibri" w:hAnsi="Palatino Linotype" w:cs="Arial"/>
          <w:i/>
          <w:iCs/>
          <w:color w:val="000000" w:themeColor="text1"/>
          <w:lang w:eastAsia="es-MX"/>
        </w:rPr>
        <w:t>Artículo 95. Son atribuciones del tesorero municipal:</w:t>
      </w:r>
    </w:p>
    <w:p w14:paraId="1F65717C"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eastAsia="es-MX"/>
        </w:rPr>
      </w:pPr>
      <w:r w:rsidRPr="00D276AE">
        <w:rPr>
          <w:rFonts w:ascii="Palatino Linotype" w:eastAsia="Calibri" w:hAnsi="Palatino Linotype" w:cs="Arial"/>
          <w:i/>
          <w:iCs/>
          <w:color w:val="000000" w:themeColor="text1"/>
          <w:lang w:eastAsia="es-MX"/>
        </w:rPr>
        <w:t>(…)</w:t>
      </w:r>
    </w:p>
    <w:p w14:paraId="11BF63B0"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val="es-ES" w:eastAsia="en-US"/>
        </w:rPr>
      </w:pPr>
      <w:r w:rsidRPr="00D276AE">
        <w:rPr>
          <w:rFonts w:ascii="Palatino Linotype" w:eastAsia="Calibri" w:hAnsi="Palatino Linotype" w:cs="Arial"/>
          <w:i/>
          <w:iCs/>
          <w:color w:val="000000" w:themeColor="text1"/>
          <w:lang w:val="es-ES"/>
        </w:rPr>
        <w:t>I. Administrar la hacienda pública municipal, de conformidad con las disposiciones legales aplicables;</w:t>
      </w:r>
    </w:p>
    <w:p w14:paraId="76600EE8"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val="es-MX" w:eastAsia="es-MX"/>
        </w:rPr>
      </w:pPr>
      <w:r w:rsidRPr="00D276AE">
        <w:rPr>
          <w:rFonts w:ascii="Palatino Linotype" w:eastAsia="Calibri" w:hAnsi="Palatino Linotype" w:cs="Arial"/>
          <w:i/>
          <w:iCs/>
          <w:color w:val="000000" w:themeColor="text1"/>
          <w:lang w:eastAsia="es-MX"/>
        </w:rPr>
        <w:t>(…)</w:t>
      </w:r>
    </w:p>
    <w:p w14:paraId="5E28CE6B"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eastAsia="es-MX"/>
        </w:rPr>
      </w:pPr>
      <w:r w:rsidRPr="00D276AE">
        <w:rPr>
          <w:rFonts w:ascii="Palatino Linotype" w:eastAsia="Calibri" w:hAnsi="Palatino Linotype" w:cs="Arial"/>
          <w:i/>
          <w:iCs/>
          <w:color w:val="000000" w:themeColor="text1"/>
          <w:lang w:eastAsia="es-MX"/>
        </w:rPr>
        <w:t>IV. Llevar los registros contables, financieros y administrativos de los ingresos, egresos, e inventarios;</w:t>
      </w:r>
    </w:p>
    <w:p w14:paraId="5E83CDB0" w14:textId="77777777" w:rsidR="00F93188" w:rsidRPr="00D276AE" w:rsidRDefault="00F93188" w:rsidP="00E16D4D">
      <w:pPr>
        <w:autoSpaceDE w:val="0"/>
        <w:autoSpaceDN w:val="0"/>
        <w:adjustRightInd w:val="0"/>
        <w:spacing w:line="360" w:lineRule="auto"/>
        <w:rPr>
          <w:rFonts w:ascii="Palatino Linotype" w:eastAsia="Calibri" w:hAnsi="Palatino Linotype" w:cs="Arial"/>
          <w:i/>
          <w:iCs/>
          <w:color w:val="000000" w:themeColor="text1"/>
          <w:lang w:eastAsia="es-MX"/>
        </w:rPr>
      </w:pPr>
      <w:r w:rsidRPr="00D276AE">
        <w:rPr>
          <w:rFonts w:ascii="Palatino Linotype" w:eastAsia="Calibri" w:hAnsi="Palatino Linotype" w:cs="Arial"/>
          <w:i/>
          <w:iCs/>
          <w:color w:val="000000" w:themeColor="text1"/>
          <w:lang w:eastAsia="es-MX"/>
        </w:rPr>
        <w:t>(…)” (Énfasis añadido)</w:t>
      </w:r>
    </w:p>
    <w:p w14:paraId="0176CB95" w14:textId="77777777" w:rsidR="00F93188" w:rsidRPr="00D276AE" w:rsidRDefault="00F93188" w:rsidP="00E16D4D">
      <w:pPr>
        <w:autoSpaceDE w:val="0"/>
        <w:autoSpaceDN w:val="0"/>
        <w:adjustRightInd w:val="0"/>
        <w:spacing w:line="360" w:lineRule="auto"/>
        <w:rPr>
          <w:rFonts w:ascii="Palatino Linotype" w:eastAsia="Calibri" w:hAnsi="Palatino Linotype" w:cs="Arial"/>
          <w:i/>
          <w:color w:val="000000" w:themeColor="text1"/>
          <w:lang w:eastAsia="es-MX"/>
        </w:rPr>
      </w:pPr>
    </w:p>
    <w:p w14:paraId="68EB0196" w14:textId="77777777" w:rsidR="00F93188" w:rsidRPr="00D276AE" w:rsidRDefault="00F93188" w:rsidP="00E16D4D">
      <w:pPr>
        <w:pStyle w:val="Prrafodelista"/>
        <w:numPr>
          <w:ilvl w:val="0"/>
          <w:numId w:val="3"/>
        </w:numPr>
        <w:autoSpaceDE w:val="0"/>
        <w:autoSpaceDN w:val="0"/>
        <w:adjustRightInd w:val="0"/>
        <w:spacing w:line="360" w:lineRule="auto"/>
        <w:ind w:left="0" w:firstLine="0"/>
        <w:jc w:val="both"/>
        <w:rPr>
          <w:rFonts w:ascii="Palatino Linotype" w:eastAsia="Arial Unicode MS" w:hAnsi="Palatino Linotype" w:cs="Arial"/>
          <w:iCs/>
          <w:color w:val="000000" w:themeColor="text1"/>
          <w:lang w:val="es-ES" w:eastAsia="en-US"/>
        </w:rPr>
      </w:pPr>
      <w:r w:rsidRPr="00D276AE">
        <w:rPr>
          <w:rFonts w:ascii="Palatino Linotype" w:eastAsia="Arial Unicode MS" w:hAnsi="Palatino Linotype" w:cs="Arial"/>
          <w:iCs/>
          <w:color w:val="000000" w:themeColor="text1"/>
          <w:lang w:val="es-ES"/>
        </w:rPr>
        <w:t xml:space="preserve">De lo anterior se desprende que los ayuntamientos administran su hacienda en términos de ley, por lo que le corresponde controlar al presidente y síndico la aplicación del presupuesto de egresos del municipio, además que al síndico le corresponde cuidar que la aplicación de los gastos se haga llenando todos los requisitos legales y conforme al presupuesto correspondiente y es al </w:t>
      </w:r>
      <w:r w:rsidRPr="00D276AE">
        <w:rPr>
          <w:rFonts w:ascii="Palatino Linotype" w:eastAsia="Arial Unicode MS" w:hAnsi="Palatino Linotype" w:cs="Arial"/>
          <w:b/>
          <w:iCs/>
          <w:color w:val="000000" w:themeColor="text1"/>
          <w:u w:val="single"/>
          <w:lang w:val="es-ES"/>
        </w:rPr>
        <w:t>Tesorero al que le corresponde llevar los registros contables, financieros y administrativos de los ingresos, egresos</w:t>
      </w:r>
      <w:r w:rsidRPr="00D276AE">
        <w:rPr>
          <w:rFonts w:ascii="Palatino Linotype" w:eastAsia="Arial Unicode MS" w:hAnsi="Palatino Linotype" w:cs="Arial"/>
          <w:iCs/>
          <w:color w:val="000000" w:themeColor="text1"/>
          <w:lang w:val="es-ES"/>
        </w:rPr>
        <w:t>.</w:t>
      </w:r>
    </w:p>
    <w:p w14:paraId="586DB019" w14:textId="77777777" w:rsidR="00F93188" w:rsidRPr="00D276AE" w:rsidRDefault="00F93188" w:rsidP="00E16D4D">
      <w:pPr>
        <w:pStyle w:val="Prrafodelista"/>
        <w:autoSpaceDE w:val="0"/>
        <w:autoSpaceDN w:val="0"/>
        <w:adjustRightInd w:val="0"/>
        <w:spacing w:line="360" w:lineRule="auto"/>
        <w:ind w:left="0"/>
        <w:jc w:val="both"/>
        <w:rPr>
          <w:rFonts w:ascii="Palatino Linotype" w:eastAsia="Arial Unicode MS" w:hAnsi="Palatino Linotype" w:cs="Arial"/>
          <w:iCs/>
          <w:color w:val="000000" w:themeColor="text1"/>
          <w:lang w:val="es-ES" w:eastAsia="en-US"/>
        </w:rPr>
      </w:pPr>
    </w:p>
    <w:p w14:paraId="2FD22118" w14:textId="77777777" w:rsidR="00E73757" w:rsidRPr="00D276AE" w:rsidRDefault="00F93188" w:rsidP="00E16D4D">
      <w:pPr>
        <w:pStyle w:val="Prrafodelista"/>
        <w:numPr>
          <w:ilvl w:val="0"/>
          <w:numId w:val="3"/>
        </w:numPr>
        <w:autoSpaceDE w:val="0"/>
        <w:autoSpaceDN w:val="0"/>
        <w:adjustRightInd w:val="0"/>
        <w:spacing w:line="360" w:lineRule="auto"/>
        <w:ind w:left="0" w:firstLine="0"/>
        <w:jc w:val="both"/>
        <w:rPr>
          <w:rFonts w:ascii="Palatino Linotype" w:eastAsia="Arial Unicode MS" w:hAnsi="Palatino Linotype" w:cs="Arial"/>
          <w:iCs/>
          <w:color w:val="000000" w:themeColor="text1"/>
          <w:lang w:val="es-ES" w:eastAsia="en-US"/>
        </w:rPr>
      </w:pPr>
      <w:r w:rsidRPr="00D276AE">
        <w:rPr>
          <w:rFonts w:ascii="Palatino Linotype" w:eastAsia="Arial Unicode MS" w:hAnsi="Palatino Linotype" w:cs="Arial"/>
          <w:iCs/>
          <w:color w:val="000000" w:themeColor="text1"/>
        </w:rPr>
        <w:t xml:space="preserve">Para tal efecto, el Glosario de Informe Tributario y de Gestión emitido por el SAT </w:t>
      </w:r>
      <w:hyperlink r:id="rId9" w:history="1">
        <w:r w:rsidR="00E73757" w:rsidRPr="00D276AE">
          <w:rPr>
            <w:rStyle w:val="Hipervnculo"/>
            <w:rFonts w:ascii="Palatino Linotype" w:eastAsia="Arial Unicode MS" w:hAnsi="Palatino Linotype" w:cs="Arial"/>
            <w:iCs/>
            <w:color w:val="000000" w:themeColor="text1"/>
          </w:rPr>
          <w:t>http://www2.sat.gob.mx/sitio_internet/informe_tributario/itg2014t2/glosario.pdf</w:t>
        </w:r>
      </w:hyperlink>
      <w:r w:rsidRPr="00D276AE">
        <w:rPr>
          <w:rFonts w:ascii="Palatino Linotype" w:eastAsia="Arial Unicode MS" w:hAnsi="Palatino Linotype" w:cs="Arial"/>
          <w:iCs/>
          <w:color w:val="000000" w:themeColor="text1"/>
        </w:rPr>
        <w:t xml:space="preserve"> señala que el Impuesto Sobre la Renta (I.S.R.) es la contribución que grava los ingresos de las personas físicas o morales residentes en el país, así como de las personas residentes en el extranjero por los ingresos atribuibles a sus establecimientos permanentes ubicados en territorio nacional o aquéllos que proceden de fuente de riqueza ubicada en el país.</w:t>
      </w:r>
    </w:p>
    <w:p w14:paraId="2B4C6A17" w14:textId="77777777" w:rsidR="00E73757" w:rsidRPr="00D276AE" w:rsidRDefault="00E73757" w:rsidP="00E16D4D">
      <w:pPr>
        <w:pStyle w:val="Prrafodelista"/>
        <w:ind w:left="0"/>
        <w:rPr>
          <w:rFonts w:ascii="Palatino Linotype" w:eastAsia="Arial Unicode MS" w:hAnsi="Palatino Linotype" w:cs="Arial"/>
          <w:iCs/>
          <w:color w:val="000000" w:themeColor="text1"/>
        </w:rPr>
      </w:pPr>
    </w:p>
    <w:p w14:paraId="67700EB2" w14:textId="77777777" w:rsidR="00E73757" w:rsidRPr="00D276AE" w:rsidRDefault="00F93188" w:rsidP="00E16D4D">
      <w:pPr>
        <w:pStyle w:val="Prrafodelista"/>
        <w:numPr>
          <w:ilvl w:val="0"/>
          <w:numId w:val="3"/>
        </w:numPr>
        <w:autoSpaceDE w:val="0"/>
        <w:autoSpaceDN w:val="0"/>
        <w:adjustRightInd w:val="0"/>
        <w:spacing w:line="360" w:lineRule="auto"/>
        <w:ind w:left="0" w:firstLine="0"/>
        <w:jc w:val="both"/>
        <w:rPr>
          <w:rFonts w:ascii="Palatino Linotype" w:eastAsia="Arial Unicode MS" w:hAnsi="Palatino Linotype" w:cs="Arial"/>
          <w:iCs/>
          <w:color w:val="000000" w:themeColor="text1"/>
          <w:lang w:val="es-ES" w:eastAsia="en-US"/>
        </w:rPr>
      </w:pPr>
      <w:r w:rsidRPr="00D276AE">
        <w:rPr>
          <w:rFonts w:ascii="Palatino Linotype" w:eastAsia="Arial Unicode MS" w:hAnsi="Palatino Linotype" w:cs="Arial"/>
          <w:iCs/>
          <w:color w:val="000000" w:themeColor="text1"/>
        </w:rPr>
        <w:t xml:space="preserve">En tal sentido el Código Fiscal de la Federación contempla en su numeral 32-G que los Municipios, tendrán la obligación de presentar ante las autoridades fiscales, a través de los medios y formatos electrónicos que señale el Servicio de Administración, la información relativa a las personas a las que en el mes inmediato anterior les hubieren efectuado retenciones de impuesto sobre la renta. </w:t>
      </w:r>
    </w:p>
    <w:p w14:paraId="50F0A545" w14:textId="77777777" w:rsidR="00E73757" w:rsidRPr="00D276AE" w:rsidRDefault="00E73757" w:rsidP="00E16D4D">
      <w:pPr>
        <w:pStyle w:val="Prrafodelista"/>
        <w:ind w:left="0"/>
        <w:rPr>
          <w:rFonts w:ascii="Palatino Linotype" w:eastAsia="Arial Unicode MS" w:hAnsi="Palatino Linotype" w:cs="Arial"/>
          <w:iCs/>
          <w:color w:val="000000" w:themeColor="text1"/>
        </w:rPr>
      </w:pPr>
    </w:p>
    <w:p w14:paraId="5EB27DB3" w14:textId="77777777" w:rsidR="00E73757" w:rsidRPr="00D276AE" w:rsidRDefault="00F93188" w:rsidP="00E16D4D">
      <w:pPr>
        <w:pStyle w:val="Prrafodelista"/>
        <w:numPr>
          <w:ilvl w:val="0"/>
          <w:numId w:val="3"/>
        </w:numPr>
        <w:autoSpaceDE w:val="0"/>
        <w:autoSpaceDN w:val="0"/>
        <w:adjustRightInd w:val="0"/>
        <w:spacing w:line="360" w:lineRule="auto"/>
        <w:ind w:left="0" w:firstLine="0"/>
        <w:jc w:val="both"/>
        <w:rPr>
          <w:rFonts w:ascii="Palatino Linotype" w:eastAsia="Arial Unicode MS" w:hAnsi="Palatino Linotype" w:cs="Arial"/>
          <w:iCs/>
          <w:color w:val="000000" w:themeColor="text1"/>
          <w:lang w:val="es-ES" w:eastAsia="en-US"/>
        </w:rPr>
      </w:pPr>
      <w:r w:rsidRPr="00D276AE">
        <w:rPr>
          <w:rFonts w:ascii="Palatino Linotype" w:eastAsia="Arial Unicode MS" w:hAnsi="Palatino Linotype" w:cs="Arial"/>
          <w:iCs/>
          <w:color w:val="000000" w:themeColor="text1"/>
        </w:rPr>
        <w:t>Por su parte, la Ley del Impuesto sobre la Renta, contempla en su artículo 94 que se consideran ingresos por la prestación de un servicio personal subordinado, los salarios y demás prestaciones que deriven de una relación laboral, y para los efectos de este impuesto, se asimilan a estos ingresos las remuneraciones y demás prestaciones, obtenidas por los funcionarios y trabajadores de la Federación, de las entidades federativas y de los municipios y que el pago del impuesto a que se refiere este artículo deberá efectuarse mediante retención que efectúen las citadas personas morales.</w:t>
      </w:r>
    </w:p>
    <w:p w14:paraId="008D2B4D" w14:textId="77777777" w:rsidR="00E73757" w:rsidRPr="00D276AE" w:rsidRDefault="00E73757" w:rsidP="00E16D4D">
      <w:pPr>
        <w:pStyle w:val="Prrafodelista"/>
        <w:ind w:left="0"/>
        <w:rPr>
          <w:rFonts w:ascii="Palatino Linotype" w:eastAsia="Arial Unicode MS" w:hAnsi="Palatino Linotype" w:cs="Arial"/>
          <w:iCs/>
          <w:color w:val="000000" w:themeColor="text1"/>
        </w:rPr>
      </w:pPr>
    </w:p>
    <w:p w14:paraId="549BAF75" w14:textId="77777777" w:rsidR="00E73757" w:rsidRPr="00D276AE" w:rsidRDefault="00E73757" w:rsidP="00E16D4D">
      <w:pPr>
        <w:pStyle w:val="Prrafodelista"/>
        <w:numPr>
          <w:ilvl w:val="0"/>
          <w:numId w:val="3"/>
        </w:numPr>
        <w:autoSpaceDE w:val="0"/>
        <w:autoSpaceDN w:val="0"/>
        <w:adjustRightInd w:val="0"/>
        <w:spacing w:line="360" w:lineRule="auto"/>
        <w:ind w:left="0" w:firstLine="0"/>
        <w:jc w:val="both"/>
        <w:rPr>
          <w:rFonts w:ascii="Palatino Linotype" w:eastAsia="Arial Unicode MS" w:hAnsi="Palatino Linotype" w:cs="Arial"/>
          <w:iCs/>
          <w:color w:val="000000" w:themeColor="text1"/>
          <w:lang w:val="es-ES" w:eastAsia="en-US"/>
        </w:rPr>
      </w:pPr>
      <w:r w:rsidRPr="00D276AE">
        <w:rPr>
          <w:rFonts w:ascii="Palatino Linotype" w:eastAsia="Arial Unicode MS" w:hAnsi="Palatino Linotype" w:cs="Arial"/>
          <w:iCs/>
          <w:color w:val="000000" w:themeColor="text1"/>
        </w:rPr>
        <w:t>L</w:t>
      </w:r>
      <w:r w:rsidR="00F93188" w:rsidRPr="00D276AE">
        <w:rPr>
          <w:rFonts w:ascii="Palatino Linotype" w:eastAsia="Arial Unicode MS" w:hAnsi="Palatino Linotype" w:cs="Arial"/>
          <w:iCs/>
          <w:color w:val="000000" w:themeColor="text1"/>
        </w:rPr>
        <w:t xml:space="preserve">os diversos artículos 79 fracción, XXIII y 96 de dicho Ordenamiento Legal que los municipios enterarán las retenciones a más tardar el día 17 de cada uno de los meses </w:t>
      </w:r>
      <w:r w:rsidR="00F93188" w:rsidRPr="00D276AE">
        <w:rPr>
          <w:rFonts w:ascii="Palatino Linotype" w:eastAsia="Arial Unicode MS" w:hAnsi="Palatino Linotype" w:cs="Arial"/>
          <w:iCs/>
          <w:color w:val="000000" w:themeColor="text1"/>
        </w:rPr>
        <w:lastRenderedPageBreak/>
        <w:t>del año de calendario, mediante declaración que presentarán ante las oficinas autorizadas.</w:t>
      </w:r>
    </w:p>
    <w:p w14:paraId="73A6FACF" w14:textId="77777777" w:rsidR="00E73757" w:rsidRPr="00D276AE" w:rsidRDefault="00E73757" w:rsidP="00E16D4D">
      <w:pPr>
        <w:pStyle w:val="Prrafodelista"/>
        <w:ind w:left="0"/>
        <w:rPr>
          <w:rFonts w:ascii="Palatino Linotype" w:eastAsia="Arial Unicode MS" w:hAnsi="Palatino Linotype" w:cs="Arial"/>
          <w:iCs/>
          <w:color w:val="000000" w:themeColor="text1"/>
        </w:rPr>
      </w:pPr>
    </w:p>
    <w:p w14:paraId="5ABA1190" w14:textId="772CB11F" w:rsidR="00F93188" w:rsidRPr="00D276AE" w:rsidRDefault="00F93188" w:rsidP="00E16D4D">
      <w:pPr>
        <w:pStyle w:val="Prrafodelista"/>
        <w:numPr>
          <w:ilvl w:val="0"/>
          <w:numId w:val="3"/>
        </w:numPr>
        <w:autoSpaceDE w:val="0"/>
        <w:autoSpaceDN w:val="0"/>
        <w:adjustRightInd w:val="0"/>
        <w:spacing w:line="360" w:lineRule="auto"/>
        <w:ind w:left="0" w:firstLine="0"/>
        <w:jc w:val="both"/>
        <w:rPr>
          <w:rFonts w:ascii="Palatino Linotype" w:eastAsia="Arial Unicode MS" w:hAnsi="Palatino Linotype" w:cs="Arial"/>
          <w:iCs/>
          <w:color w:val="000000" w:themeColor="text1"/>
          <w:lang w:val="es-ES" w:eastAsia="en-US"/>
        </w:rPr>
      </w:pPr>
      <w:r w:rsidRPr="00D276AE">
        <w:rPr>
          <w:rFonts w:ascii="Palatino Linotype" w:eastAsia="Arial Unicode MS" w:hAnsi="Palatino Linotype" w:cs="Arial"/>
          <w:iCs/>
          <w:color w:val="000000" w:themeColor="text1"/>
        </w:rPr>
        <w:t xml:space="preserve">Conforme a lo anterior, se logra vislumbrar que el Ayuntamiento de </w:t>
      </w:r>
      <w:r w:rsidR="00E73757" w:rsidRPr="00D276AE">
        <w:rPr>
          <w:rFonts w:ascii="Palatino Linotype" w:eastAsia="Arial Unicode MS" w:hAnsi="Palatino Linotype" w:cs="Arial"/>
          <w:iCs/>
          <w:color w:val="000000" w:themeColor="text1"/>
        </w:rPr>
        <w:t>Toluca</w:t>
      </w:r>
      <w:r w:rsidRPr="00D276AE">
        <w:rPr>
          <w:rFonts w:ascii="Palatino Linotype" w:eastAsia="Arial Unicode MS" w:hAnsi="Palatino Linotype" w:cs="Arial"/>
          <w:iCs/>
          <w:color w:val="000000" w:themeColor="text1"/>
        </w:rPr>
        <w:t xml:space="preserve">, tiene la facultad de retener el impuesto sobre la renta, mismo que deberá pagar a las autoridades correspondientes, cada mes mediante la declaración correspondiente. En ese contexto, los Sujetos Obligados deben generar pólizas contables que corresponden a un documento en el que se asientan las operaciones desarrolladas, por el municipio y toda la información necesaria para su identificación, de conformidad con la Guía Técnica 8 “La Contabilidad y la Cuenta Pública Municipal” </w:t>
      </w:r>
      <w:r w:rsidRPr="00D276AE">
        <w:rPr>
          <w:rFonts w:ascii="Palatino Linotype" w:eastAsia="Times New Roman" w:hAnsi="Palatino Linotype" w:cs="Tahoma"/>
          <w:color w:val="000000" w:themeColor="text1"/>
        </w:rPr>
        <w:t>(</w:t>
      </w:r>
      <w:hyperlink r:id="rId10" w:history="1">
        <w:r w:rsidRPr="00D276AE">
          <w:rPr>
            <w:rStyle w:val="Hipervnculo"/>
            <w:rFonts w:ascii="Palatino Linotype" w:eastAsia="Times New Roman" w:hAnsi="Palatino Linotype" w:cs="Times New Roman"/>
            <w:color w:val="000000" w:themeColor="text1"/>
          </w:rPr>
          <w:t>https://silo.tips/download/guia-tecnica-8-la-contabilidad-y-la-cuenta-publica-municipal</w:t>
        </w:r>
      </w:hyperlink>
      <w:r w:rsidRPr="00D276AE">
        <w:rPr>
          <w:rFonts w:ascii="Palatino Linotype" w:eastAsia="Times New Roman" w:hAnsi="Palatino Linotype" w:cs="Times New Roman"/>
          <w:color w:val="000000" w:themeColor="text1"/>
        </w:rPr>
        <w:t>)</w:t>
      </w:r>
      <w:r w:rsidRPr="00D276AE">
        <w:rPr>
          <w:rFonts w:ascii="Palatino Linotype" w:eastAsia="Times New Roman" w:hAnsi="Palatino Linotype" w:cs="Tahoma"/>
          <w:color w:val="000000" w:themeColor="text1"/>
        </w:rPr>
        <w:t>; además, dichas pólizas se dividen en las siguientes:</w:t>
      </w:r>
    </w:p>
    <w:p w14:paraId="2F40B3CE" w14:textId="77777777" w:rsidR="00F93188" w:rsidRPr="00D276AE" w:rsidRDefault="00F93188" w:rsidP="00E16D4D">
      <w:pPr>
        <w:spacing w:line="360" w:lineRule="auto"/>
        <w:jc w:val="both"/>
        <w:rPr>
          <w:rFonts w:ascii="Palatino Linotype" w:eastAsia="Times New Roman" w:hAnsi="Palatino Linotype" w:cs="Tahoma"/>
          <w:color w:val="000000" w:themeColor="text1"/>
        </w:rPr>
      </w:pPr>
    </w:p>
    <w:p w14:paraId="603EAE4A" w14:textId="77777777" w:rsidR="00F93188" w:rsidRPr="00D276AE" w:rsidRDefault="00F93188" w:rsidP="00E16D4D">
      <w:pPr>
        <w:numPr>
          <w:ilvl w:val="0"/>
          <w:numId w:val="35"/>
        </w:numPr>
        <w:spacing w:after="160" w:line="360" w:lineRule="auto"/>
        <w:ind w:left="0"/>
        <w:contextualSpacing/>
        <w:jc w:val="both"/>
        <w:rPr>
          <w:rFonts w:ascii="Palatino Linotype" w:eastAsia="Times New Roman" w:hAnsi="Palatino Linotype" w:cs="Tahoma"/>
          <w:b/>
          <w:color w:val="000000" w:themeColor="text1"/>
        </w:rPr>
      </w:pPr>
      <w:r w:rsidRPr="00D276AE">
        <w:rPr>
          <w:rFonts w:ascii="Palatino Linotype" w:eastAsia="Times New Roman" w:hAnsi="Palatino Linotype" w:cs="Tahoma"/>
          <w:b/>
          <w:color w:val="000000" w:themeColor="text1"/>
        </w:rPr>
        <w:t xml:space="preserve">Póliza de Ingresos: </w:t>
      </w:r>
      <w:r w:rsidRPr="00D276AE">
        <w:rPr>
          <w:rFonts w:ascii="Palatino Linotype" w:eastAsia="Times New Roman" w:hAnsi="Palatino Linotype" w:cs="Tahoma"/>
          <w:color w:val="000000" w:themeColor="text1"/>
        </w:rPr>
        <w:t>Es aquella donde se anotan las operaciones que representan ingresos, esto es, entradas de dinero para el municipio.</w:t>
      </w:r>
    </w:p>
    <w:p w14:paraId="5FB13F86" w14:textId="77777777" w:rsidR="00F93188" w:rsidRPr="00D276AE" w:rsidRDefault="00F93188" w:rsidP="00E16D4D">
      <w:pPr>
        <w:spacing w:line="360" w:lineRule="auto"/>
        <w:contextualSpacing/>
        <w:jc w:val="both"/>
        <w:rPr>
          <w:rFonts w:ascii="Palatino Linotype" w:eastAsia="Times New Roman" w:hAnsi="Palatino Linotype" w:cs="Tahoma"/>
          <w:b/>
          <w:color w:val="000000" w:themeColor="text1"/>
        </w:rPr>
      </w:pPr>
    </w:p>
    <w:p w14:paraId="2DDECE13" w14:textId="77777777" w:rsidR="00F93188" w:rsidRPr="00D276AE" w:rsidRDefault="00F93188" w:rsidP="00E16D4D">
      <w:pPr>
        <w:numPr>
          <w:ilvl w:val="0"/>
          <w:numId w:val="35"/>
        </w:numPr>
        <w:spacing w:after="160" w:line="360" w:lineRule="auto"/>
        <w:ind w:left="0"/>
        <w:contextualSpacing/>
        <w:jc w:val="both"/>
        <w:rPr>
          <w:rFonts w:ascii="Palatino Linotype" w:eastAsia="Times New Roman" w:hAnsi="Palatino Linotype" w:cs="Tahoma"/>
          <w:b/>
          <w:color w:val="000000" w:themeColor="text1"/>
        </w:rPr>
      </w:pPr>
      <w:r w:rsidRPr="00D276AE">
        <w:rPr>
          <w:rFonts w:ascii="Palatino Linotype" w:eastAsia="Times New Roman" w:hAnsi="Palatino Linotype" w:cs="Tahoma"/>
          <w:b/>
          <w:color w:val="000000" w:themeColor="text1"/>
        </w:rPr>
        <w:t xml:space="preserve">Póliza de Diario: </w:t>
      </w:r>
      <w:r w:rsidRPr="00D276AE">
        <w:rPr>
          <w:rFonts w:ascii="Palatino Linotype" w:eastAsia="Times New Roman" w:hAnsi="Palatino Linotype" w:cs="Tahoma"/>
          <w:color w:val="000000" w:themeColor="text1"/>
        </w:rPr>
        <w:t>Es la que se elabora cuando la operación que se está registrando no implica una entrada o una salida (ingreso o egreso) de dinero para el municipio.</w:t>
      </w:r>
    </w:p>
    <w:p w14:paraId="579472F0" w14:textId="77777777" w:rsidR="00F93188" w:rsidRPr="00D276AE" w:rsidRDefault="00F93188" w:rsidP="00E16D4D">
      <w:pPr>
        <w:spacing w:line="360" w:lineRule="auto"/>
        <w:contextualSpacing/>
        <w:jc w:val="both"/>
        <w:rPr>
          <w:rFonts w:ascii="Palatino Linotype" w:eastAsia="Times New Roman" w:hAnsi="Palatino Linotype" w:cs="Tahoma"/>
          <w:b/>
          <w:color w:val="000000" w:themeColor="text1"/>
        </w:rPr>
      </w:pPr>
    </w:p>
    <w:p w14:paraId="750A3854" w14:textId="77777777" w:rsidR="00F93188" w:rsidRPr="00D276AE" w:rsidRDefault="00F93188" w:rsidP="00E16D4D">
      <w:pPr>
        <w:numPr>
          <w:ilvl w:val="0"/>
          <w:numId w:val="35"/>
        </w:numPr>
        <w:spacing w:after="160" w:line="360" w:lineRule="auto"/>
        <w:ind w:left="0"/>
        <w:contextualSpacing/>
        <w:jc w:val="both"/>
        <w:rPr>
          <w:rFonts w:ascii="Palatino Linotype" w:eastAsia="Times New Roman" w:hAnsi="Palatino Linotype" w:cs="Tahoma"/>
          <w:b/>
          <w:color w:val="000000" w:themeColor="text1"/>
        </w:rPr>
      </w:pPr>
      <w:r w:rsidRPr="00D276AE">
        <w:rPr>
          <w:rFonts w:ascii="Palatino Linotype" w:eastAsia="Times New Roman" w:hAnsi="Palatino Linotype" w:cs="Tahoma"/>
          <w:b/>
          <w:color w:val="000000" w:themeColor="text1"/>
        </w:rPr>
        <w:t xml:space="preserve">Póliza de Egresos: </w:t>
      </w:r>
      <w:r w:rsidRPr="00D276AE">
        <w:rPr>
          <w:rFonts w:ascii="Palatino Linotype" w:eastAsia="Times New Roman" w:hAnsi="Palatino Linotype" w:cs="Tahoma"/>
          <w:color w:val="000000" w:themeColor="text1"/>
          <w:u w:val="single"/>
        </w:rPr>
        <w:t>Corresponde a aquella donde se anotan las operaciones que implique egresos, es decir, la salida de dinero, en efectivo o transferencia, para el municipio.</w:t>
      </w:r>
    </w:p>
    <w:p w14:paraId="241FD1DF" w14:textId="77777777" w:rsidR="00F93188" w:rsidRPr="00D276AE" w:rsidRDefault="00F93188" w:rsidP="00E16D4D">
      <w:pPr>
        <w:spacing w:line="360" w:lineRule="auto"/>
        <w:contextualSpacing/>
        <w:jc w:val="both"/>
        <w:rPr>
          <w:rFonts w:ascii="Palatino Linotype" w:eastAsia="Times New Roman" w:hAnsi="Palatino Linotype" w:cs="Tahoma"/>
          <w:b/>
          <w:color w:val="000000" w:themeColor="text1"/>
        </w:rPr>
      </w:pPr>
    </w:p>
    <w:p w14:paraId="73C32C74" w14:textId="77777777" w:rsidR="00F93188" w:rsidRPr="00D276AE" w:rsidRDefault="00F93188" w:rsidP="00E16D4D">
      <w:pPr>
        <w:numPr>
          <w:ilvl w:val="0"/>
          <w:numId w:val="35"/>
        </w:numPr>
        <w:spacing w:after="160" w:line="360" w:lineRule="auto"/>
        <w:ind w:left="0"/>
        <w:contextualSpacing/>
        <w:jc w:val="both"/>
        <w:rPr>
          <w:rFonts w:ascii="Palatino Linotype" w:eastAsia="Times New Roman" w:hAnsi="Palatino Linotype" w:cs="Tahoma"/>
          <w:b/>
          <w:color w:val="000000" w:themeColor="text1"/>
        </w:rPr>
      </w:pPr>
      <w:r w:rsidRPr="00D276AE">
        <w:rPr>
          <w:rFonts w:ascii="Palatino Linotype" w:eastAsia="Times New Roman" w:hAnsi="Palatino Linotype" w:cs="Tahoma"/>
          <w:b/>
          <w:color w:val="000000" w:themeColor="text1"/>
        </w:rPr>
        <w:t xml:space="preserve">Póliza Cheque: </w:t>
      </w:r>
      <w:r w:rsidRPr="00D276AE">
        <w:rPr>
          <w:rFonts w:ascii="Palatino Linotype" w:eastAsia="Times New Roman" w:hAnsi="Palatino Linotype" w:cs="Tahoma"/>
          <w:color w:val="000000" w:themeColor="text1"/>
          <w:u w:val="single"/>
        </w:rPr>
        <w:t>Es la que se elabora cuando la operación implique una salida de dinero del municipio, a través de un cheque.</w:t>
      </w:r>
    </w:p>
    <w:p w14:paraId="218D532E" w14:textId="77777777" w:rsidR="00F93188" w:rsidRPr="00D276AE" w:rsidRDefault="00F93188" w:rsidP="00E16D4D">
      <w:pPr>
        <w:spacing w:line="360" w:lineRule="auto"/>
        <w:jc w:val="both"/>
        <w:rPr>
          <w:rFonts w:ascii="Palatino Linotype" w:eastAsia="Calibri" w:hAnsi="Palatino Linotype" w:cs="Tahoma"/>
          <w:bCs/>
          <w:color w:val="000000" w:themeColor="text1"/>
          <w:lang w:eastAsia="en-US"/>
        </w:rPr>
      </w:pPr>
    </w:p>
    <w:p w14:paraId="45BCDB0F" w14:textId="1BCA140E" w:rsidR="00F93188" w:rsidRPr="00D276AE" w:rsidRDefault="004B0233" w:rsidP="00E16D4D">
      <w:pPr>
        <w:pStyle w:val="Prrafodelista"/>
        <w:numPr>
          <w:ilvl w:val="0"/>
          <w:numId w:val="3"/>
        </w:numPr>
        <w:shd w:val="clear" w:color="auto" w:fill="FFFFFF"/>
        <w:spacing w:line="360" w:lineRule="auto"/>
        <w:ind w:left="0" w:firstLine="0"/>
        <w:jc w:val="both"/>
        <w:rPr>
          <w:rFonts w:ascii="Palatino Linotype" w:eastAsia="Calibri" w:hAnsi="Palatino Linotype" w:cs="Tahoma"/>
          <w:bCs/>
          <w:color w:val="000000" w:themeColor="text1"/>
        </w:rPr>
      </w:pPr>
      <w:r w:rsidRPr="00D276AE">
        <w:rPr>
          <w:rFonts w:ascii="Palatino Linotype" w:eastAsia="Calibri" w:hAnsi="Palatino Linotype" w:cs="Tahoma"/>
          <w:bCs/>
          <w:color w:val="000000" w:themeColor="text1"/>
        </w:rPr>
        <w:t xml:space="preserve">Como se desprende de los </w:t>
      </w:r>
      <w:r w:rsidR="00F93188" w:rsidRPr="00D276AE">
        <w:rPr>
          <w:rFonts w:ascii="Palatino Linotype" w:eastAsia="Calibri" w:hAnsi="Palatino Linotype" w:cs="Tahoma"/>
          <w:bCs/>
          <w:color w:val="000000" w:themeColor="text1"/>
        </w:rPr>
        <w:t>Lineamientos para la Integración y Entrega del Informe Trimestral Municipa</w:t>
      </w:r>
      <w:r w:rsidRPr="00D276AE">
        <w:rPr>
          <w:rFonts w:ascii="Palatino Linotype" w:eastAsia="Calibri" w:hAnsi="Palatino Linotype" w:cs="Tahoma"/>
          <w:bCs/>
          <w:color w:val="000000" w:themeColor="text1"/>
        </w:rPr>
        <w:t>l 2022</w:t>
      </w:r>
      <w:r w:rsidR="00F93188" w:rsidRPr="00D276AE">
        <w:rPr>
          <w:rFonts w:ascii="Palatino Linotype" w:eastAsia="Calibri" w:hAnsi="Palatino Linotype" w:cs="Tahoma"/>
          <w:bCs/>
          <w:color w:val="000000" w:themeColor="text1"/>
        </w:rPr>
        <w:t>,</w:t>
      </w:r>
      <w:r w:rsidRPr="00D276AE">
        <w:rPr>
          <w:rFonts w:ascii="Palatino Linotype" w:eastAsia="Calibri" w:hAnsi="Palatino Linotype" w:cs="Tahoma"/>
          <w:bCs/>
          <w:color w:val="000000" w:themeColor="text1"/>
        </w:rPr>
        <w:t xml:space="preserve"> uno de los ejercicios de los cuales se requiere la información, </w:t>
      </w:r>
      <w:r w:rsidR="00F93188" w:rsidRPr="00D276AE">
        <w:rPr>
          <w:rFonts w:ascii="Palatino Linotype" w:eastAsia="Calibri" w:hAnsi="Palatino Linotype" w:cs="Tahoma"/>
          <w:bCs/>
          <w:color w:val="000000" w:themeColor="text1"/>
        </w:rPr>
        <w:t xml:space="preserve"> entre los criterios que maneja, se advierte que en el </w:t>
      </w:r>
      <w:r w:rsidR="00F93188" w:rsidRPr="00D276AE">
        <w:rPr>
          <w:rFonts w:ascii="Palatino Linotype" w:eastAsia="Calibri" w:hAnsi="Palatino Linotype" w:cs="Tahoma"/>
          <w:b/>
          <w:bCs/>
          <w:color w:val="000000" w:themeColor="text1"/>
        </w:rPr>
        <w:t>Módulo 1</w:t>
      </w:r>
      <w:r w:rsidR="00F93188" w:rsidRPr="00D276AE">
        <w:rPr>
          <w:rFonts w:ascii="Palatino Linotype" w:eastAsia="Calibri" w:hAnsi="Palatino Linotype" w:cs="Tahoma"/>
          <w:bCs/>
          <w:color w:val="000000" w:themeColor="text1"/>
        </w:rPr>
        <w:t xml:space="preserve">, referente a la </w:t>
      </w:r>
      <w:r w:rsidR="00F93188" w:rsidRPr="00D276AE">
        <w:rPr>
          <w:rFonts w:ascii="Palatino Linotype" w:eastAsia="Calibri" w:hAnsi="Palatino Linotype" w:cs="Tahoma"/>
          <w:b/>
          <w:bCs/>
          <w:color w:val="000000" w:themeColor="text1"/>
        </w:rPr>
        <w:t xml:space="preserve">Información Contable y Financiera, </w:t>
      </w:r>
      <w:r w:rsidR="00F93188" w:rsidRPr="00D276AE">
        <w:rPr>
          <w:rFonts w:ascii="Palatino Linotype" w:eastAsia="Calibri" w:hAnsi="Palatino Linotype" w:cs="Tahoma"/>
          <w:bCs/>
          <w:color w:val="000000" w:themeColor="text1"/>
        </w:rPr>
        <w:t xml:space="preserve">se integra por diversos documentos, entre los que se encuentran los </w:t>
      </w:r>
      <w:r w:rsidR="00F93188" w:rsidRPr="00D276AE">
        <w:rPr>
          <w:rFonts w:ascii="Palatino Linotype" w:eastAsia="Calibri" w:hAnsi="Palatino Linotype" w:cs="Tahoma"/>
          <w:b/>
          <w:bCs/>
          <w:color w:val="000000" w:themeColor="text1"/>
        </w:rPr>
        <w:t xml:space="preserve">Póliza de Egresos y Pólizas de Cheque, con los documentos comprobatorios, </w:t>
      </w:r>
      <w:r w:rsidR="00F93188" w:rsidRPr="00D276AE">
        <w:rPr>
          <w:rFonts w:ascii="Palatino Linotype" w:eastAsia="Calibri" w:hAnsi="Palatino Linotype" w:cs="Tahoma"/>
          <w:bCs/>
          <w:color w:val="000000" w:themeColor="text1"/>
        </w:rPr>
        <w:t>mismos que debe proporcionar el Ente Recurrido.</w:t>
      </w:r>
      <w:r w:rsidR="00F147EE" w:rsidRPr="00D276AE">
        <w:rPr>
          <w:rFonts w:ascii="Palatino Linotype" w:hAnsi="Palatino Linotype"/>
          <w:noProof/>
          <w:color w:val="000000" w:themeColor="text1"/>
        </w:rPr>
        <w:t xml:space="preserve"> </w:t>
      </w:r>
    </w:p>
    <w:p w14:paraId="792CB5FF" w14:textId="6960416B" w:rsidR="00F93188" w:rsidRPr="00D276AE" w:rsidRDefault="00F93188" w:rsidP="00E16D4D">
      <w:pPr>
        <w:shd w:val="clear" w:color="auto" w:fill="FFFFFF"/>
        <w:spacing w:line="360" w:lineRule="auto"/>
        <w:jc w:val="both"/>
        <w:rPr>
          <w:rFonts w:ascii="Palatino Linotype" w:eastAsia="Calibri" w:hAnsi="Palatino Linotype" w:cs="Tahoma"/>
          <w:bCs/>
          <w:color w:val="000000" w:themeColor="text1"/>
        </w:rPr>
      </w:pPr>
    </w:p>
    <w:p w14:paraId="434EF8E3" w14:textId="0B437651" w:rsidR="00F93188" w:rsidRPr="00D276AE" w:rsidRDefault="00F93188" w:rsidP="00E16D4D">
      <w:pPr>
        <w:shd w:val="clear" w:color="auto" w:fill="FFFFFF"/>
        <w:spacing w:line="360" w:lineRule="auto"/>
        <w:jc w:val="both"/>
        <w:rPr>
          <w:rFonts w:ascii="Palatino Linotype" w:eastAsia="Calibri" w:hAnsi="Palatino Linotype" w:cs="Tahoma"/>
          <w:bCs/>
          <w:color w:val="000000" w:themeColor="text1"/>
        </w:rPr>
      </w:pPr>
      <w:r w:rsidRPr="00D276AE">
        <w:rPr>
          <w:rFonts w:ascii="Palatino Linotype" w:eastAsia="Calibri" w:hAnsi="Palatino Linotype" w:cs="Tahoma"/>
          <w:noProof/>
          <w:color w:val="000000" w:themeColor="text1"/>
          <w:lang w:val="es-MX" w:eastAsia="es-MX"/>
        </w:rPr>
        <w:drawing>
          <wp:inline distT="0" distB="0" distL="0" distR="0" wp14:anchorId="45D7D284" wp14:editId="262C4443">
            <wp:extent cx="4924425" cy="3524250"/>
            <wp:effectExtent l="0" t="0" r="9525" b="0"/>
            <wp:docPr id="7812824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l="11423" t="19720" r="1407" b="21745"/>
                    <a:stretch>
                      <a:fillRect/>
                    </a:stretch>
                  </pic:blipFill>
                  <pic:spPr bwMode="auto">
                    <a:xfrm>
                      <a:off x="0" y="0"/>
                      <a:ext cx="4924425" cy="3524250"/>
                    </a:xfrm>
                    <a:prstGeom prst="rect">
                      <a:avLst/>
                    </a:prstGeom>
                    <a:noFill/>
                    <a:ln>
                      <a:noFill/>
                    </a:ln>
                  </pic:spPr>
                </pic:pic>
              </a:graphicData>
            </a:graphic>
          </wp:inline>
        </w:drawing>
      </w:r>
    </w:p>
    <w:p w14:paraId="47AF030B" w14:textId="77777777" w:rsidR="00F93188" w:rsidRPr="00D276AE" w:rsidRDefault="00F93188" w:rsidP="00E16D4D">
      <w:pPr>
        <w:shd w:val="clear" w:color="auto" w:fill="FFFFFF"/>
        <w:spacing w:line="360" w:lineRule="auto"/>
        <w:jc w:val="both"/>
        <w:rPr>
          <w:rFonts w:ascii="Palatino Linotype" w:eastAsia="Calibri" w:hAnsi="Palatino Linotype" w:cs="Tahoma"/>
          <w:bCs/>
          <w:color w:val="000000" w:themeColor="text1"/>
        </w:rPr>
      </w:pPr>
    </w:p>
    <w:p w14:paraId="20148A06" w14:textId="39B155B9" w:rsidR="00F93188" w:rsidRPr="00D276AE" w:rsidRDefault="00F93188" w:rsidP="00E16D4D">
      <w:pPr>
        <w:shd w:val="clear" w:color="auto" w:fill="FFFFFF"/>
        <w:spacing w:line="360" w:lineRule="auto"/>
        <w:jc w:val="both"/>
        <w:rPr>
          <w:rFonts w:ascii="Palatino Linotype" w:eastAsia="Calibri" w:hAnsi="Palatino Linotype" w:cs="Tahoma"/>
          <w:bCs/>
          <w:color w:val="000000" w:themeColor="text1"/>
        </w:rPr>
      </w:pPr>
      <w:r w:rsidRPr="00D276AE">
        <w:rPr>
          <w:rFonts w:ascii="Palatino Linotype" w:eastAsia="Calibri" w:hAnsi="Palatino Linotype" w:cs="Tahoma"/>
          <w:noProof/>
          <w:color w:val="000000" w:themeColor="text1"/>
          <w:lang w:val="es-MX" w:eastAsia="es-MX"/>
        </w:rPr>
        <w:lastRenderedPageBreak/>
        <w:drawing>
          <wp:inline distT="0" distB="0" distL="0" distR="0" wp14:anchorId="03B3F0E4" wp14:editId="54F26055">
            <wp:extent cx="5715000" cy="5918447"/>
            <wp:effectExtent l="0" t="0" r="0" b="6350"/>
            <wp:docPr id="118191805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l="7893" t="34077" r="41216" b="16541"/>
                    <a:stretch>
                      <a:fillRect/>
                    </a:stretch>
                  </pic:blipFill>
                  <pic:spPr bwMode="auto">
                    <a:xfrm>
                      <a:off x="0" y="0"/>
                      <a:ext cx="5717918" cy="5921469"/>
                    </a:xfrm>
                    <a:prstGeom prst="rect">
                      <a:avLst/>
                    </a:prstGeom>
                    <a:noFill/>
                    <a:ln>
                      <a:noFill/>
                    </a:ln>
                  </pic:spPr>
                </pic:pic>
              </a:graphicData>
            </a:graphic>
          </wp:inline>
        </w:drawing>
      </w:r>
    </w:p>
    <w:p w14:paraId="4EFFD787" w14:textId="5451106B" w:rsidR="00F93188" w:rsidRPr="00D276AE" w:rsidRDefault="00F93188" w:rsidP="00E16D4D">
      <w:pPr>
        <w:shd w:val="clear" w:color="auto" w:fill="FFFFFF"/>
        <w:spacing w:line="360" w:lineRule="auto"/>
        <w:jc w:val="both"/>
        <w:rPr>
          <w:rFonts w:ascii="Palatino Linotype" w:eastAsia="Calibri" w:hAnsi="Palatino Linotype" w:cs="Tahoma"/>
          <w:bCs/>
          <w:color w:val="000000" w:themeColor="text1"/>
          <w:lang w:val="es-MX"/>
        </w:rPr>
      </w:pPr>
    </w:p>
    <w:p w14:paraId="0A6EB447" w14:textId="77777777" w:rsidR="00E73757" w:rsidRPr="00D276AE" w:rsidRDefault="00F93188" w:rsidP="00E16D4D">
      <w:pPr>
        <w:pStyle w:val="Prrafodelista"/>
        <w:numPr>
          <w:ilvl w:val="0"/>
          <w:numId w:val="3"/>
        </w:numPr>
        <w:shd w:val="clear" w:color="auto" w:fill="FFFFFF"/>
        <w:spacing w:line="360" w:lineRule="auto"/>
        <w:ind w:left="0" w:firstLine="0"/>
        <w:jc w:val="both"/>
        <w:rPr>
          <w:rFonts w:ascii="Palatino Linotype" w:eastAsia="Calibri" w:hAnsi="Palatino Linotype" w:cs="Tahoma"/>
          <w:bCs/>
          <w:color w:val="000000" w:themeColor="text1"/>
        </w:rPr>
      </w:pPr>
      <w:r w:rsidRPr="00D276AE">
        <w:rPr>
          <w:rFonts w:ascii="Palatino Linotype" w:eastAsia="Calibri" w:hAnsi="Palatino Linotype" w:cs="Tahoma"/>
          <w:bCs/>
          <w:color w:val="000000" w:themeColor="text1"/>
        </w:rPr>
        <w:t xml:space="preserve">Además, en el apartado de </w:t>
      </w:r>
      <w:r w:rsidRPr="00D276AE">
        <w:rPr>
          <w:rFonts w:ascii="Palatino Linotype" w:eastAsia="Calibri" w:hAnsi="Palatino Linotype" w:cs="Tahoma"/>
          <w:b/>
          <w:bCs/>
          <w:color w:val="000000" w:themeColor="text1"/>
        </w:rPr>
        <w:t xml:space="preserve">“Aspectos a tomar en cuenta para la integración de las Pólizas contables y documentación comprobatoria”, </w:t>
      </w:r>
      <w:r w:rsidRPr="00D276AE">
        <w:rPr>
          <w:rFonts w:ascii="Palatino Linotype" w:eastAsia="Calibri" w:hAnsi="Palatino Linotype" w:cs="Tahoma"/>
          <w:bCs/>
          <w:color w:val="000000" w:themeColor="text1"/>
        </w:rPr>
        <w:t xml:space="preserve">se precisa que dichos </w:t>
      </w:r>
      <w:r w:rsidRPr="00D276AE">
        <w:rPr>
          <w:rFonts w:ascii="Palatino Linotype" w:eastAsia="Calibri" w:hAnsi="Palatino Linotype" w:cs="Tahoma"/>
          <w:bCs/>
          <w:color w:val="000000" w:themeColor="text1"/>
        </w:rPr>
        <w:lastRenderedPageBreak/>
        <w:t>documentos deberán contener las imágenes de la documentación comprobatoria y justificativa de los egresos y de las respectivas pólizas, de la entidad.</w:t>
      </w:r>
    </w:p>
    <w:p w14:paraId="1F626DBA" w14:textId="77777777" w:rsidR="00E73757" w:rsidRPr="00D276AE" w:rsidRDefault="00E73757" w:rsidP="00E16D4D">
      <w:pPr>
        <w:pStyle w:val="Prrafodelista"/>
        <w:shd w:val="clear" w:color="auto" w:fill="FFFFFF"/>
        <w:spacing w:line="360" w:lineRule="auto"/>
        <w:ind w:left="0"/>
        <w:jc w:val="both"/>
        <w:rPr>
          <w:rFonts w:ascii="Palatino Linotype" w:eastAsia="Calibri" w:hAnsi="Palatino Linotype" w:cs="Tahoma"/>
          <w:bCs/>
          <w:color w:val="000000" w:themeColor="text1"/>
        </w:rPr>
      </w:pPr>
    </w:p>
    <w:p w14:paraId="463A5B17" w14:textId="3B7ED7F1" w:rsidR="00E73757" w:rsidRPr="00D276AE" w:rsidRDefault="00F93188" w:rsidP="00E16D4D">
      <w:pPr>
        <w:pStyle w:val="Prrafodelista"/>
        <w:numPr>
          <w:ilvl w:val="0"/>
          <w:numId w:val="3"/>
        </w:numPr>
        <w:shd w:val="clear" w:color="auto" w:fill="FFFFFF"/>
        <w:spacing w:line="360" w:lineRule="auto"/>
        <w:ind w:left="0" w:firstLine="0"/>
        <w:jc w:val="both"/>
        <w:rPr>
          <w:rFonts w:ascii="Palatino Linotype" w:eastAsia="Calibri" w:hAnsi="Palatino Linotype" w:cs="Tahoma"/>
          <w:bCs/>
          <w:color w:val="000000" w:themeColor="text1"/>
        </w:rPr>
      </w:pPr>
      <w:r w:rsidRPr="00D276AE">
        <w:rPr>
          <w:rFonts w:ascii="Palatino Linotype" w:eastAsia="Calibri" w:hAnsi="Palatino Linotype" w:cs="Tahoma"/>
          <w:bCs/>
          <w:color w:val="000000" w:themeColor="text1"/>
          <w:lang w:val="es-ES"/>
        </w:rPr>
        <w:t xml:space="preserve">Conforme a lo anterior, se advierte que </w:t>
      </w:r>
      <w:r w:rsidRPr="00D276AE">
        <w:rPr>
          <w:rFonts w:ascii="Palatino Linotype" w:eastAsia="Calibri" w:hAnsi="Palatino Linotype" w:cs="Tahoma"/>
          <w:b/>
          <w:bCs/>
          <w:color w:val="000000" w:themeColor="text1"/>
          <w:u w:val="single"/>
          <w:lang w:val="es-ES"/>
        </w:rPr>
        <w:t xml:space="preserve">las Pólizas contables, con su respectiva documentación comprobatoria, </w:t>
      </w:r>
      <w:r w:rsidRPr="00D276AE">
        <w:rPr>
          <w:rFonts w:ascii="Palatino Linotype" w:eastAsia="Calibri" w:hAnsi="Palatino Linotype" w:cs="Tahoma"/>
          <w:b/>
          <w:bCs/>
          <w:color w:val="000000" w:themeColor="text1"/>
          <w:u w:val="single"/>
        </w:rPr>
        <w:t>de manera enunciativa mas no limitativa,</w:t>
      </w:r>
      <w:r w:rsidRPr="00D276AE">
        <w:rPr>
          <w:rFonts w:ascii="Palatino Linotype" w:eastAsia="Calibri" w:hAnsi="Palatino Linotype" w:cs="Tahoma"/>
          <w:b/>
          <w:bCs/>
          <w:color w:val="000000" w:themeColor="text1"/>
          <w:u w:val="single"/>
          <w:lang w:val="es-ES"/>
        </w:rPr>
        <w:t xml:space="preserve"> son los documentos que pudieran atender la solicitud de información, pues contienen los gastos erogados por el Ente Recurrido,</w:t>
      </w:r>
      <w:r w:rsidRPr="00D276AE">
        <w:rPr>
          <w:rFonts w:ascii="Palatino Linotype" w:eastAsia="Calibri" w:hAnsi="Palatino Linotype" w:cs="Tahoma"/>
          <w:bCs/>
          <w:color w:val="000000" w:themeColor="text1"/>
          <w:lang w:val="es-ES"/>
        </w:rPr>
        <w:t xml:space="preserve"> </w:t>
      </w:r>
      <w:r w:rsidRPr="00D276AE">
        <w:rPr>
          <w:rFonts w:ascii="Palatino Linotype" w:eastAsia="Calibri" w:hAnsi="Palatino Linotype" w:cs="Tahoma"/>
          <w:bCs/>
          <w:iCs/>
          <w:color w:val="000000" w:themeColor="text1"/>
          <w:lang w:eastAsia="es-ES_tradnl"/>
        </w:rPr>
        <w:t xml:space="preserve">respecto de los gastos o erogaciones realizadas para el pago del I.S.R. correspondiente </w:t>
      </w:r>
      <w:r w:rsidR="00E73757" w:rsidRPr="00D276AE">
        <w:rPr>
          <w:rFonts w:ascii="Palatino Linotype" w:eastAsia="Calibri" w:hAnsi="Palatino Linotype" w:cs="Tahoma"/>
          <w:bCs/>
          <w:iCs/>
          <w:color w:val="000000" w:themeColor="text1"/>
          <w:lang w:eastAsia="es-ES_tradnl"/>
        </w:rPr>
        <w:t>a los ejercicios fiscales 2017, 2018, 2019, 2020, 2022, 2023 y  de</w:t>
      </w:r>
      <w:r w:rsidR="004B0233" w:rsidRPr="00D276AE">
        <w:rPr>
          <w:rFonts w:ascii="Palatino Linotype" w:eastAsia="Calibri" w:hAnsi="Palatino Linotype" w:cs="Tahoma"/>
          <w:bCs/>
          <w:iCs/>
          <w:color w:val="000000" w:themeColor="text1"/>
          <w:lang w:eastAsia="es-ES_tradnl"/>
        </w:rPr>
        <w:t xml:space="preserve"> </w:t>
      </w:r>
      <w:r w:rsidR="00E73757" w:rsidRPr="00D276AE">
        <w:rPr>
          <w:rFonts w:ascii="Palatino Linotype" w:eastAsia="Calibri" w:hAnsi="Palatino Linotype" w:cs="Tahoma"/>
          <w:bCs/>
          <w:iCs/>
          <w:color w:val="000000" w:themeColor="text1"/>
          <w:lang w:eastAsia="es-ES_tradnl"/>
        </w:rPr>
        <w:t xml:space="preserve">enero </w:t>
      </w:r>
      <w:r w:rsidR="004B0233" w:rsidRPr="00D276AE">
        <w:rPr>
          <w:rFonts w:ascii="Palatino Linotype" w:eastAsia="Calibri" w:hAnsi="Palatino Linotype" w:cs="Tahoma"/>
          <w:bCs/>
          <w:iCs/>
          <w:color w:val="000000" w:themeColor="text1"/>
          <w:lang w:eastAsia="es-ES_tradnl"/>
        </w:rPr>
        <w:t xml:space="preserve">y </w:t>
      </w:r>
      <w:r w:rsidR="00E73757" w:rsidRPr="00D276AE">
        <w:rPr>
          <w:rFonts w:ascii="Palatino Linotype" w:eastAsia="Calibri" w:hAnsi="Palatino Linotype" w:cs="Tahoma"/>
          <w:bCs/>
          <w:iCs/>
          <w:color w:val="000000" w:themeColor="text1"/>
          <w:lang w:eastAsia="es-ES_tradnl"/>
        </w:rPr>
        <w:t xml:space="preserve"> febrero de dos mil veinticinco, </w:t>
      </w:r>
      <w:r w:rsidRPr="00D276AE">
        <w:rPr>
          <w:rFonts w:ascii="Palatino Linotype" w:eastAsia="Calibri" w:hAnsi="Palatino Linotype" w:cs="Tahoma"/>
          <w:bCs/>
          <w:color w:val="000000" w:themeColor="text1"/>
          <w:lang w:val="es-ES"/>
        </w:rPr>
        <w:t xml:space="preserve"> por lo tanto, el Sujeto Obligado cuenta con competencia para conocer lo solicitado. </w:t>
      </w:r>
    </w:p>
    <w:p w14:paraId="47C55281" w14:textId="77777777" w:rsidR="00E73757" w:rsidRPr="00D276AE" w:rsidRDefault="00E73757" w:rsidP="00E16D4D">
      <w:pPr>
        <w:pStyle w:val="Prrafodelista"/>
        <w:ind w:left="0"/>
        <w:rPr>
          <w:rFonts w:ascii="Palatino Linotype" w:eastAsia="Calibri" w:hAnsi="Palatino Linotype" w:cs="Tahoma"/>
          <w:bCs/>
          <w:color w:val="000000" w:themeColor="text1"/>
          <w:lang w:val="es-ES"/>
        </w:rPr>
      </w:pPr>
    </w:p>
    <w:p w14:paraId="3CCBE082" w14:textId="77777777" w:rsidR="00E73757" w:rsidRPr="00D276AE" w:rsidRDefault="00F93188" w:rsidP="00E16D4D">
      <w:pPr>
        <w:pStyle w:val="Prrafodelista"/>
        <w:numPr>
          <w:ilvl w:val="0"/>
          <w:numId w:val="3"/>
        </w:numPr>
        <w:shd w:val="clear" w:color="auto" w:fill="FFFFFF"/>
        <w:spacing w:line="360" w:lineRule="auto"/>
        <w:ind w:left="0" w:firstLine="0"/>
        <w:jc w:val="both"/>
        <w:rPr>
          <w:rFonts w:ascii="Palatino Linotype" w:eastAsia="Calibri" w:hAnsi="Palatino Linotype" w:cs="Tahoma"/>
          <w:bCs/>
          <w:color w:val="000000" w:themeColor="text1"/>
        </w:rPr>
      </w:pPr>
      <w:r w:rsidRPr="00D276AE">
        <w:rPr>
          <w:rFonts w:ascii="Palatino Linotype" w:eastAsia="Calibri" w:hAnsi="Palatino Linotype" w:cs="Tahoma"/>
          <w:bCs/>
          <w:color w:val="000000" w:themeColor="text1"/>
          <w:lang w:val="es-ES"/>
        </w:rPr>
        <w:t>Situación que se robustece, con el artículo 344 del Código Financiero del Estado de México, que precisa que las Tesorerías Municipales registrarán contablemente, el efecto patrimonial y presupuestal de las operaciones financieras que realicen; además, que todo registro contable y presupuestal, deberá estar soportado con los documentos comprobatorios originales.</w:t>
      </w:r>
    </w:p>
    <w:p w14:paraId="74709CDC" w14:textId="77777777" w:rsidR="00E73757" w:rsidRPr="00D276AE" w:rsidRDefault="00E73757" w:rsidP="00E16D4D">
      <w:pPr>
        <w:pStyle w:val="Prrafodelista"/>
        <w:ind w:left="0"/>
        <w:rPr>
          <w:rFonts w:ascii="Palatino Linotype" w:eastAsia="Calibri" w:hAnsi="Palatino Linotype" w:cs="Arial"/>
          <w:iCs/>
          <w:color w:val="000000" w:themeColor="text1"/>
        </w:rPr>
      </w:pPr>
    </w:p>
    <w:p w14:paraId="7AF52A6F" w14:textId="77777777" w:rsidR="00E73757" w:rsidRPr="00D276AE" w:rsidRDefault="00F93188" w:rsidP="00E16D4D">
      <w:pPr>
        <w:pStyle w:val="Prrafodelista"/>
        <w:numPr>
          <w:ilvl w:val="0"/>
          <w:numId w:val="3"/>
        </w:numPr>
        <w:shd w:val="clear" w:color="auto" w:fill="FFFFFF"/>
        <w:spacing w:line="360" w:lineRule="auto"/>
        <w:ind w:left="0" w:firstLine="0"/>
        <w:jc w:val="both"/>
        <w:rPr>
          <w:rFonts w:ascii="Palatino Linotype" w:eastAsia="Calibri" w:hAnsi="Palatino Linotype" w:cs="Tahoma"/>
          <w:bCs/>
          <w:color w:val="000000" w:themeColor="text1"/>
        </w:rPr>
      </w:pPr>
      <w:r w:rsidRPr="00D276AE">
        <w:rPr>
          <w:rFonts w:ascii="Palatino Linotype" w:eastAsia="Calibri" w:hAnsi="Palatino Linotype" w:cs="Arial"/>
          <w:iCs/>
          <w:color w:val="000000" w:themeColor="text1"/>
        </w:rPr>
        <w:t>Ahora bien, es necesario remitirnos al numeral 23 penúltimo párrafo de la Ley de Transparencia y Acceso a la Información Pública del Estado de México y Municipios, el cual a la letra dispone:</w:t>
      </w:r>
    </w:p>
    <w:p w14:paraId="2A69D17F" w14:textId="77777777" w:rsidR="00E73757" w:rsidRPr="00D276AE" w:rsidRDefault="00E73757" w:rsidP="00E16D4D">
      <w:pPr>
        <w:pStyle w:val="Prrafodelista"/>
        <w:ind w:left="0"/>
        <w:rPr>
          <w:rFonts w:ascii="Palatino Linotype" w:eastAsia="Calibri" w:hAnsi="Palatino Linotype" w:cs="Arial"/>
          <w:iCs/>
          <w:color w:val="000000" w:themeColor="text1"/>
        </w:rPr>
      </w:pPr>
    </w:p>
    <w:p w14:paraId="64036C18" w14:textId="77777777" w:rsidR="00E73757" w:rsidRPr="00D276AE" w:rsidRDefault="00E73757" w:rsidP="00E16D4D">
      <w:pPr>
        <w:tabs>
          <w:tab w:val="left" w:pos="709"/>
        </w:tabs>
        <w:spacing w:line="360" w:lineRule="auto"/>
        <w:jc w:val="both"/>
        <w:rPr>
          <w:rFonts w:ascii="Palatino Linotype" w:eastAsia="Calibri" w:hAnsi="Palatino Linotype" w:cs="Arial"/>
          <w:iCs/>
          <w:color w:val="000000" w:themeColor="text1"/>
        </w:rPr>
      </w:pPr>
    </w:p>
    <w:p w14:paraId="7256CD6D" w14:textId="77777777" w:rsidR="00E73757" w:rsidRPr="00D276AE" w:rsidRDefault="00E73757" w:rsidP="00E16D4D">
      <w:pPr>
        <w:tabs>
          <w:tab w:val="left" w:pos="709"/>
        </w:tabs>
        <w:spacing w:line="360" w:lineRule="auto"/>
        <w:jc w:val="both"/>
        <w:rPr>
          <w:rFonts w:ascii="Palatino Linotype" w:eastAsia="Calibri" w:hAnsi="Palatino Linotype" w:cs="Times New Roman"/>
          <w:i/>
          <w:iCs/>
          <w:color w:val="000000" w:themeColor="text1"/>
        </w:rPr>
      </w:pPr>
      <w:r w:rsidRPr="00D276AE">
        <w:rPr>
          <w:rFonts w:ascii="Palatino Linotype" w:eastAsia="Calibri" w:hAnsi="Palatino Linotype" w:cs="Arial"/>
          <w:i/>
          <w:iCs/>
          <w:color w:val="000000" w:themeColor="text1"/>
        </w:rPr>
        <w:t xml:space="preserve"> </w:t>
      </w:r>
      <w:r w:rsidRPr="00D276AE">
        <w:rPr>
          <w:rFonts w:ascii="Palatino Linotype" w:eastAsia="Calibri" w:hAnsi="Palatino Linotype" w:cs="Times New Roman"/>
          <w:i/>
          <w:iCs/>
          <w:color w:val="000000" w:themeColor="text1"/>
        </w:rPr>
        <w:t>Artículo 23. Son sujetos obligados a transparentar y permitir el acceso a su información y proteger los datos personales que obren en su poder:</w:t>
      </w:r>
    </w:p>
    <w:p w14:paraId="0713C058" w14:textId="77777777" w:rsidR="00E73757" w:rsidRPr="00D276AE" w:rsidRDefault="00E73757" w:rsidP="00E16D4D">
      <w:pPr>
        <w:tabs>
          <w:tab w:val="left" w:pos="709"/>
        </w:tabs>
        <w:spacing w:line="360" w:lineRule="auto"/>
        <w:jc w:val="both"/>
        <w:rPr>
          <w:rFonts w:ascii="Palatino Linotype" w:eastAsia="Calibri" w:hAnsi="Palatino Linotype" w:cs="Times New Roman"/>
          <w:i/>
          <w:iCs/>
          <w:color w:val="000000" w:themeColor="text1"/>
        </w:rPr>
      </w:pPr>
      <w:r w:rsidRPr="00D276AE">
        <w:rPr>
          <w:rFonts w:ascii="Palatino Linotype" w:eastAsia="Calibri" w:hAnsi="Palatino Linotype" w:cs="Times New Roman"/>
          <w:i/>
          <w:iCs/>
          <w:color w:val="000000" w:themeColor="text1"/>
        </w:rPr>
        <w:t>…</w:t>
      </w:r>
    </w:p>
    <w:p w14:paraId="1BC69942" w14:textId="77777777" w:rsidR="00E73757" w:rsidRPr="00D276AE" w:rsidRDefault="00E73757" w:rsidP="00E16D4D">
      <w:pPr>
        <w:tabs>
          <w:tab w:val="left" w:pos="709"/>
        </w:tabs>
        <w:spacing w:line="360" w:lineRule="auto"/>
        <w:jc w:val="both"/>
        <w:rPr>
          <w:rFonts w:ascii="Palatino Linotype" w:eastAsia="Calibri" w:hAnsi="Palatino Linotype" w:cs="Times New Roman"/>
          <w:i/>
          <w:iCs/>
          <w:color w:val="000000" w:themeColor="text1"/>
        </w:rPr>
      </w:pPr>
      <w:r w:rsidRPr="00D276AE">
        <w:rPr>
          <w:rFonts w:ascii="Palatino Linotype" w:eastAsia="Calibri" w:hAnsi="Palatino Linotype" w:cs="Times New Roman"/>
          <w:i/>
          <w:iCs/>
          <w:color w:val="000000" w:themeColor="text1"/>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CF22FAD" w14:textId="77777777" w:rsidR="00E73757" w:rsidRPr="00D276AE" w:rsidRDefault="00E73757" w:rsidP="00E16D4D">
      <w:pPr>
        <w:tabs>
          <w:tab w:val="left" w:pos="709"/>
        </w:tabs>
        <w:spacing w:line="360" w:lineRule="auto"/>
        <w:jc w:val="both"/>
        <w:rPr>
          <w:rFonts w:ascii="Palatino Linotype" w:eastAsia="Calibri" w:hAnsi="Palatino Linotype" w:cs="Times New Roman"/>
          <w:i/>
          <w:iCs/>
          <w:color w:val="000000" w:themeColor="text1"/>
        </w:rPr>
      </w:pPr>
      <w:r w:rsidRPr="00D276AE">
        <w:rPr>
          <w:rFonts w:ascii="Palatino Linotype" w:eastAsia="Calibri" w:hAnsi="Palatino Linotype" w:cs="Times New Roman"/>
          <w:i/>
          <w:iCs/>
          <w:color w:val="000000" w:themeColor="text1"/>
        </w:rPr>
        <w:t>….</w:t>
      </w:r>
    </w:p>
    <w:p w14:paraId="5E48119A" w14:textId="77777777" w:rsidR="00E73757" w:rsidRPr="00D276AE" w:rsidRDefault="00E73757" w:rsidP="00E16D4D">
      <w:pPr>
        <w:pStyle w:val="Prrafodelista"/>
        <w:shd w:val="clear" w:color="auto" w:fill="FFFFFF"/>
        <w:spacing w:line="360" w:lineRule="auto"/>
        <w:ind w:left="0"/>
        <w:jc w:val="both"/>
        <w:rPr>
          <w:rFonts w:ascii="Palatino Linotype" w:eastAsia="Calibri" w:hAnsi="Palatino Linotype" w:cs="Tahoma"/>
          <w:bCs/>
          <w:color w:val="000000" w:themeColor="text1"/>
        </w:rPr>
      </w:pPr>
    </w:p>
    <w:p w14:paraId="0DD817A4" w14:textId="77777777" w:rsidR="00E73757" w:rsidRPr="00D276AE" w:rsidRDefault="00E73757" w:rsidP="00E16D4D">
      <w:pPr>
        <w:pStyle w:val="Prrafodelista"/>
        <w:ind w:left="0"/>
        <w:rPr>
          <w:rFonts w:ascii="Palatino Linotype" w:eastAsia="Calibri" w:hAnsi="Palatino Linotype" w:cs="Arial"/>
          <w:iCs/>
          <w:color w:val="000000" w:themeColor="text1"/>
        </w:rPr>
      </w:pPr>
    </w:p>
    <w:p w14:paraId="4CEE7DC9" w14:textId="79457F5E" w:rsidR="00F93188" w:rsidRPr="00D276AE" w:rsidRDefault="00F93188" w:rsidP="00E16D4D">
      <w:pPr>
        <w:pStyle w:val="Prrafodelista"/>
        <w:numPr>
          <w:ilvl w:val="0"/>
          <w:numId w:val="3"/>
        </w:numPr>
        <w:shd w:val="clear" w:color="auto" w:fill="FFFFFF"/>
        <w:spacing w:line="360" w:lineRule="auto"/>
        <w:ind w:left="0" w:firstLine="0"/>
        <w:jc w:val="both"/>
        <w:rPr>
          <w:rFonts w:ascii="Palatino Linotype" w:eastAsiaTheme="minorHAnsi" w:hAnsi="Palatino Linotype" w:cstheme="minorBidi"/>
          <w:color w:val="000000" w:themeColor="text1"/>
        </w:rPr>
      </w:pPr>
      <w:r w:rsidRPr="00D276AE">
        <w:rPr>
          <w:rFonts w:ascii="Palatino Linotype" w:eastAsia="Calibri" w:hAnsi="Palatino Linotype" w:cs="Arial"/>
          <w:iCs/>
          <w:color w:val="000000" w:themeColor="text1"/>
        </w:rPr>
        <w:t>Así las cosas, al haber ejercido recursos públicos el Sujeto Obligado para el pago del I.S.R. de</w:t>
      </w:r>
      <w:r w:rsidR="00E73757" w:rsidRPr="00D276AE">
        <w:rPr>
          <w:rFonts w:ascii="Palatino Linotype" w:eastAsia="Calibri" w:hAnsi="Palatino Linotype" w:cs="Arial"/>
          <w:iCs/>
          <w:color w:val="000000" w:themeColor="text1"/>
        </w:rPr>
        <w:t xml:space="preserve"> los ejercicios fiscales 2017, 2018, 2019, 2020, 2022, 2023 y </w:t>
      </w:r>
      <w:r w:rsidR="004B0233" w:rsidRPr="00D276AE">
        <w:rPr>
          <w:rFonts w:ascii="Palatino Linotype" w:eastAsia="Calibri" w:hAnsi="Palatino Linotype" w:cs="Arial"/>
          <w:iCs/>
          <w:color w:val="000000" w:themeColor="text1"/>
        </w:rPr>
        <w:t xml:space="preserve">de enero y febrero </w:t>
      </w:r>
      <w:r w:rsidR="00E73757" w:rsidRPr="00D276AE">
        <w:rPr>
          <w:rFonts w:ascii="Palatino Linotype" w:eastAsia="Calibri" w:hAnsi="Palatino Linotype" w:cs="Arial"/>
          <w:iCs/>
          <w:color w:val="000000" w:themeColor="text1"/>
        </w:rPr>
        <w:t>de dos mil veinticinco</w:t>
      </w:r>
      <w:r w:rsidRPr="00D276AE">
        <w:rPr>
          <w:rFonts w:ascii="Palatino Linotype" w:eastAsia="Calibri" w:hAnsi="Palatino Linotype" w:cs="Arial"/>
          <w:iCs/>
          <w:color w:val="000000" w:themeColor="text1"/>
        </w:rPr>
        <w:t xml:space="preserve">, es obligación hacer pública, como parte de los informes, no porque directamente sea un dato que corresponda a las obligaciones de transparencia. </w:t>
      </w:r>
      <w:r w:rsidRPr="00D276AE">
        <w:rPr>
          <w:rFonts w:ascii="Palatino Linotype" w:eastAsia="Calibri" w:hAnsi="Palatino Linotype" w:cs="Tahoma"/>
          <w:bCs/>
          <w:color w:val="000000" w:themeColor="text1"/>
        </w:rPr>
        <w:t xml:space="preserve">Situación que advierte, </w:t>
      </w:r>
      <w:r w:rsidRPr="00D276AE">
        <w:rPr>
          <w:rFonts w:ascii="Palatino Linotype" w:eastAsia="Calibri" w:hAnsi="Palatino Linotype" w:cs="Tahoma"/>
          <w:bCs/>
          <w:iCs/>
          <w:color w:val="000000" w:themeColor="text1"/>
          <w:lang w:val="es-ES"/>
        </w:rPr>
        <w:t xml:space="preserve">con el </w:t>
      </w:r>
      <w:r w:rsidRPr="00D276AE">
        <w:rPr>
          <w:rFonts w:ascii="Palatino Linotype" w:eastAsia="Calibri" w:hAnsi="Palatino Linotype" w:cs="Tahoma"/>
          <w:bCs/>
          <w:iCs/>
          <w:color w:val="000000" w:themeColor="text1"/>
        </w:rPr>
        <w:t>artículo 92, fracciones XXV y XXXV de la Ley de Transparencia y Acceso a la Información Pública del Estado de México y Municipios</w:t>
      </w:r>
      <w:r w:rsidRPr="00D276AE">
        <w:rPr>
          <w:rFonts w:ascii="Palatino Linotype" w:eastAsia="Calibri" w:hAnsi="Palatino Linotype" w:cs="Tahoma"/>
          <w:b/>
          <w:bCs/>
          <w:iCs/>
          <w:color w:val="000000" w:themeColor="text1"/>
        </w:rPr>
        <w:t>,</w:t>
      </w:r>
      <w:r w:rsidRPr="00D276AE">
        <w:rPr>
          <w:rFonts w:ascii="Palatino Linotype" w:eastAsia="Calibri" w:hAnsi="Palatino Linotype" w:cs="Tahoma"/>
          <w:bCs/>
          <w:iCs/>
          <w:color w:val="000000" w:themeColor="text1"/>
        </w:rPr>
        <w:t xml:space="preserve"> que precisan que son información pública de oficio, los informes de avances programáticos o presupuestales, balances generales y estado financiero y </w:t>
      </w:r>
      <w:r w:rsidRPr="00D276AE">
        <w:rPr>
          <w:rFonts w:ascii="Palatino Linotype" w:hAnsi="Palatino Linotype"/>
          <w:color w:val="000000" w:themeColor="text1"/>
        </w:rPr>
        <w:t>la información financiera sobre el presupuesto asignado, así como los informes del ejercicio trimestral del gasto, en términos de la Ley General de Contabilidad Gubernamental y demás disposiciones jurídicas aplicable, tal como se inserta a continuación:</w:t>
      </w:r>
    </w:p>
    <w:p w14:paraId="745C6321" w14:textId="77777777" w:rsidR="00F93188" w:rsidRPr="00D276AE" w:rsidRDefault="00F93188" w:rsidP="00E16D4D">
      <w:pPr>
        <w:spacing w:line="360" w:lineRule="auto"/>
        <w:jc w:val="both"/>
        <w:rPr>
          <w:rFonts w:ascii="Palatino Linotype" w:hAnsi="Palatino Linotype"/>
          <w:color w:val="000000" w:themeColor="text1"/>
        </w:rPr>
      </w:pPr>
    </w:p>
    <w:p w14:paraId="1753E466" w14:textId="77777777" w:rsidR="00F93188" w:rsidRPr="00D276AE" w:rsidRDefault="00F93188" w:rsidP="00E16D4D">
      <w:pPr>
        <w:spacing w:line="360" w:lineRule="auto"/>
        <w:jc w:val="both"/>
        <w:rPr>
          <w:rFonts w:ascii="Palatino Linotype" w:hAnsi="Palatino Linotype"/>
          <w:i/>
          <w:color w:val="000000" w:themeColor="text1"/>
        </w:rPr>
      </w:pPr>
      <w:r w:rsidRPr="00D276AE">
        <w:rPr>
          <w:rFonts w:ascii="Palatino Linotype" w:hAnsi="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6DD6D4" w14:textId="77777777" w:rsidR="00F93188" w:rsidRPr="00D276AE" w:rsidRDefault="00F93188" w:rsidP="00E16D4D">
      <w:pPr>
        <w:spacing w:line="360" w:lineRule="auto"/>
        <w:jc w:val="both"/>
        <w:rPr>
          <w:rFonts w:ascii="Palatino Linotype" w:hAnsi="Palatino Linotype"/>
          <w:i/>
          <w:color w:val="000000" w:themeColor="text1"/>
        </w:rPr>
      </w:pPr>
      <w:r w:rsidRPr="00D276AE">
        <w:rPr>
          <w:rFonts w:ascii="Palatino Linotype" w:hAnsi="Palatino Linotype"/>
          <w:i/>
          <w:color w:val="000000" w:themeColor="text1"/>
        </w:rPr>
        <w:t>…</w:t>
      </w:r>
    </w:p>
    <w:p w14:paraId="78D73836" w14:textId="77777777" w:rsidR="00F93188" w:rsidRPr="00D276AE" w:rsidRDefault="00F93188" w:rsidP="00E16D4D">
      <w:pPr>
        <w:spacing w:line="360" w:lineRule="auto"/>
        <w:jc w:val="both"/>
        <w:rPr>
          <w:rFonts w:ascii="Palatino Linotype" w:eastAsia="Calibri" w:hAnsi="Palatino Linotype" w:cs="Tahoma"/>
          <w:bCs/>
          <w:i/>
          <w:iCs/>
          <w:color w:val="000000" w:themeColor="text1"/>
        </w:rPr>
      </w:pPr>
      <w:r w:rsidRPr="00D276AE">
        <w:rPr>
          <w:rFonts w:ascii="Palatino Linotype" w:eastAsia="Calibri" w:hAnsi="Palatino Linotype" w:cs="Tahoma"/>
          <w:bCs/>
          <w:i/>
          <w:iCs/>
          <w:color w:val="000000" w:themeColor="text1"/>
        </w:rPr>
        <w:lastRenderedPageBreak/>
        <w:t xml:space="preserve">XXV. La información financiera sobre el presupuesto asignado, así como los </w:t>
      </w:r>
      <w:r w:rsidRPr="00D276AE">
        <w:rPr>
          <w:rFonts w:ascii="Palatino Linotype" w:eastAsia="Calibri" w:hAnsi="Palatino Linotype" w:cs="Tahoma"/>
          <w:b/>
          <w:bCs/>
          <w:i/>
          <w:iCs/>
          <w:color w:val="000000" w:themeColor="text1"/>
        </w:rPr>
        <w:t>informes del ejercicio trimestral del gasto,</w:t>
      </w:r>
      <w:r w:rsidRPr="00D276AE">
        <w:rPr>
          <w:rFonts w:ascii="Palatino Linotype" w:eastAsia="Calibri" w:hAnsi="Palatino Linotype" w:cs="Tahoma"/>
          <w:bCs/>
          <w:i/>
          <w:iCs/>
          <w:color w:val="000000" w:themeColor="text1"/>
        </w:rPr>
        <w:t xml:space="preserve"> en términos de la Ley General de Contabilidad Gubernamental y demás disposiciones jurídicas aplicables;</w:t>
      </w:r>
    </w:p>
    <w:p w14:paraId="73946E78" w14:textId="77777777" w:rsidR="00F93188" w:rsidRPr="00D276AE" w:rsidRDefault="00F93188" w:rsidP="00E16D4D">
      <w:pPr>
        <w:spacing w:line="360" w:lineRule="auto"/>
        <w:jc w:val="both"/>
        <w:rPr>
          <w:rFonts w:ascii="Palatino Linotype" w:eastAsia="Calibri" w:hAnsi="Palatino Linotype" w:cs="Tahoma"/>
          <w:bCs/>
          <w:i/>
          <w:iCs/>
          <w:color w:val="000000" w:themeColor="text1"/>
        </w:rPr>
      </w:pPr>
      <w:r w:rsidRPr="00D276AE">
        <w:rPr>
          <w:rFonts w:ascii="Palatino Linotype" w:eastAsia="Calibri" w:hAnsi="Palatino Linotype" w:cs="Tahoma"/>
          <w:bCs/>
          <w:i/>
          <w:iCs/>
          <w:color w:val="000000" w:themeColor="text1"/>
        </w:rPr>
        <w:t>…</w:t>
      </w:r>
    </w:p>
    <w:p w14:paraId="205EDF5E" w14:textId="77777777" w:rsidR="00F93188" w:rsidRPr="00D276AE" w:rsidRDefault="00F93188" w:rsidP="00E16D4D">
      <w:pPr>
        <w:spacing w:line="360" w:lineRule="auto"/>
        <w:jc w:val="both"/>
        <w:rPr>
          <w:rFonts w:ascii="Palatino Linotype" w:eastAsia="Calibri" w:hAnsi="Palatino Linotype" w:cs="Tahoma"/>
          <w:bCs/>
          <w:i/>
          <w:iCs/>
          <w:color w:val="000000" w:themeColor="text1"/>
        </w:rPr>
      </w:pPr>
      <w:r w:rsidRPr="00D276AE">
        <w:rPr>
          <w:rFonts w:ascii="Palatino Linotype" w:eastAsia="Calibri" w:hAnsi="Palatino Linotype" w:cs="Tahoma"/>
          <w:bCs/>
          <w:i/>
          <w:iCs/>
          <w:color w:val="000000" w:themeColor="text1"/>
        </w:rPr>
        <w:t>XXXV. Informes de avances programáticos o presupuestales, balances generales y estado financiero;</w:t>
      </w:r>
    </w:p>
    <w:p w14:paraId="72ABD0AB" w14:textId="77777777" w:rsidR="00F93188" w:rsidRPr="00D276AE" w:rsidRDefault="00F93188" w:rsidP="00E16D4D">
      <w:pPr>
        <w:spacing w:line="360" w:lineRule="auto"/>
        <w:jc w:val="both"/>
        <w:rPr>
          <w:rFonts w:ascii="Palatino Linotype" w:eastAsia="Calibri" w:hAnsi="Palatino Linotype" w:cs="Tahoma"/>
          <w:bCs/>
          <w:i/>
          <w:iCs/>
          <w:color w:val="000000" w:themeColor="text1"/>
        </w:rPr>
      </w:pPr>
      <w:r w:rsidRPr="00D276AE">
        <w:rPr>
          <w:rFonts w:ascii="Palatino Linotype" w:eastAsia="Calibri" w:hAnsi="Palatino Linotype" w:cs="Tahoma"/>
          <w:bCs/>
          <w:i/>
          <w:iCs/>
          <w:color w:val="000000" w:themeColor="text1"/>
        </w:rPr>
        <w:t>…</w:t>
      </w:r>
    </w:p>
    <w:p w14:paraId="447120D0" w14:textId="77777777" w:rsidR="00F93188" w:rsidRPr="00D276AE" w:rsidRDefault="00F93188" w:rsidP="00E16D4D">
      <w:pPr>
        <w:tabs>
          <w:tab w:val="left" w:pos="851"/>
        </w:tabs>
        <w:spacing w:line="360" w:lineRule="auto"/>
        <w:jc w:val="both"/>
        <w:rPr>
          <w:rFonts w:ascii="Palatino Linotype" w:eastAsia="Calibri" w:hAnsi="Palatino Linotype" w:cs="Arial"/>
          <w:color w:val="000000" w:themeColor="text1"/>
        </w:rPr>
      </w:pPr>
    </w:p>
    <w:p w14:paraId="5E6D0966" w14:textId="481AA2A0" w:rsidR="00E73757" w:rsidRPr="00D276AE" w:rsidRDefault="00F93188" w:rsidP="00E16D4D">
      <w:pPr>
        <w:pStyle w:val="Prrafodelista"/>
        <w:numPr>
          <w:ilvl w:val="0"/>
          <w:numId w:val="3"/>
        </w:numPr>
        <w:spacing w:line="360" w:lineRule="auto"/>
        <w:ind w:left="0" w:firstLine="0"/>
        <w:jc w:val="both"/>
        <w:rPr>
          <w:rFonts w:ascii="Palatino Linotype" w:eastAsia="Calibri" w:hAnsi="Palatino Linotype" w:cs="Arial"/>
          <w:color w:val="000000" w:themeColor="text1"/>
        </w:rPr>
      </w:pPr>
      <w:r w:rsidRPr="00D276AE">
        <w:rPr>
          <w:rFonts w:ascii="Palatino Linotype" w:eastAsia="Calibri" w:hAnsi="Palatino Linotype" w:cs="Times New Roman"/>
          <w:color w:val="000000" w:themeColor="text1"/>
        </w:rPr>
        <w:t xml:space="preserve">De la transcripción anterior se observa que </w:t>
      </w:r>
      <w:r w:rsidRPr="00D276AE">
        <w:rPr>
          <w:rFonts w:ascii="Palatino Linotype" w:eastAsia="Calibri" w:hAnsi="Palatino Linotype" w:cs="Arial"/>
          <w:color w:val="000000" w:themeColor="text1"/>
          <w:lang w:eastAsia="es-MX"/>
        </w:rPr>
        <w:t xml:space="preserve">la información solicitada forma parte de las Obligaciones de Transparencia Comunes de los Sujetos Obligados, las cuales deben </w:t>
      </w:r>
      <w:r w:rsidRPr="00D276AE">
        <w:rPr>
          <w:rFonts w:ascii="Palatino Linotype" w:eastAsia="Calibri" w:hAnsi="Palatino Linotype" w:cs="Arial"/>
          <w:color w:val="000000" w:themeColor="text1"/>
        </w:rPr>
        <w:t xml:space="preserve">poner a disposición de la ciudadanía, de manera permanente y actualizada en los respectivos medios electrónicos, como lo es el portal de Internet de los Sujetos Obligados, por lo que, se advierte que el Ayuntamiento de </w:t>
      </w:r>
      <w:r w:rsidR="00E36803" w:rsidRPr="00D276AE">
        <w:rPr>
          <w:rFonts w:ascii="Palatino Linotype" w:eastAsia="Calibri" w:hAnsi="Palatino Linotype" w:cs="Arial"/>
          <w:color w:val="000000" w:themeColor="text1"/>
        </w:rPr>
        <w:t>Toluca</w:t>
      </w:r>
      <w:r w:rsidRPr="00D276AE">
        <w:rPr>
          <w:rFonts w:ascii="Palatino Linotype" w:eastAsia="Calibri" w:hAnsi="Palatino Linotype" w:cs="Arial"/>
          <w:color w:val="000000" w:themeColor="text1"/>
        </w:rPr>
        <w:t>, debía contar con la información requerida de manera digitalizada y publicada en su portal de Internet institucional, a través del portal de Información Pública de Oficio Mexiquense (IPOMEX).</w:t>
      </w:r>
    </w:p>
    <w:p w14:paraId="056E13F7" w14:textId="77777777" w:rsidR="00E36803" w:rsidRPr="00D276AE" w:rsidRDefault="00E36803" w:rsidP="00E16D4D">
      <w:pPr>
        <w:pStyle w:val="Prrafodelista"/>
        <w:spacing w:line="360" w:lineRule="auto"/>
        <w:ind w:left="0"/>
        <w:jc w:val="both"/>
        <w:rPr>
          <w:rFonts w:ascii="Palatino Linotype" w:eastAsia="Calibri" w:hAnsi="Palatino Linotype" w:cs="Tahoma"/>
          <w:bCs/>
          <w:color w:val="000000" w:themeColor="text1"/>
        </w:rPr>
      </w:pPr>
    </w:p>
    <w:p w14:paraId="0BF09469" w14:textId="6B9670B1" w:rsidR="00E73757" w:rsidRPr="00D276AE" w:rsidRDefault="00F93188" w:rsidP="00E16D4D">
      <w:pPr>
        <w:pStyle w:val="Prrafodelista"/>
        <w:numPr>
          <w:ilvl w:val="0"/>
          <w:numId w:val="3"/>
        </w:numPr>
        <w:spacing w:line="360" w:lineRule="auto"/>
        <w:ind w:left="0" w:firstLine="0"/>
        <w:jc w:val="both"/>
        <w:rPr>
          <w:rFonts w:ascii="Palatino Linotype" w:eastAsia="Calibri" w:hAnsi="Palatino Linotype" w:cs="Tahoma"/>
          <w:bCs/>
          <w:color w:val="000000" w:themeColor="text1"/>
        </w:rPr>
      </w:pPr>
      <w:r w:rsidRPr="00D276AE">
        <w:rPr>
          <w:rFonts w:ascii="Palatino Linotype" w:hAnsi="Palatino Linotype"/>
          <w:color w:val="000000" w:themeColor="text1"/>
        </w:rPr>
        <w:t xml:space="preserve">En consecuencia, </w:t>
      </w:r>
      <w:r w:rsidRPr="00D276AE">
        <w:rPr>
          <w:rFonts w:ascii="Palatino Linotype" w:hAnsi="Palatino Linotype"/>
          <w:b/>
          <w:bCs/>
          <w:color w:val="000000" w:themeColor="text1"/>
        </w:rPr>
        <w:t xml:space="preserve">la información entregada </w:t>
      </w:r>
      <w:r w:rsidRPr="00D276AE">
        <w:rPr>
          <w:rFonts w:ascii="Palatino Linotype" w:hAnsi="Palatino Linotype"/>
          <w:bCs/>
          <w:color w:val="000000" w:themeColor="text1"/>
        </w:rPr>
        <w:t xml:space="preserve">mediante respuesta por el Sujeto Obligado, </w:t>
      </w:r>
      <w:r w:rsidRPr="00D276AE">
        <w:rPr>
          <w:rFonts w:ascii="Palatino Linotype" w:hAnsi="Palatino Linotype"/>
          <w:b/>
          <w:bCs/>
          <w:color w:val="000000" w:themeColor="text1"/>
        </w:rPr>
        <w:t xml:space="preserve">no </w:t>
      </w:r>
      <w:r w:rsidRPr="00D276AE">
        <w:rPr>
          <w:rFonts w:ascii="Palatino Linotype" w:hAnsi="Palatino Linotype"/>
          <w:bCs/>
          <w:color w:val="000000" w:themeColor="text1"/>
        </w:rPr>
        <w:t xml:space="preserve">colma lo peticionado por el particular, toda vez que, </w:t>
      </w:r>
      <w:r w:rsidR="00E36803" w:rsidRPr="00D276AE">
        <w:rPr>
          <w:rFonts w:ascii="Palatino Linotype" w:eastAsia="Palatino Linotype" w:hAnsi="Palatino Linotype" w:cs="Palatino Linotype"/>
          <w:color w:val="000000" w:themeColor="text1"/>
        </w:rPr>
        <w:t xml:space="preserve">testa elementos públicos tales como el folio, RFC, </w:t>
      </w:r>
      <w:r w:rsidR="00E36803" w:rsidRPr="00D276AE">
        <w:rPr>
          <w:rFonts w:ascii="Palatino Linotype" w:eastAsia="Palatino Linotype" w:hAnsi="Palatino Linotype" w:cs="Palatino Linotype"/>
          <w:color w:val="000000" w:themeColor="text1"/>
          <w:lang w:val="es-MX"/>
        </w:rPr>
        <w:t xml:space="preserve">el código QR, Cadena Original y Sello Digital, sin embargo estos últimos verifican la autenticidad de la opinión de cumplimiento </w:t>
      </w:r>
      <w:r w:rsidR="00E36803" w:rsidRPr="00D276AE">
        <w:rPr>
          <w:rFonts w:ascii="Palatino Linotype" w:eastAsia="Palatino Linotype" w:hAnsi="Palatino Linotype" w:cs="Palatino Linotype"/>
          <w:color w:val="000000" w:themeColor="text1"/>
        </w:rPr>
        <w:t>al</w:t>
      </w:r>
      <w:r w:rsidR="00E36803" w:rsidRPr="00D276AE">
        <w:rPr>
          <w:rFonts w:ascii="Palatino Linotype" w:eastAsia="Palatino Linotype" w:hAnsi="Palatino Linotype" w:cs="Palatino Linotype"/>
          <w:color w:val="000000" w:themeColor="text1"/>
          <w:lang w:val="es-MX"/>
        </w:rPr>
        <w:t xml:space="preserve"> escanear el código QR generara una liga del SAT, para confirmar que la opinión verificada fue emitida efectivamente por el Servicio de Administración Tributaria y puedes confirmar que la opinan coincida con el RFC del contribuyente que se está </w:t>
      </w:r>
      <w:r w:rsidR="00E36803" w:rsidRPr="00D276AE">
        <w:rPr>
          <w:rFonts w:ascii="Palatino Linotype" w:eastAsia="Palatino Linotype" w:hAnsi="Palatino Linotype" w:cs="Palatino Linotype"/>
          <w:color w:val="000000" w:themeColor="text1"/>
          <w:lang w:val="es-MX"/>
        </w:rPr>
        <w:lastRenderedPageBreak/>
        <w:t xml:space="preserve">consultando. Así mismo, la opinión de cumplimiento es un documento generado de forma electrónica y por lo cual cuenta con una Cadena Original y Sello Digital, </w:t>
      </w:r>
      <w:r w:rsidRPr="00D276AE">
        <w:rPr>
          <w:rFonts w:ascii="Palatino Linotype" w:hAnsi="Palatino Linotype"/>
          <w:bCs/>
          <w:color w:val="000000" w:themeColor="text1"/>
        </w:rPr>
        <w:t>de ser el caso que se trate del documento que da cuenta de la transferencia electrónica debe entregarse íntegro, en donde se advierta el número de cuenta y en su caso el banco de donde se realiza la transferencia, en caso de no ser el documento que acredita el pago, existen otros documentos que también pueden acreditar el pago, como los informes trimestrales, que también pudieran ser entregados en respuesta a la solicitud.</w:t>
      </w:r>
    </w:p>
    <w:p w14:paraId="277A2FE0" w14:textId="77777777" w:rsidR="00E73757" w:rsidRPr="00D276AE" w:rsidRDefault="00E73757" w:rsidP="00E16D4D">
      <w:pPr>
        <w:pStyle w:val="Prrafodelista"/>
        <w:ind w:left="0"/>
        <w:rPr>
          <w:rFonts w:ascii="Palatino Linotype" w:hAnsi="Palatino Linotype"/>
          <w:bCs/>
          <w:color w:val="000000" w:themeColor="text1"/>
        </w:rPr>
      </w:pPr>
    </w:p>
    <w:p w14:paraId="375787E5" w14:textId="391C40D9" w:rsidR="00F93188" w:rsidRPr="00D276AE" w:rsidRDefault="00F93188" w:rsidP="00E16D4D">
      <w:pPr>
        <w:pStyle w:val="Prrafodelista"/>
        <w:numPr>
          <w:ilvl w:val="0"/>
          <w:numId w:val="3"/>
        </w:numPr>
        <w:spacing w:line="360" w:lineRule="auto"/>
        <w:ind w:left="0" w:firstLine="0"/>
        <w:jc w:val="both"/>
        <w:rPr>
          <w:rFonts w:ascii="Palatino Linotype" w:eastAsia="Calibri" w:hAnsi="Palatino Linotype" w:cs="Tahoma"/>
          <w:bCs/>
          <w:color w:val="000000" w:themeColor="text1"/>
        </w:rPr>
      </w:pPr>
      <w:r w:rsidRPr="00D276AE">
        <w:rPr>
          <w:rFonts w:ascii="Palatino Linotype" w:hAnsi="Palatino Linotype"/>
          <w:bCs/>
          <w:color w:val="000000" w:themeColor="text1"/>
        </w:rPr>
        <w:t>Al respecto de la publicidad de las cuentas bancarias, ya el INAI se pronunció en el Criterio SO/011/2017, en el sentido siguiente:</w:t>
      </w:r>
    </w:p>
    <w:p w14:paraId="34053881" w14:textId="77777777" w:rsidR="00F93188" w:rsidRPr="00D276AE" w:rsidRDefault="00F93188" w:rsidP="00E16D4D">
      <w:pPr>
        <w:spacing w:line="360" w:lineRule="auto"/>
        <w:jc w:val="both"/>
        <w:rPr>
          <w:rFonts w:ascii="Palatino Linotype" w:hAnsi="Palatino Linotype"/>
          <w:bCs/>
          <w:color w:val="000000" w:themeColor="text1"/>
        </w:rPr>
      </w:pPr>
    </w:p>
    <w:p w14:paraId="47557E4F" w14:textId="77777777" w:rsidR="00F93188" w:rsidRPr="00D276AE" w:rsidRDefault="00F93188" w:rsidP="00E16D4D">
      <w:pPr>
        <w:spacing w:line="360" w:lineRule="auto"/>
        <w:jc w:val="both"/>
        <w:rPr>
          <w:rFonts w:ascii="Palatino Linotype" w:hAnsi="Palatino Linotype"/>
          <w:bCs/>
          <w:i/>
          <w:color w:val="000000" w:themeColor="text1"/>
        </w:rPr>
      </w:pPr>
      <w:r w:rsidRPr="00D276AE">
        <w:rPr>
          <w:rFonts w:ascii="Palatino Linotype" w:hAnsi="Palatino Linotype"/>
          <w:bCs/>
          <w:i/>
          <w:color w:val="000000" w:themeColor="text1"/>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5DB878C" w14:textId="77777777" w:rsidR="00F93188" w:rsidRPr="00D276AE" w:rsidRDefault="00F93188" w:rsidP="00E16D4D">
      <w:pPr>
        <w:spacing w:line="360" w:lineRule="auto"/>
        <w:jc w:val="both"/>
        <w:rPr>
          <w:rFonts w:ascii="Palatino Linotype" w:hAnsi="Palatino Linotype"/>
          <w:bCs/>
          <w:color w:val="000000" w:themeColor="text1"/>
        </w:rPr>
      </w:pPr>
    </w:p>
    <w:p w14:paraId="101D0F31" w14:textId="77777777" w:rsidR="00E73757" w:rsidRPr="00D276AE" w:rsidRDefault="00F93188" w:rsidP="00E16D4D">
      <w:pPr>
        <w:pStyle w:val="Prrafodelista"/>
        <w:numPr>
          <w:ilvl w:val="0"/>
          <w:numId w:val="3"/>
        </w:numPr>
        <w:spacing w:line="360" w:lineRule="auto"/>
        <w:ind w:left="0" w:firstLine="0"/>
        <w:jc w:val="both"/>
        <w:rPr>
          <w:rFonts w:ascii="Palatino Linotype" w:hAnsi="Palatino Linotype"/>
          <w:color w:val="000000" w:themeColor="text1"/>
        </w:rPr>
      </w:pPr>
      <w:r w:rsidRPr="00D276AE">
        <w:rPr>
          <w:rFonts w:ascii="Palatino Linotype" w:hAnsi="Palatino Linotype"/>
          <w:color w:val="000000" w:themeColor="text1"/>
        </w:rPr>
        <w:t xml:space="preserve">Por otra parte,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w:t>
      </w:r>
      <w:r w:rsidRPr="00D276AE">
        <w:rPr>
          <w:rFonts w:ascii="Palatino Linotype" w:hAnsi="Palatino Linotype"/>
          <w:color w:val="000000" w:themeColor="text1"/>
        </w:rPr>
        <w:lastRenderedPageBreak/>
        <w:t xml:space="preserve">una versión Pública en la que se testen las partes o secciones clasificadas, indicando su contenido de manera genérica y fundando y motivando su clasificación. </w:t>
      </w:r>
    </w:p>
    <w:p w14:paraId="3552E493" w14:textId="77777777" w:rsidR="00E73757" w:rsidRPr="00D276AE" w:rsidRDefault="00E73757" w:rsidP="00E16D4D">
      <w:pPr>
        <w:pStyle w:val="Prrafodelista"/>
        <w:spacing w:line="360" w:lineRule="auto"/>
        <w:ind w:left="0"/>
        <w:jc w:val="both"/>
        <w:rPr>
          <w:rFonts w:ascii="Palatino Linotype" w:hAnsi="Palatino Linotype"/>
          <w:color w:val="000000" w:themeColor="text1"/>
        </w:rPr>
      </w:pPr>
    </w:p>
    <w:p w14:paraId="707B7A52" w14:textId="45DC73CA" w:rsidR="00F93188" w:rsidRPr="00D276AE" w:rsidRDefault="00F93188" w:rsidP="00E16D4D">
      <w:pPr>
        <w:pStyle w:val="Prrafodelista"/>
        <w:numPr>
          <w:ilvl w:val="0"/>
          <w:numId w:val="3"/>
        </w:numPr>
        <w:spacing w:line="360" w:lineRule="auto"/>
        <w:ind w:left="0" w:firstLine="0"/>
        <w:jc w:val="both"/>
        <w:rPr>
          <w:rFonts w:ascii="Palatino Linotype" w:hAnsi="Palatino Linotype"/>
          <w:color w:val="000000" w:themeColor="text1"/>
        </w:rPr>
      </w:pPr>
      <w:r w:rsidRPr="00D276AE">
        <w:rPr>
          <w:rFonts w:ascii="Palatino Linotype" w:hAnsi="Palatino Linotype"/>
          <w:color w:val="000000" w:themeColor="text1"/>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272C86B" w14:textId="77777777" w:rsidR="00F04A0A" w:rsidRPr="00D276AE" w:rsidRDefault="00F04A0A" w:rsidP="00E16D4D">
      <w:pPr>
        <w:tabs>
          <w:tab w:val="left" w:pos="709"/>
        </w:tabs>
        <w:spacing w:line="360" w:lineRule="auto"/>
        <w:jc w:val="both"/>
        <w:rPr>
          <w:rFonts w:ascii="Palatino Linotype" w:hAnsi="Palatino Linotype"/>
          <w:color w:val="000000" w:themeColor="text1"/>
        </w:rPr>
      </w:pPr>
    </w:p>
    <w:p w14:paraId="422A547C" w14:textId="77777777" w:rsidR="00027932" w:rsidRPr="00D276AE" w:rsidRDefault="00027932" w:rsidP="00E16D4D">
      <w:pPr>
        <w:spacing w:after="160"/>
        <w:rPr>
          <w:rFonts w:ascii="Palatino Linotype" w:eastAsia="Times New Roman" w:hAnsi="Palatino Linotype" w:cs="Times New Roman"/>
          <w:b/>
          <w:bCs/>
          <w:color w:val="000000" w:themeColor="text1"/>
        </w:rPr>
      </w:pPr>
      <w:r w:rsidRPr="00D276AE">
        <w:rPr>
          <w:rFonts w:ascii="Palatino Linotype" w:eastAsia="Times New Roman" w:hAnsi="Palatino Linotype" w:cs="Times New Roman"/>
          <w:b/>
          <w:bCs/>
          <w:color w:val="000000" w:themeColor="text1"/>
        </w:rPr>
        <w:t>QUINTO. De la versión pública.</w:t>
      </w:r>
    </w:p>
    <w:p w14:paraId="6CF7EBC4" w14:textId="77777777" w:rsidR="00027932" w:rsidRPr="00D276AE" w:rsidRDefault="00027932" w:rsidP="00E16D4D">
      <w:pPr>
        <w:spacing w:after="160"/>
        <w:rPr>
          <w:rFonts w:ascii="Palatino Linotype" w:eastAsia="Times New Roman" w:hAnsi="Palatino Linotype" w:cs="Times New Roman"/>
          <w:b/>
          <w:bCs/>
          <w:color w:val="000000" w:themeColor="text1"/>
        </w:rPr>
      </w:pPr>
    </w:p>
    <w:p w14:paraId="7E1CAC6B" w14:textId="77777777" w:rsidR="00027932" w:rsidRPr="00D276AE" w:rsidRDefault="00027932" w:rsidP="00E16D4D">
      <w:pPr>
        <w:pStyle w:val="Prrafodelista"/>
        <w:numPr>
          <w:ilvl w:val="3"/>
          <w:numId w:val="33"/>
        </w:numPr>
        <w:spacing w:after="160"/>
        <w:ind w:left="0" w:firstLine="0"/>
        <w:rPr>
          <w:rFonts w:ascii="Palatino Linotype" w:eastAsia="Times New Roman" w:hAnsi="Palatino Linotype" w:cs="Times New Roman"/>
          <w:b/>
          <w:bCs/>
          <w:color w:val="000000" w:themeColor="text1"/>
        </w:rPr>
      </w:pPr>
      <w:r w:rsidRPr="00D276AE">
        <w:rPr>
          <w:rFonts w:ascii="Palatino Linotype" w:eastAsia="Times New Roman" w:hAnsi="Palatino Linotype" w:cs="Times New Roman"/>
          <w:b/>
          <w:bCs/>
          <w:color w:val="000000" w:themeColor="text1"/>
        </w:rPr>
        <w:t>Nociones generales. </w:t>
      </w:r>
    </w:p>
    <w:p w14:paraId="2D0F8C91" w14:textId="77777777" w:rsidR="00027932" w:rsidRPr="00D276AE" w:rsidRDefault="00027932" w:rsidP="00E16D4D">
      <w:pPr>
        <w:pStyle w:val="Prrafodelista"/>
        <w:ind w:left="0"/>
        <w:rPr>
          <w:rFonts w:ascii="Palatino Linotype" w:eastAsia="Times New Roman" w:hAnsi="Palatino Linotype" w:cs="Times New Roman"/>
          <w:color w:val="000000" w:themeColor="text1"/>
        </w:rPr>
      </w:pPr>
    </w:p>
    <w:p w14:paraId="48906EB7" w14:textId="2AC12D3B" w:rsidR="00027932" w:rsidRPr="00D276AE" w:rsidRDefault="00027932" w:rsidP="00E16D4D">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Times New Roman" w:hAnsi="Palatino Linotype" w:cs="Times New Roman"/>
          <w:color w:val="000000" w:themeColor="text1"/>
        </w:rPr>
        <w:t xml:space="preserve">Debido a la información solicitada por el </w:t>
      </w:r>
      <w:r w:rsidRPr="00D276AE">
        <w:rPr>
          <w:rFonts w:ascii="Palatino Linotype" w:eastAsia="Times New Roman" w:hAnsi="Palatino Linotype" w:cs="Times New Roman"/>
          <w:b/>
          <w:bCs/>
          <w:color w:val="000000" w:themeColor="text1"/>
        </w:rPr>
        <w:t>RECURRENTE</w:t>
      </w:r>
      <w:r w:rsidRPr="00D276AE">
        <w:rPr>
          <w:rFonts w:ascii="Palatino Linotype" w:eastAsia="Times New Roman" w:hAnsi="Palatino Linotype" w:cs="Times New Roman"/>
          <w:color w:val="000000" w:themeColor="text1"/>
        </w:rPr>
        <w:t xml:space="preserve">, pudieran obran datos personales susceptibles de protegerse, así como información susceptible de clasificarse como confidencial,  por lo que, el </w:t>
      </w:r>
      <w:r w:rsidRPr="00D276AE">
        <w:rPr>
          <w:rFonts w:ascii="Palatino Linotype" w:eastAsia="Times New Roman" w:hAnsi="Palatino Linotype" w:cs="Times New Roman"/>
          <w:b/>
          <w:bCs/>
          <w:color w:val="000000" w:themeColor="text1"/>
        </w:rPr>
        <w:t xml:space="preserve">SUJETO OBLIGADO </w:t>
      </w:r>
      <w:r w:rsidRPr="00D276AE">
        <w:rPr>
          <w:rFonts w:ascii="Palatino Linotype" w:eastAsia="Times New Roman" w:hAnsi="Palatino Linotype" w:cs="Times New Roman"/>
          <w:color w:val="000000" w:themeColor="text1"/>
        </w:rPr>
        <w:t>deberá de hacer la adecuada versión pública, protegiendo los datos que no son susceptibles de ser proporcionados. </w:t>
      </w:r>
    </w:p>
    <w:p w14:paraId="67F44CBA" w14:textId="77777777" w:rsidR="00027932" w:rsidRPr="00D276AE" w:rsidRDefault="00027932" w:rsidP="00E16D4D">
      <w:pPr>
        <w:spacing w:line="360" w:lineRule="auto"/>
        <w:jc w:val="both"/>
        <w:rPr>
          <w:rFonts w:ascii="Palatino Linotype" w:eastAsia="Palatino Linotype" w:hAnsi="Palatino Linotype" w:cs="Palatino Linotype"/>
          <w:color w:val="000000" w:themeColor="text1"/>
        </w:rPr>
      </w:pPr>
    </w:p>
    <w:p w14:paraId="22306B24" w14:textId="77777777" w:rsidR="00027932" w:rsidRPr="00D276AE" w:rsidRDefault="00027932" w:rsidP="00E16D4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Times New Roman" w:hAnsi="Palatino Linotype" w:cs="Times New Roman"/>
          <w:color w:val="000000" w:themeColor="text1"/>
        </w:rPr>
        <w:t>No pasa desapercibido para este Órgano Garante que los sujetos obligados</w:t>
      </w:r>
      <w:r w:rsidRPr="00D276AE">
        <w:rPr>
          <w:rFonts w:ascii="Palatino Linotype" w:eastAsia="Times New Roman" w:hAnsi="Palatino Linotype" w:cs="Times New Roman"/>
          <w:b/>
          <w:bCs/>
          <w:color w:val="000000" w:themeColor="text1"/>
        </w:rPr>
        <w:t xml:space="preserve"> </w:t>
      </w:r>
      <w:r w:rsidRPr="00D276AE">
        <w:rPr>
          <w:rFonts w:ascii="Palatino Linotype" w:eastAsia="Times New Roman" w:hAnsi="Palatino Linotype" w:cs="Times New Roman"/>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68B0950" w14:textId="77777777" w:rsidR="00027932" w:rsidRPr="00D276AE" w:rsidRDefault="00027932" w:rsidP="00E16D4D">
      <w:pPr>
        <w:rPr>
          <w:rFonts w:ascii="Palatino Linotype" w:eastAsia="Times New Roman" w:hAnsi="Palatino Linotype" w:cs="Times New Roman"/>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2695"/>
        <w:gridCol w:w="6509"/>
      </w:tblGrid>
      <w:tr w:rsidR="00E16D4D" w:rsidRPr="00D276AE" w14:paraId="1F8479B9" w14:textId="77777777" w:rsidTr="0087765A">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0EF1159C" w14:textId="77777777" w:rsidR="00027932" w:rsidRPr="00D276AE" w:rsidRDefault="00027932" w:rsidP="00E16D4D">
            <w:pPr>
              <w:rPr>
                <w:rFonts w:ascii="Palatino Linotype" w:eastAsia="Times New Roman" w:hAnsi="Palatino Linotype" w:cs="Times New Roman"/>
                <w:color w:val="000000" w:themeColor="text1"/>
              </w:rPr>
            </w:pPr>
            <w:r w:rsidRPr="00D276AE">
              <w:rPr>
                <w:rFonts w:ascii="Palatino Linotype" w:eastAsia="Times New Roman" w:hAnsi="Palatino Linotype" w:cs="Times New Roman"/>
                <w:b/>
                <w:bCs/>
                <w:color w:val="000000" w:themeColor="text1"/>
              </w:rPr>
              <w:lastRenderedPageBreak/>
              <w:t>a) Requisitos previos.</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51D6C974"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b/>
                <w:bCs/>
                <w:color w:val="000000" w:themeColor="text1"/>
              </w:rPr>
              <w:t>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37FB416E"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b/>
                <w:bCs/>
                <w:color w:val="000000" w:themeColor="text1"/>
              </w:rPr>
              <w:t>Al hacerlo tienen que precisar de qué información se trata, señalando el supuesto de clasificación (confidencialidad o reserva).</w:t>
            </w:r>
          </w:p>
          <w:p w14:paraId="3D09EE14"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b/>
                <w:bCs/>
                <w:color w:val="000000" w:themeColor="text1"/>
              </w:rPr>
              <w:t>Además, se debe señalar el procedimiento, de los tres que establecen los artículos 132 y 106 de la Ley Estatal y General, respectivamente.</w:t>
            </w:r>
          </w:p>
          <w:p w14:paraId="40FF5C4B"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b/>
                <w:bCs/>
                <w:color w:val="000000" w:themeColor="text1"/>
              </w:rPr>
              <w:t xml:space="preserve">El último de estos requisitos previos consiste en que no se pueden emitir acuerdos de carácter general ni particular, esto es, </w:t>
            </w:r>
            <w:r w:rsidRPr="00D276AE">
              <w:rPr>
                <w:rFonts w:ascii="Palatino Linotype" w:eastAsia="Times New Roman" w:hAnsi="Palatino Linotype" w:cs="Times New Roman"/>
                <w:b/>
                <w:bCs/>
                <w:color w:val="000000" w:themeColor="text1"/>
                <w:u w:val="single"/>
              </w:rPr>
              <w:t>no se puede hacer un acuerdo para clasificar de manera general todos los documentos de un expediente o área, sin</w:t>
            </w:r>
            <w:r w:rsidRPr="00D276AE">
              <w:rPr>
                <w:rFonts w:ascii="Palatino Linotype" w:eastAsia="Times New Roman" w:hAnsi="Palatino Linotype" w:cs="Times New Roman"/>
                <w:b/>
                <w:bCs/>
                <w:color w:val="000000" w:themeColor="text1"/>
              </w:rPr>
              <w:t xml:space="preserve"> individualizar su análisis y tampoco se puede hacer un acuerdo por cada dato que se vaya a clasificar dentro de un documento con diez datos, por ejemplo, susceptibles de ser clasificados.</w:t>
            </w:r>
          </w:p>
        </w:tc>
      </w:tr>
      <w:tr w:rsidR="00E16D4D" w:rsidRPr="00D276AE" w14:paraId="3052CD38" w14:textId="77777777" w:rsidTr="0087765A">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383E64D5" w14:textId="77777777" w:rsidR="00027932" w:rsidRPr="00D276AE" w:rsidRDefault="00027932" w:rsidP="00E16D4D">
            <w:pPr>
              <w:rPr>
                <w:rFonts w:ascii="Palatino Linotype" w:eastAsia="Times New Roman" w:hAnsi="Palatino Linotype" w:cs="Times New Roman"/>
                <w:color w:val="000000" w:themeColor="text1"/>
              </w:rPr>
            </w:pPr>
            <w:r w:rsidRPr="00D276AE">
              <w:rPr>
                <w:rFonts w:ascii="Palatino Linotype" w:eastAsia="Times New Roman" w:hAnsi="Palatino Linotype" w:cs="Times New Roman"/>
                <w:b/>
                <w:bCs/>
                <w:color w:val="000000" w:themeColor="text1"/>
              </w:rPr>
              <w:t>b) Supuestos de clasificación.</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4CAF02D0"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Las disposiciones constitucionales y legales en la materia establecen los dos supuestos generales para clasificar la información: por reserva y por confidencialidad.</w:t>
            </w:r>
          </w:p>
          <w:p w14:paraId="710BD1AE"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D780488"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lastRenderedPageBreak/>
              <w:t xml:space="preserve">El </w:t>
            </w:r>
            <w:r w:rsidRPr="00D276AE">
              <w:rPr>
                <w:rFonts w:ascii="Palatino Linotype" w:eastAsia="Times New Roman" w:hAnsi="Palatino Linotype" w:cs="Times New Roman"/>
                <w:b/>
                <w:bCs/>
                <w:color w:val="000000" w:themeColor="text1"/>
              </w:rPr>
              <w:t>Sujeto Obligado</w:t>
            </w:r>
            <w:r w:rsidRPr="00D276AE">
              <w:rPr>
                <w:rFonts w:ascii="Palatino Linotype" w:eastAsia="Times New Roman" w:hAnsi="Palatino Linotype" w:cs="Times New Roman"/>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16D4D" w:rsidRPr="00D276AE" w14:paraId="7162AC0E" w14:textId="77777777" w:rsidTr="0087765A">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7397A1E6" w14:textId="77777777" w:rsidR="00027932" w:rsidRPr="00D276AE" w:rsidRDefault="00027932" w:rsidP="00E16D4D">
            <w:pPr>
              <w:rPr>
                <w:rFonts w:ascii="Palatino Linotype" w:eastAsia="Times New Roman" w:hAnsi="Palatino Linotype" w:cs="Times New Roman"/>
                <w:color w:val="000000" w:themeColor="text1"/>
              </w:rPr>
            </w:pPr>
            <w:r w:rsidRPr="00D276AE">
              <w:rPr>
                <w:rFonts w:ascii="Palatino Linotype" w:eastAsia="Times New Roman" w:hAnsi="Palatino Linotype" w:cs="Times New Roman"/>
                <w:b/>
                <w:bCs/>
                <w:color w:val="000000" w:themeColor="text1"/>
              </w:rPr>
              <w:lastRenderedPageBreak/>
              <w:t>c) Formalidades para emitir el acuerdo de clasificación.</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1B2AFC7A"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El Comité de Transparencia, según lo dispuesto en los artículos cuenta con las facultades para aprobar, modificar o revocar la clasificación de la información que haya propuesto. </w:t>
            </w:r>
          </w:p>
          <w:p w14:paraId="5B249AFA"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 xml:space="preserve">Es necesario que </w:t>
            </w:r>
            <w:r w:rsidRPr="00D276AE">
              <w:rPr>
                <w:rFonts w:ascii="Palatino Linotype" w:eastAsia="Times New Roman" w:hAnsi="Palatino Linotype" w:cs="Times New Roman"/>
                <w:b/>
                <w:bCs/>
                <w:color w:val="000000" w:themeColor="text1"/>
                <w:u w:val="single"/>
              </w:rPr>
              <w:t>el acto reúna con los requisitos elementales</w:t>
            </w:r>
            <w:r w:rsidRPr="00D276AE">
              <w:rPr>
                <w:rFonts w:ascii="Palatino Linotype" w:eastAsia="Times New Roman" w:hAnsi="Palatino Linotype" w:cs="Times New Roman"/>
                <w:color w:val="000000" w:themeColor="text1"/>
              </w:rPr>
              <w:t>, entre ellos, que la autoridad que va a emitir el acto de autoridad sea la legalmente facultada para ello.</w:t>
            </w:r>
          </w:p>
          <w:p w14:paraId="265A4DAD"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16D4D" w:rsidRPr="00D276AE" w14:paraId="4AAB4FE1" w14:textId="77777777" w:rsidTr="0087765A">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716F767D" w14:textId="77777777" w:rsidR="00027932" w:rsidRPr="00D276AE" w:rsidRDefault="00027932" w:rsidP="00E16D4D">
            <w:pPr>
              <w:rPr>
                <w:rFonts w:ascii="Palatino Linotype" w:eastAsia="Times New Roman" w:hAnsi="Palatino Linotype" w:cs="Times New Roman"/>
                <w:color w:val="000000" w:themeColor="text1"/>
              </w:rPr>
            </w:pPr>
          </w:p>
          <w:p w14:paraId="5C219EB5"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b/>
                <w:bCs/>
                <w:color w:val="000000" w:themeColor="text1"/>
              </w:rPr>
              <w:t>d) Requisitos de fondo del acuerdo de clasificación. </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10D264FE"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276AE">
              <w:rPr>
                <w:rFonts w:ascii="Palatino Linotype" w:eastAsia="Times New Roman" w:hAnsi="Palatino Linotype" w:cs="Times New Roman"/>
                <w:b/>
                <w:bCs/>
                <w:color w:val="000000" w:themeColor="text1"/>
              </w:rPr>
              <w:t>Sujetos Obligados</w:t>
            </w:r>
            <w:r w:rsidRPr="00D276AE">
              <w:rPr>
                <w:rFonts w:ascii="Palatino Linotype" w:eastAsia="Times New Roman" w:hAnsi="Palatino Linotype" w:cs="Times New Roman"/>
                <w:color w:val="000000" w:themeColor="text1"/>
              </w:rPr>
              <w:t>, por lo que deberán fundar y motivar debidamente la clasificación. </w:t>
            </w:r>
          </w:p>
          <w:p w14:paraId="72791294"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 xml:space="preserve">De lo anterior, se desprende que para una correcta </w:t>
            </w:r>
            <w:r w:rsidRPr="00D276AE">
              <w:rPr>
                <w:rFonts w:ascii="Palatino Linotype" w:eastAsia="Times New Roman" w:hAnsi="Palatino Linotype" w:cs="Times New Roman"/>
                <w:b/>
                <w:bCs/>
                <w:color w:val="000000" w:themeColor="text1"/>
              </w:rPr>
              <w:t>clasificación total o parcial</w:t>
            </w:r>
            <w:r w:rsidRPr="00D276AE">
              <w:rPr>
                <w:rFonts w:ascii="Palatino Linotype" w:eastAsia="Times New Roman" w:hAnsi="Palatino Linotype" w:cs="Times New Roman"/>
                <w:color w:val="000000" w:themeColor="text1"/>
              </w:rPr>
              <w:t xml:space="preserve">, esto es determinar los datos que se suprimen en las versiones públicas, es necesario fundar y motivar, de manera correcta, la clasificación; considerando que todo acto que la autoridad pronuncie en </w:t>
            </w:r>
            <w:r w:rsidRPr="00D276AE">
              <w:rPr>
                <w:rFonts w:ascii="Palatino Linotype" w:eastAsia="Times New Roman" w:hAnsi="Palatino Linotype" w:cs="Times New Roman"/>
                <w:color w:val="000000" w:themeColor="text1"/>
              </w:rPr>
              <w:lastRenderedPageBreak/>
              <w:t>el ejercicio de sus atribuciones, debe expresar los fundamentos legales que le dieron origen y las razones por las que se deben aplicar al caso concreto.</w:t>
            </w:r>
          </w:p>
          <w:p w14:paraId="29CA9B59"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CB6683E"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En ese mismo sentido, el numeral trigésimo tercero fracción V de los Lineamientos Generales, precisa que para motivar la clasificación se deben acreditar las circunstancias de tiempo, modo y lugar.</w:t>
            </w:r>
          </w:p>
          <w:p w14:paraId="5CC9F43A"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 xml:space="preserve">Ahora bien, </w:t>
            </w:r>
            <w:r w:rsidRPr="00D276AE">
              <w:rPr>
                <w:rFonts w:ascii="Palatino Linotype" w:eastAsia="Times New Roman" w:hAnsi="Palatino Linotype" w:cs="Times New Roman"/>
                <w:b/>
                <w:bCs/>
                <w:color w:val="000000" w:themeColor="text1"/>
                <w:u w:val="single"/>
              </w:rPr>
              <w:t>para cada caso además de fundar y motivar</w:t>
            </w:r>
            <w:r w:rsidRPr="00D276AE">
              <w:rPr>
                <w:rFonts w:ascii="Palatino Linotype" w:eastAsia="Times New Roman" w:hAnsi="Palatino Linotype" w:cs="Times New Roman"/>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16D4D" w:rsidRPr="00D276AE" w14:paraId="2F6A7D8C" w14:textId="77777777" w:rsidTr="0087765A">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2924396A"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b/>
                <w:bCs/>
                <w:color w:val="000000" w:themeColor="text1"/>
              </w:rPr>
              <w:lastRenderedPageBreak/>
              <w:t>e) Condiciones especiales de la clasificación de la información como confidencial. </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14:paraId="6DBB66B4"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4960075E" w14:textId="77777777" w:rsidR="00027932" w:rsidRPr="00D276AE" w:rsidRDefault="00027932" w:rsidP="00E16D4D">
            <w:pPr>
              <w:jc w:val="both"/>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4078448" w14:textId="77777777" w:rsidR="00027932" w:rsidRPr="00D276AE" w:rsidRDefault="00027932" w:rsidP="00E16D4D">
            <w:pPr>
              <w:rPr>
                <w:rFonts w:ascii="Palatino Linotype" w:eastAsia="Times New Roman" w:hAnsi="Palatino Linotype" w:cs="Times New Roman"/>
                <w:color w:val="000000" w:themeColor="text1"/>
              </w:rPr>
            </w:pPr>
            <w:r w:rsidRPr="00D276AE">
              <w:rPr>
                <w:rFonts w:ascii="Palatino Linotype" w:eastAsia="Times New Roman" w:hAnsi="Palatino Linotype" w:cs="Times New Roman"/>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35F30F6" w14:textId="77777777" w:rsidR="00027932" w:rsidRPr="00D276AE" w:rsidRDefault="00027932" w:rsidP="00E16D4D">
      <w:pPr>
        <w:spacing w:line="360" w:lineRule="auto"/>
        <w:jc w:val="both"/>
        <w:rPr>
          <w:rFonts w:ascii="Palatino Linotype" w:eastAsia="Palatino Linotype" w:hAnsi="Palatino Linotype" w:cs="Palatino Linotype"/>
          <w:color w:val="000000" w:themeColor="text1"/>
        </w:rPr>
      </w:pPr>
      <w:r w:rsidRPr="00D276AE">
        <w:rPr>
          <w:rFonts w:ascii="Palatino Linotype" w:eastAsia="Times New Roman" w:hAnsi="Palatino Linotype" w:cs="Times New Roman"/>
          <w:color w:val="000000" w:themeColor="text1"/>
        </w:rPr>
        <w:lastRenderedPageBreak/>
        <w:br/>
      </w:r>
    </w:p>
    <w:p w14:paraId="15E623B0" w14:textId="77777777" w:rsidR="00027932" w:rsidRPr="00D276AE" w:rsidRDefault="00027932" w:rsidP="00E16D4D">
      <w:pPr>
        <w:pStyle w:val="Listaconvietas2"/>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D276AE">
        <w:rPr>
          <w:rFonts w:ascii="Palatino Linotype" w:eastAsia="Palatino Linotype" w:hAnsi="Palatino Linotype" w:cs="Palatino Linotype"/>
          <w:color w:val="000000" w:themeColor="text1"/>
          <w:sz w:val="24"/>
          <w:szCs w:val="24"/>
        </w:rPr>
        <w:t>En ese sentido, el SUJETO OBLIGADO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8F3D401" w14:textId="77777777" w:rsidR="00027932" w:rsidRPr="00D276AE" w:rsidRDefault="00027932" w:rsidP="00E16D4D">
      <w:pPr>
        <w:pStyle w:val="Listaconvietas2"/>
        <w:numPr>
          <w:ilvl w:val="0"/>
          <w:numId w:val="0"/>
        </w:numPr>
        <w:spacing w:line="360" w:lineRule="auto"/>
        <w:jc w:val="both"/>
        <w:rPr>
          <w:rFonts w:ascii="Palatino Linotype" w:eastAsia="Palatino Linotype" w:hAnsi="Palatino Linotype" w:cs="Palatino Linotype"/>
          <w:color w:val="000000" w:themeColor="text1"/>
          <w:sz w:val="24"/>
          <w:szCs w:val="24"/>
        </w:rPr>
      </w:pPr>
    </w:p>
    <w:p w14:paraId="7D19059F" w14:textId="77777777" w:rsidR="00027932" w:rsidRPr="00D276AE" w:rsidRDefault="00027932" w:rsidP="00E16D4D">
      <w:pPr>
        <w:pStyle w:val="Listaconvietas2"/>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D276AE">
        <w:rPr>
          <w:rFonts w:ascii="Palatino Linotype" w:eastAsia="Palatino Linotype" w:hAnsi="Palatino Linotype" w:cs="Palatino Linotype"/>
          <w:color w:val="000000" w:themeColor="text1"/>
          <w:sz w:val="24"/>
          <w:szCs w:val="24"/>
        </w:rPr>
        <w:t>Derivado de lo establecido en párrafos anteriores, si el SUJETO OBLIGADO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14:paraId="43F9AE1B" w14:textId="77777777" w:rsidR="00027932" w:rsidRPr="00D276AE" w:rsidRDefault="00027932" w:rsidP="00E16D4D">
      <w:pPr>
        <w:pStyle w:val="Listaconvietas2"/>
        <w:numPr>
          <w:ilvl w:val="0"/>
          <w:numId w:val="0"/>
        </w:numPr>
        <w:spacing w:line="360" w:lineRule="auto"/>
        <w:jc w:val="both"/>
        <w:rPr>
          <w:rFonts w:ascii="Palatino Linotype" w:eastAsia="Palatino Linotype" w:hAnsi="Palatino Linotype" w:cs="Palatino Linotype"/>
          <w:color w:val="000000" w:themeColor="text1"/>
          <w:sz w:val="24"/>
          <w:szCs w:val="24"/>
        </w:rPr>
      </w:pPr>
    </w:p>
    <w:p w14:paraId="5C9919B3" w14:textId="77777777" w:rsidR="00027932" w:rsidRPr="00D276AE" w:rsidRDefault="00027932" w:rsidP="00E16D4D">
      <w:pPr>
        <w:pStyle w:val="Listaconvietas2"/>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D276AE">
        <w:rPr>
          <w:rFonts w:ascii="Palatino Linotype" w:eastAsia="Palatino Linotype" w:hAnsi="Palatino Linotype" w:cs="Palatino Linotype"/>
          <w:color w:val="000000" w:themeColor="text1"/>
          <w:sz w:val="24"/>
          <w:szCs w:val="24"/>
        </w:rPr>
        <w:t xml:space="preserve">Así, con fundamento en lo prescrito en los artículos 5 párrafos trigésimo, trigésimo primero y trigésimo segundo fracciones IV y V de la Constitución Política del </w:t>
      </w:r>
      <w:r w:rsidRPr="00D276AE">
        <w:rPr>
          <w:rFonts w:ascii="Palatino Linotype" w:eastAsia="Palatino Linotype" w:hAnsi="Palatino Linotype" w:cs="Palatino Linotype"/>
          <w:color w:val="000000" w:themeColor="text1"/>
          <w:sz w:val="24"/>
          <w:szCs w:val="24"/>
        </w:rPr>
        <w:lastRenderedPageBreak/>
        <w:t>Estado Libre y Soberano de México; 2, fracción II; 29, 36 fracciones I y II; 176, 178, 181, 185 de la Ley de Transparencia y Acceso a la Información Pública del Estado de México y Municipios, este Pleno:</w:t>
      </w:r>
    </w:p>
    <w:p w14:paraId="7C72EC30" w14:textId="77777777" w:rsidR="007A54A5" w:rsidRPr="00D276AE" w:rsidRDefault="007A54A5" w:rsidP="00E16D4D">
      <w:pPr>
        <w:spacing w:line="360" w:lineRule="auto"/>
        <w:jc w:val="both"/>
        <w:rPr>
          <w:rFonts w:ascii="Palatino Linotype" w:eastAsia="Palatino Linotype" w:hAnsi="Palatino Linotype" w:cs="Palatino Linotype"/>
          <w:color w:val="000000" w:themeColor="text1"/>
          <w:lang w:val="es-MX"/>
        </w:rPr>
      </w:pPr>
    </w:p>
    <w:p w14:paraId="754A9D6E" w14:textId="77777777" w:rsidR="00487C36" w:rsidRPr="00D276AE" w:rsidRDefault="00487C36" w:rsidP="00E16D4D">
      <w:pPr>
        <w:spacing w:line="360" w:lineRule="auto"/>
        <w:jc w:val="both"/>
        <w:rPr>
          <w:rFonts w:ascii="Palatino Linotype" w:eastAsia="Palatino Linotype" w:hAnsi="Palatino Linotype" w:cs="Palatino Linotype"/>
          <w:color w:val="000000" w:themeColor="text1"/>
        </w:rPr>
      </w:pPr>
    </w:p>
    <w:p w14:paraId="4A866D69" w14:textId="77777777" w:rsidR="004D5EDF" w:rsidRPr="00D276AE" w:rsidRDefault="004D5EDF" w:rsidP="00E16D4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Por lo anteriormente expuesto y fundado, este </w:t>
      </w:r>
      <w:r w:rsidRPr="00D276AE">
        <w:rPr>
          <w:rFonts w:ascii="Palatino Linotype" w:eastAsia="Palatino Linotype" w:hAnsi="Palatino Linotype" w:cs="Palatino Linotype"/>
          <w:b/>
          <w:color w:val="000000" w:themeColor="text1"/>
        </w:rPr>
        <w:t>ÓRGANO GARANTE</w:t>
      </w:r>
      <w:r w:rsidRPr="00D276AE">
        <w:rPr>
          <w:rFonts w:ascii="Palatino Linotype" w:eastAsia="Palatino Linotype" w:hAnsi="Palatino Linotype" w:cs="Palatino Linotype"/>
          <w:color w:val="000000" w:themeColor="text1"/>
        </w:rPr>
        <w:t xml:space="preserve"> emite los siguientes:</w:t>
      </w:r>
    </w:p>
    <w:p w14:paraId="22203714" w14:textId="77777777" w:rsidR="00E86B60" w:rsidRPr="00D276AE" w:rsidRDefault="00E86B60" w:rsidP="00E16D4D">
      <w:pPr>
        <w:pStyle w:val="Prrafodelista"/>
        <w:ind w:left="0"/>
        <w:rPr>
          <w:rFonts w:ascii="Palatino Linotype" w:eastAsia="Palatino Linotype" w:hAnsi="Palatino Linotype" w:cs="Palatino Linotype"/>
          <w:color w:val="000000" w:themeColor="text1"/>
        </w:rPr>
      </w:pPr>
    </w:p>
    <w:p w14:paraId="48EDBD40" w14:textId="77777777" w:rsidR="00955CFD" w:rsidRPr="00D276AE" w:rsidRDefault="00955CFD" w:rsidP="00E16D4D">
      <w:pPr>
        <w:keepNext/>
        <w:keepLines/>
        <w:spacing w:line="360" w:lineRule="auto"/>
        <w:jc w:val="center"/>
        <w:rPr>
          <w:rFonts w:ascii="Palatino Linotype" w:eastAsia="Palatino Linotype" w:hAnsi="Palatino Linotype" w:cs="Palatino Linotype"/>
          <w:b/>
          <w:color w:val="000000" w:themeColor="text1"/>
        </w:rPr>
      </w:pPr>
      <w:r w:rsidRPr="00D276AE">
        <w:rPr>
          <w:rFonts w:ascii="Palatino Linotype" w:eastAsia="Palatino Linotype" w:hAnsi="Palatino Linotype" w:cs="Palatino Linotype"/>
          <w:b/>
          <w:color w:val="000000" w:themeColor="text1"/>
        </w:rPr>
        <w:t>R E S O L U T I V O S</w:t>
      </w:r>
    </w:p>
    <w:p w14:paraId="638228EC" w14:textId="77777777" w:rsidR="00E86B60" w:rsidRPr="00D276AE" w:rsidRDefault="00E86B60" w:rsidP="00E16D4D">
      <w:pPr>
        <w:keepNext/>
        <w:keepLines/>
        <w:spacing w:line="360" w:lineRule="auto"/>
        <w:jc w:val="center"/>
        <w:rPr>
          <w:rFonts w:ascii="Palatino Linotype" w:eastAsia="Palatino Linotype" w:hAnsi="Palatino Linotype" w:cs="Palatino Linotype"/>
          <w:b/>
          <w:color w:val="000000" w:themeColor="text1"/>
        </w:rPr>
      </w:pPr>
    </w:p>
    <w:p w14:paraId="1368DC6D" w14:textId="2DC43948" w:rsidR="00E86B60" w:rsidRPr="00D276AE" w:rsidRDefault="00E86B60" w:rsidP="00E16D4D">
      <w:pPr>
        <w:spacing w:line="360" w:lineRule="auto"/>
        <w:jc w:val="both"/>
        <w:rPr>
          <w:rFonts w:ascii="Palatino Linotype" w:eastAsia="Palatino Linotype" w:hAnsi="Palatino Linotype" w:cs="Palatino Linotype"/>
          <w:color w:val="000000" w:themeColor="text1"/>
        </w:rPr>
      </w:pPr>
      <w:r w:rsidRPr="00D276AE">
        <w:rPr>
          <w:rFonts w:ascii="Palatino Linotype" w:eastAsia="Times New Roman" w:hAnsi="Palatino Linotype" w:cs="Arial"/>
          <w:b/>
          <w:bCs/>
          <w:color w:val="000000" w:themeColor="text1"/>
        </w:rPr>
        <w:t>PRIMERO</w:t>
      </w:r>
      <w:r w:rsidRPr="00D276AE">
        <w:rPr>
          <w:rFonts w:ascii="Palatino Linotype" w:eastAsia="Times New Roman" w:hAnsi="Palatino Linotype" w:cs="Arial"/>
          <w:color w:val="000000" w:themeColor="text1"/>
        </w:rPr>
        <w:t xml:space="preserve">. Resultan fundadas las </w:t>
      </w:r>
      <w:r w:rsidRPr="00D276AE">
        <w:rPr>
          <w:rFonts w:ascii="Palatino Linotype" w:eastAsia="Times New Roman" w:hAnsi="Palatino Linotype" w:cs="Arial"/>
          <w:color w:val="000000" w:themeColor="text1"/>
          <w:lang w:val="es-ES"/>
        </w:rPr>
        <w:t xml:space="preserve">razones o motivos de inconformidad hechos valer en </w:t>
      </w:r>
      <w:r w:rsidR="00D52CBA" w:rsidRPr="00D276AE">
        <w:rPr>
          <w:rFonts w:ascii="Palatino Linotype" w:eastAsia="Times New Roman" w:hAnsi="Palatino Linotype" w:cs="Arial"/>
          <w:color w:val="000000" w:themeColor="text1"/>
          <w:lang w:val="es-ES"/>
        </w:rPr>
        <w:t xml:space="preserve">los Recursos de Revisión </w:t>
      </w:r>
      <w:r w:rsidR="00D52CBA" w:rsidRPr="00D276AE">
        <w:rPr>
          <w:rFonts w:ascii="Palatino Linotype" w:eastAsia="Palatino Linotype" w:hAnsi="Palatino Linotype" w:cs="Palatino Linotype"/>
          <w:b/>
          <w:color w:val="000000" w:themeColor="text1"/>
        </w:rPr>
        <w:t>04973/INFOEM/IP/RR/2025, 04974/INFOEM/IP/RR/2025,</w:t>
      </w:r>
      <w:r w:rsidR="00D52CBA" w:rsidRPr="00D276AE">
        <w:rPr>
          <w:rFonts w:ascii="Palatino Linotype" w:hAnsi="Palatino Linotype"/>
          <w:color w:val="000000" w:themeColor="text1"/>
        </w:rPr>
        <w:t xml:space="preserve"> </w:t>
      </w:r>
      <w:r w:rsidR="00D52CBA" w:rsidRPr="00D276AE">
        <w:rPr>
          <w:rFonts w:ascii="Palatino Linotype" w:eastAsia="Palatino Linotype" w:hAnsi="Palatino Linotype" w:cs="Palatino Linotype"/>
          <w:b/>
          <w:color w:val="000000" w:themeColor="text1"/>
        </w:rPr>
        <w:t>04975/INFOEM/IP/RR/2025, 04976/INFOEM/IP/RR/2025,</w:t>
      </w:r>
      <w:r w:rsidR="00D52CBA" w:rsidRPr="00D276AE">
        <w:rPr>
          <w:rFonts w:ascii="Palatino Linotype" w:hAnsi="Palatino Linotype"/>
          <w:color w:val="000000" w:themeColor="text1"/>
        </w:rPr>
        <w:t xml:space="preserve"> </w:t>
      </w:r>
      <w:r w:rsidR="00D52CBA" w:rsidRPr="00D276AE">
        <w:rPr>
          <w:rFonts w:ascii="Palatino Linotype" w:eastAsia="Palatino Linotype" w:hAnsi="Palatino Linotype" w:cs="Palatino Linotype"/>
          <w:b/>
          <w:color w:val="000000" w:themeColor="text1"/>
        </w:rPr>
        <w:t>04977/INFOEM/IP/RR/2025,</w:t>
      </w:r>
      <w:r w:rsidR="00D52CBA" w:rsidRPr="00D276AE">
        <w:rPr>
          <w:rFonts w:ascii="Palatino Linotype" w:hAnsi="Palatino Linotype"/>
          <w:color w:val="000000" w:themeColor="text1"/>
        </w:rPr>
        <w:t xml:space="preserve"> </w:t>
      </w:r>
      <w:r w:rsidR="00D52CBA" w:rsidRPr="00D276AE">
        <w:rPr>
          <w:rFonts w:ascii="Palatino Linotype" w:eastAsia="Palatino Linotype" w:hAnsi="Palatino Linotype" w:cs="Palatino Linotype"/>
          <w:b/>
          <w:color w:val="000000" w:themeColor="text1"/>
        </w:rPr>
        <w:t>04978/INFOEM/IP/RR/2025</w:t>
      </w:r>
      <w:r w:rsidR="00D52CBA" w:rsidRPr="00D276AE">
        <w:rPr>
          <w:rFonts w:ascii="Palatino Linotype" w:hAnsi="Palatino Linotype"/>
          <w:color w:val="000000" w:themeColor="text1"/>
        </w:rPr>
        <w:t xml:space="preserve"> y </w:t>
      </w:r>
      <w:r w:rsidR="00D52CBA" w:rsidRPr="00D276AE">
        <w:rPr>
          <w:rFonts w:ascii="Palatino Linotype" w:eastAsia="Palatino Linotype" w:hAnsi="Palatino Linotype" w:cs="Palatino Linotype"/>
          <w:b/>
          <w:color w:val="000000" w:themeColor="text1"/>
        </w:rPr>
        <w:t>04979/INFOEM/IP/RR/2025</w:t>
      </w:r>
      <w:r w:rsidRPr="00D276AE">
        <w:rPr>
          <w:rFonts w:ascii="Palatino Linotype" w:eastAsia="Palatino Linotype" w:hAnsi="Palatino Linotype" w:cs="Palatino Linotype"/>
          <w:color w:val="000000" w:themeColor="text1"/>
        </w:rPr>
        <w:t xml:space="preserve"> en términos de los </w:t>
      </w:r>
      <w:r w:rsidRPr="00D276AE">
        <w:rPr>
          <w:rFonts w:ascii="Palatino Linotype" w:eastAsia="Palatino Linotype" w:hAnsi="Palatino Linotype" w:cs="Palatino Linotype"/>
          <w:b/>
          <w:color w:val="000000" w:themeColor="text1"/>
        </w:rPr>
        <w:t>Considerandos</w:t>
      </w:r>
      <w:r w:rsidRPr="00D276AE">
        <w:rPr>
          <w:rFonts w:ascii="Palatino Linotype" w:eastAsia="Palatino Linotype" w:hAnsi="Palatino Linotype" w:cs="Palatino Linotype"/>
          <w:color w:val="000000" w:themeColor="text1"/>
        </w:rPr>
        <w:t xml:space="preserve"> </w:t>
      </w:r>
      <w:r w:rsidRPr="00D276AE">
        <w:rPr>
          <w:rFonts w:ascii="Palatino Linotype" w:eastAsia="Palatino Linotype" w:hAnsi="Palatino Linotype" w:cs="Palatino Linotype"/>
          <w:b/>
          <w:color w:val="000000" w:themeColor="text1"/>
        </w:rPr>
        <w:t>CUARTO</w:t>
      </w:r>
      <w:r w:rsidRPr="00D276AE">
        <w:rPr>
          <w:rFonts w:ascii="Palatino Linotype" w:eastAsia="Palatino Linotype" w:hAnsi="Palatino Linotype" w:cs="Palatino Linotype"/>
          <w:color w:val="000000" w:themeColor="text1"/>
        </w:rPr>
        <w:t xml:space="preserve"> y </w:t>
      </w:r>
      <w:r w:rsidRPr="00D276AE">
        <w:rPr>
          <w:rFonts w:ascii="Palatino Linotype" w:eastAsia="Palatino Linotype" w:hAnsi="Palatino Linotype" w:cs="Palatino Linotype"/>
          <w:b/>
          <w:color w:val="000000" w:themeColor="text1"/>
        </w:rPr>
        <w:t xml:space="preserve">QUINTO </w:t>
      </w:r>
      <w:r w:rsidRPr="00D276AE">
        <w:rPr>
          <w:rFonts w:ascii="Palatino Linotype" w:eastAsia="Palatino Linotype" w:hAnsi="Palatino Linotype" w:cs="Palatino Linotype"/>
          <w:color w:val="000000" w:themeColor="text1"/>
        </w:rPr>
        <w:t>de la presente Resolución.</w:t>
      </w:r>
    </w:p>
    <w:p w14:paraId="38DCEA49" w14:textId="77777777" w:rsidR="00E86B60" w:rsidRPr="00D276AE" w:rsidRDefault="00E86B60" w:rsidP="00E16D4D">
      <w:pPr>
        <w:spacing w:line="360" w:lineRule="auto"/>
        <w:jc w:val="both"/>
        <w:rPr>
          <w:rFonts w:ascii="Palatino Linotype" w:eastAsia="Palatino Linotype" w:hAnsi="Palatino Linotype" w:cs="Palatino Linotype"/>
          <w:color w:val="000000" w:themeColor="text1"/>
        </w:rPr>
      </w:pPr>
    </w:p>
    <w:p w14:paraId="0E14BE33" w14:textId="1C548ADC" w:rsidR="00E86B60" w:rsidRPr="00D276AE" w:rsidRDefault="00E86B60" w:rsidP="00E16D4D">
      <w:pPr>
        <w:spacing w:line="360" w:lineRule="auto"/>
        <w:jc w:val="both"/>
        <w:rPr>
          <w:rFonts w:ascii="Palatino Linotype" w:eastAsia="Palatino Linotype" w:hAnsi="Palatino Linotype" w:cs="Palatino Linotype"/>
          <w:b/>
          <w:color w:val="000000" w:themeColor="text1"/>
        </w:rPr>
      </w:pPr>
      <w:r w:rsidRPr="00D276AE">
        <w:rPr>
          <w:rFonts w:ascii="Palatino Linotype" w:eastAsia="Times New Roman" w:hAnsi="Palatino Linotype" w:cs="Times New Roman"/>
          <w:b/>
          <w:color w:val="000000" w:themeColor="text1"/>
        </w:rPr>
        <w:t xml:space="preserve">SEGUNDO. </w:t>
      </w:r>
      <w:r w:rsidRPr="00D276AE">
        <w:rPr>
          <w:rFonts w:ascii="Palatino Linotype" w:eastAsia="MS Mincho" w:hAnsi="Palatino Linotype" w:cs="Times New Roman"/>
          <w:color w:val="000000" w:themeColor="text1"/>
        </w:rPr>
        <w:t xml:space="preserve">Se </w:t>
      </w:r>
      <w:r w:rsidR="004B0233" w:rsidRPr="00D276AE">
        <w:rPr>
          <w:rFonts w:ascii="Palatino Linotype" w:eastAsia="MS Mincho" w:hAnsi="Palatino Linotype" w:cs="Times New Roman"/>
          <w:b/>
          <w:color w:val="000000" w:themeColor="text1"/>
        </w:rPr>
        <w:t xml:space="preserve">REVOCAN </w:t>
      </w:r>
      <w:r w:rsidRPr="00D276AE">
        <w:rPr>
          <w:rFonts w:ascii="Palatino Linotype" w:eastAsia="MS Mincho" w:hAnsi="Palatino Linotype" w:cs="Times New Roman"/>
          <w:color w:val="000000" w:themeColor="text1"/>
        </w:rPr>
        <w:t xml:space="preserve">las respuestas emitidas por el </w:t>
      </w:r>
      <w:r w:rsidRPr="00D276AE">
        <w:rPr>
          <w:rFonts w:ascii="Palatino Linotype" w:hAnsi="Palatino Linotype"/>
          <w:b/>
          <w:bCs/>
          <w:color w:val="000000" w:themeColor="text1"/>
        </w:rPr>
        <w:t>Ayuntamiento de T</w:t>
      </w:r>
      <w:r w:rsidR="00D52CBA" w:rsidRPr="00D276AE">
        <w:rPr>
          <w:rFonts w:ascii="Palatino Linotype" w:hAnsi="Palatino Linotype"/>
          <w:b/>
          <w:bCs/>
          <w:color w:val="000000" w:themeColor="text1"/>
        </w:rPr>
        <w:t>oluca</w:t>
      </w:r>
      <w:r w:rsidRPr="00D276AE">
        <w:rPr>
          <w:rFonts w:ascii="Palatino Linotype" w:hAnsi="Palatino Linotype"/>
          <w:b/>
          <w:bCs/>
          <w:color w:val="000000" w:themeColor="text1"/>
        </w:rPr>
        <w:t xml:space="preserve"> </w:t>
      </w:r>
      <w:r w:rsidRPr="00D276AE">
        <w:rPr>
          <w:rFonts w:ascii="Palatino Linotype" w:hAnsi="Palatino Linotype"/>
          <w:bCs/>
          <w:color w:val="000000" w:themeColor="text1"/>
        </w:rPr>
        <w:t>a las solicitudes de información</w:t>
      </w:r>
      <w:r w:rsidRPr="00D276AE">
        <w:rPr>
          <w:rFonts w:ascii="Palatino Linotype" w:eastAsia="MS Mincho" w:hAnsi="Palatino Linotype" w:cs="Times New Roman"/>
          <w:b/>
          <w:color w:val="000000" w:themeColor="text1"/>
        </w:rPr>
        <w:t xml:space="preserve"> </w:t>
      </w:r>
      <w:r w:rsidR="00D52CBA" w:rsidRPr="00D276AE">
        <w:rPr>
          <w:rFonts w:ascii="Palatino Linotype" w:eastAsia="MS Mincho" w:hAnsi="Palatino Linotype" w:cs="Times New Roman"/>
          <w:b/>
          <w:color w:val="000000" w:themeColor="text1"/>
        </w:rPr>
        <w:t xml:space="preserve"> </w:t>
      </w:r>
      <w:r w:rsidR="00D52CBA" w:rsidRPr="00D276AE">
        <w:rPr>
          <w:rFonts w:ascii="Palatino Linotype" w:eastAsia="Palatino Linotype" w:hAnsi="Palatino Linotype" w:cs="Palatino Linotype"/>
          <w:b/>
          <w:color w:val="000000" w:themeColor="text1"/>
        </w:rPr>
        <w:t xml:space="preserve">01468/TOLUCA/IP/2025, </w:t>
      </w:r>
      <w:r w:rsidR="00D52CBA" w:rsidRPr="00D276AE">
        <w:rPr>
          <w:rFonts w:ascii="Palatino Linotype" w:eastAsia="MS Mincho" w:hAnsi="Palatino Linotype" w:cs="Times New Roman"/>
          <w:b/>
          <w:color w:val="000000" w:themeColor="text1"/>
        </w:rPr>
        <w:t xml:space="preserve"> </w:t>
      </w:r>
      <w:r w:rsidR="00D52CBA" w:rsidRPr="00D276AE">
        <w:rPr>
          <w:rFonts w:ascii="Palatino Linotype" w:eastAsia="Palatino Linotype" w:hAnsi="Palatino Linotype" w:cs="Palatino Linotype"/>
          <w:b/>
          <w:color w:val="000000" w:themeColor="text1"/>
        </w:rPr>
        <w:t xml:space="preserve">01469/TOLUCA/IP/2025, </w:t>
      </w:r>
      <w:r w:rsidR="00D52CBA" w:rsidRPr="00D276AE">
        <w:rPr>
          <w:rFonts w:ascii="Palatino Linotype" w:eastAsia="MS Mincho" w:hAnsi="Palatino Linotype" w:cs="Times New Roman"/>
          <w:b/>
          <w:color w:val="000000" w:themeColor="text1"/>
        </w:rPr>
        <w:t xml:space="preserve"> </w:t>
      </w:r>
      <w:r w:rsidR="00D52CBA" w:rsidRPr="00D276AE">
        <w:rPr>
          <w:rFonts w:ascii="Palatino Linotype" w:eastAsia="Palatino Linotype" w:hAnsi="Palatino Linotype" w:cs="Palatino Linotype"/>
          <w:b/>
          <w:color w:val="000000" w:themeColor="text1"/>
        </w:rPr>
        <w:t xml:space="preserve">01471/TOLUCA/IP/2025, </w:t>
      </w:r>
      <w:r w:rsidR="00D52CBA" w:rsidRPr="00D276AE">
        <w:rPr>
          <w:rFonts w:ascii="Palatino Linotype" w:eastAsia="MS Mincho" w:hAnsi="Palatino Linotype" w:cs="Times New Roman"/>
          <w:b/>
          <w:color w:val="000000" w:themeColor="text1"/>
        </w:rPr>
        <w:t xml:space="preserve"> </w:t>
      </w:r>
      <w:r w:rsidR="00D52CBA" w:rsidRPr="00D276AE">
        <w:rPr>
          <w:rFonts w:ascii="Palatino Linotype" w:eastAsia="Palatino Linotype" w:hAnsi="Palatino Linotype" w:cs="Palatino Linotype"/>
          <w:b/>
          <w:color w:val="000000" w:themeColor="text1"/>
        </w:rPr>
        <w:t xml:space="preserve">01472/TOLUCA/IP/2025, 01473/TOLUCA/IP/2025,   01474/TOLUCA/IP/2025 </w:t>
      </w:r>
      <w:r w:rsidR="00D52CBA" w:rsidRPr="00D276AE">
        <w:rPr>
          <w:rFonts w:ascii="Palatino Linotype" w:eastAsia="Palatino Linotype" w:hAnsi="Palatino Linotype" w:cs="Palatino Linotype"/>
          <w:b/>
          <w:color w:val="000000" w:themeColor="text1"/>
        </w:rPr>
        <w:tab/>
      </w:r>
      <w:r w:rsidR="00D52CBA" w:rsidRPr="00D276AE">
        <w:rPr>
          <w:rFonts w:ascii="Palatino Linotype" w:eastAsia="Palatino Linotype" w:hAnsi="Palatino Linotype" w:cs="Palatino Linotype"/>
          <w:b/>
          <w:color w:val="000000" w:themeColor="text1"/>
        </w:rPr>
        <w:tab/>
        <w:t>y  01475/TOLUCA/IP/2025</w:t>
      </w:r>
      <w:r w:rsidR="00755B82" w:rsidRPr="00D276AE">
        <w:rPr>
          <w:rFonts w:ascii="Palatino Linotype" w:eastAsia="Times New Roman" w:hAnsi="Palatino Linotype" w:cs="Arial"/>
          <w:b/>
          <w:color w:val="000000" w:themeColor="text1"/>
          <w:lang w:val="es-ES"/>
        </w:rPr>
        <w:t>;</w:t>
      </w:r>
      <w:r w:rsidRPr="00D276AE">
        <w:rPr>
          <w:rFonts w:ascii="Palatino Linotype" w:eastAsia="Palatino Linotype" w:hAnsi="Palatino Linotype" w:cs="Palatino Linotype"/>
          <w:color w:val="000000" w:themeColor="text1"/>
        </w:rPr>
        <w:t xml:space="preserve"> </w:t>
      </w:r>
      <w:r w:rsidR="00755B82" w:rsidRPr="00D276AE">
        <w:rPr>
          <w:rFonts w:ascii="Palatino Linotype" w:eastAsia="Palatino Linotype" w:hAnsi="Palatino Linotype" w:cs="Palatino Linotype"/>
          <w:color w:val="000000" w:themeColor="text1"/>
        </w:rPr>
        <w:t>por lo que</w:t>
      </w:r>
      <w:r w:rsidRPr="00D276AE">
        <w:rPr>
          <w:rFonts w:ascii="Palatino Linotype" w:eastAsia="MS Mincho" w:hAnsi="Palatino Linotype" w:cs="Times New Roman"/>
          <w:color w:val="000000" w:themeColor="text1"/>
        </w:rPr>
        <w:t xml:space="preserve"> se </w:t>
      </w:r>
      <w:r w:rsidRPr="00D276AE">
        <w:rPr>
          <w:rFonts w:ascii="Palatino Linotype" w:eastAsia="MS Mincho" w:hAnsi="Palatino Linotype" w:cs="Times New Roman"/>
          <w:b/>
          <w:color w:val="000000" w:themeColor="text1"/>
        </w:rPr>
        <w:t>ORDENA</w:t>
      </w:r>
      <w:r w:rsidRPr="00D276AE">
        <w:rPr>
          <w:rFonts w:ascii="Palatino Linotype" w:eastAsia="MS Mincho" w:hAnsi="Palatino Linotype" w:cs="Times New Roman"/>
          <w:color w:val="000000" w:themeColor="text1"/>
        </w:rPr>
        <w:t xml:space="preserve"> entregar vía Sistema de Acceso a la Información Mexiquense (SAIMEX), en versión pública, la siguiente información</w:t>
      </w:r>
      <w:r w:rsidRPr="00D276AE">
        <w:rPr>
          <w:rFonts w:ascii="Palatino Linotype" w:hAnsi="Palatino Linotype" w:cs="Arial"/>
          <w:color w:val="000000" w:themeColor="text1"/>
        </w:rPr>
        <w:t>:</w:t>
      </w:r>
    </w:p>
    <w:p w14:paraId="4CD16F89" w14:textId="77777777" w:rsidR="00E86B60" w:rsidRPr="00D276AE" w:rsidRDefault="00E86B60" w:rsidP="00E16D4D">
      <w:pPr>
        <w:pStyle w:val="Prrafodelista"/>
        <w:tabs>
          <w:tab w:val="left" w:pos="8080"/>
        </w:tabs>
        <w:spacing w:line="360" w:lineRule="auto"/>
        <w:ind w:left="0"/>
        <w:jc w:val="both"/>
        <w:rPr>
          <w:rFonts w:ascii="Palatino Linotype" w:hAnsi="Palatino Linotype" w:cs="Arial"/>
          <w:i/>
          <w:color w:val="000000" w:themeColor="text1"/>
        </w:rPr>
      </w:pPr>
    </w:p>
    <w:p w14:paraId="330039C8" w14:textId="38F68073" w:rsidR="00D52CBA" w:rsidRPr="00D276AE" w:rsidRDefault="00D52CBA" w:rsidP="00E16D4D">
      <w:pPr>
        <w:spacing w:line="360" w:lineRule="auto"/>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b/>
          <w:color w:val="000000" w:themeColor="text1"/>
        </w:rPr>
        <w:lastRenderedPageBreak/>
        <w:t xml:space="preserve">a) </w:t>
      </w:r>
      <w:r w:rsidR="00755B82" w:rsidRPr="00D276AE">
        <w:rPr>
          <w:rFonts w:ascii="Palatino Linotype" w:eastAsia="Palatino Linotype" w:hAnsi="Palatino Linotype" w:cs="Palatino Linotype"/>
          <w:b/>
          <w:color w:val="000000" w:themeColor="text1"/>
        </w:rPr>
        <w:t>Soporte documental donde conste o se</w:t>
      </w:r>
      <w:r w:rsidRPr="00D276AE">
        <w:rPr>
          <w:rFonts w:ascii="Palatino Linotype" w:eastAsia="Palatino Linotype" w:hAnsi="Palatino Linotype" w:cs="Palatino Linotype"/>
          <w:b/>
          <w:color w:val="000000" w:themeColor="text1"/>
        </w:rPr>
        <w:t xml:space="preserve"> advierta</w:t>
      </w:r>
      <w:r w:rsidR="00E94001" w:rsidRPr="00D276AE">
        <w:rPr>
          <w:rFonts w:ascii="Palatino Linotype" w:eastAsia="Palatino Linotype" w:hAnsi="Palatino Linotype" w:cs="Palatino Linotype"/>
          <w:b/>
          <w:color w:val="000000" w:themeColor="text1"/>
        </w:rPr>
        <w:t>n</w:t>
      </w:r>
      <w:r w:rsidRPr="00D276AE">
        <w:rPr>
          <w:rFonts w:ascii="Palatino Linotype" w:eastAsia="Palatino Linotype" w:hAnsi="Palatino Linotype" w:cs="Palatino Linotype"/>
          <w:b/>
          <w:color w:val="000000" w:themeColor="text1"/>
        </w:rPr>
        <w:t xml:space="preserve"> </w:t>
      </w:r>
      <w:r w:rsidR="00755B82" w:rsidRPr="00D276AE">
        <w:rPr>
          <w:rFonts w:ascii="Palatino Linotype" w:eastAsia="Palatino Linotype" w:hAnsi="Palatino Linotype" w:cs="Palatino Linotype"/>
          <w:b/>
          <w:color w:val="000000" w:themeColor="text1"/>
        </w:rPr>
        <w:t xml:space="preserve"> </w:t>
      </w:r>
      <w:r w:rsidRPr="00D276AE">
        <w:rPr>
          <w:rFonts w:ascii="Palatino Linotype" w:eastAsia="Palatino Linotype" w:hAnsi="Palatino Linotype" w:cs="Palatino Linotype"/>
          <w:b/>
          <w:color w:val="000000" w:themeColor="text1"/>
        </w:rPr>
        <w:t>l</w:t>
      </w:r>
      <w:r w:rsidR="00E94001" w:rsidRPr="00D276AE">
        <w:rPr>
          <w:rFonts w:ascii="Palatino Linotype" w:eastAsia="Palatino Linotype" w:hAnsi="Palatino Linotype" w:cs="Palatino Linotype"/>
          <w:b/>
          <w:color w:val="000000" w:themeColor="text1"/>
        </w:rPr>
        <w:t>os</w:t>
      </w:r>
      <w:r w:rsidRPr="00D276AE">
        <w:rPr>
          <w:rFonts w:ascii="Palatino Linotype" w:eastAsia="Palatino Linotype" w:hAnsi="Palatino Linotype" w:cs="Palatino Linotype"/>
          <w:b/>
          <w:color w:val="000000" w:themeColor="text1"/>
        </w:rPr>
        <w:t xml:space="preserve"> pago</w:t>
      </w:r>
      <w:r w:rsidR="00E94001" w:rsidRPr="00D276AE">
        <w:rPr>
          <w:rFonts w:ascii="Palatino Linotype" w:eastAsia="Palatino Linotype" w:hAnsi="Palatino Linotype" w:cs="Palatino Linotype"/>
          <w:b/>
          <w:color w:val="000000" w:themeColor="text1"/>
        </w:rPr>
        <w:t>s</w:t>
      </w:r>
      <w:r w:rsidRPr="00D276AE">
        <w:rPr>
          <w:rFonts w:ascii="Palatino Linotype" w:eastAsia="Palatino Linotype" w:hAnsi="Palatino Linotype" w:cs="Palatino Linotype"/>
          <w:b/>
          <w:color w:val="000000" w:themeColor="text1"/>
        </w:rPr>
        <w:t xml:space="preserve"> </w:t>
      </w:r>
      <w:r w:rsidR="00E36803" w:rsidRPr="00D276AE">
        <w:rPr>
          <w:rFonts w:ascii="Palatino Linotype" w:eastAsia="Calibri" w:hAnsi="Palatino Linotype" w:cs="Tahoma"/>
          <w:bCs/>
          <w:iCs/>
          <w:color w:val="000000" w:themeColor="text1"/>
        </w:rPr>
        <w:t>del Impuesto Sobre la Renta correspondiente</w:t>
      </w:r>
      <w:r w:rsidR="00E94001" w:rsidRPr="00D276AE">
        <w:rPr>
          <w:rFonts w:ascii="Palatino Linotype" w:eastAsia="Calibri" w:hAnsi="Palatino Linotype" w:cs="Tahoma"/>
          <w:bCs/>
          <w:iCs/>
          <w:color w:val="000000" w:themeColor="text1"/>
        </w:rPr>
        <w:t>s</w:t>
      </w:r>
      <w:r w:rsidR="00E36803" w:rsidRPr="00D276AE">
        <w:rPr>
          <w:rFonts w:ascii="Palatino Linotype" w:eastAsia="Calibri" w:hAnsi="Palatino Linotype" w:cs="Tahoma"/>
          <w:bCs/>
          <w:iCs/>
          <w:color w:val="000000" w:themeColor="text1"/>
        </w:rPr>
        <w:t xml:space="preserve"> a </w:t>
      </w:r>
      <w:r w:rsidRPr="00D276AE">
        <w:rPr>
          <w:rFonts w:ascii="Palatino Linotype" w:eastAsia="Palatino Linotype" w:hAnsi="Palatino Linotype" w:cs="Palatino Linotype"/>
          <w:b/>
          <w:color w:val="000000" w:themeColor="text1"/>
        </w:rPr>
        <w:t xml:space="preserve">los ejercicios fiscales 2017, 2018, 2019, 2020, 2022, 2023 y </w:t>
      </w:r>
      <w:r w:rsidR="00E73757" w:rsidRPr="00D276AE">
        <w:rPr>
          <w:rFonts w:ascii="Palatino Linotype" w:eastAsia="Palatino Linotype" w:hAnsi="Palatino Linotype" w:cs="Palatino Linotype"/>
          <w:b/>
          <w:color w:val="000000" w:themeColor="text1"/>
        </w:rPr>
        <w:t>de</w:t>
      </w:r>
      <w:r w:rsidR="00E94001" w:rsidRPr="00D276AE">
        <w:rPr>
          <w:rFonts w:ascii="Palatino Linotype" w:eastAsia="Palatino Linotype" w:hAnsi="Palatino Linotype" w:cs="Palatino Linotype"/>
          <w:b/>
          <w:color w:val="000000" w:themeColor="text1"/>
        </w:rPr>
        <w:t xml:space="preserve"> </w:t>
      </w:r>
      <w:r w:rsidR="00E73757" w:rsidRPr="00D276AE">
        <w:rPr>
          <w:rFonts w:ascii="Palatino Linotype" w:eastAsia="Palatino Linotype" w:hAnsi="Palatino Linotype" w:cs="Palatino Linotype"/>
          <w:b/>
          <w:color w:val="000000" w:themeColor="text1"/>
        </w:rPr>
        <w:t>l</w:t>
      </w:r>
      <w:r w:rsidR="00E94001" w:rsidRPr="00D276AE">
        <w:rPr>
          <w:rFonts w:ascii="Palatino Linotype" w:eastAsia="Palatino Linotype" w:hAnsi="Palatino Linotype" w:cs="Palatino Linotype"/>
          <w:b/>
          <w:color w:val="000000" w:themeColor="text1"/>
        </w:rPr>
        <w:t>os</w:t>
      </w:r>
      <w:r w:rsidR="00E73757" w:rsidRPr="00D276AE">
        <w:rPr>
          <w:rFonts w:ascii="Palatino Linotype" w:eastAsia="Palatino Linotype" w:hAnsi="Palatino Linotype" w:cs="Palatino Linotype"/>
          <w:b/>
          <w:color w:val="000000" w:themeColor="text1"/>
        </w:rPr>
        <w:t xml:space="preserve"> </w:t>
      </w:r>
      <w:r w:rsidR="00E94001" w:rsidRPr="00D276AE">
        <w:rPr>
          <w:rFonts w:ascii="Palatino Linotype" w:eastAsia="Palatino Linotype" w:hAnsi="Palatino Linotype" w:cs="Palatino Linotype"/>
          <w:b/>
          <w:color w:val="000000" w:themeColor="text1"/>
        </w:rPr>
        <w:t>meses de</w:t>
      </w:r>
      <w:r w:rsidR="00E73757" w:rsidRPr="00D276AE">
        <w:rPr>
          <w:rFonts w:ascii="Palatino Linotype" w:eastAsia="Palatino Linotype" w:hAnsi="Palatino Linotype" w:cs="Palatino Linotype"/>
          <w:b/>
          <w:color w:val="000000" w:themeColor="text1"/>
        </w:rPr>
        <w:t xml:space="preserve"> enero</w:t>
      </w:r>
      <w:r w:rsidR="00E94001" w:rsidRPr="00D276AE">
        <w:rPr>
          <w:rFonts w:ascii="Palatino Linotype" w:eastAsia="Palatino Linotype" w:hAnsi="Palatino Linotype" w:cs="Palatino Linotype"/>
          <w:b/>
          <w:color w:val="000000" w:themeColor="text1"/>
        </w:rPr>
        <w:t xml:space="preserve"> y febrero</w:t>
      </w:r>
      <w:r w:rsidR="00E73757" w:rsidRPr="00D276AE">
        <w:rPr>
          <w:rFonts w:ascii="Palatino Linotype" w:eastAsia="Palatino Linotype" w:hAnsi="Palatino Linotype" w:cs="Palatino Linotype"/>
          <w:b/>
          <w:color w:val="000000" w:themeColor="text1"/>
        </w:rPr>
        <w:t xml:space="preserve"> de dos mil veinticinco</w:t>
      </w:r>
      <w:r w:rsidRPr="00D276AE">
        <w:rPr>
          <w:rFonts w:ascii="Palatino Linotype" w:eastAsia="Palatino Linotype" w:hAnsi="Palatino Linotype" w:cs="Palatino Linotype"/>
          <w:b/>
          <w:color w:val="000000" w:themeColor="text1"/>
        </w:rPr>
        <w:t>.</w:t>
      </w:r>
    </w:p>
    <w:p w14:paraId="7BB950DB" w14:textId="77777777" w:rsidR="00955CFD" w:rsidRPr="00D276AE" w:rsidRDefault="00955CFD" w:rsidP="00E16D4D">
      <w:pPr>
        <w:spacing w:line="360" w:lineRule="auto"/>
        <w:jc w:val="both"/>
        <w:rPr>
          <w:rFonts w:ascii="Palatino Linotype" w:eastAsia="Palatino Linotype" w:hAnsi="Palatino Linotype" w:cs="Palatino Linotype"/>
          <w:b/>
          <w:color w:val="000000" w:themeColor="text1"/>
        </w:rPr>
      </w:pPr>
    </w:p>
    <w:p w14:paraId="0F5FE01E" w14:textId="77777777" w:rsidR="00755B82" w:rsidRPr="00D276AE" w:rsidRDefault="00755B82" w:rsidP="00E16D4D">
      <w:pPr>
        <w:tabs>
          <w:tab w:val="left" w:pos="8080"/>
        </w:tabs>
        <w:spacing w:line="360" w:lineRule="auto"/>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D276AE">
        <w:rPr>
          <w:rFonts w:ascii="Palatino Linotype" w:eastAsia="Palatino Linotype" w:hAnsi="Palatino Linotype" w:cs="Palatino Linotype"/>
          <w:b/>
          <w:color w:val="000000" w:themeColor="text1"/>
        </w:rPr>
        <w:t>RECURRENTE</w:t>
      </w:r>
      <w:r w:rsidRPr="00D276AE">
        <w:rPr>
          <w:rFonts w:ascii="Palatino Linotype" w:eastAsia="Palatino Linotype" w:hAnsi="Palatino Linotype" w:cs="Palatino Linotype"/>
          <w:color w:val="000000" w:themeColor="text1"/>
        </w:rPr>
        <w:t>.</w:t>
      </w:r>
    </w:p>
    <w:p w14:paraId="68DD81D6" w14:textId="77777777" w:rsidR="00E86B60" w:rsidRPr="00D276AE" w:rsidRDefault="00E86B60" w:rsidP="00E16D4D">
      <w:pPr>
        <w:tabs>
          <w:tab w:val="left" w:pos="8080"/>
        </w:tabs>
        <w:spacing w:line="360" w:lineRule="auto"/>
        <w:jc w:val="both"/>
        <w:rPr>
          <w:rFonts w:ascii="Palatino Linotype" w:eastAsia="Times New Roman" w:hAnsi="Palatino Linotype" w:cs="Arial"/>
          <w:b/>
          <w:bCs/>
          <w:color w:val="000000" w:themeColor="text1"/>
        </w:rPr>
      </w:pPr>
      <w:bookmarkStart w:id="7" w:name="_Toc503891610"/>
      <w:bookmarkStart w:id="8" w:name="_Toc453696503"/>
      <w:bookmarkStart w:id="9" w:name="_Toc454301156"/>
      <w:bookmarkStart w:id="10" w:name="_Toc462653938"/>
      <w:bookmarkStart w:id="11" w:name="_Toc477891769"/>
      <w:bookmarkStart w:id="12" w:name="_Toc477891859"/>
      <w:bookmarkStart w:id="13" w:name="_Toc481576260"/>
      <w:bookmarkStart w:id="14" w:name="_Toc492590392"/>
      <w:bookmarkStart w:id="15" w:name="_Toc511647758"/>
      <w:bookmarkStart w:id="16" w:name="_Toc511647819"/>
    </w:p>
    <w:p w14:paraId="53540CCD" w14:textId="7BC17F14" w:rsidR="004D5EDF" w:rsidRPr="00D276AE" w:rsidRDefault="00E86B60" w:rsidP="00E16D4D">
      <w:pPr>
        <w:tabs>
          <w:tab w:val="left" w:pos="8080"/>
        </w:tabs>
        <w:spacing w:line="360" w:lineRule="auto"/>
        <w:jc w:val="both"/>
        <w:rPr>
          <w:rFonts w:ascii="Palatino Linotype" w:eastAsia="Times New Roman" w:hAnsi="Palatino Linotype" w:cs="Times New Roman"/>
          <w:color w:val="000000" w:themeColor="text1"/>
          <w:lang w:val="es-MX"/>
        </w:rPr>
      </w:pPr>
      <w:r w:rsidRPr="00D276AE">
        <w:rPr>
          <w:rFonts w:ascii="Palatino Linotype" w:eastAsia="Times New Roman" w:hAnsi="Palatino Linotype" w:cs="Arial"/>
          <w:b/>
          <w:bCs/>
          <w:color w:val="000000" w:themeColor="text1"/>
        </w:rPr>
        <w:t>TERCERO</w:t>
      </w:r>
      <w:r w:rsidR="004D5EDF" w:rsidRPr="00D276AE">
        <w:rPr>
          <w:rFonts w:ascii="Palatino Linotype" w:eastAsia="Times New Roman" w:hAnsi="Palatino Linotype" w:cs="Arial"/>
          <w:color w:val="000000" w:themeColor="text1"/>
        </w:rPr>
        <w:t xml:space="preserve">. </w:t>
      </w:r>
      <w:bookmarkEnd w:id="7"/>
      <w:bookmarkEnd w:id="8"/>
      <w:bookmarkEnd w:id="9"/>
      <w:bookmarkEnd w:id="10"/>
      <w:bookmarkEnd w:id="11"/>
      <w:bookmarkEnd w:id="12"/>
      <w:bookmarkEnd w:id="13"/>
      <w:bookmarkEnd w:id="14"/>
      <w:bookmarkEnd w:id="15"/>
      <w:bookmarkEnd w:id="16"/>
      <w:r w:rsidR="00755B82" w:rsidRPr="00D276AE">
        <w:rPr>
          <w:rFonts w:ascii="Palatino Linotype" w:eastAsia="Times New Roman" w:hAnsi="Palatino Linotype" w:cs="Times New Roman"/>
          <w:b/>
          <w:color w:val="000000" w:themeColor="text1"/>
          <w:lang w:val="es-MX"/>
        </w:rPr>
        <w:t xml:space="preserve">Notifíquese </w:t>
      </w:r>
      <w:r w:rsidR="00755B82" w:rsidRPr="00D276AE">
        <w:rPr>
          <w:rFonts w:ascii="Palatino Linotype" w:eastAsia="Times New Roman" w:hAnsi="Palatino Linotype" w:cs="Times New Roman"/>
          <w:color w:val="000000" w:themeColor="text1"/>
          <w:lang w:val="es-MX"/>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755B82" w:rsidRPr="00D276AE">
        <w:rPr>
          <w:rFonts w:ascii="Palatino Linotype" w:eastAsia="Times New Roman" w:hAnsi="Palatino Linotype" w:cs="Times New Roman"/>
          <w:b/>
          <w:color w:val="000000" w:themeColor="text1"/>
          <w:lang w:val="es-MX"/>
        </w:rPr>
        <w:t>dé cumplimiento a lo ordenado dentro del plazo de diez días hábiles</w:t>
      </w:r>
      <w:r w:rsidR="00755B82" w:rsidRPr="00D276AE">
        <w:rPr>
          <w:rFonts w:ascii="Palatino Linotype" w:eastAsia="Times New Roman" w:hAnsi="Palatino Linotype" w:cs="Times New Roman"/>
          <w:color w:val="000000" w:themeColor="text1"/>
          <w:lang w:val="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7BEF22" w14:textId="77777777" w:rsidR="004D5EDF" w:rsidRPr="00D276AE" w:rsidRDefault="004D5EDF" w:rsidP="00E16D4D">
      <w:pPr>
        <w:shd w:val="clear" w:color="auto" w:fill="FFFFFF"/>
        <w:spacing w:line="360" w:lineRule="auto"/>
        <w:jc w:val="both"/>
        <w:rPr>
          <w:rFonts w:ascii="Palatino Linotype" w:eastAsia="Times New Roman" w:hAnsi="Palatino Linotype" w:cs="Times New Roman"/>
          <w:color w:val="000000" w:themeColor="text1"/>
        </w:rPr>
      </w:pPr>
    </w:p>
    <w:p w14:paraId="4A7C89E0" w14:textId="03A459CE" w:rsidR="000E1361" w:rsidRPr="00D276AE" w:rsidRDefault="000E1361" w:rsidP="000E1361">
      <w:pPr>
        <w:spacing w:line="360" w:lineRule="auto"/>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b/>
          <w:color w:val="000000" w:themeColor="text1"/>
        </w:rPr>
        <w:t xml:space="preserve">CUARTO. </w:t>
      </w:r>
      <w:r w:rsidRPr="00D276A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276AE">
        <w:rPr>
          <w:rFonts w:ascii="Palatino Linotype" w:eastAsia="Palatino Linotype" w:hAnsi="Palatino Linotype" w:cs="Palatino Linotype"/>
          <w:color w:val="000000" w:themeColor="text1"/>
        </w:rPr>
        <w:lastRenderedPageBreak/>
        <w:t>Sujeto Obligado de manera fundada y motivada, podrá solicitar una ampliación de plazo para el cumplimiento de la presente resolución.</w:t>
      </w:r>
    </w:p>
    <w:p w14:paraId="6C711D43" w14:textId="77777777" w:rsidR="000E1361" w:rsidRPr="00D276AE" w:rsidRDefault="000E1361" w:rsidP="00E16D4D">
      <w:pPr>
        <w:shd w:val="clear" w:color="auto" w:fill="FFFFFF"/>
        <w:spacing w:line="360" w:lineRule="auto"/>
        <w:jc w:val="both"/>
        <w:rPr>
          <w:rFonts w:ascii="Palatino Linotype" w:eastAsia="Times New Roman" w:hAnsi="Palatino Linotype" w:cs="Arial"/>
          <w:b/>
          <w:color w:val="000000" w:themeColor="text1"/>
        </w:rPr>
      </w:pPr>
    </w:p>
    <w:p w14:paraId="5F91E34F" w14:textId="176C5DD9" w:rsidR="004D5EDF" w:rsidRPr="00D276AE" w:rsidRDefault="000E1361" w:rsidP="00E16D4D">
      <w:pPr>
        <w:shd w:val="clear" w:color="auto" w:fill="FFFFFF"/>
        <w:spacing w:line="360" w:lineRule="auto"/>
        <w:jc w:val="both"/>
        <w:rPr>
          <w:rFonts w:ascii="Palatino Linotype" w:eastAsia="Times New Roman" w:hAnsi="Palatino Linotype" w:cs="Times New Roman"/>
          <w:color w:val="000000" w:themeColor="text1"/>
        </w:rPr>
      </w:pPr>
      <w:r w:rsidRPr="00D276AE">
        <w:rPr>
          <w:rFonts w:ascii="Palatino Linotype" w:eastAsia="Times New Roman" w:hAnsi="Palatino Linotype" w:cs="Arial"/>
          <w:b/>
          <w:color w:val="000000" w:themeColor="text1"/>
        </w:rPr>
        <w:t>QUINTO</w:t>
      </w:r>
      <w:r w:rsidR="004D5EDF" w:rsidRPr="00D276AE">
        <w:rPr>
          <w:rFonts w:ascii="Palatino Linotype" w:eastAsia="Times New Roman" w:hAnsi="Palatino Linotype" w:cs="Times New Roman"/>
          <w:b/>
          <w:color w:val="000000" w:themeColor="text1"/>
        </w:rPr>
        <w:t>.</w:t>
      </w:r>
      <w:r w:rsidR="004D5EDF" w:rsidRPr="00D276AE">
        <w:rPr>
          <w:rFonts w:ascii="Palatino Linotype" w:eastAsia="Times New Roman" w:hAnsi="Palatino Linotype" w:cs="Times New Roman"/>
          <w:color w:val="000000" w:themeColor="text1"/>
        </w:rPr>
        <w:t xml:space="preserve"> Notifíquese a </w:t>
      </w:r>
      <w:r w:rsidR="004D5EDF" w:rsidRPr="00D276AE">
        <w:rPr>
          <w:rFonts w:ascii="Palatino Linotype" w:eastAsia="Times New Roman" w:hAnsi="Palatino Linotype" w:cs="Times New Roman"/>
          <w:b/>
          <w:color w:val="000000" w:themeColor="text1"/>
        </w:rPr>
        <w:t>EL RECURRENTE</w:t>
      </w:r>
      <w:r w:rsidR="004D5EDF" w:rsidRPr="00D276AE">
        <w:rPr>
          <w:rFonts w:ascii="Palatino Linotype" w:eastAsia="Times New Roman" w:hAnsi="Palatino Linotype" w:cs="Times New Roman"/>
          <w:color w:val="000000" w:themeColor="text1"/>
        </w:rPr>
        <w:t xml:space="preserve"> la presente resolución vía SAIMEX.</w:t>
      </w:r>
    </w:p>
    <w:p w14:paraId="7ACA467B" w14:textId="77777777" w:rsidR="004D5EDF" w:rsidRPr="00D276AE" w:rsidRDefault="004D5EDF" w:rsidP="00E16D4D">
      <w:pPr>
        <w:shd w:val="clear" w:color="auto" w:fill="FFFFFF"/>
        <w:spacing w:line="360" w:lineRule="auto"/>
        <w:jc w:val="both"/>
        <w:rPr>
          <w:rFonts w:ascii="Palatino Linotype" w:eastAsia="Times New Roman" w:hAnsi="Palatino Linotype" w:cs="Times New Roman"/>
          <w:color w:val="000000" w:themeColor="text1"/>
        </w:rPr>
      </w:pPr>
    </w:p>
    <w:p w14:paraId="3CFED565" w14:textId="12857D39" w:rsidR="0089147A" w:rsidRPr="00D276AE" w:rsidRDefault="000E1361" w:rsidP="00E16D4D">
      <w:pPr>
        <w:shd w:val="clear" w:color="auto" w:fill="FFFFFF"/>
        <w:spacing w:line="360" w:lineRule="auto"/>
        <w:jc w:val="both"/>
        <w:rPr>
          <w:rFonts w:ascii="Palatino Linotype" w:eastAsia="Times New Roman" w:hAnsi="Palatino Linotype" w:cs="Times New Roman"/>
          <w:color w:val="000000" w:themeColor="text1"/>
        </w:rPr>
      </w:pPr>
      <w:r w:rsidRPr="00D276AE">
        <w:rPr>
          <w:rFonts w:ascii="Palatino Linotype" w:eastAsia="Times New Roman" w:hAnsi="Palatino Linotype" w:cs="Arial"/>
          <w:b/>
          <w:bCs/>
          <w:color w:val="000000" w:themeColor="text1"/>
          <w:lang w:val="es-MX"/>
        </w:rPr>
        <w:t>SEXTO</w:t>
      </w:r>
      <w:r w:rsidR="004D5EDF" w:rsidRPr="00D276AE">
        <w:rPr>
          <w:rFonts w:ascii="Palatino Linotype" w:eastAsia="Times New Roman" w:hAnsi="Palatino Linotype" w:cs="Times New Roman"/>
          <w:b/>
          <w:color w:val="000000" w:themeColor="text1"/>
        </w:rPr>
        <w:t>.</w:t>
      </w:r>
      <w:r w:rsidR="004D5EDF" w:rsidRPr="00D276AE">
        <w:rPr>
          <w:rFonts w:ascii="Palatino Linotype" w:eastAsia="Times New Roman" w:hAnsi="Palatino Linotype" w:cs="Times New Roman"/>
          <w:color w:val="000000" w:themeColor="text1"/>
        </w:rPr>
        <w:t xml:space="preserve"> Se hace del conocimiento de </w:t>
      </w:r>
      <w:r w:rsidR="004D5EDF" w:rsidRPr="00D276AE">
        <w:rPr>
          <w:rFonts w:ascii="Palatino Linotype" w:eastAsia="Times New Roman" w:hAnsi="Palatino Linotype" w:cs="Times New Roman"/>
          <w:b/>
          <w:color w:val="000000" w:themeColor="text1"/>
        </w:rPr>
        <w:t>EL RECURRENTE</w:t>
      </w:r>
      <w:r w:rsidR="004D5EDF" w:rsidRPr="00D276AE">
        <w:rPr>
          <w:rFonts w:ascii="Palatino Linotype" w:eastAsia="Times New Roman"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4D5EDF" w:rsidRPr="00D276AE">
        <w:rPr>
          <w:rFonts w:ascii="Palatino Linotype" w:eastAsia="Times New Roman" w:hAnsi="Palatino Linotype" w:cs="Times New Roman"/>
          <w:bCs/>
          <w:color w:val="000000" w:themeColor="text1"/>
        </w:rPr>
        <w:t>vía juicio de amparo</w:t>
      </w:r>
      <w:r w:rsidR="004D5EDF" w:rsidRPr="00D276AE">
        <w:rPr>
          <w:rFonts w:ascii="Palatino Linotype" w:eastAsia="Times New Roman" w:hAnsi="Palatino Linotype" w:cs="Times New Roman"/>
          <w:color w:val="000000" w:themeColor="text1"/>
        </w:rPr>
        <w:t> en los términos de las leyes aplicables.</w:t>
      </w:r>
    </w:p>
    <w:p w14:paraId="66FDAC79" w14:textId="77777777" w:rsidR="000E1361" w:rsidRPr="00D276AE" w:rsidRDefault="000E1361" w:rsidP="00E16D4D">
      <w:pPr>
        <w:shd w:val="clear" w:color="auto" w:fill="FFFFFF"/>
        <w:spacing w:line="360" w:lineRule="auto"/>
        <w:jc w:val="both"/>
        <w:rPr>
          <w:rFonts w:ascii="Palatino Linotype" w:eastAsia="Times New Roman" w:hAnsi="Palatino Linotype" w:cs="Times New Roman"/>
          <w:color w:val="000000" w:themeColor="text1"/>
        </w:rPr>
      </w:pPr>
    </w:p>
    <w:p w14:paraId="0154B123" w14:textId="77777777" w:rsidR="00C07B7B" w:rsidRPr="00D276AE" w:rsidRDefault="00C07B7B" w:rsidP="00E16D4D">
      <w:pPr>
        <w:shd w:val="clear" w:color="auto" w:fill="FFFFFF"/>
        <w:spacing w:line="360" w:lineRule="auto"/>
        <w:jc w:val="both"/>
        <w:rPr>
          <w:rFonts w:ascii="Palatino Linotype" w:eastAsia="Times New Roman" w:hAnsi="Palatino Linotype" w:cs="Times New Roman"/>
          <w:color w:val="000000" w:themeColor="text1"/>
        </w:rPr>
      </w:pPr>
    </w:p>
    <w:p w14:paraId="174D4F26" w14:textId="77777777" w:rsidR="00AB5287" w:rsidRPr="00D276AE" w:rsidRDefault="00AB5287" w:rsidP="00E16D4D">
      <w:pPr>
        <w:shd w:val="clear" w:color="auto" w:fill="FFFFFF"/>
        <w:spacing w:line="360" w:lineRule="auto"/>
        <w:jc w:val="both"/>
        <w:rPr>
          <w:rFonts w:ascii="Palatino Linotype" w:eastAsia="Calibri" w:hAnsi="Palatino Linotype"/>
          <w:color w:val="000000" w:themeColor="text1"/>
          <w:lang w:eastAsia="en-US"/>
        </w:rPr>
      </w:pPr>
    </w:p>
    <w:p w14:paraId="62C58FF9" w14:textId="77777777" w:rsidR="00D276AE" w:rsidRPr="00AF4DB5" w:rsidRDefault="00D276AE" w:rsidP="00D276AE">
      <w:pPr>
        <w:spacing w:line="360" w:lineRule="auto"/>
        <w:jc w:val="both"/>
        <w:rPr>
          <w:rFonts w:ascii="Palatino Linotype" w:eastAsia="Palatino Linotype" w:hAnsi="Palatino Linotype" w:cs="Palatino Linotype"/>
          <w:color w:val="000000" w:themeColor="text1"/>
        </w:rPr>
      </w:pPr>
      <w:r w:rsidRPr="00D276AE">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bookmarkStart w:id="17" w:name="_GoBack"/>
      <w:bookmarkEnd w:id="17"/>
    </w:p>
    <w:p w14:paraId="399E2853" w14:textId="77777777" w:rsidR="00E31311" w:rsidRPr="00E16D4D" w:rsidRDefault="00E31311" w:rsidP="00E16D4D">
      <w:pPr>
        <w:spacing w:line="360" w:lineRule="auto"/>
        <w:jc w:val="both"/>
        <w:rPr>
          <w:rFonts w:ascii="Palatino Linotype" w:eastAsia="Palatino Linotype" w:hAnsi="Palatino Linotype" w:cs="Palatino Linotype"/>
          <w:color w:val="000000" w:themeColor="text1"/>
        </w:rPr>
      </w:pPr>
    </w:p>
    <w:p w14:paraId="037DDBE3" w14:textId="77777777" w:rsidR="00E31311" w:rsidRPr="00E16D4D" w:rsidRDefault="00E31311" w:rsidP="00E16D4D">
      <w:pPr>
        <w:spacing w:line="360" w:lineRule="auto"/>
        <w:jc w:val="both"/>
        <w:rPr>
          <w:rFonts w:ascii="Palatino Linotype" w:eastAsia="Palatino Linotype" w:hAnsi="Palatino Linotype" w:cs="Palatino Linotype"/>
          <w:color w:val="000000" w:themeColor="text1"/>
        </w:rPr>
      </w:pPr>
    </w:p>
    <w:p w14:paraId="0E693DE1" w14:textId="77777777" w:rsidR="00E31311" w:rsidRPr="00E16D4D" w:rsidRDefault="00E31311" w:rsidP="00E16D4D">
      <w:pPr>
        <w:spacing w:line="360" w:lineRule="auto"/>
        <w:jc w:val="both"/>
        <w:rPr>
          <w:rFonts w:ascii="Palatino Linotype" w:eastAsia="Palatino Linotype" w:hAnsi="Palatino Linotype" w:cs="Palatino Linotype"/>
          <w:color w:val="000000" w:themeColor="text1"/>
        </w:rPr>
      </w:pPr>
    </w:p>
    <w:p w14:paraId="76778CDE" w14:textId="77777777" w:rsidR="00E31311" w:rsidRPr="00E16D4D" w:rsidRDefault="00E31311" w:rsidP="00E16D4D">
      <w:pPr>
        <w:spacing w:line="360" w:lineRule="auto"/>
        <w:jc w:val="both"/>
        <w:rPr>
          <w:rFonts w:ascii="Palatino Linotype" w:eastAsia="Palatino Linotype" w:hAnsi="Palatino Linotype" w:cs="Palatino Linotype"/>
          <w:color w:val="000000" w:themeColor="text1"/>
        </w:rPr>
      </w:pPr>
    </w:p>
    <w:p w14:paraId="63642053" w14:textId="77777777" w:rsidR="00E31311" w:rsidRPr="00E16D4D" w:rsidRDefault="00E31311" w:rsidP="00E16D4D">
      <w:pPr>
        <w:spacing w:line="360" w:lineRule="auto"/>
        <w:jc w:val="both"/>
        <w:rPr>
          <w:rFonts w:ascii="Palatino Linotype" w:eastAsia="Palatino Linotype" w:hAnsi="Palatino Linotype" w:cs="Palatino Linotype"/>
          <w:color w:val="000000" w:themeColor="text1"/>
        </w:rPr>
      </w:pPr>
    </w:p>
    <w:p w14:paraId="1338FDC7" w14:textId="77777777" w:rsidR="00E31311" w:rsidRPr="00E16D4D" w:rsidRDefault="00E31311" w:rsidP="00E16D4D">
      <w:pPr>
        <w:spacing w:line="360" w:lineRule="auto"/>
        <w:jc w:val="both"/>
        <w:rPr>
          <w:rFonts w:ascii="Palatino Linotype" w:eastAsia="Palatino Linotype" w:hAnsi="Palatino Linotype" w:cs="Palatino Linotype"/>
          <w:color w:val="000000" w:themeColor="text1"/>
        </w:rPr>
      </w:pPr>
    </w:p>
    <w:p w14:paraId="0C6C64CF" w14:textId="77777777" w:rsidR="00E31311" w:rsidRPr="00E16D4D" w:rsidRDefault="00E31311" w:rsidP="00E16D4D">
      <w:pPr>
        <w:spacing w:line="360" w:lineRule="auto"/>
        <w:jc w:val="both"/>
        <w:rPr>
          <w:rFonts w:ascii="Palatino Linotype" w:eastAsia="Palatino Linotype" w:hAnsi="Palatino Linotype" w:cs="Palatino Linotype"/>
          <w:color w:val="000000" w:themeColor="text1"/>
        </w:rPr>
      </w:pPr>
    </w:p>
    <w:p w14:paraId="3563FE71" w14:textId="77777777" w:rsidR="00E31311" w:rsidRPr="00E16D4D" w:rsidRDefault="00E31311" w:rsidP="00E16D4D">
      <w:pPr>
        <w:spacing w:line="360" w:lineRule="auto"/>
        <w:jc w:val="both"/>
        <w:rPr>
          <w:rFonts w:ascii="Palatino Linotype" w:eastAsia="Palatino Linotype" w:hAnsi="Palatino Linotype" w:cs="Palatino Linotype"/>
          <w:color w:val="000000" w:themeColor="text1"/>
        </w:rPr>
      </w:pPr>
    </w:p>
    <w:p w14:paraId="5824F317" w14:textId="77777777" w:rsidR="00E31311" w:rsidRPr="00E16D4D" w:rsidRDefault="00E31311" w:rsidP="00E16D4D">
      <w:pPr>
        <w:spacing w:line="360" w:lineRule="auto"/>
        <w:jc w:val="both"/>
        <w:rPr>
          <w:rFonts w:ascii="Palatino Linotype" w:eastAsia="Palatino Linotype" w:hAnsi="Palatino Linotype" w:cs="Palatino Linotype"/>
          <w:color w:val="000000" w:themeColor="text1"/>
        </w:rPr>
      </w:pPr>
    </w:p>
    <w:p w14:paraId="1C8EA27B" w14:textId="77777777" w:rsidR="00E31311" w:rsidRPr="00E16D4D" w:rsidRDefault="00E31311" w:rsidP="00E16D4D">
      <w:pPr>
        <w:spacing w:line="360" w:lineRule="auto"/>
        <w:rPr>
          <w:rFonts w:ascii="Palatino Linotype" w:eastAsia="Palatino Linotype" w:hAnsi="Palatino Linotype" w:cs="Palatino Linotype"/>
          <w:color w:val="000000" w:themeColor="text1"/>
        </w:rPr>
      </w:pPr>
    </w:p>
    <w:p w14:paraId="26FC1C75" w14:textId="77777777" w:rsidR="00E31311" w:rsidRPr="00E16D4D" w:rsidRDefault="00E31311" w:rsidP="00E16D4D">
      <w:pPr>
        <w:spacing w:line="360" w:lineRule="auto"/>
        <w:rPr>
          <w:rFonts w:ascii="Palatino Linotype" w:eastAsia="Palatino Linotype" w:hAnsi="Palatino Linotype" w:cs="Palatino Linotype"/>
          <w:color w:val="000000" w:themeColor="text1"/>
        </w:rPr>
      </w:pPr>
    </w:p>
    <w:p w14:paraId="30DC6AD4" w14:textId="77777777" w:rsidR="00E31311" w:rsidRPr="00E16D4D" w:rsidRDefault="00E31311" w:rsidP="00E16D4D">
      <w:pPr>
        <w:spacing w:line="360" w:lineRule="auto"/>
        <w:rPr>
          <w:rFonts w:ascii="Palatino Linotype" w:eastAsia="Palatino Linotype" w:hAnsi="Palatino Linotype" w:cs="Palatino Linotype"/>
          <w:color w:val="000000" w:themeColor="text1"/>
        </w:rPr>
      </w:pPr>
    </w:p>
    <w:p w14:paraId="12FB14F2" w14:textId="77777777" w:rsidR="00E31311" w:rsidRPr="00E16D4D" w:rsidRDefault="00E31311" w:rsidP="00E16D4D">
      <w:pPr>
        <w:spacing w:line="360" w:lineRule="auto"/>
        <w:rPr>
          <w:rFonts w:ascii="Palatino Linotype" w:eastAsia="Palatino Linotype" w:hAnsi="Palatino Linotype" w:cs="Palatino Linotype"/>
          <w:color w:val="000000" w:themeColor="text1"/>
        </w:rPr>
      </w:pPr>
    </w:p>
    <w:p w14:paraId="455F37CB" w14:textId="77777777" w:rsidR="00E31311" w:rsidRPr="00E16D4D" w:rsidRDefault="00E31311" w:rsidP="00E16D4D">
      <w:pPr>
        <w:spacing w:line="360" w:lineRule="auto"/>
        <w:rPr>
          <w:rFonts w:ascii="Palatino Linotype" w:eastAsia="Palatino Linotype" w:hAnsi="Palatino Linotype" w:cs="Palatino Linotype"/>
          <w:color w:val="000000" w:themeColor="text1"/>
        </w:rPr>
      </w:pPr>
    </w:p>
    <w:p w14:paraId="331BC84E" w14:textId="0C84C180" w:rsidR="00E31311" w:rsidRPr="00D276AE" w:rsidRDefault="00E31311" w:rsidP="00D276AE">
      <w:pPr>
        <w:tabs>
          <w:tab w:val="left" w:pos="3374"/>
        </w:tabs>
        <w:spacing w:line="360" w:lineRule="auto"/>
        <w:rPr>
          <w:rFonts w:ascii="Palatino Linotype" w:eastAsia="Palatino Linotype" w:hAnsi="Palatino Linotype" w:cs="Palatino Linotype"/>
          <w:color w:val="000000" w:themeColor="text1"/>
        </w:rPr>
      </w:pPr>
    </w:p>
    <w:sectPr w:rsidR="00E31311" w:rsidRPr="00D276AE" w:rsidSect="00E16D4D">
      <w:headerReference w:type="even" r:id="rId13"/>
      <w:headerReference w:type="default" r:id="rId14"/>
      <w:footerReference w:type="default" r:id="rId15"/>
      <w:headerReference w:type="first" r:id="rId16"/>
      <w:footerReference w:type="first" r:id="rId17"/>
      <w:pgSz w:w="12240" w:h="15840"/>
      <w:pgMar w:top="2268" w:right="1325"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DB62C" w14:textId="77777777" w:rsidR="003F34DC" w:rsidRDefault="003F34DC">
      <w:r>
        <w:separator/>
      </w:r>
    </w:p>
  </w:endnote>
  <w:endnote w:type="continuationSeparator" w:id="0">
    <w:p w14:paraId="2EC82553" w14:textId="77777777" w:rsidR="003F34DC" w:rsidRDefault="003F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C1D70" w14:textId="77777777" w:rsidR="00755B82" w:rsidRDefault="00755B8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276AE">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276AE">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14:paraId="01722F47" w14:textId="77777777" w:rsidR="00755B82" w:rsidRDefault="00755B82">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A3FBA" w14:textId="77777777" w:rsidR="00755B82" w:rsidRDefault="00755B8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276A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276AE">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14:paraId="11FBAA20" w14:textId="77777777" w:rsidR="00755B82" w:rsidRDefault="00755B82">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5E61E" w14:textId="77777777" w:rsidR="003F34DC" w:rsidRDefault="003F34DC">
      <w:r>
        <w:separator/>
      </w:r>
    </w:p>
  </w:footnote>
  <w:footnote w:type="continuationSeparator" w:id="0">
    <w:p w14:paraId="48FE7934" w14:textId="77777777" w:rsidR="003F34DC" w:rsidRDefault="003F34DC">
      <w:r>
        <w:continuationSeparator/>
      </w:r>
    </w:p>
  </w:footnote>
  <w:footnote w:id="1">
    <w:p w14:paraId="631263C5" w14:textId="77777777" w:rsidR="000517F2" w:rsidRDefault="000517F2" w:rsidP="000517F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5B4E0015" w14:textId="77777777" w:rsidR="00027932" w:rsidRDefault="00027932" w:rsidP="00027932">
      <w:pP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3">
    <w:p w14:paraId="5A660948" w14:textId="77777777" w:rsidR="00027932" w:rsidRDefault="00027932" w:rsidP="00027932">
      <w:pP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4">
    <w:p w14:paraId="177EFF54" w14:textId="77777777" w:rsidR="00027932" w:rsidRDefault="00027932" w:rsidP="00027932">
      <w:pP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5">
    <w:p w14:paraId="7E15E9C4" w14:textId="77777777" w:rsidR="00027932" w:rsidRDefault="00027932" w:rsidP="00027932">
      <w:pP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1FCF" w14:textId="77777777" w:rsidR="00755B82" w:rsidRDefault="003F34DC">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461A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A3B66" w14:textId="77777777" w:rsidR="00755B82" w:rsidRDefault="00755B82">
    <w:pPr>
      <w:widowControl w:val="0"/>
      <w:pBdr>
        <w:top w:val="nil"/>
        <w:left w:val="nil"/>
        <w:bottom w:val="nil"/>
        <w:right w:val="nil"/>
        <w:between w:val="nil"/>
      </w:pBdr>
      <w:spacing w:line="276" w:lineRule="auto"/>
      <w:rPr>
        <w:rFonts w:eastAsia="Calibri"/>
        <w:color w:val="000000"/>
      </w:rPr>
    </w:pPr>
  </w:p>
  <w:tbl>
    <w:tblPr>
      <w:tblStyle w:val="a0"/>
      <w:tblW w:w="7796" w:type="dxa"/>
      <w:tblInd w:w="2694" w:type="dxa"/>
      <w:tblLayout w:type="fixed"/>
      <w:tblLook w:val="0400" w:firstRow="0" w:lastRow="0" w:firstColumn="0" w:lastColumn="0" w:noHBand="0" w:noVBand="1"/>
    </w:tblPr>
    <w:tblGrid>
      <w:gridCol w:w="2976"/>
      <w:gridCol w:w="4820"/>
    </w:tblGrid>
    <w:tr w:rsidR="00755B82" w:rsidRPr="00E16D4D" w14:paraId="0E439954" w14:textId="77777777" w:rsidTr="00E16D4D">
      <w:trPr>
        <w:trHeight w:val="227"/>
      </w:trPr>
      <w:tc>
        <w:tcPr>
          <w:tcW w:w="2976" w:type="dxa"/>
          <w:vAlign w:val="center"/>
        </w:tcPr>
        <w:p w14:paraId="6D258946" w14:textId="77777777" w:rsidR="00755B82" w:rsidRPr="00E16D4D" w:rsidRDefault="00755B82">
          <w:pPr>
            <w:ind w:right="34"/>
            <w:jc w:val="right"/>
            <w:rPr>
              <w:rFonts w:ascii="Palatino Linotype" w:eastAsia="Palatino Linotype" w:hAnsi="Palatino Linotype" w:cs="Palatino Linotype"/>
              <w:b/>
            </w:rPr>
          </w:pPr>
          <w:r w:rsidRPr="00E16D4D">
            <w:rPr>
              <w:rFonts w:ascii="Palatino Linotype" w:eastAsia="Palatino Linotype" w:hAnsi="Palatino Linotype" w:cs="Palatino Linotype"/>
              <w:b/>
            </w:rPr>
            <w:t>Recurso de Revisión:</w:t>
          </w:r>
        </w:p>
      </w:tc>
      <w:tc>
        <w:tcPr>
          <w:tcW w:w="4820" w:type="dxa"/>
          <w:vAlign w:val="center"/>
        </w:tcPr>
        <w:p w14:paraId="54103EBC" w14:textId="2586EA7A" w:rsidR="00755B82" w:rsidRPr="00E16D4D" w:rsidRDefault="00F816BA" w:rsidP="00E16D4D">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E16D4D">
            <w:rPr>
              <w:rFonts w:ascii="Palatino Linotype" w:eastAsia="Palatino Linotype" w:hAnsi="Palatino Linotype" w:cs="Palatino Linotype"/>
              <w:color w:val="000000"/>
            </w:rPr>
            <w:t>04973</w:t>
          </w:r>
          <w:r w:rsidR="00755B82" w:rsidRPr="00E16D4D">
            <w:rPr>
              <w:rFonts w:ascii="Palatino Linotype" w:eastAsia="Palatino Linotype" w:hAnsi="Palatino Linotype" w:cs="Palatino Linotype"/>
              <w:color w:val="000000"/>
            </w:rPr>
            <w:t>/INFOEM/IP/RR/2025 y acumulados</w:t>
          </w:r>
        </w:p>
      </w:tc>
    </w:tr>
    <w:tr w:rsidR="00755B82" w:rsidRPr="00E16D4D" w14:paraId="4C4A73F8" w14:textId="77777777" w:rsidTr="00E16D4D">
      <w:trPr>
        <w:trHeight w:val="242"/>
      </w:trPr>
      <w:tc>
        <w:tcPr>
          <w:tcW w:w="2976" w:type="dxa"/>
          <w:vAlign w:val="center"/>
        </w:tcPr>
        <w:p w14:paraId="525DD5A0" w14:textId="77777777" w:rsidR="00755B82" w:rsidRPr="00E16D4D" w:rsidRDefault="00755B82">
          <w:pPr>
            <w:ind w:right="34"/>
            <w:jc w:val="right"/>
            <w:rPr>
              <w:rFonts w:ascii="Palatino Linotype" w:eastAsia="Palatino Linotype" w:hAnsi="Palatino Linotype" w:cs="Palatino Linotype"/>
              <w:b/>
            </w:rPr>
          </w:pPr>
          <w:r w:rsidRPr="00E16D4D">
            <w:rPr>
              <w:rFonts w:ascii="Palatino Linotype" w:eastAsia="Palatino Linotype" w:hAnsi="Palatino Linotype" w:cs="Palatino Linotype"/>
              <w:b/>
            </w:rPr>
            <w:t>Sujeto Obligado:</w:t>
          </w:r>
        </w:p>
      </w:tc>
      <w:tc>
        <w:tcPr>
          <w:tcW w:w="4820" w:type="dxa"/>
          <w:vAlign w:val="center"/>
        </w:tcPr>
        <w:p w14:paraId="74D9381C" w14:textId="78DD4084" w:rsidR="00755B82" w:rsidRPr="00E16D4D" w:rsidRDefault="00755B82" w:rsidP="00E16D4D">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E16D4D">
            <w:rPr>
              <w:rFonts w:ascii="Palatino Linotype" w:eastAsia="Palatino Linotype" w:hAnsi="Palatino Linotype" w:cs="Palatino Linotype"/>
              <w:color w:val="000000"/>
            </w:rPr>
            <w:t>Ayuntamiento de T</w:t>
          </w:r>
          <w:r w:rsidR="00F816BA" w:rsidRPr="00E16D4D">
            <w:rPr>
              <w:rFonts w:ascii="Palatino Linotype" w:eastAsia="Palatino Linotype" w:hAnsi="Palatino Linotype" w:cs="Palatino Linotype"/>
              <w:color w:val="000000"/>
            </w:rPr>
            <w:t>oluca</w:t>
          </w:r>
        </w:p>
      </w:tc>
    </w:tr>
    <w:tr w:rsidR="00755B82" w:rsidRPr="00E16D4D" w14:paraId="42BB42D9" w14:textId="77777777" w:rsidTr="00E16D4D">
      <w:trPr>
        <w:trHeight w:val="342"/>
      </w:trPr>
      <w:tc>
        <w:tcPr>
          <w:tcW w:w="2976" w:type="dxa"/>
          <w:vAlign w:val="center"/>
        </w:tcPr>
        <w:p w14:paraId="5F4FDD37" w14:textId="77777777" w:rsidR="00755B82" w:rsidRPr="00E16D4D" w:rsidRDefault="00755B82">
          <w:pPr>
            <w:ind w:right="34"/>
            <w:jc w:val="right"/>
            <w:rPr>
              <w:rFonts w:ascii="Palatino Linotype" w:eastAsia="Palatino Linotype" w:hAnsi="Palatino Linotype" w:cs="Palatino Linotype"/>
              <w:b/>
            </w:rPr>
          </w:pPr>
          <w:r w:rsidRPr="00E16D4D">
            <w:rPr>
              <w:rFonts w:ascii="Palatino Linotype" w:eastAsia="Palatino Linotype" w:hAnsi="Palatino Linotype" w:cs="Palatino Linotype"/>
              <w:b/>
            </w:rPr>
            <w:t>Comisionada Ponente:</w:t>
          </w:r>
        </w:p>
      </w:tc>
      <w:tc>
        <w:tcPr>
          <w:tcW w:w="4820" w:type="dxa"/>
          <w:vAlign w:val="center"/>
        </w:tcPr>
        <w:p w14:paraId="15E664F2" w14:textId="77777777" w:rsidR="00755B82" w:rsidRPr="00E16D4D" w:rsidRDefault="00755B82" w:rsidP="00E16D4D">
          <w:pPr>
            <w:pBdr>
              <w:top w:val="nil"/>
              <w:left w:val="nil"/>
              <w:bottom w:val="nil"/>
              <w:right w:val="nil"/>
              <w:between w:val="nil"/>
            </w:pBdr>
            <w:tabs>
              <w:tab w:val="right" w:pos="8838"/>
            </w:tabs>
            <w:rPr>
              <w:rFonts w:ascii="Palatino Linotype" w:eastAsia="Palatino Linotype" w:hAnsi="Palatino Linotype" w:cs="Palatino Linotype"/>
              <w:color w:val="000000"/>
            </w:rPr>
          </w:pPr>
          <w:r w:rsidRPr="00E16D4D">
            <w:rPr>
              <w:rFonts w:ascii="Palatino Linotype" w:eastAsia="Palatino Linotype" w:hAnsi="Palatino Linotype" w:cs="Palatino Linotype"/>
              <w:color w:val="000000"/>
            </w:rPr>
            <w:t>María del Rosario Mejía Ayala</w:t>
          </w:r>
        </w:p>
      </w:tc>
    </w:tr>
  </w:tbl>
  <w:p w14:paraId="25005BBF" w14:textId="77777777" w:rsidR="00755B82" w:rsidRDefault="003F34DC">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61473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1367" w14:textId="77777777" w:rsidR="00755B82" w:rsidRDefault="00755B82">
    <w:pPr>
      <w:widowControl w:val="0"/>
      <w:pBdr>
        <w:top w:val="nil"/>
        <w:left w:val="nil"/>
        <w:bottom w:val="nil"/>
        <w:right w:val="nil"/>
        <w:between w:val="nil"/>
      </w:pBdr>
      <w:spacing w:line="276" w:lineRule="auto"/>
      <w:rPr>
        <w:rFonts w:eastAsia="Calibri"/>
        <w:color w:val="000000"/>
        <w:sz w:val="14"/>
        <w:szCs w:val="14"/>
      </w:rPr>
    </w:pPr>
  </w:p>
  <w:tbl>
    <w:tblPr>
      <w:tblStyle w:val="a1"/>
      <w:tblW w:w="7796" w:type="dxa"/>
      <w:tblInd w:w="2552" w:type="dxa"/>
      <w:tblLayout w:type="fixed"/>
      <w:tblLook w:val="0400" w:firstRow="0" w:lastRow="0" w:firstColumn="0" w:lastColumn="0" w:noHBand="0" w:noVBand="1"/>
    </w:tblPr>
    <w:tblGrid>
      <w:gridCol w:w="2977"/>
      <w:gridCol w:w="4819"/>
    </w:tblGrid>
    <w:tr w:rsidR="00755B82" w:rsidRPr="00E16D4D" w14:paraId="2BF78497" w14:textId="77777777" w:rsidTr="00E16D4D">
      <w:trPr>
        <w:trHeight w:val="227"/>
      </w:trPr>
      <w:tc>
        <w:tcPr>
          <w:tcW w:w="2977" w:type="dxa"/>
          <w:vAlign w:val="center"/>
        </w:tcPr>
        <w:p w14:paraId="689642E0" w14:textId="77777777" w:rsidR="00755B82" w:rsidRPr="00E16D4D" w:rsidRDefault="00755B82">
          <w:pPr>
            <w:jc w:val="right"/>
            <w:rPr>
              <w:rFonts w:ascii="Palatino Linotype" w:eastAsia="Palatino Linotype" w:hAnsi="Palatino Linotype" w:cs="Palatino Linotype"/>
              <w:b/>
            </w:rPr>
          </w:pPr>
          <w:r w:rsidRPr="00E16D4D">
            <w:rPr>
              <w:rFonts w:ascii="Palatino Linotype" w:eastAsia="Palatino Linotype" w:hAnsi="Palatino Linotype" w:cs="Palatino Linotype"/>
              <w:b/>
            </w:rPr>
            <w:t>Recurso de Revisión:</w:t>
          </w:r>
        </w:p>
      </w:tc>
      <w:tc>
        <w:tcPr>
          <w:tcW w:w="4819" w:type="dxa"/>
          <w:vAlign w:val="center"/>
        </w:tcPr>
        <w:p w14:paraId="67907579" w14:textId="27952ACB" w:rsidR="00755B82" w:rsidRPr="00E16D4D" w:rsidRDefault="00755B82" w:rsidP="00E16D4D">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E16D4D">
            <w:rPr>
              <w:rFonts w:ascii="Palatino Linotype" w:eastAsia="Palatino Linotype" w:hAnsi="Palatino Linotype" w:cs="Palatino Linotype"/>
              <w:color w:val="000000"/>
            </w:rPr>
            <w:t>0</w:t>
          </w:r>
          <w:r w:rsidR="0062093E" w:rsidRPr="00E16D4D">
            <w:rPr>
              <w:rFonts w:ascii="Palatino Linotype" w:eastAsia="Palatino Linotype" w:hAnsi="Palatino Linotype" w:cs="Palatino Linotype"/>
              <w:color w:val="000000"/>
            </w:rPr>
            <w:t>4973</w:t>
          </w:r>
          <w:r w:rsidRPr="00E16D4D">
            <w:rPr>
              <w:rFonts w:ascii="Palatino Linotype" w:eastAsia="Palatino Linotype" w:hAnsi="Palatino Linotype" w:cs="Palatino Linotype"/>
              <w:color w:val="000000"/>
            </w:rPr>
            <w:t xml:space="preserve">/INFOEM/IP/RR/2025 y </w:t>
          </w:r>
          <w:r w:rsidR="00E16D4D">
            <w:rPr>
              <w:rFonts w:ascii="Palatino Linotype" w:eastAsia="Palatino Linotype" w:hAnsi="Palatino Linotype" w:cs="Palatino Linotype"/>
              <w:color w:val="000000"/>
            </w:rPr>
            <w:t>a</w:t>
          </w:r>
          <w:r w:rsidRPr="00E16D4D">
            <w:rPr>
              <w:rFonts w:ascii="Palatino Linotype" w:eastAsia="Palatino Linotype" w:hAnsi="Palatino Linotype" w:cs="Palatino Linotype"/>
              <w:color w:val="000000"/>
            </w:rPr>
            <w:t>cumulados</w:t>
          </w:r>
        </w:p>
      </w:tc>
    </w:tr>
    <w:tr w:rsidR="00755B82" w:rsidRPr="00E16D4D" w14:paraId="4EA6A0AC" w14:textId="77777777" w:rsidTr="00E16D4D">
      <w:trPr>
        <w:trHeight w:val="242"/>
      </w:trPr>
      <w:tc>
        <w:tcPr>
          <w:tcW w:w="2977" w:type="dxa"/>
          <w:vAlign w:val="center"/>
        </w:tcPr>
        <w:p w14:paraId="51A66255" w14:textId="77777777" w:rsidR="00755B82" w:rsidRPr="00E16D4D" w:rsidRDefault="00755B82">
          <w:pPr>
            <w:jc w:val="right"/>
            <w:rPr>
              <w:rFonts w:ascii="Palatino Linotype" w:eastAsia="Palatino Linotype" w:hAnsi="Palatino Linotype" w:cs="Palatino Linotype"/>
              <w:b/>
            </w:rPr>
          </w:pPr>
          <w:r w:rsidRPr="00E16D4D">
            <w:rPr>
              <w:rFonts w:ascii="Palatino Linotype" w:eastAsia="Palatino Linotype" w:hAnsi="Palatino Linotype" w:cs="Palatino Linotype"/>
              <w:b/>
            </w:rPr>
            <w:t>Recurrente:</w:t>
          </w:r>
        </w:p>
      </w:tc>
      <w:tc>
        <w:tcPr>
          <w:tcW w:w="4819" w:type="dxa"/>
        </w:tcPr>
        <w:p w14:paraId="771729AC" w14:textId="63988CBE" w:rsidR="00755B82" w:rsidRPr="00E16D4D" w:rsidRDefault="00755B8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755B82" w:rsidRPr="00E16D4D" w14:paraId="72CE083A" w14:textId="77777777" w:rsidTr="00E16D4D">
      <w:trPr>
        <w:trHeight w:val="342"/>
      </w:trPr>
      <w:tc>
        <w:tcPr>
          <w:tcW w:w="2977" w:type="dxa"/>
          <w:vAlign w:val="center"/>
        </w:tcPr>
        <w:p w14:paraId="696EC39E" w14:textId="77777777" w:rsidR="00755B82" w:rsidRPr="00E16D4D" w:rsidRDefault="00755B82">
          <w:pPr>
            <w:jc w:val="right"/>
            <w:rPr>
              <w:rFonts w:ascii="Palatino Linotype" w:eastAsia="Palatino Linotype" w:hAnsi="Palatino Linotype" w:cs="Palatino Linotype"/>
              <w:b/>
            </w:rPr>
          </w:pPr>
          <w:r w:rsidRPr="00E16D4D">
            <w:rPr>
              <w:rFonts w:ascii="Palatino Linotype" w:eastAsia="Palatino Linotype" w:hAnsi="Palatino Linotype" w:cs="Palatino Linotype"/>
              <w:b/>
            </w:rPr>
            <w:t>Sujeto Obligado:</w:t>
          </w:r>
        </w:p>
      </w:tc>
      <w:tc>
        <w:tcPr>
          <w:tcW w:w="4819" w:type="dxa"/>
          <w:vAlign w:val="center"/>
        </w:tcPr>
        <w:p w14:paraId="59537C22" w14:textId="08F51A59" w:rsidR="00755B82" w:rsidRPr="00E16D4D" w:rsidRDefault="00755B82">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16D4D">
            <w:rPr>
              <w:rFonts w:ascii="Palatino Linotype" w:eastAsia="Palatino Linotype" w:hAnsi="Palatino Linotype" w:cs="Palatino Linotype"/>
              <w:color w:val="000000"/>
            </w:rPr>
            <w:t>Ayuntamiento de T</w:t>
          </w:r>
          <w:r w:rsidR="00F816BA" w:rsidRPr="00E16D4D">
            <w:rPr>
              <w:rFonts w:ascii="Palatino Linotype" w:eastAsia="Palatino Linotype" w:hAnsi="Palatino Linotype" w:cs="Palatino Linotype"/>
              <w:color w:val="000000"/>
            </w:rPr>
            <w:t>oluca</w:t>
          </w:r>
        </w:p>
      </w:tc>
    </w:tr>
    <w:tr w:rsidR="00755B82" w:rsidRPr="00E16D4D" w14:paraId="0B1E75BB" w14:textId="77777777" w:rsidTr="00E16D4D">
      <w:trPr>
        <w:trHeight w:val="342"/>
      </w:trPr>
      <w:tc>
        <w:tcPr>
          <w:tcW w:w="2977" w:type="dxa"/>
          <w:vAlign w:val="center"/>
        </w:tcPr>
        <w:p w14:paraId="651E9E24" w14:textId="77777777" w:rsidR="00755B82" w:rsidRPr="00E16D4D" w:rsidRDefault="00755B82">
          <w:pPr>
            <w:jc w:val="right"/>
            <w:rPr>
              <w:rFonts w:ascii="Palatino Linotype" w:eastAsia="Palatino Linotype" w:hAnsi="Palatino Linotype" w:cs="Palatino Linotype"/>
              <w:b/>
            </w:rPr>
          </w:pPr>
          <w:r w:rsidRPr="00E16D4D">
            <w:rPr>
              <w:rFonts w:ascii="Palatino Linotype" w:eastAsia="Palatino Linotype" w:hAnsi="Palatino Linotype" w:cs="Palatino Linotype"/>
              <w:b/>
            </w:rPr>
            <w:t>Comisionada Ponente:</w:t>
          </w:r>
        </w:p>
      </w:tc>
      <w:tc>
        <w:tcPr>
          <w:tcW w:w="4819" w:type="dxa"/>
          <w:vAlign w:val="center"/>
        </w:tcPr>
        <w:p w14:paraId="62A5BBB2" w14:textId="77777777" w:rsidR="00755B82" w:rsidRPr="00E16D4D" w:rsidRDefault="00755B8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16D4D">
            <w:rPr>
              <w:rFonts w:ascii="Palatino Linotype" w:eastAsia="Palatino Linotype" w:hAnsi="Palatino Linotype" w:cs="Palatino Linotype"/>
              <w:color w:val="000000"/>
            </w:rPr>
            <w:t>María del Rosario Mejía Ayala</w:t>
          </w:r>
        </w:p>
      </w:tc>
    </w:tr>
  </w:tbl>
  <w:p w14:paraId="2A974726" w14:textId="77777777" w:rsidR="00755B82" w:rsidRDefault="003F34DC">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03A0B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E44"/>
    <w:multiLevelType w:val="hybridMultilevel"/>
    <w:tmpl w:val="7152E7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DEA7B0C"/>
    <w:multiLevelType w:val="hybridMultilevel"/>
    <w:tmpl w:val="372029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A7D6BF8"/>
    <w:multiLevelType w:val="hybridMultilevel"/>
    <w:tmpl w:val="BD4490F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5">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0D7F4B"/>
    <w:multiLevelType w:val="multilevel"/>
    <w:tmpl w:val="8C22708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6654D5"/>
    <w:multiLevelType w:val="hybridMultilevel"/>
    <w:tmpl w:val="445CE64C"/>
    <w:lvl w:ilvl="0" w:tplc="413AD85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175F78"/>
    <w:multiLevelType w:val="hybridMultilevel"/>
    <w:tmpl w:val="72EC2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7163173"/>
    <w:multiLevelType w:val="hybridMultilevel"/>
    <w:tmpl w:val="A73E920E"/>
    <w:lvl w:ilvl="0" w:tplc="080A0017">
      <w:start w:val="1"/>
      <w:numFmt w:val="lowerLetter"/>
      <w:lvlText w:val="%1)"/>
      <w:lvlJc w:val="left"/>
      <w:pPr>
        <w:ind w:left="1865" w:hanging="360"/>
      </w:pPr>
    </w:lvl>
    <w:lvl w:ilvl="1" w:tplc="080A0019" w:tentative="1">
      <w:start w:val="1"/>
      <w:numFmt w:val="lowerLetter"/>
      <w:lvlText w:val="%2."/>
      <w:lvlJc w:val="left"/>
      <w:pPr>
        <w:ind w:left="2585" w:hanging="360"/>
      </w:pPr>
    </w:lvl>
    <w:lvl w:ilvl="2" w:tplc="080A001B" w:tentative="1">
      <w:start w:val="1"/>
      <w:numFmt w:val="lowerRoman"/>
      <w:lvlText w:val="%3."/>
      <w:lvlJc w:val="right"/>
      <w:pPr>
        <w:ind w:left="3305" w:hanging="180"/>
      </w:pPr>
    </w:lvl>
    <w:lvl w:ilvl="3" w:tplc="080A000F" w:tentative="1">
      <w:start w:val="1"/>
      <w:numFmt w:val="decimal"/>
      <w:lvlText w:val="%4."/>
      <w:lvlJc w:val="left"/>
      <w:pPr>
        <w:ind w:left="4025" w:hanging="360"/>
      </w:pPr>
    </w:lvl>
    <w:lvl w:ilvl="4" w:tplc="080A0019" w:tentative="1">
      <w:start w:val="1"/>
      <w:numFmt w:val="lowerLetter"/>
      <w:lvlText w:val="%5."/>
      <w:lvlJc w:val="left"/>
      <w:pPr>
        <w:ind w:left="4745" w:hanging="360"/>
      </w:pPr>
    </w:lvl>
    <w:lvl w:ilvl="5" w:tplc="080A001B" w:tentative="1">
      <w:start w:val="1"/>
      <w:numFmt w:val="lowerRoman"/>
      <w:lvlText w:val="%6."/>
      <w:lvlJc w:val="right"/>
      <w:pPr>
        <w:ind w:left="5465" w:hanging="180"/>
      </w:pPr>
    </w:lvl>
    <w:lvl w:ilvl="6" w:tplc="080A000F" w:tentative="1">
      <w:start w:val="1"/>
      <w:numFmt w:val="decimal"/>
      <w:lvlText w:val="%7."/>
      <w:lvlJc w:val="left"/>
      <w:pPr>
        <w:ind w:left="6185" w:hanging="360"/>
      </w:pPr>
    </w:lvl>
    <w:lvl w:ilvl="7" w:tplc="080A0019" w:tentative="1">
      <w:start w:val="1"/>
      <w:numFmt w:val="lowerLetter"/>
      <w:lvlText w:val="%8."/>
      <w:lvlJc w:val="left"/>
      <w:pPr>
        <w:ind w:left="6905" w:hanging="360"/>
      </w:pPr>
    </w:lvl>
    <w:lvl w:ilvl="8" w:tplc="080A001B" w:tentative="1">
      <w:start w:val="1"/>
      <w:numFmt w:val="lowerRoman"/>
      <w:lvlText w:val="%9."/>
      <w:lvlJc w:val="right"/>
      <w:pPr>
        <w:ind w:left="7625" w:hanging="180"/>
      </w:pPr>
    </w:lvl>
  </w:abstractNum>
  <w:abstractNum w:abstractNumId="11">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6D4103"/>
    <w:multiLevelType w:val="multilevel"/>
    <w:tmpl w:val="A5E82BF6"/>
    <w:lvl w:ilvl="0">
      <w:start w:val="1"/>
      <w:numFmt w:val="decimal"/>
      <w:pStyle w:val="Listaconvietas2"/>
      <w:lvlText w:val="%1."/>
      <w:lvlJc w:val="left"/>
      <w:pPr>
        <w:ind w:left="3338"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8646AC"/>
    <w:multiLevelType w:val="hybridMultilevel"/>
    <w:tmpl w:val="C7AEE86A"/>
    <w:lvl w:ilvl="0" w:tplc="8ED05C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60839D1"/>
    <w:multiLevelType w:val="multilevel"/>
    <w:tmpl w:val="560839D1"/>
    <w:lvl w:ilvl="0">
      <w:start w:val="1"/>
      <w:numFmt w:val="decimal"/>
      <w:lvlText w:val="%1."/>
      <w:lvlJc w:val="left"/>
      <w:pPr>
        <w:ind w:left="502" w:hanging="360"/>
      </w:pPr>
      <w:rPr>
        <w:rFonts w:ascii="Palatino Linotype" w:hAnsi="Palatino Linotype" w:hint="default"/>
        <w:b/>
        <w:i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3">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A287CD9"/>
    <w:multiLevelType w:val="hybridMultilevel"/>
    <w:tmpl w:val="9D2AE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A9686B"/>
    <w:multiLevelType w:val="multilevel"/>
    <w:tmpl w:val="AB0C89A4"/>
    <w:lvl w:ilvl="0">
      <w:start w:val="1"/>
      <w:numFmt w:val="bullet"/>
      <w:lvlText w:val="●"/>
      <w:lvlJc w:val="left"/>
      <w:pPr>
        <w:ind w:left="3621" w:hanging="360"/>
      </w:pPr>
      <w:rPr>
        <w:rFonts w:ascii="Noto Sans Symbols" w:eastAsia="Noto Sans Symbols" w:hAnsi="Noto Sans Symbols" w:cs="Noto Sans Symbols"/>
        <w:lang w:val="es-MX"/>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7">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3">
    <w:nsid w:val="7C133C37"/>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2"/>
  </w:num>
  <w:num w:numId="3">
    <w:abstractNumId w:val="11"/>
  </w:num>
  <w:num w:numId="4">
    <w:abstractNumId w:val="26"/>
  </w:num>
  <w:num w:numId="5">
    <w:abstractNumId w:val="2"/>
  </w:num>
  <w:num w:numId="6">
    <w:abstractNumId w:val="3"/>
  </w:num>
  <w:num w:numId="7">
    <w:abstractNumId w:val="31"/>
  </w:num>
  <w:num w:numId="8">
    <w:abstractNumId w:val="4"/>
  </w:num>
  <w:num w:numId="9">
    <w:abstractNumId w:val="13"/>
  </w:num>
  <w:num w:numId="10">
    <w:abstractNumId w:val="12"/>
  </w:num>
  <w:num w:numId="11">
    <w:abstractNumId w:val="18"/>
  </w:num>
  <w:num w:numId="12">
    <w:abstractNumId w:val="16"/>
  </w:num>
  <w:num w:numId="13">
    <w:abstractNumId w:val="23"/>
  </w:num>
  <w:num w:numId="14">
    <w:abstractNumId w:val="15"/>
  </w:num>
  <w:num w:numId="15">
    <w:abstractNumId w:val="17"/>
  </w:num>
  <w:num w:numId="16">
    <w:abstractNumId w:val="9"/>
  </w:num>
  <w:num w:numId="17">
    <w:abstractNumId w:val="25"/>
  </w:num>
  <w:num w:numId="18">
    <w:abstractNumId w:val="29"/>
  </w:num>
  <w:num w:numId="19">
    <w:abstractNumId w:val="24"/>
  </w:num>
  <w:num w:numId="20">
    <w:abstractNumId w:val="27"/>
  </w:num>
  <w:num w:numId="21">
    <w:abstractNumId w:val="10"/>
  </w:num>
  <w:num w:numId="22">
    <w:abstractNumId w:val="1"/>
  </w:num>
  <w:num w:numId="23">
    <w:abstractNumId w:val="19"/>
  </w:num>
  <w:num w:numId="24">
    <w:abstractNumId w:val="21"/>
  </w:num>
  <w:num w:numId="25">
    <w:abstractNumId w:val="32"/>
  </w:num>
  <w:num w:numId="26">
    <w:abstractNumId w:val="5"/>
  </w:num>
  <w:num w:numId="27">
    <w:abstractNumId w:val="3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4"/>
  </w:num>
  <w:num w:numId="34">
    <w:abstractNumId w:val="0"/>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207B5"/>
    <w:rsid w:val="00021E33"/>
    <w:rsid w:val="00027932"/>
    <w:rsid w:val="00035F7A"/>
    <w:rsid w:val="00046609"/>
    <w:rsid w:val="000517F2"/>
    <w:rsid w:val="00053794"/>
    <w:rsid w:val="00065F9B"/>
    <w:rsid w:val="0007156C"/>
    <w:rsid w:val="00086039"/>
    <w:rsid w:val="000A086A"/>
    <w:rsid w:val="000B1552"/>
    <w:rsid w:val="000C7D38"/>
    <w:rsid w:val="000D6EE0"/>
    <w:rsid w:val="000E1361"/>
    <w:rsid w:val="000F1B9D"/>
    <w:rsid w:val="00102426"/>
    <w:rsid w:val="00107B1A"/>
    <w:rsid w:val="00110519"/>
    <w:rsid w:val="001231BF"/>
    <w:rsid w:val="00125BCA"/>
    <w:rsid w:val="00141693"/>
    <w:rsid w:val="00150225"/>
    <w:rsid w:val="001660E4"/>
    <w:rsid w:val="001751BA"/>
    <w:rsid w:val="001A1F32"/>
    <w:rsid w:val="001A54DB"/>
    <w:rsid w:val="001A5A2D"/>
    <w:rsid w:val="001C2DE1"/>
    <w:rsid w:val="001C4076"/>
    <w:rsid w:val="001D1E04"/>
    <w:rsid w:val="001F344C"/>
    <w:rsid w:val="002008D5"/>
    <w:rsid w:val="0021004F"/>
    <w:rsid w:val="00221784"/>
    <w:rsid w:val="00225E9D"/>
    <w:rsid w:val="00250144"/>
    <w:rsid w:val="00271F83"/>
    <w:rsid w:val="002A206D"/>
    <w:rsid w:val="002A7958"/>
    <w:rsid w:val="002D7837"/>
    <w:rsid w:val="002E46FD"/>
    <w:rsid w:val="002F71A2"/>
    <w:rsid w:val="002F7B34"/>
    <w:rsid w:val="003142E9"/>
    <w:rsid w:val="003213C3"/>
    <w:rsid w:val="00345480"/>
    <w:rsid w:val="00360B16"/>
    <w:rsid w:val="00370DEE"/>
    <w:rsid w:val="00383965"/>
    <w:rsid w:val="003906A4"/>
    <w:rsid w:val="003B3844"/>
    <w:rsid w:val="003B42C1"/>
    <w:rsid w:val="003F34DC"/>
    <w:rsid w:val="00405DED"/>
    <w:rsid w:val="004140A4"/>
    <w:rsid w:val="00423492"/>
    <w:rsid w:val="004274A4"/>
    <w:rsid w:val="00487C36"/>
    <w:rsid w:val="00492E9C"/>
    <w:rsid w:val="004B0233"/>
    <w:rsid w:val="004B3254"/>
    <w:rsid w:val="004D5EDF"/>
    <w:rsid w:val="00501215"/>
    <w:rsid w:val="00514616"/>
    <w:rsid w:val="0053019B"/>
    <w:rsid w:val="00533334"/>
    <w:rsid w:val="00552084"/>
    <w:rsid w:val="005706CE"/>
    <w:rsid w:val="0059798B"/>
    <w:rsid w:val="005B0623"/>
    <w:rsid w:val="005B176B"/>
    <w:rsid w:val="005B1F76"/>
    <w:rsid w:val="005B612D"/>
    <w:rsid w:val="005D1B66"/>
    <w:rsid w:val="005D3858"/>
    <w:rsid w:val="005D3ED6"/>
    <w:rsid w:val="005D6F41"/>
    <w:rsid w:val="005E7C16"/>
    <w:rsid w:val="006130D8"/>
    <w:rsid w:val="00617318"/>
    <w:rsid w:val="0062093E"/>
    <w:rsid w:val="00627319"/>
    <w:rsid w:val="00637E77"/>
    <w:rsid w:val="00654D94"/>
    <w:rsid w:val="006663FE"/>
    <w:rsid w:val="00677898"/>
    <w:rsid w:val="006A2025"/>
    <w:rsid w:val="006A7088"/>
    <w:rsid w:val="006B1132"/>
    <w:rsid w:val="006B1EE0"/>
    <w:rsid w:val="006C5D09"/>
    <w:rsid w:val="00720536"/>
    <w:rsid w:val="00741AA8"/>
    <w:rsid w:val="007504D1"/>
    <w:rsid w:val="00755B82"/>
    <w:rsid w:val="00766ED5"/>
    <w:rsid w:val="00767598"/>
    <w:rsid w:val="007731BA"/>
    <w:rsid w:val="00776BC5"/>
    <w:rsid w:val="007A54A5"/>
    <w:rsid w:val="007B2482"/>
    <w:rsid w:val="0080628F"/>
    <w:rsid w:val="00814C93"/>
    <w:rsid w:val="00816086"/>
    <w:rsid w:val="00816A91"/>
    <w:rsid w:val="008538DD"/>
    <w:rsid w:val="00874C3A"/>
    <w:rsid w:val="0089147A"/>
    <w:rsid w:val="008956FE"/>
    <w:rsid w:val="008A63D6"/>
    <w:rsid w:val="008A7920"/>
    <w:rsid w:val="008B645E"/>
    <w:rsid w:val="008C543D"/>
    <w:rsid w:val="008D0878"/>
    <w:rsid w:val="008D7353"/>
    <w:rsid w:val="008E63E2"/>
    <w:rsid w:val="008F4FE8"/>
    <w:rsid w:val="0090601E"/>
    <w:rsid w:val="00917F48"/>
    <w:rsid w:val="00933EC6"/>
    <w:rsid w:val="00955CFD"/>
    <w:rsid w:val="00961B5F"/>
    <w:rsid w:val="00965430"/>
    <w:rsid w:val="009B5A3B"/>
    <w:rsid w:val="009D2AE2"/>
    <w:rsid w:val="009D3D14"/>
    <w:rsid w:val="009F25B7"/>
    <w:rsid w:val="00A170D1"/>
    <w:rsid w:val="00A30B7E"/>
    <w:rsid w:val="00A441F1"/>
    <w:rsid w:val="00A45C7A"/>
    <w:rsid w:val="00A618FC"/>
    <w:rsid w:val="00A739AE"/>
    <w:rsid w:val="00A73D35"/>
    <w:rsid w:val="00A80C86"/>
    <w:rsid w:val="00A87FF1"/>
    <w:rsid w:val="00A94945"/>
    <w:rsid w:val="00AA3CBA"/>
    <w:rsid w:val="00AB5287"/>
    <w:rsid w:val="00AC66DE"/>
    <w:rsid w:val="00AE1941"/>
    <w:rsid w:val="00AE3312"/>
    <w:rsid w:val="00AF767D"/>
    <w:rsid w:val="00B16ACF"/>
    <w:rsid w:val="00B23F95"/>
    <w:rsid w:val="00B366CD"/>
    <w:rsid w:val="00B72F90"/>
    <w:rsid w:val="00B73005"/>
    <w:rsid w:val="00B8054A"/>
    <w:rsid w:val="00B81C16"/>
    <w:rsid w:val="00B8290A"/>
    <w:rsid w:val="00B83E02"/>
    <w:rsid w:val="00BB66B2"/>
    <w:rsid w:val="00BB76B5"/>
    <w:rsid w:val="00BE75E0"/>
    <w:rsid w:val="00C07B7B"/>
    <w:rsid w:val="00C225B1"/>
    <w:rsid w:val="00C41F10"/>
    <w:rsid w:val="00C42379"/>
    <w:rsid w:val="00C54308"/>
    <w:rsid w:val="00C86DBE"/>
    <w:rsid w:val="00CB204B"/>
    <w:rsid w:val="00CC3262"/>
    <w:rsid w:val="00CD2423"/>
    <w:rsid w:val="00CF251E"/>
    <w:rsid w:val="00D227CD"/>
    <w:rsid w:val="00D22B72"/>
    <w:rsid w:val="00D275EF"/>
    <w:rsid w:val="00D276AE"/>
    <w:rsid w:val="00D44622"/>
    <w:rsid w:val="00D5033E"/>
    <w:rsid w:val="00D522AB"/>
    <w:rsid w:val="00D52CBA"/>
    <w:rsid w:val="00D61D82"/>
    <w:rsid w:val="00D746B0"/>
    <w:rsid w:val="00D778A4"/>
    <w:rsid w:val="00D9308A"/>
    <w:rsid w:val="00D93E76"/>
    <w:rsid w:val="00D957BF"/>
    <w:rsid w:val="00DA5CE9"/>
    <w:rsid w:val="00DB5F89"/>
    <w:rsid w:val="00DC2DCE"/>
    <w:rsid w:val="00DC3FEC"/>
    <w:rsid w:val="00DF3B24"/>
    <w:rsid w:val="00DF52FD"/>
    <w:rsid w:val="00DF6E12"/>
    <w:rsid w:val="00DF6EAE"/>
    <w:rsid w:val="00E16D4D"/>
    <w:rsid w:val="00E31311"/>
    <w:rsid w:val="00E31D41"/>
    <w:rsid w:val="00E36803"/>
    <w:rsid w:val="00E37824"/>
    <w:rsid w:val="00E70C45"/>
    <w:rsid w:val="00E73757"/>
    <w:rsid w:val="00E76B45"/>
    <w:rsid w:val="00E85BC6"/>
    <w:rsid w:val="00E86B60"/>
    <w:rsid w:val="00E938F5"/>
    <w:rsid w:val="00E94001"/>
    <w:rsid w:val="00E96261"/>
    <w:rsid w:val="00EA18FD"/>
    <w:rsid w:val="00EC4D71"/>
    <w:rsid w:val="00ED15A2"/>
    <w:rsid w:val="00EE5358"/>
    <w:rsid w:val="00EF13AD"/>
    <w:rsid w:val="00F04A0A"/>
    <w:rsid w:val="00F147EE"/>
    <w:rsid w:val="00F37149"/>
    <w:rsid w:val="00F40924"/>
    <w:rsid w:val="00F816BA"/>
    <w:rsid w:val="00F917EB"/>
    <w:rsid w:val="00F93188"/>
    <w:rsid w:val="00FA4C43"/>
    <w:rsid w:val="00FB567C"/>
    <w:rsid w:val="00FC368F"/>
    <w:rsid w:val="00FF36B4"/>
    <w:rsid w:val="00FF3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14299"/>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F76"/>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paragraph" w:customStyle="1" w:styleId="Default">
    <w:name w:val="Default"/>
    <w:rsid w:val="00AB5287"/>
    <w:pPr>
      <w:autoSpaceDE w:val="0"/>
      <w:autoSpaceDN w:val="0"/>
      <w:adjustRightInd w:val="0"/>
    </w:pPr>
    <w:rPr>
      <w:rFonts w:ascii="Arial" w:eastAsiaTheme="minorHAnsi" w:hAnsi="Arial" w:cs="Arial"/>
      <w:color w:val="000000"/>
      <w:lang w:val="es-MX" w:eastAsia="en-US"/>
    </w:rPr>
  </w:style>
  <w:style w:type="paragraph" w:styleId="Listaconvietas2">
    <w:name w:val="List Bullet 2"/>
    <w:basedOn w:val="Normal"/>
    <w:uiPriority w:val="99"/>
    <w:unhideWhenUsed/>
    <w:qFormat/>
    <w:rsid w:val="00027932"/>
    <w:pPr>
      <w:numPr>
        <w:numId w:val="30"/>
      </w:numPr>
      <w:contextualSpacing/>
    </w:pPr>
    <w:rPr>
      <w:rFonts w:ascii="Times New Roman" w:eastAsia="Times New Roman" w:hAnsi="Times New Roman" w:cs="Times New Roman"/>
      <w:sz w:val="20"/>
      <w:szCs w:val="20"/>
      <w:lang w:val="es-MX" w:eastAsia="es-MX"/>
    </w:rPr>
  </w:style>
  <w:style w:type="paragraph" w:customStyle="1" w:styleId="Citas">
    <w:name w:val="Citas"/>
    <w:basedOn w:val="Normal"/>
    <w:qFormat/>
    <w:rsid w:val="000C7D38"/>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F93188"/>
    <w:rPr>
      <w:color w:val="954F72" w:themeColor="followedHyperlink"/>
      <w:u w:val="single"/>
    </w:rPr>
  </w:style>
  <w:style w:type="character" w:customStyle="1" w:styleId="Mencinsinresolver1">
    <w:name w:val="Mención sin resolver1"/>
    <w:basedOn w:val="Fuentedeprrafopredeter"/>
    <w:uiPriority w:val="99"/>
    <w:semiHidden/>
    <w:unhideWhenUsed/>
    <w:rsid w:val="00F93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2866">
      <w:bodyDiv w:val="1"/>
      <w:marLeft w:val="0"/>
      <w:marRight w:val="0"/>
      <w:marTop w:val="0"/>
      <w:marBottom w:val="0"/>
      <w:divBdr>
        <w:top w:val="none" w:sz="0" w:space="0" w:color="auto"/>
        <w:left w:val="none" w:sz="0" w:space="0" w:color="auto"/>
        <w:bottom w:val="none" w:sz="0" w:space="0" w:color="auto"/>
        <w:right w:val="none" w:sz="0" w:space="0" w:color="auto"/>
      </w:divBdr>
    </w:div>
    <w:div w:id="83578565">
      <w:bodyDiv w:val="1"/>
      <w:marLeft w:val="0"/>
      <w:marRight w:val="0"/>
      <w:marTop w:val="0"/>
      <w:marBottom w:val="0"/>
      <w:divBdr>
        <w:top w:val="none" w:sz="0" w:space="0" w:color="auto"/>
        <w:left w:val="none" w:sz="0" w:space="0" w:color="auto"/>
        <w:bottom w:val="none" w:sz="0" w:space="0" w:color="auto"/>
        <w:right w:val="none" w:sz="0" w:space="0" w:color="auto"/>
      </w:divBdr>
    </w:div>
    <w:div w:id="115681674">
      <w:bodyDiv w:val="1"/>
      <w:marLeft w:val="0"/>
      <w:marRight w:val="0"/>
      <w:marTop w:val="0"/>
      <w:marBottom w:val="0"/>
      <w:divBdr>
        <w:top w:val="none" w:sz="0" w:space="0" w:color="auto"/>
        <w:left w:val="none" w:sz="0" w:space="0" w:color="auto"/>
        <w:bottom w:val="none" w:sz="0" w:space="0" w:color="auto"/>
        <w:right w:val="none" w:sz="0" w:space="0" w:color="auto"/>
      </w:divBdr>
    </w:div>
    <w:div w:id="153688344">
      <w:bodyDiv w:val="1"/>
      <w:marLeft w:val="0"/>
      <w:marRight w:val="0"/>
      <w:marTop w:val="0"/>
      <w:marBottom w:val="0"/>
      <w:divBdr>
        <w:top w:val="none" w:sz="0" w:space="0" w:color="auto"/>
        <w:left w:val="none" w:sz="0" w:space="0" w:color="auto"/>
        <w:bottom w:val="none" w:sz="0" w:space="0" w:color="auto"/>
        <w:right w:val="none" w:sz="0" w:space="0" w:color="auto"/>
      </w:divBdr>
    </w:div>
    <w:div w:id="235675809">
      <w:bodyDiv w:val="1"/>
      <w:marLeft w:val="0"/>
      <w:marRight w:val="0"/>
      <w:marTop w:val="0"/>
      <w:marBottom w:val="0"/>
      <w:divBdr>
        <w:top w:val="none" w:sz="0" w:space="0" w:color="auto"/>
        <w:left w:val="none" w:sz="0" w:space="0" w:color="auto"/>
        <w:bottom w:val="none" w:sz="0" w:space="0" w:color="auto"/>
        <w:right w:val="none" w:sz="0" w:space="0" w:color="auto"/>
      </w:divBdr>
    </w:div>
    <w:div w:id="270628690">
      <w:bodyDiv w:val="1"/>
      <w:marLeft w:val="0"/>
      <w:marRight w:val="0"/>
      <w:marTop w:val="0"/>
      <w:marBottom w:val="0"/>
      <w:divBdr>
        <w:top w:val="none" w:sz="0" w:space="0" w:color="auto"/>
        <w:left w:val="none" w:sz="0" w:space="0" w:color="auto"/>
        <w:bottom w:val="none" w:sz="0" w:space="0" w:color="auto"/>
        <w:right w:val="none" w:sz="0" w:space="0" w:color="auto"/>
      </w:divBdr>
    </w:div>
    <w:div w:id="287392889">
      <w:bodyDiv w:val="1"/>
      <w:marLeft w:val="0"/>
      <w:marRight w:val="0"/>
      <w:marTop w:val="0"/>
      <w:marBottom w:val="0"/>
      <w:divBdr>
        <w:top w:val="none" w:sz="0" w:space="0" w:color="auto"/>
        <w:left w:val="none" w:sz="0" w:space="0" w:color="auto"/>
        <w:bottom w:val="none" w:sz="0" w:space="0" w:color="auto"/>
        <w:right w:val="none" w:sz="0" w:space="0" w:color="auto"/>
      </w:divBdr>
    </w:div>
    <w:div w:id="309749762">
      <w:bodyDiv w:val="1"/>
      <w:marLeft w:val="0"/>
      <w:marRight w:val="0"/>
      <w:marTop w:val="0"/>
      <w:marBottom w:val="0"/>
      <w:divBdr>
        <w:top w:val="none" w:sz="0" w:space="0" w:color="auto"/>
        <w:left w:val="none" w:sz="0" w:space="0" w:color="auto"/>
        <w:bottom w:val="none" w:sz="0" w:space="0" w:color="auto"/>
        <w:right w:val="none" w:sz="0" w:space="0" w:color="auto"/>
      </w:divBdr>
    </w:div>
    <w:div w:id="353769830">
      <w:bodyDiv w:val="1"/>
      <w:marLeft w:val="0"/>
      <w:marRight w:val="0"/>
      <w:marTop w:val="0"/>
      <w:marBottom w:val="0"/>
      <w:divBdr>
        <w:top w:val="none" w:sz="0" w:space="0" w:color="auto"/>
        <w:left w:val="none" w:sz="0" w:space="0" w:color="auto"/>
        <w:bottom w:val="none" w:sz="0" w:space="0" w:color="auto"/>
        <w:right w:val="none" w:sz="0" w:space="0" w:color="auto"/>
      </w:divBdr>
    </w:div>
    <w:div w:id="358967424">
      <w:bodyDiv w:val="1"/>
      <w:marLeft w:val="0"/>
      <w:marRight w:val="0"/>
      <w:marTop w:val="0"/>
      <w:marBottom w:val="0"/>
      <w:divBdr>
        <w:top w:val="none" w:sz="0" w:space="0" w:color="auto"/>
        <w:left w:val="none" w:sz="0" w:space="0" w:color="auto"/>
        <w:bottom w:val="none" w:sz="0" w:space="0" w:color="auto"/>
        <w:right w:val="none" w:sz="0" w:space="0" w:color="auto"/>
      </w:divBdr>
    </w:div>
    <w:div w:id="912930032">
      <w:bodyDiv w:val="1"/>
      <w:marLeft w:val="0"/>
      <w:marRight w:val="0"/>
      <w:marTop w:val="0"/>
      <w:marBottom w:val="0"/>
      <w:divBdr>
        <w:top w:val="none" w:sz="0" w:space="0" w:color="auto"/>
        <w:left w:val="none" w:sz="0" w:space="0" w:color="auto"/>
        <w:bottom w:val="none" w:sz="0" w:space="0" w:color="auto"/>
        <w:right w:val="none" w:sz="0" w:space="0" w:color="auto"/>
      </w:divBdr>
    </w:div>
    <w:div w:id="929002523">
      <w:bodyDiv w:val="1"/>
      <w:marLeft w:val="0"/>
      <w:marRight w:val="0"/>
      <w:marTop w:val="0"/>
      <w:marBottom w:val="0"/>
      <w:divBdr>
        <w:top w:val="none" w:sz="0" w:space="0" w:color="auto"/>
        <w:left w:val="none" w:sz="0" w:space="0" w:color="auto"/>
        <w:bottom w:val="none" w:sz="0" w:space="0" w:color="auto"/>
        <w:right w:val="none" w:sz="0" w:space="0" w:color="auto"/>
      </w:divBdr>
    </w:div>
    <w:div w:id="1029601104">
      <w:bodyDiv w:val="1"/>
      <w:marLeft w:val="0"/>
      <w:marRight w:val="0"/>
      <w:marTop w:val="0"/>
      <w:marBottom w:val="0"/>
      <w:divBdr>
        <w:top w:val="none" w:sz="0" w:space="0" w:color="auto"/>
        <w:left w:val="none" w:sz="0" w:space="0" w:color="auto"/>
        <w:bottom w:val="none" w:sz="0" w:space="0" w:color="auto"/>
        <w:right w:val="none" w:sz="0" w:space="0" w:color="auto"/>
      </w:divBdr>
    </w:div>
    <w:div w:id="1049065720">
      <w:bodyDiv w:val="1"/>
      <w:marLeft w:val="0"/>
      <w:marRight w:val="0"/>
      <w:marTop w:val="0"/>
      <w:marBottom w:val="0"/>
      <w:divBdr>
        <w:top w:val="none" w:sz="0" w:space="0" w:color="auto"/>
        <w:left w:val="none" w:sz="0" w:space="0" w:color="auto"/>
        <w:bottom w:val="none" w:sz="0" w:space="0" w:color="auto"/>
        <w:right w:val="none" w:sz="0" w:space="0" w:color="auto"/>
      </w:divBdr>
    </w:div>
    <w:div w:id="1067728077">
      <w:bodyDiv w:val="1"/>
      <w:marLeft w:val="0"/>
      <w:marRight w:val="0"/>
      <w:marTop w:val="0"/>
      <w:marBottom w:val="0"/>
      <w:divBdr>
        <w:top w:val="none" w:sz="0" w:space="0" w:color="auto"/>
        <w:left w:val="none" w:sz="0" w:space="0" w:color="auto"/>
        <w:bottom w:val="none" w:sz="0" w:space="0" w:color="auto"/>
        <w:right w:val="none" w:sz="0" w:space="0" w:color="auto"/>
      </w:divBdr>
    </w:div>
    <w:div w:id="1228419696">
      <w:bodyDiv w:val="1"/>
      <w:marLeft w:val="0"/>
      <w:marRight w:val="0"/>
      <w:marTop w:val="0"/>
      <w:marBottom w:val="0"/>
      <w:divBdr>
        <w:top w:val="none" w:sz="0" w:space="0" w:color="auto"/>
        <w:left w:val="none" w:sz="0" w:space="0" w:color="auto"/>
        <w:bottom w:val="none" w:sz="0" w:space="0" w:color="auto"/>
        <w:right w:val="none" w:sz="0" w:space="0" w:color="auto"/>
      </w:divBdr>
    </w:div>
    <w:div w:id="1272322716">
      <w:bodyDiv w:val="1"/>
      <w:marLeft w:val="0"/>
      <w:marRight w:val="0"/>
      <w:marTop w:val="0"/>
      <w:marBottom w:val="0"/>
      <w:divBdr>
        <w:top w:val="none" w:sz="0" w:space="0" w:color="auto"/>
        <w:left w:val="none" w:sz="0" w:space="0" w:color="auto"/>
        <w:bottom w:val="none" w:sz="0" w:space="0" w:color="auto"/>
        <w:right w:val="none" w:sz="0" w:space="0" w:color="auto"/>
      </w:divBdr>
    </w:div>
    <w:div w:id="1294555131">
      <w:bodyDiv w:val="1"/>
      <w:marLeft w:val="0"/>
      <w:marRight w:val="0"/>
      <w:marTop w:val="0"/>
      <w:marBottom w:val="0"/>
      <w:divBdr>
        <w:top w:val="none" w:sz="0" w:space="0" w:color="auto"/>
        <w:left w:val="none" w:sz="0" w:space="0" w:color="auto"/>
        <w:bottom w:val="none" w:sz="0" w:space="0" w:color="auto"/>
        <w:right w:val="none" w:sz="0" w:space="0" w:color="auto"/>
      </w:divBdr>
    </w:div>
    <w:div w:id="1312641367">
      <w:bodyDiv w:val="1"/>
      <w:marLeft w:val="0"/>
      <w:marRight w:val="0"/>
      <w:marTop w:val="0"/>
      <w:marBottom w:val="0"/>
      <w:divBdr>
        <w:top w:val="none" w:sz="0" w:space="0" w:color="auto"/>
        <w:left w:val="none" w:sz="0" w:space="0" w:color="auto"/>
        <w:bottom w:val="none" w:sz="0" w:space="0" w:color="auto"/>
        <w:right w:val="none" w:sz="0" w:space="0" w:color="auto"/>
      </w:divBdr>
    </w:div>
    <w:div w:id="1463041216">
      <w:bodyDiv w:val="1"/>
      <w:marLeft w:val="0"/>
      <w:marRight w:val="0"/>
      <w:marTop w:val="0"/>
      <w:marBottom w:val="0"/>
      <w:divBdr>
        <w:top w:val="none" w:sz="0" w:space="0" w:color="auto"/>
        <w:left w:val="none" w:sz="0" w:space="0" w:color="auto"/>
        <w:bottom w:val="none" w:sz="0" w:space="0" w:color="auto"/>
        <w:right w:val="none" w:sz="0" w:space="0" w:color="auto"/>
      </w:divBdr>
    </w:div>
    <w:div w:id="1514344164">
      <w:bodyDiv w:val="1"/>
      <w:marLeft w:val="0"/>
      <w:marRight w:val="0"/>
      <w:marTop w:val="0"/>
      <w:marBottom w:val="0"/>
      <w:divBdr>
        <w:top w:val="none" w:sz="0" w:space="0" w:color="auto"/>
        <w:left w:val="none" w:sz="0" w:space="0" w:color="auto"/>
        <w:bottom w:val="none" w:sz="0" w:space="0" w:color="auto"/>
        <w:right w:val="none" w:sz="0" w:space="0" w:color="auto"/>
      </w:divBdr>
    </w:div>
    <w:div w:id="1528106960">
      <w:bodyDiv w:val="1"/>
      <w:marLeft w:val="0"/>
      <w:marRight w:val="0"/>
      <w:marTop w:val="0"/>
      <w:marBottom w:val="0"/>
      <w:divBdr>
        <w:top w:val="none" w:sz="0" w:space="0" w:color="auto"/>
        <w:left w:val="none" w:sz="0" w:space="0" w:color="auto"/>
        <w:bottom w:val="none" w:sz="0" w:space="0" w:color="auto"/>
        <w:right w:val="none" w:sz="0" w:space="0" w:color="auto"/>
      </w:divBdr>
    </w:div>
    <w:div w:id="1558009180">
      <w:bodyDiv w:val="1"/>
      <w:marLeft w:val="0"/>
      <w:marRight w:val="0"/>
      <w:marTop w:val="0"/>
      <w:marBottom w:val="0"/>
      <w:divBdr>
        <w:top w:val="none" w:sz="0" w:space="0" w:color="auto"/>
        <w:left w:val="none" w:sz="0" w:space="0" w:color="auto"/>
        <w:bottom w:val="none" w:sz="0" w:space="0" w:color="auto"/>
        <w:right w:val="none" w:sz="0" w:space="0" w:color="auto"/>
      </w:divBdr>
    </w:div>
    <w:div w:id="1600529138">
      <w:bodyDiv w:val="1"/>
      <w:marLeft w:val="0"/>
      <w:marRight w:val="0"/>
      <w:marTop w:val="0"/>
      <w:marBottom w:val="0"/>
      <w:divBdr>
        <w:top w:val="none" w:sz="0" w:space="0" w:color="auto"/>
        <w:left w:val="none" w:sz="0" w:space="0" w:color="auto"/>
        <w:bottom w:val="none" w:sz="0" w:space="0" w:color="auto"/>
        <w:right w:val="none" w:sz="0" w:space="0" w:color="auto"/>
      </w:divBdr>
    </w:div>
    <w:div w:id="1606226395">
      <w:bodyDiv w:val="1"/>
      <w:marLeft w:val="0"/>
      <w:marRight w:val="0"/>
      <w:marTop w:val="0"/>
      <w:marBottom w:val="0"/>
      <w:divBdr>
        <w:top w:val="none" w:sz="0" w:space="0" w:color="auto"/>
        <w:left w:val="none" w:sz="0" w:space="0" w:color="auto"/>
        <w:bottom w:val="none" w:sz="0" w:space="0" w:color="auto"/>
        <w:right w:val="none" w:sz="0" w:space="0" w:color="auto"/>
      </w:divBdr>
    </w:div>
    <w:div w:id="1992706594">
      <w:bodyDiv w:val="1"/>
      <w:marLeft w:val="0"/>
      <w:marRight w:val="0"/>
      <w:marTop w:val="0"/>
      <w:marBottom w:val="0"/>
      <w:divBdr>
        <w:top w:val="none" w:sz="0" w:space="0" w:color="auto"/>
        <w:left w:val="none" w:sz="0" w:space="0" w:color="auto"/>
        <w:bottom w:val="none" w:sz="0" w:space="0" w:color="auto"/>
        <w:right w:val="none" w:sz="0" w:space="0" w:color="auto"/>
      </w:divBdr>
    </w:div>
    <w:div w:id="2044556934">
      <w:bodyDiv w:val="1"/>
      <w:marLeft w:val="0"/>
      <w:marRight w:val="0"/>
      <w:marTop w:val="0"/>
      <w:marBottom w:val="0"/>
      <w:divBdr>
        <w:top w:val="none" w:sz="0" w:space="0" w:color="auto"/>
        <w:left w:val="none" w:sz="0" w:space="0" w:color="auto"/>
        <w:bottom w:val="none" w:sz="0" w:space="0" w:color="auto"/>
        <w:right w:val="none" w:sz="0" w:space="0" w:color="auto"/>
      </w:divBdr>
    </w:div>
    <w:div w:id="2056196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lo.tips/download/guia-tecnica-8-la-contabilidad-y-la-cuenta-publica-municip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sat.gob.mx/sitio_internet/informe_tributario/itg2014t2/glosario.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43</Pages>
  <Words>9267</Words>
  <Characters>50972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INFOEM416</cp:lastModifiedBy>
  <cp:revision>15</cp:revision>
  <cp:lastPrinted>2025-06-06T16:35:00Z</cp:lastPrinted>
  <dcterms:created xsi:type="dcterms:W3CDTF">2025-05-27T19:26:00Z</dcterms:created>
  <dcterms:modified xsi:type="dcterms:W3CDTF">2025-06-06T16:35:00Z</dcterms:modified>
</cp:coreProperties>
</file>