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63CC6" w14:textId="77777777" w:rsidR="007C4E3D" w:rsidRPr="00D26524" w:rsidRDefault="00D600C8">
      <w:pPr>
        <w:spacing w:line="360" w:lineRule="auto"/>
        <w:ind w:left="-142"/>
        <w:jc w:val="both"/>
        <w:rPr>
          <w:rFonts w:ascii="Palatino Linotype" w:eastAsia="Palatino Linotype" w:hAnsi="Palatino Linotype" w:cs="Palatino Linotype"/>
          <w:sz w:val="22"/>
          <w:szCs w:val="22"/>
        </w:rPr>
      </w:pPr>
      <w:bookmarkStart w:id="0" w:name="_GoBack"/>
      <w:bookmarkEnd w:id="0"/>
      <w:r w:rsidRPr="00D2652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14:paraId="79B68145" w14:textId="77777777" w:rsidR="007C4E3D" w:rsidRPr="00D26524" w:rsidRDefault="007C4E3D">
      <w:pPr>
        <w:spacing w:line="360" w:lineRule="auto"/>
        <w:ind w:left="-142"/>
        <w:jc w:val="both"/>
        <w:rPr>
          <w:rFonts w:ascii="Palatino Linotype" w:eastAsia="Palatino Linotype" w:hAnsi="Palatino Linotype" w:cs="Palatino Linotype"/>
          <w:sz w:val="22"/>
          <w:szCs w:val="22"/>
        </w:rPr>
      </w:pPr>
    </w:p>
    <w:p w14:paraId="698A3252" w14:textId="77777777" w:rsidR="007C4E3D" w:rsidRPr="00D26524" w:rsidRDefault="00D600C8">
      <w:pPr>
        <w:spacing w:line="360" w:lineRule="auto"/>
        <w:ind w:left="-142"/>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b/>
          <w:bCs/>
          <w:sz w:val="22"/>
          <w:szCs w:val="22"/>
        </w:rPr>
        <w:t>Visto</w:t>
      </w:r>
      <w:r w:rsidRPr="00D26524">
        <w:rPr>
          <w:rFonts w:ascii="Palatino Linotype" w:eastAsia="Palatino Linotype" w:hAnsi="Palatino Linotype" w:cs="Palatino Linotype"/>
          <w:sz w:val="22"/>
          <w:szCs w:val="22"/>
        </w:rPr>
        <w:t xml:space="preserve"> el expediente relativo al recurso de revisión </w:t>
      </w:r>
      <w:r w:rsidRPr="00D26524">
        <w:rPr>
          <w:rFonts w:ascii="Palatino Linotype" w:eastAsia="Palatino Linotype" w:hAnsi="Palatino Linotype" w:cs="Palatino Linotype"/>
          <w:b/>
          <w:bCs/>
          <w:sz w:val="22"/>
          <w:szCs w:val="22"/>
        </w:rPr>
        <w:t>09314/INFOEM/IP/RR/2025</w:t>
      </w:r>
      <w:r w:rsidRPr="00D26524">
        <w:rPr>
          <w:rFonts w:ascii="Palatino Linotype" w:eastAsia="Palatino Linotype" w:hAnsi="Palatino Linotype" w:cs="Palatino Linotype"/>
          <w:sz w:val="22"/>
          <w:szCs w:val="22"/>
        </w:rPr>
        <w:t xml:space="preserve">, interpuesto por </w:t>
      </w:r>
      <w:r w:rsidRPr="00D26524">
        <w:rPr>
          <w:rFonts w:ascii="Palatino Linotype" w:eastAsia="Palatino Linotype" w:hAnsi="Palatino Linotype" w:cs="Palatino Linotype"/>
          <w:b/>
          <w:bCs/>
          <w:sz w:val="22"/>
          <w:szCs w:val="22"/>
        </w:rPr>
        <w:t>una persona usuaria del Sistema de Acceso a la Información Mexiquense</w:t>
      </w:r>
      <w:r w:rsidRPr="00D26524">
        <w:rPr>
          <w:rFonts w:ascii="Palatino Linotype" w:eastAsia="Palatino Linotype" w:hAnsi="Palatino Linotype" w:cs="Palatino Linotype"/>
          <w:sz w:val="22"/>
          <w:szCs w:val="22"/>
        </w:rPr>
        <w:t xml:space="preserve"> en lo sucesivo se le denominará la persona</w:t>
      </w:r>
      <w:r w:rsidRPr="00D26524">
        <w:rPr>
          <w:rFonts w:ascii="Palatino Linotype" w:eastAsia="Palatino Linotype" w:hAnsi="Palatino Linotype" w:cs="Palatino Linotype"/>
          <w:b/>
          <w:bCs/>
          <w:sz w:val="22"/>
          <w:szCs w:val="22"/>
        </w:rPr>
        <w:t xml:space="preserve"> RECURRENTE</w:t>
      </w:r>
      <w:r w:rsidRPr="00D26524">
        <w:rPr>
          <w:rFonts w:ascii="Palatino Linotype" w:eastAsia="Palatino Linotype" w:hAnsi="Palatino Linotype" w:cs="Palatino Linotype"/>
          <w:sz w:val="22"/>
          <w:szCs w:val="22"/>
        </w:rPr>
        <w:t>, en contra de la respuesta a su solicitud de información con número de folio</w:t>
      </w:r>
      <w:r w:rsidRPr="00D26524">
        <w:rPr>
          <w:rFonts w:ascii="Palatino Linotype" w:eastAsia="Palatino Linotype" w:hAnsi="Palatino Linotype" w:cs="Palatino Linotype"/>
          <w:b/>
          <w:bCs/>
          <w:sz w:val="22"/>
          <w:szCs w:val="22"/>
        </w:rPr>
        <w:t xml:space="preserve"> 03409/TOLUCA/IP/2025</w:t>
      </w:r>
      <w:r w:rsidRPr="00D26524">
        <w:rPr>
          <w:rFonts w:ascii="Palatino Linotype" w:eastAsia="Palatino Linotype" w:hAnsi="Palatino Linotype" w:cs="Palatino Linotype"/>
          <w:sz w:val="22"/>
          <w:szCs w:val="22"/>
        </w:rPr>
        <w:t xml:space="preserve">, por parte del </w:t>
      </w:r>
      <w:r w:rsidRPr="00D26524">
        <w:rPr>
          <w:rFonts w:ascii="Palatino Linotype" w:eastAsia="Palatino Linotype" w:hAnsi="Palatino Linotype" w:cs="Palatino Linotype"/>
          <w:b/>
          <w:bCs/>
          <w:sz w:val="22"/>
          <w:szCs w:val="22"/>
        </w:rPr>
        <w:t xml:space="preserve">Ayuntamiento de Toluca </w:t>
      </w:r>
      <w:r w:rsidRPr="00D26524">
        <w:rPr>
          <w:rFonts w:ascii="Palatino Linotype" w:eastAsia="Palatino Linotype" w:hAnsi="Palatino Linotype" w:cs="Palatino Linotype"/>
          <w:sz w:val="22"/>
          <w:szCs w:val="22"/>
        </w:rPr>
        <w:t xml:space="preserve">en lo sucesivo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w:t>
      </w:r>
      <w:r w:rsidRPr="00D26524">
        <w:rPr>
          <w:rFonts w:ascii="Palatino Linotype" w:eastAsia="Palatino Linotype" w:hAnsi="Palatino Linotype" w:cs="Palatino Linotype"/>
          <w:b/>
          <w:bCs/>
          <w:sz w:val="22"/>
          <w:szCs w:val="22"/>
        </w:rPr>
        <w:t xml:space="preserve"> </w:t>
      </w:r>
      <w:r w:rsidRPr="00D26524">
        <w:rPr>
          <w:rFonts w:ascii="Palatino Linotype" w:eastAsia="Palatino Linotype" w:hAnsi="Palatino Linotype" w:cs="Palatino Linotype"/>
          <w:sz w:val="22"/>
          <w:szCs w:val="22"/>
        </w:rPr>
        <w:t>se procede a dictar la presente resolución, con base en los siguientes:</w:t>
      </w:r>
    </w:p>
    <w:p w14:paraId="75B9502C" w14:textId="77777777" w:rsidR="007C4E3D" w:rsidRPr="00D26524" w:rsidRDefault="007C4E3D">
      <w:pPr>
        <w:spacing w:line="360" w:lineRule="auto"/>
        <w:ind w:left="-142"/>
        <w:jc w:val="both"/>
        <w:rPr>
          <w:rFonts w:ascii="Palatino Linotype" w:eastAsia="Palatino Linotype" w:hAnsi="Palatino Linotype" w:cs="Palatino Linotype"/>
          <w:sz w:val="22"/>
          <w:szCs w:val="22"/>
        </w:rPr>
      </w:pPr>
    </w:p>
    <w:p w14:paraId="6145A6C3" w14:textId="77777777" w:rsidR="007C4E3D" w:rsidRPr="00D26524" w:rsidRDefault="00D600C8">
      <w:pPr>
        <w:numPr>
          <w:ilvl w:val="0"/>
          <w:numId w:val="2"/>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b/>
          <w:bCs/>
          <w:sz w:val="22"/>
          <w:szCs w:val="22"/>
        </w:rPr>
        <w:t>A N T E C E D E N T E S:</w:t>
      </w:r>
    </w:p>
    <w:p w14:paraId="481B6D91" w14:textId="77777777" w:rsidR="007C4E3D" w:rsidRPr="00D26524" w:rsidRDefault="007C4E3D">
      <w:pPr>
        <w:pBdr>
          <w:top w:val="nil"/>
          <w:left w:val="nil"/>
          <w:bottom w:val="nil"/>
          <w:right w:val="nil"/>
          <w:between w:val="nil"/>
        </w:pBdr>
        <w:spacing w:line="360" w:lineRule="auto"/>
        <w:ind w:left="-142"/>
        <w:jc w:val="both"/>
        <w:rPr>
          <w:rFonts w:ascii="Palatino Linotype" w:eastAsia="Palatino Linotype" w:hAnsi="Palatino Linotype" w:cs="Palatino Linotype"/>
          <w:b/>
          <w:bCs/>
          <w:sz w:val="22"/>
          <w:szCs w:val="22"/>
        </w:rPr>
      </w:pPr>
    </w:p>
    <w:p w14:paraId="5F472EA3" w14:textId="77777777" w:rsidR="007C4E3D" w:rsidRPr="00D26524" w:rsidRDefault="00D600C8">
      <w:pPr>
        <w:numPr>
          <w:ilvl w:val="1"/>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b/>
          <w:bCs/>
          <w:sz w:val="22"/>
          <w:szCs w:val="22"/>
        </w:rPr>
        <w:t xml:space="preserve">Solicitud de acceso a la información. </w:t>
      </w:r>
      <w:r w:rsidRPr="00D26524">
        <w:rPr>
          <w:rFonts w:ascii="Palatino Linotype" w:eastAsia="Palatino Linotype" w:hAnsi="Palatino Linotype" w:cs="Palatino Linotype"/>
          <w:sz w:val="22"/>
          <w:szCs w:val="22"/>
        </w:rPr>
        <w:t xml:space="preserve">Con fecha </w:t>
      </w:r>
      <w:r w:rsidRPr="00D26524">
        <w:rPr>
          <w:rFonts w:ascii="Palatino Linotype" w:eastAsia="Palatino Linotype" w:hAnsi="Palatino Linotype" w:cs="Palatino Linotype"/>
          <w:b/>
          <w:bCs/>
          <w:sz w:val="22"/>
          <w:szCs w:val="22"/>
        </w:rPr>
        <w:t>doce de junio de dos mil veinticinco</w:t>
      </w:r>
      <w:r w:rsidRPr="00D26524">
        <w:rPr>
          <w:rFonts w:ascii="Palatino Linotype" w:eastAsia="Palatino Linotype" w:hAnsi="Palatino Linotype" w:cs="Palatino Linotype"/>
          <w:sz w:val="22"/>
          <w:szCs w:val="22"/>
        </w:rPr>
        <w:t xml:space="preserve">, la parte </w:t>
      </w:r>
      <w:r w:rsidRPr="00D26524">
        <w:rPr>
          <w:rFonts w:ascii="Palatino Linotype" w:eastAsia="Palatino Linotype" w:hAnsi="Palatino Linotype" w:cs="Palatino Linotype"/>
          <w:b/>
          <w:bCs/>
          <w:sz w:val="22"/>
          <w:szCs w:val="22"/>
        </w:rPr>
        <w:t>RECURRENTE</w:t>
      </w:r>
      <w:r w:rsidRPr="00D26524">
        <w:rPr>
          <w:rFonts w:ascii="Palatino Linotype" w:eastAsia="Palatino Linotype" w:hAnsi="Palatino Linotype" w:cs="Palatino Linotype"/>
          <w:sz w:val="22"/>
          <w:szCs w:val="22"/>
        </w:rPr>
        <w:t xml:space="preserve"> formuló solicitud de acceso a información pública al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a través del Sistema de Acceso a la Información Mexiquense, en adelante </w:t>
      </w:r>
      <w:r w:rsidRPr="00D26524">
        <w:rPr>
          <w:rFonts w:ascii="Palatino Linotype" w:eastAsia="Palatino Linotype" w:hAnsi="Palatino Linotype" w:cs="Palatino Linotype"/>
          <w:b/>
          <w:bCs/>
          <w:sz w:val="22"/>
          <w:szCs w:val="22"/>
        </w:rPr>
        <w:t>SAIMEX</w:t>
      </w:r>
      <w:r w:rsidRPr="00D26524">
        <w:rPr>
          <w:rFonts w:ascii="Palatino Linotype" w:eastAsia="Palatino Linotype" w:hAnsi="Palatino Linotype" w:cs="Palatino Linotype"/>
          <w:sz w:val="22"/>
          <w:szCs w:val="22"/>
        </w:rPr>
        <w:t>, requiriéndole lo siguiente:</w:t>
      </w:r>
    </w:p>
    <w:p w14:paraId="48D510AF" w14:textId="77777777" w:rsidR="007C4E3D" w:rsidRPr="00D26524" w:rsidRDefault="007C4E3D">
      <w:pPr>
        <w:pBdr>
          <w:top w:val="nil"/>
          <w:left w:val="nil"/>
          <w:bottom w:val="nil"/>
          <w:right w:val="nil"/>
          <w:between w:val="nil"/>
        </w:pBdr>
        <w:spacing w:line="276" w:lineRule="auto"/>
        <w:ind w:left="567"/>
        <w:jc w:val="both"/>
        <w:rPr>
          <w:rFonts w:ascii="Palatino Linotype" w:eastAsia="Palatino Linotype" w:hAnsi="Palatino Linotype" w:cs="Palatino Linotype"/>
          <w:b/>
          <w:bCs/>
          <w:sz w:val="22"/>
          <w:szCs w:val="22"/>
        </w:rPr>
      </w:pPr>
    </w:p>
    <w:p w14:paraId="30EDF1E0" w14:textId="77777777" w:rsidR="007C4E3D" w:rsidRPr="00D26524" w:rsidRDefault="00D600C8">
      <w:pPr>
        <w:spacing w:line="276" w:lineRule="auto"/>
        <w:ind w:left="567" w:right="900"/>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t xml:space="preserve"> </w:t>
      </w:r>
      <w:r w:rsidRPr="00D26524">
        <w:rPr>
          <w:rFonts w:ascii="Palatino Linotype" w:eastAsia="Palatino Linotype" w:hAnsi="Palatino Linotype" w:cs="Palatino Linotype"/>
          <w:i/>
          <w:iCs/>
          <w:sz w:val="22"/>
          <w:szCs w:val="22"/>
        </w:rPr>
        <w:t xml:space="preserve">Todos los pagos y erogaciones que ha realizado la tesoreria del 1 de enero al 12 de junio de 2025 con la documentación no se pide una caratura sino cada pago y aqu eprovedor o el motivo del pago a cualquier empresa, persona, servidor o provedor etc.”. </w:t>
      </w:r>
    </w:p>
    <w:p w14:paraId="3364F239" w14:textId="77777777" w:rsidR="007C4E3D" w:rsidRPr="00D26524" w:rsidRDefault="007C4E3D">
      <w:pPr>
        <w:spacing w:line="360" w:lineRule="auto"/>
        <w:ind w:right="900"/>
        <w:jc w:val="both"/>
        <w:rPr>
          <w:rFonts w:ascii="Palatino Linotype" w:eastAsia="Palatino Linotype" w:hAnsi="Palatino Linotype" w:cs="Palatino Linotype"/>
          <w:b/>
          <w:bCs/>
          <w:i/>
          <w:iCs/>
          <w:sz w:val="22"/>
          <w:szCs w:val="22"/>
        </w:rPr>
      </w:pPr>
    </w:p>
    <w:p w14:paraId="42AD3200"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 xml:space="preserve">Modalidad elegida para la entrega de la información: </w:t>
      </w:r>
      <w:r w:rsidRPr="00D26524">
        <w:rPr>
          <w:rFonts w:ascii="Palatino Linotype" w:eastAsia="Palatino Linotype" w:hAnsi="Palatino Linotype" w:cs="Palatino Linotype"/>
          <w:sz w:val="22"/>
          <w:szCs w:val="22"/>
        </w:rPr>
        <w:t>a través del Sistema de Acceso a la Información Mexiquense.</w:t>
      </w:r>
    </w:p>
    <w:p w14:paraId="0963F3CF" w14:textId="77777777" w:rsidR="007C4E3D" w:rsidRPr="00D26524" w:rsidRDefault="007C4E3D">
      <w:pPr>
        <w:pBdr>
          <w:top w:val="nil"/>
          <w:left w:val="nil"/>
          <w:bottom w:val="nil"/>
          <w:right w:val="nil"/>
          <w:between w:val="nil"/>
        </w:pBdr>
        <w:spacing w:line="276" w:lineRule="auto"/>
        <w:ind w:right="579"/>
        <w:jc w:val="both"/>
        <w:rPr>
          <w:rFonts w:ascii="Palatino Linotype" w:eastAsia="Palatino Linotype" w:hAnsi="Palatino Linotype" w:cs="Palatino Linotype"/>
          <w:i/>
          <w:iCs/>
          <w:sz w:val="22"/>
          <w:szCs w:val="22"/>
        </w:rPr>
      </w:pPr>
    </w:p>
    <w:p w14:paraId="5A8CFC74" w14:textId="77777777" w:rsidR="007C4E3D" w:rsidRPr="00D26524" w:rsidRDefault="00D600C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bookmarkStart w:id="1" w:name="_heading=h.3znysh7" w:colFirst="0" w:colLast="0"/>
      <w:bookmarkEnd w:id="1"/>
      <w:r w:rsidRPr="00D26524">
        <w:rPr>
          <w:rFonts w:ascii="Palatino Linotype" w:eastAsia="Palatino Linotype" w:hAnsi="Palatino Linotype" w:cs="Palatino Linotype"/>
          <w:b/>
          <w:bCs/>
          <w:sz w:val="22"/>
          <w:szCs w:val="22"/>
        </w:rPr>
        <w:t xml:space="preserve">Respuesta. </w:t>
      </w:r>
      <w:r w:rsidRPr="00D26524">
        <w:rPr>
          <w:rFonts w:ascii="Palatino Linotype" w:eastAsia="Palatino Linotype" w:hAnsi="Palatino Linotype" w:cs="Palatino Linotype"/>
          <w:sz w:val="22"/>
          <w:szCs w:val="22"/>
        </w:rPr>
        <w:t xml:space="preserve">Con fecha </w:t>
      </w:r>
      <w:r w:rsidRPr="00D26524">
        <w:rPr>
          <w:rFonts w:ascii="Palatino Linotype" w:eastAsia="Palatino Linotype" w:hAnsi="Palatino Linotype" w:cs="Palatino Linotype"/>
          <w:b/>
          <w:bCs/>
          <w:sz w:val="22"/>
          <w:szCs w:val="22"/>
        </w:rPr>
        <w:t>tres de julio de dos mil veinticinco</w:t>
      </w:r>
      <w:r w:rsidRPr="00D26524">
        <w:rPr>
          <w:rFonts w:ascii="Palatino Linotype" w:eastAsia="Palatino Linotype" w:hAnsi="Palatino Linotype" w:cs="Palatino Linotype"/>
          <w:sz w:val="22"/>
          <w:szCs w:val="22"/>
        </w:rPr>
        <w:t xml:space="preserve">,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envió su respuesta a la solicitud de acceso a la información a través del SAIMEX, la cual fue previamente del conocimiento de las partes. </w:t>
      </w:r>
    </w:p>
    <w:p w14:paraId="6DBDC714" w14:textId="77777777" w:rsidR="007C4E3D" w:rsidRPr="00D26524" w:rsidRDefault="007C4E3D">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248B3B69" w14:textId="77777777" w:rsidR="007C4E3D" w:rsidRPr="00D26524" w:rsidRDefault="00D600C8">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 xml:space="preserve">Interposición del recurso de revisión. </w:t>
      </w:r>
      <w:r w:rsidRPr="00D26524">
        <w:rPr>
          <w:rFonts w:ascii="Palatino Linotype" w:eastAsia="Palatino Linotype" w:hAnsi="Palatino Linotype" w:cs="Palatino Linotype"/>
          <w:sz w:val="22"/>
          <w:szCs w:val="22"/>
        </w:rPr>
        <w:t xml:space="preserve">Inconforme con la respuesta del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la persona</w:t>
      </w:r>
      <w:r w:rsidRPr="00D26524">
        <w:rPr>
          <w:rFonts w:ascii="Palatino Linotype" w:eastAsia="Palatino Linotype" w:hAnsi="Palatino Linotype" w:cs="Palatino Linotype"/>
          <w:b/>
          <w:bCs/>
          <w:sz w:val="22"/>
          <w:szCs w:val="22"/>
        </w:rPr>
        <w:t xml:space="preserve"> RECURRENTE</w:t>
      </w:r>
      <w:r w:rsidRPr="00D26524">
        <w:rPr>
          <w:rFonts w:ascii="Palatino Linotype" w:eastAsia="Palatino Linotype" w:hAnsi="Palatino Linotype" w:cs="Palatino Linotype"/>
          <w:sz w:val="22"/>
          <w:szCs w:val="22"/>
        </w:rPr>
        <w:t xml:space="preserve"> interpuso recurso de revisión a través del Sistema de </w:t>
      </w:r>
      <w:r w:rsidRPr="00D26524">
        <w:rPr>
          <w:rFonts w:ascii="Palatino Linotype" w:eastAsia="Palatino Linotype" w:hAnsi="Palatino Linotype" w:cs="Palatino Linotype"/>
          <w:sz w:val="22"/>
          <w:szCs w:val="22"/>
        </w:rPr>
        <w:lastRenderedPageBreak/>
        <w:t xml:space="preserve">Acceso a la Información Mexiquense en fecha </w:t>
      </w:r>
      <w:r w:rsidRPr="00D26524">
        <w:rPr>
          <w:rFonts w:ascii="Palatino Linotype" w:eastAsia="Palatino Linotype" w:hAnsi="Palatino Linotype" w:cs="Palatino Linotype"/>
          <w:b/>
          <w:bCs/>
          <w:sz w:val="22"/>
          <w:szCs w:val="22"/>
        </w:rPr>
        <w:t>siete de agosto de dos mil veinticinco</w:t>
      </w:r>
      <w:r w:rsidRPr="00D26524">
        <w:rPr>
          <w:rFonts w:ascii="Palatino Linotype" w:eastAsia="Palatino Linotype" w:hAnsi="Palatino Linotype" w:cs="Palatino Linotype"/>
          <w:sz w:val="22"/>
          <w:szCs w:val="22"/>
        </w:rPr>
        <w:t>, a través del cual expresó lo siguiente:</w:t>
      </w:r>
    </w:p>
    <w:p w14:paraId="0C72E96A" w14:textId="77777777" w:rsidR="007C4E3D" w:rsidRPr="00D26524" w:rsidRDefault="007C4E3D">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2F7138D0" w14:textId="77777777" w:rsidR="007C4E3D" w:rsidRPr="00D26524" w:rsidRDefault="00D600C8">
      <w:pPr>
        <w:spacing w:line="276" w:lineRule="auto"/>
        <w:ind w:left="567" w:right="693"/>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sz w:val="22"/>
          <w:szCs w:val="22"/>
        </w:rPr>
        <w:t xml:space="preserve">Acto impugnado. </w:t>
      </w:r>
      <w:r w:rsidRPr="00D26524">
        <w:rPr>
          <w:rFonts w:ascii="Palatino Linotype" w:eastAsia="Palatino Linotype" w:hAnsi="Palatino Linotype" w:cs="Palatino Linotype"/>
          <w:i/>
          <w:iCs/>
          <w:sz w:val="22"/>
          <w:szCs w:val="22"/>
        </w:rPr>
        <w:t xml:space="preserve">“Solo saber negar la información no entrega los solicitado son el municipio más opaco”. </w:t>
      </w:r>
    </w:p>
    <w:p w14:paraId="259D4AF9" w14:textId="77777777" w:rsidR="007C4E3D" w:rsidRPr="00D26524" w:rsidRDefault="007C4E3D">
      <w:pPr>
        <w:pBdr>
          <w:top w:val="nil"/>
          <w:left w:val="nil"/>
          <w:bottom w:val="nil"/>
          <w:right w:val="nil"/>
          <w:between w:val="nil"/>
        </w:pBdr>
        <w:spacing w:line="276" w:lineRule="auto"/>
        <w:ind w:right="693"/>
        <w:jc w:val="both"/>
        <w:rPr>
          <w:rFonts w:ascii="Palatino Linotype" w:eastAsia="Palatino Linotype" w:hAnsi="Palatino Linotype" w:cs="Palatino Linotype"/>
          <w:b/>
          <w:bCs/>
          <w:sz w:val="22"/>
          <w:szCs w:val="22"/>
        </w:rPr>
      </w:pPr>
    </w:p>
    <w:p w14:paraId="1E51E9E8" w14:textId="77777777" w:rsidR="007C4E3D" w:rsidRPr="00D26524" w:rsidRDefault="00D600C8">
      <w:pPr>
        <w:pBdr>
          <w:top w:val="nil"/>
          <w:left w:val="nil"/>
          <w:bottom w:val="nil"/>
          <w:right w:val="nil"/>
          <w:between w:val="nil"/>
        </w:pBdr>
        <w:spacing w:line="276" w:lineRule="auto"/>
        <w:ind w:left="567" w:right="693"/>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sz w:val="22"/>
          <w:szCs w:val="22"/>
        </w:rPr>
        <w:t xml:space="preserve">Motivos de inconformidad. </w:t>
      </w:r>
      <w:r w:rsidRPr="00D26524">
        <w:rPr>
          <w:rFonts w:ascii="Palatino Linotype" w:eastAsia="Palatino Linotype" w:hAnsi="Palatino Linotype" w:cs="Palatino Linotype"/>
          <w:i/>
          <w:iCs/>
          <w:sz w:val="22"/>
          <w:szCs w:val="22"/>
        </w:rPr>
        <w:t xml:space="preserve">“Solo saber negar la información no entrega los solicitado son el municipio más opaco”. </w:t>
      </w:r>
    </w:p>
    <w:p w14:paraId="47872CA4" w14:textId="77777777" w:rsidR="007C4E3D" w:rsidRPr="00D26524" w:rsidRDefault="007C4E3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C874BC" w14:textId="77777777" w:rsidR="007C4E3D" w:rsidRPr="00D26524" w:rsidRDefault="00D600C8">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 xml:space="preserve">Turno. </w:t>
      </w:r>
      <w:r w:rsidRPr="00D2652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D26524">
        <w:rPr>
          <w:rFonts w:ascii="Palatino Linotype" w:eastAsia="Palatino Linotype" w:hAnsi="Palatino Linotype" w:cs="Palatino Linotype"/>
          <w:b/>
          <w:bCs/>
          <w:sz w:val="22"/>
          <w:szCs w:val="22"/>
        </w:rPr>
        <w:t>09314/INFOEM/IP/RR/2025</w:t>
      </w:r>
      <w:r w:rsidRPr="00D2652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26524">
        <w:rPr>
          <w:rFonts w:ascii="Palatino Linotype" w:eastAsia="Palatino Linotype" w:hAnsi="Palatino Linotype" w:cs="Palatino Linotype"/>
          <w:b/>
          <w:bCs/>
          <w:sz w:val="22"/>
          <w:szCs w:val="22"/>
        </w:rPr>
        <w:t>Guadalupe Ramírez Peña</w:t>
      </w:r>
      <w:r w:rsidRPr="00D26524">
        <w:rPr>
          <w:rFonts w:ascii="Palatino Linotype" w:eastAsia="Palatino Linotype" w:hAnsi="Palatino Linotype" w:cs="Palatino Linotype"/>
          <w:sz w:val="22"/>
          <w:szCs w:val="22"/>
        </w:rPr>
        <w:t>, para su análisis, estudio, elaboración del proyecto y presentación ante el Pleno de este Instituto.</w:t>
      </w:r>
    </w:p>
    <w:p w14:paraId="50330C04"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160C660" w14:textId="77777777" w:rsidR="007C4E3D" w:rsidRPr="00D26524" w:rsidRDefault="00D600C8">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D26524">
        <w:rPr>
          <w:rFonts w:ascii="Palatino Linotype" w:eastAsia="Palatino Linotype" w:hAnsi="Palatino Linotype" w:cs="Palatino Linotype"/>
          <w:b/>
          <w:bCs/>
          <w:sz w:val="22"/>
          <w:szCs w:val="22"/>
        </w:rPr>
        <w:t xml:space="preserve">Admisión del recurso de revisión: </w:t>
      </w:r>
      <w:r w:rsidRPr="00D26524">
        <w:rPr>
          <w:rFonts w:ascii="Palatino Linotype" w:eastAsia="Palatino Linotype" w:hAnsi="Palatino Linotype" w:cs="Palatino Linotype"/>
          <w:sz w:val="22"/>
          <w:szCs w:val="22"/>
        </w:rPr>
        <w:t xml:space="preserve">En fecha </w:t>
      </w:r>
      <w:r w:rsidRPr="00D26524">
        <w:rPr>
          <w:rFonts w:ascii="Palatino Linotype" w:eastAsia="Palatino Linotype" w:hAnsi="Palatino Linotype" w:cs="Palatino Linotype"/>
          <w:b/>
          <w:bCs/>
          <w:sz w:val="22"/>
          <w:szCs w:val="22"/>
        </w:rPr>
        <w:t>doce de agosto de dos mil veinticinco</w:t>
      </w:r>
      <w:r w:rsidRPr="00D26524">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presentara su informe justificado.</w:t>
      </w:r>
    </w:p>
    <w:p w14:paraId="08A73150"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11B74C6" w14:textId="77777777" w:rsidR="007C4E3D" w:rsidRPr="00D26524" w:rsidRDefault="00D600C8">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0"/>
          <w:szCs w:val="20"/>
        </w:rPr>
      </w:pPr>
      <w:r w:rsidRPr="00D26524">
        <w:rPr>
          <w:rFonts w:ascii="Palatino Linotype" w:eastAsia="Palatino Linotype" w:hAnsi="Palatino Linotype" w:cs="Palatino Linotype"/>
          <w:b/>
          <w:bCs/>
          <w:sz w:val="22"/>
          <w:szCs w:val="22"/>
        </w:rPr>
        <w:t>Manifestaciones</w:t>
      </w:r>
      <w:r w:rsidRPr="00D26524">
        <w:rPr>
          <w:rFonts w:ascii="Palatino Linotype" w:eastAsia="Palatino Linotype" w:hAnsi="Palatino Linotype" w:cs="Palatino Linotype"/>
          <w:sz w:val="22"/>
          <w:szCs w:val="22"/>
        </w:rPr>
        <w:t xml:space="preserve">. En fecha </w:t>
      </w:r>
      <w:r w:rsidRPr="00D26524">
        <w:rPr>
          <w:rFonts w:ascii="Palatino Linotype" w:eastAsia="Palatino Linotype" w:hAnsi="Palatino Linotype" w:cs="Palatino Linotype"/>
          <w:b/>
          <w:bCs/>
          <w:sz w:val="22"/>
          <w:szCs w:val="22"/>
        </w:rPr>
        <w:t>veintiuno de agosto de dos mil veinticinco</w:t>
      </w:r>
      <w:r w:rsidRPr="00D26524">
        <w:rPr>
          <w:rFonts w:ascii="Palatino Linotype" w:eastAsia="Palatino Linotype" w:hAnsi="Palatino Linotype" w:cs="Palatino Linotype"/>
          <w:sz w:val="22"/>
          <w:szCs w:val="22"/>
        </w:rPr>
        <w:t xml:space="preserve">, el </w:t>
      </w:r>
      <w:r w:rsidRPr="00D26524">
        <w:rPr>
          <w:rFonts w:ascii="Palatino Linotype" w:eastAsia="Palatino Linotype" w:hAnsi="Palatino Linotype" w:cs="Palatino Linotype"/>
          <w:b/>
          <w:bCs/>
          <w:sz w:val="22"/>
          <w:szCs w:val="22"/>
        </w:rPr>
        <w:t xml:space="preserve">SUJETO OBLIGADO </w:t>
      </w:r>
      <w:r w:rsidRPr="00D26524">
        <w:rPr>
          <w:rFonts w:ascii="Palatino Linotype" w:eastAsia="Palatino Linotype" w:hAnsi="Palatino Linotype" w:cs="Palatino Linotype"/>
          <w:sz w:val="22"/>
          <w:szCs w:val="22"/>
        </w:rPr>
        <w:t xml:space="preserve">ratificó su respuesta inicial. </w:t>
      </w:r>
    </w:p>
    <w:p w14:paraId="655B97EF"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0"/>
          <w:szCs w:val="20"/>
        </w:rPr>
      </w:pPr>
    </w:p>
    <w:p w14:paraId="05E09B06" w14:textId="77777777" w:rsidR="007C4E3D" w:rsidRPr="00D26524" w:rsidRDefault="00D600C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sz w:val="22"/>
          <w:szCs w:val="22"/>
        </w:rPr>
        <w:t xml:space="preserve">Los documentos se hicieron del conocimiento el </w:t>
      </w:r>
      <w:r w:rsidRPr="00D26524">
        <w:rPr>
          <w:rFonts w:ascii="Palatino Linotype" w:eastAsia="Palatino Linotype" w:hAnsi="Palatino Linotype" w:cs="Palatino Linotype"/>
          <w:b/>
          <w:bCs/>
          <w:sz w:val="22"/>
          <w:szCs w:val="22"/>
        </w:rPr>
        <w:t xml:space="preserve">cuatro de diciembre de dos mil veinticinco. </w:t>
      </w:r>
    </w:p>
    <w:p w14:paraId="14A7D793"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sz w:val="22"/>
          <w:szCs w:val="22"/>
        </w:rPr>
      </w:pPr>
    </w:p>
    <w:p w14:paraId="0605E431" w14:textId="77777777" w:rsidR="007C4E3D" w:rsidRPr="00D26524" w:rsidRDefault="00D600C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La parte Recurrente no realizó manifestaciones. </w:t>
      </w:r>
    </w:p>
    <w:p w14:paraId="2B0FF1B6"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DB898A7" w14:textId="77777777" w:rsidR="007C4E3D" w:rsidRPr="00D26524" w:rsidRDefault="00D600C8">
      <w:pPr>
        <w:numPr>
          <w:ilvl w:val="0"/>
          <w:numId w:val="3"/>
        </w:numPr>
        <w:pBdr>
          <w:top w:val="nil"/>
          <w:left w:val="nil"/>
          <w:bottom w:val="nil"/>
          <w:right w:val="nil"/>
          <w:between w:val="nil"/>
        </w:pBdr>
        <w:tabs>
          <w:tab w:val="left" w:pos="284"/>
          <w:tab w:val="left" w:pos="426"/>
        </w:tabs>
        <w:spacing w:line="360" w:lineRule="auto"/>
        <w:ind w:left="0" w:firstLine="0"/>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b/>
          <w:bCs/>
          <w:sz w:val="22"/>
          <w:szCs w:val="22"/>
        </w:rPr>
        <w:lastRenderedPageBreak/>
        <w:t xml:space="preserve">Ampliación de plazo. </w:t>
      </w:r>
      <w:r w:rsidRPr="00D26524">
        <w:rPr>
          <w:rFonts w:ascii="Palatino Linotype" w:eastAsia="Palatino Linotype" w:hAnsi="Palatino Linotype" w:cs="Palatino Linotype"/>
          <w:sz w:val="22"/>
          <w:szCs w:val="22"/>
        </w:rPr>
        <w:t xml:space="preserve">El </w:t>
      </w:r>
      <w:r w:rsidRPr="00D26524">
        <w:rPr>
          <w:rFonts w:ascii="Palatino Linotype" w:eastAsia="Palatino Linotype" w:hAnsi="Palatino Linotype" w:cs="Palatino Linotype"/>
          <w:b/>
          <w:bCs/>
          <w:sz w:val="22"/>
          <w:szCs w:val="22"/>
        </w:rPr>
        <w:t>cuatro de diciembre de dos mil veinticinco</w:t>
      </w:r>
      <w:r w:rsidRPr="00D26524">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DC507B9" w14:textId="77777777" w:rsidR="007C4E3D" w:rsidRPr="00D26524" w:rsidRDefault="007C4E3D">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b/>
          <w:bCs/>
          <w:sz w:val="22"/>
          <w:szCs w:val="22"/>
        </w:rPr>
      </w:pPr>
    </w:p>
    <w:p w14:paraId="1AC621DF"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E0E1D70"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 </w:t>
      </w:r>
    </w:p>
    <w:p w14:paraId="3E8C18B8"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F9D2C2E"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6BB49250"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5DEA59"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72F3FF5E"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598AB58"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1CF1FB8E"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A4C2CFD"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27669471" w14:textId="77777777" w:rsidR="007C4E3D" w:rsidRPr="00D26524" w:rsidRDefault="00D600C8">
      <w:pPr>
        <w:tabs>
          <w:tab w:val="left" w:pos="709"/>
        </w:tabs>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a)    Complejidad del asunto:</w:t>
      </w:r>
      <w:r w:rsidRPr="00D2652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2559852D" w14:textId="77777777" w:rsidR="007C4E3D" w:rsidRPr="00D26524" w:rsidRDefault="00D600C8">
      <w:pPr>
        <w:tabs>
          <w:tab w:val="left" w:pos="709"/>
        </w:tabs>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b)   Actividad Procesal del interesado</w:t>
      </w:r>
      <w:r w:rsidRPr="00D26524">
        <w:rPr>
          <w:rFonts w:ascii="Palatino Linotype" w:eastAsia="Palatino Linotype" w:hAnsi="Palatino Linotype" w:cs="Palatino Linotype"/>
          <w:sz w:val="22"/>
          <w:szCs w:val="22"/>
        </w:rPr>
        <w:t>: Acciones u omisiones del interesado.</w:t>
      </w:r>
    </w:p>
    <w:p w14:paraId="7656C5D1" w14:textId="77777777" w:rsidR="007C4E3D" w:rsidRPr="00D26524" w:rsidRDefault="00D600C8">
      <w:pPr>
        <w:tabs>
          <w:tab w:val="left" w:pos="851"/>
        </w:tabs>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c)  Conducta de la Autoridad:</w:t>
      </w:r>
      <w:r w:rsidRPr="00D2652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9EFE526" w14:textId="77777777" w:rsidR="007C4E3D" w:rsidRPr="00D26524" w:rsidRDefault="00D600C8">
      <w:pPr>
        <w:tabs>
          <w:tab w:val="left" w:pos="851"/>
        </w:tabs>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d) La afectación generada en la situación jurídica de la persona involucrada en el proceso:</w:t>
      </w:r>
      <w:r w:rsidRPr="00D26524">
        <w:rPr>
          <w:rFonts w:ascii="Palatino Linotype" w:eastAsia="Palatino Linotype" w:hAnsi="Palatino Linotype" w:cs="Palatino Linotype"/>
          <w:sz w:val="22"/>
          <w:szCs w:val="22"/>
        </w:rPr>
        <w:t xml:space="preserve"> Violación a sus derechos humanos.</w:t>
      </w:r>
    </w:p>
    <w:p w14:paraId="0336D752" w14:textId="77777777" w:rsidR="007C4E3D" w:rsidRPr="00D26524" w:rsidRDefault="007C4E3D">
      <w:pPr>
        <w:tabs>
          <w:tab w:val="left" w:pos="851"/>
        </w:tabs>
        <w:spacing w:line="360" w:lineRule="auto"/>
        <w:ind w:left="567" w:right="560"/>
        <w:jc w:val="both"/>
        <w:rPr>
          <w:rFonts w:ascii="Palatino Linotype" w:eastAsia="Palatino Linotype" w:hAnsi="Palatino Linotype" w:cs="Palatino Linotype"/>
          <w:sz w:val="22"/>
          <w:szCs w:val="22"/>
        </w:rPr>
      </w:pPr>
    </w:p>
    <w:p w14:paraId="69EF29A5"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1D9C60"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6604DBE6"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D26524">
        <w:rPr>
          <w:rFonts w:ascii="Palatino Linotype" w:eastAsia="Palatino Linotype" w:hAnsi="Palatino Linotype" w:cs="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D26524">
        <w:rPr>
          <w:rFonts w:ascii="Palatino Linotype" w:eastAsia="Palatino Linotype" w:hAnsi="Palatino Linotype" w:cs="Palatino Linotype"/>
          <w:sz w:val="22"/>
          <w:szCs w:val="22"/>
        </w:rPr>
        <w:t>, visible en la Gaceta del Seminario Judicial de la Federación con el registro digital 205635.</w:t>
      </w:r>
    </w:p>
    <w:p w14:paraId="6374FC44"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 </w:t>
      </w:r>
    </w:p>
    <w:p w14:paraId="19FEA442"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F02C80"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0E81101"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31E1196C" w14:textId="77777777" w:rsidR="007C4E3D" w:rsidRPr="00D26524" w:rsidRDefault="00D600C8">
      <w:pPr>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 xml:space="preserve"> “PLAZO RAZONABLE PARA RESOLVER. DIMENSIÓN Y EFECTOS DE ESTE CONCEPTO CUANDO SE ADUCE EXCESIVA CARGA DE TRABAJO.”</w:t>
      </w:r>
      <w:r w:rsidRPr="00D26524">
        <w:rPr>
          <w:rFonts w:ascii="Palatino Linotype" w:eastAsia="Palatino Linotype" w:hAnsi="Palatino Linotype" w:cs="Palatino Linotype"/>
          <w:sz w:val="22"/>
          <w:szCs w:val="22"/>
        </w:rPr>
        <w:t xml:space="preserve"> consultable en el Seminario Judicial de la Federación y su gaceta, con el registro digital 2002351.</w:t>
      </w:r>
    </w:p>
    <w:p w14:paraId="239917B5" w14:textId="77777777" w:rsidR="007C4E3D" w:rsidRPr="00D26524" w:rsidRDefault="00D600C8">
      <w:pPr>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“PLAZO RAZONABLE PARA RESOLVER. CONCEPTO Y ELEMENTOS QUE LO INTEGRAN A LA LUZ DEL DERECHO INTERNACIONAL DE LOS DERECHOS HUMANOS.”,</w:t>
      </w:r>
      <w:r w:rsidRPr="00D26524">
        <w:rPr>
          <w:rFonts w:ascii="Palatino Linotype" w:eastAsia="Palatino Linotype" w:hAnsi="Palatino Linotype" w:cs="Palatino Linotype"/>
          <w:sz w:val="22"/>
          <w:szCs w:val="22"/>
        </w:rPr>
        <w:t xml:space="preserve"> visible en el Seminario Judicial de la Federación y su gaceta, con el registro digital 2002350.</w:t>
      </w:r>
    </w:p>
    <w:p w14:paraId="432F3B91" w14:textId="77777777" w:rsidR="007C4E3D" w:rsidRPr="00D26524" w:rsidRDefault="007C4E3D">
      <w:pPr>
        <w:spacing w:line="360" w:lineRule="auto"/>
        <w:ind w:left="567" w:right="560"/>
        <w:jc w:val="both"/>
        <w:rPr>
          <w:rFonts w:ascii="Palatino Linotype" w:eastAsia="Palatino Linotype" w:hAnsi="Palatino Linotype" w:cs="Palatino Linotype"/>
          <w:sz w:val="22"/>
          <w:szCs w:val="22"/>
        </w:rPr>
      </w:pPr>
    </w:p>
    <w:p w14:paraId="060D0817" w14:textId="77777777" w:rsidR="007C4E3D" w:rsidRPr="00D26524" w:rsidRDefault="00D600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3CFC08BD"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BE7FED9" w14:textId="77777777" w:rsidR="007C4E3D" w:rsidRPr="00D26524" w:rsidRDefault="00D600C8">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Cierre de instrucción. El diez de diciembre de dos mil veinticinco</w:t>
      </w:r>
      <w:r w:rsidRPr="00D2652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E28898B" w14:textId="77777777" w:rsidR="007C4E3D" w:rsidRPr="00D26524" w:rsidRDefault="007C4E3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4319AF8"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Debido a que fue debidamente sustanciado el expediente electrónico y no existe diligencia pendiente de desahogo, se emite la Resolución que conforme a Derecho proceda, de acuerdo con los siguientes: </w:t>
      </w:r>
    </w:p>
    <w:p w14:paraId="2E131781" w14:textId="77777777" w:rsidR="007C4E3D" w:rsidRPr="00D26524" w:rsidRDefault="00D600C8">
      <w:pPr>
        <w:numPr>
          <w:ilvl w:val="0"/>
          <w:numId w:val="2"/>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bCs/>
          <w:sz w:val="22"/>
          <w:szCs w:val="22"/>
        </w:rPr>
      </w:pPr>
      <w:bookmarkStart w:id="3" w:name="_heading=h.30j0zll" w:colFirst="0" w:colLast="0"/>
      <w:bookmarkEnd w:id="3"/>
      <w:r w:rsidRPr="00D26524">
        <w:rPr>
          <w:rFonts w:ascii="Palatino Linotype" w:eastAsia="Palatino Linotype" w:hAnsi="Palatino Linotype" w:cs="Palatino Linotype"/>
          <w:b/>
          <w:bCs/>
          <w:sz w:val="22"/>
          <w:szCs w:val="22"/>
        </w:rPr>
        <w:t>C O N S I D E R A N D O:</w:t>
      </w:r>
    </w:p>
    <w:p w14:paraId="2D7969A2" w14:textId="77777777" w:rsidR="007C4E3D" w:rsidRPr="00D26524" w:rsidRDefault="007C4E3D">
      <w:pPr>
        <w:pBdr>
          <w:top w:val="nil"/>
          <w:left w:val="nil"/>
          <w:bottom w:val="nil"/>
          <w:right w:val="nil"/>
          <w:between w:val="nil"/>
        </w:pBdr>
        <w:spacing w:line="360" w:lineRule="auto"/>
        <w:ind w:left="-142"/>
        <w:jc w:val="both"/>
        <w:rPr>
          <w:rFonts w:ascii="Palatino Linotype" w:eastAsia="Palatino Linotype" w:hAnsi="Palatino Linotype" w:cs="Palatino Linotype"/>
          <w:b/>
          <w:bCs/>
          <w:sz w:val="22"/>
          <w:szCs w:val="22"/>
        </w:rPr>
      </w:pPr>
    </w:p>
    <w:p w14:paraId="25D6476A"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Primero. Competencia.</w:t>
      </w:r>
      <w:r w:rsidRPr="00D2652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D26524">
        <w:rPr>
          <w:sz w:val="22"/>
          <w:szCs w:val="22"/>
        </w:rPr>
        <w:t xml:space="preserve"> </w:t>
      </w:r>
      <w:r w:rsidRPr="00D26524">
        <w:rPr>
          <w:rFonts w:ascii="Palatino Linotype" w:eastAsia="Palatino Linotype" w:hAnsi="Palatino Linotype" w:cs="Palatino Linotype"/>
          <w:sz w:val="22"/>
          <w:szCs w:val="22"/>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87E8600"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18E77556"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Segundo. Oportunidad y Procedibilidad del Recurso de Revisión</w:t>
      </w:r>
      <w:r w:rsidRPr="00D2652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28D14BA"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7960C4AF"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proporcionó su respuesta a la solicitud de información el </w:t>
      </w:r>
      <w:r w:rsidRPr="00D26524">
        <w:rPr>
          <w:rFonts w:ascii="Palatino Linotype" w:eastAsia="Palatino Linotype" w:hAnsi="Palatino Linotype" w:cs="Palatino Linotype"/>
          <w:b/>
          <w:bCs/>
          <w:sz w:val="22"/>
          <w:szCs w:val="22"/>
        </w:rPr>
        <w:t>tres de julio de dos mil veinticinco</w:t>
      </w:r>
      <w:r w:rsidRPr="00D26524">
        <w:rPr>
          <w:rFonts w:ascii="Palatino Linotype" w:eastAsia="Palatino Linotype" w:hAnsi="Palatino Linotype" w:cs="Palatino Linotype"/>
          <w:sz w:val="22"/>
          <w:szCs w:val="22"/>
        </w:rPr>
        <w:t xml:space="preserve">, y la persona </w:t>
      </w:r>
      <w:r w:rsidRPr="00D26524">
        <w:rPr>
          <w:rFonts w:ascii="Palatino Linotype" w:eastAsia="Palatino Linotype" w:hAnsi="Palatino Linotype" w:cs="Palatino Linotype"/>
          <w:b/>
          <w:bCs/>
          <w:sz w:val="22"/>
          <w:szCs w:val="22"/>
        </w:rPr>
        <w:t>RECURRENTE</w:t>
      </w:r>
      <w:r w:rsidRPr="00D26524">
        <w:rPr>
          <w:rFonts w:ascii="Palatino Linotype" w:eastAsia="Palatino Linotype" w:hAnsi="Palatino Linotype" w:cs="Palatino Linotype"/>
          <w:sz w:val="22"/>
          <w:szCs w:val="22"/>
        </w:rPr>
        <w:t xml:space="preserve"> presentó su recurso de revisión el </w:t>
      </w:r>
      <w:r w:rsidRPr="00D26524">
        <w:rPr>
          <w:rFonts w:ascii="Palatino Linotype" w:eastAsia="Palatino Linotype" w:hAnsi="Palatino Linotype" w:cs="Palatino Linotype"/>
          <w:b/>
          <w:bCs/>
          <w:sz w:val="22"/>
          <w:szCs w:val="22"/>
        </w:rPr>
        <w:t>siete de agosto de dos mil veinticinco</w:t>
      </w:r>
      <w:r w:rsidRPr="00D26524">
        <w:rPr>
          <w:rFonts w:ascii="Palatino Linotype" w:eastAsia="Palatino Linotype" w:hAnsi="Palatino Linotype" w:cs="Palatino Linotype"/>
          <w:sz w:val="22"/>
          <w:szCs w:val="22"/>
        </w:rPr>
        <w:t>;</w:t>
      </w:r>
      <w:r w:rsidRPr="00D26524">
        <w:rPr>
          <w:rFonts w:ascii="Palatino Linotype" w:eastAsia="Palatino Linotype" w:hAnsi="Palatino Linotype" w:cs="Palatino Linotype"/>
          <w:b/>
          <w:bCs/>
          <w:sz w:val="22"/>
          <w:szCs w:val="22"/>
        </w:rPr>
        <w:t xml:space="preserve"> </w:t>
      </w:r>
      <w:r w:rsidRPr="00D26524">
        <w:rPr>
          <w:rFonts w:ascii="Palatino Linotype" w:eastAsia="Palatino Linotype" w:hAnsi="Palatino Linotype" w:cs="Palatino Linotype"/>
          <w:sz w:val="22"/>
          <w:szCs w:val="22"/>
        </w:rPr>
        <w:t xml:space="preserve">esto es al segundo día hábil en que tuvo conocimiento de la respuesta. </w:t>
      </w:r>
    </w:p>
    <w:p w14:paraId="106678B9" w14:textId="77777777" w:rsidR="007C4E3D" w:rsidRPr="00D26524" w:rsidRDefault="007C4E3D">
      <w:pPr>
        <w:spacing w:line="276" w:lineRule="auto"/>
        <w:ind w:right="843"/>
        <w:jc w:val="both"/>
        <w:rPr>
          <w:rFonts w:ascii="Palatino Linotype" w:eastAsia="Palatino Linotype" w:hAnsi="Palatino Linotype" w:cs="Palatino Linotype"/>
          <w:i/>
          <w:iCs/>
          <w:sz w:val="22"/>
          <w:szCs w:val="22"/>
        </w:rPr>
      </w:pPr>
    </w:p>
    <w:p w14:paraId="46320116"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7608575"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1CEC9287"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Es de suma importancia mencionar que, si bien la persona solicitante no </w:t>
      </w:r>
      <w:r w:rsidRPr="00D26524">
        <w:rPr>
          <w:rFonts w:ascii="Palatino Linotype" w:eastAsia="Palatino Linotype" w:hAnsi="Palatino Linotype" w:cs="Palatino Linotype"/>
          <w:b/>
          <w:bCs/>
          <w:sz w:val="22"/>
          <w:szCs w:val="22"/>
        </w:rPr>
        <w:t xml:space="preserve">proporcionó un nombre o seudónimo </w:t>
      </w:r>
      <w:r w:rsidRPr="00D26524">
        <w:rPr>
          <w:rFonts w:ascii="Palatino Linotype" w:eastAsia="Palatino Linotype" w:hAnsi="Palatino Linotype" w:cs="Palatino Linotype"/>
          <w:sz w:val="22"/>
          <w:szCs w:val="22"/>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ABE0149"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264428DC" w14:textId="77777777" w:rsidR="007C4E3D" w:rsidRPr="00D26524" w:rsidRDefault="00D600C8">
      <w:pPr>
        <w:ind w:left="567" w:right="579"/>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Las solicitudes anónimas, con nombre incompleto o seudónimo serán procedentes para su trámite por parte del sujeto obligado ante quien se presente.</w:t>
      </w:r>
      <w:r w:rsidRPr="00D26524">
        <w:rPr>
          <w:rFonts w:ascii="Palatino Linotype" w:eastAsia="Palatino Linotype" w:hAnsi="Palatino Linotype" w:cs="Palatino Linotype"/>
          <w:i/>
          <w:iCs/>
          <w:sz w:val="22"/>
          <w:szCs w:val="22"/>
        </w:rPr>
        <w:t xml:space="preserve"> No podrá requerirse información adicional con motivo del nombre proporcionado por el solicitante.</w:t>
      </w:r>
    </w:p>
    <w:p w14:paraId="1FE04382"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798AA5EB"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570C2474" w14:textId="77777777" w:rsidR="007C4E3D" w:rsidRPr="00D26524" w:rsidRDefault="007C4E3D">
      <w:pPr>
        <w:spacing w:line="360" w:lineRule="auto"/>
        <w:ind w:left="567"/>
        <w:jc w:val="both"/>
        <w:rPr>
          <w:rFonts w:ascii="Palatino Linotype" w:eastAsia="Palatino Linotype" w:hAnsi="Palatino Linotype" w:cs="Palatino Linotype"/>
          <w:sz w:val="22"/>
          <w:szCs w:val="22"/>
        </w:rPr>
      </w:pPr>
    </w:p>
    <w:p w14:paraId="07DF4831" w14:textId="77777777" w:rsidR="007C4E3D" w:rsidRPr="00D26524" w:rsidRDefault="00D600C8">
      <w:pPr>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 xml:space="preserve">Artículo 179. </w:t>
      </w:r>
      <w:r w:rsidRPr="00D26524">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BE12F4F" w14:textId="77777777" w:rsidR="007C4E3D" w:rsidRPr="00D26524" w:rsidRDefault="00D600C8">
      <w:pPr>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28E0A352" w14:textId="77777777" w:rsidR="007C4E3D" w:rsidRPr="00D26524" w:rsidRDefault="00D600C8">
      <w:pPr>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 La negativa de entrega de la información</w:t>
      </w:r>
    </w:p>
    <w:p w14:paraId="4CE64E6A" w14:textId="77777777" w:rsidR="007C4E3D" w:rsidRPr="00D26524" w:rsidRDefault="00D600C8">
      <w:pPr>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3A5B193E" w14:textId="77777777" w:rsidR="007C4E3D" w:rsidRPr="00D26524" w:rsidRDefault="007C4E3D">
      <w:pPr>
        <w:spacing w:line="360" w:lineRule="auto"/>
        <w:ind w:right="616"/>
        <w:jc w:val="both"/>
        <w:rPr>
          <w:rFonts w:ascii="Palatino Linotype" w:eastAsia="Palatino Linotype" w:hAnsi="Palatino Linotype" w:cs="Palatino Linotype"/>
          <w:i/>
          <w:iCs/>
          <w:sz w:val="22"/>
          <w:szCs w:val="22"/>
        </w:rPr>
      </w:pPr>
    </w:p>
    <w:p w14:paraId="53E4261B"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Tercero. Materia de Revisión</w:t>
      </w:r>
      <w:r w:rsidRPr="00D26524">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7296B7B1"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1B11F1FF"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 xml:space="preserve">Cuarto. Estudio de fondo del asunto. </w:t>
      </w:r>
      <w:r w:rsidRPr="00D26524">
        <w:rPr>
          <w:rFonts w:ascii="Palatino Linotype" w:eastAsia="Palatino Linotype" w:hAnsi="Palatino Linotype" w:cs="Palatino Linotype"/>
          <w:sz w:val="22"/>
          <w:szCs w:val="22"/>
        </w:rPr>
        <w:t>Es conveniente analizar si la respuesta del Sujeto Obligado</w:t>
      </w:r>
      <w:r w:rsidRPr="00D26524">
        <w:rPr>
          <w:rFonts w:ascii="Palatino Linotype" w:eastAsia="Palatino Linotype" w:hAnsi="Palatino Linotype" w:cs="Palatino Linotype"/>
          <w:b/>
          <w:bCs/>
          <w:sz w:val="22"/>
          <w:szCs w:val="22"/>
        </w:rPr>
        <w:t xml:space="preserve"> </w:t>
      </w:r>
      <w:r w:rsidRPr="00D26524">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7D7E4F"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5B6358CA" w14:textId="77777777" w:rsidR="007C4E3D" w:rsidRPr="00D26524" w:rsidRDefault="00D600C8">
      <w:pPr>
        <w:tabs>
          <w:tab w:val="left" w:pos="851"/>
        </w:tabs>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Artículo 4</w:t>
      </w:r>
      <w:r w:rsidRPr="00D26524">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523127" w14:textId="77777777" w:rsidR="007C4E3D" w:rsidRPr="00D26524" w:rsidRDefault="00D600C8">
      <w:pPr>
        <w:tabs>
          <w:tab w:val="left" w:pos="851"/>
        </w:tabs>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D26524">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344AA2" w14:textId="77777777" w:rsidR="007C4E3D" w:rsidRPr="00D26524" w:rsidRDefault="00D600C8">
      <w:pPr>
        <w:tabs>
          <w:tab w:val="left" w:pos="851"/>
        </w:tabs>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D26524">
        <w:rPr>
          <w:rFonts w:ascii="Palatino Linotype" w:eastAsia="Palatino Linotype" w:hAnsi="Palatino Linotype" w:cs="Palatino Linotype"/>
          <w:i/>
          <w:iCs/>
          <w:sz w:val="22"/>
          <w:szCs w:val="22"/>
        </w:rPr>
        <w:t>.”</w:t>
      </w:r>
    </w:p>
    <w:p w14:paraId="621FFBCC"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000B9DE0"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8B448E7" w14:textId="77777777" w:rsidR="007C4E3D" w:rsidRPr="00D26524" w:rsidRDefault="007C4E3D">
      <w:pPr>
        <w:spacing w:line="360" w:lineRule="auto"/>
        <w:ind w:right="616"/>
        <w:jc w:val="both"/>
        <w:rPr>
          <w:rFonts w:ascii="Palatino Linotype" w:eastAsia="Palatino Linotype" w:hAnsi="Palatino Linotype" w:cs="Palatino Linotype"/>
          <w:sz w:val="22"/>
          <w:szCs w:val="22"/>
        </w:rPr>
      </w:pPr>
    </w:p>
    <w:p w14:paraId="175DBE68" w14:textId="77777777" w:rsidR="007C4E3D" w:rsidRPr="00D26524" w:rsidRDefault="00D600C8">
      <w:pPr>
        <w:tabs>
          <w:tab w:val="left" w:pos="6804"/>
        </w:tabs>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Artículo 12.-</w:t>
      </w:r>
      <w:r w:rsidRPr="00D26524">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25E5FE5" w14:textId="77777777" w:rsidR="007C4E3D" w:rsidRPr="00D26524" w:rsidRDefault="00D600C8">
      <w:pPr>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D26524">
        <w:rPr>
          <w:rFonts w:ascii="Palatino Linotype" w:eastAsia="Palatino Linotype" w:hAnsi="Palatino Linotype" w:cs="Palatino Linotype"/>
          <w:i/>
          <w:iCs/>
          <w:sz w:val="22"/>
          <w:szCs w:val="22"/>
        </w:rPr>
        <w:t xml:space="preserve">. </w:t>
      </w:r>
      <w:r w:rsidRPr="00D26524">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D26524">
        <w:rPr>
          <w:rFonts w:ascii="Palatino Linotype" w:eastAsia="Palatino Linotype" w:hAnsi="Palatino Linotype" w:cs="Palatino Linotype"/>
          <w:i/>
          <w:iCs/>
          <w:sz w:val="22"/>
          <w:szCs w:val="22"/>
        </w:rPr>
        <w:t xml:space="preserve">.” </w:t>
      </w:r>
    </w:p>
    <w:p w14:paraId="79918BEF" w14:textId="77777777" w:rsidR="007C4E3D" w:rsidRPr="00D26524" w:rsidRDefault="007C4E3D">
      <w:pPr>
        <w:spacing w:line="360" w:lineRule="auto"/>
        <w:ind w:right="-93"/>
        <w:jc w:val="both"/>
        <w:rPr>
          <w:rFonts w:ascii="Palatino Linotype" w:eastAsia="Palatino Linotype" w:hAnsi="Palatino Linotype" w:cs="Palatino Linotype"/>
          <w:sz w:val="22"/>
          <w:szCs w:val="22"/>
        </w:rPr>
      </w:pPr>
    </w:p>
    <w:p w14:paraId="5FB2556C" w14:textId="77777777" w:rsidR="007C4E3D" w:rsidRPr="00D26524" w:rsidRDefault="00D600C8">
      <w:pPr>
        <w:spacing w:line="360" w:lineRule="auto"/>
        <w:ind w:right="-93"/>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783FBE8" w14:textId="77777777" w:rsidR="007C4E3D" w:rsidRPr="00D26524" w:rsidRDefault="007C4E3D">
      <w:pPr>
        <w:spacing w:line="360" w:lineRule="auto"/>
        <w:ind w:right="-93"/>
        <w:jc w:val="both"/>
        <w:rPr>
          <w:rFonts w:ascii="Palatino Linotype" w:eastAsia="Palatino Linotype" w:hAnsi="Palatino Linotype" w:cs="Palatino Linotype"/>
          <w:sz w:val="22"/>
          <w:szCs w:val="22"/>
        </w:rPr>
      </w:pPr>
    </w:p>
    <w:p w14:paraId="7D63CDCB" w14:textId="77777777" w:rsidR="007C4E3D" w:rsidRPr="00D26524" w:rsidRDefault="00D600C8">
      <w:pPr>
        <w:spacing w:line="360" w:lineRule="auto"/>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26524">
        <w:rPr>
          <w:rFonts w:ascii="Palatino Linotype" w:eastAsia="Palatino Linotype" w:hAnsi="Palatino Linotype" w:cs="Palatino Linotype"/>
          <w:b/>
          <w:bCs/>
          <w:sz w:val="22"/>
          <w:szCs w:val="22"/>
        </w:rPr>
        <w:t xml:space="preserve"> </w:t>
      </w:r>
    </w:p>
    <w:p w14:paraId="78DACEC4" w14:textId="77777777" w:rsidR="007C4E3D" w:rsidRPr="00D26524" w:rsidRDefault="007C4E3D">
      <w:pPr>
        <w:spacing w:line="276" w:lineRule="auto"/>
        <w:ind w:right="850"/>
        <w:jc w:val="both"/>
        <w:rPr>
          <w:rFonts w:ascii="Palatino Linotype" w:eastAsia="Palatino Linotype" w:hAnsi="Palatino Linotype" w:cs="Palatino Linotype"/>
          <w:sz w:val="22"/>
          <w:szCs w:val="22"/>
        </w:rPr>
      </w:pPr>
    </w:p>
    <w:p w14:paraId="7D3B364D" w14:textId="77777777" w:rsidR="007C4E3D" w:rsidRPr="00D26524" w:rsidRDefault="00D600C8">
      <w:pPr>
        <w:spacing w:line="276" w:lineRule="auto"/>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D26524">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39F26F9" w14:textId="77777777" w:rsidR="007C4E3D" w:rsidRPr="00D26524" w:rsidRDefault="007C4E3D">
      <w:pPr>
        <w:spacing w:line="276" w:lineRule="auto"/>
        <w:ind w:right="616"/>
        <w:jc w:val="both"/>
        <w:rPr>
          <w:rFonts w:ascii="Palatino Linotype" w:eastAsia="Palatino Linotype" w:hAnsi="Palatino Linotype" w:cs="Palatino Linotype"/>
          <w:i/>
          <w:iCs/>
          <w:sz w:val="22"/>
          <w:szCs w:val="22"/>
        </w:rPr>
      </w:pPr>
    </w:p>
    <w:p w14:paraId="6BA71A29"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A392D4"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12449347"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D2D079"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1194AF51"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016658F"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4642DC17" w14:textId="77777777" w:rsidR="007C4E3D" w:rsidRPr="00D26524" w:rsidRDefault="00D600C8">
      <w:pPr>
        <w:spacing w:line="276" w:lineRule="auto"/>
        <w:ind w:left="567" w:right="899"/>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 xml:space="preserve">Artículo 3. </w:t>
      </w:r>
      <w:r w:rsidRPr="00D26524">
        <w:rPr>
          <w:rFonts w:ascii="Palatino Linotype" w:eastAsia="Palatino Linotype" w:hAnsi="Palatino Linotype" w:cs="Palatino Linotype"/>
          <w:i/>
          <w:iCs/>
          <w:sz w:val="22"/>
          <w:szCs w:val="22"/>
        </w:rPr>
        <w:t>Para los efectos de la presente Ley se entenderá por:</w:t>
      </w:r>
    </w:p>
    <w:p w14:paraId="0E024097" w14:textId="77777777" w:rsidR="007C4E3D" w:rsidRPr="00D26524" w:rsidRDefault="00D600C8">
      <w:pPr>
        <w:spacing w:line="276" w:lineRule="auto"/>
        <w:ind w:left="567" w:right="899"/>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0774995B" w14:textId="77777777" w:rsidR="007C4E3D" w:rsidRPr="00D26524" w:rsidRDefault="00D600C8">
      <w:pPr>
        <w:spacing w:line="276" w:lineRule="auto"/>
        <w:ind w:left="567" w:right="899"/>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XI. Documento:</w:t>
      </w:r>
      <w:r w:rsidRPr="00D26524">
        <w:rPr>
          <w:rFonts w:ascii="Palatino Linotype" w:eastAsia="Palatino Linotype" w:hAnsi="Palatino Linotype" w:cs="Palatino Linotype"/>
          <w:i/>
          <w:iCs/>
          <w:sz w:val="22"/>
          <w:szCs w:val="22"/>
        </w:rPr>
        <w:t xml:space="preserve"> Los expedientes, reportes, estudios, actas</w:t>
      </w:r>
      <w:r w:rsidRPr="00D26524">
        <w:rPr>
          <w:rFonts w:ascii="Palatino Linotype" w:eastAsia="Palatino Linotype" w:hAnsi="Palatino Linotype" w:cs="Palatino Linotype"/>
          <w:b/>
          <w:bCs/>
          <w:i/>
          <w:iCs/>
          <w:sz w:val="22"/>
          <w:szCs w:val="22"/>
        </w:rPr>
        <w:t>,</w:t>
      </w:r>
      <w:r w:rsidRPr="00D26524">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2BE9E3" w14:textId="77777777" w:rsidR="007C4E3D" w:rsidRPr="00D26524" w:rsidRDefault="007C4E3D">
      <w:pPr>
        <w:spacing w:line="360" w:lineRule="auto"/>
        <w:ind w:right="899"/>
        <w:jc w:val="both"/>
        <w:rPr>
          <w:rFonts w:ascii="Palatino Linotype" w:eastAsia="Palatino Linotype" w:hAnsi="Palatino Linotype" w:cs="Palatino Linotype"/>
          <w:sz w:val="22"/>
          <w:szCs w:val="22"/>
        </w:rPr>
      </w:pPr>
    </w:p>
    <w:p w14:paraId="72B87B49"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A5E86D9"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0767F8E5" w14:textId="77777777" w:rsidR="007C4E3D" w:rsidRPr="00D26524" w:rsidRDefault="00D600C8">
      <w:pPr>
        <w:spacing w:line="276" w:lineRule="auto"/>
        <w:ind w:left="567" w:right="899"/>
        <w:jc w:val="both"/>
        <w:rPr>
          <w:rFonts w:ascii="Palatino Linotype" w:eastAsia="Palatino Linotype" w:hAnsi="Palatino Linotype" w:cs="Palatino Linotype"/>
          <w:b/>
          <w:bCs/>
          <w:i/>
          <w:iCs/>
          <w:sz w:val="22"/>
          <w:szCs w:val="22"/>
        </w:rPr>
      </w:pPr>
      <w:r w:rsidRPr="00D26524">
        <w:rPr>
          <w:rFonts w:ascii="Palatino Linotype" w:eastAsia="Palatino Linotype" w:hAnsi="Palatino Linotype" w:cs="Palatino Linotype"/>
          <w:b/>
          <w:bCs/>
          <w:sz w:val="22"/>
          <w:szCs w:val="22"/>
        </w:rPr>
        <w:t>“</w:t>
      </w:r>
      <w:r w:rsidRPr="00D26524">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D26524">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C4164D" w14:textId="77777777" w:rsidR="007C4E3D" w:rsidRPr="00D26524" w:rsidRDefault="00D600C8">
      <w:pPr>
        <w:spacing w:line="276" w:lineRule="auto"/>
        <w:ind w:left="567" w:right="899"/>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0F9848CA" w14:textId="77777777" w:rsidR="007C4E3D" w:rsidRPr="00D26524" w:rsidRDefault="00D600C8">
      <w:pPr>
        <w:spacing w:line="276" w:lineRule="auto"/>
        <w:ind w:left="567" w:right="899"/>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02D256D" w14:textId="77777777" w:rsidR="007C4E3D" w:rsidRPr="00D26524" w:rsidRDefault="00D600C8">
      <w:pPr>
        <w:spacing w:line="276" w:lineRule="auto"/>
        <w:ind w:left="567" w:right="899"/>
        <w:jc w:val="both"/>
        <w:rPr>
          <w:rFonts w:ascii="Palatino Linotype" w:eastAsia="Palatino Linotype" w:hAnsi="Palatino Linotype" w:cs="Palatino Linotype"/>
          <w:b/>
          <w:bCs/>
          <w:i/>
          <w:iCs/>
          <w:sz w:val="22"/>
          <w:szCs w:val="22"/>
        </w:rPr>
      </w:pPr>
      <w:r w:rsidRPr="00D26524">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3F01C1B5" w14:textId="77777777" w:rsidR="007C4E3D" w:rsidRPr="00D26524" w:rsidRDefault="00D600C8">
      <w:pPr>
        <w:spacing w:line="276" w:lineRule="auto"/>
        <w:ind w:left="567" w:right="899"/>
        <w:jc w:val="both"/>
        <w:rPr>
          <w:rFonts w:ascii="Palatino Linotype" w:eastAsia="Palatino Linotype" w:hAnsi="Palatino Linotype" w:cs="Palatino Linotype"/>
          <w:b/>
          <w:bCs/>
          <w:i/>
          <w:iCs/>
          <w:sz w:val="22"/>
          <w:szCs w:val="22"/>
        </w:rPr>
      </w:pPr>
      <w:r w:rsidRPr="00D26524">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417100F0" w14:textId="77777777" w:rsidR="007C4E3D" w:rsidRPr="00D26524" w:rsidRDefault="007C4E3D">
      <w:pPr>
        <w:spacing w:line="360" w:lineRule="auto"/>
        <w:ind w:left="567"/>
        <w:jc w:val="both"/>
        <w:rPr>
          <w:rFonts w:ascii="Palatino Linotype" w:eastAsia="Palatino Linotype" w:hAnsi="Palatino Linotype" w:cs="Palatino Linotype"/>
          <w:sz w:val="22"/>
          <w:szCs w:val="22"/>
        </w:rPr>
      </w:pPr>
    </w:p>
    <w:p w14:paraId="273DDC45"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Dicho lo anterior, resulta necesario recordar que el Particular solicitó los pagos y erogaciones realizados por la Tesorería Municipal del uno de enero al doce de junio de dos mil veinticinco. </w:t>
      </w:r>
    </w:p>
    <w:p w14:paraId="0B37F7D2"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7D2AE1F7"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En respuesta, el Tesorero Municipal proporcionó respuesta señalando las ligas donde podrá encontrar la información solicitada al primer trimestre que comprende los meses de enero a marzo de dos mil veinticinco, (adjuntó diversas ligas electrónicas en formato cerrado); en lo que respecta al segundo trimestre, se informó que los documentos solicitados forman parte de la integración del segundo trimestre de 2025. </w:t>
      </w:r>
    </w:p>
    <w:p w14:paraId="712BC726"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3783F7EA" w14:textId="77777777" w:rsidR="007C4E3D" w:rsidRPr="00D26524" w:rsidRDefault="00D600C8">
      <w:pPr>
        <w:spacing w:line="360" w:lineRule="auto"/>
        <w:jc w:val="both"/>
        <w:rPr>
          <w:rFonts w:ascii="Palatino Linotype" w:eastAsia="Palatino Linotype" w:hAnsi="Palatino Linotype" w:cs="Palatino Linotype"/>
        </w:rPr>
      </w:pPr>
      <w:r w:rsidRPr="00D26524">
        <w:rPr>
          <w:rFonts w:ascii="Palatino Linotype" w:eastAsia="Palatino Linotype" w:hAnsi="Palatino Linotype" w:cs="Palatino Linotype"/>
          <w:sz w:val="22"/>
          <w:szCs w:val="22"/>
        </w:rPr>
        <w:t xml:space="preserve">Del mismo modo, adjuntó el Estado Analítico del Ejercicio del Presupuesto de Egresos del uno de enero al treinta y uno de marzo de dos mil veinticinco, tanto de clasificación por objeto del gasto como clasificación administrativa. </w:t>
      </w:r>
    </w:p>
    <w:p w14:paraId="5CCA9044" w14:textId="77777777" w:rsidR="007C4E3D" w:rsidRPr="00D26524" w:rsidRDefault="007C4E3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20D6CBF"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Derivado de ello, la parte Recurrente se inconformó arguyendo la negativa de entrega de la información.  </w:t>
      </w:r>
    </w:p>
    <w:p w14:paraId="3811D8BE" w14:textId="77777777" w:rsidR="007C4E3D" w:rsidRPr="00D26524" w:rsidRDefault="007C4E3D">
      <w:pPr>
        <w:spacing w:line="360" w:lineRule="auto"/>
        <w:ind w:right="49"/>
        <w:jc w:val="both"/>
        <w:rPr>
          <w:rFonts w:ascii="Palatino Linotype" w:eastAsia="Palatino Linotype" w:hAnsi="Palatino Linotype" w:cs="Palatino Linotype"/>
          <w:b/>
          <w:bCs/>
          <w:sz w:val="22"/>
          <w:szCs w:val="22"/>
        </w:rPr>
      </w:pPr>
    </w:p>
    <w:p w14:paraId="1FB4C672" w14:textId="77777777" w:rsidR="007C4E3D" w:rsidRPr="00D26524" w:rsidRDefault="00D600C8">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u w:val="single"/>
        </w:rPr>
      </w:pPr>
      <w:r w:rsidRPr="00D26524">
        <w:rPr>
          <w:rFonts w:ascii="Palatino Linotype" w:eastAsia="Palatino Linotype" w:hAnsi="Palatino Linotype" w:cs="Palatino Linotype"/>
          <w:sz w:val="22"/>
          <w:szCs w:val="22"/>
        </w:rPr>
        <w:t xml:space="preserve">El Sujeto Obligado ratificó su respuesta inicial. </w:t>
      </w:r>
    </w:p>
    <w:p w14:paraId="752DB996"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763595D7"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Dicho lo anterior, resulta importante contextualizar la información solicitada por el ahora Recurrente, para ello, el Glosario de Términos Hacendarios que emite el Instituto Hacendario del Estado de México, define como </w:t>
      </w:r>
      <w:r w:rsidRPr="00D26524">
        <w:rPr>
          <w:rFonts w:ascii="Palatino Linotype" w:eastAsia="Palatino Linotype" w:hAnsi="Palatino Linotype" w:cs="Palatino Linotype"/>
          <w:i/>
          <w:iCs/>
          <w:sz w:val="22"/>
          <w:szCs w:val="22"/>
        </w:rPr>
        <w:t>“factura” al</w:t>
      </w:r>
      <w:r w:rsidRPr="00D26524">
        <w:rPr>
          <w:rFonts w:ascii="Palatino Linotype" w:eastAsia="Palatino Linotype" w:hAnsi="Palatino Linotype" w:cs="Palatino Linotype"/>
          <w:b/>
          <w:bCs/>
          <w:i/>
          <w:iCs/>
          <w:sz w:val="22"/>
          <w:szCs w:val="22"/>
        </w:rPr>
        <w:t xml:space="preserve"> documento fiscal que emite la persona física o moral para comprobar la venta o adquisición de un bien y/o servicio.</w:t>
      </w:r>
    </w:p>
    <w:p w14:paraId="00C25E1B" w14:textId="77777777" w:rsidR="007C4E3D" w:rsidRPr="00D26524" w:rsidRDefault="007C4E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A0F52B" w14:textId="77777777" w:rsidR="007C4E3D" w:rsidRPr="00D26524" w:rsidRDefault="00D600C8">
      <w:pPr>
        <w:spacing w:line="360" w:lineRule="auto"/>
        <w:ind w:right="-7"/>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En ese sentido, es de señalar que cuando las facturas amparan las erogaciones que se realizan con erario público tienen naturaleza pública, pues constituyen un medio, de manera enunciativa mas no limitativa de evidencia del gasto desglosado realizado con recursos públicos. </w:t>
      </w:r>
    </w:p>
    <w:p w14:paraId="28EA57C7" w14:textId="77777777" w:rsidR="007C4E3D" w:rsidRPr="00D26524" w:rsidRDefault="007C4E3D">
      <w:pPr>
        <w:spacing w:line="360" w:lineRule="auto"/>
        <w:ind w:right="-7"/>
        <w:jc w:val="both"/>
        <w:rPr>
          <w:rFonts w:ascii="Palatino Linotype" w:eastAsia="Palatino Linotype" w:hAnsi="Palatino Linotype" w:cs="Palatino Linotype"/>
          <w:sz w:val="22"/>
          <w:szCs w:val="22"/>
        </w:rPr>
      </w:pPr>
    </w:p>
    <w:p w14:paraId="4136347A"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Asimismo, el Código Financiero del Estado de México, establece en su artículo 344 lo siguiente: </w:t>
      </w:r>
    </w:p>
    <w:p w14:paraId="5787F539"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15D781CC" w14:textId="77777777" w:rsidR="007C4E3D" w:rsidRPr="00D26524" w:rsidRDefault="00D600C8">
      <w:pPr>
        <w:ind w:left="567" w:right="843"/>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Artículo 344.-</w:t>
      </w:r>
      <w:r w:rsidRPr="00D26524">
        <w:rPr>
          <w:rFonts w:ascii="Palatino Linotype" w:eastAsia="Palatino Linotype" w:hAnsi="Palatino Linotype" w:cs="Palatino Linotype"/>
          <w:i/>
          <w:iCs/>
          <w:sz w:val="22"/>
          <w:szCs w:val="22"/>
        </w:rPr>
        <w:t xml:space="preserve"> </w:t>
      </w:r>
      <w:r w:rsidRPr="00D26524">
        <w:rPr>
          <w:rFonts w:ascii="Palatino Linotype" w:eastAsia="Palatino Linotype" w:hAnsi="Palatino Linotype" w:cs="Palatino Linotype"/>
          <w:b/>
          <w:bCs/>
          <w:i/>
          <w:iCs/>
          <w:sz w:val="22"/>
          <w:szCs w:val="22"/>
          <w:u w:val="single"/>
        </w:rPr>
        <w:t>Los Entes Públicos, a través de cualquiera de sus unidades administrativas</w:t>
      </w:r>
      <w:r w:rsidRPr="00D26524">
        <w:rPr>
          <w:rFonts w:ascii="Palatino Linotype" w:eastAsia="Palatino Linotype" w:hAnsi="Palatino Linotype" w:cs="Palatino Linotype"/>
          <w:i/>
          <w:iCs/>
          <w:sz w:val="22"/>
          <w:szCs w:val="22"/>
        </w:rPr>
        <w:t xml:space="preserve">, de acuerdo con su naturaleza jurídica y según corresponda, </w:t>
      </w:r>
      <w:r w:rsidRPr="00D26524">
        <w:rPr>
          <w:rFonts w:ascii="Palatino Linotype" w:eastAsia="Palatino Linotype" w:hAnsi="Palatino Linotype" w:cs="Palatino Linotype"/>
          <w:b/>
          <w:bCs/>
          <w:i/>
          <w:iCs/>
          <w:sz w:val="22"/>
          <w:szCs w:val="22"/>
          <w:u w:val="single"/>
        </w:rPr>
        <w:t>registrarán contablemente el efecto patrimonial y presupuestal de las operaciones financieras que realicen, en el momento en que ocurran, con base en el sistema y políticas de registro establecidas</w:t>
      </w:r>
      <w:r w:rsidRPr="00D26524">
        <w:rPr>
          <w:rFonts w:ascii="Palatino Linotype" w:eastAsia="Palatino Linotype" w:hAnsi="Palatino Linotype" w:cs="Palatino Linotype"/>
          <w:i/>
          <w:iCs/>
          <w:sz w:val="22"/>
          <w:szCs w:val="22"/>
        </w:rPr>
        <w:t>, en el caso de los Municipios</w:t>
      </w:r>
      <w:r w:rsidRPr="00D26524">
        <w:rPr>
          <w:rFonts w:ascii="Palatino Linotype" w:eastAsia="Palatino Linotype" w:hAnsi="Palatino Linotype" w:cs="Palatino Linotype"/>
          <w:b/>
          <w:bCs/>
          <w:i/>
          <w:iCs/>
          <w:sz w:val="22"/>
          <w:szCs w:val="22"/>
          <w:u w:val="single"/>
        </w:rPr>
        <w:t>, se hará por la Tesorería.</w:t>
      </w:r>
      <w:r w:rsidRPr="00D26524">
        <w:rPr>
          <w:rFonts w:ascii="Palatino Linotype" w:eastAsia="Palatino Linotype" w:hAnsi="Palatino Linotype" w:cs="Palatino Linotype"/>
          <w:i/>
          <w:iCs/>
          <w:sz w:val="22"/>
          <w:szCs w:val="22"/>
        </w:rPr>
        <w:t xml:space="preserve"> </w:t>
      </w:r>
    </w:p>
    <w:p w14:paraId="079B2CC7" w14:textId="77777777" w:rsidR="007C4E3D" w:rsidRPr="00D26524" w:rsidRDefault="007C4E3D">
      <w:pPr>
        <w:ind w:left="567" w:right="843"/>
        <w:jc w:val="both"/>
        <w:rPr>
          <w:rFonts w:ascii="Palatino Linotype" w:eastAsia="Palatino Linotype" w:hAnsi="Palatino Linotype" w:cs="Palatino Linotype"/>
          <w:i/>
          <w:iCs/>
          <w:sz w:val="22"/>
          <w:szCs w:val="22"/>
        </w:rPr>
      </w:pPr>
    </w:p>
    <w:p w14:paraId="67119493" w14:textId="77777777" w:rsidR="007C4E3D" w:rsidRPr="00D26524" w:rsidRDefault="00D600C8">
      <w:pPr>
        <w:ind w:left="567" w:right="843"/>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u w:val="single"/>
        </w:rPr>
        <w:t>Todo registro contable y presupuestal deberá estar soportado con los documentos comprobatorios originales o en medios electrónicos, los que deberán permanecer en custodia y conservación</w:t>
      </w:r>
      <w:r w:rsidRPr="00D26524">
        <w:rPr>
          <w:rFonts w:ascii="Palatino Linotype" w:eastAsia="Palatino Linotype" w:hAnsi="Palatino Linotype" w:cs="Palatino Linotype"/>
          <w:i/>
          <w:iCs/>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287DB3C7" w14:textId="77777777" w:rsidR="007C4E3D" w:rsidRPr="00D26524" w:rsidRDefault="007C4E3D">
      <w:pPr>
        <w:ind w:left="567" w:right="843"/>
        <w:jc w:val="both"/>
        <w:rPr>
          <w:rFonts w:ascii="Palatino Linotype" w:eastAsia="Palatino Linotype" w:hAnsi="Palatino Linotype" w:cs="Palatino Linotype"/>
          <w:i/>
          <w:iCs/>
          <w:sz w:val="22"/>
          <w:szCs w:val="22"/>
        </w:rPr>
      </w:pPr>
    </w:p>
    <w:p w14:paraId="7966B41A" w14:textId="77777777" w:rsidR="007C4E3D" w:rsidRPr="00D26524" w:rsidRDefault="00D600C8">
      <w:pPr>
        <w:ind w:left="567" w:right="843"/>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Tratándose de documentos de carácter histórico, se estará a lo dispuesto por la legislación de la materia.</w:t>
      </w:r>
    </w:p>
    <w:p w14:paraId="74184F57" w14:textId="77777777" w:rsidR="007C4E3D" w:rsidRPr="00D26524" w:rsidRDefault="007C4E3D">
      <w:pPr>
        <w:spacing w:line="360" w:lineRule="auto"/>
        <w:ind w:right="49"/>
        <w:jc w:val="both"/>
        <w:rPr>
          <w:sz w:val="22"/>
          <w:szCs w:val="22"/>
        </w:rPr>
      </w:pPr>
    </w:p>
    <w:p w14:paraId="63A8AD39"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D26524">
        <w:rPr>
          <w:rFonts w:ascii="Palatino Linotype" w:eastAsia="Palatino Linotype" w:hAnsi="Palatino Linotype" w:cs="Palatino Linotype"/>
          <w:i/>
          <w:iCs/>
          <w:sz w:val="22"/>
          <w:szCs w:val="22"/>
        </w:rPr>
        <w:t>Glosario de Términos Administrativos</w:t>
      </w:r>
      <w:r w:rsidRPr="00D26524">
        <w:rPr>
          <w:rFonts w:ascii="Palatino Linotype" w:eastAsia="Palatino Linotype" w:hAnsi="Palatino Linotype" w:cs="Palatino Linotype"/>
          <w:sz w:val="22"/>
          <w:szCs w:val="22"/>
        </w:rPr>
        <w:t xml:space="preserve"> y el </w:t>
      </w:r>
      <w:r w:rsidRPr="00D26524">
        <w:rPr>
          <w:rFonts w:ascii="Palatino Linotype" w:eastAsia="Palatino Linotype" w:hAnsi="Palatino Linotype" w:cs="Palatino Linotype"/>
          <w:i/>
          <w:iCs/>
          <w:sz w:val="22"/>
          <w:szCs w:val="22"/>
        </w:rPr>
        <w:t>Glosario de Términos para el Proceso de Planeación, Programación, Presupuestación y Evaluación en la Administración Pública</w:t>
      </w:r>
      <w:r w:rsidRPr="00D26524">
        <w:rPr>
          <w:rFonts w:ascii="Palatino Linotype" w:eastAsia="Palatino Linotype" w:hAnsi="Palatino Linotype" w:cs="Palatino Linotype"/>
          <w:sz w:val="22"/>
          <w:szCs w:val="22"/>
        </w:rPr>
        <w:t xml:space="preserve">, definen los registros como: </w:t>
      </w:r>
    </w:p>
    <w:p w14:paraId="590A3DD8"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78F37503" w14:textId="77777777" w:rsidR="007C4E3D" w:rsidRPr="00D26524" w:rsidRDefault="00D600C8">
      <w:pPr>
        <w:ind w:left="567" w:right="560"/>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 xml:space="preserve">Registro contable. </w:t>
      </w:r>
      <w:r w:rsidRPr="00D26524">
        <w:rPr>
          <w:rFonts w:ascii="Palatino Linotype" w:eastAsia="Palatino Linotype" w:hAnsi="Palatino Linotype" w:cs="Palatino Linotype"/>
          <w:i/>
          <w:iCs/>
          <w:sz w:val="22"/>
          <w:szCs w:val="22"/>
        </w:rPr>
        <w:t xml:space="preserve">Asiento que se realiza en los libros de contabilidad de las actividades relacionadas con el ingreso y egreso de un ente económico. </w:t>
      </w:r>
    </w:p>
    <w:p w14:paraId="2EDCE35C" w14:textId="77777777" w:rsidR="007C4E3D" w:rsidRPr="00D26524" w:rsidRDefault="007C4E3D">
      <w:pPr>
        <w:ind w:left="567" w:right="560"/>
        <w:jc w:val="both"/>
        <w:rPr>
          <w:rFonts w:ascii="Palatino Linotype" w:eastAsia="Palatino Linotype" w:hAnsi="Palatino Linotype" w:cs="Palatino Linotype"/>
          <w:i/>
          <w:iCs/>
          <w:sz w:val="22"/>
          <w:szCs w:val="22"/>
        </w:rPr>
      </w:pPr>
    </w:p>
    <w:p w14:paraId="6B0B1038" w14:textId="77777777" w:rsidR="007C4E3D" w:rsidRPr="00D26524" w:rsidRDefault="00D600C8">
      <w:pPr>
        <w:ind w:left="567" w:right="560"/>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 xml:space="preserve">Registro Presupuestario. </w:t>
      </w:r>
      <w:r w:rsidRPr="00D26524">
        <w:rPr>
          <w:rFonts w:ascii="Palatino Linotype" w:eastAsia="Palatino Linotype" w:hAnsi="Palatino Linotype" w:cs="Palatino Linotype"/>
          <w:i/>
          <w:iCs/>
          <w:sz w:val="22"/>
          <w:szCs w:val="22"/>
        </w:rPr>
        <w:t xml:space="preserve">Asiento contable de las erogaciones realizadas por las dependencias y entidades con relación a la asignación, modificación y ejercicio de los recursos presupuestarios que se les hayan autorizado. </w:t>
      </w:r>
    </w:p>
    <w:p w14:paraId="227A1F58"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42113521"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De los preceptos citados, se colige que los entes fiscalizables cuentan con una unidad administrativa que registra contablemente el efecto patrimonial y presupuestal de las operaciones financieras que realizan y por lo general, se encuentran en las denominadas </w:t>
      </w:r>
      <w:r w:rsidRPr="00D26524">
        <w:rPr>
          <w:rFonts w:ascii="Palatino Linotype" w:eastAsia="Palatino Linotype" w:hAnsi="Palatino Linotype" w:cs="Palatino Linotype"/>
          <w:i/>
          <w:iCs/>
          <w:sz w:val="22"/>
          <w:szCs w:val="22"/>
        </w:rPr>
        <w:t xml:space="preserve">pólizas contables </w:t>
      </w:r>
      <w:r w:rsidRPr="00D26524">
        <w:rPr>
          <w:rFonts w:ascii="Palatino Linotype" w:eastAsia="Palatino Linotype" w:hAnsi="Palatino Linotype" w:cs="Palatino Linotype"/>
          <w:sz w:val="22"/>
          <w:szCs w:val="22"/>
        </w:rPr>
        <w:t xml:space="preserve">las cuales son aquellos documentos en los que se asientan en forma individual todas y cada una de las operaciones desarrolladas por una institución, así como la información necesaria para la identificación de estas. </w:t>
      </w:r>
    </w:p>
    <w:p w14:paraId="29301BBD" w14:textId="77777777" w:rsidR="007C4E3D" w:rsidRPr="00D26524" w:rsidRDefault="007C4E3D">
      <w:pPr>
        <w:spacing w:line="360" w:lineRule="auto"/>
        <w:ind w:right="49"/>
        <w:jc w:val="both"/>
        <w:rPr>
          <w:rFonts w:ascii="Palatino Linotype" w:eastAsia="Palatino Linotype" w:hAnsi="Palatino Linotype" w:cs="Palatino Linotype"/>
        </w:rPr>
      </w:pPr>
    </w:p>
    <w:p w14:paraId="35A4F8F4" w14:textId="77777777" w:rsidR="007C4E3D" w:rsidRPr="00D26524" w:rsidRDefault="00D600C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Dicho esto, es importante señalar que, de las constancias que obran en el expediente electrónico, se logra vislumbrar que quien dio atención a la solicitud fue la Tesorería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4EF7392" w14:textId="77777777" w:rsidR="007C4E3D" w:rsidRPr="00D26524" w:rsidRDefault="007C4E3D">
      <w:pPr>
        <w:spacing w:line="360" w:lineRule="auto"/>
        <w:ind w:right="560"/>
        <w:jc w:val="both"/>
        <w:rPr>
          <w:rFonts w:ascii="Palatino Linotype" w:eastAsia="Palatino Linotype" w:hAnsi="Palatino Linotype" w:cs="Palatino Linotype"/>
          <w:sz w:val="22"/>
          <w:szCs w:val="22"/>
        </w:rPr>
      </w:pPr>
    </w:p>
    <w:p w14:paraId="41317417" w14:textId="77777777" w:rsidR="007C4E3D" w:rsidRPr="00D26524" w:rsidRDefault="00D600C8">
      <w:pPr>
        <w:numPr>
          <w:ilvl w:val="3"/>
          <w:numId w:val="1"/>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13F7E35" w14:textId="77777777" w:rsidR="007C4E3D" w:rsidRPr="00D26524" w:rsidRDefault="00D600C8">
      <w:pPr>
        <w:numPr>
          <w:ilvl w:val="3"/>
          <w:numId w:val="1"/>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BD987A8" w14:textId="77777777" w:rsidR="007C4E3D" w:rsidRPr="00D26524" w:rsidRDefault="007C4E3D">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p>
    <w:p w14:paraId="0335E7B1"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Así, y, conforme a lo establecido en párrafos anteriores, el Sujeto Obligado cumplió con el procedimiento de búsqueda establecido en el artículo 162 de la Ley de Transparencia y Acceso a la Información Pública del Estado de México y Municipios, ya que se advierte que el requerimiento se gestionó en la Tesorería Municipal, quien cuenta con atribuciones, facultades y competencia para generar, administrar y poseer información relacionada con el monto de los recursos públicos que eroga el Ayuntamiento.</w:t>
      </w:r>
    </w:p>
    <w:p w14:paraId="4606127E"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72005785"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Ahora bien, en relación con los agravios hechos valer por la parte recurrente, relacionados con la negativa de entrega de la información, es menester referir que, la parte Recurrente solicitó los documentos que amparen los pagos y erogaciones realizados del uno de enero al doce de junio de 2025, no obstante, en respuesta remitió los Estados Analíticos del Ejercicio del Presupuesto de Egresos, documentos que no dan cuenta de lo solicitado por la parte Recurrente, aunado a que, señaló diversas ligas electrónicas en formato cerrado. </w:t>
      </w:r>
    </w:p>
    <w:p w14:paraId="122A81CE"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03C27250"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Es por lo que, en lo que respecta a los documentos que amparan los pagos y las erogaciones, tal como se previó anteriormente, las facturas son los documentos idóneos que pueden colmar la pretensión de la parte Recurrente, ahora bien, respecto al pronunciamiento del Sujeto Obligado relacionado a que la información del segundo trimestre se encuentra en proceso de integración, es de señalar que las facturas es información de interés público y deben ser entregadas a los particulares cuando estos las soliciten, siendo que, la integración por trimestres es únicamente para dar cumplimiento a obligaciones fiscales, no así para cumplir aquellas en materia de derecho de acceso a la información pública. </w:t>
      </w:r>
    </w:p>
    <w:p w14:paraId="55A81C8F"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2D5C8E50"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Por otro lado, en lo que concierne a las ligas electrónicas, es menester referir que de conformidad con el artículo 161 de la Ley de Transparencia y Acceso a la Información Pública del Estado de México y Municipios</w:t>
      </w: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sz w:val="22"/>
          <w:szCs w:val="22"/>
        </w:rPr>
        <w:t xml:space="preserve"> cuando la información que es del interés de las personas solicitantes se encuentre disponible al público en medios impresos, tales como libros, compendios, trípticos, registros públicos, en formatos electrónicos disponibles en internet o en cualquier otro medio, los Sujetos Obligados cuentan con la prerrogativa de informar a los peticionarios por el medio requerido la fuente, el lugar y la forma en que puede consultar, reproducir o adquirir dicha información; en este caso el sistema SAIMEX, dicha fuente debe ser precisa, concreta y no debe implicar que la persona solicitante realice una búsqueda en toda la información que se encuentre disponible.</w:t>
      </w:r>
    </w:p>
    <w:p w14:paraId="52CC7046"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07FC05C6"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Asimismo, es de destacar que en el presente caso, el Sujeto Obligado proporcionó las ligas electrónicas </w:t>
      </w:r>
      <w:r w:rsidRPr="00D26524">
        <w:rPr>
          <w:rFonts w:ascii="Palatino Linotype" w:eastAsia="Palatino Linotype" w:hAnsi="Palatino Linotype" w:cs="Palatino Linotype"/>
          <w:b/>
          <w:bCs/>
          <w:sz w:val="22"/>
          <w:szCs w:val="22"/>
          <w:u w:val="single"/>
        </w:rPr>
        <w:t>en un documento digitalizado</w:t>
      </w:r>
      <w:r w:rsidRPr="00D26524">
        <w:rPr>
          <w:rFonts w:ascii="Palatino Linotype" w:eastAsia="Palatino Linotype" w:hAnsi="Palatino Linotype" w:cs="Palatino Linotype"/>
          <w:sz w:val="22"/>
          <w:szCs w:val="22"/>
        </w:rPr>
        <w:t>, el cual no permite su manipulación, esto es, no permite copiar, editar, modificar o procesar su contenido, por lo que, es necesario realizar la captura carácter por carácter, tarea que se dificulta si tomamos en consideración que las direcciones están compuestas por una cantidad considerable de caracteres, tal como se observa a continuación:</w:t>
      </w:r>
    </w:p>
    <w:p w14:paraId="6A763653"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540EED3C" w14:textId="77777777" w:rsidR="007C4E3D" w:rsidRPr="00D26524" w:rsidRDefault="00D600C8">
      <w:pPr>
        <w:spacing w:line="360" w:lineRule="auto"/>
        <w:ind w:right="49"/>
        <w:jc w:val="center"/>
        <w:rPr>
          <w:rFonts w:ascii="Palatino Linotype" w:eastAsia="Palatino Linotype" w:hAnsi="Palatino Linotype" w:cs="Palatino Linotype"/>
          <w:sz w:val="22"/>
          <w:szCs w:val="22"/>
        </w:rPr>
      </w:pPr>
      <w:r w:rsidRPr="00D26524">
        <w:rPr>
          <w:rFonts w:ascii="Palatino Linotype" w:eastAsia="Palatino Linotype" w:hAnsi="Palatino Linotype" w:cs="Palatino Linotype"/>
          <w:noProof/>
          <w:sz w:val="22"/>
          <w:szCs w:val="22"/>
          <w:lang w:val="es-MX"/>
        </w:rPr>
        <w:drawing>
          <wp:inline distT="0" distB="0" distL="0" distR="0" wp14:anchorId="0DC375AC" wp14:editId="1E860467">
            <wp:extent cx="4058216" cy="57158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058216" cy="571580"/>
                    </a:xfrm>
                    <a:prstGeom prst="rect">
                      <a:avLst/>
                    </a:prstGeom>
                    <a:ln/>
                  </pic:spPr>
                </pic:pic>
              </a:graphicData>
            </a:graphic>
          </wp:inline>
        </w:drawing>
      </w:r>
    </w:p>
    <w:p w14:paraId="5BB003E4" w14:textId="77777777" w:rsidR="007C4E3D" w:rsidRPr="00D26524" w:rsidRDefault="00D600C8">
      <w:pPr>
        <w:spacing w:line="360" w:lineRule="auto"/>
        <w:ind w:right="49"/>
        <w:jc w:val="center"/>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w:t>
      </w:r>
    </w:p>
    <w:p w14:paraId="0A922DA7" w14:textId="77777777" w:rsidR="007C4E3D" w:rsidRPr="00D26524" w:rsidRDefault="00D600C8">
      <w:pPr>
        <w:spacing w:line="360" w:lineRule="auto"/>
        <w:ind w:right="49"/>
        <w:jc w:val="center"/>
        <w:rPr>
          <w:rFonts w:ascii="Palatino Linotype" w:eastAsia="Palatino Linotype" w:hAnsi="Palatino Linotype" w:cs="Palatino Linotype"/>
          <w:sz w:val="22"/>
          <w:szCs w:val="22"/>
        </w:rPr>
      </w:pPr>
      <w:r w:rsidRPr="00D26524">
        <w:rPr>
          <w:rFonts w:ascii="Palatino Linotype" w:eastAsia="Palatino Linotype" w:hAnsi="Palatino Linotype" w:cs="Palatino Linotype"/>
          <w:noProof/>
          <w:sz w:val="22"/>
          <w:szCs w:val="22"/>
          <w:lang w:val="es-MX"/>
        </w:rPr>
        <w:drawing>
          <wp:inline distT="0" distB="0" distL="0" distR="0" wp14:anchorId="1663B0BF" wp14:editId="09805440">
            <wp:extent cx="5858693" cy="1514686"/>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58693" cy="1514686"/>
                    </a:xfrm>
                    <a:prstGeom prst="rect">
                      <a:avLst/>
                    </a:prstGeom>
                    <a:ln/>
                  </pic:spPr>
                </pic:pic>
              </a:graphicData>
            </a:graphic>
          </wp:inline>
        </w:drawing>
      </w:r>
    </w:p>
    <w:p w14:paraId="24EE21C2" w14:textId="77777777" w:rsidR="007C4E3D" w:rsidRPr="00D26524" w:rsidRDefault="007C4E3D">
      <w:pPr>
        <w:spacing w:line="360" w:lineRule="auto"/>
        <w:ind w:right="49"/>
        <w:rPr>
          <w:rFonts w:ascii="Palatino Linotype" w:eastAsia="Palatino Linotype" w:hAnsi="Palatino Linotype" w:cs="Palatino Linotype"/>
          <w:sz w:val="22"/>
          <w:szCs w:val="22"/>
        </w:rPr>
      </w:pPr>
    </w:p>
    <w:p w14:paraId="5E91CAE5"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Finalmente, es de referir que la parte Recurrente solicitó obtener datos como el nombre del proveedor y el motivo del pago, información que podrá localizarse en la propia factura. </w:t>
      </w:r>
    </w:p>
    <w:p w14:paraId="1A218E9B"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                            </w:t>
      </w:r>
    </w:p>
    <w:p w14:paraId="14689ADD"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Por todo lo anterior, se determina que los agravios hechos valer por el Solicitante devienen </w:t>
      </w:r>
      <w:r w:rsidRPr="00D26524">
        <w:rPr>
          <w:rFonts w:ascii="Palatino Linotype" w:eastAsia="Palatino Linotype" w:hAnsi="Palatino Linotype" w:cs="Palatino Linotype"/>
          <w:b/>
          <w:bCs/>
          <w:sz w:val="22"/>
          <w:szCs w:val="22"/>
        </w:rPr>
        <w:t>FUNDADOS</w:t>
      </w:r>
      <w:r w:rsidRPr="00D26524">
        <w:rPr>
          <w:rFonts w:ascii="Palatino Linotype" w:eastAsia="Palatino Linotype" w:hAnsi="Palatino Linotype" w:cs="Palatino Linotype"/>
          <w:sz w:val="22"/>
          <w:szCs w:val="22"/>
        </w:rPr>
        <w:t xml:space="preserve">, en consecuencia, se </w:t>
      </w:r>
      <w:r w:rsidRPr="00D26524">
        <w:rPr>
          <w:rFonts w:ascii="Palatino Linotype" w:eastAsia="Palatino Linotype" w:hAnsi="Palatino Linotype" w:cs="Palatino Linotype"/>
          <w:b/>
          <w:bCs/>
          <w:sz w:val="22"/>
          <w:szCs w:val="22"/>
        </w:rPr>
        <w:t xml:space="preserve">REVOCA </w:t>
      </w:r>
      <w:r w:rsidRPr="00D26524">
        <w:rPr>
          <w:rFonts w:ascii="Palatino Linotype" w:eastAsia="Palatino Linotype" w:hAnsi="Palatino Linotype" w:cs="Palatino Linotype"/>
          <w:sz w:val="22"/>
          <w:szCs w:val="22"/>
        </w:rPr>
        <w:t xml:space="preserve">la respuesta del Sujeto Obligado y, se </w:t>
      </w:r>
      <w:r w:rsidRPr="00D26524">
        <w:rPr>
          <w:rFonts w:ascii="Palatino Linotype" w:eastAsia="Palatino Linotype" w:hAnsi="Palatino Linotype" w:cs="Palatino Linotype"/>
          <w:b/>
          <w:bCs/>
          <w:sz w:val="22"/>
          <w:szCs w:val="22"/>
        </w:rPr>
        <w:t xml:space="preserve">ORDENA </w:t>
      </w:r>
      <w:r w:rsidRPr="00D26524">
        <w:rPr>
          <w:rFonts w:ascii="Palatino Linotype" w:eastAsia="Palatino Linotype" w:hAnsi="Palatino Linotype" w:cs="Palatino Linotype"/>
          <w:sz w:val="22"/>
          <w:szCs w:val="22"/>
        </w:rPr>
        <w:t>haga entrega, vía Sistema de Acceso a la Información Mexiquense, de ser el caso en versión pública de la siguiente información:</w:t>
      </w:r>
    </w:p>
    <w:p w14:paraId="0C09DFDD" w14:textId="77777777" w:rsidR="007C4E3D" w:rsidRPr="00D26524" w:rsidRDefault="00D600C8">
      <w:pPr>
        <w:numPr>
          <w:ilvl w:val="0"/>
          <w:numId w:val="4"/>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Documentos donde consten las erogaciones realizadas por la Tesorería Municipal del uno de enero al doce de junio de dos mil veinticinco.  </w:t>
      </w:r>
    </w:p>
    <w:p w14:paraId="71DDD103" w14:textId="77777777" w:rsidR="007C4E3D" w:rsidRPr="00D26524" w:rsidRDefault="007C4E3D">
      <w:pPr>
        <w:pBdr>
          <w:top w:val="nil"/>
          <w:left w:val="nil"/>
          <w:bottom w:val="nil"/>
          <w:right w:val="nil"/>
          <w:between w:val="nil"/>
        </w:pBdr>
        <w:spacing w:line="360" w:lineRule="auto"/>
        <w:ind w:left="207" w:right="560" w:hanging="720"/>
        <w:jc w:val="both"/>
        <w:rPr>
          <w:rFonts w:ascii="Palatino Linotype" w:eastAsia="Palatino Linotype" w:hAnsi="Palatino Linotype" w:cs="Palatino Linotype"/>
          <w:sz w:val="22"/>
          <w:szCs w:val="22"/>
        </w:rPr>
      </w:pPr>
    </w:p>
    <w:p w14:paraId="65A854FA" w14:textId="77777777" w:rsidR="007C4E3D" w:rsidRPr="00D26524" w:rsidRDefault="00D600C8">
      <w:pPr>
        <w:spacing w:line="276" w:lineRule="auto"/>
        <w:ind w:left="567" w:right="560"/>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así como respecto de los documentos entregados en respuesta y se pongan a disposición de la parte Recurrente, mismo que igualmente hará de su conocimiento. </w:t>
      </w:r>
    </w:p>
    <w:p w14:paraId="05D0E273" w14:textId="77777777" w:rsidR="007C4E3D" w:rsidRPr="00D26524" w:rsidRDefault="007C4E3D">
      <w:pPr>
        <w:spacing w:line="360" w:lineRule="auto"/>
        <w:jc w:val="both"/>
        <w:rPr>
          <w:rFonts w:ascii="Palatino Linotype" w:eastAsia="Palatino Linotype" w:hAnsi="Palatino Linotype" w:cs="Palatino Linotype"/>
          <w:b/>
          <w:bCs/>
          <w:sz w:val="22"/>
          <w:szCs w:val="22"/>
        </w:rPr>
      </w:pPr>
    </w:p>
    <w:p w14:paraId="398C1145"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Quinto. Versión Pública.</w:t>
      </w:r>
      <w:r w:rsidRPr="00D26524">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deberá hacer la elaboración de la versión pública de los mismos a fin de satisfacer el derecho de acceso a la información pública de la parte </w:t>
      </w:r>
      <w:r w:rsidRPr="00D26524">
        <w:rPr>
          <w:rFonts w:ascii="Palatino Linotype" w:eastAsia="Palatino Linotype" w:hAnsi="Palatino Linotype" w:cs="Palatino Linotype"/>
          <w:b/>
          <w:bCs/>
          <w:sz w:val="22"/>
          <w:szCs w:val="22"/>
        </w:rPr>
        <w:t>Recurrente</w:t>
      </w:r>
      <w:r w:rsidRPr="00D26524">
        <w:rPr>
          <w:rFonts w:ascii="Palatino Linotype" w:eastAsia="Palatino Linotype" w:hAnsi="Palatino Linotype" w:cs="Palatino Linotype"/>
          <w:sz w:val="22"/>
          <w:szCs w:val="22"/>
        </w:rPr>
        <w:t xml:space="preserve"> sin menoscabo al derecho a la protección de los datos personales de terceros.</w:t>
      </w:r>
    </w:p>
    <w:p w14:paraId="4D7F6672"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2B8A1036"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6A9CB790" w14:textId="77777777" w:rsidR="007C4E3D" w:rsidRPr="00D26524" w:rsidRDefault="007C4E3D">
      <w:pPr>
        <w:spacing w:line="360" w:lineRule="auto"/>
        <w:jc w:val="both"/>
        <w:rPr>
          <w:sz w:val="22"/>
          <w:szCs w:val="22"/>
        </w:rPr>
      </w:pPr>
    </w:p>
    <w:p w14:paraId="193B0840"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La </w:t>
      </w:r>
      <w:r w:rsidRPr="00D26524">
        <w:rPr>
          <w:rFonts w:ascii="Palatino Linotype" w:eastAsia="Palatino Linotype" w:hAnsi="Palatino Linotype" w:cs="Palatino Linotype"/>
          <w:b/>
          <w:bCs/>
          <w:sz w:val="22"/>
          <w:szCs w:val="22"/>
        </w:rPr>
        <w:t>clave de elector</w:t>
      </w:r>
      <w:r w:rsidRPr="00D26524">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08B8392C" w14:textId="77777777" w:rsidR="007C4E3D" w:rsidRPr="00D26524" w:rsidRDefault="007C4E3D">
      <w:pPr>
        <w:spacing w:line="360" w:lineRule="auto"/>
        <w:jc w:val="both"/>
        <w:rPr>
          <w:sz w:val="22"/>
          <w:szCs w:val="22"/>
        </w:rPr>
      </w:pPr>
    </w:p>
    <w:p w14:paraId="1E76101F"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El </w:t>
      </w:r>
      <w:r w:rsidRPr="00D26524">
        <w:rPr>
          <w:rFonts w:ascii="Palatino Linotype" w:eastAsia="Palatino Linotype" w:hAnsi="Palatino Linotype" w:cs="Palatino Linotype"/>
          <w:b/>
          <w:bCs/>
          <w:sz w:val="22"/>
          <w:szCs w:val="22"/>
        </w:rPr>
        <w:t>número de OCR,</w:t>
      </w:r>
      <w:r w:rsidRPr="00D26524">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32554583" w14:textId="77777777" w:rsidR="007C4E3D" w:rsidRPr="00D26524" w:rsidRDefault="007C4E3D">
      <w:pPr>
        <w:spacing w:line="360" w:lineRule="auto"/>
        <w:jc w:val="both"/>
        <w:rPr>
          <w:sz w:val="22"/>
          <w:szCs w:val="22"/>
        </w:rPr>
      </w:pPr>
    </w:p>
    <w:p w14:paraId="0C587AAD"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La </w:t>
      </w:r>
      <w:r w:rsidRPr="00D26524">
        <w:rPr>
          <w:rFonts w:ascii="Palatino Linotype" w:eastAsia="Palatino Linotype" w:hAnsi="Palatino Linotype" w:cs="Palatino Linotype"/>
          <w:b/>
          <w:bCs/>
          <w:sz w:val="22"/>
          <w:szCs w:val="22"/>
        </w:rPr>
        <w:t>clave única del registro de población,</w:t>
      </w:r>
      <w:r w:rsidRPr="00D26524">
        <w:rPr>
          <w:rFonts w:ascii="Palatino Linotype" w:eastAsia="Palatino Linotype" w:hAnsi="Palatino Linotype" w:cs="Palatino Linotype"/>
          <w:i/>
          <w:iCs/>
          <w:sz w:val="22"/>
          <w:szCs w:val="22"/>
        </w:rPr>
        <w:t xml:space="preserve"> </w:t>
      </w:r>
      <w:r w:rsidRPr="00D26524">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966E849" w14:textId="77777777" w:rsidR="007C4E3D" w:rsidRPr="00D26524" w:rsidRDefault="007C4E3D">
      <w:pPr>
        <w:spacing w:line="360" w:lineRule="auto"/>
        <w:jc w:val="both"/>
        <w:rPr>
          <w:sz w:val="22"/>
          <w:szCs w:val="22"/>
        </w:rPr>
      </w:pPr>
    </w:p>
    <w:p w14:paraId="3BE9FD28"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Igualmente, resulta importante destacar que el </w:t>
      </w:r>
      <w:r w:rsidRPr="00D26524">
        <w:rPr>
          <w:rFonts w:ascii="Palatino Linotype" w:eastAsia="Palatino Linotype" w:hAnsi="Palatino Linotype" w:cs="Palatino Linotype"/>
          <w:i/>
          <w:iCs/>
          <w:sz w:val="22"/>
          <w:szCs w:val="22"/>
        </w:rPr>
        <w:t>número de cuenta bancaria</w:t>
      </w:r>
      <w:r w:rsidRPr="00D26524">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AA1A9B2" w14:textId="77777777" w:rsidR="007C4E3D" w:rsidRPr="00D26524" w:rsidRDefault="007C4E3D">
      <w:pPr>
        <w:spacing w:line="360" w:lineRule="auto"/>
        <w:ind w:right="50"/>
        <w:jc w:val="both"/>
        <w:rPr>
          <w:sz w:val="22"/>
          <w:szCs w:val="22"/>
        </w:rPr>
      </w:pPr>
    </w:p>
    <w:p w14:paraId="46F7D40D"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C8ECE04" w14:textId="77777777" w:rsidR="007C4E3D" w:rsidRPr="00D26524" w:rsidRDefault="007C4E3D">
      <w:pPr>
        <w:spacing w:line="360" w:lineRule="auto"/>
        <w:ind w:right="50"/>
        <w:jc w:val="both"/>
        <w:rPr>
          <w:sz w:val="22"/>
          <w:szCs w:val="22"/>
        </w:rPr>
      </w:pPr>
    </w:p>
    <w:p w14:paraId="7D823A61"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8068DA8" w14:textId="77777777" w:rsidR="007C4E3D" w:rsidRPr="00D26524" w:rsidRDefault="007C4E3D">
      <w:pPr>
        <w:spacing w:line="360" w:lineRule="auto"/>
        <w:ind w:right="50"/>
        <w:jc w:val="both"/>
        <w:rPr>
          <w:sz w:val="22"/>
          <w:szCs w:val="22"/>
        </w:rPr>
      </w:pPr>
    </w:p>
    <w:p w14:paraId="7E752797"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6F7CC995" w14:textId="77777777" w:rsidR="007C4E3D" w:rsidRPr="00D26524" w:rsidRDefault="007C4E3D">
      <w:pPr>
        <w:spacing w:line="360" w:lineRule="auto"/>
        <w:ind w:right="50"/>
        <w:jc w:val="both"/>
        <w:rPr>
          <w:sz w:val="22"/>
          <w:szCs w:val="22"/>
        </w:rPr>
      </w:pPr>
    </w:p>
    <w:p w14:paraId="214E518A" w14:textId="77777777" w:rsidR="007C4E3D" w:rsidRPr="00D26524" w:rsidRDefault="00D600C8">
      <w:pPr>
        <w:spacing w:line="360" w:lineRule="auto"/>
        <w:ind w:right="50"/>
        <w:jc w:val="both"/>
        <w:rPr>
          <w:sz w:val="22"/>
          <w:szCs w:val="22"/>
        </w:rPr>
      </w:pPr>
      <w:r w:rsidRPr="00D26524">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549AF113"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571F4CDA" w14:textId="77777777" w:rsidR="007C4E3D" w:rsidRPr="00D26524" w:rsidRDefault="007C4E3D">
      <w:pPr>
        <w:spacing w:line="360" w:lineRule="auto"/>
        <w:ind w:right="50"/>
        <w:jc w:val="both"/>
        <w:rPr>
          <w:sz w:val="22"/>
          <w:szCs w:val="22"/>
        </w:rPr>
      </w:pPr>
    </w:p>
    <w:p w14:paraId="66D43710"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765141EB" w14:textId="77777777" w:rsidR="007C4E3D" w:rsidRPr="00D26524" w:rsidRDefault="007C4E3D">
      <w:pPr>
        <w:spacing w:line="276" w:lineRule="auto"/>
        <w:ind w:right="50"/>
        <w:jc w:val="both"/>
        <w:rPr>
          <w:sz w:val="22"/>
          <w:szCs w:val="22"/>
        </w:rPr>
      </w:pPr>
    </w:p>
    <w:p w14:paraId="265ABDCC" w14:textId="77777777" w:rsidR="007C4E3D" w:rsidRPr="00D26524" w:rsidRDefault="00D600C8">
      <w:pPr>
        <w:spacing w:line="276" w:lineRule="auto"/>
        <w:ind w:left="851" w:right="900"/>
        <w:jc w:val="both"/>
        <w:rPr>
          <w:sz w:val="22"/>
          <w:szCs w:val="22"/>
        </w:rPr>
      </w:pPr>
      <w:r w:rsidRPr="00D26524">
        <w:rPr>
          <w:rFonts w:ascii="Palatino Linotype" w:eastAsia="Palatino Linotype" w:hAnsi="Palatino Linotype" w:cs="Palatino Linotype"/>
          <w:b/>
          <w:bCs/>
          <w:i/>
          <w:iCs/>
          <w:sz w:val="22"/>
          <w:szCs w:val="22"/>
        </w:rPr>
        <w:t>“Cuentas bancarias y/o CLABE interbancaria de personas físicas y morales privadas.</w:t>
      </w:r>
      <w:r w:rsidRPr="00D26524">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2300478" w14:textId="77777777" w:rsidR="007C4E3D" w:rsidRPr="00D26524" w:rsidRDefault="00D600C8">
      <w:pPr>
        <w:spacing w:line="276" w:lineRule="auto"/>
        <w:ind w:left="851" w:right="900"/>
        <w:jc w:val="both"/>
        <w:rPr>
          <w:sz w:val="22"/>
          <w:szCs w:val="22"/>
        </w:rPr>
      </w:pPr>
      <w:r w:rsidRPr="00D26524">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D26524">
        <w:rPr>
          <w:rFonts w:ascii="Palatino Linotype" w:eastAsia="Palatino Linotype" w:hAnsi="Palatino Linotype" w:cs="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7281C68" w14:textId="77777777" w:rsidR="007C4E3D" w:rsidRPr="00D26524" w:rsidRDefault="007C4E3D">
      <w:pPr>
        <w:spacing w:line="360" w:lineRule="auto"/>
        <w:ind w:right="50"/>
        <w:jc w:val="both"/>
        <w:rPr>
          <w:rFonts w:ascii="Palatino Linotype" w:eastAsia="Palatino Linotype" w:hAnsi="Palatino Linotype" w:cs="Palatino Linotype"/>
          <w:sz w:val="22"/>
          <w:szCs w:val="22"/>
        </w:rPr>
      </w:pPr>
    </w:p>
    <w:p w14:paraId="28D666BA"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Por cuanto hace al </w:t>
      </w:r>
      <w:r w:rsidRPr="00D26524">
        <w:rPr>
          <w:rFonts w:ascii="Palatino Linotype" w:eastAsia="Palatino Linotype" w:hAnsi="Palatino Linotype" w:cs="Palatino Linotype"/>
          <w:b/>
          <w:bCs/>
          <w:sz w:val="22"/>
          <w:szCs w:val="22"/>
        </w:rPr>
        <w:t xml:space="preserve">Registro Federal de Contribuyentes (RFC) </w:t>
      </w:r>
      <w:r w:rsidRPr="00D26524">
        <w:rPr>
          <w:rFonts w:ascii="Palatino Linotype" w:eastAsia="Palatino Linotype" w:hAnsi="Palatino Linotype" w:cs="Palatino Linotype"/>
          <w:sz w:val="22"/>
          <w:szCs w:val="22"/>
        </w:rPr>
        <w:t>y</w:t>
      </w:r>
      <w:r w:rsidRPr="00D26524">
        <w:rPr>
          <w:rFonts w:ascii="Palatino Linotype" w:eastAsia="Palatino Linotype" w:hAnsi="Palatino Linotype" w:cs="Palatino Linotype"/>
          <w:b/>
          <w:bCs/>
          <w:sz w:val="22"/>
          <w:szCs w:val="22"/>
        </w:rPr>
        <w:t xml:space="preserve"> el domicilio fiscal </w:t>
      </w:r>
      <w:r w:rsidRPr="00D26524">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42FA6BB" w14:textId="77777777" w:rsidR="007C4E3D" w:rsidRPr="00D26524" w:rsidRDefault="007C4E3D">
      <w:pPr>
        <w:spacing w:line="360" w:lineRule="auto"/>
        <w:ind w:right="50"/>
        <w:jc w:val="both"/>
        <w:rPr>
          <w:sz w:val="22"/>
          <w:szCs w:val="22"/>
        </w:rPr>
      </w:pPr>
    </w:p>
    <w:p w14:paraId="731C353A"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C32D9C6" w14:textId="77777777" w:rsidR="007C4E3D" w:rsidRPr="00D26524" w:rsidRDefault="007C4E3D">
      <w:pPr>
        <w:spacing w:line="360" w:lineRule="auto"/>
        <w:ind w:right="50"/>
        <w:jc w:val="both"/>
        <w:rPr>
          <w:sz w:val="22"/>
          <w:szCs w:val="22"/>
        </w:rPr>
      </w:pPr>
    </w:p>
    <w:p w14:paraId="65D94364"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D26524">
        <w:rPr>
          <w:rFonts w:ascii="Palatino Linotype" w:eastAsia="Palatino Linotype" w:hAnsi="Palatino Linotype" w:cs="Palatino Linotype"/>
          <w:b/>
          <w:bCs/>
          <w:sz w:val="22"/>
          <w:szCs w:val="22"/>
        </w:rPr>
        <w:t>no puede considerarse como información clasificada lo relativo a su nombre, registro federal de contribuyentes y domicilio fiscal</w:t>
      </w:r>
      <w:r w:rsidRPr="00D26524">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AFB3196" w14:textId="77777777" w:rsidR="007C4E3D" w:rsidRPr="00D26524" w:rsidRDefault="007C4E3D">
      <w:pPr>
        <w:spacing w:line="360" w:lineRule="auto"/>
        <w:ind w:right="50"/>
        <w:jc w:val="both"/>
        <w:rPr>
          <w:sz w:val="22"/>
          <w:szCs w:val="22"/>
        </w:rPr>
      </w:pPr>
    </w:p>
    <w:p w14:paraId="71AA34A9"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29B32A30" w14:textId="77777777" w:rsidR="007C4E3D" w:rsidRPr="00D26524" w:rsidRDefault="007C4E3D">
      <w:pPr>
        <w:spacing w:line="360" w:lineRule="auto"/>
        <w:jc w:val="both"/>
        <w:rPr>
          <w:sz w:val="22"/>
          <w:szCs w:val="22"/>
        </w:rPr>
      </w:pPr>
    </w:p>
    <w:p w14:paraId="59663167" w14:textId="77777777" w:rsidR="007C4E3D" w:rsidRPr="00D26524" w:rsidRDefault="00D600C8">
      <w:pPr>
        <w:spacing w:line="276" w:lineRule="auto"/>
        <w:ind w:left="851" w:right="902"/>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 xml:space="preserve">“Registro Federal de Contribuyentes (RFC) de personas físicas proveedoras o contratistas. </w:t>
      </w:r>
      <w:r w:rsidRPr="00D26524">
        <w:rPr>
          <w:rFonts w:ascii="Palatino Linotype" w:eastAsia="Palatino Linotype" w:hAnsi="Palatino Linotype" w:cs="Palatino Linotype"/>
          <w:i/>
          <w:iCs/>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0821E93" w14:textId="77777777" w:rsidR="007C4E3D" w:rsidRPr="00D26524" w:rsidRDefault="007C4E3D">
      <w:pPr>
        <w:spacing w:line="360" w:lineRule="auto"/>
        <w:ind w:left="851" w:right="902"/>
        <w:jc w:val="both"/>
        <w:rPr>
          <w:sz w:val="22"/>
          <w:szCs w:val="22"/>
        </w:rPr>
      </w:pPr>
    </w:p>
    <w:p w14:paraId="5ADBC54B"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Relacionado con lo anterior, el </w:t>
      </w:r>
      <w:r w:rsidRPr="00D26524">
        <w:rPr>
          <w:rFonts w:ascii="Palatino Linotype" w:eastAsia="Palatino Linotype" w:hAnsi="Palatino Linotype" w:cs="Palatino Linotype"/>
          <w:b/>
          <w:bCs/>
          <w:sz w:val="22"/>
          <w:szCs w:val="22"/>
        </w:rPr>
        <w:t>nombre de las personas físicas</w:t>
      </w:r>
      <w:r w:rsidRPr="00D26524">
        <w:rPr>
          <w:rFonts w:ascii="Palatino Linotype" w:eastAsia="Palatino Linotype" w:hAnsi="Palatino Linotype" w:cs="Palatino Linotype"/>
          <w:sz w:val="22"/>
          <w:szCs w:val="22"/>
        </w:rPr>
        <w:t xml:space="preserve"> o los </w:t>
      </w:r>
      <w:r w:rsidRPr="00D26524">
        <w:rPr>
          <w:rFonts w:ascii="Palatino Linotype" w:eastAsia="Palatino Linotype" w:hAnsi="Palatino Linotype" w:cs="Palatino Linotype"/>
          <w:b/>
          <w:bCs/>
          <w:sz w:val="22"/>
          <w:szCs w:val="22"/>
        </w:rPr>
        <w:t>representantes legales de las personas morales</w:t>
      </w:r>
      <w:r w:rsidRPr="00D26524">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C2CAA8F" w14:textId="77777777" w:rsidR="007C4E3D" w:rsidRPr="00D26524" w:rsidRDefault="007C4E3D">
      <w:pPr>
        <w:spacing w:line="360" w:lineRule="auto"/>
        <w:ind w:right="50"/>
        <w:jc w:val="both"/>
        <w:rPr>
          <w:sz w:val="22"/>
          <w:szCs w:val="22"/>
        </w:rPr>
      </w:pPr>
    </w:p>
    <w:p w14:paraId="18980166"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A7A6A8B" w14:textId="77777777" w:rsidR="007C4E3D" w:rsidRPr="00D26524" w:rsidRDefault="007C4E3D">
      <w:pPr>
        <w:spacing w:line="360" w:lineRule="auto"/>
        <w:ind w:right="50"/>
        <w:jc w:val="both"/>
        <w:rPr>
          <w:sz w:val="22"/>
          <w:szCs w:val="22"/>
        </w:rPr>
      </w:pPr>
    </w:p>
    <w:p w14:paraId="65560AB8" w14:textId="77777777" w:rsidR="007C4E3D" w:rsidRPr="00D26524" w:rsidRDefault="00D600C8">
      <w:pPr>
        <w:spacing w:line="276" w:lineRule="auto"/>
        <w:ind w:left="851" w:right="902"/>
        <w:jc w:val="both"/>
        <w:rPr>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Artículo 23.</w:t>
      </w:r>
      <w:r w:rsidRPr="00D26524">
        <w:rPr>
          <w:rFonts w:ascii="Palatino Linotype" w:eastAsia="Palatino Linotype" w:hAnsi="Palatino Linotype" w:cs="Palatino Linotype"/>
          <w:i/>
          <w:iCs/>
          <w:sz w:val="22"/>
          <w:szCs w:val="22"/>
        </w:rPr>
        <w:t xml:space="preserve"> (…)</w:t>
      </w:r>
    </w:p>
    <w:p w14:paraId="30E625D6" w14:textId="77777777" w:rsidR="007C4E3D" w:rsidRPr="00D26524" w:rsidRDefault="00D600C8">
      <w:pPr>
        <w:spacing w:line="276" w:lineRule="auto"/>
        <w:ind w:left="851" w:right="902"/>
        <w:jc w:val="both"/>
        <w:rPr>
          <w:sz w:val="22"/>
          <w:szCs w:val="22"/>
        </w:rPr>
      </w:pPr>
      <w:r w:rsidRPr="00D26524">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846594A"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0DDC177F"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4F7E0BAC" w14:textId="77777777" w:rsidR="007C4E3D" w:rsidRPr="00D26524" w:rsidRDefault="007C4E3D">
      <w:pPr>
        <w:spacing w:line="360" w:lineRule="auto"/>
        <w:jc w:val="both"/>
        <w:rPr>
          <w:sz w:val="22"/>
          <w:szCs w:val="22"/>
        </w:rPr>
      </w:pPr>
    </w:p>
    <w:p w14:paraId="3192A997" w14:textId="77777777" w:rsidR="007C4E3D" w:rsidRPr="00D26524" w:rsidRDefault="00D600C8">
      <w:pPr>
        <w:spacing w:line="276" w:lineRule="auto"/>
        <w:ind w:left="851" w:right="900"/>
        <w:jc w:val="both"/>
        <w:rPr>
          <w:sz w:val="22"/>
          <w:szCs w:val="22"/>
        </w:rPr>
      </w:pPr>
      <w:r w:rsidRPr="00D26524">
        <w:rPr>
          <w:rFonts w:ascii="Palatino Linotype" w:eastAsia="Palatino Linotype" w:hAnsi="Palatino Linotype" w:cs="Palatino Linotype"/>
          <w:b/>
          <w:bCs/>
          <w:i/>
          <w:iCs/>
          <w:sz w:val="22"/>
          <w:szCs w:val="22"/>
        </w:rPr>
        <w:t>“Datos de identificación del representante o apoderado legal.</w:t>
      </w:r>
      <w:r w:rsidRPr="00D26524">
        <w:rPr>
          <w:rFonts w:ascii="Palatino Linotype" w:eastAsia="Palatino Linotype" w:hAnsi="Palatino Linotype" w:cs="Palatino Linotype"/>
          <w:i/>
          <w:iCs/>
          <w:sz w:val="22"/>
          <w:szCs w:val="22"/>
        </w:rPr>
        <w:t xml:space="preserve"> </w:t>
      </w:r>
      <w:r w:rsidRPr="00D26524">
        <w:rPr>
          <w:rFonts w:ascii="Palatino Linotype" w:eastAsia="Palatino Linotype" w:hAnsi="Palatino Linotype" w:cs="Palatino Linotype"/>
          <w:b/>
          <w:bCs/>
          <w:i/>
          <w:iCs/>
          <w:sz w:val="22"/>
          <w:szCs w:val="22"/>
        </w:rPr>
        <w:t xml:space="preserve">Naturaleza jurídica. </w:t>
      </w:r>
      <w:r w:rsidRPr="00D26524">
        <w:rPr>
          <w:rFonts w:ascii="Palatino Linotype" w:eastAsia="Palatino Linotype" w:hAnsi="Palatino Linotype" w:cs="Palatino Linotype"/>
          <w:i/>
          <w:iCs/>
          <w:sz w:val="22"/>
          <w:szCs w:val="22"/>
        </w:rPr>
        <w:t xml:space="preserve">El nombre, la firma y la rúbrica de una persona física, que actúe como representante o apoderado legal de un tercero que haya celebrado un acto jurídico, con algún sujeto obligado, </w:t>
      </w:r>
      <w:r w:rsidRPr="00D26524">
        <w:rPr>
          <w:rFonts w:ascii="Palatino Linotype" w:eastAsia="Palatino Linotype" w:hAnsi="Palatino Linotype" w:cs="Palatino Linotype"/>
          <w:b/>
          <w:bCs/>
          <w:i/>
          <w:iCs/>
          <w:sz w:val="22"/>
          <w:szCs w:val="22"/>
        </w:rPr>
        <w:t>es información pública, en razón de que tales datos fueron proporcionados con el objeto de expresar el consentimiento obligacional del tercero y otorgar validez a dicho instrumento jurídico</w:t>
      </w:r>
      <w:r w:rsidRPr="00D26524">
        <w:rPr>
          <w:rFonts w:ascii="Palatino Linotype" w:eastAsia="Palatino Linotype" w:hAnsi="Palatino Linotype" w:cs="Palatino Linotype"/>
          <w:i/>
          <w:iCs/>
          <w:sz w:val="22"/>
          <w:szCs w:val="22"/>
        </w:rPr>
        <w:t>.”</w:t>
      </w:r>
    </w:p>
    <w:p w14:paraId="6280D31B"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032F9711"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Mientras que en el caso del </w:t>
      </w:r>
      <w:r w:rsidRPr="00D26524">
        <w:rPr>
          <w:rFonts w:ascii="Palatino Linotype" w:eastAsia="Palatino Linotype" w:hAnsi="Palatino Linotype" w:cs="Palatino Linotype"/>
          <w:b/>
          <w:bCs/>
          <w:sz w:val="22"/>
          <w:szCs w:val="22"/>
        </w:rPr>
        <w:t>folio fiscal</w:t>
      </w:r>
      <w:r w:rsidRPr="00D26524">
        <w:rPr>
          <w:rFonts w:ascii="Palatino Linotype" w:eastAsia="Palatino Linotype" w:hAnsi="Palatino Linotype" w:cs="Palatino Linotype"/>
          <w:sz w:val="22"/>
          <w:szCs w:val="22"/>
        </w:rPr>
        <w:t xml:space="preserve">, la </w:t>
      </w:r>
      <w:r w:rsidRPr="00D26524">
        <w:rPr>
          <w:rFonts w:ascii="Palatino Linotype" w:eastAsia="Palatino Linotype" w:hAnsi="Palatino Linotype" w:cs="Palatino Linotype"/>
          <w:b/>
          <w:bCs/>
          <w:sz w:val="22"/>
          <w:szCs w:val="22"/>
        </w:rPr>
        <w:t xml:space="preserve">cadena original, </w:t>
      </w:r>
      <w:r w:rsidRPr="00D26524">
        <w:rPr>
          <w:rFonts w:ascii="Palatino Linotype" w:eastAsia="Palatino Linotype" w:hAnsi="Palatino Linotype" w:cs="Palatino Linotype"/>
          <w:sz w:val="22"/>
          <w:szCs w:val="22"/>
        </w:rPr>
        <w:t>los</w:t>
      </w:r>
      <w:r w:rsidRPr="00D26524">
        <w:rPr>
          <w:rFonts w:ascii="Palatino Linotype" w:eastAsia="Palatino Linotype" w:hAnsi="Palatino Linotype" w:cs="Palatino Linotype"/>
          <w:b/>
          <w:bCs/>
          <w:sz w:val="22"/>
          <w:szCs w:val="22"/>
        </w:rPr>
        <w:t xml:space="preserve"> códigos bidimensionales o códigos QR,</w:t>
      </w:r>
      <w:r w:rsidRPr="00D26524">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53C31C00" w14:textId="77777777" w:rsidR="007C4E3D" w:rsidRPr="00D26524" w:rsidRDefault="007C4E3D">
      <w:pPr>
        <w:spacing w:line="360" w:lineRule="auto"/>
        <w:jc w:val="both"/>
        <w:rPr>
          <w:sz w:val="22"/>
          <w:szCs w:val="22"/>
        </w:rPr>
      </w:pPr>
    </w:p>
    <w:p w14:paraId="7F160803"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0B3E4E09"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704454F5" w14:textId="77777777" w:rsidR="007C4E3D" w:rsidRPr="00D26524" w:rsidRDefault="00D600C8">
      <w:pPr>
        <w:spacing w:line="360" w:lineRule="auto"/>
        <w:jc w:val="both"/>
        <w:rPr>
          <w:sz w:val="22"/>
          <w:szCs w:val="22"/>
        </w:rPr>
      </w:pPr>
      <w:r w:rsidRPr="00D26524">
        <w:rPr>
          <w:rFonts w:ascii="Palatino Linotype" w:eastAsia="Palatino Linotype" w:hAnsi="Palatino Linotype" w:cs="Palatino Linotype"/>
          <w:sz w:val="22"/>
          <w:szCs w:val="22"/>
        </w:rPr>
        <w:t xml:space="preserve">Asimismo, se destaca que la versión pública que elabore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26524">
        <w:rPr>
          <w:rFonts w:ascii="Palatino Linotype" w:eastAsia="Palatino Linotype" w:hAnsi="Palatino Linotype" w:cs="Palatino Linotype"/>
          <w:b/>
          <w:bCs/>
          <w:sz w:val="22"/>
          <w:szCs w:val="22"/>
        </w:rPr>
        <w:t>Recurrente</w:t>
      </w:r>
      <w:r w:rsidRPr="00D26524">
        <w:rPr>
          <w:rFonts w:ascii="Palatino Linotype" w:eastAsia="Palatino Linotype" w:hAnsi="Palatino Linotype" w:cs="Palatino Linotype"/>
          <w:sz w:val="22"/>
          <w:szCs w:val="22"/>
        </w:rPr>
        <w:t>.</w:t>
      </w:r>
    </w:p>
    <w:p w14:paraId="087C22DC" w14:textId="77777777" w:rsidR="007C4E3D" w:rsidRPr="00D26524" w:rsidRDefault="007C4E3D">
      <w:pPr>
        <w:rPr>
          <w:sz w:val="22"/>
          <w:szCs w:val="22"/>
        </w:rPr>
      </w:pPr>
    </w:p>
    <w:p w14:paraId="1D51FC1C" w14:textId="77777777" w:rsidR="007C4E3D" w:rsidRPr="00D26524" w:rsidRDefault="00D600C8">
      <w:pPr>
        <w:spacing w:line="360" w:lineRule="auto"/>
        <w:ind w:right="5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6D417BC3"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Artículo 3.</w:t>
      </w:r>
      <w:r w:rsidRPr="00D26524">
        <w:rPr>
          <w:rFonts w:ascii="Palatino Linotype" w:eastAsia="Palatino Linotype" w:hAnsi="Palatino Linotype" w:cs="Palatino Linotype"/>
          <w:i/>
          <w:iCs/>
          <w:sz w:val="22"/>
          <w:szCs w:val="22"/>
        </w:rPr>
        <w:t xml:space="preserve"> Para los efectos de la presente Ley se entenderá por:</w:t>
      </w:r>
    </w:p>
    <w:p w14:paraId="0435CD86"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1F1A2D87"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4A514F16"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XX. Información clasificada: Aquella considerada por la presente Ley como reservada o confidencial;</w:t>
      </w:r>
    </w:p>
    <w:p w14:paraId="2C53DDEE"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75AC42"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455E2DAD"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490B2D8C"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Artículo 91.</w:t>
      </w:r>
      <w:r w:rsidRPr="00D26524">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4CDF3CAF"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Artículo 132.</w:t>
      </w:r>
      <w:r w:rsidRPr="00D26524">
        <w:rPr>
          <w:rFonts w:ascii="Palatino Linotype" w:eastAsia="Palatino Linotype" w:hAnsi="Palatino Linotype" w:cs="Palatino Linotype"/>
          <w:i/>
          <w:iCs/>
          <w:sz w:val="22"/>
          <w:szCs w:val="22"/>
        </w:rPr>
        <w:t xml:space="preserve"> La clasificación de la información se llevará a cabo en el momento en que:</w:t>
      </w:r>
    </w:p>
    <w:p w14:paraId="2B27E3D6" w14:textId="77777777" w:rsidR="007C4E3D" w:rsidRPr="00D26524" w:rsidRDefault="00D600C8">
      <w:pPr>
        <w:tabs>
          <w:tab w:val="left" w:pos="1134"/>
        </w:tabs>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 Se reciba una solicitud de acceso a la información;</w:t>
      </w:r>
    </w:p>
    <w:p w14:paraId="345C4F8D" w14:textId="77777777" w:rsidR="007C4E3D" w:rsidRPr="00D26524" w:rsidRDefault="00D600C8">
      <w:pPr>
        <w:tabs>
          <w:tab w:val="left" w:pos="1134"/>
        </w:tabs>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 Se determine mediante resolución de autoridad competente; o</w:t>
      </w:r>
    </w:p>
    <w:p w14:paraId="5464A0A6" w14:textId="77777777" w:rsidR="007C4E3D" w:rsidRPr="00D26524" w:rsidRDefault="00D600C8">
      <w:pPr>
        <w:tabs>
          <w:tab w:val="left" w:pos="1134"/>
        </w:tabs>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3373E4A2"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0016FD03"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Artículo 143</w:t>
      </w:r>
      <w:r w:rsidRPr="00D26524">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0CF50D9F"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301842B6"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DC41F39"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57EE8C92"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7593A616"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C578D28" w14:textId="77777777" w:rsidR="007C4E3D" w:rsidRPr="00D26524" w:rsidRDefault="007C4E3D">
      <w:pPr>
        <w:ind w:left="567" w:right="616"/>
        <w:jc w:val="both"/>
        <w:rPr>
          <w:rFonts w:ascii="Palatino Linotype" w:eastAsia="Palatino Linotype" w:hAnsi="Palatino Linotype" w:cs="Palatino Linotype"/>
          <w:i/>
          <w:iCs/>
          <w:sz w:val="22"/>
          <w:szCs w:val="22"/>
        </w:rPr>
      </w:pPr>
    </w:p>
    <w:p w14:paraId="05CF186B"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E86F06" w14:textId="77777777" w:rsidR="007C4E3D" w:rsidRPr="00D26524" w:rsidRDefault="007C4E3D">
      <w:pPr>
        <w:jc w:val="both"/>
        <w:rPr>
          <w:rFonts w:ascii="Palatino Linotype" w:eastAsia="Palatino Linotype" w:hAnsi="Palatino Linotype" w:cs="Palatino Linotype"/>
          <w:sz w:val="22"/>
          <w:szCs w:val="22"/>
        </w:rPr>
      </w:pPr>
    </w:p>
    <w:p w14:paraId="13F83530"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14:paraId="341D3D97"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60D0AAD0"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 “</w:t>
      </w:r>
      <w:r w:rsidRPr="00D26524">
        <w:rPr>
          <w:rFonts w:ascii="Palatino Linotype" w:eastAsia="Palatino Linotype" w:hAnsi="Palatino Linotype" w:cs="Palatino Linotype"/>
          <w:b/>
          <w:bCs/>
          <w:i/>
          <w:iCs/>
          <w:sz w:val="22"/>
          <w:szCs w:val="22"/>
        </w:rPr>
        <w:t>Quincuagésimo</w:t>
      </w:r>
      <w:r w:rsidRPr="00D26524">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035C90D"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Quincuagésimo primero.</w:t>
      </w:r>
      <w:r w:rsidRPr="00D26524">
        <w:rPr>
          <w:rFonts w:ascii="Palatino Linotype" w:eastAsia="Palatino Linotype" w:hAnsi="Palatino Linotype" w:cs="Palatino Linotype"/>
          <w:i/>
          <w:iCs/>
          <w:sz w:val="22"/>
          <w:szCs w:val="22"/>
        </w:rPr>
        <w:t xml:space="preserve"> Toda acta del Comité de Transparencia deberá contener: </w:t>
      </w:r>
    </w:p>
    <w:p w14:paraId="6A6EC93E"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 El número de sesión y fecha; </w:t>
      </w:r>
    </w:p>
    <w:p w14:paraId="372B4157"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II. El nombre del área que solicitó la clasificación de información; </w:t>
      </w:r>
    </w:p>
    <w:p w14:paraId="11767D13"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III. La fundamentación legal y motivación correspondiente; </w:t>
      </w:r>
    </w:p>
    <w:p w14:paraId="09A90CE9"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IV. La resolución o resoluciones aprobadas; y </w:t>
      </w:r>
    </w:p>
    <w:p w14:paraId="3560F34E"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V. La rúbrica o firma digital de cada integrante del Comité de Transparencia. </w:t>
      </w:r>
    </w:p>
    <w:p w14:paraId="6362B4B3"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5CBB2E29"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 Los motivos y razonamientos que sustenten la confirmación o modificación de la prueba de daño;</w:t>
      </w:r>
    </w:p>
    <w:p w14:paraId="13E6D3C2"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II. Descripción de las partes o secciones reservadas, en caso de clasificación parcial; </w:t>
      </w:r>
    </w:p>
    <w:p w14:paraId="19566C6E"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III. El periodo por el que mantendrá su clasificación y fecha de expiración; y </w:t>
      </w:r>
    </w:p>
    <w:p w14:paraId="238A7F38"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133F5738"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0001CAF3"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FD38A51"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Quincuagésimo segundo.</w:t>
      </w:r>
      <w:r w:rsidRPr="00D26524">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16E2E8D"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0AFCB8DC"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1C4C7709"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3C7F6711"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III. Señalar las personas o instancias autorizadas a acceder a la información clasificada.</w:t>
      </w:r>
    </w:p>
    <w:p w14:paraId="7EA1C5FF"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1F35CB23"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6DBECF29"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4C1E42BE"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3FF34DC3" w14:textId="77777777" w:rsidR="007C4E3D" w:rsidRPr="00D26524" w:rsidRDefault="00D600C8">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r w:rsidRPr="00D26524">
        <w:rPr>
          <w:rFonts w:ascii="Palatino Linotype" w:eastAsia="Palatino Linotype" w:hAnsi="Palatino Linotype" w:cs="Palatino Linotype"/>
          <w:b/>
          <w:bCs/>
          <w:i/>
          <w:iCs/>
          <w:sz w:val="22"/>
          <w:szCs w:val="22"/>
        </w:rPr>
        <w:t>Quincuagésimo cuarto.</w:t>
      </w:r>
      <w:r w:rsidRPr="00D26524">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3FB0A67"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Quincuagésimo quinto.</w:t>
      </w:r>
      <w:r w:rsidRPr="00D26524">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0CB0616"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w:t>
      </w:r>
    </w:p>
    <w:p w14:paraId="07B5266E"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b/>
          <w:bCs/>
          <w:i/>
          <w:iCs/>
          <w:sz w:val="22"/>
          <w:szCs w:val="22"/>
        </w:rPr>
        <w:t>Quincuagésimo séptimo.</w:t>
      </w:r>
      <w:r w:rsidRPr="00D26524">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4B8FF26C"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6C5401DF"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6DD8A811"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BB48F49"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8E9A7C7" w14:textId="77777777" w:rsidR="007C4E3D" w:rsidRPr="00D26524" w:rsidRDefault="00D600C8">
      <w:pPr>
        <w:ind w:left="567" w:right="616"/>
        <w:jc w:val="both"/>
        <w:rPr>
          <w:rFonts w:ascii="Palatino Linotype" w:eastAsia="Palatino Linotype" w:hAnsi="Palatino Linotype" w:cs="Palatino Linotype"/>
          <w:i/>
          <w:iCs/>
          <w:sz w:val="22"/>
          <w:szCs w:val="22"/>
        </w:rPr>
      </w:pPr>
      <w:r w:rsidRPr="00D26524">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6D66957"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2A940599" w14:textId="77777777" w:rsidR="007C4E3D" w:rsidRPr="00D26524" w:rsidRDefault="00D600C8">
      <w:pPr>
        <w:spacing w:line="360" w:lineRule="auto"/>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BA79401"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36E5A08A" w14:textId="77777777" w:rsidR="007C4E3D" w:rsidRPr="00D26524" w:rsidRDefault="00D600C8">
      <w:pPr>
        <w:spacing w:line="360" w:lineRule="auto"/>
        <w:ind w:right="49"/>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w:t>
      </w:r>
      <w:r w:rsidRPr="00D26524">
        <w:rPr>
          <w:rFonts w:ascii="Palatino Linotype" w:eastAsia="Palatino Linotype" w:hAnsi="Palatino Linotype" w:cs="Palatino Linotype"/>
          <w:b/>
          <w:bCs/>
          <w:sz w:val="22"/>
          <w:szCs w:val="22"/>
        </w:rPr>
        <w:t>la parte</w:t>
      </w:r>
      <w:r w:rsidRPr="00D26524">
        <w:rPr>
          <w:rFonts w:ascii="Palatino Linotype" w:eastAsia="Palatino Linotype" w:hAnsi="Palatino Linotype" w:cs="Palatino Linotype"/>
          <w:sz w:val="22"/>
          <w:szCs w:val="22"/>
        </w:rPr>
        <w:t xml:space="preserve"> </w:t>
      </w:r>
      <w:r w:rsidRPr="00D26524">
        <w:rPr>
          <w:rFonts w:ascii="Palatino Linotype" w:eastAsia="Palatino Linotype" w:hAnsi="Palatino Linotype" w:cs="Palatino Linotype"/>
          <w:b/>
          <w:bCs/>
          <w:sz w:val="22"/>
          <w:szCs w:val="22"/>
        </w:rPr>
        <w:t>Recurrente</w:t>
      </w:r>
      <w:r w:rsidRPr="00D26524">
        <w:rPr>
          <w:rFonts w:ascii="Palatino Linotype" w:eastAsia="Palatino Linotype" w:hAnsi="Palatino Linotype" w:cs="Palatino Linotype"/>
          <w:sz w:val="22"/>
          <w:szCs w:val="22"/>
        </w:rPr>
        <w:t xml:space="preserve"> dentro del recurso de revisión </w:t>
      </w:r>
      <w:r w:rsidRPr="00D26524">
        <w:rPr>
          <w:rFonts w:ascii="Palatino Linotype" w:eastAsia="Palatino Linotype" w:hAnsi="Palatino Linotype" w:cs="Palatino Linotype"/>
          <w:b/>
          <w:bCs/>
          <w:sz w:val="22"/>
          <w:szCs w:val="22"/>
        </w:rPr>
        <w:t>09314/INFOEM/IP/RR/2025</w:t>
      </w:r>
      <w:r w:rsidRPr="00D26524">
        <w:rPr>
          <w:rFonts w:ascii="Palatino Linotype" w:eastAsia="Palatino Linotype" w:hAnsi="Palatino Linotype" w:cs="Palatino Linotype"/>
          <w:sz w:val="22"/>
          <w:szCs w:val="22"/>
        </w:rPr>
        <w:t>; por ello, y con fundamento en la fracción III del numeral 186 de la Ley de Transparencia y Acceso a la Información Pública del Estado de México y Municipios, se</w:t>
      </w:r>
      <w:r w:rsidRPr="00D26524">
        <w:rPr>
          <w:rFonts w:ascii="Palatino Linotype" w:eastAsia="Palatino Linotype" w:hAnsi="Palatino Linotype" w:cs="Palatino Linotype"/>
          <w:b/>
          <w:bCs/>
          <w:sz w:val="22"/>
          <w:szCs w:val="22"/>
        </w:rPr>
        <w:t xml:space="preserve"> REVOCA </w:t>
      </w:r>
      <w:r w:rsidRPr="00D26524">
        <w:rPr>
          <w:rFonts w:ascii="Palatino Linotype" w:eastAsia="Palatino Linotype" w:hAnsi="Palatino Linotype" w:cs="Palatino Linotype"/>
          <w:sz w:val="22"/>
          <w:szCs w:val="22"/>
        </w:rPr>
        <w:t xml:space="preserve">la respuesta a la solicitud de información número </w:t>
      </w:r>
      <w:r w:rsidRPr="00D26524">
        <w:rPr>
          <w:rFonts w:ascii="Palatino Linotype" w:eastAsia="Palatino Linotype" w:hAnsi="Palatino Linotype" w:cs="Palatino Linotype"/>
          <w:b/>
          <w:bCs/>
          <w:sz w:val="22"/>
          <w:szCs w:val="22"/>
        </w:rPr>
        <w:t xml:space="preserve">03409/TOLUCA/IP/2025. </w:t>
      </w:r>
    </w:p>
    <w:p w14:paraId="224C8E20" w14:textId="77777777" w:rsidR="007C4E3D" w:rsidRPr="00D26524" w:rsidRDefault="00D600C8">
      <w:pPr>
        <w:spacing w:line="360" w:lineRule="auto"/>
        <w:ind w:right="49"/>
        <w:jc w:val="both"/>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b/>
          <w:bCs/>
          <w:sz w:val="22"/>
          <w:szCs w:val="22"/>
        </w:rPr>
        <w:t xml:space="preserve"> </w:t>
      </w:r>
    </w:p>
    <w:p w14:paraId="6DF519BE"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6EE99019" w14:textId="77777777" w:rsidR="007C4E3D" w:rsidRPr="00D26524" w:rsidRDefault="00D600C8">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D26524">
        <w:rPr>
          <w:rFonts w:ascii="Palatino Linotype" w:eastAsia="Palatino Linotype" w:hAnsi="Palatino Linotype" w:cs="Palatino Linotype"/>
          <w:b/>
          <w:bCs/>
          <w:sz w:val="22"/>
          <w:szCs w:val="22"/>
        </w:rPr>
        <w:t>III. R E S U E L V E</w:t>
      </w:r>
    </w:p>
    <w:p w14:paraId="1149F583" w14:textId="77777777" w:rsidR="007C4E3D" w:rsidRPr="00D26524" w:rsidRDefault="007C4E3D">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D5C61C1"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bookmarkStart w:id="4" w:name="_heading=h.1t3h5sf" w:colFirst="0" w:colLast="0"/>
      <w:bookmarkEnd w:id="4"/>
      <w:r w:rsidRPr="00D26524">
        <w:rPr>
          <w:rFonts w:ascii="Palatino Linotype" w:eastAsia="Palatino Linotype" w:hAnsi="Palatino Linotype" w:cs="Palatino Linotype"/>
          <w:b/>
          <w:bCs/>
          <w:sz w:val="22"/>
          <w:szCs w:val="22"/>
        </w:rPr>
        <w:t>Primero.</w:t>
      </w:r>
      <w:r w:rsidRPr="00D26524">
        <w:rPr>
          <w:rFonts w:ascii="Palatino Linotype" w:eastAsia="Palatino Linotype" w:hAnsi="Palatino Linotype" w:cs="Palatino Linotype"/>
          <w:sz w:val="22"/>
          <w:szCs w:val="22"/>
        </w:rPr>
        <w:t xml:space="preserve"> Resultan</w:t>
      </w:r>
      <w:r w:rsidRPr="00D26524">
        <w:rPr>
          <w:rFonts w:ascii="Palatino Linotype" w:eastAsia="Palatino Linotype" w:hAnsi="Palatino Linotype" w:cs="Palatino Linotype"/>
          <w:b/>
          <w:bCs/>
          <w:sz w:val="22"/>
          <w:szCs w:val="22"/>
        </w:rPr>
        <w:t xml:space="preserve"> fundados</w:t>
      </w:r>
      <w:r w:rsidRPr="00D26524">
        <w:rPr>
          <w:rFonts w:ascii="Palatino Linotype" w:eastAsia="Palatino Linotype" w:hAnsi="Palatino Linotype" w:cs="Palatino Linotype"/>
          <w:sz w:val="22"/>
          <w:szCs w:val="22"/>
        </w:rPr>
        <w:t xml:space="preserve"> los motivos de inconformidad hechos valer por </w:t>
      </w:r>
      <w:r w:rsidRPr="00D26524">
        <w:rPr>
          <w:rFonts w:ascii="Palatino Linotype" w:eastAsia="Palatino Linotype" w:hAnsi="Palatino Linotype" w:cs="Palatino Linotype"/>
          <w:b/>
          <w:bCs/>
          <w:sz w:val="22"/>
          <w:szCs w:val="22"/>
        </w:rPr>
        <w:t>la parte</w:t>
      </w:r>
      <w:r w:rsidRPr="00D26524">
        <w:rPr>
          <w:rFonts w:ascii="Palatino Linotype" w:eastAsia="Palatino Linotype" w:hAnsi="Palatino Linotype" w:cs="Palatino Linotype"/>
          <w:sz w:val="22"/>
          <w:szCs w:val="22"/>
        </w:rPr>
        <w:t xml:space="preserve"> </w:t>
      </w:r>
      <w:r w:rsidRPr="00D26524">
        <w:rPr>
          <w:rFonts w:ascii="Palatino Linotype" w:eastAsia="Palatino Linotype" w:hAnsi="Palatino Linotype" w:cs="Palatino Linotype"/>
          <w:b/>
          <w:bCs/>
          <w:sz w:val="22"/>
          <w:szCs w:val="22"/>
        </w:rPr>
        <w:t>Recurrente</w:t>
      </w:r>
      <w:r w:rsidRPr="00D26524">
        <w:rPr>
          <w:rFonts w:ascii="Palatino Linotype" w:eastAsia="Palatino Linotype" w:hAnsi="Palatino Linotype" w:cs="Palatino Linotype"/>
          <w:sz w:val="22"/>
          <w:szCs w:val="22"/>
        </w:rPr>
        <w:t xml:space="preserve"> en el Recurso de Revisión </w:t>
      </w:r>
      <w:r w:rsidRPr="00D26524">
        <w:rPr>
          <w:rFonts w:ascii="Palatino Linotype" w:eastAsia="Palatino Linotype" w:hAnsi="Palatino Linotype" w:cs="Palatino Linotype"/>
          <w:b/>
          <w:bCs/>
          <w:sz w:val="22"/>
          <w:szCs w:val="22"/>
        </w:rPr>
        <w:t>09314/INFOEM/IP/RR/2025</w:t>
      </w:r>
      <w:r w:rsidRPr="00D26524">
        <w:rPr>
          <w:rFonts w:ascii="Palatino Linotype" w:eastAsia="Palatino Linotype" w:hAnsi="Palatino Linotype" w:cs="Palatino Linotype"/>
          <w:sz w:val="22"/>
          <w:szCs w:val="22"/>
        </w:rPr>
        <w:t xml:space="preserve">, por lo que, en términos del </w:t>
      </w:r>
      <w:r w:rsidRPr="00D26524">
        <w:rPr>
          <w:rFonts w:ascii="Palatino Linotype" w:eastAsia="Palatino Linotype" w:hAnsi="Palatino Linotype" w:cs="Palatino Linotype"/>
          <w:b/>
          <w:bCs/>
          <w:sz w:val="22"/>
          <w:szCs w:val="22"/>
        </w:rPr>
        <w:t>Considerando Cuarto</w:t>
      </w:r>
      <w:r w:rsidRPr="00D26524">
        <w:rPr>
          <w:rFonts w:ascii="Palatino Linotype" w:eastAsia="Palatino Linotype" w:hAnsi="Palatino Linotype" w:cs="Palatino Linotype"/>
          <w:sz w:val="22"/>
          <w:szCs w:val="22"/>
        </w:rPr>
        <w:t xml:space="preserve"> de esta resolución, se </w:t>
      </w:r>
      <w:r w:rsidRPr="00D26524">
        <w:rPr>
          <w:rFonts w:ascii="Palatino Linotype" w:eastAsia="Palatino Linotype" w:hAnsi="Palatino Linotype" w:cs="Palatino Linotype"/>
          <w:b/>
          <w:bCs/>
          <w:sz w:val="22"/>
          <w:szCs w:val="22"/>
        </w:rPr>
        <w:t xml:space="preserve">REVOCA </w:t>
      </w:r>
      <w:r w:rsidRPr="00D26524">
        <w:rPr>
          <w:rFonts w:ascii="Palatino Linotype" w:eastAsia="Palatino Linotype" w:hAnsi="Palatino Linotype" w:cs="Palatino Linotype"/>
          <w:sz w:val="22"/>
          <w:szCs w:val="22"/>
        </w:rPr>
        <w:t xml:space="preserve">la respuesta emitida por 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w:t>
      </w:r>
    </w:p>
    <w:p w14:paraId="3C1F07AC"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0D76342B"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bookmarkStart w:id="5" w:name="_heading=h.rk3xka46m70h" w:colFirst="0" w:colLast="0"/>
      <w:bookmarkEnd w:id="5"/>
      <w:r w:rsidRPr="00D26524">
        <w:rPr>
          <w:rFonts w:ascii="Palatino Linotype" w:eastAsia="Palatino Linotype" w:hAnsi="Palatino Linotype" w:cs="Palatino Linotype"/>
          <w:b/>
          <w:bCs/>
          <w:sz w:val="22"/>
          <w:szCs w:val="22"/>
        </w:rPr>
        <w:t>Segundo</w:t>
      </w:r>
      <w:r w:rsidRPr="00D26524">
        <w:rPr>
          <w:rFonts w:ascii="Palatino Linotype" w:eastAsia="Palatino Linotype" w:hAnsi="Palatino Linotype" w:cs="Palatino Linotype"/>
          <w:sz w:val="22"/>
          <w:szCs w:val="22"/>
        </w:rPr>
        <w:t xml:space="preserve">. Se </w:t>
      </w:r>
      <w:r w:rsidRPr="00D26524">
        <w:rPr>
          <w:rFonts w:ascii="Palatino Linotype" w:eastAsia="Palatino Linotype" w:hAnsi="Palatino Linotype" w:cs="Palatino Linotype"/>
          <w:b/>
          <w:bCs/>
          <w:sz w:val="22"/>
          <w:szCs w:val="22"/>
        </w:rPr>
        <w:t>ORDENA</w:t>
      </w:r>
      <w:r w:rsidRPr="00D26524">
        <w:rPr>
          <w:rFonts w:ascii="Palatino Linotype" w:eastAsia="Palatino Linotype" w:hAnsi="Palatino Linotype" w:cs="Palatino Linotype"/>
          <w:sz w:val="22"/>
          <w:szCs w:val="22"/>
        </w:rPr>
        <w:t xml:space="preserve"> al </w:t>
      </w:r>
      <w:r w:rsidRPr="00D26524">
        <w:rPr>
          <w:rFonts w:ascii="Palatino Linotype" w:eastAsia="Palatino Linotype" w:hAnsi="Palatino Linotype" w:cs="Palatino Linotype"/>
          <w:b/>
          <w:bCs/>
          <w:sz w:val="22"/>
          <w:szCs w:val="22"/>
        </w:rPr>
        <w:t xml:space="preserve">Sujeto Obligado </w:t>
      </w:r>
      <w:r w:rsidRPr="00D26524">
        <w:rPr>
          <w:rFonts w:ascii="Palatino Linotype" w:eastAsia="Palatino Linotype" w:hAnsi="Palatino Linotype" w:cs="Palatino Linotype"/>
          <w:sz w:val="22"/>
          <w:szCs w:val="22"/>
        </w:rPr>
        <w:t xml:space="preserve">a que, en observancia de los </w:t>
      </w:r>
      <w:r w:rsidRPr="00D26524">
        <w:rPr>
          <w:rFonts w:ascii="Palatino Linotype" w:eastAsia="Palatino Linotype" w:hAnsi="Palatino Linotype" w:cs="Palatino Linotype"/>
          <w:b/>
          <w:bCs/>
          <w:sz w:val="22"/>
          <w:szCs w:val="22"/>
        </w:rPr>
        <w:t>Considerandos Cuarto y Quinto</w:t>
      </w:r>
      <w:r w:rsidRPr="00D26524">
        <w:rPr>
          <w:rFonts w:ascii="Palatino Linotype" w:eastAsia="Palatino Linotype" w:hAnsi="Palatino Linotype" w:cs="Palatino Linotype"/>
          <w:sz w:val="22"/>
          <w:szCs w:val="22"/>
        </w:rPr>
        <w:t xml:space="preserve">, hagan entrega, vía Sistema de Acceso a la Información Mexiquense </w:t>
      </w:r>
      <w:r w:rsidRPr="00D26524">
        <w:rPr>
          <w:rFonts w:ascii="Palatino Linotype" w:eastAsia="Palatino Linotype" w:hAnsi="Palatino Linotype" w:cs="Palatino Linotype"/>
          <w:b/>
          <w:bCs/>
          <w:sz w:val="22"/>
          <w:szCs w:val="22"/>
        </w:rPr>
        <w:t>(SAIMEX)</w:t>
      </w:r>
      <w:r w:rsidRPr="00D26524">
        <w:rPr>
          <w:rFonts w:ascii="Palatino Linotype" w:eastAsia="Palatino Linotype" w:hAnsi="Palatino Linotype" w:cs="Palatino Linotype"/>
          <w:sz w:val="22"/>
          <w:szCs w:val="22"/>
        </w:rPr>
        <w:t>, de ser el caso, en versión pública, de lo siguiente:</w:t>
      </w:r>
    </w:p>
    <w:p w14:paraId="0ABC1191" w14:textId="77777777" w:rsidR="007C4E3D" w:rsidRPr="00D26524" w:rsidRDefault="00D600C8">
      <w:pPr>
        <w:numPr>
          <w:ilvl w:val="0"/>
          <w:numId w:val="4"/>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sz w:val="22"/>
          <w:szCs w:val="22"/>
        </w:rPr>
        <w:t xml:space="preserve">Documentos donde consten las erogaciones realizadas por la Tesorería Municipal del uno de enero al doce de junio de dos mil veinticinco.  </w:t>
      </w:r>
    </w:p>
    <w:p w14:paraId="6BFAA723" w14:textId="77777777" w:rsidR="007C4E3D" w:rsidRPr="00D26524" w:rsidRDefault="007C4E3D">
      <w:pPr>
        <w:pBdr>
          <w:top w:val="nil"/>
          <w:left w:val="nil"/>
          <w:bottom w:val="nil"/>
          <w:right w:val="nil"/>
          <w:between w:val="nil"/>
        </w:pBdr>
        <w:spacing w:line="360" w:lineRule="auto"/>
        <w:ind w:left="567" w:hanging="720"/>
        <w:jc w:val="both"/>
        <w:rPr>
          <w:rFonts w:ascii="Palatino Linotype" w:eastAsia="Palatino Linotype" w:hAnsi="Palatino Linotype" w:cs="Palatino Linotype"/>
          <w:sz w:val="22"/>
          <w:szCs w:val="22"/>
        </w:rPr>
      </w:pPr>
    </w:p>
    <w:p w14:paraId="09EAE427" w14:textId="77777777" w:rsidR="007C4E3D" w:rsidRPr="00D26524" w:rsidRDefault="00D600C8">
      <w:pPr>
        <w:spacing w:line="276" w:lineRule="auto"/>
        <w:ind w:left="567" w:right="560"/>
        <w:jc w:val="both"/>
        <w:rPr>
          <w:rFonts w:ascii="Palatino Linotype" w:eastAsia="Palatino Linotype" w:hAnsi="Palatino Linotype" w:cs="Palatino Linotype"/>
          <w:i/>
          <w:iCs/>
          <w:sz w:val="22"/>
          <w:szCs w:val="22"/>
        </w:rPr>
      </w:pPr>
      <w:bookmarkStart w:id="6" w:name="_heading=h.u4xxehc8b09q" w:colFirst="0" w:colLast="0"/>
      <w:bookmarkEnd w:id="6"/>
      <w:r w:rsidRPr="00D26524">
        <w:rPr>
          <w:rFonts w:ascii="Palatino Linotype" w:eastAsia="Palatino Linotype" w:hAnsi="Palatino Linotype" w:cs="Palatino Linotype"/>
          <w:i/>
          <w:iCs/>
          <w:sz w:val="22"/>
          <w:szCs w:val="22"/>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w:t>
      </w:r>
    </w:p>
    <w:p w14:paraId="133F5827" w14:textId="77777777" w:rsidR="007C4E3D" w:rsidRPr="00D26524" w:rsidRDefault="007C4E3D">
      <w:pPr>
        <w:spacing w:line="276" w:lineRule="auto"/>
        <w:ind w:left="567" w:right="560"/>
        <w:jc w:val="both"/>
        <w:rPr>
          <w:rFonts w:ascii="Palatino Linotype" w:eastAsia="Palatino Linotype" w:hAnsi="Palatino Linotype" w:cs="Palatino Linotype"/>
          <w:b/>
          <w:bCs/>
          <w:i/>
          <w:iCs/>
          <w:sz w:val="22"/>
          <w:szCs w:val="22"/>
        </w:rPr>
      </w:pPr>
    </w:p>
    <w:p w14:paraId="00259B8D"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Tercero.</w:t>
      </w:r>
      <w:r w:rsidRPr="00D26524">
        <w:rPr>
          <w:rFonts w:ascii="Palatino Linotype" w:eastAsia="Palatino Linotype" w:hAnsi="Palatino Linotype" w:cs="Palatino Linotype"/>
          <w:sz w:val="22"/>
          <w:szCs w:val="22"/>
        </w:rPr>
        <w:t xml:space="preserve"> </w:t>
      </w:r>
      <w:r w:rsidRPr="00D26524">
        <w:rPr>
          <w:rFonts w:ascii="Palatino Linotype" w:eastAsia="Palatino Linotype" w:hAnsi="Palatino Linotype" w:cs="Palatino Linotype"/>
          <w:b/>
          <w:bCs/>
          <w:sz w:val="22"/>
          <w:szCs w:val="22"/>
        </w:rPr>
        <w:t xml:space="preserve">Notifíquese vía SAIMEX </w:t>
      </w:r>
      <w:r w:rsidRPr="00D26524">
        <w:rPr>
          <w:rFonts w:ascii="Palatino Linotype" w:eastAsia="Palatino Linotype" w:hAnsi="Palatino Linotype" w:cs="Palatino Linotype"/>
          <w:sz w:val="22"/>
          <w:szCs w:val="22"/>
        </w:rPr>
        <w:t>la presente resolución al T</w:t>
      </w:r>
      <w:r w:rsidRPr="00D26524">
        <w:rPr>
          <w:rFonts w:ascii="Palatino Linotype" w:eastAsia="Palatino Linotype" w:hAnsi="Palatino Linotype" w:cs="Palatino Linotype"/>
          <w:b/>
          <w:bCs/>
          <w:sz w:val="22"/>
          <w:szCs w:val="22"/>
        </w:rPr>
        <w:t xml:space="preserve">itular de la Unidad de Transparencia </w:t>
      </w:r>
      <w:r w:rsidRPr="00D26524">
        <w:rPr>
          <w:rFonts w:ascii="Palatino Linotype" w:eastAsia="Palatino Linotype" w:hAnsi="Palatino Linotype" w:cs="Palatino Linotype"/>
          <w:sz w:val="22"/>
          <w:szCs w:val="22"/>
        </w:rPr>
        <w:t xml:space="preserve">del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3DCD195C"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0052AD8D"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Cuarto.</w:t>
      </w:r>
      <w:r w:rsidRPr="00D26524">
        <w:rPr>
          <w:rFonts w:ascii="Palatino Linotype" w:eastAsia="Palatino Linotype" w:hAnsi="Palatino Linotype" w:cs="Palatino Linotype"/>
          <w:sz w:val="22"/>
          <w:szCs w:val="22"/>
        </w:rPr>
        <w:t xml:space="preserve"> </w:t>
      </w:r>
      <w:r w:rsidRPr="00D26524">
        <w:rPr>
          <w:rFonts w:ascii="Palatino Linotype" w:eastAsia="Palatino Linotype" w:hAnsi="Palatino Linotype" w:cs="Palatino Linotype"/>
          <w:b/>
          <w:bCs/>
          <w:sz w:val="22"/>
          <w:szCs w:val="22"/>
        </w:rPr>
        <w:t>Notifíquese vía SAIMEX</w:t>
      </w:r>
      <w:r w:rsidRPr="00D26524">
        <w:rPr>
          <w:rFonts w:ascii="Palatino Linotype" w:eastAsia="Palatino Linotype" w:hAnsi="Palatino Linotype" w:cs="Palatino Linotype"/>
          <w:sz w:val="22"/>
          <w:szCs w:val="22"/>
        </w:rPr>
        <w:t xml:space="preserve"> a </w:t>
      </w:r>
      <w:r w:rsidRPr="00D26524">
        <w:rPr>
          <w:rFonts w:ascii="Palatino Linotype" w:eastAsia="Palatino Linotype" w:hAnsi="Palatino Linotype" w:cs="Palatino Linotype"/>
          <w:b/>
          <w:bCs/>
          <w:sz w:val="22"/>
          <w:szCs w:val="22"/>
        </w:rPr>
        <w:t>la parte</w:t>
      </w:r>
      <w:r w:rsidRPr="00D26524">
        <w:rPr>
          <w:rFonts w:ascii="Palatino Linotype" w:eastAsia="Palatino Linotype" w:hAnsi="Palatino Linotype" w:cs="Palatino Linotype"/>
          <w:sz w:val="22"/>
          <w:szCs w:val="22"/>
        </w:rPr>
        <w:t xml:space="preserve"> </w:t>
      </w:r>
      <w:r w:rsidRPr="00D26524">
        <w:rPr>
          <w:rFonts w:ascii="Palatino Linotype" w:eastAsia="Palatino Linotype" w:hAnsi="Palatino Linotype" w:cs="Palatino Linotype"/>
          <w:b/>
          <w:bCs/>
          <w:sz w:val="22"/>
          <w:szCs w:val="22"/>
        </w:rPr>
        <w:t xml:space="preserve">Recurrente </w:t>
      </w:r>
      <w:r w:rsidRPr="00D26524">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7ED8B4E3" w14:textId="77777777" w:rsidR="007C4E3D" w:rsidRPr="00D26524" w:rsidRDefault="007C4E3D">
      <w:pPr>
        <w:spacing w:line="360" w:lineRule="auto"/>
        <w:ind w:right="49"/>
        <w:jc w:val="both"/>
        <w:rPr>
          <w:rFonts w:ascii="Palatino Linotype" w:eastAsia="Palatino Linotype" w:hAnsi="Palatino Linotype" w:cs="Palatino Linotype"/>
          <w:sz w:val="22"/>
          <w:szCs w:val="22"/>
        </w:rPr>
      </w:pPr>
    </w:p>
    <w:p w14:paraId="5AA07149" w14:textId="77777777" w:rsidR="007C4E3D" w:rsidRPr="00D26524" w:rsidRDefault="00D600C8">
      <w:pPr>
        <w:spacing w:line="360" w:lineRule="auto"/>
        <w:ind w:right="49"/>
        <w:jc w:val="both"/>
        <w:rPr>
          <w:rFonts w:ascii="Palatino Linotype" w:eastAsia="Palatino Linotype" w:hAnsi="Palatino Linotype" w:cs="Palatino Linotype"/>
          <w:sz w:val="22"/>
          <w:szCs w:val="22"/>
        </w:rPr>
      </w:pPr>
      <w:r w:rsidRPr="00D26524">
        <w:rPr>
          <w:rFonts w:ascii="Palatino Linotype" w:eastAsia="Palatino Linotype" w:hAnsi="Palatino Linotype" w:cs="Palatino Linotype"/>
          <w:b/>
          <w:bCs/>
          <w:sz w:val="22"/>
          <w:szCs w:val="22"/>
        </w:rPr>
        <w:t>Quinto.</w:t>
      </w:r>
      <w:r w:rsidRPr="00D26524">
        <w:rPr>
          <w:rFonts w:ascii="Palatino Linotype" w:eastAsia="Palatino Linotype" w:hAnsi="Palatino Linotype" w:cs="Palatino Linotype"/>
          <w:sz w:val="22"/>
          <w:szCs w:val="22"/>
        </w:rPr>
        <w:t xml:space="preserve"> </w:t>
      </w:r>
      <w:r w:rsidRPr="00D26524">
        <w:rPr>
          <w:rFonts w:ascii="Palatino Linotype" w:eastAsia="Palatino Linotype" w:hAnsi="Palatino Linotype" w:cs="Palatino Linotype"/>
          <w:b/>
          <w:bCs/>
          <w:sz w:val="22"/>
          <w:szCs w:val="22"/>
        </w:rPr>
        <w:t xml:space="preserve">Notifíquese vía SAIMEX </w:t>
      </w:r>
      <w:r w:rsidRPr="00D26524">
        <w:rPr>
          <w:rFonts w:ascii="Palatino Linotype" w:eastAsia="Palatino Linotype" w:hAnsi="Palatino Linotype" w:cs="Palatino Linotype"/>
          <w:sz w:val="22"/>
          <w:szCs w:val="22"/>
        </w:rPr>
        <w:t>la presente resolución al T</w:t>
      </w:r>
      <w:r w:rsidRPr="00D26524">
        <w:rPr>
          <w:rFonts w:ascii="Palatino Linotype" w:eastAsia="Palatino Linotype" w:hAnsi="Palatino Linotype" w:cs="Palatino Linotype"/>
          <w:b/>
          <w:bCs/>
          <w:sz w:val="22"/>
          <w:szCs w:val="22"/>
        </w:rPr>
        <w:t xml:space="preserve">itular de la Unidad de Transparencia </w:t>
      </w:r>
      <w:r w:rsidRPr="00D26524">
        <w:rPr>
          <w:rFonts w:ascii="Palatino Linotype" w:eastAsia="Palatino Linotype" w:hAnsi="Palatino Linotype" w:cs="Palatino Linotype"/>
          <w:sz w:val="22"/>
          <w:szCs w:val="22"/>
        </w:rPr>
        <w:t xml:space="preserve">del </w:t>
      </w:r>
      <w:r w:rsidRPr="00D26524">
        <w:rPr>
          <w:rFonts w:ascii="Palatino Linotype" w:eastAsia="Palatino Linotype" w:hAnsi="Palatino Linotype" w:cs="Palatino Linotype"/>
          <w:b/>
          <w:bCs/>
          <w:sz w:val="22"/>
          <w:szCs w:val="22"/>
        </w:rPr>
        <w:t>Sujeto Obligado</w:t>
      </w:r>
      <w:r w:rsidRPr="00D26524">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826D94E" w14:textId="77777777" w:rsidR="007C4E3D" w:rsidRPr="00D26524" w:rsidRDefault="007C4E3D">
      <w:pPr>
        <w:spacing w:line="360" w:lineRule="auto"/>
        <w:jc w:val="both"/>
        <w:rPr>
          <w:rFonts w:ascii="Palatino Linotype" w:eastAsia="Palatino Linotype" w:hAnsi="Palatino Linotype" w:cs="Palatino Linotype"/>
          <w:sz w:val="22"/>
          <w:szCs w:val="22"/>
        </w:rPr>
      </w:pPr>
    </w:p>
    <w:p w14:paraId="656B72BB" w14:textId="77777777" w:rsidR="007C4E3D" w:rsidRPr="002E1C4A" w:rsidRDefault="00D600C8">
      <w:pPr>
        <w:spacing w:line="360" w:lineRule="auto"/>
        <w:jc w:val="both"/>
        <w:rPr>
          <w:rFonts w:ascii="Palatino Linotype" w:eastAsia="Palatino Linotype" w:hAnsi="Palatino Linotype" w:cs="Palatino Linotype"/>
          <w:sz w:val="22"/>
          <w:szCs w:val="22"/>
        </w:rPr>
        <w:sectPr w:rsidR="007C4E3D" w:rsidRPr="002E1C4A">
          <w:headerReference w:type="default" r:id="rId10"/>
          <w:footerReference w:type="default" r:id="rId11"/>
          <w:headerReference w:type="first" r:id="rId12"/>
          <w:footerReference w:type="first" r:id="rId13"/>
          <w:pgSz w:w="11920" w:h="16840"/>
          <w:pgMar w:top="1599" w:right="1134" w:bottom="278" w:left="1418" w:header="720" w:footer="720" w:gutter="0"/>
          <w:pgNumType w:start="1"/>
          <w:cols w:space="720"/>
        </w:sectPr>
      </w:pPr>
      <w:r w:rsidRPr="00D2652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r w:rsidRPr="002E1C4A">
        <w:rPr>
          <w:rFonts w:ascii="Palatino Linotype" w:eastAsia="Palatino Linotype" w:hAnsi="Palatino Linotype" w:cs="Palatino Linotype"/>
          <w:sz w:val="22"/>
          <w:szCs w:val="22"/>
        </w:rPr>
        <w:t xml:space="preserve"> </w:t>
      </w:r>
    </w:p>
    <w:p w14:paraId="661D5143" w14:textId="77777777" w:rsidR="007C4E3D" w:rsidRPr="002E1C4A" w:rsidRDefault="007C4E3D">
      <w:pPr>
        <w:spacing w:line="360" w:lineRule="auto"/>
        <w:jc w:val="both"/>
        <w:rPr>
          <w:rFonts w:ascii="Palatino Linotype" w:eastAsia="Palatino Linotype" w:hAnsi="Palatino Linotype" w:cs="Palatino Linotype"/>
          <w:sz w:val="22"/>
          <w:szCs w:val="22"/>
        </w:rPr>
      </w:pPr>
    </w:p>
    <w:sectPr w:rsidR="007C4E3D" w:rsidRPr="002E1C4A">
      <w:headerReference w:type="even" r:id="rId14"/>
      <w:headerReference w:type="default" r:id="rId15"/>
      <w:footerReference w:type="even" r:id="rId16"/>
      <w:footerReference w:type="default" r:id="rId17"/>
      <w:headerReference w:type="first" r:id="rId18"/>
      <w:footerReference w:type="first" r:id="rId19"/>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2146D" w14:textId="77777777" w:rsidR="00C4240B" w:rsidRDefault="00C4240B">
      <w:r>
        <w:separator/>
      </w:r>
    </w:p>
  </w:endnote>
  <w:endnote w:type="continuationSeparator" w:id="0">
    <w:p w14:paraId="65587512" w14:textId="77777777" w:rsidR="00C4240B" w:rsidRDefault="00C4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8BC4E7B2-FB75-4E63-A399-4873D314F503}"/>
    <w:embedBold r:id="rId2" w:fontKey="{17F680D4-50B5-466C-91B6-1F8EC5C74CB7}"/>
    <w:embedItalic r:id="rId3" w:fontKey="{2198F81B-2ABB-4E47-9DCD-7CEFCE22CCA0}"/>
    <w:embedBoldItalic r:id="rId4" w:fontKey="{22C661E5-E010-4CDF-BBD6-8D5C217528F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6B90D25-6FD7-4FAB-88D0-117E49C32C5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BE16F8B-AA2B-45AF-9888-4B3C6EF01C1F}"/>
    <w:embedBold r:id="rId7" w:fontKey="{B2F4A34E-2FA5-40B7-8551-2C8438049BF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50F75BA-2D44-44B9-9699-B1A229A48A18}"/>
  </w:font>
  <w:font w:name="Georgia">
    <w:panose1 w:val="02040502050405020303"/>
    <w:charset w:val="00"/>
    <w:family w:val="roman"/>
    <w:pitch w:val="variable"/>
    <w:sig w:usb0="00000287" w:usb1="00000000" w:usb2="00000000" w:usb3="00000000" w:csb0="0000009F" w:csb1="00000000"/>
    <w:embedItalic r:id="rId9" w:fontKey="{B2FD6443-45A5-41AB-8839-E42486B9857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66269" w14:textId="13D1DCF7" w:rsidR="007C4E3D" w:rsidRDefault="00D600C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960079">
      <w:rPr>
        <w:rFonts w:ascii="Calibri" w:eastAsia="Calibri" w:hAnsi="Calibri" w:cs="Calibri"/>
        <w:b/>
        <w:bCs/>
        <w:noProof/>
        <w:color w:val="000000"/>
      </w:rPr>
      <w:t>1</w:t>
    </w:r>
    <w:r>
      <w:rPr>
        <w:rFonts w:ascii="Calibri" w:eastAsia="Calibri" w:hAnsi="Calibri" w:cs="Calibri"/>
        <w:b/>
        <w:bCs/>
        <w:color w:val="000000"/>
      </w:rPr>
      <w:fldChar w:fldCharType="end"/>
    </w:r>
    <w:r>
      <w:rPr>
        <w:rFonts w:ascii="Calibri" w:eastAsia="Calibri" w:hAnsi="Calibri" w:cs="Calibri"/>
        <w:color w:val="000000"/>
      </w:rPr>
      <w:t xml:space="preserve"> de </w:t>
    </w:r>
    <w:r>
      <w:rPr>
        <w:rFonts w:ascii="Calibri" w:eastAsia="Calibri" w:hAnsi="Calibri" w:cs="Calibri"/>
        <w:b/>
        <w:bCs/>
        <w:color w:val="000000"/>
      </w:rPr>
      <w:fldChar w:fldCharType="begin"/>
    </w:r>
    <w:r>
      <w:rPr>
        <w:rFonts w:ascii="Calibri" w:eastAsia="Calibri" w:hAnsi="Calibri" w:cs="Calibri"/>
        <w:b/>
        <w:bCs/>
        <w:color w:val="000000"/>
      </w:rPr>
      <w:instrText>NUMPAGES</w:instrText>
    </w:r>
    <w:r>
      <w:rPr>
        <w:rFonts w:ascii="Calibri" w:eastAsia="Calibri" w:hAnsi="Calibri" w:cs="Calibri"/>
        <w:b/>
        <w:bCs/>
        <w:color w:val="000000"/>
      </w:rPr>
      <w:fldChar w:fldCharType="separate"/>
    </w:r>
    <w:r w:rsidR="00960079">
      <w:rPr>
        <w:rFonts w:ascii="Calibri" w:eastAsia="Calibri" w:hAnsi="Calibri" w:cs="Calibri"/>
        <w:b/>
        <w:bCs/>
        <w:noProof/>
        <w:color w:val="000000"/>
      </w:rPr>
      <w:t>28</w:t>
    </w:r>
    <w:r>
      <w:rPr>
        <w:rFonts w:ascii="Calibri" w:eastAsia="Calibri" w:hAnsi="Calibri" w:cs="Calibri"/>
        <w:b/>
        <w:bCs/>
        <w:color w:val="000000"/>
      </w:rPr>
      <w:fldChar w:fldCharType="end"/>
    </w:r>
  </w:p>
  <w:p w14:paraId="691A4064"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2362" w14:textId="77777777" w:rsidR="007C4E3D" w:rsidRDefault="00D600C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end"/>
    </w:r>
    <w:r>
      <w:rPr>
        <w:rFonts w:ascii="Calibri" w:eastAsia="Calibri" w:hAnsi="Calibri" w:cs="Calibri"/>
        <w:color w:val="000000"/>
      </w:rPr>
      <w:t xml:space="preserve"> de </w:t>
    </w:r>
    <w:r>
      <w:rPr>
        <w:rFonts w:ascii="Calibri" w:eastAsia="Calibri" w:hAnsi="Calibri" w:cs="Calibri"/>
        <w:b/>
        <w:bCs/>
        <w:color w:val="000000"/>
      </w:rPr>
      <w:fldChar w:fldCharType="begin"/>
    </w:r>
    <w:r>
      <w:rPr>
        <w:rFonts w:ascii="Calibri" w:eastAsia="Calibri" w:hAnsi="Calibri" w:cs="Calibri"/>
        <w:b/>
        <w:bCs/>
        <w:color w:val="000000"/>
      </w:rPr>
      <w:instrText>NUMPAGES</w:instrText>
    </w:r>
    <w:r>
      <w:rPr>
        <w:rFonts w:ascii="Calibri" w:eastAsia="Calibri" w:hAnsi="Calibri" w:cs="Calibri"/>
        <w:b/>
        <w:bCs/>
        <w:color w:val="000000"/>
      </w:rPr>
      <w:fldChar w:fldCharType="separate"/>
    </w:r>
    <w:r w:rsidR="00D26524">
      <w:rPr>
        <w:rFonts w:ascii="Calibri" w:eastAsia="Calibri" w:hAnsi="Calibri" w:cs="Calibri"/>
        <w:b/>
        <w:bCs/>
        <w:noProof/>
        <w:color w:val="000000"/>
      </w:rPr>
      <w:t>28</w:t>
    </w:r>
    <w:r>
      <w:rPr>
        <w:rFonts w:ascii="Calibri" w:eastAsia="Calibri" w:hAnsi="Calibri" w:cs="Calibri"/>
        <w:b/>
        <w:bCs/>
        <w:color w:val="000000"/>
      </w:rPr>
      <w:fldChar w:fldCharType="end"/>
    </w:r>
  </w:p>
  <w:p w14:paraId="32441DAD"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E2BE3"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CE3F"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0BAC"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8504C" w14:textId="77777777" w:rsidR="00C4240B" w:rsidRDefault="00C4240B">
      <w:r>
        <w:separator/>
      </w:r>
    </w:p>
  </w:footnote>
  <w:footnote w:type="continuationSeparator" w:id="0">
    <w:p w14:paraId="6FE1513D" w14:textId="77777777" w:rsidR="00C4240B" w:rsidRDefault="00C42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0E81" w14:textId="77777777" w:rsidR="007C4E3D" w:rsidRDefault="00D600C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7E184120" wp14:editId="03876B3B">
          <wp:simplePos x="0" y="0"/>
          <wp:positionH relativeFrom="column">
            <wp:posOffset>-673731</wp:posOffset>
          </wp:positionH>
          <wp:positionV relativeFrom="paragraph">
            <wp:posOffset>-322576</wp:posOffset>
          </wp:positionV>
          <wp:extent cx="7809876" cy="101658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70" w:type="dxa"/>
      <w:tblInd w:w="3826" w:type="dxa"/>
      <w:tblLayout w:type="fixed"/>
      <w:tblLook w:val="0400" w:firstRow="0" w:lastRow="0" w:firstColumn="0" w:lastColumn="0" w:noHBand="0" w:noVBand="1"/>
    </w:tblPr>
    <w:tblGrid>
      <w:gridCol w:w="2551"/>
      <w:gridCol w:w="3119"/>
    </w:tblGrid>
    <w:tr w:rsidR="007C4E3D" w14:paraId="2D183E33" w14:textId="77777777">
      <w:tc>
        <w:tcPr>
          <w:tcW w:w="2551" w:type="dxa"/>
          <w:vAlign w:val="center"/>
        </w:tcPr>
        <w:p w14:paraId="73D74620"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24AA1C9B" w14:textId="77777777" w:rsidR="007C4E3D" w:rsidRDefault="00D600C8">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09314/INFOEM/IP/RR/2025 </w:t>
          </w:r>
        </w:p>
      </w:tc>
    </w:tr>
    <w:tr w:rsidR="007C4E3D" w14:paraId="7B560711" w14:textId="77777777">
      <w:trPr>
        <w:trHeight w:val="228"/>
      </w:trPr>
      <w:tc>
        <w:tcPr>
          <w:tcW w:w="2551" w:type="dxa"/>
          <w:vAlign w:val="center"/>
        </w:tcPr>
        <w:p w14:paraId="161706D8"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0C6E378E" w14:textId="77777777" w:rsidR="007C4E3D" w:rsidRDefault="00D600C8">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7C4E3D" w14:paraId="62F587CF" w14:textId="77777777">
      <w:trPr>
        <w:trHeight w:val="228"/>
      </w:trPr>
      <w:tc>
        <w:tcPr>
          <w:tcW w:w="2551" w:type="dxa"/>
          <w:vAlign w:val="center"/>
        </w:tcPr>
        <w:p w14:paraId="2E5A1821"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Recurrente: </w:t>
          </w:r>
        </w:p>
      </w:tc>
      <w:tc>
        <w:tcPr>
          <w:tcW w:w="3119" w:type="dxa"/>
          <w:vAlign w:val="center"/>
        </w:tcPr>
        <w:p w14:paraId="515C74B1" w14:textId="77777777" w:rsidR="007C4E3D" w:rsidRDefault="007C4E3D">
          <w:pPr>
            <w:ind w:right="27"/>
            <w:jc w:val="both"/>
            <w:rPr>
              <w:rFonts w:ascii="Palatino Linotype" w:eastAsia="Palatino Linotype" w:hAnsi="Palatino Linotype" w:cs="Palatino Linotype"/>
              <w:b/>
              <w:bCs/>
              <w:sz w:val="22"/>
              <w:szCs w:val="22"/>
            </w:rPr>
          </w:pPr>
        </w:p>
      </w:tc>
    </w:tr>
    <w:tr w:rsidR="007C4E3D" w14:paraId="4F7C4A3D" w14:textId="77777777">
      <w:tc>
        <w:tcPr>
          <w:tcW w:w="2551" w:type="dxa"/>
          <w:vAlign w:val="center"/>
        </w:tcPr>
        <w:p w14:paraId="0068046B"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317E25C8" w14:textId="77777777" w:rsidR="007C4E3D" w:rsidRDefault="00D600C8">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E38F38E"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79B88" w14:textId="77777777" w:rsidR="007C4E3D" w:rsidRDefault="00D600C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7D295A9F" wp14:editId="36867BB3">
          <wp:simplePos x="0" y="0"/>
          <wp:positionH relativeFrom="column">
            <wp:posOffset>-692781</wp:posOffset>
          </wp:positionH>
          <wp:positionV relativeFrom="paragraph">
            <wp:posOffset>-198749</wp:posOffset>
          </wp:positionV>
          <wp:extent cx="7809876" cy="10165823"/>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70" w:type="dxa"/>
      <w:tblInd w:w="3826" w:type="dxa"/>
      <w:tblLayout w:type="fixed"/>
      <w:tblLook w:val="0400" w:firstRow="0" w:lastRow="0" w:firstColumn="0" w:lastColumn="0" w:noHBand="0" w:noVBand="1"/>
    </w:tblPr>
    <w:tblGrid>
      <w:gridCol w:w="2551"/>
      <w:gridCol w:w="3119"/>
    </w:tblGrid>
    <w:tr w:rsidR="007C4E3D" w14:paraId="7BDC5C8C" w14:textId="77777777">
      <w:tc>
        <w:tcPr>
          <w:tcW w:w="2551" w:type="dxa"/>
          <w:vAlign w:val="center"/>
        </w:tcPr>
        <w:p w14:paraId="64B67BB5"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47B4BDA6" w14:textId="77777777" w:rsidR="007C4E3D" w:rsidRDefault="00D600C8">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05044/INFOEM/IP/RR/2023 </w:t>
          </w:r>
        </w:p>
      </w:tc>
    </w:tr>
    <w:tr w:rsidR="007C4E3D" w14:paraId="40394139" w14:textId="77777777">
      <w:tc>
        <w:tcPr>
          <w:tcW w:w="2551" w:type="dxa"/>
          <w:vAlign w:val="center"/>
        </w:tcPr>
        <w:p w14:paraId="4FD75F7E" w14:textId="77777777" w:rsidR="007C4E3D" w:rsidRDefault="00D600C8">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14774FB3" w14:textId="77777777" w:rsidR="007C4E3D" w:rsidRDefault="00D600C8">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ROGELIO ALMAZAN ACOSTA </w:t>
          </w:r>
        </w:p>
      </w:tc>
    </w:tr>
    <w:tr w:rsidR="007C4E3D" w14:paraId="4885CF05" w14:textId="77777777">
      <w:trPr>
        <w:trHeight w:val="228"/>
      </w:trPr>
      <w:tc>
        <w:tcPr>
          <w:tcW w:w="2551" w:type="dxa"/>
          <w:vAlign w:val="center"/>
        </w:tcPr>
        <w:p w14:paraId="6F87EE36"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p w14:paraId="4CCA8AE6" w14:textId="77777777" w:rsidR="007C4E3D" w:rsidRDefault="007C4E3D">
          <w:pPr>
            <w:rPr>
              <w:rFonts w:ascii="Palatino Linotype" w:eastAsia="Palatino Linotype" w:hAnsi="Palatino Linotype" w:cs="Palatino Linotype"/>
              <w:b/>
              <w:bCs/>
              <w:sz w:val="22"/>
              <w:szCs w:val="22"/>
            </w:rPr>
          </w:pPr>
        </w:p>
      </w:tc>
      <w:tc>
        <w:tcPr>
          <w:tcW w:w="3119" w:type="dxa"/>
          <w:vAlign w:val="center"/>
        </w:tcPr>
        <w:p w14:paraId="113F6802" w14:textId="77777777" w:rsidR="007C4E3D" w:rsidRDefault="00D600C8">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Cuautitlán Izcalli </w:t>
          </w:r>
        </w:p>
      </w:tc>
    </w:tr>
    <w:tr w:rsidR="007C4E3D" w14:paraId="642F4711" w14:textId="77777777">
      <w:tc>
        <w:tcPr>
          <w:tcW w:w="2551" w:type="dxa"/>
          <w:vAlign w:val="center"/>
        </w:tcPr>
        <w:p w14:paraId="5063D8CB" w14:textId="77777777" w:rsidR="007C4E3D" w:rsidRDefault="00D600C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2180C5C1" w14:textId="77777777" w:rsidR="007C4E3D" w:rsidRDefault="00D600C8">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04C63BBC" w14:textId="77777777" w:rsidR="007C4E3D" w:rsidRDefault="00D600C8">
    <w:pPr>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A555"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E69B"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0168" w14:textId="77777777" w:rsidR="007C4E3D" w:rsidRDefault="007C4E3D">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A6FDC94" w14:textId="77777777" w:rsidR="007C4E3D" w:rsidRDefault="007C4E3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F3453"/>
    <w:multiLevelType w:val="multilevel"/>
    <w:tmpl w:val="125CDB9A"/>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BC5CC3"/>
    <w:multiLevelType w:val="multilevel"/>
    <w:tmpl w:val="DD0A670C"/>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7C68CC"/>
    <w:multiLevelType w:val="multilevel"/>
    <w:tmpl w:val="4886D3B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04E3BFB"/>
    <w:multiLevelType w:val="multilevel"/>
    <w:tmpl w:val="72B2725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DB1B74"/>
    <w:multiLevelType w:val="multilevel"/>
    <w:tmpl w:val="E132CC48"/>
    <w:lvl w:ilvl="0">
      <w:start w:val="1"/>
      <w:numFmt w:val="upperRoman"/>
      <w:lvlText w:val="%1."/>
      <w:lvlJc w:val="right"/>
      <w:pPr>
        <w:ind w:left="1077" w:hanging="360"/>
      </w:pPr>
    </w:lvl>
    <w:lvl w:ilvl="1">
      <w:start w:val="1"/>
      <w:numFmt w:val="decimal"/>
      <w:lvlText w:val="%2."/>
      <w:lvlJc w:val="left"/>
      <w:pPr>
        <w:ind w:left="1353" w:hanging="359"/>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3D"/>
    <w:rsid w:val="002E1C4A"/>
    <w:rsid w:val="007C4E3D"/>
    <w:rsid w:val="00960079"/>
    <w:rsid w:val="00C4240B"/>
    <w:rsid w:val="00D26524"/>
    <w:rsid w:val="00D600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B2B87"/>
  <w15:docId w15:val="{BADFD9E4-38D6-40ED-B88E-366E78C5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972A9"/>
    <w:pPr>
      <w:tabs>
        <w:tab w:val="center" w:pos="4419"/>
        <w:tab w:val="right" w:pos="8838"/>
      </w:tabs>
    </w:pPr>
  </w:style>
  <w:style w:type="character" w:customStyle="1" w:styleId="EncabezadoCar">
    <w:name w:val="Encabezado Car"/>
    <w:basedOn w:val="Fuentedeprrafopredeter"/>
    <w:link w:val="Encabezado"/>
    <w:uiPriority w:val="99"/>
    <w:rsid w:val="00A972A9"/>
  </w:style>
  <w:style w:type="paragraph" w:styleId="Piedepgina">
    <w:name w:val="footer"/>
    <w:basedOn w:val="Normal"/>
    <w:link w:val="PiedepginaCar"/>
    <w:uiPriority w:val="99"/>
    <w:unhideWhenUsed/>
    <w:rsid w:val="00A972A9"/>
    <w:pPr>
      <w:tabs>
        <w:tab w:val="center" w:pos="4419"/>
        <w:tab w:val="right" w:pos="8838"/>
      </w:tabs>
    </w:pPr>
  </w:style>
  <w:style w:type="character" w:customStyle="1" w:styleId="PiedepginaCar">
    <w:name w:val="Pie de página Car"/>
    <w:basedOn w:val="Fuentedeprrafopredeter"/>
    <w:link w:val="Piedepgina"/>
    <w:uiPriority w:val="99"/>
    <w:rsid w:val="00A972A9"/>
  </w:style>
  <w:style w:type="paragraph" w:styleId="Sinespaciado">
    <w:name w:val="No Spacing"/>
    <w:aliases w:val="Francesa,INAI"/>
    <w:link w:val="SinespaciadoCar"/>
    <w:uiPriority w:val="1"/>
    <w:qFormat/>
    <w:rsid w:val="00D73018"/>
    <w:rPr>
      <w:lang w:eastAsia="es-ES"/>
    </w:rPr>
  </w:style>
  <w:style w:type="character" w:customStyle="1" w:styleId="SinespaciadoCar">
    <w:name w:val="Sin espaciado Car"/>
    <w:aliases w:val="Francesa Car,INAI Car"/>
    <w:link w:val="Sinespaciado"/>
    <w:uiPriority w:val="1"/>
    <w:locked/>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75FA3"/>
    <w:pPr>
      <w:spacing w:after="160" w:line="259" w:lineRule="auto"/>
      <w:ind w:left="720"/>
      <w:contextualSpacing/>
    </w:pPr>
    <w:rPr>
      <w:rFonts w:ascii="Calibri" w:eastAsia="Calibri" w:hAnsi="Calibri" w:cs="Calibri"/>
      <w:sz w:val="22"/>
      <w:szCs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C75FA3"/>
    <w:rPr>
      <w:rFonts w:ascii="Calibri" w:eastAsia="Calibri" w:hAnsi="Calibri" w:cs="Calibri"/>
      <w:sz w:val="22"/>
      <w:szCs w:val="22"/>
      <w:lang w:val="es-MX"/>
    </w:rPr>
  </w:style>
  <w:style w:type="table" w:styleId="Tablaconcuadrcula">
    <w:name w:val="Table Grid"/>
    <w:basedOn w:val="Tablanormal"/>
    <w:uiPriority w:val="39"/>
    <w:rsid w:val="00C2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8343E"/>
    <w:pPr>
      <w:numPr>
        <w:numId w:val="5"/>
      </w:numPr>
      <w:contextualSpacing/>
    </w:pPr>
    <w:rPr>
      <w:lang w:val="es-MX" w:eastAsia="es-ES"/>
    </w:rPr>
  </w:style>
  <w:style w:type="paragraph" w:styleId="NormalWeb">
    <w:name w:val="Normal (Web)"/>
    <w:basedOn w:val="Normal"/>
    <w:uiPriority w:val="99"/>
    <w:unhideWhenUsed/>
    <w:rsid w:val="00406BC5"/>
    <w:pPr>
      <w:spacing w:before="100" w:beforeAutospacing="1" w:after="100" w:afterAutospacing="1"/>
    </w:pPr>
    <w:rPr>
      <w:lang w:val="es-MX"/>
    </w:rPr>
  </w:style>
  <w:style w:type="character" w:styleId="Hipervnculo">
    <w:name w:val="Hyperlink"/>
    <w:basedOn w:val="Fuentedeprrafopredeter"/>
    <w:uiPriority w:val="99"/>
    <w:unhideWhenUsed/>
    <w:rsid w:val="00BE1827"/>
    <w:rPr>
      <w:color w:val="0000FF" w:themeColor="hyperlink"/>
      <w:u w:val="single"/>
    </w:rPr>
  </w:style>
  <w:style w:type="paragraph" w:customStyle="1" w:styleId="Default">
    <w:name w:val="Default"/>
    <w:rsid w:val="00BF2362"/>
    <w:pPr>
      <w:autoSpaceDE w:val="0"/>
      <w:autoSpaceDN w:val="0"/>
      <w:adjustRightInd w:val="0"/>
    </w:pPr>
    <w:rPr>
      <w:rFonts w:ascii="Arial" w:eastAsiaTheme="minorHAnsi" w:hAnsi="Arial" w:cs="Arial"/>
      <w:color w:val="000000"/>
      <w:lang w:val="es-MX" w:eastAsia="en-US"/>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shOFp7Nlm9Wbml+cTVTCMfb4QQ==">CgMxLjAyCWguM3pueXNoNzIIaC5namRneHMyCWguMzBqMHpsbDIJaC4xdDNoNXNmMg5oLnJrM3hrYTQ2bTcwaDIOaC51NHh4ZWhjOGIwOXE4AHIhMVBNdFJ6ZjZFenFKeElybXp1WTJFcGtUZUtybEc1d01D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8622</Words>
  <Characters>47425</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2025-12-12T16:49:00Z</cp:lastPrinted>
  <dcterms:created xsi:type="dcterms:W3CDTF">2026-01-20T17:40:00Z</dcterms:created>
  <dcterms:modified xsi:type="dcterms:W3CDTF">2026-01-20T17:40:00Z</dcterms:modified>
</cp:coreProperties>
</file>