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14DB" w14:textId="77777777" w:rsidR="00A315D8" w:rsidRPr="00A302BF" w:rsidRDefault="009B03EE" w:rsidP="002B1529">
      <w:pPr>
        <w:tabs>
          <w:tab w:val="left" w:pos="4962"/>
        </w:tabs>
        <w:spacing w:before="240" w:after="240" w:line="360" w:lineRule="auto"/>
        <w:ind w:right="49"/>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w:t>
      </w:r>
      <w:r w:rsidR="00984801" w:rsidRPr="00A302BF">
        <w:rPr>
          <w:rFonts w:ascii="Palatino Linotype" w:eastAsia="Palatino Linotype" w:hAnsi="Palatino Linotype" w:cs="Palatino Linotype"/>
          <w:sz w:val="24"/>
          <w:szCs w:val="24"/>
        </w:rPr>
        <w:t>n Metepec, Estado de México, a doce de marzo d</w:t>
      </w:r>
      <w:r w:rsidRPr="00A302BF">
        <w:rPr>
          <w:rFonts w:ascii="Palatino Linotype" w:eastAsia="Palatino Linotype" w:hAnsi="Palatino Linotype" w:cs="Palatino Linotype"/>
          <w:sz w:val="24"/>
          <w:szCs w:val="24"/>
        </w:rPr>
        <w:t>e dos mil veinticinco.</w:t>
      </w:r>
    </w:p>
    <w:p w14:paraId="385DEB94" w14:textId="77777777" w:rsidR="00A315D8" w:rsidRPr="00A302BF" w:rsidRDefault="009B03EE">
      <w:pP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b/>
          <w:sz w:val="24"/>
          <w:szCs w:val="24"/>
        </w:rPr>
        <w:t xml:space="preserve">Vistos </w:t>
      </w:r>
      <w:r w:rsidRPr="00A302BF">
        <w:rPr>
          <w:rFonts w:ascii="Palatino Linotype" w:eastAsia="Palatino Linotype" w:hAnsi="Palatino Linotype" w:cs="Palatino Linotype"/>
          <w:sz w:val="24"/>
          <w:szCs w:val="24"/>
        </w:rPr>
        <w:t xml:space="preserve">los expedientes relativos a los recursos de revisión número </w:t>
      </w:r>
      <w:r w:rsidR="00984801" w:rsidRPr="00A302BF">
        <w:rPr>
          <w:rFonts w:ascii="Palatino Linotype" w:eastAsia="Palatino Linotype" w:hAnsi="Palatino Linotype" w:cs="Palatino Linotype"/>
          <w:b/>
          <w:sz w:val="24"/>
          <w:szCs w:val="24"/>
        </w:rPr>
        <w:t xml:space="preserve">01014/INFOEM/IP/RR/2025 </w:t>
      </w:r>
      <w:r w:rsidRPr="00A302BF">
        <w:rPr>
          <w:rFonts w:ascii="Palatino Linotype" w:eastAsia="Palatino Linotype" w:hAnsi="Palatino Linotype" w:cs="Palatino Linotype"/>
          <w:sz w:val="24"/>
          <w:szCs w:val="24"/>
        </w:rPr>
        <w:t>y</w:t>
      </w:r>
      <w:r w:rsidRPr="00A302BF">
        <w:rPr>
          <w:rFonts w:ascii="Palatino Linotype" w:eastAsia="Palatino Linotype" w:hAnsi="Palatino Linotype" w:cs="Palatino Linotype"/>
          <w:b/>
          <w:sz w:val="24"/>
          <w:szCs w:val="24"/>
        </w:rPr>
        <w:t xml:space="preserve"> </w:t>
      </w:r>
      <w:r w:rsidR="00984801" w:rsidRPr="00A302BF">
        <w:rPr>
          <w:rFonts w:ascii="Palatino Linotype" w:eastAsia="Palatino Linotype" w:hAnsi="Palatino Linotype" w:cs="Palatino Linotype"/>
          <w:b/>
          <w:sz w:val="24"/>
          <w:szCs w:val="24"/>
        </w:rPr>
        <w:t>01017/INFOEM/IP/RR/2025</w:t>
      </w:r>
      <w:r w:rsidRPr="00A302BF">
        <w:rPr>
          <w:rFonts w:ascii="Palatino Linotype" w:eastAsia="Palatino Linotype" w:hAnsi="Palatino Linotype" w:cs="Palatino Linotype"/>
          <w:b/>
          <w:sz w:val="24"/>
          <w:szCs w:val="24"/>
        </w:rPr>
        <w:t xml:space="preserve">, acumulados, </w:t>
      </w:r>
      <w:r w:rsidRPr="00A302BF">
        <w:rPr>
          <w:rFonts w:ascii="Palatino Linotype" w:eastAsia="Palatino Linotype" w:hAnsi="Palatino Linotype" w:cs="Palatino Linotype"/>
          <w:sz w:val="24"/>
          <w:szCs w:val="24"/>
        </w:rPr>
        <w:t>interpuestos por</w:t>
      </w:r>
      <w:r w:rsidRPr="00A302BF">
        <w:rPr>
          <w:rFonts w:ascii="Palatino Linotype" w:eastAsia="Palatino Linotype" w:hAnsi="Palatino Linotype" w:cs="Palatino Linotype"/>
          <w:b/>
          <w:sz w:val="24"/>
          <w:szCs w:val="24"/>
        </w:rPr>
        <w:t xml:space="preserve"> </w:t>
      </w:r>
      <w:r w:rsidR="00984801" w:rsidRPr="00A302BF">
        <w:rPr>
          <w:rFonts w:ascii="Palatino Linotype" w:eastAsia="Palatino Linotype" w:hAnsi="Palatino Linotype" w:cs="Palatino Linotype"/>
          <w:b/>
          <w:sz w:val="24"/>
          <w:szCs w:val="24"/>
        </w:rPr>
        <w:t>una persona que no proporcionó nombre o seudónimo</w:t>
      </w:r>
      <w:r w:rsidRPr="00A302BF">
        <w:rPr>
          <w:rFonts w:ascii="Palatino Linotype" w:eastAsia="Palatino Linotype" w:hAnsi="Palatino Linotype" w:cs="Palatino Linotype"/>
          <w:sz w:val="24"/>
          <w:szCs w:val="24"/>
        </w:rPr>
        <w:t xml:space="preserve">, en lo sucesivo la parte </w:t>
      </w:r>
      <w:r w:rsidRPr="00A302BF">
        <w:rPr>
          <w:rFonts w:ascii="Palatino Linotype" w:eastAsia="Palatino Linotype" w:hAnsi="Palatino Linotype" w:cs="Palatino Linotype"/>
          <w:b/>
          <w:sz w:val="24"/>
          <w:szCs w:val="24"/>
        </w:rPr>
        <w:t>Recurrente</w:t>
      </w:r>
      <w:r w:rsidRPr="00A302BF">
        <w:rPr>
          <w:rFonts w:ascii="Palatino Linotype" w:eastAsia="Palatino Linotype" w:hAnsi="Palatino Linotype" w:cs="Palatino Linotype"/>
          <w:sz w:val="24"/>
          <w:szCs w:val="24"/>
        </w:rPr>
        <w:t xml:space="preserve">, en contra de la respuesta a las solicitudes de información con números de folio </w:t>
      </w:r>
      <w:r w:rsidR="00984801" w:rsidRPr="00A302BF">
        <w:rPr>
          <w:rFonts w:ascii="Palatino Linotype" w:eastAsia="Palatino Linotype" w:hAnsi="Palatino Linotype" w:cs="Palatino Linotype"/>
          <w:b/>
          <w:sz w:val="24"/>
          <w:szCs w:val="24"/>
        </w:rPr>
        <w:t>00249/TOLUCA/IP/2025</w:t>
      </w:r>
      <w:r w:rsidRPr="00A302BF">
        <w:rPr>
          <w:rFonts w:ascii="Palatino Linotype" w:eastAsia="Palatino Linotype" w:hAnsi="Palatino Linotype" w:cs="Palatino Linotype"/>
          <w:b/>
          <w:sz w:val="24"/>
          <w:szCs w:val="24"/>
        </w:rPr>
        <w:t xml:space="preserve"> </w:t>
      </w:r>
      <w:r w:rsidRPr="00A302BF">
        <w:rPr>
          <w:rFonts w:ascii="Palatino Linotype" w:eastAsia="Palatino Linotype" w:hAnsi="Palatino Linotype" w:cs="Palatino Linotype"/>
          <w:sz w:val="24"/>
          <w:szCs w:val="24"/>
        </w:rPr>
        <w:t>y</w:t>
      </w:r>
      <w:r w:rsidRPr="00A302BF">
        <w:rPr>
          <w:rFonts w:ascii="Palatino Linotype" w:eastAsia="Palatino Linotype" w:hAnsi="Palatino Linotype" w:cs="Palatino Linotype"/>
          <w:b/>
          <w:sz w:val="24"/>
          <w:szCs w:val="24"/>
        </w:rPr>
        <w:t xml:space="preserve"> </w:t>
      </w:r>
      <w:r w:rsidR="00984801" w:rsidRPr="00A302BF">
        <w:rPr>
          <w:rFonts w:ascii="Palatino Linotype" w:eastAsia="Palatino Linotype" w:hAnsi="Palatino Linotype" w:cs="Palatino Linotype"/>
          <w:b/>
          <w:sz w:val="24"/>
          <w:szCs w:val="24"/>
        </w:rPr>
        <w:t>00251/TOLUCA/IP/2025</w:t>
      </w:r>
      <w:r w:rsidRPr="00A302BF">
        <w:rPr>
          <w:rFonts w:ascii="Palatino Linotype" w:eastAsia="Palatino Linotype" w:hAnsi="Palatino Linotype" w:cs="Palatino Linotype"/>
          <w:b/>
          <w:sz w:val="24"/>
          <w:szCs w:val="24"/>
        </w:rPr>
        <w:t xml:space="preserve">, </w:t>
      </w:r>
      <w:r w:rsidRPr="00A302BF">
        <w:rPr>
          <w:rFonts w:ascii="Palatino Linotype" w:eastAsia="Palatino Linotype" w:hAnsi="Palatino Linotype" w:cs="Palatino Linotype"/>
          <w:sz w:val="24"/>
          <w:szCs w:val="24"/>
        </w:rPr>
        <w:t xml:space="preserve">por parte del </w:t>
      </w:r>
      <w:r w:rsidR="00984801" w:rsidRPr="00A302BF">
        <w:rPr>
          <w:rFonts w:ascii="Palatino Linotype" w:eastAsia="Palatino Linotype" w:hAnsi="Palatino Linotype" w:cs="Palatino Linotype"/>
          <w:b/>
          <w:sz w:val="24"/>
          <w:szCs w:val="24"/>
        </w:rPr>
        <w:t>Ayuntamiento de Toluca</w:t>
      </w:r>
      <w:r w:rsidRPr="00A302BF">
        <w:rPr>
          <w:rFonts w:ascii="Palatino Linotype" w:eastAsia="Palatino Linotype" w:hAnsi="Palatino Linotype" w:cs="Palatino Linotype"/>
          <w:b/>
          <w:sz w:val="24"/>
          <w:szCs w:val="24"/>
        </w:rPr>
        <w:t xml:space="preserve">, </w:t>
      </w:r>
      <w:r w:rsidRPr="00A302BF">
        <w:rPr>
          <w:rFonts w:ascii="Palatino Linotype" w:eastAsia="Palatino Linotype" w:hAnsi="Palatino Linotype" w:cs="Palatino Linotype"/>
          <w:sz w:val="24"/>
          <w:szCs w:val="24"/>
        </w:rPr>
        <w:t xml:space="preserve">en lo sucesivo el </w:t>
      </w:r>
      <w:r w:rsidRPr="00A302BF">
        <w:rPr>
          <w:rFonts w:ascii="Palatino Linotype" w:eastAsia="Palatino Linotype" w:hAnsi="Palatino Linotype" w:cs="Palatino Linotype"/>
          <w:b/>
          <w:sz w:val="24"/>
          <w:szCs w:val="24"/>
        </w:rPr>
        <w:t xml:space="preserve">Sujeto Obligado; </w:t>
      </w:r>
      <w:r w:rsidRPr="00A302BF">
        <w:rPr>
          <w:rFonts w:ascii="Palatino Linotype" w:eastAsia="Palatino Linotype" w:hAnsi="Palatino Linotype" w:cs="Palatino Linotype"/>
          <w:sz w:val="24"/>
          <w:szCs w:val="24"/>
        </w:rPr>
        <w:t>se procede a dictar la presente resolución, con base en lo siguiente:</w:t>
      </w:r>
    </w:p>
    <w:p w14:paraId="06235453" w14:textId="77777777" w:rsidR="00A315D8" w:rsidRPr="00A302BF" w:rsidRDefault="009B03EE">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4"/>
          <w:szCs w:val="24"/>
        </w:rPr>
      </w:pPr>
      <w:r w:rsidRPr="00A302BF">
        <w:rPr>
          <w:rFonts w:ascii="Palatino Linotype" w:eastAsia="Palatino Linotype" w:hAnsi="Palatino Linotype" w:cs="Palatino Linotype"/>
          <w:b/>
          <w:sz w:val="24"/>
          <w:szCs w:val="24"/>
        </w:rPr>
        <w:t>I. A N T E C E D E N T E S:</w:t>
      </w:r>
    </w:p>
    <w:p w14:paraId="1466B98A" w14:textId="77777777" w:rsidR="00A315D8" w:rsidRPr="00A302BF" w:rsidRDefault="009B03EE">
      <w:pPr>
        <w:spacing w:before="240" w:after="240" w:line="360" w:lineRule="auto"/>
        <w:jc w:val="both"/>
        <w:rPr>
          <w:rFonts w:ascii="Palatino Linotype" w:eastAsia="Palatino Linotype" w:hAnsi="Palatino Linotype" w:cs="Palatino Linotype"/>
          <w:b/>
          <w:sz w:val="24"/>
          <w:szCs w:val="24"/>
        </w:rPr>
      </w:pPr>
      <w:r w:rsidRPr="00A302BF">
        <w:rPr>
          <w:rFonts w:ascii="Palatino Linotype" w:eastAsia="Palatino Linotype" w:hAnsi="Palatino Linotype" w:cs="Palatino Linotype"/>
          <w:b/>
          <w:sz w:val="24"/>
          <w:szCs w:val="24"/>
        </w:rPr>
        <w:t>1.</w:t>
      </w:r>
      <w:r w:rsidRPr="00A302BF">
        <w:rPr>
          <w:rFonts w:ascii="Palatino Linotype" w:eastAsia="Palatino Linotype" w:hAnsi="Palatino Linotype" w:cs="Palatino Linotype"/>
          <w:sz w:val="24"/>
          <w:szCs w:val="24"/>
        </w:rPr>
        <w:t xml:space="preserve"> </w:t>
      </w:r>
      <w:r w:rsidRPr="00A302BF">
        <w:rPr>
          <w:rFonts w:ascii="Palatino Linotype" w:eastAsia="Palatino Linotype" w:hAnsi="Palatino Linotype" w:cs="Palatino Linotype"/>
          <w:b/>
          <w:sz w:val="24"/>
          <w:szCs w:val="24"/>
        </w:rPr>
        <w:t xml:space="preserve">Solicitudes de Información. </w:t>
      </w:r>
      <w:r w:rsidRPr="00A302BF">
        <w:rPr>
          <w:rFonts w:ascii="Palatino Linotype" w:eastAsia="Palatino Linotype" w:hAnsi="Palatino Linotype" w:cs="Palatino Linotype"/>
          <w:sz w:val="24"/>
          <w:szCs w:val="24"/>
        </w:rPr>
        <w:t xml:space="preserve">El </w:t>
      </w:r>
      <w:r w:rsidRPr="00A302BF">
        <w:rPr>
          <w:rFonts w:ascii="Palatino Linotype" w:eastAsia="Palatino Linotype" w:hAnsi="Palatino Linotype" w:cs="Palatino Linotype"/>
          <w:b/>
          <w:sz w:val="24"/>
          <w:szCs w:val="24"/>
        </w:rPr>
        <w:t xml:space="preserve">catorce de enero de dos mil veinticinco, </w:t>
      </w:r>
      <w:r w:rsidRPr="00A302BF">
        <w:rPr>
          <w:rFonts w:ascii="Palatino Linotype" w:eastAsia="Palatino Linotype" w:hAnsi="Palatino Linotype" w:cs="Palatino Linotype"/>
          <w:sz w:val="24"/>
          <w:szCs w:val="24"/>
        </w:rPr>
        <w:t>la persona solicitante</w:t>
      </w:r>
      <w:r w:rsidRPr="00A302BF">
        <w:rPr>
          <w:rFonts w:ascii="Palatino Linotype" w:eastAsia="Palatino Linotype" w:hAnsi="Palatino Linotype" w:cs="Palatino Linotype"/>
          <w:b/>
          <w:sz w:val="24"/>
          <w:szCs w:val="24"/>
        </w:rPr>
        <w:t xml:space="preserve"> </w:t>
      </w:r>
      <w:r w:rsidRPr="00A302BF">
        <w:rPr>
          <w:rFonts w:ascii="Palatino Linotype" w:eastAsia="Palatino Linotype" w:hAnsi="Palatino Linotype" w:cs="Palatino Linotype"/>
          <w:sz w:val="24"/>
          <w:szCs w:val="24"/>
        </w:rPr>
        <w:t xml:space="preserve">presentó, través del Sistema de Acceso a la Información Mexiquense, en lo subsecuente el </w:t>
      </w:r>
      <w:r w:rsidRPr="00A302BF">
        <w:rPr>
          <w:rFonts w:ascii="Palatino Linotype" w:eastAsia="Palatino Linotype" w:hAnsi="Palatino Linotype" w:cs="Palatino Linotype"/>
          <w:b/>
          <w:sz w:val="24"/>
          <w:szCs w:val="24"/>
        </w:rPr>
        <w:t xml:space="preserve">SAIMEX, </w:t>
      </w:r>
      <w:r w:rsidRPr="00A302BF">
        <w:rPr>
          <w:rFonts w:ascii="Palatino Linotype" w:eastAsia="Palatino Linotype" w:hAnsi="Palatino Linotype" w:cs="Palatino Linotype"/>
          <w:sz w:val="24"/>
          <w:szCs w:val="24"/>
        </w:rPr>
        <w:t xml:space="preserve">ante el </w:t>
      </w:r>
      <w:r w:rsidRPr="00A302BF">
        <w:rPr>
          <w:rFonts w:ascii="Palatino Linotype" w:eastAsia="Palatino Linotype" w:hAnsi="Palatino Linotype" w:cs="Palatino Linotype"/>
          <w:b/>
          <w:sz w:val="24"/>
          <w:szCs w:val="24"/>
        </w:rPr>
        <w:t>Sujeto Obligado</w:t>
      </w:r>
      <w:r w:rsidRPr="00A302BF">
        <w:rPr>
          <w:rFonts w:ascii="Palatino Linotype" w:eastAsia="Palatino Linotype" w:hAnsi="Palatino Linotype" w:cs="Palatino Linotype"/>
          <w:sz w:val="24"/>
          <w:szCs w:val="24"/>
        </w:rPr>
        <w:t>, las solicitudes de acceso a la información pública, mediante las cuales requirió la información siguiente:</w:t>
      </w:r>
    </w:p>
    <w:tbl>
      <w:tblPr>
        <w:tblStyle w:val="affff6"/>
        <w:tblW w:w="88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1"/>
        <w:gridCol w:w="5670"/>
      </w:tblGrid>
      <w:tr w:rsidR="00A302BF" w:rsidRPr="00A302BF" w14:paraId="39162A35" w14:textId="77777777">
        <w:trPr>
          <w:jc w:val="center"/>
        </w:trPr>
        <w:tc>
          <w:tcPr>
            <w:tcW w:w="3141" w:type="dxa"/>
            <w:shd w:val="clear" w:color="auto" w:fill="D0CECE"/>
            <w:vAlign w:val="center"/>
          </w:tcPr>
          <w:p w14:paraId="43E89E40" w14:textId="77777777" w:rsidR="00A315D8" w:rsidRPr="00A302BF" w:rsidRDefault="009B03EE">
            <w:pPr>
              <w:spacing w:before="120" w:after="120" w:line="240" w:lineRule="auto"/>
              <w:jc w:val="center"/>
              <w:rPr>
                <w:rFonts w:ascii="Palatino Linotype" w:eastAsia="Palatino Linotype" w:hAnsi="Palatino Linotype" w:cs="Palatino Linotype"/>
                <w:b/>
                <w:i/>
                <w:sz w:val="20"/>
                <w:szCs w:val="20"/>
              </w:rPr>
            </w:pPr>
            <w:bookmarkStart w:id="0" w:name="_heading=h.1fob9te" w:colFirst="0" w:colLast="0"/>
            <w:bookmarkEnd w:id="0"/>
            <w:r w:rsidRPr="00A302BF">
              <w:rPr>
                <w:rFonts w:ascii="Palatino Linotype" w:eastAsia="Palatino Linotype" w:hAnsi="Palatino Linotype" w:cs="Palatino Linotype"/>
                <w:b/>
                <w:sz w:val="20"/>
                <w:szCs w:val="20"/>
              </w:rPr>
              <w:t>Número de solicitud</w:t>
            </w:r>
          </w:p>
        </w:tc>
        <w:tc>
          <w:tcPr>
            <w:tcW w:w="5670" w:type="dxa"/>
            <w:shd w:val="clear" w:color="auto" w:fill="D0CECE"/>
            <w:vAlign w:val="center"/>
          </w:tcPr>
          <w:p w14:paraId="4E0BE327" w14:textId="77777777" w:rsidR="00A315D8" w:rsidRPr="00A302BF" w:rsidRDefault="009B03EE">
            <w:pPr>
              <w:spacing w:before="120" w:after="120" w:line="240" w:lineRule="auto"/>
              <w:jc w:val="center"/>
              <w:rPr>
                <w:rFonts w:ascii="Palatino Linotype" w:eastAsia="Palatino Linotype" w:hAnsi="Palatino Linotype" w:cs="Palatino Linotype"/>
                <w:b/>
                <w:i/>
                <w:sz w:val="20"/>
                <w:szCs w:val="20"/>
              </w:rPr>
            </w:pPr>
            <w:r w:rsidRPr="00A302BF">
              <w:rPr>
                <w:rFonts w:ascii="Palatino Linotype" w:eastAsia="Palatino Linotype" w:hAnsi="Palatino Linotype" w:cs="Palatino Linotype"/>
                <w:b/>
                <w:sz w:val="20"/>
                <w:szCs w:val="20"/>
              </w:rPr>
              <w:t>Información solicitada</w:t>
            </w:r>
          </w:p>
        </w:tc>
      </w:tr>
      <w:tr w:rsidR="00A302BF" w:rsidRPr="00A302BF" w14:paraId="5D109BE2" w14:textId="77777777">
        <w:trPr>
          <w:jc w:val="center"/>
        </w:trPr>
        <w:tc>
          <w:tcPr>
            <w:tcW w:w="3141" w:type="dxa"/>
          </w:tcPr>
          <w:p w14:paraId="225E0155" w14:textId="77777777" w:rsidR="00A315D8" w:rsidRPr="00A302BF" w:rsidRDefault="00984801" w:rsidP="00984801">
            <w:pPr>
              <w:spacing w:before="120" w:after="120" w:line="240" w:lineRule="auto"/>
              <w:jc w:val="center"/>
              <w:rPr>
                <w:rFonts w:ascii="Palatino Linotype" w:eastAsia="Palatino Linotype" w:hAnsi="Palatino Linotype" w:cs="Palatino Linotype"/>
                <w:b/>
                <w:i/>
                <w:sz w:val="20"/>
                <w:szCs w:val="20"/>
                <w:lang w:val="en-US"/>
              </w:rPr>
            </w:pPr>
            <w:bookmarkStart w:id="1" w:name="_heading=h.3znysh7" w:colFirst="0" w:colLast="0"/>
            <w:bookmarkEnd w:id="1"/>
            <w:r w:rsidRPr="00A302BF">
              <w:rPr>
                <w:rFonts w:ascii="Palatino Linotype" w:eastAsia="Palatino Linotype" w:hAnsi="Palatino Linotype" w:cs="Palatino Linotype"/>
                <w:b/>
                <w:sz w:val="20"/>
                <w:szCs w:val="20"/>
                <w:lang w:val="en-US"/>
              </w:rPr>
              <w:t>00249/TOLUCA/IP/2025 01017</w:t>
            </w:r>
            <w:r w:rsidR="009B03EE" w:rsidRPr="00A302BF">
              <w:rPr>
                <w:rFonts w:ascii="Palatino Linotype" w:eastAsia="Palatino Linotype" w:hAnsi="Palatino Linotype" w:cs="Palatino Linotype"/>
                <w:b/>
                <w:sz w:val="20"/>
                <w:szCs w:val="20"/>
                <w:lang w:val="en-US"/>
              </w:rPr>
              <w:t>/INFOEM/IP/RR/2025</w:t>
            </w:r>
          </w:p>
        </w:tc>
        <w:tc>
          <w:tcPr>
            <w:tcW w:w="5670" w:type="dxa"/>
          </w:tcPr>
          <w:p w14:paraId="0B65D7B3" w14:textId="77777777" w:rsidR="00A315D8" w:rsidRPr="00A302BF" w:rsidRDefault="009B03EE">
            <w:pPr>
              <w:spacing w:before="120" w:after="120" w:line="240" w:lineRule="auto"/>
              <w:jc w:val="both"/>
              <w:rPr>
                <w:rFonts w:ascii="Palatino Linotype" w:eastAsia="Palatino Linotype" w:hAnsi="Palatino Linotype" w:cs="Palatino Linotype"/>
                <w:i/>
                <w:sz w:val="20"/>
                <w:szCs w:val="20"/>
              </w:rPr>
            </w:pPr>
            <w:r w:rsidRPr="00A302BF">
              <w:rPr>
                <w:rFonts w:ascii="Palatino Linotype" w:eastAsia="Palatino Linotype" w:hAnsi="Palatino Linotype" w:cs="Palatino Linotype"/>
                <w:i/>
                <w:sz w:val="20"/>
                <w:szCs w:val="20"/>
              </w:rPr>
              <w:t>“</w:t>
            </w:r>
            <w:r w:rsidR="00984801" w:rsidRPr="00A302BF">
              <w:rPr>
                <w:rFonts w:ascii="Palatino Linotype" w:eastAsia="Palatino Linotype" w:hAnsi="Palatino Linotype" w:cs="Palatino Linotype"/>
                <w:i/>
                <w:sz w:val="20"/>
                <w:szCs w:val="20"/>
              </w:rPr>
              <w:t>Se solicita los contratos de las obras realizadas en 2025</w:t>
            </w:r>
            <w:r w:rsidRPr="00A302BF">
              <w:rPr>
                <w:rFonts w:ascii="Palatino Linotype" w:eastAsia="Palatino Linotype" w:hAnsi="Palatino Linotype" w:cs="Palatino Linotype"/>
                <w:i/>
                <w:sz w:val="20"/>
                <w:szCs w:val="20"/>
              </w:rPr>
              <w:t>" (sic)</w:t>
            </w:r>
          </w:p>
        </w:tc>
      </w:tr>
      <w:tr w:rsidR="00A302BF" w:rsidRPr="00A302BF" w14:paraId="57A4ABE9" w14:textId="77777777">
        <w:trPr>
          <w:jc w:val="center"/>
        </w:trPr>
        <w:tc>
          <w:tcPr>
            <w:tcW w:w="3141" w:type="dxa"/>
            <w:vAlign w:val="center"/>
          </w:tcPr>
          <w:p w14:paraId="61390D3C" w14:textId="77777777" w:rsidR="00A315D8" w:rsidRPr="00A302BF" w:rsidRDefault="00984801">
            <w:pPr>
              <w:spacing w:before="120" w:after="120" w:line="240" w:lineRule="auto"/>
              <w:jc w:val="center"/>
              <w:rPr>
                <w:rFonts w:ascii="Palatino Linotype" w:eastAsia="Palatino Linotype" w:hAnsi="Palatino Linotype" w:cs="Palatino Linotype"/>
                <w:b/>
                <w:sz w:val="20"/>
                <w:szCs w:val="20"/>
                <w:lang w:val="en-US"/>
              </w:rPr>
            </w:pPr>
            <w:r w:rsidRPr="00A302BF">
              <w:rPr>
                <w:rFonts w:ascii="Palatino Linotype" w:eastAsia="Palatino Linotype" w:hAnsi="Palatino Linotype" w:cs="Palatino Linotype"/>
                <w:b/>
                <w:sz w:val="20"/>
                <w:szCs w:val="20"/>
                <w:lang w:val="en-US"/>
              </w:rPr>
              <w:t>00251/TOLUCA/IP/2025 01014/INFOEM/IP/RR/2025</w:t>
            </w:r>
          </w:p>
        </w:tc>
        <w:tc>
          <w:tcPr>
            <w:tcW w:w="5670" w:type="dxa"/>
          </w:tcPr>
          <w:p w14:paraId="64BD925B" w14:textId="77777777" w:rsidR="00A315D8" w:rsidRPr="00A302BF" w:rsidRDefault="009B03EE" w:rsidP="00984801">
            <w:pPr>
              <w:spacing w:before="120" w:after="120" w:line="240" w:lineRule="auto"/>
              <w:jc w:val="both"/>
              <w:rPr>
                <w:rFonts w:ascii="Palatino Linotype" w:eastAsia="Palatino Linotype" w:hAnsi="Palatino Linotype" w:cs="Palatino Linotype"/>
                <w:i/>
                <w:sz w:val="20"/>
                <w:szCs w:val="20"/>
              </w:rPr>
            </w:pPr>
            <w:r w:rsidRPr="00A302BF">
              <w:rPr>
                <w:rFonts w:ascii="Palatino Linotype" w:eastAsia="Palatino Linotype" w:hAnsi="Palatino Linotype" w:cs="Palatino Linotype"/>
                <w:i/>
                <w:sz w:val="20"/>
                <w:szCs w:val="20"/>
              </w:rPr>
              <w:t>“</w:t>
            </w:r>
            <w:r w:rsidR="00A2787D" w:rsidRPr="00A302BF">
              <w:rPr>
                <w:rFonts w:ascii="Palatino Linotype" w:eastAsia="Palatino Linotype" w:hAnsi="Palatino Linotype" w:cs="Palatino Linotype"/>
                <w:i/>
                <w:sz w:val="20"/>
                <w:szCs w:val="20"/>
              </w:rPr>
              <w:t>Solicito los contratos y programa de obra para 2025</w:t>
            </w:r>
            <w:r w:rsidRPr="00A302BF">
              <w:rPr>
                <w:rFonts w:ascii="Palatino Linotype" w:eastAsia="Palatino Linotype" w:hAnsi="Palatino Linotype" w:cs="Palatino Linotype"/>
                <w:i/>
                <w:sz w:val="20"/>
                <w:szCs w:val="20"/>
              </w:rPr>
              <w:t>" (sic)</w:t>
            </w:r>
          </w:p>
        </w:tc>
      </w:tr>
    </w:tbl>
    <w:p w14:paraId="6363F756" w14:textId="77777777" w:rsidR="00A315D8" w:rsidRPr="00A302BF" w:rsidRDefault="009B03EE">
      <w:pP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b/>
          <w:sz w:val="24"/>
          <w:szCs w:val="24"/>
        </w:rPr>
        <w:lastRenderedPageBreak/>
        <w:t xml:space="preserve">Modalidad elegida para la entrega de la información: </w:t>
      </w:r>
      <w:r w:rsidRPr="00A302BF">
        <w:rPr>
          <w:rFonts w:ascii="Palatino Linotype" w:eastAsia="Palatino Linotype" w:hAnsi="Palatino Linotype" w:cs="Palatino Linotype"/>
          <w:sz w:val="24"/>
          <w:szCs w:val="24"/>
        </w:rPr>
        <w:t>a través del SAIMEX en ambos casos.</w:t>
      </w:r>
    </w:p>
    <w:p w14:paraId="0D149B73" w14:textId="77777777" w:rsidR="00A315D8" w:rsidRPr="00A302BF" w:rsidRDefault="009B03EE">
      <w:pPr>
        <w:widowControl w:val="0"/>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b/>
          <w:sz w:val="24"/>
          <w:szCs w:val="24"/>
        </w:rPr>
        <w:t>2</w:t>
      </w:r>
      <w:r w:rsidRPr="00A302BF">
        <w:rPr>
          <w:rFonts w:ascii="Palatino Linotype" w:eastAsia="Palatino Linotype" w:hAnsi="Palatino Linotype" w:cs="Palatino Linotype"/>
          <w:sz w:val="24"/>
          <w:szCs w:val="24"/>
        </w:rPr>
        <w:t xml:space="preserve">. </w:t>
      </w:r>
      <w:r w:rsidRPr="00A302BF">
        <w:rPr>
          <w:rFonts w:ascii="Palatino Linotype" w:eastAsia="Palatino Linotype" w:hAnsi="Palatino Linotype" w:cs="Palatino Linotype"/>
          <w:b/>
          <w:sz w:val="24"/>
          <w:szCs w:val="24"/>
        </w:rPr>
        <w:t xml:space="preserve">Respuesta. </w:t>
      </w:r>
      <w:r w:rsidRPr="00A302BF">
        <w:rPr>
          <w:rFonts w:ascii="Palatino Linotype" w:eastAsia="Palatino Linotype" w:hAnsi="Palatino Linotype" w:cs="Palatino Linotype"/>
          <w:sz w:val="24"/>
          <w:szCs w:val="24"/>
        </w:rPr>
        <w:t xml:space="preserve">El </w:t>
      </w:r>
      <w:r w:rsidR="00984801" w:rsidRPr="00A302BF">
        <w:rPr>
          <w:rFonts w:ascii="Palatino Linotype" w:eastAsia="Palatino Linotype" w:hAnsi="Palatino Linotype" w:cs="Palatino Linotype"/>
          <w:b/>
          <w:sz w:val="24"/>
          <w:szCs w:val="24"/>
        </w:rPr>
        <w:t>cinco</w:t>
      </w:r>
      <w:r w:rsidRPr="00A302BF">
        <w:rPr>
          <w:rFonts w:ascii="Palatino Linotype" w:eastAsia="Palatino Linotype" w:hAnsi="Palatino Linotype" w:cs="Palatino Linotype"/>
          <w:b/>
          <w:sz w:val="24"/>
          <w:szCs w:val="24"/>
        </w:rPr>
        <w:t xml:space="preserve"> de febrero de dos mil veinticinco</w:t>
      </w:r>
      <w:r w:rsidRPr="00A302BF">
        <w:rPr>
          <w:rFonts w:ascii="Palatino Linotype" w:eastAsia="Palatino Linotype" w:hAnsi="Palatino Linotype" w:cs="Palatino Linotype"/>
          <w:sz w:val="24"/>
          <w:szCs w:val="24"/>
        </w:rPr>
        <w:t xml:space="preserve">, el </w:t>
      </w:r>
      <w:r w:rsidRPr="00A302BF">
        <w:rPr>
          <w:rFonts w:ascii="Palatino Linotype" w:eastAsia="Palatino Linotype" w:hAnsi="Palatino Linotype" w:cs="Palatino Linotype"/>
          <w:b/>
          <w:sz w:val="24"/>
          <w:szCs w:val="24"/>
        </w:rPr>
        <w:t xml:space="preserve">Sujeto Obligado </w:t>
      </w:r>
      <w:r w:rsidRPr="00A302BF">
        <w:rPr>
          <w:rFonts w:ascii="Palatino Linotype" w:eastAsia="Palatino Linotype" w:hAnsi="Palatino Linotype" w:cs="Palatino Linotype"/>
          <w:sz w:val="24"/>
          <w:szCs w:val="24"/>
        </w:rPr>
        <w:t xml:space="preserve">envió su respuesta a las solicitudes de acceso a la información a través de SAIMEX, sustancialmente en los términos siguientes:  </w:t>
      </w:r>
    </w:p>
    <w:tbl>
      <w:tblPr>
        <w:tblStyle w:val="affff7"/>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714"/>
      </w:tblGrid>
      <w:tr w:rsidR="00A302BF" w:rsidRPr="00A302BF" w14:paraId="1F66DBB8" w14:textId="77777777">
        <w:trPr>
          <w:jc w:val="center"/>
        </w:trPr>
        <w:tc>
          <w:tcPr>
            <w:tcW w:w="3114" w:type="dxa"/>
            <w:shd w:val="clear" w:color="auto" w:fill="D0CECE"/>
          </w:tcPr>
          <w:p w14:paraId="6A9C5242" w14:textId="77777777" w:rsidR="00A315D8" w:rsidRPr="00A302BF" w:rsidRDefault="009B03EE">
            <w:pPr>
              <w:spacing w:before="120" w:after="120" w:line="240" w:lineRule="auto"/>
              <w:jc w:val="center"/>
              <w:rPr>
                <w:rFonts w:ascii="Palatino Linotype" w:eastAsia="Palatino Linotype" w:hAnsi="Palatino Linotype" w:cs="Palatino Linotype"/>
                <w:b/>
                <w:sz w:val="20"/>
                <w:szCs w:val="20"/>
              </w:rPr>
            </w:pPr>
            <w:r w:rsidRPr="00A302BF">
              <w:rPr>
                <w:rFonts w:ascii="Palatino Linotype" w:eastAsia="Palatino Linotype" w:hAnsi="Palatino Linotype" w:cs="Palatino Linotype"/>
                <w:b/>
                <w:sz w:val="20"/>
                <w:szCs w:val="20"/>
              </w:rPr>
              <w:t>Número de solicitud</w:t>
            </w:r>
          </w:p>
        </w:tc>
        <w:tc>
          <w:tcPr>
            <w:tcW w:w="5714" w:type="dxa"/>
            <w:shd w:val="clear" w:color="auto" w:fill="D0CECE"/>
          </w:tcPr>
          <w:p w14:paraId="0A0C92C2" w14:textId="77777777" w:rsidR="00A315D8" w:rsidRPr="00A302BF" w:rsidRDefault="009B03EE">
            <w:pPr>
              <w:spacing w:before="120" w:after="120" w:line="240" w:lineRule="auto"/>
              <w:jc w:val="center"/>
              <w:rPr>
                <w:rFonts w:ascii="Palatino Linotype" w:eastAsia="Palatino Linotype" w:hAnsi="Palatino Linotype" w:cs="Palatino Linotype"/>
                <w:b/>
                <w:sz w:val="20"/>
                <w:szCs w:val="20"/>
              </w:rPr>
            </w:pPr>
            <w:r w:rsidRPr="00A302BF">
              <w:rPr>
                <w:rFonts w:ascii="Palatino Linotype" w:eastAsia="Palatino Linotype" w:hAnsi="Palatino Linotype" w:cs="Palatino Linotype"/>
                <w:b/>
                <w:sz w:val="20"/>
                <w:szCs w:val="20"/>
              </w:rPr>
              <w:t>Respuesta</w:t>
            </w:r>
          </w:p>
        </w:tc>
      </w:tr>
      <w:tr w:rsidR="00A302BF" w:rsidRPr="00A302BF" w14:paraId="22D39214" w14:textId="77777777">
        <w:trPr>
          <w:jc w:val="center"/>
        </w:trPr>
        <w:tc>
          <w:tcPr>
            <w:tcW w:w="3114" w:type="dxa"/>
          </w:tcPr>
          <w:p w14:paraId="4807E102" w14:textId="77777777" w:rsidR="00984801" w:rsidRPr="00A302BF" w:rsidRDefault="00984801" w:rsidP="00984801">
            <w:pPr>
              <w:spacing w:before="120" w:after="120" w:line="240" w:lineRule="auto"/>
              <w:jc w:val="center"/>
              <w:rPr>
                <w:rFonts w:ascii="Palatino Linotype" w:eastAsia="Palatino Linotype" w:hAnsi="Palatino Linotype" w:cs="Palatino Linotype"/>
                <w:b/>
                <w:i/>
                <w:sz w:val="20"/>
                <w:szCs w:val="20"/>
                <w:lang w:val="en-US"/>
              </w:rPr>
            </w:pPr>
            <w:r w:rsidRPr="00A302BF">
              <w:rPr>
                <w:rFonts w:ascii="Palatino Linotype" w:eastAsia="Palatino Linotype" w:hAnsi="Palatino Linotype" w:cs="Palatino Linotype"/>
                <w:b/>
                <w:sz w:val="20"/>
                <w:szCs w:val="20"/>
                <w:lang w:val="en-US"/>
              </w:rPr>
              <w:t>00249/TOLUCA/IP/2025 01017/INFOEM/IP/RR/2025</w:t>
            </w:r>
          </w:p>
        </w:tc>
        <w:tc>
          <w:tcPr>
            <w:tcW w:w="5714" w:type="dxa"/>
          </w:tcPr>
          <w:p w14:paraId="714FE849" w14:textId="77777777" w:rsidR="00984801" w:rsidRPr="00A302BF" w:rsidRDefault="00984801" w:rsidP="00984801">
            <w:pPr>
              <w:spacing w:before="120" w:after="120" w:line="240" w:lineRule="auto"/>
              <w:jc w:val="both"/>
              <w:rPr>
                <w:rFonts w:ascii="Palatino Linotype" w:eastAsia="Palatino Linotype" w:hAnsi="Palatino Linotype" w:cs="Palatino Linotype"/>
                <w:i/>
                <w:sz w:val="20"/>
                <w:szCs w:val="20"/>
              </w:rPr>
            </w:pPr>
            <w:r w:rsidRPr="00A302BF">
              <w:rPr>
                <w:rFonts w:ascii="Palatino Linotype" w:eastAsia="Palatino Linotype" w:hAnsi="Palatino Linotype" w:cs="Palatino Linotype"/>
                <w:i/>
                <w:sz w:val="20"/>
                <w:szCs w:val="20"/>
              </w:rPr>
              <w:t>“...En atención a la solicitud con folio 0249/TOLUCA/IP/2025, me permito adjuntar al presente la respuesta correspondiente...” (sic)</w:t>
            </w:r>
          </w:p>
          <w:p w14:paraId="218F1B34" w14:textId="77777777" w:rsidR="00984801" w:rsidRPr="00A302BF" w:rsidRDefault="00984801" w:rsidP="00984801">
            <w:pPr>
              <w:spacing w:before="120" w:after="120" w:line="240" w:lineRule="auto"/>
              <w:jc w:val="both"/>
              <w:rPr>
                <w:rFonts w:ascii="Palatino Linotype" w:eastAsia="Palatino Linotype" w:hAnsi="Palatino Linotype" w:cs="Palatino Linotype"/>
                <w:sz w:val="20"/>
                <w:szCs w:val="20"/>
              </w:rPr>
            </w:pPr>
            <w:r w:rsidRPr="00A302BF">
              <w:rPr>
                <w:rFonts w:ascii="Palatino Linotype" w:eastAsia="Palatino Linotype" w:hAnsi="Palatino Linotype" w:cs="Palatino Linotype"/>
                <w:sz w:val="20"/>
                <w:szCs w:val="20"/>
              </w:rPr>
              <w:t xml:space="preserve">Archivos adjuntos: </w:t>
            </w:r>
          </w:p>
          <w:p w14:paraId="0A1355E9" w14:textId="77777777" w:rsidR="00E9209C" w:rsidRPr="00A302BF" w:rsidRDefault="00984801" w:rsidP="00D56731">
            <w:pPr>
              <w:spacing w:before="120" w:after="120" w:line="240" w:lineRule="auto"/>
              <w:jc w:val="both"/>
              <w:rPr>
                <w:rFonts w:ascii="Palatino Linotype" w:hAnsi="Palatino Linotype"/>
              </w:rPr>
            </w:pPr>
            <w:r w:rsidRPr="00A302BF">
              <w:rPr>
                <w:rFonts w:ascii="Palatino Linotype" w:eastAsia="Palatino Linotype" w:hAnsi="Palatino Linotype" w:cs="Palatino Linotype"/>
                <w:sz w:val="20"/>
                <w:szCs w:val="20"/>
              </w:rPr>
              <w:t>- Escrito del cinco de febrero de dos mil veinticinco, mediante el cual el Titular de la Unidad de Transparencia hizo del conocimiento de la persona solicitante,</w:t>
            </w:r>
            <w:r w:rsidR="00E9209C" w:rsidRPr="00A302BF">
              <w:rPr>
                <w:rFonts w:ascii="Palatino Linotype" w:eastAsia="Palatino Linotype" w:hAnsi="Palatino Linotype" w:cs="Palatino Linotype"/>
                <w:sz w:val="20"/>
                <w:szCs w:val="20"/>
              </w:rPr>
              <w:t xml:space="preserve"> la información proporcionada</w:t>
            </w:r>
            <w:r w:rsidRPr="00A302BF">
              <w:rPr>
                <w:rFonts w:ascii="Palatino Linotype" w:eastAsia="Palatino Linotype" w:hAnsi="Palatino Linotype" w:cs="Palatino Linotype"/>
                <w:sz w:val="20"/>
                <w:szCs w:val="20"/>
              </w:rPr>
              <w:t xml:space="preserve"> por los servidores públicos habilitados de la </w:t>
            </w:r>
            <w:r w:rsidRPr="00A302BF">
              <w:rPr>
                <w:rFonts w:ascii="Palatino Linotype" w:eastAsia="Palatino Linotype" w:hAnsi="Palatino Linotype" w:cs="Palatino Linotype"/>
                <w:b/>
                <w:sz w:val="20"/>
                <w:szCs w:val="20"/>
              </w:rPr>
              <w:t>Dirección General de Obras Públicas</w:t>
            </w:r>
            <w:r w:rsidRPr="00A302BF">
              <w:rPr>
                <w:rFonts w:ascii="Palatino Linotype" w:eastAsia="Palatino Linotype" w:hAnsi="Palatino Linotype" w:cs="Palatino Linotype"/>
                <w:sz w:val="20"/>
                <w:szCs w:val="20"/>
              </w:rPr>
              <w:t xml:space="preserve">, quien </w:t>
            </w:r>
            <w:r w:rsidR="00E9209C" w:rsidRPr="00A302BF">
              <w:rPr>
                <w:rFonts w:ascii="Palatino Linotype" w:eastAsia="Palatino Linotype" w:hAnsi="Palatino Linotype" w:cs="Palatino Linotype"/>
                <w:sz w:val="20"/>
                <w:szCs w:val="20"/>
              </w:rPr>
              <w:t xml:space="preserve">indicó que </w:t>
            </w:r>
            <w:r w:rsidR="00E9209C" w:rsidRPr="00A302BF">
              <w:rPr>
                <w:rFonts w:ascii="Palatino Linotype" w:hAnsi="Palatino Linotype"/>
                <w:sz w:val="20"/>
                <w:szCs w:val="20"/>
              </w:rPr>
              <w:t>a la fecha de la solicitud no se había generado, ni administra</w:t>
            </w:r>
            <w:r w:rsidR="00D56731" w:rsidRPr="00A302BF">
              <w:rPr>
                <w:rFonts w:ascii="Palatino Linotype" w:hAnsi="Palatino Linotype"/>
                <w:sz w:val="20"/>
                <w:szCs w:val="20"/>
              </w:rPr>
              <w:t>r</w:t>
            </w:r>
            <w:r w:rsidR="00E9209C" w:rsidRPr="00A302BF">
              <w:rPr>
                <w:rFonts w:ascii="Palatino Linotype" w:hAnsi="Palatino Linotype"/>
                <w:sz w:val="20"/>
                <w:szCs w:val="20"/>
              </w:rPr>
              <w:t xml:space="preserve"> expresión documental que dé cuenta a lo solicitado derivado de la </w:t>
            </w:r>
            <w:r w:rsidRPr="00A302BF">
              <w:rPr>
                <w:rFonts w:ascii="Palatino Linotype" w:hAnsi="Palatino Linotype"/>
                <w:sz w:val="20"/>
                <w:szCs w:val="20"/>
              </w:rPr>
              <w:t>búsqueda exhaustiva y razonable en los archivos que se encuentra</w:t>
            </w:r>
            <w:r w:rsidR="00E9209C" w:rsidRPr="00A302BF">
              <w:rPr>
                <w:rFonts w:ascii="Palatino Linotype" w:hAnsi="Palatino Linotype"/>
                <w:sz w:val="20"/>
                <w:szCs w:val="20"/>
              </w:rPr>
              <w:t>n</w:t>
            </w:r>
            <w:r w:rsidRPr="00A302BF">
              <w:rPr>
                <w:rFonts w:ascii="Palatino Linotype" w:hAnsi="Palatino Linotype"/>
                <w:sz w:val="20"/>
                <w:szCs w:val="20"/>
              </w:rPr>
              <w:t xml:space="preserve"> bajo resguardo y custodia de la Dirección G</w:t>
            </w:r>
            <w:r w:rsidR="00E9209C" w:rsidRPr="00A302BF">
              <w:rPr>
                <w:rFonts w:ascii="Palatino Linotype" w:hAnsi="Palatino Linotype"/>
                <w:sz w:val="20"/>
                <w:szCs w:val="20"/>
              </w:rPr>
              <w:t>eneral a su cargo</w:t>
            </w:r>
            <w:r w:rsidRPr="00A302BF">
              <w:rPr>
                <w:rFonts w:ascii="Palatino Linotype" w:hAnsi="Palatino Linotype"/>
                <w:sz w:val="20"/>
                <w:szCs w:val="20"/>
              </w:rPr>
              <w:t>, por lo que no es posible la entrega de la información</w:t>
            </w:r>
            <w:r w:rsidR="00E9209C" w:rsidRPr="00A302BF">
              <w:rPr>
                <w:rFonts w:ascii="Palatino Linotype" w:hAnsi="Palatino Linotype"/>
                <w:sz w:val="20"/>
                <w:szCs w:val="20"/>
              </w:rPr>
              <w:t xml:space="preserve">; y la </w:t>
            </w:r>
            <w:r w:rsidRPr="00A302BF">
              <w:rPr>
                <w:rFonts w:ascii="Palatino Linotype" w:hAnsi="Palatino Linotype"/>
                <w:b/>
                <w:sz w:val="20"/>
                <w:szCs w:val="20"/>
              </w:rPr>
              <w:t>Dirección General de Administración</w:t>
            </w:r>
            <w:r w:rsidRPr="00A302BF">
              <w:rPr>
                <w:rFonts w:ascii="Palatino Linotype" w:hAnsi="Palatino Linotype"/>
                <w:sz w:val="20"/>
                <w:szCs w:val="20"/>
              </w:rPr>
              <w:t xml:space="preserve"> </w:t>
            </w:r>
            <w:r w:rsidR="00E9209C" w:rsidRPr="00A302BF">
              <w:rPr>
                <w:rFonts w:ascii="Palatino Linotype" w:hAnsi="Palatino Linotype"/>
                <w:sz w:val="20"/>
                <w:szCs w:val="20"/>
              </w:rPr>
              <w:t xml:space="preserve">quien informo que </w:t>
            </w:r>
            <w:r w:rsidR="00F62AC5" w:rsidRPr="00A302BF">
              <w:rPr>
                <w:rFonts w:ascii="Palatino Linotype" w:hAnsi="Palatino Linotype"/>
                <w:sz w:val="20"/>
                <w:szCs w:val="20"/>
              </w:rPr>
              <w:t>lo solicitado</w:t>
            </w:r>
            <w:r w:rsidR="00E9209C" w:rsidRPr="00A302BF">
              <w:rPr>
                <w:rFonts w:ascii="Palatino Linotype" w:hAnsi="Palatino Linotype"/>
                <w:sz w:val="20"/>
                <w:szCs w:val="20"/>
              </w:rPr>
              <w:t xml:space="preserve"> no es competencia de la Dirección General a su cargo, toda vez que la información requerida en términos de obra pública y servicios relacionados con la misma, no se genera, recopila, administra, procesa archiva o conserva en dicha Unidad Administrativa.</w:t>
            </w:r>
          </w:p>
        </w:tc>
      </w:tr>
      <w:tr w:rsidR="00A302BF" w:rsidRPr="00A302BF" w14:paraId="3FA58809" w14:textId="77777777">
        <w:trPr>
          <w:jc w:val="center"/>
        </w:trPr>
        <w:tc>
          <w:tcPr>
            <w:tcW w:w="3114" w:type="dxa"/>
            <w:vAlign w:val="center"/>
          </w:tcPr>
          <w:p w14:paraId="2997D937" w14:textId="77777777" w:rsidR="00984801" w:rsidRPr="00A302BF" w:rsidRDefault="00984801" w:rsidP="00984801">
            <w:pPr>
              <w:spacing w:before="120" w:after="120" w:line="240" w:lineRule="auto"/>
              <w:jc w:val="center"/>
              <w:rPr>
                <w:rFonts w:ascii="Palatino Linotype" w:eastAsia="Palatino Linotype" w:hAnsi="Palatino Linotype" w:cs="Palatino Linotype"/>
                <w:b/>
                <w:sz w:val="20"/>
                <w:szCs w:val="20"/>
                <w:lang w:val="en-US"/>
              </w:rPr>
            </w:pPr>
            <w:r w:rsidRPr="00A302BF">
              <w:rPr>
                <w:rFonts w:ascii="Palatino Linotype" w:eastAsia="Palatino Linotype" w:hAnsi="Palatino Linotype" w:cs="Palatino Linotype"/>
                <w:b/>
                <w:sz w:val="20"/>
                <w:szCs w:val="20"/>
                <w:lang w:val="en-US"/>
              </w:rPr>
              <w:t>00251/TOLUCA/IP/2025 01014/INFOEM/IP/RR/2025</w:t>
            </w:r>
          </w:p>
        </w:tc>
        <w:tc>
          <w:tcPr>
            <w:tcW w:w="5714" w:type="dxa"/>
          </w:tcPr>
          <w:p w14:paraId="4174E58D" w14:textId="77777777" w:rsidR="00984801" w:rsidRPr="00A302BF" w:rsidRDefault="00984801" w:rsidP="00984801">
            <w:pPr>
              <w:spacing w:before="120" w:after="120" w:line="240" w:lineRule="auto"/>
              <w:jc w:val="both"/>
              <w:rPr>
                <w:rFonts w:ascii="Palatino Linotype" w:eastAsia="Palatino Linotype" w:hAnsi="Palatino Linotype" w:cs="Palatino Linotype"/>
                <w:i/>
                <w:sz w:val="20"/>
                <w:szCs w:val="20"/>
              </w:rPr>
            </w:pPr>
            <w:r w:rsidRPr="00A302BF">
              <w:rPr>
                <w:rFonts w:ascii="Palatino Linotype" w:eastAsia="Palatino Linotype" w:hAnsi="Palatino Linotype" w:cs="Palatino Linotype"/>
                <w:i/>
                <w:sz w:val="20"/>
                <w:szCs w:val="20"/>
              </w:rPr>
              <w:t>“…En atención a la solicitud con folio 0251/TOLUCA/IP/2025, me permito adjuntar al presente la respuesta correspondiente...” (sic)</w:t>
            </w:r>
          </w:p>
          <w:p w14:paraId="3C973282" w14:textId="77777777" w:rsidR="007E3E25" w:rsidRPr="00A302BF" w:rsidRDefault="007E3E25" w:rsidP="007E3E25">
            <w:pPr>
              <w:spacing w:before="120" w:after="120" w:line="240" w:lineRule="auto"/>
              <w:jc w:val="both"/>
              <w:rPr>
                <w:rFonts w:ascii="Palatino Linotype" w:eastAsia="Palatino Linotype" w:hAnsi="Palatino Linotype" w:cs="Palatino Linotype"/>
                <w:sz w:val="20"/>
                <w:szCs w:val="20"/>
              </w:rPr>
            </w:pPr>
            <w:r w:rsidRPr="00A302BF">
              <w:rPr>
                <w:rFonts w:ascii="Palatino Linotype" w:eastAsia="Palatino Linotype" w:hAnsi="Palatino Linotype" w:cs="Palatino Linotype"/>
                <w:sz w:val="20"/>
                <w:szCs w:val="20"/>
              </w:rPr>
              <w:t xml:space="preserve">Archivos adjuntos: </w:t>
            </w:r>
          </w:p>
          <w:p w14:paraId="0F79685E" w14:textId="77777777" w:rsidR="00984801" w:rsidRPr="00A302BF" w:rsidRDefault="00E9209C" w:rsidP="00D56731">
            <w:pPr>
              <w:spacing w:before="120" w:after="120" w:line="240" w:lineRule="auto"/>
              <w:jc w:val="both"/>
              <w:rPr>
                <w:rFonts w:ascii="Palatino Linotype" w:eastAsia="Palatino Linotype" w:hAnsi="Palatino Linotype" w:cs="Palatino Linotype"/>
                <w:sz w:val="20"/>
                <w:szCs w:val="20"/>
              </w:rPr>
            </w:pPr>
            <w:r w:rsidRPr="00A302BF">
              <w:rPr>
                <w:rFonts w:ascii="Palatino Linotype" w:eastAsia="Palatino Linotype" w:hAnsi="Palatino Linotype" w:cs="Palatino Linotype"/>
                <w:sz w:val="20"/>
                <w:szCs w:val="20"/>
              </w:rPr>
              <w:t xml:space="preserve">- Escrito del cinco de febrero de dos mil veinticinco, mediante el cual el Titular de la Unidad de Transparencia hizo del conocimiento de la persona solicitante, la información proporcionada por el servidor público habilitado de la </w:t>
            </w:r>
            <w:r w:rsidRPr="00A302BF">
              <w:rPr>
                <w:rFonts w:ascii="Palatino Linotype" w:eastAsia="Palatino Linotype" w:hAnsi="Palatino Linotype" w:cs="Palatino Linotype"/>
                <w:b/>
                <w:sz w:val="20"/>
                <w:szCs w:val="20"/>
              </w:rPr>
              <w:lastRenderedPageBreak/>
              <w:t>Dirección General de Obras Públicas</w:t>
            </w:r>
            <w:r w:rsidRPr="00A302BF">
              <w:rPr>
                <w:rFonts w:ascii="Palatino Linotype" w:eastAsia="Palatino Linotype" w:hAnsi="Palatino Linotype" w:cs="Palatino Linotype"/>
                <w:sz w:val="20"/>
                <w:szCs w:val="20"/>
              </w:rPr>
              <w:t xml:space="preserve">, quien indicó que </w:t>
            </w:r>
            <w:r w:rsidRPr="00A302BF">
              <w:rPr>
                <w:rFonts w:ascii="Palatino Linotype" w:hAnsi="Palatino Linotype"/>
                <w:sz w:val="20"/>
                <w:szCs w:val="20"/>
              </w:rPr>
              <w:t>a la fecha de la solicitud no se había generado, ni administra</w:t>
            </w:r>
            <w:r w:rsidR="00D56731" w:rsidRPr="00A302BF">
              <w:rPr>
                <w:rFonts w:ascii="Palatino Linotype" w:hAnsi="Palatino Linotype"/>
                <w:sz w:val="20"/>
                <w:szCs w:val="20"/>
              </w:rPr>
              <w:t xml:space="preserve">r </w:t>
            </w:r>
            <w:r w:rsidRPr="00A302BF">
              <w:rPr>
                <w:rFonts w:ascii="Palatino Linotype" w:hAnsi="Palatino Linotype"/>
                <w:sz w:val="20"/>
                <w:szCs w:val="20"/>
              </w:rPr>
              <w:t>expresión documental que dé cuenta a lo solicitado derivado de la búsqueda exhaustiva y razonable en los archivos que se encuentran bajo resguardo y custodia de la Dirección General a su cargo, por lo que no es posible la entrega de la información.</w:t>
            </w:r>
          </w:p>
        </w:tc>
      </w:tr>
    </w:tbl>
    <w:p w14:paraId="4C60895A" w14:textId="77777777" w:rsidR="00A315D8" w:rsidRPr="00A302BF" w:rsidRDefault="009B03EE">
      <w:pPr>
        <w:widowControl w:val="0"/>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b/>
          <w:sz w:val="24"/>
          <w:szCs w:val="24"/>
        </w:rPr>
        <w:lastRenderedPageBreak/>
        <w:t xml:space="preserve">3. Interposición de los recursos de revisión. </w:t>
      </w:r>
      <w:r w:rsidRPr="00A302BF">
        <w:rPr>
          <w:rFonts w:ascii="Palatino Linotype" w:eastAsia="Palatino Linotype" w:hAnsi="Palatino Linotype" w:cs="Palatino Linotype"/>
          <w:sz w:val="24"/>
          <w:szCs w:val="24"/>
        </w:rPr>
        <w:t>Inconforme con las respuestas del</w:t>
      </w:r>
      <w:r w:rsidRPr="00A302BF">
        <w:rPr>
          <w:rFonts w:ascii="Palatino Linotype" w:eastAsia="Palatino Linotype" w:hAnsi="Palatino Linotype" w:cs="Palatino Linotype"/>
          <w:b/>
          <w:sz w:val="24"/>
          <w:szCs w:val="24"/>
        </w:rPr>
        <w:t xml:space="preserve"> Sujeto Obligado, </w:t>
      </w:r>
      <w:r w:rsidRPr="00A302BF">
        <w:rPr>
          <w:rFonts w:ascii="Palatino Linotype" w:eastAsia="Palatino Linotype" w:hAnsi="Palatino Linotype" w:cs="Palatino Linotype"/>
          <w:sz w:val="24"/>
          <w:szCs w:val="24"/>
        </w:rPr>
        <w:t xml:space="preserve">el </w:t>
      </w:r>
      <w:r w:rsidR="00894592" w:rsidRPr="00A302BF">
        <w:rPr>
          <w:rFonts w:ascii="Palatino Linotype" w:eastAsia="Palatino Linotype" w:hAnsi="Palatino Linotype" w:cs="Palatino Linotype"/>
          <w:b/>
          <w:sz w:val="24"/>
          <w:szCs w:val="24"/>
        </w:rPr>
        <w:t>diez</w:t>
      </w:r>
      <w:r w:rsidRPr="00A302BF">
        <w:rPr>
          <w:rFonts w:ascii="Palatino Linotype" w:eastAsia="Palatino Linotype" w:hAnsi="Palatino Linotype" w:cs="Palatino Linotype"/>
          <w:b/>
          <w:sz w:val="24"/>
          <w:szCs w:val="24"/>
        </w:rPr>
        <w:t xml:space="preserve"> de febrero de dos mil veinticinco, </w:t>
      </w:r>
      <w:r w:rsidRPr="00A302BF">
        <w:rPr>
          <w:rFonts w:ascii="Palatino Linotype" w:eastAsia="Palatino Linotype" w:hAnsi="Palatino Linotype" w:cs="Palatino Linotype"/>
          <w:sz w:val="24"/>
          <w:szCs w:val="24"/>
        </w:rPr>
        <w:t>la parte</w:t>
      </w:r>
      <w:r w:rsidRPr="00A302BF">
        <w:rPr>
          <w:rFonts w:ascii="Palatino Linotype" w:eastAsia="Palatino Linotype" w:hAnsi="Palatino Linotype" w:cs="Palatino Linotype"/>
          <w:b/>
          <w:sz w:val="24"/>
          <w:szCs w:val="24"/>
        </w:rPr>
        <w:t xml:space="preserve"> Recurrente </w:t>
      </w:r>
      <w:r w:rsidRPr="00A302BF">
        <w:rPr>
          <w:rFonts w:ascii="Palatino Linotype" w:eastAsia="Palatino Linotype" w:hAnsi="Palatino Linotype" w:cs="Palatino Linotype"/>
          <w:sz w:val="24"/>
          <w:szCs w:val="24"/>
        </w:rPr>
        <w:t>interpuso los recursos de revisión, en los cuales manifestó lo siguiente:</w:t>
      </w:r>
    </w:p>
    <w:tbl>
      <w:tblPr>
        <w:tblStyle w:val="affff8"/>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4"/>
        <w:gridCol w:w="2943"/>
        <w:gridCol w:w="3180"/>
      </w:tblGrid>
      <w:tr w:rsidR="00A302BF" w:rsidRPr="00A302BF" w14:paraId="4833D21B" w14:textId="77777777">
        <w:tc>
          <w:tcPr>
            <w:tcW w:w="2944" w:type="dxa"/>
            <w:shd w:val="clear" w:color="auto" w:fill="D0CECE"/>
            <w:vAlign w:val="center"/>
          </w:tcPr>
          <w:p w14:paraId="2E82117F" w14:textId="77777777" w:rsidR="00A315D8" w:rsidRPr="00A302BF" w:rsidRDefault="009B03EE" w:rsidP="00FF5F5F">
            <w:pPr>
              <w:spacing w:after="0" w:line="240" w:lineRule="auto"/>
              <w:jc w:val="center"/>
              <w:rPr>
                <w:rFonts w:ascii="Palatino Linotype" w:eastAsia="Palatino Linotype" w:hAnsi="Palatino Linotype" w:cs="Palatino Linotype"/>
                <w:b/>
                <w:sz w:val="20"/>
                <w:szCs w:val="20"/>
              </w:rPr>
            </w:pPr>
            <w:r w:rsidRPr="00A302BF">
              <w:rPr>
                <w:rFonts w:ascii="Palatino Linotype" w:eastAsia="Palatino Linotype" w:hAnsi="Palatino Linotype" w:cs="Palatino Linotype"/>
                <w:b/>
                <w:sz w:val="20"/>
                <w:szCs w:val="20"/>
              </w:rPr>
              <w:t>Recurso de Revisión</w:t>
            </w:r>
          </w:p>
        </w:tc>
        <w:tc>
          <w:tcPr>
            <w:tcW w:w="2943" w:type="dxa"/>
            <w:shd w:val="clear" w:color="auto" w:fill="D0CECE"/>
            <w:vAlign w:val="center"/>
          </w:tcPr>
          <w:p w14:paraId="4EE5F9C5" w14:textId="77777777" w:rsidR="00A315D8" w:rsidRPr="00A302BF" w:rsidRDefault="009B03EE" w:rsidP="00FF5F5F">
            <w:pPr>
              <w:spacing w:after="0" w:line="240" w:lineRule="auto"/>
              <w:jc w:val="center"/>
              <w:rPr>
                <w:rFonts w:ascii="Palatino Linotype" w:eastAsia="Palatino Linotype" w:hAnsi="Palatino Linotype" w:cs="Palatino Linotype"/>
                <w:b/>
                <w:sz w:val="20"/>
                <w:szCs w:val="20"/>
              </w:rPr>
            </w:pPr>
            <w:r w:rsidRPr="00A302BF">
              <w:rPr>
                <w:rFonts w:ascii="Palatino Linotype" w:eastAsia="Palatino Linotype" w:hAnsi="Palatino Linotype" w:cs="Palatino Linotype"/>
                <w:b/>
                <w:sz w:val="20"/>
                <w:szCs w:val="20"/>
              </w:rPr>
              <w:t>Acto impugnado</w:t>
            </w:r>
          </w:p>
        </w:tc>
        <w:tc>
          <w:tcPr>
            <w:tcW w:w="3180" w:type="dxa"/>
            <w:shd w:val="clear" w:color="auto" w:fill="D0CECE"/>
            <w:vAlign w:val="center"/>
          </w:tcPr>
          <w:p w14:paraId="67ABE317" w14:textId="77777777" w:rsidR="00A315D8" w:rsidRPr="00A302BF" w:rsidRDefault="009B03EE" w:rsidP="00FF5F5F">
            <w:pPr>
              <w:spacing w:after="0" w:line="240" w:lineRule="auto"/>
              <w:jc w:val="center"/>
              <w:rPr>
                <w:rFonts w:ascii="Palatino Linotype" w:eastAsia="Palatino Linotype" w:hAnsi="Palatino Linotype" w:cs="Palatino Linotype"/>
                <w:b/>
                <w:sz w:val="20"/>
                <w:szCs w:val="20"/>
              </w:rPr>
            </w:pPr>
            <w:r w:rsidRPr="00A302BF">
              <w:rPr>
                <w:rFonts w:ascii="Palatino Linotype" w:eastAsia="Palatino Linotype" w:hAnsi="Palatino Linotype" w:cs="Palatino Linotype"/>
                <w:b/>
                <w:sz w:val="20"/>
                <w:szCs w:val="20"/>
              </w:rPr>
              <w:t>Razones o Motivos de Inconformidad</w:t>
            </w:r>
          </w:p>
        </w:tc>
      </w:tr>
      <w:tr w:rsidR="00A302BF" w:rsidRPr="00A302BF" w14:paraId="3C6732F3" w14:textId="77777777">
        <w:tc>
          <w:tcPr>
            <w:tcW w:w="2944" w:type="dxa"/>
          </w:tcPr>
          <w:p w14:paraId="07102D1B" w14:textId="77777777" w:rsidR="00A315D8" w:rsidRPr="00A302BF" w:rsidRDefault="00894592" w:rsidP="00FF5F5F">
            <w:pPr>
              <w:spacing w:after="0" w:line="240" w:lineRule="auto"/>
              <w:jc w:val="center"/>
              <w:rPr>
                <w:rFonts w:ascii="Palatino Linotype" w:eastAsia="Palatino Linotype" w:hAnsi="Palatino Linotype" w:cs="Palatino Linotype"/>
                <w:b/>
                <w:sz w:val="20"/>
                <w:szCs w:val="20"/>
              </w:rPr>
            </w:pPr>
            <w:r w:rsidRPr="00A302BF">
              <w:rPr>
                <w:rFonts w:ascii="Palatino Linotype" w:eastAsia="Palatino Linotype" w:hAnsi="Palatino Linotype" w:cs="Palatino Linotype"/>
                <w:b/>
                <w:sz w:val="20"/>
                <w:szCs w:val="20"/>
              </w:rPr>
              <w:t>01014</w:t>
            </w:r>
            <w:r w:rsidR="009B03EE" w:rsidRPr="00A302BF">
              <w:rPr>
                <w:rFonts w:ascii="Palatino Linotype" w:eastAsia="Palatino Linotype" w:hAnsi="Palatino Linotype" w:cs="Palatino Linotype"/>
                <w:b/>
                <w:sz w:val="20"/>
                <w:szCs w:val="20"/>
              </w:rPr>
              <w:t>/INFOEM/IP/RR/2025</w:t>
            </w:r>
          </w:p>
        </w:tc>
        <w:tc>
          <w:tcPr>
            <w:tcW w:w="2943" w:type="dxa"/>
          </w:tcPr>
          <w:p w14:paraId="129F0960" w14:textId="77777777" w:rsidR="00A315D8" w:rsidRPr="00A302BF" w:rsidRDefault="009B03EE" w:rsidP="00FF5F5F">
            <w:pPr>
              <w:spacing w:after="0" w:line="240" w:lineRule="auto"/>
              <w:jc w:val="both"/>
              <w:rPr>
                <w:rFonts w:ascii="Palatino Linotype" w:eastAsia="Palatino Linotype" w:hAnsi="Palatino Linotype" w:cs="Palatino Linotype"/>
                <w:i/>
                <w:sz w:val="20"/>
                <w:szCs w:val="20"/>
              </w:rPr>
            </w:pPr>
            <w:r w:rsidRPr="00A302BF">
              <w:rPr>
                <w:rFonts w:ascii="Palatino Linotype" w:eastAsia="Palatino Linotype" w:hAnsi="Palatino Linotype" w:cs="Palatino Linotype"/>
                <w:i/>
                <w:sz w:val="20"/>
                <w:szCs w:val="20"/>
              </w:rPr>
              <w:t>“</w:t>
            </w:r>
            <w:r w:rsidR="00894592" w:rsidRPr="00A302BF">
              <w:rPr>
                <w:rFonts w:ascii="Palatino Linotype" w:eastAsia="Palatino Linotype" w:hAnsi="Palatino Linotype" w:cs="Palatino Linotype"/>
                <w:i/>
                <w:sz w:val="20"/>
                <w:szCs w:val="20"/>
              </w:rPr>
              <w:t>En su respuesta contestan que no tiene contratos pero si están realizado obras y calles como se están haciendo si no hay contrato</w:t>
            </w:r>
            <w:r w:rsidRPr="00A302BF">
              <w:rPr>
                <w:rFonts w:ascii="Palatino Linotype" w:eastAsia="Palatino Linotype" w:hAnsi="Palatino Linotype" w:cs="Palatino Linotype"/>
                <w:i/>
                <w:sz w:val="20"/>
                <w:szCs w:val="20"/>
              </w:rPr>
              <w:t>” (sic)</w:t>
            </w:r>
          </w:p>
        </w:tc>
        <w:tc>
          <w:tcPr>
            <w:tcW w:w="3180" w:type="dxa"/>
          </w:tcPr>
          <w:p w14:paraId="7A3773ED" w14:textId="77777777" w:rsidR="00A315D8" w:rsidRPr="00A302BF" w:rsidRDefault="009B03EE" w:rsidP="00FF5F5F">
            <w:pPr>
              <w:spacing w:after="0" w:line="240" w:lineRule="auto"/>
              <w:jc w:val="both"/>
              <w:rPr>
                <w:rFonts w:ascii="Palatino Linotype" w:eastAsia="Palatino Linotype" w:hAnsi="Palatino Linotype" w:cs="Palatino Linotype"/>
                <w:i/>
                <w:sz w:val="20"/>
                <w:szCs w:val="20"/>
              </w:rPr>
            </w:pPr>
            <w:r w:rsidRPr="00A302BF">
              <w:rPr>
                <w:rFonts w:ascii="Palatino Linotype" w:eastAsia="Palatino Linotype" w:hAnsi="Palatino Linotype" w:cs="Palatino Linotype"/>
                <w:i/>
                <w:sz w:val="20"/>
                <w:szCs w:val="20"/>
              </w:rPr>
              <w:t>“</w:t>
            </w:r>
            <w:r w:rsidR="00894592" w:rsidRPr="00A302BF">
              <w:rPr>
                <w:rFonts w:ascii="Palatino Linotype" w:eastAsia="Palatino Linotype" w:hAnsi="Palatino Linotype" w:cs="Palatino Linotype"/>
                <w:i/>
                <w:sz w:val="20"/>
                <w:szCs w:val="20"/>
              </w:rPr>
              <w:t xml:space="preserve">Ocultan la información </w:t>
            </w:r>
            <w:proofErr w:type="spellStart"/>
            <w:r w:rsidR="00894592" w:rsidRPr="00A302BF">
              <w:rPr>
                <w:rFonts w:ascii="Palatino Linotype" w:eastAsia="Palatino Linotype" w:hAnsi="Palatino Linotype" w:cs="Palatino Linotype"/>
                <w:i/>
                <w:sz w:val="20"/>
                <w:szCs w:val="20"/>
              </w:rPr>
              <w:t>por que</w:t>
            </w:r>
            <w:proofErr w:type="spellEnd"/>
            <w:r w:rsidR="00894592" w:rsidRPr="00A302BF">
              <w:rPr>
                <w:rFonts w:ascii="Palatino Linotype" w:eastAsia="Palatino Linotype" w:hAnsi="Palatino Linotype" w:cs="Palatino Linotype"/>
                <w:i/>
                <w:sz w:val="20"/>
                <w:szCs w:val="20"/>
              </w:rPr>
              <w:t xml:space="preserve"> si están haciendo calles no son obras</w:t>
            </w:r>
            <w:r w:rsidRPr="00A302BF">
              <w:rPr>
                <w:rFonts w:ascii="Palatino Linotype" w:eastAsia="Palatino Linotype" w:hAnsi="Palatino Linotype" w:cs="Palatino Linotype"/>
                <w:i/>
                <w:sz w:val="20"/>
                <w:szCs w:val="20"/>
              </w:rPr>
              <w:t>” (sic)</w:t>
            </w:r>
          </w:p>
        </w:tc>
      </w:tr>
      <w:tr w:rsidR="00A302BF" w:rsidRPr="00A302BF" w14:paraId="647BF90B" w14:textId="77777777">
        <w:tc>
          <w:tcPr>
            <w:tcW w:w="2944" w:type="dxa"/>
          </w:tcPr>
          <w:p w14:paraId="5E1A64D3" w14:textId="77777777" w:rsidR="00A315D8" w:rsidRPr="00A302BF" w:rsidRDefault="00894592" w:rsidP="00FF5F5F">
            <w:pPr>
              <w:spacing w:after="0" w:line="240" w:lineRule="auto"/>
              <w:jc w:val="center"/>
              <w:rPr>
                <w:rFonts w:ascii="Palatino Linotype" w:eastAsia="Palatino Linotype" w:hAnsi="Palatino Linotype" w:cs="Palatino Linotype"/>
                <w:b/>
                <w:sz w:val="20"/>
                <w:szCs w:val="20"/>
              </w:rPr>
            </w:pPr>
            <w:r w:rsidRPr="00A302BF">
              <w:rPr>
                <w:rFonts w:ascii="Palatino Linotype" w:eastAsia="Palatino Linotype" w:hAnsi="Palatino Linotype" w:cs="Palatino Linotype"/>
                <w:b/>
                <w:sz w:val="20"/>
                <w:szCs w:val="20"/>
              </w:rPr>
              <w:t>01017</w:t>
            </w:r>
            <w:r w:rsidR="009B03EE" w:rsidRPr="00A302BF">
              <w:rPr>
                <w:rFonts w:ascii="Palatino Linotype" w:eastAsia="Palatino Linotype" w:hAnsi="Palatino Linotype" w:cs="Palatino Linotype"/>
                <w:b/>
                <w:sz w:val="20"/>
                <w:szCs w:val="20"/>
              </w:rPr>
              <w:t>/INFOEM/IP/RR/2025</w:t>
            </w:r>
          </w:p>
        </w:tc>
        <w:tc>
          <w:tcPr>
            <w:tcW w:w="2943" w:type="dxa"/>
          </w:tcPr>
          <w:p w14:paraId="359AD69C" w14:textId="77777777" w:rsidR="00A315D8" w:rsidRPr="00A302BF" w:rsidRDefault="009B03EE" w:rsidP="00FF5F5F">
            <w:pPr>
              <w:spacing w:after="0" w:line="240" w:lineRule="auto"/>
              <w:jc w:val="both"/>
              <w:rPr>
                <w:rFonts w:ascii="Palatino Linotype" w:eastAsia="Palatino Linotype" w:hAnsi="Palatino Linotype" w:cs="Palatino Linotype"/>
                <w:i/>
                <w:sz w:val="20"/>
                <w:szCs w:val="20"/>
              </w:rPr>
            </w:pPr>
            <w:r w:rsidRPr="00A302BF">
              <w:rPr>
                <w:rFonts w:ascii="Palatino Linotype" w:eastAsia="Palatino Linotype" w:hAnsi="Palatino Linotype" w:cs="Palatino Linotype"/>
                <w:i/>
                <w:sz w:val="20"/>
                <w:szCs w:val="20"/>
              </w:rPr>
              <w:t>“</w:t>
            </w:r>
            <w:r w:rsidR="00894592" w:rsidRPr="00A302BF">
              <w:rPr>
                <w:rFonts w:ascii="Palatino Linotype" w:eastAsia="Palatino Linotype" w:hAnsi="Palatino Linotype" w:cs="Palatino Linotype"/>
                <w:i/>
                <w:sz w:val="20"/>
                <w:szCs w:val="20"/>
              </w:rPr>
              <w:t>La respuesta del Sujeto Obligado</w:t>
            </w:r>
            <w:r w:rsidRPr="00A302BF">
              <w:rPr>
                <w:rFonts w:ascii="Palatino Linotype" w:eastAsia="Palatino Linotype" w:hAnsi="Palatino Linotype" w:cs="Palatino Linotype"/>
                <w:i/>
                <w:sz w:val="20"/>
                <w:szCs w:val="20"/>
              </w:rPr>
              <w:t>” (sic)</w:t>
            </w:r>
          </w:p>
        </w:tc>
        <w:tc>
          <w:tcPr>
            <w:tcW w:w="3180" w:type="dxa"/>
          </w:tcPr>
          <w:p w14:paraId="1027DDFD" w14:textId="77777777" w:rsidR="00A315D8" w:rsidRPr="00A302BF" w:rsidRDefault="009B03EE" w:rsidP="00FF5F5F">
            <w:pPr>
              <w:spacing w:after="0" w:line="240" w:lineRule="auto"/>
              <w:jc w:val="both"/>
              <w:rPr>
                <w:rFonts w:ascii="Palatino Linotype" w:eastAsia="Palatino Linotype" w:hAnsi="Palatino Linotype" w:cs="Palatino Linotype"/>
                <w:i/>
                <w:sz w:val="20"/>
                <w:szCs w:val="20"/>
              </w:rPr>
            </w:pPr>
            <w:r w:rsidRPr="00A302BF">
              <w:rPr>
                <w:rFonts w:ascii="Palatino Linotype" w:eastAsia="Palatino Linotype" w:hAnsi="Palatino Linotype" w:cs="Palatino Linotype"/>
                <w:i/>
                <w:sz w:val="20"/>
                <w:szCs w:val="20"/>
              </w:rPr>
              <w:t>“</w:t>
            </w:r>
            <w:r w:rsidR="00894592" w:rsidRPr="00A302BF">
              <w:rPr>
                <w:rFonts w:ascii="Palatino Linotype" w:eastAsia="Palatino Linotype" w:hAnsi="Palatino Linotype" w:cs="Palatino Linotype"/>
                <w:i/>
                <w:sz w:val="20"/>
                <w:szCs w:val="20"/>
              </w:rPr>
              <w:t>No me dan los contratos</w:t>
            </w:r>
            <w:r w:rsidRPr="00A302BF">
              <w:rPr>
                <w:rFonts w:ascii="Palatino Linotype" w:eastAsia="Palatino Linotype" w:hAnsi="Palatino Linotype" w:cs="Palatino Linotype"/>
                <w:i/>
                <w:sz w:val="20"/>
                <w:szCs w:val="20"/>
              </w:rPr>
              <w:t>” (sic)</w:t>
            </w:r>
          </w:p>
        </w:tc>
      </w:tr>
    </w:tbl>
    <w:p w14:paraId="030DF570" w14:textId="77777777" w:rsidR="00A315D8" w:rsidRPr="00A302BF" w:rsidRDefault="009B03EE">
      <w:pP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b/>
          <w:sz w:val="24"/>
          <w:szCs w:val="24"/>
        </w:rPr>
        <w:t xml:space="preserve">4. Turno. </w:t>
      </w:r>
      <w:r w:rsidRPr="00A302BF">
        <w:rPr>
          <w:rFonts w:ascii="Palatino Linotype" w:eastAsia="Palatino Linotype" w:hAnsi="Palatino Linotype" w:cs="Palatino Linotype"/>
          <w:sz w:val="24"/>
          <w:szCs w:val="24"/>
        </w:rPr>
        <w:t xml:space="preserve">De conformidad con el artículo 185, fracción I de la Ley Transparencia y Acceso a la Información Pública del Estado de México y Municipios, los recursos de revisión fueron turnados a la Comisionada </w:t>
      </w:r>
      <w:r w:rsidRPr="00A302BF">
        <w:rPr>
          <w:rFonts w:ascii="Palatino Linotype" w:eastAsia="Palatino Linotype" w:hAnsi="Palatino Linotype" w:cs="Palatino Linotype"/>
          <w:b/>
          <w:sz w:val="24"/>
          <w:szCs w:val="24"/>
        </w:rPr>
        <w:t xml:space="preserve">Guadalupe Ramírez Peña, </w:t>
      </w:r>
      <w:r w:rsidRPr="00A302BF">
        <w:rPr>
          <w:rFonts w:ascii="Palatino Linotype" w:eastAsia="Palatino Linotype" w:hAnsi="Palatino Linotype" w:cs="Palatino Linotype"/>
          <w:sz w:val="24"/>
          <w:szCs w:val="24"/>
        </w:rPr>
        <w:t>a efecto de presentar al Pleno los proyectos de resolución correspondientes.</w:t>
      </w:r>
    </w:p>
    <w:p w14:paraId="498D8661" w14:textId="77777777" w:rsidR="00A315D8" w:rsidRPr="00A302BF" w:rsidRDefault="009B03EE">
      <w:pPr>
        <w:spacing w:before="240" w:after="240" w:line="360" w:lineRule="auto"/>
        <w:jc w:val="both"/>
        <w:rPr>
          <w:rFonts w:ascii="Palatino Linotype" w:eastAsia="Palatino Linotype" w:hAnsi="Palatino Linotype" w:cs="Palatino Linotype"/>
          <w:b/>
          <w:sz w:val="24"/>
          <w:szCs w:val="24"/>
        </w:rPr>
      </w:pPr>
      <w:r w:rsidRPr="00A302BF">
        <w:rPr>
          <w:rFonts w:ascii="Palatino Linotype" w:eastAsia="Palatino Linotype" w:hAnsi="Palatino Linotype" w:cs="Palatino Linotype"/>
          <w:b/>
          <w:sz w:val="24"/>
          <w:szCs w:val="24"/>
        </w:rPr>
        <w:t xml:space="preserve">5. Admisión. </w:t>
      </w:r>
      <w:r w:rsidRPr="00A302BF">
        <w:rPr>
          <w:rFonts w:ascii="Palatino Linotype" w:eastAsia="Palatino Linotype" w:hAnsi="Palatino Linotype" w:cs="Palatino Linotype"/>
          <w:sz w:val="24"/>
          <w:szCs w:val="24"/>
        </w:rPr>
        <w:t>El</w:t>
      </w:r>
      <w:r w:rsidRPr="00A302BF">
        <w:rPr>
          <w:rFonts w:ascii="Palatino Linotype" w:eastAsia="Palatino Linotype" w:hAnsi="Palatino Linotype" w:cs="Palatino Linotype"/>
          <w:b/>
          <w:sz w:val="24"/>
          <w:szCs w:val="24"/>
        </w:rPr>
        <w:t xml:space="preserve"> </w:t>
      </w:r>
      <w:r w:rsidR="00FF5F5F" w:rsidRPr="00A302BF">
        <w:rPr>
          <w:rFonts w:ascii="Palatino Linotype" w:eastAsia="Palatino Linotype" w:hAnsi="Palatino Linotype" w:cs="Palatino Linotype"/>
          <w:b/>
          <w:sz w:val="24"/>
          <w:szCs w:val="24"/>
        </w:rPr>
        <w:t xml:space="preserve">once </w:t>
      </w:r>
      <w:r w:rsidR="00CA7284" w:rsidRPr="00A302BF">
        <w:rPr>
          <w:rFonts w:ascii="Palatino Linotype" w:eastAsia="Palatino Linotype" w:hAnsi="Palatino Linotype" w:cs="Palatino Linotype"/>
          <w:b/>
          <w:sz w:val="24"/>
          <w:szCs w:val="24"/>
        </w:rPr>
        <w:t xml:space="preserve">y trece </w:t>
      </w:r>
      <w:r w:rsidRPr="00A302BF">
        <w:rPr>
          <w:rFonts w:ascii="Palatino Linotype" w:eastAsia="Palatino Linotype" w:hAnsi="Palatino Linotype" w:cs="Palatino Linotype"/>
          <w:b/>
          <w:sz w:val="24"/>
          <w:szCs w:val="24"/>
        </w:rPr>
        <w:t>de febrero de dos mil veinticinco</w:t>
      </w:r>
      <w:r w:rsidRPr="00A302BF">
        <w:rPr>
          <w:rFonts w:ascii="Palatino Linotype" w:eastAsia="Palatino Linotype" w:hAnsi="Palatino Linotype" w:cs="Palatino Linotype"/>
          <w:sz w:val="24"/>
          <w:szCs w:val="24"/>
        </w:rPr>
        <w:t>, en términos de lo dispuesto en el artículo 185, fracciones I, II y IV de la Ley de Transparencia y Acceso a la Información Pública del Estado de México y Municipios, se admitieron a trámite los recursos de revisión</w:t>
      </w:r>
      <w:r w:rsidRPr="00A302BF">
        <w:rPr>
          <w:rFonts w:ascii="Palatino Linotype" w:eastAsia="Palatino Linotype" w:hAnsi="Palatino Linotype" w:cs="Palatino Linotype"/>
          <w:b/>
          <w:sz w:val="24"/>
          <w:szCs w:val="24"/>
        </w:rPr>
        <w:t xml:space="preserve">. </w:t>
      </w:r>
    </w:p>
    <w:p w14:paraId="55691606" w14:textId="77777777" w:rsidR="00A315D8" w:rsidRPr="00A302BF" w:rsidRDefault="009B03EE">
      <w:pPr>
        <w:widowControl w:val="0"/>
        <w:spacing w:line="360" w:lineRule="auto"/>
        <w:ind w:right="49"/>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b/>
          <w:sz w:val="24"/>
          <w:szCs w:val="24"/>
        </w:rPr>
        <w:t xml:space="preserve">6. Manifestaciones. </w:t>
      </w:r>
      <w:r w:rsidRPr="00A302BF">
        <w:rPr>
          <w:rFonts w:ascii="Palatino Linotype" w:eastAsia="Palatino Linotype" w:hAnsi="Palatino Linotype" w:cs="Palatino Linotype"/>
          <w:sz w:val="24"/>
          <w:szCs w:val="24"/>
        </w:rPr>
        <w:t xml:space="preserve">El </w:t>
      </w:r>
      <w:r w:rsidR="00CA7284" w:rsidRPr="00A302BF">
        <w:rPr>
          <w:rFonts w:ascii="Palatino Linotype" w:eastAsia="Palatino Linotype" w:hAnsi="Palatino Linotype" w:cs="Palatino Linotype"/>
          <w:b/>
          <w:sz w:val="24"/>
          <w:szCs w:val="24"/>
        </w:rPr>
        <w:t xml:space="preserve">veinte </w:t>
      </w:r>
      <w:r w:rsidR="00CA7284" w:rsidRPr="00A302BF">
        <w:rPr>
          <w:rFonts w:ascii="Palatino Linotype" w:eastAsia="Palatino Linotype" w:hAnsi="Palatino Linotype" w:cs="Palatino Linotype"/>
          <w:sz w:val="24"/>
          <w:szCs w:val="24"/>
        </w:rPr>
        <w:t xml:space="preserve">y </w:t>
      </w:r>
      <w:r w:rsidR="00CA7284" w:rsidRPr="00A302BF">
        <w:rPr>
          <w:rFonts w:ascii="Palatino Linotype" w:eastAsia="Palatino Linotype" w:hAnsi="Palatino Linotype" w:cs="Palatino Linotype"/>
          <w:b/>
          <w:sz w:val="24"/>
          <w:szCs w:val="24"/>
        </w:rPr>
        <w:t xml:space="preserve">veinticuatro </w:t>
      </w:r>
      <w:r w:rsidRPr="00A302BF">
        <w:rPr>
          <w:rFonts w:ascii="Palatino Linotype" w:eastAsia="Palatino Linotype" w:hAnsi="Palatino Linotype" w:cs="Palatino Linotype"/>
          <w:b/>
          <w:sz w:val="24"/>
          <w:szCs w:val="24"/>
        </w:rPr>
        <w:t xml:space="preserve">de febrero de dos mil veinticinco, </w:t>
      </w:r>
      <w:r w:rsidRPr="00A302BF">
        <w:rPr>
          <w:rFonts w:ascii="Palatino Linotype" w:eastAsia="Palatino Linotype" w:hAnsi="Palatino Linotype" w:cs="Palatino Linotype"/>
          <w:sz w:val="24"/>
          <w:szCs w:val="24"/>
        </w:rPr>
        <w:t xml:space="preserve">el </w:t>
      </w:r>
      <w:r w:rsidRPr="00A302BF">
        <w:rPr>
          <w:rFonts w:ascii="Palatino Linotype" w:eastAsia="Palatino Linotype" w:hAnsi="Palatino Linotype" w:cs="Palatino Linotype"/>
          <w:b/>
          <w:sz w:val="24"/>
          <w:szCs w:val="24"/>
        </w:rPr>
        <w:lastRenderedPageBreak/>
        <w:t>Sujeto Obligado</w:t>
      </w:r>
      <w:r w:rsidRPr="00A302BF">
        <w:rPr>
          <w:rFonts w:ascii="Palatino Linotype" w:eastAsia="Palatino Linotype" w:hAnsi="Palatino Linotype" w:cs="Palatino Linotype"/>
          <w:sz w:val="24"/>
          <w:szCs w:val="24"/>
        </w:rPr>
        <w:t xml:space="preserve"> remitió, a través de SAIMEX, lo siguiente:</w:t>
      </w:r>
    </w:p>
    <w:tbl>
      <w:tblPr>
        <w:tblStyle w:val="affff9"/>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714"/>
      </w:tblGrid>
      <w:tr w:rsidR="00A302BF" w:rsidRPr="00A302BF" w14:paraId="322BDACF" w14:textId="77777777">
        <w:trPr>
          <w:jc w:val="center"/>
        </w:trPr>
        <w:tc>
          <w:tcPr>
            <w:tcW w:w="3114" w:type="dxa"/>
            <w:shd w:val="clear" w:color="auto" w:fill="D0CECE"/>
          </w:tcPr>
          <w:p w14:paraId="3B7ECC68" w14:textId="77777777" w:rsidR="00A315D8" w:rsidRPr="00A302BF" w:rsidRDefault="009B03EE">
            <w:pPr>
              <w:spacing w:before="120" w:after="120" w:line="240" w:lineRule="auto"/>
              <w:jc w:val="center"/>
              <w:rPr>
                <w:rFonts w:ascii="Palatino Linotype" w:eastAsia="Palatino Linotype" w:hAnsi="Palatino Linotype" w:cs="Palatino Linotype"/>
                <w:b/>
                <w:sz w:val="20"/>
                <w:szCs w:val="20"/>
              </w:rPr>
            </w:pPr>
            <w:r w:rsidRPr="00A302BF">
              <w:rPr>
                <w:rFonts w:ascii="Palatino Linotype" w:eastAsia="Palatino Linotype" w:hAnsi="Palatino Linotype" w:cs="Palatino Linotype"/>
                <w:b/>
                <w:sz w:val="20"/>
                <w:szCs w:val="20"/>
              </w:rPr>
              <w:t>Recurso de Revisión</w:t>
            </w:r>
          </w:p>
        </w:tc>
        <w:tc>
          <w:tcPr>
            <w:tcW w:w="5714" w:type="dxa"/>
            <w:shd w:val="clear" w:color="auto" w:fill="D0CECE"/>
          </w:tcPr>
          <w:p w14:paraId="0A747EA9" w14:textId="77777777" w:rsidR="00A315D8" w:rsidRPr="00A302BF" w:rsidRDefault="009B03EE">
            <w:pPr>
              <w:spacing w:before="120" w:after="120" w:line="240" w:lineRule="auto"/>
              <w:jc w:val="center"/>
              <w:rPr>
                <w:rFonts w:ascii="Palatino Linotype" w:eastAsia="Palatino Linotype" w:hAnsi="Palatino Linotype" w:cs="Palatino Linotype"/>
                <w:b/>
                <w:sz w:val="20"/>
                <w:szCs w:val="20"/>
              </w:rPr>
            </w:pPr>
            <w:r w:rsidRPr="00A302BF">
              <w:rPr>
                <w:rFonts w:ascii="Palatino Linotype" w:eastAsia="Palatino Linotype" w:hAnsi="Palatino Linotype" w:cs="Palatino Linotype"/>
                <w:b/>
                <w:sz w:val="20"/>
                <w:szCs w:val="20"/>
              </w:rPr>
              <w:t>Información proporcionada</w:t>
            </w:r>
          </w:p>
        </w:tc>
      </w:tr>
      <w:tr w:rsidR="00A302BF" w:rsidRPr="00A302BF" w14:paraId="3E55B9AC" w14:textId="77777777">
        <w:trPr>
          <w:jc w:val="center"/>
        </w:trPr>
        <w:tc>
          <w:tcPr>
            <w:tcW w:w="3114" w:type="dxa"/>
          </w:tcPr>
          <w:p w14:paraId="577600A1" w14:textId="77777777" w:rsidR="00A315D8" w:rsidRPr="00A302BF" w:rsidRDefault="00CA7284" w:rsidP="00CA7284">
            <w:pPr>
              <w:spacing w:before="120" w:after="120" w:line="240" w:lineRule="auto"/>
              <w:jc w:val="center"/>
              <w:rPr>
                <w:rFonts w:ascii="Palatino Linotype" w:eastAsia="Palatino Linotype" w:hAnsi="Palatino Linotype" w:cs="Palatino Linotype"/>
                <w:b/>
                <w:i/>
                <w:sz w:val="20"/>
                <w:szCs w:val="20"/>
              </w:rPr>
            </w:pPr>
            <w:r w:rsidRPr="00A302BF">
              <w:rPr>
                <w:rFonts w:ascii="Palatino Linotype" w:eastAsia="Palatino Linotype" w:hAnsi="Palatino Linotype" w:cs="Palatino Linotype"/>
                <w:b/>
                <w:sz w:val="20"/>
                <w:szCs w:val="20"/>
              </w:rPr>
              <w:t>01014</w:t>
            </w:r>
            <w:r w:rsidR="009B03EE" w:rsidRPr="00A302BF">
              <w:rPr>
                <w:rFonts w:ascii="Palatino Linotype" w:eastAsia="Palatino Linotype" w:hAnsi="Palatino Linotype" w:cs="Palatino Linotype"/>
                <w:b/>
                <w:sz w:val="20"/>
                <w:szCs w:val="20"/>
              </w:rPr>
              <w:t>/INFOEM/IP/RR/2025</w:t>
            </w:r>
          </w:p>
        </w:tc>
        <w:tc>
          <w:tcPr>
            <w:tcW w:w="5714" w:type="dxa"/>
          </w:tcPr>
          <w:p w14:paraId="6502FAA0" w14:textId="77777777" w:rsidR="00A315D8" w:rsidRPr="00A302BF" w:rsidRDefault="009B03EE" w:rsidP="005F624E">
            <w:pPr>
              <w:spacing w:before="120" w:after="120" w:line="240" w:lineRule="auto"/>
              <w:jc w:val="both"/>
              <w:rPr>
                <w:rFonts w:ascii="Palatino Linotype" w:eastAsia="Palatino Linotype" w:hAnsi="Palatino Linotype" w:cs="Palatino Linotype"/>
                <w:sz w:val="20"/>
                <w:szCs w:val="20"/>
              </w:rPr>
            </w:pPr>
            <w:r w:rsidRPr="00A302BF">
              <w:rPr>
                <w:rFonts w:ascii="Palatino Linotype" w:eastAsia="Palatino Linotype" w:hAnsi="Palatino Linotype" w:cs="Palatino Linotype"/>
                <w:sz w:val="20"/>
                <w:szCs w:val="20"/>
              </w:rPr>
              <w:t xml:space="preserve">- </w:t>
            </w:r>
            <w:r w:rsidR="00B64C6C" w:rsidRPr="00A302BF">
              <w:rPr>
                <w:rFonts w:ascii="Palatino Linotype" w:eastAsia="Palatino Linotype" w:hAnsi="Palatino Linotype" w:cs="Palatino Linotype"/>
                <w:sz w:val="20"/>
                <w:szCs w:val="20"/>
              </w:rPr>
              <w:t xml:space="preserve">Escrito del veinticuatro de febrero de dos mil veinticinco, </w:t>
            </w:r>
            <w:r w:rsidR="00825694" w:rsidRPr="00A302BF">
              <w:rPr>
                <w:rFonts w:ascii="Palatino Linotype" w:eastAsia="Palatino Linotype" w:hAnsi="Palatino Linotype" w:cs="Palatino Linotype"/>
                <w:sz w:val="20"/>
                <w:szCs w:val="20"/>
              </w:rPr>
              <w:t xml:space="preserve">mediante el cual el </w:t>
            </w:r>
            <w:r w:rsidR="00624DEE" w:rsidRPr="00A302BF">
              <w:rPr>
                <w:rFonts w:ascii="Palatino Linotype" w:eastAsia="Palatino Linotype" w:hAnsi="Palatino Linotype" w:cs="Palatino Linotype"/>
                <w:b/>
                <w:sz w:val="20"/>
                <w:szCs w:val="20"/>
              </w:rPr>
              <w:t>Sujeto Obligado</w:t>
            </w:r>
            <w:r w:rsidR="00624DEE" w:rsidRPr="00A302BF">
              <w:rPr>
                <w:rFonts w:ascii="Palatino Linotype" w:eastAsia="Palatino Linotype" w:hAnsi="Palatino Linotype" w:cs="Palatino Linotype"/>
                <w:sz w:val="20"/>
                <w:szCs w:val="20"/>
              </w:rPr>
              <w:t xml:space="preserve"> ratificó en lo sustancial la respuesta emitida en primera instancia, asimismo, refirió que se hizo entrega de lo requerido conforme obra en sus archivos y reiteró que en el transcurso del ejercicio fiscal 2025, a la fecha de presentación de la solicitud, </w:t>
            </w:r>
            <w:r w:rsidR="00624DEE" w:rsidRPr="00A302BF">
              <w:rPr>
                <w:rFonts w:ascii="Palatino Linotype" w:hAnsi="Palatino Linotype"/>
                <w:sz w:val="20"/>
                <w:szCs w:val="20"/>
              </w:rPr>
              <w:t>no se habían generado, ni se administra</w:t>
            </w:r>
            <w:r w:rsidR="005F624E" w:rsidRPr="00A302BF">
              <w:rPr>
                <w:rFonts w:ascii="Palatino Linotype" w:hAnsi="Palatino Linotype"/>
                <w:sz w:val="20"/>
                <w:szCs w:val="20"/>
              </w:rPr>
              <w:t>ban Contratos de Obras Públicas.</w:t>
            </w:r>
          </w:p>
        </w:tc>
      </w:tr>
      <w:tr w:rsidR="00A302BF" w:rsidRPr="00A302BF" w14:paraId="2BA47079" w14:textId="77777777">
        <w:trPr>
          <w:jc w:val="center"/>
        </w:trPr>
        <w:tc>
          <w:tcPr>
            <w:tcW w:w="3114" w:type="dxa"/>
            <w:vAlign w:val="center"/>
          </w:tcPr>
          <w:p w14:paraId="79C0C463" w14:textId="77777777" w:rsidR="00A315D8" w:rsidRPr="00A302BF" w:rsidRDefault="00A315D8">
            <w:pPr>
              <w:spacing w:before="120" w:after="120" w:line="240" w:lineRule="auto"/>
              <w:jc w:val="center"/>
              <w:rPr>
                <w:rFonts w:ascii="Palatino Linotype" w:eastAsia="Palatino Linotype" w:hAnsi="Palatino Linotype" w:cs="Palatino Linotype"/>
                <w:b/>
                <w:sz w:val="20"/>
                <w:szCs w:val="20"/>
              </w:rPr>
            </w:pPr>
          </w:p>
          <w:p w14:paraId="733B000D" w14:textId="77777777" w:rsidR="00A315D8" w:rsidRPr="00A302BF" w:rsidRDefault="00CA7284" w:rsidP="00CA7284">
            <w:pPr>
              <w:spacing w:before="120" w:after="120" w:line="240" w:lineRule="auto"/>
              <w:jc w:val="center"/>
              <w:rPr>
                <w:rFonts w:ascii="Palatino Linotype" w:eastAsia="Palatino Linotype" w:hAnsi="Palatino Linotype" w:cs="Palatino Linotype"/>
                <w:b/>
                <w:sz w:val="20"/>
                <w:szCs w:val="20"/>
              </w:rPr>
            </w:pPr>
            <w:r w:rsidRPr="00A302BF">
              <w:rPr>
                <w:rFonts w:ascii="Palatino Linotype" w:eastAsia="Palatino Linotype" w:hAnsi="Palatino Linotype" w:cs="Palatino Linotype"/>
                <w:b/>
                <w:sz w:val="20"/>
                <w:szCs w:val="20"/>
              </w:rPr>
              <w:t>01017</w:t>
            </w:r>
            <w:r w:rsidR="009B03EE" w:rsidRPr="00A302BF">
              <w:rPr>
                <w:rFonts w:ascii="Palatino Linotype" w:eastAsia="Palatino Linotype" w:hAnsi="Palatino Linotype" w:cs="Palatino Linotype"/>
                <w:b/>
                <w:sz w:val="20"/>
                <w:szCs w:val="20"/>
              </w:rPr>
              <w:t>/INFOEM/IP/RR/2025</w:t>
            </w:r>
          </w:p>
        </w:tc>
        <w:tc>
          <w:tcPr>
            <w:tcW w:w="5714" w:type="dxa"/>
          </w:tcPr>
          <w:p w14:paraId="397DD6C1" w14:textId="77777777" w:rsidR="00A315D8" w:rsidRPr="00A302BF" w:rsidRDefault="002B1529" w:rsidP="002B1529">
            <w:pPr>
              <w:spacing w:before="120" w:after="120" w:line="240" w:lineRule="auto"/>
              <w:jc w:val="both"/>
              <w:rPr>
                <w:rFonts w:ascii="Palatino Linotype" w:eastAsia="Palatino Linotype" w:hAnsi="Palatino Linotype" w:cs="Palatino Linotype"/>
                <w:sz w:val="20"/>
                <w:szCs w:val="20"/>
              </w:rPr>
            </w:pPr>
            <w:r w:rsidRPr="00A302BF">
              <w:rPr>
                <w:rFonts w:ascii="Palatino Linotype" w:eastAsia="Palatino Linotype" w:hAnsi="Palatino Linotype" w:cs="Palatino Linotype"/>
                <w:sz w:val="20"/>
                <w:szCs w:val="20"/>
              </w:rPr>
              <w:t xml:space="preserve">- Escrito del veinte de febrero de dos mil veinticinco, mediante el cual el </w:t>
            </w:r>
            <w:r w:rsidRPr="00A302BF">
              <w:rPr>
                <w:rFonts w:ascii="Palatino Linotype" w:eastAsia="Palatino Linotype" w:hAnsi="Palatino Linotype" w:cs="Palatino Linotype"/>
                <w:b/>
                <w:sz w:val="20"/>
                <w:szCs w:val="20"/>
              </w:rPr>
              <w:t>Sujeto Obligado</w:t>
            </w:r>
            <w:r w:rsidRPr="00A302BF">
              <w:rPr>
                <w:rFonts w:ascii="Palatino Linotype" w:eastAsia="Palatino Linotype" w:hAnsi="Palatino Linotype" w:cs="Palatino Linotype"/>
                <w:sz w:val="20"/>
                <w:szCs w:val="20"/>
              </w:rPr>
              <w:t xml:space="preserve"> ratificó en lo sustancial la respuesta emitida en primera instancia, asimismo, refirió que se hizo entrega de lo requerido conforme obra en sus archivos.</w:t>
            </w:r>
          </w:p>
        </w:tc>
      </w:tr>
    </w:tbl>
    <w:p w14:paraId="5E7B9AF0" w14:textId="77777777" w:rsidR="00C543F7" w:rsidRPr="00A302BF" w:rsidRDefault="00C543F7" w:rsidP="00C543F7">
      <w:pP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t xml:space="preserve">Una vez analizados los documentos referidos, se determinó hacerlos del conocimiento de la parte </w:t>
      </w:r>
      <w:r w:rsidRPr="00A302BF">
        <w:rPr>
          <w:rFonts w:ascii="Palatino Linotype" w:eastAsia="Palatino Linotype" w:hAnsi="Palatino Linotype" w:cs="Palatino Linotype"/>
          <w:b/>
          <w:sz w:val="24"/>
          <w:szCs w:val="24"/>
        </w:rPr>
        <w:t xml:space="preserve">Recurrente </w:t>
      </w:r>
      <w:r w:rsidRPr="00A302BF">
        <w:rPr>
          <w:rFonts w:ascii="Palatino Linotype" w:eastAsia="Palatino Linotype" w:hAnsi="Palatino Linotype" w:cs="Palatino Linotype"/>
          <w:sz w:val="24"/>
          <w:szCs w:val="24"/>
        </w:rPr>
        <w:t>con la finalidad de que manifestaran lo que a su derecho estimaran conveniente, siendo omisa en ejercer dicha prerrogativa.</w:t>
      </w:r>
    </w:p>
    <w:p w14:paraId="46F3BFE1" w14:textId="77777777" w:rsidR="00A315D8" w:rsidRPr="00A302BF" w:rsidRDefault="009B03EE">
      <w:pP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b/>
          <w:sz w:val="24"/>
          <w:szCs w:val="24"/>
        </w:rPr>
        <w:t xml:space="preserve">7. Acumulación de los recursos de revisión. </w:t>
      </w:r>
      <w:r w:rsidRPr="00A302BF">
        <w:rPr>
          <w:rFonts w:ascii="Palatino Linotype" w:eastAsia="Palatino Linotype" w:hAnsi="Palatino Linotype" w:cs="Palatino Linotype"/>
          <w:sz w:val="24"/>
          <w:szCs w:val="24"/>
        </w:rPr>
        <w:t xml:space="preserve">El </w:t>
      </w:r>
      <w:r w:rsidR="002B1529" w:rsidRPr="00A302BF">
        <w:rPr>
          <w:rFonts w:ascii="Palatino Linotype" w:eastAsia="Palatino Linotype" w:hAnsi="Palatino Linotype" w:cs="Palatino Linotype"/>
          <w:b/>
          <w:sz w:val="24"/>
          <w:szCs w:val="24"/>
        </w:rPr>
        <w:t>diecinueve</w:t>
      </w:r>
      <w:r w:rsidRPr="00A302BF">
        <w:rPr>
          <w:rFonts w:ascii="Palatino Linotype" w:eastAsia="Palatino Linotype" w:hAnsi="Palatino Linotype" w:cs="Palatino Linotype"/>
          <w:b/>
          <w:sz w:val="24"/>
          <w:szCs w:val="24"/>
        </w:rPr>
        <w:t xml:space="preserve"> de febrero de dos mil veinticinco, </w:t>
      </w:r>
      <w:r w:rsidRPr="00A302BF">
        <w:rPr>
          <w:rFonts w:ascii="Palatino Linotype" w:eastAsia="Palatino Linotype" w:hAnsi="Palatino Linotype" w:cs="Palatino Linotype"/>
          <w:sz w:val="24"/>
          <w:szCs w:val="24"/>
        </w:rPr>
        <w:t>al advertir la conexidad causa y con la finalidad de evitar que se dicten resoluciones contradictorias, la Comisionada Ponente acordó  la acumulación de los recursos antes señalados, de conformidad con el artículo 195 de la Ley de Transparencia y Acceso a la Información Pública del Estado de México y Municipios y artículo 18 del Código de Procedimientos Administrativos del Estado de México, a saber:</w:t>
      </w:r>
    </w:p>
    <w:p w14:paraId="1014FAA6" w14:textId="77777777" w:rsidR="00A315D8" w:rsidRPr="00A302BF" w:rsidRDefault="009B03EE">
      <w:pPr>
        <w:pBdr>
          <w:top w:val="nil"/>
          <w:left w:val="nil"/>
          <w:bottom w:val="nil"/>
          <w:right w:val="nil"/>
          <w:between w:val="nil"/>
        </w:pBdr>
        <w:spacing w:before="120" w:after="120" w:line="240" w:lineRule="auto"/>
        <w:ind w:left="851" w:right="902"/>
        <w:jc w:val="both"/>
        <w:rPr>
          <w:rFonts w:ascii="Palatino Linotype" w:eastAsia="Palatino Linotype" w:hAnsi="Palatino Linotype" w:cs="Palatino Linotype"/>
        </w:rPr>
      </w:pPr>
      <w:r w:rsidRPr="00A302BF">
        <w:rPr>
          <w:rFonts w:ascii="Palatino Linotype" w:eastAsia="Palatino Linotype" w:hAnsi="Palatino Linotype" w:cs="Palatino Linotype"/>
          <w:b/>
          <w:i/>
        </w:rPr>
        <w:t>Código de Procedimientos Administrativos del Estado de México</w:t>
      </w:r>
    </w:p>
    <w:p w14:paraId="0FE078F7" w14:textId="77777777" w:rsidR="00A315D8" w:rsidRPr="00A302BF" w:rsidRDefault="009B03EE">
      <w:pPr>
        <w:pBdr>
          <w:top w:val="nil"/>
          <w:left w:val="nil"/>
          <w:bottom w:val="nil"/>
          <w:right w:val="nil"/>
          <w:between w:val="nil"/>
        </w:pBdr>
        <w:spacing w:before="120" w:after="120" w:line="240" w:lineRule="auto"/>
        <w:ind w:left="851" w:right="902"/>
        <w:jc w:val="both"/>
        <w:rPr>
          <w:rFonts w:ascii="Palatino Linotype" w:eastAsia="Palatino Linotype" w:hAnsi="Palatino Linotype" w:cs="Palatino Linotype"/>
        </w:rPr>
      </w:pPr>
      <w:r w:rsidRPr="00A302BF">
        <w:rPr>
          <w:rFonts w:ascii="Palatino Linotype" w:eastAsia="Palatino Linotype" w:hAnsi="Palatino Linotype" w:cs="Palatino Linotype"/>
          <w:b/>
          <w:i/>
        </w:rPr>
        <w:t>“Artículo 18.-</w:t>
      </w:r>
      <w:r w:rsidRPr="00A302BF">
        <w:rPr>
          <w:rFonts w:ascii="Palatino Linotype" w:eastAsia="Palatino Linotype" w:hAnsi="Palatino Linotype" w:cs="Palatino Linotype"/>
          <w:i/>
        </w:rPr>
        <w:t xml:space="preserve"> </w:t>
      </w:r>
      <w:r w:rsidRPr="00A302BF">
        <w:rPr>
          <w:rFonts w:ascii="Palatino Linotype" w:eastAsia="Palatino Linotype" w:hAnsi="Palatino Linotype" w:cs="Palatino Linotype"/>
          <w:b/>
          <w:i/>
        </w:rPr>
        <w:t xml:space="preserve">La autoridad administrativa o el Tribunal acordarán la acumulación de los expedientes del procedimiento y proceso </w:t>
      </w:r>
      <w:r w:rsidRPr="00A302BF">
        <w:rPr>
          <w:rFonts w:ascii="Palatino Linotype" w:eastAsia="Palatino Linotype" w:hAnsi="Palatino Linotype" w:cs="Palatino Linotype"/>
          <w:b/>
          <w:i/>
        </w:rPr>
        <w:lastRenderedPageBreak/>
        <w:t>administrativo que ante ellos se sigan, de oficio</w:t>
      </w:r>
      <w:r w:rsidRPr="00A302BF">
        <w:rPr>
          <w:rFonts w:ascii="Palatino Linotype" w:eastAsia="Palatino Linotype" w:hAnsi="Palatino Linotype" w:cs="Palatino Linotype"/>
          <w:i/>
        </w:rPr>
        <w:t xml:space="preserve"> o a petición de parte, </w:t>
      </w:r>
      <w:r w:rsidRPr="00A302BF">
        <w:rPr>
          <w:rFonts w:ascii="Palatino Linotype" w:eastAsia="Palatino Linotype" w:hAnsi="Palatino Linotype" w:cs="Palatino Linotype"/>
          <w:b/>
          <w:i/>
        </w:rPr>
        <w:t>cuando las partes</w:t>
      </w:r>
      <w:r w:rsidRPr="00A302BF">
        <w:rPr>
          <w:rFonts w:ascii="Palatino Linotype" w:eastAsia="Palatino Linotype" w:hAnsi="Palatino Linotype" w:cs="Palatino Linotype"/>
          <w:i/>
        </w:rPr>
        <w:t xml:space="preserve"> o los actos administrativos sean iguales, se trate de actos conexos o </w:t>
      </w:r>
      <w:r w:rsidRPr="00A302BF">
        <w:rPr>
          <w:rFonts w:ascii="Palatino Linotype" w:eastAsia="Palatino Linotype" w:hAnsi="Palatino Linotype" w:cs="Palatino Linotype"/>
          <w:b/>
          <w:i/>
        </w:rPr>
        <w:t>resulte conveniente el trámite unificado de los asuntos, para evitar la emisión de resoluciones contradictorias</w:t>
      </w:r>
      <w:r w:rsidRPr="00A302BF">
        <w:rPr>
          <w:rFonts w:ascii="Palatino Linotype" w:eastAsia="Palatino Linotype" w:hAnsi="Palatino Linotype" w:cs="Palatino Linotype"/>
          <w:i/>
        </w:rPr>
        <w:t>. La misma regla se aplicará, en lo conducente, para la separación de los expedientes.”</w:t>
      </w:r>
    </w:p>
    <w:p w14:paraId="318D5A39" w14:textId="77777777" w:rsidR="00A315D8" w:rsidRPr="00A302BF" w:rsidRDefault="009B03EE">
      <w:pPr>
        <w:pBdr>
          <w:top w:val="nil"/>
          <w:left w:val="nil"/>
          <w:bottom w:val="nil"/>
          <w:right w:val="nil"/>
          <w:between w:val="nil"/>
        </w:pBdr>
        <w:spacing w:before="120" w:after="120" w:line="240" w:lineRule="auto"/>
        <w:ind w:left="851" w:right="902"/>
        <w:jc w:val="both"/>
        <w:rPr>
          <w:rFonts w:ascii="Palatino Linotype" w:eastAsia="Palatino Linotype" w:hAnsi="Palatino Linotype" w:cs="Palatino Linotype"/>
        </w:rPr>
      </w:pPr>
      <w:r w:rsidRPr="00A302BF">
        <w:rPr>
          <w:rFonts w:ascii="Palatino Linotype" w:eastAsia="Palatino Linotype" w:hAnsi="Palatino Linotype" w:cs="Palatino Linotype"/>
          <w:b/>
          <w:i/>
        </w:rPr>
        <w:t>Ley de Transparencia y Acceso a la Información Pública del Estado de México y Municipios</w:t>
      </w:r>
    </w:p>
    <w:p w14:paraId="16CB02EB" w14:textId="77777777" w:rsidR="00A315D8" w:rsidRPr="00A302BF" w:rsidRDefault="009B03EE">
      <w:pPr>
        <w:pBdr>
          <w:top w:val="nil"/>
          <w:left w:val="nil"/>
          <w:bottom w:val="nil"/>
          <w:right w:val="nil"/>
          <w:between w:val="nil"/>
        </w:pBdr>
        <w:spacing w:before="120" w:after="120" w:line="240" w:lineRule="auto"/>
        <w:ind w:left="851" w:right="902"/>
        <w:jc w:val="both"/>
        <w:rPr>
          <w:rFonts w:ascii="Palatino Linotype" w:eastAsia="Palatino Linotype" w:hAnsi="Palatino Linotype" w:cs="Palatino Linotype"/>
        </w:rPr>
      </w:pPr>
      <w:r w:rsidRPr="00A302BF">
        <w:rPr>
          <w:rFonts w:ascii="Palatino Linotype" w:eastAsia="Palatino Linotype" w:hAnsi="Palatino Linotype" w:cs="Palatino Linotype"/>
          <w:b/>
          <w:i/>
        </w:rPr>
        <w:t>“Artículo 195.-</w:t>
      </w:r>
      <w:r w:rsidRPr="00A302BF">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053BAC6B" w14:textId="30EC1A3A" w:rsidR="00A315D8" w:rsidRPr="00A302BF" w:rsidRDefault="00E960F2">
      <w:pPr>
        <w:spacing w:before="240" w:after="240" w:line="360" w:lineRule="auto"/>
        <w:jc w:val="both"/>
        <w:rPr>
          <w:rFonts w:ascii="Palatino Linotype" w:eastAsia="Palatino Linotype" w:hAnsi="Palatino Linotype" w:cs="Palatino Linotype"/>
          <w:sz w:val="24"/>
          <w:szCs w:val="24"/>
        </w:rPr>
      </w:pPr>
      <w:bookmarkStart w:id="2" w:name="_heading=h.tyjcwt" w:colFirst="0" w:colLast="0"/>
      <w:bookmarkEnd w:id="2"/>
      <w:r w:rsidRPr="00A302BF">
        <w:rPr>
          <w:rFonts w:ascii="Palatino Linotype" w:eastAsia="Palatino Linotype" w:hAnsi="Palatino Linotype" w:cs="Palatino Linotype"/>
          <w:b/>
          <w:sz w:val="24"/>
          <w:szCs w:val="24"/>
        </w:rPr>
        <w:t>8</w:t>
      </w:r>
      <w:r w:rsidR="009B03EE" w:rsidRPr="00A302BF">
        <w:rPr>
          <w:rFonts w:ascii="Palatino Linotype" w:eastAsia="Palatino Linotype" w:hAnsi="Palatino Linotype" w:cs="Palatino Linotype"/>
          <w:b/>
          <w:sz w:val="24"/>
          <w:szCs w:val="24"/>
        </w:rPr>
        <w:t xml:space="preserve">. Cierre de Instrucción. </w:t>
      </w:r>
      <w:r w:rsidR="009B03EE" w:rsidRPr="00A302BF">
        <w:rPr>
          <w:rFonts w:ascii="Palatino Linotype" w:eastAsia="Palatino Linotype" w:hAnsi="Palatino Linotype" w:cs="Palatino Linotype"/>
          <w:sz w:val="24"/>
          <w:szCs w:val="24"/>
        </w:rPr>
        <w:t xml:space="preserve">El </w:t>
      </w:r>
      <w:r w:rsidR="00DC562E" w:rsidRPr="00A302BF">
        <w:rPr>
          <w:rFonts w:ascii="Palatino Linotype" w:eastAsia="Palatino Linotype" w:hAnsi="Palatino Linotype" w:cs="Palatino Linotype"/>
          <w:b/>
          <w:sz w:val="24"/>
          <w:szCs w:val="24"/>
        </w:rPr>
        <w:t>seis</w:t>
      </w:r>
      <w:r w:rsidR="002B1529" w:rsidRPr="00A302BF">
        <w:rPr>
          <w:rFonts w:ascii="Palatino Linotype" w:eastAsia="Palatino Linotype" w:hAnsi="Palatino Linotype" w:cs="Palatino Linotype"/>
          <w:b/>
          <w:sz w:val="24"/>
          <w:szCs w:val="24"/>
        </w:rPr>
        <w:t xml:space="preserve"> de marzo </w:t>
      </w:r>
      <w:r w:rsidR="009B03EE" w:rsidRPr="00A302BF">
        <w:rPr>
          <w:rFonts w:ascii="Palatino Linotype" w:eastAsia="Palatino Linotype" w:hAnsi="Palatino Linotype" w:cs="Palatino Linotype"/>
          <w:b/>
          <w:sz w:val="24"/>
          <w:szCs w:val="24"/>
        </w:rPr>
        <w:t>de dos mil veinticinco</w:t>
      </w:r>
      <w:r w:rsidR="009B03EE" w:rsidRPr="00A302BF">
        <w:rPr>
          <w:rFonts w:ascii="Palatino Linotype" w:eastAsia="Palatino Linotype" w:hAnsi="Palatino Linotype" w:cs="Palatino Linotype"/>
          <w:sz w:val="24"/>
          <w:szCs w:val="24"/>
        </w:rPr>
        <w:t>, con fundamento en lo establecido en el artículo 185, fracción VI de la Ley de Transparencia y Acceso a la Información Pública del Estado de México y Municipios, al no existir trámite pendiente por realizar y haber sido sustanciados medios de impugnación se acordó el cierre de instrucción y se procede a formular la resolución que en derecho corresponda.</w:t>
      </w:r>
    </w:p>
    <w:p w14:paraId="5D523D71" w14:textId="77777777" w:rsidR="00A315D8" w:rsidRPr="00A302BF" w:rsidRDefault="009B03EE">
      <w:pP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t xml:space="preserve">En razón de que fue debidamente sustanciado el expediente electrónico y no existe diligencia pendiente de desahogo, se emite la Resolución que conforme a Derecho proceda, de acuerdo con los siguientes: </w:t>
      </w:r>
    </w:p>
    <w:p w14:paraId="370BF736" w14:textId="77777777" w:rsidR="00A315D8" w:rsidRPr="00A302BF" w:rsidRDefault="009B03EE">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4"/>
          <w:szCs w:val="24"/>
        </w:rPr>
      </w:pPr>
      <w:r w:rsidRPr="00A302BF">
        <w:rPr>
          <w:rFonts w:ascii="Palatino Linotype" w:eastAsia="Palatino Linotype" w:hAnsi="Palatino Linotype" w:cs="Palatino Linotype"/>
          <w:b/>
          <w:sz w:val="24"/>
          <w:szCs w:val="24"/>
        </w:rPr>
        <w:t>II. C O N S I D E R A N D O S:</w:t>
      </w:r>
    </w:p>
    <w:p w14:paraId="6117A051" w14:textId="77777777" w:rsidR="00A315D8" w:rsidRPr="00A302BF" w:rsidRDefault="009B03EE">
      <w:pP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b/>
          <w:sz w:val="24"/>
          <w:szCs w:val="24"/>
        </w:rPr>
        <w:t>Primero. Competencia.</w:t>
      </w:r>
      <w:r w:rsidRPr="00A302BF">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los presentes recursos de revisión interpuestos por la parte </w:t>
      </w:r>
      <w:r w:rsidRPr="00A302BF">
        <w:rPr>
          <w:rFonts w:ascii="Palatino Linotype" w:eastAsia="Palatino Linotype" w:hAnsi="Palatino Linotype" w:cs="Palatino Linotype"/>
          <w:b/>
          <w:sz w:val="24"/>
          <w:szCs w:val="24"/>
        </w:rPr>
        <w:t>Recurrente</w:t>
      </w:r>
      <w:r w:rsidRPr="00A302BF">
        <w:rPr>
          <w:rFonts w:ascii="Palatino Linotype" w:eastAsia="Palatino Linotype" w:hAnsi="Palatino Linotype" w:cs="Palatino Linotype"/>
          <w:sz w:val="24"/>
          <w:szCs w:val="24"/>
        </w:rPr>
        <w:t xml:space="preserve">, conforme a lo dispuesto en los artículos 6, apartado A de la Constitución Política de los Estados Unidos Mexicanos; 5 párrafos trigésimo tercero, </w:t>
      </w:r>
      <w:r w:rsidRPr="00A302BF">
        <w:rPr>
          <w:rFonts w:ascii="Palatino Linotype" w:eastAsia="Palatino Linotype" w:hAnsi="Palatino Linotype" w:cs="Palatino Linotype"/>
          <w:sz w:val="24"/>
          <w:szCs w:val="24"/>
        </w:rPr>
        <w:lastRenderedPageBreak/>
        <w:t>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XIV, y 11 del Reglamento Interior del Instituto de Transparencia, Acceso a la Información Pública y Protección de Datos Personales del Estado de México y Municipios.</w:t>
      </w:r>
    </w:p>
    <w:p w14:paraId="626E2B20" w14:textId="77777777" w:rsidR="00A315D8" w:rsidRPr="00A302BF" w:rsidRDefault="009B03EE">
      <w:pP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b/>
          <w:sz w:val="24"/>
          <w:szCs w:val="24"/>
        </w:rPr>
        <w:t>Segundo. Oportunidad y Procedibilidad del Recurso de Revisión</w:t>
      </w:r>
      <w:r w:rsidRPr="00A302BF">
        <w:rPr>
          <w:rFonts w:ascii="Palatino Linotype" w:eastAsia="Palatino Linotype" w:hAnsi="Palatino Linotype" w:cs="Palatino Linotype"/>
          <w:sz w:val="24"/>
          <w:szCs w:val="24"/>
        </w:rPr>
        <w:t>.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37795373" w14:textId="77777777" w:rsidR="00A315D8" w:rsidRPr="00A302BF" w:rsidRDefault="009B03EE">
      <w:pP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t xml:space="preserve">Los recursos de revisión fueron interpuestos dentro del plazo de quince días hábiles, previsto en el artículo 178 de la Ley de Transparencia y Acceso a la Información Pública del Estado de México y Municipios, toda vez que el </w:t>
      </w:r>
      <w:r w:rsidRPr="00A302BF">
        <w:rPr>
          <w:rFonts w:ascii="Palatino Linotype" w:eastAsia="Palatino Linotype" w:hAnsi="Palatino Linotype" w:cs="Palatino Linotype"/>
          <w:b/>
          <w:sz w:val="24"/>
          <w:szCs w:val="24"/>
        </w:rPr>
        <w:t xml:space="preserve">Sujeto Obligado </w:t>
      </w:r>
      <w:r w:rsidRPr="00A302BF">
        <w:rPr>
          <w:rFonts w:ascii="Palatino Linotype" w:eastAsia="Palatino Linotype" w:hAnsi="Palatino Linotype" w:cs="Palatino Linotype"/>
          <w:sz w:val="24"/>
          <w:szCs w:val="24"/>
        </w:rPr>
        <w:t xml:space="preserve">remitió la respuesta a las solicitudes de información el </w:t>
      </w:r>
      <w:r w:rsidR="002B1529" w:rsidRPr="00A302BF">
        <w:rPr>
          <w:rFonts w:ascii="Palatino Linotype" w:eastAsia="Palatino Linotype" w:hAnsi="Palatino Linotype" w:cs="Palatino Linotype"/>
          <w:b/>
          <w:sz w:val="24"/>
          <w:szCs w:val="24"/>
        </w:rPr>
        <w:t>cinco de febrero de dos mil veinticinco</w:t>
      </w:r>
      <w:r w:rsidRPr="00A302BF">
        <w:rPr>
          <w:rFonts w:ascii="Palatino Linotype" w:eastAsia="Palatino Linotype" w:hAnsi="Palatino Linotype" w:cs="Palatino Linotype"/>
          <w:b/>
          <w:sz w:val="24"/>
          <w:szCs w:val="24"/>
        </w:rPr>
        <w:t xml:space="preserve">, </w:t>
      </w:r>
      <w:r w:rsidRPr="00A302BF">
        <w:rPr>
          <w:rFonts w:ascii="Palatino Linotype" w:eastAsia="Palatino Linotype" w:hAnsi="Palatino Linotype" w:cs="Palatino Linotype"/>
          <w:sz w:val="24"/>
          <w:szCs w:val="24"/>
        </w:rPr>
        <w:t xml:space="preserve">mientras que los recursos de revisión interpuestos por la parte </w:t>
      </w:r>
      <w:r w:rsidRPr="00A302BF">
        <w:rPr>
          <w:rFonts w:ascii="Palatino Linotype" w:eastAsia="Palatino Linotype" w:hAnsi="Palatino Linotype" w:cs="Palatino Linotype"/>
          <w:b/>
          <w:sz w:val="24"/>
          <w:szCs w:val="24"/>
        </w:rPr>
        <w:t>Recurrente</w:t>
      </w:r>
      <w:r w:rsidRPr="00A302BF">
        <w:rPr>
          <w:rFonts w:ascii="Palatino Linotype" w:eastAsia="Palatino Linotype" w:hAnsi="Palatino Linotype" w:cs="Palatino Linotype"/>
          <w:sz w:val="24"/>
          <w:szCs w:val="24"/>
        </w:rPr>
        <w:t xml:space="preserve">, se tuvieron por presentados el </w:t>
      </w:r>
      <w:r w:rsidR="002B1529" w:rsidRPr="00A302BF">
        <w:rPr>
          <w:rFonts w:ascii="Palatino Linotype" w:eastAsia="Palatino Linotype" w:hAnsi="Palatino Linotype" w:cs="Palatino Linotype"/>
          <w:b/>
          <w:sz w:val="24"/>
          <w:szCs w:val="24"/>
        </w:rPr>
        <w:t>diez de febrero de dos mil veinticinco</w:t>
      </w:r>
      <w:r w:rsidRPr="00A302BF">
        <w:rPr>
          <w:rFonts w:ascii="Palatino Linotype" w:eastAsia="Palatino Linotype" w:hAnsi="Palatino Linotype" w:cs="Palatino Linotype"/>
          <w:b/>
          <w:sz w:val="24"/>
          <w:szCs w:val="24"/>
        </w:rPr>
        <w:t>,</w:t>
      </w:r>
      <w:r w:rsidR="00861E93" w:rsidRPr="00A302BF">
        <w:rPr>
          <w:rFonts w:ascii="Palatino Linotype" w:eastAsia="Palatino Linotype" w:hAnsi="Palatino Linotype" w:cs="Palatino Linotype"/>
          <w:sz w:val="24"/>
          <w:szCs w:val="24"/>
        </w:rPr>
        <w:t xml:space="preserve"> esto es, a</w:t>
      </w:r>
      <w:r w:rsidRPr="00A302BF">
        <w:rPr>
          <w:rFonts w:ascii="Palatino Linotype" w:eastAsia="Palatino Linotype" w:hAnsi="Palatino Linotype" w:cs="Palatino Linotype"/>
          <w:sz w:val="24"/>
          <w:szCs w:val="24"/>
        </w:rPr>
        <w:t>l</w:t>
      </w:r>
      <w:r w:rsidR="00861E93" w:rsidRPr="00A302BF">
        <w:rPr>
          <w:rFonts w:ascii="Palatino Linotype" w:eastAsia="Palatino Linotype" w:hAnsi="Palatino Linotype" w:cs="Palatino Linotype"/>
          <w:sz w:val="24"/>
          <w:szCs w:val="24"/>
        </w:rPr>
        <w:t xml:space="preserve"> tercer día hábil posterior a aquel en </w:t>
      </w:r>
      <w:r w:rsidRPr="00A302BF">
        <w:rPr>
          <w:rFonts w:ascii="Palatino Linotype" w:eastAsia="Palatino Linotype" w:hAnsi="Palatino Linotype" w:cs="Palatino Linotype"/>
          <w:sz w:val="24"/>
          <w:szCs w:val="24"/>
        </w:rPr>
        <w:t>el que tuvo conocimiento de las respuestas impugnadas. En este sentido, se concluye que los presentes recursos de revisión se encuentran dentro de los márgenes temporales previstos en las disposiciones legales referidas.</w:t>
      </w:r>
    </w:p>
    <w:p w14:paraId="4483410A" w14:textId="77777777" w:rsidR="00861E93" w:rsidRPr="00A302BF" w:rsidRDefault="00861E93" w:rsidP="00861E93">
      <w:pP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lastRenderedPageBreak/>
        <w:t>Además, por cuanto hace a la procedibilidad del recurso de revisión, es de suma importancia señalar que la parte</w:t>
      </w:r>
      <w:r w:rsidRPr="00A302BF">
        <w:rPr>
          <w:rFonts w:ascii="Palatino Linotype" w:eastAsia="Palatino Linotype" w:hAnsi="Palatino Linotype" w:cs="Palatino Linotype"/>
          <w:b/>
          <w:sz w:val="24"/>
          <w:szCs w:val="24"/>
        </w:rPr>
        <w:t xml:space="preserve"> Recurrente</w:t>
      </w:r>
      <w:r w:rsidRPr="00A302BF">
        <w:rPr>
          <w:rFonts w:ascii="Palatino Linotype" w:eastAsia="Palatino Linotype" w:hAnsi="Palatino Linotype" w:cs="Palatino Linotype"/>
          <w:sz w:val="24"/>
          <w:szCs w:val="24"/>
        </w:rPr>
        <w:t xml:space="preserve">, no señaló un </w:t>
      </w:r>
      <w:r w:rsidRPr="00A302BF">
        <w:rPr>
          <w:rFonts w:ascii="Palatino Linotype" w:eastAsia="Palatino Linotype" w:hAnsi="Palatino Linotype" w:cs="Palatino Linotype"/>
          <w:b/>
          <w:sz w:val="24"/>
          <w:szCs w:val="24"/>
        </w:rPr>
        <w:t>nombre</w:t>
      </w:r>
      <w:r w:rsidRPr="00A302BF">
        <w:rPr>
          <w:rFonts w:ascii="Palatino Linotype" w:eastAsia="Palatino Linotype" w:hAnsi="Palatino Linotype" w:cs="Palatino Linotype"/>
          <w:sz w:val="24"/>
          <w:szCs w:val="24"/>
        </w:rPr>
        <w:t xml:space="preserve"> con el cual desea ser identificado, como se advierte en el detalle de seguimiento del SAIMEX, no obstante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A62E370" w14:textId="77777777" w:rsidR="00861E93" w:rsidRPr="00A302BF" w:rsidRDefault="00861E93" w:rsidP="00861E93">
      <w:pPr>
        <w:spacing w:before="120" w:after="120"/>
        <w:ind w:left="851" w:right="902"/>
        <w:jc w:val="both"/>
        <w:rPr>
          <w:rFonts w:ascii="Palatino Linotype" w:eastAsia="Palatino Linotype" w:hAnsi="Palatino Linotype" w:cs="Palatino Linotype"/>
          <w:i/>
        </w:rPr>
      </w:pPr>
      <w:r w:rsidRPr="00A302BF">
        <w:rPr>
          <w:rFonts w:ascii="Palatino Linotype" w:eastAsia="Palatino Linotype" w:hAnsi="Palatino Linotype" w:cs="Palatino Linotype"/>
          <w:i/>
        </w:rPr>
        <w:t>"</w:t>
      </w:r>
      <w:r w:rsidRPr="00A302BF">
        <w:rPr>
          <w:rFonts w:ascii="Palatino Linotype" w:eastAsia="Palatino Linotype" w:hAnsi="Palatino Linotype" w:cs="Palatino Linotype"/>
          <w:b/>
          <w:i/>
        </w:rPr>
        <w:t>Las solicitudes anónimas</w:t>
      </w:r>
      <w:r w:rsidRPr="00A302BF">
        <w:rPr>
          <w:rFonts w:ascii="Palatino Linotype" w:eastAsia="Palatino Linotype" w:hAnsi="Palatino Linotype" w:cs="Palatino Linotype"/>
          <w:i/>
        </w:rPr>
        <w:t xml:space="preserve">, con nombre incompleto o </w:t>
      </w:r>
      <w:r w:rsidRPr="00A302BF">
        <w:rPr>
          <w:rFonts w:ascii="Palatino Linotype" w:eastAsia="Palatino Linotype" w:hAnsi="Palatino Linotype" w:cs="Palatino Linotype"/>
          <w:b/>
          <w:i/>
        </w:rPr>
        <w:t>seudónimo</w:t>
      </w:r>
      <w:r w:rsidRPr="00A302BF">
        <w:rPr>
          <w:rFonts w:ascii="Palatino Linotype" w:eastAsia="Palatino Linotype" w:hAnsi="Palatino Linotype" w:cs="Palatino Linotype"/>
          <w:i/>
        </w:rPr>
        <w:t xml:space="preserve"> serán procedentes para su trámite por parte del sujeto obligado ante quien se presente. No podrá requerirse información adicional con motivo del nombre proporcionado por el solicitante."</w:t>
      </w:r>
    </w:p>
    <w:p w14:paraId="3EBC327A" w14:textId="77777777" w:rsidR="00861E93" w:rsidRPr="00A302BF" w:rsidRDefault="00861E93" w:rsidP="00861E93">
      <w:pPr>
        <w:spacing w:before="240" w:after="240" w:line="360" w:lineRule="auto"/>
        <w:jc w:val="both"/>
        <w:rPr>
          <w:rFonts w:ascii="Palatino Linotype" w:eastAsia="Palatino Linotype" w:hAnsi="Palatino Linotype" w:cs="Palatino Linotype"/>
          <w:b/>
          <w:sz w:val="24"/>
        </w:rPr>
      </w:pPr>
      <w:r w:rsidRPr="00A302BF">
        <w:rPr>
          <w:rFonts w:ascii="Palatino Linotype" w:eastAsia="Palatino Linotype" w:hAnsi="Palatino Linotype" w:cs="Palatino Linotype"/>
          <w:sz w:val="24"/>
        </w:rPr>
        <w:t>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el</w:t>
      </w:r>
      <w:r w:rsidRPr="00A302BF">
        <w:rPr>
          <w:rFonts w:ascii="Palatino Linotype" w:eastAsia="Palatino Linotype" w:hAnsi="Palatino Linotype" w:cs="Palatino Linotype"/>
          <w:b/>
          <w:sz w:val="24"/>
        </w:rPr>
        <w:t xml:space="preserve"> SAIMEX.</w:t>
      </w:r>
    </w:p>
    <w:p w14:paraId="54E956A6" w14:textId="77777777" w:rsidR="00A315D8" w:rsidRPr="00A302BF" w:rsidRDefault="009B03EE">
      <w:pP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t xml:space="preserve">Finalmente, se advierte que resulta procedente la interposición del recurso, según lo manifestado por la parte </w:t>
      </w:r>
      <w:r w:rsidRPr="00A302BF">
        <w:rPr>
          <w:rFonts w:ascii="Palatino Linotype" w:eastAsia="Palatino Linotype" w:hAnsi="Palatino Linotype" w:cs="Palatino Linotype"/>
          <w:b/>
          <w:sz w:val="24"/>
          <w:szCs w:val="24"/>
        </w:rPr>
        <w:t>Recurrente</w:t>
      </w:r>
      <w:r w:rsidRPr="00A302BF">
        <w:rPr>
          <w:rFonts w:ascii="Palatino Linotype" w:eastAsia="Palatino Linotype" w:hAnsi="Palatino Linotype" w:cs="Palatino Linotype"/>
          <w:sz w:val="24"/>
          <w:szCs w:val="24"/>
        </w:rPr>
        <w:t xml:space="preserve"> en sus motivos de inconformidad, de acu</w:t>
      </w:r>
      <w:r w:rsidR="00861E93" w:rsidRPr="00A302BF">
        <w:rPr>
          <w:rFonts w:ascii="Palatino Linotype" w:eastAsia="Palatino Linotype" w:hAnsi="Palatino Linotype" w:cs="Palatino Linotype"/>
          <w:sz w:val="24"/>
          <w:szCs w:val="24"/>
        </w:rPr>
        <w:t>erdo al artículo 179, fracción I</w:t>
      </w:r>
      <w:r w:rsidRPr="00A302BF">
        <w:rPr>
          <w:rFonts w:ascii="Palatino Linotype" w:eastAsia="Palatino Linotype" w:hAnsi="Palatino Linotype" w:cs="Palatino Linotype"/>
          <w:sz w:val="24"/>
          <w:szCs w:val="24"/>
        </w:rPr>
        <w:t xml:space="preserve"> del ordenamiento legal citado, que a la letra dice: </w:t>
      </w:r>
    </w:p>
    <w:p w14:paraId="16AE0077" w14:textId="77777777" w:rsidR="00A315D8" w:rsidRPr="00A302BF" w:rsidRDefault="009B03EE">
      <w:pPr>
        <w:spacing w:before="120" w:after="120"/>
        <w:ind w:left="851" w:right="902"/>
        <w:jc w:val="both"/>
        <w:rPr>
          <w:rFonts w:ascii="Palatino Linotype" w:eastAsia="Palatino Linotype" w:hAnsi="Palatino Linotype" w:cs="Palatino Linotype"/>
          <w:i/>
        </w:rPr>
      </w:pPr>
      <w:r w:rsidRPr="00A302BF">
        <w:rPr>
          <w:rFonts w:ascii="Palatino Linotype" w:eastAsia="Palatino Linotype" w:hAnsi="Palatino Linotype" w:cs="Palatino Linotype"/>
          <w:i/>
        </w:rPr>
        <w:t>“</w:t>
      </w:r>
      <w:r w:rsidRPr="00A302BF">
        <w:rPr>
          <w:rFonts w:ascii="Palatino Linotype" w:eastAsia="Palatino Linotype" w:hAnsi="Palatino Linotype" w:cs="Palatino Linotype"/>
          <w:b/>
          <w:i/>
        </w:rPr>
        <w:t>Artículo 179.</w:t>
      </w:r>
      <w:r w:rsidRPr="00A302BF">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2C5486C2" w14:textId="77777777" w:rsidR="00A315D8" w:rsidRPr="00A302BF" w:rsidRDefault="00861E93">
      <w:pPr>
        <w:spacing w:before="120" w:after="120"/>
        <w:ind w:left="1134" w:right="902"/>
        <w:rPr>
          <w:rFonts w:ascii="Palatino Linotype" w:eastAsia="Palatino Linotype" w:hAnsi="Palatino Linotype" w:cs="Palatino Linotype"/>
          <w:i/>
        </w:rPr>
      </w:pPr>
      <w:r w:rsidRPr="00A302BF">
        <w:rPr>
          <w:rFonts w:ascii="Palatino Linotype" w:eastAsia="Palatino Linotype" w:hAnsi="Palatino Linotype" w:cs="Palatino Linotype"/>
          <w:b/>
          <w:i/>
        </w:rPr>
        <w:t>I</w:t>
      </w:r>
      <w:r w:rsidRPr="00A302BF">
        <w:rPr>
          <w:rFonts w:ascii="Palatino Linotype" w:eastAsia="Palatino Linotype" w:hAnsi="Palatino Linotype" w:cs="Palatino Linotype"/>
          <w:i/>
        </w:rPr>
        <w:t>. La negativa a la información solicitada</w:t>
      </w:r>
      <w:r w:rsidR="009B03EE" w:rsidRPr="00A302BF">
        <w:rPr>
          <w:rFonts w:ascii="Palatino Linotype" w:eastAsia="Palatino Linotype" w:hAnsi="Palatino Linotype" w:cs="Palatino Linotype"/>
          <w:i/>
        </w:rPr>
        <w:t>;”</w:t>
      </w:r>
    </w:p>
    <w:p w14:paraId="41C29CCA" w14:textId="77777777" w:rsidR="00A315D8" w:rsidRPr="00A302BF" w:rsidRDefault="009B03EE">
      <w:pP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b/>
          <w:sz w:val="24"/>
          <w:szCs w:val="24"/>
        </w:rPr>
        <w:lastRenderedPageBreak/>
        <w:t xml:space="preserve">Tercero. Materia de la revisión. </w:t>
      </w:r>
      <w:r w:rsidRPr="00A302BF">
        <w:rPr>
          <w:rFonts w:ascii="Palatino Linotype" w:eastAsia="Palatino Linotype" w:hAnsi="Palatino Linotype" w:cs="Palatino Linotype"/>
          <w:sz w:val="24"/>
          <w:szCs w:val="24"/>
        </w:rPr>
        <w:t xml:space="preserve">De la revisión a las constancias y documentos que obran en los expedientes electrónicos se advierte, que el tema sobre el que este Organismo Garante de Transparencia y Acceso a la Información se pronunciará será: </w:t>
      </w:r>
      <w:r w:rsidRPr="00A302BF">
        <w:rPr>
          <w:rFonts w:ascii="Palatino Linotype" w:eastAsia="Palatino Linotype" w:hAnsi="Palatino Linotype" w:cs="Palatino Linotype"/>
          <w:b/>
          <w:sz w:val="24"/>
          <w:szCs w:val="24"/>
        </w:rPr>
        <w:t xml:space="preserve">verificar si la información proporcionada por el Sujeto Obligado es adecuada y suficiente para satisfacer el derecho de acceso a la información pública </w:t>
      </w:r>
      <w:r w:rsidRPr="00A302BF">
        <w:rPr>
          <w:rFonts w:ascii="Palatino Linotype" w:eastAsia="Palatino Linotype" w:hAnsi="Palatino Linotype" w:cs="Palatino Linotype"/>
          <w:sz w:val="24"/>
          <w:szCs w:val="24"/>
        </w:rPr>
        <w:t xml:space="preserve">de la parte </w:t>
      </w:r>
      <w:r w:rsidRPr="00A302BF">
        <w:rPr>
          <w:rFonts w:ascii="Palatino Linotype" w:eastAsia="Palatino Linotype" w:hAnsi="Palatino Linotype" w:cs="Palatino Linotype"/>
          <w:b/>
          <w:sz w:val="24"/>
          <w:szCs w:val="24"/>
        </w:rPr>
        <w:t>Recurrente</w:t>
      </w:r>
      <w:r w:rsidRPr="00A302BF">
        <w:rPr>
          <w:rFonts w:ascii="Palatino Linotype" w:eastAsia="Palatino Linotype" w:hAnsi="Palatino Linotype" w:cs="Palatino Linotype"/>
          <w:sz w:val="24"/>
          <w:szCs w:val="24"/>
        </w:rPr>
        <w:t>, o en su defecto, en caso de ser procedente, ordenar la entrega de información.</w:t>
      </w:r>
    </w:p>
    <w:p w14:paraId="6205C2D4" w14:textId="77777777" w:rsidR="00A315D8" w:rsidRPr="00A302BF" w:rsidRDefault="009B03EE">
      <w:pP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b/>
          <w:sz w:val="24"/>
          <w:szCs w:val="24"/>
        </w:rPr>
        <w:t xml:space="preserve">Cuarto. Estudio del asunto. </w:t>
      </w:r>
      <w:r w:rsidRPr="00A302BF">
        <w:rPr>
          <w:rFonts w:ascii="Palatino Linotype" w:eastAsia="Palatino Linotype" w:hAnsi="Palatino Linotype" w:cs="Palatino Linotype"/>
          <w:sz w:val="24"/>
          <w:szCs w:val="24"/>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121029DE" w14:textId="77777777" w:rsidR="00A315D8" w:rsidRPr="00A302BF" w:rsidRDefault="009B03EE">
      <w:pPr>
        <w:spacing w:before="120" w:after="120" w:line="240" w:lineRule="auto"/>
        <w:ind w:left="851" w:right="902"/>
        <w:jc w:val="both"/>
        <w:rPr>
          <w:rFonts w:ascii="Palatino Linotype" w:eastAsia="Palatino Linotype" w:hAnsi="Palatino Linotype" w:cs="Palatino Linotype"/>
          <w:i/>
        </w:rPr>
      </w:pPr>
      <w:r w:rsidRPr="00A302BF">
        <w:rPr>
          <w:rFonts w:ascii="Palatino Linotype" w:eastAsia="Palatino Linotype" w:hAnsi="Palatino Linotype" w:cs="Palatino Linotype"/>
          <w:i/>
        </w:rPr>
        <w:t>“</w:t>
      </w:r>
      <w:r w:rsidRPr="00A302BF">
        <w:rPr>
          <w:rFonts w:ascii="Palatino Linotype" w:eastAsia="Palatino Linotype" w:hAnsi="Palatino Linotype" w:cs="Palatino Linotype"/>
          <w:b/>
          <w:i/>
        </w:rPr>
        <w:t>Artículo 4</w:t>
      </w:r>
      <w:r w:rsidRPr="00A302BF">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122DDE0" w14:textId="77777777" w:rsidR="00A315D8" w:rsidRPr="00A302BF" w:rsidRDefault="009B03EE">
      <w:pPr>
        <w:spacing w:before="120" w:after="120" w:line="240" w:lineRule="auto"/>
        <w:ind w:left="851" w:right="902"/>
        <w:jc w:val="both"/>
        <w:rPr>
          <w:rFonts w:ascii="Palatino Linotype" w:eastAsia="Palatino Linotype" w:hAnsi="Palatino Linotype" w:cs="Palatino Linotype"/>
          <w:i/>
        </w:rPr>
      </w:pPr>
      <w:r w:rsidRPr="00A302BF">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A302BF">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w:t>
      </w:r>
      <w:r w:rsidRPr="00A302BF">
        <w:rPr>
          <w:rFonts w:ascii="Palatino Linotype" w:eastAsia="Palatino Linotype" w:hAnsi="Palatino Linotype" w:cs="Palatino Linotype"/>
          <w:i/>
        </w:rPr>
        <w:lastRenderedPageBreak/>
        <w:t>por razones de interés público, en los términos de las causas legítimas y estrictamente necesarias previstas por esta Ley.</w:t>
      </w:r>
    </w:p>
    <w:p w14:paraId="01A6A502" w14:textId="77777777" w:rsidR="00A315D8" w:rsidRPr="00A302BF" w:rsidRDefault="009B03EE">
      <w:pPr>
        <w:spacing w:before="120" w:after="120" w:line="240" w:lineRule="auto"/>
        <w:ind w:left="851" w:right="902"/>
        <w:jc w:val="both"/>
        <w:rPr>
          <w:rFonts w:ascii="Palatino Linotype" w:eastAsia="Palatino Linotype" w:hAnsi="Palatino Linotype" w:cs="Palatino Linotype"/>
          <w:i/>
        </w:rPr>
      </w:pPr>
      <w:r w:rsidRPr="00A302BF">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A302BF">
        <w:rPr>
          <w:rFonts w:ascii="Palatino Linotype" w:eastAsia="Palatino Linotype" w:hAnsi="Palatino Linotype" w:cs="Palatino Linotype"/>
          <w:i/>
        </w:rPr>
        <w:t>.”</w:t>
      </w:r>
    </w:p>
    <w:p w14:paraId="7114EDE7" w14:textId="77777777" w:rsidR="00A315D8" w:rsidRPr="00A302BF" w:rsidRDefault="009B03EE">
      <w:pPr>
        <w:spacing w:before="240" w:after="240" w:line="360" w:lineRule="auto"/>
        <w:jc w:val="both"/>
        <w:rPr>
          <w:rFonts w:ascii="Palatino Linotype" w:eastAsia="Palatino Linotype" w:hAnsi="Palatino Linotype" w:cs="Palatino Linotype"/>
        </w:rPr>
      </w:pPr>
      <w:r w:rsidRPr="00A302BF">
        <w:rPr>
          <w:rFonts w:ascii="Palatino Linotype" w:eastAsia="Palatino Linotype" w:hAnsi="Palatino Linotype" w:cs="Palatino Linotype"/>
          <w:sz w:val="24"/>
          <w:szCs w:val="24"/>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w:t>
      </w:r>
      <w:r w:rsidRPr="00A302BF">
        <w:rPr>
          <w:rFonts w:ascii="Palatino Linotype" w:eastAsia="Palatino Linotype" w:hAnsi="Palatino Linotype" w:cs="Palatino Linotype"/>
        </w:rPr>
        <w:t>y Acceso a la Información Pública del Estado de México y Municipios, que a la letra dice:</w:t>
      </w:r>
    </w:p>
    <w:p w14:paraId="4AF7AF41" w14:textId="77777777" w:rsidR="00A315D8" w:rsidRPr="00A302BF" w:rsidRDefault="009B03EE">
      <w:pPr>
        <w:spacing w:before="120" w:after="120"/>
        <w:ind w:left="851" w:right="902"/>
        <w:jc w:val="both"/>
        <w:rPr>
          <w:rFonts w:ascii="Palatino Linotype" w:eastAsia="Palatino Linotype" w:hAnsi="Palatino Linotype" w:cs="Palatino Linotype"/>
          <w:i/>
        </w:rPr>
      </w:pPr>
      <w:r w:rsidRPr="00A302BF">
        <w:rPr>
          <w:rFonts w:ascii="Palatino Linotype" w:eastAsia="Palatino Linotype" w:hAnsi="Palatino Linotype" w:cs="Palatino Linotype"/>
          <w:b/>
          <w:i/>
        </w:rPr>
        <w:t>“Artículo 12.-</w:t>
      </w:r>
      <w:r w:rsidRPr="00A302BF">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1B0B2B0E" w14:textId="77777777" w:rsidR="00A315D8" w:rsidRPr="00A302BF" w:rsidRDefault="009B03EE">
      <w:pPr>
        <w:spacing w:before="120" w:after="120"/>
        <w:ind w:left="851" w:right="902"/>
        <w:jc w:val="both"/>
        <w:rPr>
          <w:rFonts w:ascii="Palatino Linotype" w:eastAsia="Palatino Linotype" w:hAnsi="Palatino Linotype" w:cs="Palatino Linotype"/>
          <w:i/>
        </w:rPr>
      </w:pPr>
      <w:r w:rsidRPr="00A302BF">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A302BF">
        <w:rPr>
          <w:rFonts w:ascii="Palatino Linotype" w:eastAsia="Palatino Linotype" w:hAnsi="Palatino Linotype" w:cs="Palatino Linotype"/>
          <w:i/>
        </w:rPr>
        <w:t xml:space="preserve">. </w:t>
      </w:r>
      <w:r w:rsidRPr="00A302BF">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167F74C8" w14:textId="77777777" w:rsidR="00A315D8" w:rsidRPr="00A302BF" w:rsidRDefault="009B03EE">
      <w:pPr>
        <w:spacing w:before="240" w:after="240" w:line="360" w:lineRule="auto"/>
        <w:ind w:right="-93"/>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w:t>
      </w:r>
      <w:r w:rsidRPr="00A302BF">
        <w:rPr>
          <w:rFonts w:ascii="Palatino Linotype" w:eastAsia="Palatino Linotype" w:hAnsi="Palatino Linotype" w:cs="Palatino Linotype"/>
          <w:sz w:val="24"/>
          <w:szCs w:val="24"/>
        </w:rPr>
        <w:lastRenderedPageBreak/>
        <w:t>solicitada que tengan en su poder en el estado que se encuentran, sin necesidad de concretarse al interés o términos específicos del solicitante.</w:t>
      </w:r>
    </w:p>
    <w:p w14:paraId="32AFD514" w14:textId="77777777" w:rsidR="00A315D8" w:rsidRPr="00A302BF" w:rsidRDefault="009B03EE">
      <w:pPr>
        <w:spacing w:before="240" w:after="240" w:line="360" w:lineRule="auto"/>
        <w:jc w:val="both"/>
        <w:rPr>
          <w:rFonts w:ascii="Palatino Linotype" w:eastAsia="Palatino Linotype" w:hAnsi="Palatino Linotype" w:cs="Palatino Linotype"/>
          <w:b/>
          <w:sz w:val="24"/>
          <w:szCs w:val="24"/>
        </w:rPr>
      </w:pPr>
      <w:r w:rsidRPr="00A302BF">
        <w:rPr>
          <w:rFonts w:ascii="Palatino Linotype" w:eastAsia="Palatino Linotype" w:hAnsi="Palatino Linotype" w:cs="Palatino Linotype"/>
          <w:sz w:val="24"/>
          <w:szCs w:val="24"/>
        </w:rPr>
        <w:t>Sirve de apoyo a lo anterior, el Criterio de interpretación con clave de control SO/003/2017, emitido por el Instituto Nacional de Transparencia, Acceso a la Información y Protección de Datos Personales, que por rubro y texto, dispone lo siguiente:</w:t>
      </w:r>
      <w:r w:rsidRPr="00A302BF">
        <w:rPr>
          <w:rFonts w:ascii="Palatino Linotype" w:eastAsia="Palatino Linotype" w:hAnsi="Palatino Linotype" w:cs="Palatino Linotype"/>
          <w:b/>
          <w:sz w:val="24"/>
          <w:szCs w:val="24"/>
        </w:rPr>
        <w:t xml:space="preserve"> </w:t>
      </w:r>
    </w:p>
    <w:p w14:paraId="1E8E317E" w14:textId="77777777" w:rsidR="00A315D8" w:rsidRPr="00A302BF" w:rsidRDefault="009B03EE">
      <w:pPr>
        <w:spacing w:before="120" w:after="120"/>
        <w:ind w:left="1134" w:right="902"/>
        <w:jc w:val="both"/>
        <w:rPr>
          <w:rFonts w:ascii="Palatino Linotype" w:eastAsia="Palatino Linotype" w:hAnsi="Palatino Linotype" w:cs="Palatino Linotype"/>
          <w:i/>
        </w:rPr>
      </w:pPr>
      <w:r w:rsidRPr="00A302BF">
        <w:rPr>
          <w:rFonts w:ascii="Palatino Linotype" w:eastAsia="Palatino Linotype" w:hAnsi="Palatino Linotype" w:cs="Palatino Linotype"/>
          <w:i/>
        </w:rPr>
        <w:t>“</w:t>
      </w:r>
      <w:r w:rsidRPr="00A302BF">
        <w:rPr>
          <w:rFonts w:ascii="Palatino Linotype" w:eastAsia="Palatino Linotype" w:hAnsi="Palatino Linotype" w:cs="Palatino Linotype"/>
          <w:b/>
          <w:i/>
        </w:rPr>
        <w:t>No existe obligación de elaborar documentos ad hoc para atender las solicitudes de acceso a la información.</w:t>
      </w:r>
      <w:r w:rsidRPr="00A302BF">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00D5E5A" w14:textId="77777777" w:rsidR="00A315D8" w:rsidRPr="00A302BF" w:rsidRDefault="009B03EE">
      <w:pP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BE989A6" w14:textId="77777777" w:rsidR="00A315D8" w:rsidRPr="00A302BF" w:rsidRDefault="009B03EE">
      <w:pP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w:t>
      </w:r>
      <w:r w:rsidRPr="00A302BF">
        <w:rPr>
          <w:rFonts w:ascii="Palatino Linotype" w:eastAsia="Palatino Linotype" w:hAnsi="Palatino Linotype" w:cs="Palatino Linotype"/>
          <w:sz w:val="24"/>
          <w:szCs w:val="24"/>
        </w:rPr>
        <w:lastRenderedPageBreak/>
        <w:t xml:space="preserve">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9526ECF" w14:textId="77777777" w:rsidR="00A315D8" w:rsidRPr="00A302BF" w:rsidRDefault="009B03EE">
      <w:pPr>
        <w:spacing w:before="120" w:after="120" w:line="240" w:lineRule="auto"/>
        <w:ind w:left="851" w:right="902"/>
        <w:jc w:val="both"/>
        <w:rPr>
          <w:rFonts w:ascii="Palatino Linotype" w:eastAsia="Palatino Linotype" w:hAnsi="Palatino Linotype" w:cs="Palatino Linotype"/>
          <w:i/>
        </w:rPr>
      </w:pPr>
      <w:r w:rsidRPr="00A302BF">
        <w:rPr>
          <w:rFonts w:ascii="Palatino Linotype" w:eastAsia="Palatino Linotype" w:hAnsi="Palatino Linotype" w:cs="Palatino Linotype"/>
          <w:i/>
        </w:rPr>
        <w:t>“</w:t>
      </w:r>
      <w:r w:rsidRPr="00A302BF">
        <w:rPr>
          <w:rFonts w:ascii="Palatino Linotype" w:eastAsia="Palatino Linotype" w:hAnsi="Palatino Linotype" w:cs="Palatino Linotype"/>
          <w:b/>
          <w:i/>
        </w:rPr>
        <w:t xml:space="preserve">Artículo 3. </w:t>
      </w:r>
      <w:r w:rsidRPr="00A302BF">
        <w:rPr>
          <w:rFonts w:ascii="Palatino Linotype" w:eastAsia="Palatino Linotype" w:hAnsi="Palatino Linotype" w:cs="Palatino Linotype"/>
          <w:i/>
        </w:rPr>
        <w:t>Para los efectos de la presente Ley se entenderá por:</w:t>
      </w:r>
    </w:p>
    <w:p w14:paraId="2A71DC4F" w14:textId="77777777" w:rsidR="00A315D8" w:rsidRPr="00A302BF" w:rsidRDefault="009B03EE">
      <w:pPr>
        <w:spacing w:before="120" w:after="120" w:line="240" w:lineRule="auto"/>
        <w:ind w:left="1134" w:right="902"/>
        <w:jc w:val="both"/>
        <w:rPr>
          <w:rFonts w:ascii="Palatino Linotype" w:eastAsia="Palatino Linotype" w:hAnsi="Palatino Linotype" w:cs="Palatino Linotype"/>
          <w:i/>
        </w:rPr>
      </w:pPr>
      <w:r w:rsidRPr="00A302BF">
        <w:rPr>
          <w:rFonts w:ascii="Palatino Linotype" w:eastAsia="Palatino Linotype" w:hAnsi="Palatino Linotype" w:cs="Palatino Linotype"/>
          <w:i/>
        </w:rPr>
        <w:t>…</w:t>
      </w:r>
    </w:p>
    <w:p w14:paraId="6D1D85C2" w14:textId="77777777" w:rsidR="00A315D8" w:rsidRPr="00A302BF" w:rsidRDefault="009B03EE">
      <w:pPr>
        <w:spacing w:before="120" w:after="120" w:line="240" w:lineRule="auto"/>
        <w:ind w:left="1134" w:right="902"/>
        <w:jc w:val="both"/>
        <w:rPr>
          <w:rFonts w:ascii="Palatino Linotype" w:eastAsia="Palatino Linotype" w:hAnsi="Palatino Linotype" w:cs="Palatino Linotype"/>
          <w:i/>
        </w:rPr>
      </w:pPr>
      <w:r w:rsidRPr="00A302BF">
        <w:rPr>
          <w:rFonts w:ascii="Palatino Linotype" w:eastAsia="Palatino Linotype" w:hAnsi="Palatino Linotype" w:cs="Palatino Linotype"/>
          <w:b/>
          <w:i/>
        </w:rPr>
        <w:t>XI. Documento:</w:t>
      </w:r>
      <w:r w:rsidRPr="00A302BF">
        <w:rPr>
          <w:rFonts w:ascii="Palatino Linotype" w:eastAsia="Palatino Linotype" w:hAnsi="Palatino Linotype" w:cs="Palatino Linotype"/>
          <w:i/>
        </w:rPr>
        <w:t xml:space="preserve"> Los expedientes, reportes, estudios, actas</w:t>
      </w:r>
      <w:r w:rsidRPr="00A302BF">
        <w:rPr>
          <w:rFonts w:ascii="Palatino Linotype" w:eastAsia="Palatino Linotype" w:hAnsi="Palatino Linotype" w:cs="Palatino Linotype"/>
          <w:b/>
          <w:i/>
        </w:rPr>
        <w:t>,</w:t>
      </w:r>
      <w:r w:rsidRPr="00A302BF">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0A1531F" w14:textId="77777777" w:rsidR="00A315D8" w:rsidRPr="00A302BF" w:rsidRDefault="009B03EE">
      <w:pP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7FE989D" w14:textId="77777777" w:rsidR="00A315D8" w:rsidRPr="00A302BF" w:rsidRDefault="009B03EE">
      <w:pPr>
        <w:spacing w:before="120" w:after="120" w:line="240" w:lineRule="auto"/>
        <w:ind w:left="851" w:right="902"/>
        <w:jc w:val="both"/>
        <w:rPr>
          <w:rFonts w:ascii="Palatino Linotype" w:eastAsia="Palatino Linotype" w:hAnsi="Palatino Linotype" w:cs="Palatino Linotype"/>
          <w:i/>
        </w:rPr>
      </w:pPr>
      <w:r w:rsidRPr="00A302BF">
        <w:rPr>
          <w:rFonts w:ascii="Palatino Linotype" w:eastAsia="Palatino Linotype" w:hAnsi="Palatino Linotype" w:cs="Palatino Linotype"/>
          <w:b/>
        </w:rPr>
        <w:t>“</w:t>
      </w:r>
      <w:r w:rsidRPr="00A302BF">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A302BF">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w:t>
      </w:r>
      <w:r w:rsidRPr="00A302BF">
        <w:rPr>
          <w:rFonts w:ascii="Palatino Linotype" w:eastAsia="Palatino Linotype" w:hAnsi="Palatino Linotype" w:cs="Palatino Linotype"/>
          <w:i/>
        </w:rPr>
        <w:lastRenderedPageBreak/>
        <w:t>registros y documentos públicos, administrados, generados o en posesión de los órganos u organismos públicos, en virtud del ejercicio de sus funciones de derecho público, sin importar su fuente, soporte o fecha de elaboración.</w:t>
      </w:r>
    </w:p>
    <w:p w14:paraId="2D319C66" w14:textId="77777777" w:rsidR="00A315D8" w:rsidRPr="00A302BF" w:rsidRDefault="009B03EE">
      <w:pPr>
        <w:spacing w:before="120" w:after="120" w:line="240" w:lineRule="auto"/>
        <w:ind w:left="851" w:right="902"/>
        <w:jc w:val="both"/>
        <w:rPr>
          <w:rFonts w:ascii="Palatino Linotype" w:eastAsia="Palatino Linotype" w:hAnsi="Palatino Linotype" w:cs="Palatino Linotype"/>
          <w:i/>
        </w:rPr>
      </w:pPr>
      <w:r w:rsidRPr="00A302BF">
        <w:rPr>
          <w:rFonts w:ascii="Palatino Linotype" w:eastAsia="Palatino Linotype" w:hAnsi="Palatino Linotype" w:cs="Palatino Linotype"/>
          <w:i/>
        </w:rPr>
        <w:t>En consecuencia el acceso a la información se refiere a que se cumplan cualquiera de los siguientes tres supuestos:</w:t>
      </w:r>
    </w:p>
    <w:p w14:paraId="6349B4F7" w14:textId="77777777" w:rsidR="00A315D8" w:rsidRPr="00A302BF" w:rsidRDefault="009B03EE">
      <w:pPr>
        <w:spacing w:before="120" w:after="120" w:line="240" w:lineRule="auto"/>
        <w:ind w:left="1134" w:right="902"/>
        <w:jc w:val="both"/>
        <w:rPr>
          <w:rFonts w:ascii="Palatino Linotype" w:eastAsia="Palatino Linotype" w:hAnsi="Palatino Linotype" w:cs="Palatino Linotype"/>
          <w:i/>
        </w:rPr>
      </w:pPr>
      <w:r w:rsidRPr="00A302BF">
        <w:rPr>
          <w:rFonts w:ascii="Palatino Linotype" w:eastAsia="Palatino Linotype" w:hAnsi="Palatino Linotype" w:cs="Palatino Linotype"/>
          <w:b/>
          <w:i/>
        </w:rPr>
        <w:t>1)</w:t>
      </w:r>
      <w:r w:rsidRPr="00A302BF">
        <w:rPr>
          <w:rFonts w:ascii="Palatino Linotype" w:eastAsia="Palatino Linotype" w:hAnsi="Palatino Linotype" w:cs="Palatino Linotype"/>
          <w:i/>
        </w:rPr>
        <w:t xml:space="preserve"> Que se trate de información registrada en cualquier soporte documental, que en ejercicio de las atribuciones conferidas, sea generada por los Sujetos Obligados;</w:t>
      </w:r>
    </w:p>
    <w:p w14:paraId="1DB0659D" w14:textId="77777777" w:rsidR="00A315D8" w:rsidRPr="00A302BF" w:rsidRDefault="009B03EE">
      <w:pPr>
        <w:spacing w:before="120" w:after="120" w:line="240" w:lineRule="auto"/>
        <w:ind w:left="1134" w:right="902"/>
        <w:jc w:val="both"/>
        <w:rPr>
          <w:rFonts w:ascii="Palatino Linotype" w:eastAsia="Palatino Linotype" w:hAnsi="Palatino Linotype" w:cs="Palatino Linotype"/>
          <w:i/>
        </w:rPr>
      </w:pPr>
      <w:r w:rsidRPr="00A302BF">
        <w:rPr>
          <w:rFonts w:ascii="Palatino Linotype" w:eastAsia="Palatino Linotype" w:hAnsi="Palatino Linotype" w:cs="Palatino Linotype"/>
          <w:b/>
          <w:i/>
        </w:rPr>
        <w:t>2)</w:t>
      </w:r>
      <w:r w:rsidRPr="00A302BF">
        <w:rPr>
          <w:rFonts w:ascii="Palatino Linotype" w:eastAsia="Palatino Linotype" w:hAnsi="Palatino Linotype" w:cs="Palatino Linotype"/>
          <w:i/>
        </w:rPr>
        <w:t xml:space="preserve"> Que se trate de información registrada en cualquier soporte documental, que en ejercicio de las atribuciones conferidas, sea administrada por los Sujetos Obligados, y</w:t>
      </w:r>
    </w:p>
    <w:p w14:paraId="1336F182" w14:textId="77777777" w:rsidR="00A315D8" w:rsidRPr="00A302BF" w:rsidRDefault="009B03EE">
      <w:pPr>
        <w:spacing w:before="120" w:after="120" w:line="240" w:lineRule="auto"/>
        <w:ind w:left="1134" w:right="902"/>
        <w:jc w:val="both"/>
        <w:rPr>
          <w:rFonts w:ascii="Palatino Linotype" w:eastAsia="Palatino Linotype" w:hAnsi="Palatino Linotype" w:cs="Palatino Linotype"/>
          <w:i/>
        </w:rPr>
      </w:pPr>
      <w:r w:rsidRPr="00A302BF">
        <w:rPr>
          <w:rFonts w:ascii="Palatino Linotype" w:eastAsia="Palatino Linotype" w:hAnsi="Palatino Linotype" w:cs="Palatino Linotype"/>
          <w:b/>
          <w:i/>
        </w:rPr>
        <w:t>3)</w:t>
      </w:r>
      <w:r w:rsidRPr="00A302BF">
        <w:rPr>
          <w:rFonts w:ascii="Palatino Linotype" w:eastAsia="Palatino Linotype" w:hAnsi="Palatino Linotype" w:cs="Palatino Linotype"/>
          <w:i/>
        </w:rPr>
        <w:t xml:space="preserve"> Que se trate de información registrada en cualquier soporte documental, que en ejercicio de las atribuciones conferidas, se encuentre en posesión de los Sujetos Obligados.” </w:t>
      </w:r>
    </w:p>
    <w:p w14:paraId="3DDBC7EB" w14:textId="77777777" w:rsidR="00A315D8" w:rsidRPr="00A302BF" w:rsidRDefault="009B03EE" w:rsidP="005F624E">
      <w:pPr>
        <w:spacing w:before="240" w:after="240" w:line="360" w:lineRule="auto"/>
        <w:ind w:right="51"/>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39144FC" w14:textId="77777777" w:rsidR="00A315D8" w:rsidRPr="00A302BF" w:rsidRDefault="009B03EE" w:rsidP="005F624E">
      <w:pP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w:t>
      </w:r>
      <w:r w:rsidRPr="00A302BF">
        <w:rPr>
          <w:rFonts w:ascii="Palatino Linotype" w:eastAsia="Palatino Linotype" w:hAnsi="Palatino Linotype" w:cs="Palatino Linotype"/>
          <w:sz w:val="24"/>
          <w:szCs w:val="24"/>
        </w:rPr>
        <w:lastRenderedPageBreak/>
        <w:t>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67103D61" w14:textId="77777777" w:rsidR="00A315D8" w:rsidRPr="00A302BF" w:rsidRDefault="009B03EE" w:rsidP="005F624E">
      <w:pP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t xml:space="preserve">Ahora bien, del análisis de las solicitudes de información, motivo de los recursos de revisión que ahora se resuelven, se advierte que la parte </w:t>
      </w:r>
      <w:r w:rsidRPr="00A302BF">
        <w:rPr>
          <w:rFonts w:ascii="Palatino Linotype" w:eastAsia="Palatino Linotype" w:hAnsi="Palatino Linotype" w:cs="Palatino Linotype"/>
          <w:b/>
          <w:sz w:val="24"/>
          <w:szCs w:val="24"/>
        </w:rPr>
        <w:t>Recurrente</w:t>
      </w:r>
      <w:r w:rsidRPr="00A302BF">
        <w:rPr>
          <w:rFonts w:ascii="Palatino Linotype" w:eastAsia="Palatino Linotype" w:hAnsi="Palatino Linotype" w:cs="Palatino Linotype"/>
          <w:sz w:val="24"/>
          <w:szCs w:val="24"/>
        </w:rPr>
        <w:t xml:space="preserve"> requirió al </w:t>
      </w:r>
      <w:r w:rsidRPr="00A302BF">
        <w:rPr>
          <w:rFonts w:ascii="Palatino Linotype" w:eastAsia="Palatino Linotype" w:hAnsi="Palatino Linotype" w:cs="Palatino Linotype"/>
          <w:b/>
          <w:sz w:val="24"/>
          <w:szCs w:val="24"/>
        </w:rPr>
        <w:t xml:space="preserve">Sujeto Obligado </w:t>
      </w:r>
      <w:r w:rsidRPr="00A302BF">
        <w:rPr>
          <w:rFonts w:ascii="Palatino Linotype" w:eastAsia="Palatino Linotype" w:hAnsi="Palatino Linotype" w:cs="Palatino Linotype"/>
          <w:sz w:val="24"/>
          <w:szCs w:val="24"/>
        </w:rPr>
        <w:t>le proporcione lo siguiente:</w:t>
      </w:r>
    </w:p>
    <w:p w14:paraId="750F972A" w14:textId="77777777" w:rsidR="00A315D8" w:rsidRPr="00A302BF" w:rsidRDefault="00751A40" w:rsidP="005F624E">
      <w:pPr>
        <w:pStyle w:val="Prrafodelista"/>
        <w:numPr>
          <w:ilvl w:val="0"/>
          <w:numId w:val="3"/>
        </w:numPr>
        <w:spacing w:before="240" w:after="240" w:line="360" w:lineRule="auto"/>
        <w:ind w:left="426" w:firstLine="0"/>
        <w:contextualSpacing w:val="0"/>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t xml:space="preserve">Contratos de las </w:t>
      </w:r>
      <w:r w:rsidRPr="00A302BF">
        <w:rPr>
          <w:rFonts w:ascii="Palatino Linotype" w:eastAsia="Palatino Linotype" w:hAnsi="Palatino Linotype" w:cs="Palatino Linotype"/>
          <w:b/>
          <w:bCs/>
          <w:sz w:val="24"/>
          <w:szCs w:val="24"/>
          <w:u w:val="single"/>
        </w:rPr>
        <w:t>obras realizadas en 2025</w:t>
      </w:r>
      <w:r w:rsidR="009B03EE" w:rsidRPr="00A302BF">
        <w:rPr>
          <w:rFonts w:ascii="Palatino Linotype" w:eastAsia="Palatino Linotype" w:hAnsi="Palatino Linotype" w:cs="Palatino Linotype"/>
          <w:sz w:val="24"/>
          <w:szCs w:val="24"/>
        </w:rPr>
        <w:t>.</w:t>
      </w:r>
    </w:p>
    <w:p w14:paraId="722719CB" w14:textId="77777777" w:rsidR="00751A40" w:rsidRPr="00A302BF" w:rsidRDefault="00751A40" w:rsidP="005F624E">
      <w:pPr>
        <w:pStyle w:val="Prrafodelista"/>
        <w:numPr>
          <w:ilvl w:val="0"/>
          <w:numId w:val="3"/>
        </w:numPr>
        <w:spacing w:before="240" w:after="240" w:line="360" w:lineRule="auto"/>
        <w:ind w:left="426" w:firstLine="0"/>
        <w:contextualSpacing w:val="0"/>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t>Programa de obra para el ejercicio 2025.</w:t>
      </w:r>
    </w:p>
    <w:p w14:paraId="6115848B" w14:textId="7F751380" w:rsidR="007A5394" w:rsidRPr="00A302BF" w:rsidRDefault="009B03EE" w:rsidP="005F624E">
      <w:pP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t xml:space="preserve">En respuesta a las solicitudes de información el </w:t>
      </w:r>
      <w:r w:rsidRPr="00A302BF">
        <w:rPr>
          <w:rFonts w:ascii="Palatino Linotype" w:eastAsia="Palatino Linotype" w:hAnsi="Palatino Linotype" w:cs="Palatino Linotype"/>
          <w:b/>
          <w:sz w:val="24"/>
          <w:szCs w:val="24"/>
        </w:rPr>
        <w:t xml:space="preserve">Sujeto Obligado, </w:t>
      </w:r>
      <w:r w:rsidRPr="00A302BF">
        <w:rPr>
          <w:rFonts w:ascii="Palatino Linotype" w:eastAsia="Palatino Linotype" w:hAnsi="Palatino Linotype" w:cs="Palatino Linotype"/>
          <w:sz w:val="24"/>
          <w:szCs w:val="24"/>
        </w:rPr>
        <w:t xml:space="preserve">por conducto de </w:t>
      </w:r>
      <w:r w:rsidR="007A5394" w:rsidRPr="00A302BF">
        <w:rPr>
          <w:rFonts w:ascii="Palatino Linotype" w:eastAsia="Palatino Linotype" w:hAnsi="Palatino Linotype" w:cs="Palatino Linotype"/>
          <w:sz w:val="24"/>
          <w:szCs w:val="24"/>
        </w:rPr>
        <w:t>la Dirección General de Obras Públicas, manifestó que</w:t>
      </w:r>
      <w:r w:rsidR="00C875AB" w:rsidRPr="00A302BF">
        <w:rPr>
          <w:rFonts w:ascii="Palatino Linotype" w:eastAsia="Palatino Linotype" w:hAnsi="Palatino Linotype" w:cs="Palatino Linotype"/>
          <w:sz w:val="24"/>
          <w:szCs w:val="24"/>
        </w:rPr>
        <w:t xml:space="preserve"> no se había generado, ni </w:t>
      </w:r>
      <w:r w:rsidR="00A45B8F" w:rsidRPr="00A302BF">
        <w:rPr>
          <w:rFonts w:ascii="Palatino Linotype" w:eastAsia="Palatino Linotype" w:hAnsi="Palatino Linotype" w:cs="Palatino Linotype"/>
          <w:sz w:val="24"/>
          <w:szCs w:val="24"/>
        </w:rPr>
        <w:t>administrada expresión documental</w:t>
      </w:r>
      <w:r w:rsidR="00C875AB" w:rsidRPr="00A302BF">
        <w:rPr>
          <w:rFonts w:ascii="Palatino Linotype" w:eastAsia="Palatino Linotype" w:hAnsi="Palatino Linotype" w:cs="Palatino Linotype"/>
          <w:sz w:val="24"/>
          <w:szCs w:val="24"/>
        </w:rPr>
        <w:t xml:space="preserve"> que dé cuenta a lo solicitado derivado de la búsqueda exhaustiva y razonable en los archivos que se encuentran bajo resguardo y custodia de dicha área, por lo que no era posible entregar información.</w:t>
      </w:r>
    </w:p>
    <w:p w14:paraId="118AB5D2" w14:textId="5FEB3F23" w:rsidR="00F62AC5" w:rsidRPr="00A302BF" w:rsidRDefault="00F62AC5" w:rsidP="005F624E">
      <w:pP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t xml:space="preserve">Asimismo, la Dirección General de Administración se declaró incompetente para conocer de la información solicitada, toda vez </w:t>
      </w:r>
      <w:r w:rsidR="00A45B8F" w:rsidRPr="00A302BF">
        <w:rPr>
          <w:rFonts w:ascii="Palatino Linotype" w:eastAsia="Palatino Linotype" w:hAnsi="Palatino Linotype" w:cs="Palatino Linotype"/>
          <w:sz w:val="24"/>
          <w:szCs w:val="24"/>
        </w:rPr>
        <w:t>que,</w:t>
      </w:r>
      <w:r w:rsidRPr="00A302BF">
        <w:rPr>
          <w:rFonts w:ascii="Palatino Linotype" w:eastAsia="Palatino Linotype" w:hAnsi="Palatino Linotype" w:cs="Palatino Linotype"/>
          <w:sz w:val="24"/>
          <w:szCs w:val="24"/>
        </w:rPr>
        <w:t xml:space="preserve"> en términos de obra pública y servicios relacionados con la misma, la información no se genera, recopila, administra, procesa archiva o conserva en dicha Unidad Administrativa.</w:t>
      </w:r>
    </w:p>
    <w:p w14:paraId="116DED4B" w14:textId="77777777" w:rsidR="00F62AC5" w:rsidRPr="00A302BF" w:rsidRDefault="009B03EE" w:rsidP="005F624E">
      <w:pP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lastRenderedPageBreak/>
        <w:t>Al no estar conforme con los términos de las respuestas emitida</w:t>
      </w:r>
      <w:r w:rsidR="00F62AC5" w:rsidRPr="00A302BF">
        <w:rPr>
          <w:rFonts w:ascii="Palatino Linotype" w:eastAsia="Palatino Linotype" w:hAnsi="Palatino Linotype" w:cs="Palatino Linotype"/>
          <w:sz w:val="24"/>
          <w:szCs w:val="24"/>
        </w:rPr>
        <w:t>s</w:t>
      </w:r>
      <w:r w:rsidRPr="00A302BF">
        <w:rPr>
          <w:rFonts w:ascii="Palatino Linotype" w:eastAsia="Palatino Linotype" w:hAnsi="Palatino Linotype" w:cs="Palatino Linotype"/>
          <w:sz w:val="24"/>
          <w:szCs w:val="24"/>
        </w:rPr>
        <w:t xml:space="preserve">, la parte </w:t>
      </w:r>
      <w:r w:rsidRPr="00A302BF">
        <w:rPr>
          <w:rFonts w:ascii="Palatino Linotype" w:eastAsia="Palatino Linotype" w:hAnsi="Palatino Linotype" w:cs="Palatino Linotype"/>
          <w:b/>
          <w:sz w:val="24"/>
          <w:szCs w:val="24"/>
        </w:rPr>
        <w:t xml:space="preserve">Recurrente </w:t>
      </w:r>
      <w:r w:rsidRPr="00A302BF">
        <w:rPr>
          <w:rFonts w:ascii="Palatino Linotype" w:eastAsia="Palatino Linotype" w:hAnsi="Palatino Linotype" w:cs="Palatino Linotype"/>
          <w:sz w:val="24"/>
          <w:szCs w:val="24"/>
        </w:rPr>
        <w:t>interpuso los recursos de revisión que ahora se resuelven, donde señaló como motivos de inconformidad, en lo medular</w:t>
      </w:r>
      <w:r w:rsidR="00F62AC5" w:rsidRPr="00A302BF">
        <w:rPr>
          <w:rFonts w:ascii="Palatino Linotype" w:eastAsia="Palatino Linotype" w:hAnsi="Palatino Linotype" w:cs="Palatino Linotype"/>
          <w:sz w:val="24"/>
          <w:szCs w:val="24"/>
        </w:rPr>
        <w:t xml:space="preserve"> que no se le proporcionaron los contratos, asimismo manifestó que se estaban realizando obras y calles, por lo que a su consideración se le estaba ocultando la información.</w:t>
      </w:r>
    </w:p>
    <w:p w14:paraId="41350BF8" w14:textId="77777777" w:rsidR="005F624E" w:rsidRPr="00A302BF" w:rsidRDefault="00F62AC5" w:rsidP="005F624E">
      <w:pPr>
        <w:spacing w:before="240" w:after="240" w:line="360" w:lineRule="auto"/>
        <w:jc w:val="both"/>
        <w:rPr>
          <w:rFonts w:ascii="Palatino Linotype" w:eastAsia="Palatino Linotype" w:hAnsi="Palatino Linotype" w:cs="Palatino Linotype"/>
          <w:sz w:val="24"/>
        </w:rPr>
      </w:pPr>
      <w:r w:rsidRPr="00A302BF">
        <w:rPr>
          <w:rFonts w:ascii="Palatino Linotype" w:eastAsia="Palatino Linotype" w:hAnsi="Palatino Linotype" w:cs="Palatino Linotype"/>
          <w:sz w:val="24"/>
        </w:rPr>
        <w:t xml:space="preserve">No pasa inadvertido para este Organismo Garante que los motivos de inconformidad aducidos, </w:t>
      </w:r>
      <w:r w:rsidR="005F624E" w:rsidRPr="00A302BF">
        <w:rPr>
          <w:rFonts w:ascii="Palatino Linotype" w:eastAsia="Palatino Linotype" w:hAnsi="Palatino Linotype" w:cs="Palatino Linotype"/>
          <w:sz w:val="24"/>
        </w:rPr>
        <w:t>se refieren específicamente a los contratos de obra pública, sin que expresara desacuerdo alguno por lo que se refiere al programa de obra del ejercicio 2025.</w:t>
      </w:r>
    </w:p>
    <w:p w14:paraId="2B190C00" w14:textId="77777777" w:rsidR="00F62AC5" w:rsidRPr="00A302BF" w:rsidRDefault="00F62AC5" w:rsidP="005F624E">
      <w:pP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t xml:space="preserve">En este orden de ideas, </w:t>
      </w:r>
      <w:r w:rsidR="005F624E" w:rsidRPr="00A302BF">
        <w:rPr>
          <w:rFonts w:ascii="Palatino Linotype" w:eastAsia="Palatino Linotype" w:hAnsi="Palatino Linotype" w:cs="Palatino Linotype"/>
          <w:sz w:val="24"/>
          <w:szCs w:val="24"/>
        </w:rPr>
        <w:t xml:space="preserve">al no haber impugnado la respuesta del </w:t>
      </w:r>
      <w:r w:rsidR="005F624E" w:rsidRPr="00A302BF">
        <w:rPr>
          <w:rFonts w:ascii="Palatino Linotype" w:eastAsia="Palatino Linotype" w:hAnsi="Palatino Linotype" w:cs="Palatino Linotype"/>
          <w:b/>
          <w:sz w:val="24"/>
          <w:szCs w:val="24"/>
        </w:rPr>
        <w:t xml:space="preserve">Sujeto Obligado, </w:t>
      </w:r>
      <w:r w:rsidR="005F624E" w:rsidRPr="00A302BF">
        <w:rPr>
          <w:rFonts w:ascii="Palatino Linotype" w:eastAsia="Palatino Linotype" w:hAnsi="Palatino Linotype" w:cs="Palatino Linotype"/>
          <w:sz w:val="24"/>
          <w:szCs w:val="24"/>
        </w:rPr>
        <w:t xml:space="preserve">por lo que se refiere al programa de obras del ejercicio 2025, </w:t>
      </w:r>
      <w:r w:rsidRPr="00A302BF">
        <w:rPr>
          <w:rFonts w:ascii="Palatino Linotype" w:eastAsia="Palatino Linotype" w:hAnsi="Palatino Linotype" w:cs="Palatino Linotype"/>
          <w:sz w:val="24"/>
          <w:szCs w:val="24"/>
        </w:rPr>
        <w:t>debe declararse consentida</w:t>
      </w:r>
      <w:r w:rsidR="005F624E" w:rsidRPr="00A302BF">
        <w:rPr>
          <w:rFonts w:ascii="Palatino Linotype" w:eastAsia="Palatino Linotype" w:hAnsi="Palatino Linotype" w:cs="Palatino Linotype"/>
          <w:sz w:val="24"/>
          <w:szCs w:val="24"/>
        </w:rPr>
        <w:t xml:space="preserve"> por lo que respecta a dicho punto</w:t>
      </w:r>
      <w:r w:rsidRPr="00A302BF">
        <w:rPr>
          <w:rFonts w:ascii="Palatino Linotype" w:eastAsia="Palatino Linotype" w:hAnsi="Palatino Linotype" w:cs="Palatino Linotype"/>
          <w:sz w:val="24"/>
          <w:szCs w:val="24"/>
        </w:rPr>
        <w:t xml:space="preserve">, toda vez que, al no haber realizado manifestaciones de inconformidad al respecto, no pueden producirse efectos jurídicos tendentes a revocar, confirmar o modificar el acto reclamado, ya que, en el caso concreto se infiere que la información proporcionada por el </w:t>
      </w:r>
      <w:r w:rsidRPr="00A302BF">
        <w:rPr>
          <w:rFonts w:ascii="Palatino Linotype" w:eastAsia="Palatino Linotype" w:hAnsi="Palatino Linotype" w:cs="Palatino Linotype"/>
          <w:b/>
          <w:sz w:val="24"/>
          <w:szCs w:val="24"/>
        </w:rPr>
        <w:t>Sujeto Obligado</w:t>
      </w:r>
      <w:r w:rsidRPr="00A302BF">
        <w:rPr>
          <w:rFonts w:ascii="Palatino Linotype" w:eastAsia="Palatino Linotype" w:hAnsi="Palatino Linotype" w:cs="Palatino Linotype"/>
          <w:sz w:val="24"/>
          <w:szCs w:val="24"/>
        </w:rPr>
        <w:t>, satisface la solicitud presentada, respecto de los requerimientos que no fueron combatidos.</w:t>
      </w:r>
    </w:p>
    <w:p w14:paraId="7AEE2CD8" w14:textId="77777777" w:rsidR="005F624E" w:rsidRPr="00A302BF" w:rsidRDefault="00F62AC5" w:rsidP="005F624E">
      <w:pP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t xml:space="preserve">Lo anterior es así, debido a que cuando la parte </w:t>
      </w:r>
      <w:r w:rsidRPr="00A302BF">
        <w:rPr>
          <w:rFonts w:ascii="Palatino Linotype" w:eastAsia="Palatino Linotype" w:hAnsi="Palatino Linotype" w:cs="Palatino Linotype"/>
          <w:b/>
          <w:sz w:val="24"/>
          <w:szCs w:val="24"/>
        </w:rPr>
        <w:t>Recurrente</w:t>
      </w:r>
      <w:r w:rsidRPr="00A302BF">
        <w:rPr>
          <w:rFonts w:ascii="Palatino Linotype" w:eastAsia="Palatino Linotype" w:hAnsi="Palatino Linotype" w:cs="Palatino Linotype"/>
          <w:sz w:val="24"/>
          <w:szCs w:val="24"/>
        </w:rPr>
        <w:t xml:space="preserve"> impugna la respuesta del </w:t>
      </w:r>
      <w:r w:rsidRPr="00A302BF">
        <w:rPr>
          <w:rFonts w:ascii="Palatino Linotype" w:eastAsia="Palatino Linotype" w:hAnsi="Palatino Linotype" w:cs="Palatino Linotype"/>
          <w:b/>
          <w:sz w:val="24"/>
          <w:szCs w:val="24"/>
        </w:rPr>
        <w:t>Sujeto Obligado</w:t>
      </w:r>
      <w:r w:rsidRPr="00A302BF">
        <w:rPr>
          <w:rFonts w:ascii="Palatino Linotype" w:eastAsia="Palatino Linotype" w:hAnsi="Palatino Linotype" w:cs="Palatino Linotype"/>
          <w:sz w:val="24"/>
          <w:szCs w:val="24"/>
        </w:rPr>
        <w:t>, y éste no expresa Razón o Motivo de Inconformidad en contra de todos los rubros solicitados, dichos rubros deben declararse atendidos, pues se entiende que la parte Recurrente ésta conforme con la información entregada al no contravenir la misma.</w:t>
      </w:r>
    </w:p>
    <w:p w14:paraId="1E3B5A4C" w14:textId="77777777" w:rsidR="00F62AC5" w:rsidRPr="00A302BF" w:rsidRDefault="00F62AC5" w:rsidP="005F624E">
      <w:pP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lastRenderedPageBreak/>
        <w:t>Sirve de Apoyo a lo anterior, por analogía la Tesis Jurisprudencial Número 3ª./J.7/91, Publicada en el Semanario Judicial de la Federación y su Gaceta bajo el número de registro 174,177, que establece lo siguiente:</w:t>
      </w:r>
    </w:p>
    <w:p w14:paraId="6603EAF3" w14:textId="77777777" w:rsidR="00F62AC5" w:rsidRPr="00A302BF" w:rsidRDefault="00F62AC5" w:rsidP="005F624E">
      <w:pPr>
        <w:spacing w:before="120" w:after="120" w:line="240" w:lineRule="auto"/>
        <w:ind w:left="851" w:right="902"/>
        <w:jc w:val="both"/>
        <w:rPr>
          <w:rFonts w:ascii="Palatino Linotype" w:eastAsia="Palatino Linotype" w:hAnsi="Palatino Linotype" w:cs="Palatino Linotype"/>
          <w:i/>
        </w:rPr>
      </w:pPr>
      <w:r w:rsidRPr="00A302BF">
        <w:rPr>
          <w:rFonts w:ascii="Palatino Linotype" w:eastAsia="Palatino Linotype" w:hAnsi="Palatino Linotype" w:cs="Palatino Linotype"/>
          <w:b/>
          <w:i/>
        </w:rPr>
        <w:t xml:space="preserve">“REVISIÓN EN AMPARO. LOS RESOLUTIVOS NO COMBATIDOS DEBEN DECLARARSE FIRMES. </w:t>
      </w:r>
      <w:r w:rsidRPr="00A302BF">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F596836" w14:textId="77777777" w:rsidR="00F62AC5" w:rsidRPr="00A302BF" w:rsidRDefault="00F62AC5" w:rsidP="005F624E">
      <w:pPr>
        <w:spacing w:before="240" w:after="240" w:line="360" w:lineRule="auto"/>
        <w:jc w:val="both"/>
        <w:rPr>
          <w:rFonts w:ascii="Palatino Linotype" w:eastAsia="Palatino Linotype" w:hAnsi="Palatino Linotype" w:cs="Palatino Linotype"/>
          <w:sz w:val="24"/>
          <w:szCs w:val="24"/>
        </w:rPr>
      </w:pPr>
      <w:bookmarkStart w:id="3" w:name="_Hlk96451588"/>
      <w:r w:rsidRPr="00A302BF">
        <w:rPr>
          <w:rFonts w:ascii="Palatino Linotype" w:eastAsia="Palatino Linotype" w:hAnsi="Palatino Linotype" w:cs="Palatino Linotype"/>
          <w:sz w:val="24"/>
          <w:szCs w:val="24"/>
        </w:rPr>
        <w:t>Consecuentemente, se insiste, ante la falta de impugnación eficaz, la respuesta entregada debe declararse consentida por persona solicitante.</w:t>
      </w:r>
    </w:p>
    <w:bookmarkEnd w:id="3"/>
    <w:p w14:paraId="63FFA3BA" w14:textId="77777777" w:rsidR="00F62AC5" w:rsidRPr="00A302BF" w:rsidRDefault="00F62AC5" w:rsidP="005F624E">
      <w:pPr>
        <w:spacing w:before="240" w:after="240" w:line="360" w:lineRule="auto"/>
        <w:jc w:val="both"/>
        <w:rPr>
          <w:rFonts w:ascii="Palatino Linotype" w:hAnsi="Palatino Linotype"/>
          <w:sz w:val="24"/>
          <w:szCs w:val="24"/>
        </w:rPr>
      </w:pPr>
      <w:r w:rsidRPr="00A302BF">
        <w:rPr>
          <w:rFonts w:ascii="Palatino Linotype" w:hAnsi="Palatino Linotype" w:cs="Arial"/>
          <w:sz w:val="24"/>
          <w:szCs w:val="24"/>
        </w:rPr>
        <w:t>Sirve de sustento lo plasmado en el Criterio de interpretación con clave de control</w:t>
      </w:r>
      <w:r w:rsidRPr="00A302BF">
        <w:rPr>
          <w:rFonts w:ascii="Palatino Linotype" w:hAnsi="Palatino Linotype"/>
          <w:sz w:val="24"/>
          <w:szCs w:val="24"/>
        </w:rPr>
        <w:t xml:space="preserve"> SO/001/2020, emitido por el Pleno del Instituto Nacional de Transparencia, Acceso a la Información, y Protección de Datos Personales, INAI, que lleva por rubro y texto, lo siguiente: </w:t>
      </w:r>
    </w:p>
    <w:p w14:paraId="6138F4AE" w14:textId="77777777" w:rsidR="00F62AC5" w:rsidRPr="00A302BF" w:rsidRDefault="00F62AC5" w:rsidP="00F62AC5">
      <w:pPr>
        <w:pStyle w:val="Sinespaciado"/>
        <w:spacing w:before="120" w:after="120"/>
        <w:ind w:left="851" w:right="902"/>
        <w:jc w:val="both"/>
        <w:rPr>
          <w:rFonts w:ascii="Palatino Linotype" w:hAnsi="Palatino Linotype"/>
          <w:i/>
          <w:iCs/>
        </w:rPr>
      </w:pPr>
      <w:r w:rsidRPr="00A302BF">
        <w:rPr>
          <w:rFonts w:ascii="Palatino Linotype" w:hAnsi="Palatino Linotype"/>
          <w:i/>
          <w:iCs/>
        </w:rPr>
        <w:t>“</w:t>
      </w:r>
      <w:r w:rsidRPr="00A302BF">
        <w:rPr>
          <w:rFonts w:ascii="Palatino Linotype" w:hAnsi="Palatino Linotype" w:cs="Arial"/>
          <w:b/>
          <w:i/>
          <w:iCs/>
        </w:rPr>
        <w:t xml:space="preserve">Actos consentidos tácitamente. Improcedencia de su análisis. </w:t>
      </w:r>
      <w:r w:rsidRPr="00A302BF">
        <w:rPr>
          <w:rFonts w:ascii="Palatino Linotype" w:hAnsi="Palatino Linotype" w:cs="Arial"/>
          <w:i/>
          <w:iCs/>
        </w:rPr>
        <w:t>Si en su recurso de revisión, la persona recurrente no expresó inconformidad alguna con ciertas partes de la respuesta otorgada, se entienden tácitamente consentidas, por ende, no deben formar parte del estudio de fondo de la resolución que emite el Instituto.</w:t>
      </w:r>
      <w:r w:rsidRPr="00A302BF">
        <w:rPr>
          <w:rFonts w:ascii="Palatino Linotype" w:hAnsi="Palatino Linotype"/>
          <w:i/>
          <w:iCs/>
        </w:rPr>
        <w:t>”</w:t>
      </w:r>
    </w:p>
    <w:p w14:paraId="610F9671" w14:textId="77777777" w:rsidR="00F62AC5" w:rsidRPr="00A302BF" w:rsidRDefault="00F62AC5" w:rsidP="00F62AC5">
      <w:pP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t>Asimismo, resulta aplicable por analogía la tesis jurisprudencial número VI.3o.C. J/60, publicada en el Semanario Judicial de la Federación y su Gaceta bajo el número de registro 176,608 que a la letra dice:</w:t>
      </w:r>
    </w:p>
    <w:p w14:paraId="2E0B6816" w14:textId="77777777" w:rsidR="00F62AC5" w:rsidRPr="00A302BF" w:rsidRDefault="00F62AC5" w:rsidP="00F62AC5">
      <w:pPr>
        <w:ind w:left="851" w:right="900"/>
        <w:jc w:val="both"/>
        <w:rPr>
          <w:rFonts w:ascii="Palatino Linotype" w:eastAsia="Palatino Linotype" w:hAnsi="Palatino Linotype" w:cs="Palatino Linotype"/>
          <w:i/>
        </w:rPr>
      </w:pPr>
      <w:r w:rsidRPr="00A302BF">
        <w:rPr>
          <w:rFonts w:ascii="Palatino Linotype" w:eastAsia="Palatino Linotype" w:hAnsi="Palatino Linotype" w:cs="Palatino Linotype"/>
          <w:b/>
          <w:i/>
          <w:smallCaps/>
        </w:rPr>
        <w:lastRenderedPageBreak/>
        <w:t xml:space="preserve">“ACTOS CONSENTIDOS. SON LOS QUE NO SE IMPUGNAN MEDIANTE EL RECURSO IDÓNEO. </w:t>
      </w:r>
      <w:r w:rsidRPr="00A302BF">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6A4D136" w14:textId="77777777" w:rsidR="005F624E" w:rsidRPr="00A302BF" w:rsidRDefault="005F624E" w:rsidP="005F624E">
      <w:pPr>
        <w:spacing w:line="360" w:lineRule="auto"/>
        <w:jc w:val="both"/>
        <w:rPr>
          <w:rFonts w:ascii="Palatino Linotype" w:eastAsia="Palatino Linotype" w:hAnsi="Palatino Linotype" w:cs="Palatino Linotype"/>
          <w:b/>
          <w:sz w:val="24"/>
          <w:szCs w:val="24"/>
        </w:rPr>
      </w:pPr>
      <w:r w:rsidRPr="00A302BF">
        <w:rPr>
          <w:rFonts w:ascii="Palatino Linotype" w:hAnsi="Palatino Linotype"/>
          <w:sz w:val="24"/>
          <w:szCs w:val="24"/>
        </w:rPr>
        <w:t>Ahora bien, d</w:t>
      </w:r>
      <w:r w:rsidR="009B03EE" w:rsidRPr="00A302BF">
        <w:rPr>
          <w:rFonts w:ascii="Palatino Linotype" w:eastAsia="Palatino Linotype" w:hAnsi="Palatino Linotype" w:cs="Palatino Linotype"/>
          <w:sz w:val="24"/>
          <w:szCs w:val="24"/>
        </w:rPr>
        <w:t xml:space="preserve">urante el periodo de manifestaciones el </w:t>
      </w:r>
      <w:r w:rsidRPr="00A302BF">
        <w:rPr>
          <w:rFonts w:ascii="Palatino Linotype" w:eastAsia="Palatino Linotype" w:hAnsi="Palatino Linotype" w:cs="Palatino Linotype"/>
          <w:b/>
          <w:sz w:val="24"/>
          <w:szCs w:val="24"/>
        </w:rPr>
        <w:t xml:space="preserve">Sujeto Obligado </w:t>
      </w:r>
      <w:r w:rsidRPr="00A302BF">
        <w:rPr>
          <w:rFonts w:ascii="Palatino Linotype" w:eastAsia="Palatino Linotype" w:hAnsi="Palatino Linotype" w:cs="Palatino Linotype"/>
          <w:sz w:val="24"/>
          <w:szCs w:val="24"/>
        </w:rPr>
        <w:t xml:space="preserve">ratificó en lo sustancial la respuesta proporcionada en primera instancia, puntualizando que en el transcurso del ejercicio 2025, </w:t>
      </w:r>
      <w:r w:rsidRPr="00A302BF">
        <w:rPr>
          <w:rFonts w:ascii="Palatino Linotype" w:hAnsi="Palatino Linotype"/>
          <w:sz w:val="24"/>
          <w:szCs w:val="24"/>
        </w:rPr>
        <w:t>no se habían generado, ni se administraban Contratos de Obras Públicas.</w:t>
      </w:r>
    </w:p>
    <w:p w14:paraId="7BFAC773" w14:textId="77777777" w:rsidR="00A315D8" w:rsidRPr="00A302BF" w:rsidRDefault="009B03EE">
      <w:pP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t xml:space="preserve">Dicha información se hizo del conocimiento de la parte </w:t>
      </w:r>
      <w:r w:rsidRPr="00A302BF">
        <w:rPr>
          <w:rFonts w:ascii="Palatino Linotype" w:eastAsia="Palatino Linotype" w:hAnsi="Palatino Linotype" w:cs="Palatino Linotype"/>
          <w:b/>
          <w:sz w:val="24"/>
          <w:szCs w:val="24"/>
        </w:rPr>
        <w:t xml:space="preserve">Recurrente, </w:t>
      </w:r>
      <w:r w:rsidRPr="00A302BF">
        <w:rPr>
          <w:rFonts w:ascii="Palatino Linotype" w:eastAsia="Palatino Linotype" w:hAnsi="Palatino Linotype" w:cs="Palatino Linotype"/>
          <w:sz w:val="24"/>
          <w:szCs w:val="24"/>
        </w:rPr>
        <w:t>sin embargo,  fue omisa en hacer valer manifestaciones o rendir alegatos que conforme a su derecho resultaran procedentes, por lo tanto se tiene por precluido su derecho.</w:t>
      </w:r>
    </w:p>
    <w:p w14:paraId="5EC287E1" w14:textId="77777777" w:rsidR="00A315D8" w:rsidRPr="00A302BF" w:rsidRDefault="009B03EE">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t xml:space="preserve">Una vez establecidas las posturas de las partes, se procede al análisis de los requerimientos de información, así como la información proporcionada por el </w:t>
      </w:r>
      <w:r w:rsidRPr="00A302BF">
        <w:rPr>
          <w:rFonts w:ascii="Palatino Linotype" w:eastAsia="Palatino Linotype" w:hAnsi="Palatino Linotype" w:cs="Palatino Linotype"/>
          <w:b/>
          <w:sz w:val="24"/>
          <w:szCs w:val="24"/>
        </w:rPr>
        <w:t xml:space="preserve">Sujeto Obligado, </w:t>
      </w:r>
      <w:r w:rsidRPr="00A302BF">
        <w:rPr>
          <w:rFonts w:ascii="Palatino Linotype" w:eastAsia="Palatino Linotype" w:hAnsi="Palatino Linotype" w:cs="Palatino Linotype"/>
          <w:sz w:val="24"/>
          <w:szCs w:val="24"/>
        </w:rPr>
        <w:t xml:space="preserve">en contraposición con el motivo de inconformidad alegado por la parte </w:t>
      </w:r>
      <w:r w:rsidRPr="00A302BF">
        <w:rPr>
          <w:rFonts w:ascii="Palatino Linotype" w:eastAsia="Palatino Linotype" w:hAnsi="Palatino Linotype" w:cs="Palatino Linotype"/>
          <w:b/>
          <w:sz w:val="24"/>
          <w:szCs w:val="24"/>
        </w:rPr>
        <w:t xml:space="preserve">Recurrente, </w:t>
      </w:r>
      <w:r w:rsidRPr="00A302BF">
        <w:rPr>
          <w:rFonts w:ascii="Palatino Linotype" w:eastAsia="Palatino Linotype" w:hAnsi="Palatino Linotype" w:cs="Palatino Linotype"/>
          <w:sz w:val="24"/>
          <w:szCs w:val="24"/>
        </w:rPr>
        <w:t>con la finalidad de determinar si el Derecho de acceso de esta se satisfizo, o, en su defecto, ordenar el soporte documental correspondiente, en caso de ser procedente.</w:t>
      </w:r>
    </w:p>
    <w:p w14:paraId="67E39B60" w14:textId="77777777" w:rsidR="00CD6B87" w:rsidRPr="00A302BF" w:rsidRDefault="009B03EE" w:rsidP="00CD6B87">
      <w:pPr>
        <w:spacing w:before="240" w:after="240" w:line="360" w:lineRule="auto"/>
        <w:ind w:right="49"/>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t xml:space="preserve">En este tenor, </w:t>
      </w:r>
      <w:r w:rsidR="00CD6B87" w:rsidRPr="00A302BF">
        <w:rPr>
          <w:rFonts w:ascii="Palatino Linotype" w:eastAsia="Palatino Linotype" w:hAnsi="Palatino Linotype" w:cs="Palatino Linotype"/>
          <w:sz w:val="24"/>
          <w:szCs w:val="24"/>
        </w:rPr>
        <w:t xml:space="preserve">en principio es imprescindible mencionar que las Unidades de Transparencia, son el área responsable en cada Sujeto Obligado para dar atención a las solicitudes de información que se realicen al amparo de la Ley, el responsable de </w:t>
      </w:r>
      <w:r w:rsidR="00CD6B87" w:rsidRPr="00A302BF">
        <w:rPr>
          <w:rFonts w:ascii="Palatino Linotype" w:eastAsia="Palatino Linotype" w:hAnsi="Palatino Linotype" w:cs="Palatino Linotype"/>
          <w:sz w:val="24"/>
          <w:szCs w:val="24"/>
        </w:rPr>
        <w:lastRenderedPageBreak/>
        <w:t>dicha área funge como enlace entre el Sujeto Obligado y los solicitantes, y tiene bajo su responsabilidad el tramitar internamente la solicitud de información.</w:t>
      </w:r>
    </w:p>
    <w:p w14:paraId="21CCAD82" w14:textId="77777777" w:rsidR="00CD6B87" w:rsidRPr="00A302BF" w:rsidRDefault="00CD6B87" w:rsidP="00CD6B87">
      <w:pP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t>De tal manera que, si bien el Titular de la Unidad de Transparencia no tiene bajo su resguardo el archivo que contiene la documentación en donde consta la información solicitada, esta puede obrar en las distintas áreas que conforman la estructura orgánica del Sujeto Obligado, es por ello que debe turnar la solicitud al servidor público habilitado que tiene bajo su resguardo la misma, de conformidad con los artículos 53, fracciones II y IV y 162 de la Ley de Transparencia y Acceso a la Información Pública del Estado de México y Municipios.</w:t>
      </w:r>
    </w:p>
    <w:p w14:paraId="442922D4" w14:textId="77777777" w:rsidR="00CD6B87" w:rsidRPr="00A302BF" w:rsidRDefault="00CD6B87" w:rsidP="00CD6B87">
      <w:pPr>
        <w:spacing w:before="240" w:after="240" w:line="360" w:lineRule="auto"/>
        <w:ind w:right="51"/>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t xml:space="preserve">Por su parte, los servidores públicos habilitados, quienes son designados por el titular de cada Sujeto Obligado derivado de la propuesta del responsable de la Unidad de Transparencia, son las personas encargadas dentro de las diversas unidades administrativas o áreas de los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teniendo como función buscar, localizar y en su caso entregar la información solicitada, así como integrar y presentar al responsable de la Unidad de Transparencia la propuesta de clasificación de información, la cual tendrá los fundamentos y argumentos en que se basa dicha propuesta y verificar, una vez analizado el contenido de la información, que no se encuentre en los supuestos de información clasificada, de conformidad con los artículos 3, fracción XXXIX, 58 y 59, </w:t>
      </w:r>
      <w:r w:rsidRPr="00A302BF">
        <w:rPr>
          <w:rFonts w:ascii="Palatino Linotype" w:eastAsia="Palatino Linotype" w:hAnsi="Palatino Linotype" w:cs="Palatino Linotype"/>
          <w:sz w:val="24"/>
          <w:szCs w:val="24"/>
        </w:rPr>
        <w:lastRenderedPageBreak/>
        <w:t>de la Ley de Transparencia y Acceso a la Información Pública del Estado de México y Municipios.</w:t>
      </w:r>
    </w:p>
    <w:p w14:paraId="7929E73E" w14:textId="77777777" w:rsidR="00CD6B87" w:rsidRPr="00A302BF" w:rsidRDefault="00CD6B87" w:rsidP="00CD6B87">
      <w:pP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t>De lo manifestado con antelación se advierte que la persona Titular de la Unidad de Transparencia debe garantizar que las solicitudes se turnen a todas las áreas competentes que puedan contar con la información, con el objeto de que los servidores públicos habilitados realicen la búsqueda exhaustiva y razonable de la información solicitada, y que una vez localizada, la misma sea proporcionada a las personas solicitantes atendiendo a la naturaleza jurídica de la misma.</w:t>
      </w:r>
    </w:p>
    <w:p w14:paraId="5799399F" w14:textId="77777777" w:rsidR="007267D9" w:rsidRPr="00A302BF" w:rsidRDefault="00CD6B87" w:rsidP="007267D9">
      <w:pPr>
        <w:spacing w:before="240" w:after="240" w:line="360" w:lineRule="auto"/>
        <w:ind w:right="49"/>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t>En esta línea de pensamiento, derivado del análisis de las constancias que obran en el expediente electrónico en el que se actúa, se advirtió que la Unidad de Transparencia, turnó la solicitud a la Dirección General de Obras Públicas</w:t>
      </w:r>
      <w:r w:rsidR="007267D9" w:rsidRPr="00A302BF">
        <w:rPr>
          <w:rFonts w:ascii="Palatino Linotype" w:eastAsia="Palatino Linotype" w:hAnsi="Palatino Linotype" w:cs="Palatino Linotype"/>
          <w:sz w:val="24"/>
          <w:szCs w:val="24"/>
        </w:rPr>
        <w:t xml:space="preserve"> y a la Dirección General de Administración como las áreas competentes para conocer de la información que es del interés de la persona solicitante. </w:t>
      </w:r>
    </w:p>
    <w:p w14:paraId="2C446B98" w14:textId="77777777" w:rsidR="00AE67BC" w:rsidRPr="00A302BF" w:rsidRDefault="00F02E40" w:rsidP="007267D9">
      <w:pPr>
        <w:spacing w:before="240" w:after="240" w:line="360" w:lineRule="auto"/>
        <w:ind w:right="49"/>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t xml:space="preserve">Al respecto, cabe mencionar que de conformidad con el </w:t>
      </w:r>
      <w:r w:rsidR="00AE67BC" w:rsidRPr="00A302BF">
        <w:rPr>
          <w:rFonts w:ascii="Palatino Linotype" w:eastAsia="Palatino Linotype" w:hAnsi="Palatino Linotype" w:cs="Palatino Linotype"/>
          <w:sz w:val="24"/>
          <w:szCs w:val="24"/>
        </w:rPr>
        <w:t>artículo 92, fracción VI del Bando Municipal de Toluca, 2025</w:t>
      </w:r>
      <w:r w:rsidRPr="00A302BF">
        <w:rPr>
          <w:rFonts w:ascii="Palatino Linotype" w:eastAsia="Palatino Linotype" w:hAnsi="Palatino Linotype" w:cs="Palatino Linotype"/>
          <w:sz w:val="24"/>
          <w:szCs w:val="24"/>
        </w:rPr>
        <w:t xml:space="preserve"> la Dirección General de Administración</w:t>
      </w:r>
      <w:r w:rsidR="00AE67BC" w:rsidRPr="00A302BF">
        <w:rPr>
          <w:rFonts w:ascii="Palatino Linotype" w:eastAsia="Palatino Linotype" w:hAnsi="Palatino Linotype" w:cs="Palatino Linotype"/>
          <w:sz w:val="24"/>
          <w:szCs w:val="24"/>
        </w:rPr>
        <w:t xml:space="preserve"> </w:t>
      </w:r>
      <w:r w:rsidR="00AE67BC" w:rsidRPr="00A302BF">
        <w:rPr>
          <w:rFonts w:ascii="Palatino Linotype" w:hAnsi="Palatino Linotype"/>
          <w:sz w:val="24"/>
          <w:szCs w:val="24"/>
        </w:rPr>
        <w:t xml:space="preserve">es responsable de la gestión integral del capital humano del Ayuntamiento, coordinando el reclutamiento, contratación, capacitación y desarrollo del personal, así como la aplicación de las disposiciones laborales y sindicales; supervisar la elaboración y distribución de la nómina, garantizando su apego a la normatividad y el presupuesto autorizado.; dirigir los procesos de adquisición, arrendamiento y contratación de servicios, asegurando la eficiencia y transparencia en el uso de los recursos públicos; administrar el parque vehicular, los bienes municipales y la </w:t>
      </w:r>
      <w:r w:rsidR="00AE67BC" w:rsidRPr="00A302BF">
        <w:rPr>
          <w:rFonts w:ascii="Palatino Linotype" w:hAnsi="Palatino Linotype"/>
          <w:sz w:val="24"/>
          <w:szCs w:val="24"/>
        </w:rPr>
        <w:lastRenderedPageBreak/>
        <w:t>logística de eventos públicos e implementar políticas de gobierno digital y normativas para el uso de tecnologías de la información, promoviendo la eficiencia operativa de la administración pública municipal.</w:t>
      </w:r>
    </w:p>
    <w:p w14:paraId="57E07019" w14:textId="77777777" w:rsidR="00F02E40" w:rsidRPr="00A302BF" w:rsidRDefault="00F02E40" w:rsidP="00CD6B87">
      <w:pPr>
        <w:pBdr>
          <w:top w:val="nil"/>
          <w:left w:val="nil"/>
          <w:bottom w:val="nil"/>
          <w:right w:val="nil"/>
          <w:between w:val="nil"/>
        </w:pBdr>
        <w:spacing w:before="240" w:after="240" w:line="360" w:lineRule="auto"/>
        <w:jc w:val="both"/>
        <w:rPr>
          <w:rFonts w:ascii="Palatino Linotype" w:hAnsi="Palatino Linotype"/>
          <w:sz w:val="24"/>
          <w:szCs w:val="24"/>
        </w:rPr>
      </w:pPr>
      <w:r w:rsidRPr="00A302BF">
        <w:rPr>
          <w:rFonts w:ascii="Palatino Linotype" w:eastAsia="Palatino Linotype" w:hAnsi="Palatino Linotype" w:cs="Palatino Linotype"/>
          <w:sz w:val="24"/>
          <w:szCs w:val="24"/>
        </w:rPr>
        <w:t>Por otro lado, la Dirección General de Obras Públicas, en términos de</w:t>
      </w:r>
      <w:r w:rsidR="00AE67BC" w:rsidRPr="00A302BF">
        <w:rPr>
          <w:rFonts w:ascii="Palatino Linotype" w:eastAsia="Palatino Linotype" w:hAnsi="Palatino Linotype" w:cs="Palatino Linotype"/>
          <w:sz w:val="24"/>
          <w:szCs w:val="24"/>
        </w:rPr>
        <w:t xml:space="preserve">l </w:t>
      </w:r>
      <w:r w:rsidRPr="00A302BF">
        <w:rPr>
          <w:rFonts w:ascii="Palatino Linotype" w:eastAsia="Palatino Linotype" w:hAnsi="Palatino Linotype" w:cs="Palatino Linotype"/>
          <w:sz w:val="24"/>
          <w:szCs w:val="24"/>
        </w:rPr>
        <w:t xml:space="preserve">artículo </w:t>
      </w:r>
      <w:r w:rsidR="00AE67BC" w:rsidRPr="00A302BF">
        <w:rPr>
          <w:rFonts w:ascii="Palatino Linotype" w:eastAsia="Palatino Linotype" w:hAnsi="Palatino Linotype" w:cs="Palatino Linotype"/>
          <w:sz w:val="24"/>
          <w:szCs w:val="24"/>
        </w:rPr>
        <w:t xml:space="preserve">92, fracción X del Bando Municipal de Toluca, 2025 es responsable de </w:t>
      </w:r>
      <w:r w:rsidRPr="00A302BF">
        <w:rPr>
          <w:rFonts w:ascii="Palatino Linotype" w:hAnsi="Palatino Linotype"/>
          <w:b/>
          <w:sz w:val="24"/>
          <w:szCs w:val="24"/>
        </w:rPr>
        <w:t xml:space="preserve">coordinar la planificación y ejecución del Programa Anual de Obra Pública </w:t>
      </w:r>
      <w:r w:rsidRPr="00A302BF">
        <w:rPr>
          <w:rFonts w:ascii="Palatino Linotype" w:hAnsi="Palatino Linotype"/>
          <w:sz w:val="24"/>
          <w:szCs w:val="24"/>
        </w:rPr>
        <w:t>en alineación con e</w:t>
      </w:r>
      <w:r w:rsidR="00AE67BC" w:rsidRPr="00A302BF">
        <w:rPr>
          <w:rFonts w:ascii="Palatino Linotype" w:hAnsi="Palatino Linotype"/>
          <w:sz w:val="24"/>
          <w:szCs w:val="24"/>
        </w:rPr>
        <w:t xml:space="preserve">l Plan de Desarrollo Municipal, además de llevar a cabo </w:t>
      </w:r>
      <w:r w:rsidRPr="00A302BF">
        <w:rPr>
          <w:rFonts w:ascii="Palatino Linotype" w:hAnsi="Palatino Linotype"/>
          <w:b/>
          <w:sz w:val="24"/>
          <w:szCs w:val="24"/>
          <w:u w:val="single"/>
        </w:rPr>
        <w:t>la presupuestación, adjudicación, contratación, ejecución y supervisión de la obra pública municipal,</w:t>
      </w:r>
      <w:r w:rsidRPr="00A302BF">
        <w:rPr>
          <w:rFonts w:ascii="Palatino Linotype" w:hAnsi="Palatino Linotype"/>
          <w:sz w:val="24"/>
          <w:szCs w:val="24"/>
        </w:rPr>
        <w:t xml:space="preserve"> así como en su caso, la rescisión y/o terminación anticipada de contratos de obra pública.</w:t>
      </w:r>
    </w:p>
    <w:p w14:paraId="58394CAB" w14:textId="77777777" w:rsidR="0080567D" w:rsidRPr="00A302BF" w:rsidRDefault="0080567D" w:rsidP="00CD6B87">
      <w:pPr>
        <w:pBdr>
          <w:top w:val="nil"/>
          <w:left w:val="nil"/>
          <w:bottom w:val="nil"/>
          <w:right w:val="nil"/>
          <w:between w:val="nil"/>
        </w:pBdr>
        <w:spacing w:before="240" w:after="240" w:line="360" w:lineRule="auto"/>
        <w:jc w:val="both"/>
        <w:rPr>
          <w:rFonts w:ascii="Palatino Linotype" w:hAnsi="Palatino Linotype"/>
          <w:sz w:val="24"/>
          <w:szCs w:val="24"/>
        </w:rPr>
      </w:pPr>
      <w:r w:rsidRPr="00A302BF">
        <w:rPr>
          <w:rFonts w:ascii="Palatino Linotype" w:hAnsi="Palatino Linotype"/>
          <w:sz w:val="24"/>
          <w:szCs w:val="24"/>
        </w:rPr>
        <w:t xml:space="preserve">En el mismo tenor, el artículo 96 Bis de la Ley Orgánica Municipal del Estado de México, dispone que el Director de Obras </w:t>
      </w:r>
      <w:r w:rsidR="0095646A" w:rsidRPr="00A302BF">
        <w:rPr>
          <w:rFonts w:ascii="Palatino Linotype" w:hAnsi="Palatino Linotype"/>
          <w:sz w:val="24"/>
          <w:szCs w:val="24"/>
        </w:rPr>
        <w:t xml:space="preserve">Públicas </w:t>
      </w:r>
      <w:r w:rsidR="00D56731" w:rsidRPr="00A302BF">
        <w:rPr>
          <w:rFonts w:ascii="Palatino Linotype" w:hAnsi="Palatino Linotype"/>
          <w:sz w:val="24"/>
          <w:szCs w:val="24"/>
        </w:rPr>
        <w:t>tiene a su cargo, las siguientes atribuciones en su parte conducente:</w:t>
      </w:r>
    </w:p>
    <w:p w14:paraId="293F10F1" w14:textId="77777777" w:rsidR="00D56731" w:rsidRPr="00A302BF" w:rsidRDefault="00D56731" w:rsidP="00D56731">
      <w:pPr>
        <w:pBdr>
          <w:top w:val="nil"/>
          <w:left w:val="nil"/>
          <w:bottom w:val="nil"/>
          <w:right w:val="nil"/>
          <w:between w:val="nil"/>
        </w:pBdr>
        <w:spacing w:before="240" w:after="240" w:line="360" w:lineRule="auto"/>
        <w:ind w:left="284"/>
        <w:jc w:val="both"/>
        <w:rPr>
          <w:rFonts w:ascii="Palatino Linotype" w:hAnsi="Palatino Linotype"/>
          <w:sz w:val="24"/>
          <w:szCs w:val="24"/>
        </w:rPr>
      </w:pPr>
      <w:r w:rsidRPr="00A302BF">
        <w:rPr>
          <w:rFonts w:ascii="Palatino Linotype" w:hAnsi="Palatino Linotype"/>
        </w:rPr>
        <w:t xml:space="preserve">- </w:t>
      </w:r>
      <w:r w:rsidRPr="00A302BF">
        <w:rPr>
          <w:rFonts w:ascii="Palatino Linotype" w:hAnsi="Palatino Linotype"/>
          <w:sz w:val="24"/>
          <w:szCs w:val="24"/>
        </w:rPr>
        <w:t xml:space="preserve">Realizar la programación y ejecución de las obras públicas y servicios relacionados, que por orden expresa del Ayuntamiento requieran prioridad; </w:t>
      </w:r>
    </w:p>
    <w:p w14:paraId="7379B8B3" w14:textId="77777777" w:rsidR="00D56731" w:rsidRPr="00A302BF" w:rsidRDefault="00D56731" w:rsidP="00D56731">
      <w:pPr>
        <w:pBdr>
          <w:top w:val="nil"/>
          <w:left w:val="nil"/>
          <w:bottom w:val="nil"/>
          <w:right w:val="nil"/>
          <w:between w:val="nil"/>
        </w:pBdr>
        <w:spacing w:before="240" w:after="240" w:line="360" w:lineRule="auto"/>
        <w:ind w:left="284"/>
        <w:jc w:val="both"/>
        <w:rPr>
          <w:rFonts w:ascii="Palatino Linotype" w:hAnsi="Palatino Linotype"/>
          <w:sz w:val="24"/>
          <w:szCs w:val="24"/>
        </w:rPr>
      </w:pPr>
      <w:r w:rsidRPr="00A302BF">
        <w:rPr>
          <w:rFonts w:ascii="Palatino Linotype" w:hAnsi="Palatino Linotype"/>
          <w:sz w:val="24"/>
          <w:szCs w:val="24"/>
        </w:rPr>
        <w:t>- Planear y coordinar los proyectos de obras públicas y servicios relacionados con las mismas que autorice el Ayuntamiento, una vez que se cumplan los requisitos de licitación y otros que determine la ley de la materia;</w:t>
      </w:r>
    </w:p>
    <w:p w14:paraId="1FAFB25A" w14:textId="77777777" w:rsidR="00D56731" w:rsidRPr="00A302BF" w:rsidRDefault="00D56731" w:rsidP="00D56731">
      <w:pPr>
        <w:pBdr>
          <w:top w:val="nil"/>
          <w:left w:val="nil"/>
          <w:bottom w:val="nil"/>
          <w:right w:val="nil"/>
          <w:between w:val="nil"/>
        </w:pBdr>
        <w:spacing w:before="240" w:after="240" w:line="360" w:lineRule="auto"/>
        <w:ind w:left="284"/>
        <w:jc w:val="both"/>
        <w:rPr>
          <w:rFonts w:ascii="Palatino Linotype" w:hAnsi="Palatino Linotype"/>
          <w:sz w:val="24"/>
          <w:szCs w:val="24"/>
        </w:rPr>
      </w:pPr>
      <w:r w:rsidRPr="00A302BF">
        <w:rPr>
          <w:rFonts w:ascii="Palatino Linotype" w:hAnsi="Palatino Linotype"/>
          <w:sz w:val="24"/>
          <w:szCs w:val="24"/>
        </w:rPr>
        <w:t>- Proyectar las obras públicas y servicios relacionados, que realice el Municipio, incluyendo la conservación y mantenimiento de edificios, monumentos, calles, parques y jardines;</w:t>
      </w:r>
    </w:p>
    <w:p w14:paraId="3259DBF8" w14:textId="77777777" w:rsidR="00D56731" w:rsidRPr="00A302BF" w:rsidRDefault="00D56731" w:rsidP="00D56731">
      <w:pPr>
        <w:pBdr>
          <w:top w:val="nil"/>
          <w:left w:val="nil"/>
          <w:bottom w:val="nil"/>
          <w:right w:val="nil"/>
          <w:between w:val="nil"/>
        </w:pBdr>
        <w:spacing w:before="240" w:after="240" w:line="360" w:lineRule="auto"/>
        <w:ind w:left="284"/>
        <w:jc w:val="both"/>
        <w:rPr>
          <w:rFonts w:ascii="Palatino Linotype" w:hAnsi="Palatino Linotype"/>
          <w:sz w:val="24"/>
          <w:szCs w:val="24"/>
        </w:rPr>
      </w:pPr>
      <w:r w:rsidRPr="00A302BF">
        <w:rPr>
          <w:rFonts w:ascii="Palatino Linotype" w:hAnsi="Palatino Linotype"/>
          <w:sz w:val="24"/>
          <w:szCs w:val="24"/>
        </w:rPr>
        <w:lastRenderedPageBreak/>
        <w:t xml:space="preserve">- Construir y ejecutar todas aquellas obras públicas y servicios relacionados, que aumenten y mantengan la infraestructura municipal y que estén consideradas en el programa respectivo; V. Determinar y cuantificar los materiales y trabajos necesarios para programas de construcción y mantenimiento de obras públicas y servicios relacionados; </w:t>
      </w:r>
    </w:p>
    <w:p w14:paraId="3C58988E" w14:textId="77777777" w:rsidR="00D56731" w:rsidRPr="00A302BF" w:rsidRDefault="00D56731" w:rsidP="00D56731">
      <w:pPr>
        <w:pBdr>
          <w:top w:val="nil"/>
          <w:left w:val="nil"/>
          <w:bottom w:val="nil"/>
          <w:right w:val="nil"/>
          <w:between w:val="nil"/>
        </w:pBdr>
        <w:spacing w:before="240" w:after="240" w:line="360" w:lineRule="auto"/>
        <w:ind w:left="284"/>
        <w:jc w:val="both"/>
        <w:rPr>
          <w:rFonts w:ascii="Palatino Linotype" w:hAnsi="Palatino Linotype"/>
          <w:sz w:val="24"/>
          <w:szCs w:val="24"/>
        </w:rPr>
      </w:pPr>
      <w:r w:rsidRPr="00A302BF">
        <w:rPr>
          <w:rFonts w:ascii="Palatino Linotype" w:hAnsi="Palatino Linotype"/>
          <w:sz w:val="24"/>
          <w:szCs w:val="24"/>
        </w:rPr>
        <w:t>- Vigilar que se cumplan y lleven a cabo los programas de construcción y mantenimiento de obras públicas y servicios relacionados;</w:t>
      </w:r>
    </w:p>
    <w:p w14:paraId="2DE142CC" w14:textId="77777777" w:rsidR="00D56731" w:rsidRPr="00A302BF" w:rsidRDefault="00D56731" w:rsidP="00D56731">
      <w:pPr>
        <w:pBdr>
          <w:top w:val="nil"/>
          <w:left w:val="nil"/>
          <w:bottom w:val="nil"/>
          <w:right w:val="nil"/>
          <w:between w:val="nil"/>
        </w:pBdr>
        <w:spacing w:before="240" w:after="240" w:line="360" w:lineRule="auto"/>
        <w:ind w:left="284"/>
        <w:jc w:val="both"/>
        <w:rPr>
          <w:rFonts w:ascii="Palatino Linotype" w:hAnsi="Palatino Linotype"/>
          <w:sz w:val="24"/>
          <w:szCs w:val="24"/>
        </w:rPr>
      </w:pPr>
      <w:r w:rsidRPr="00A302BF">
        <w:rPr>
          <w:rFonts w:ascii="Palatino Linotype" w:hAnsi="Palatino Linotype"/>
          <w:sz w:val="24"/>
          <w:szCs w:val="24"/>
        </w:rPr>
        <w:t>- Vigilar la construcción en las obras por contrato y por administración que hayan sido adjudicadas a los contratistas; IX. Administrar y ejercer, en el ámbito de su competencia, de manera coordinada con el Tesorero municipal, los recursos públicos destinados a la planeación, programación, presupuestación, adjudicación, contratación, ejecución y control de la obra pública, conforme a las disposiciones legales aplicables y en congruencia con los planes, programas, especificaciones técnicas, controles y procedimientos administrativos aprobados;</w:t>
      </w:r>
    </w:p>
    <w:p w14:paraId="35CC6354" w14:textId="77777777" w:rsidR="00D56731" w:rsidRPr="00A302BF" w:rsidRDefault="00D56731" w:rsidP="00D56731">
      <w:pPr>
        <w:pBdr>
          <w:top w:val="nil"/>
          <w:left w:val="nil"/>
          <w:bottom w:val="nil"/>
          <w:right w:val="nil"/>
          <w:between w:val="nil"/>
        </w:pBdr>
        <w:spacing w:before="240" w:after="240" w:line="360" w:lineRule="auto"/>
        <w:ind w:left="284"/>
        <w:jc w:val="both"/>
        <w:rPr>
          <w:rFonts w:ascii="Palatino Linotype" w:hAnsi="Palatino Linotype"/>
          <w:sz w:val="24"/>
          <w:szCs w:val="24"/>
        </w:rPr>
      </w:pPr>
      <w:r w:rsidRPr="00A302BF">
        <w:rPr>
          <w:rFonts w:ascii="Palatino Linotype" w:hAnsi="Palatino Linotype"/>
          <w:sz w:val="24"/>
          <w:szCs w:val="24"/>
        </w:rPr>
        <w:t>- Verificar que las obras públicas y los servicios relacionados con la misma, hayan sido programadas, presupuestadas, ejecutadas, adquiridas y contratadas en estricto apego a las disposiciones legales aplicables;</w:t>
      </w:r>
    </w:p>
    <w:p w14:paraId="7D0B5179" w14:textId="77777777" w:rsidR="00D56731" w:rsidRPr="00A302BF" w:rsidRDefault="00D56731" w:rsidP="00D56731">
      <w:pPr>
        <w:pBdr>
          <w:top w:val="nil"/>
          <w:left w:val="nil"/>
          <w:bottom w:val="nil"/>
          <w:right w:val="nil"/>
          <w:between w:val="nil"/>
        </w:pBdr>
        <w:spacing w:before="240" w:after="240" w:line="360" w:lineRule="auto"/>
        <w:ind w:left="284"/>
        <w:jc w:val="both"/>
        <w:rPr>
          <w:rFonts w:ascii="Palatino Linotype" w:hAnsi="Palatino Linotype"/>
          <w:sz w:val="24"/>
          <w:szCs w:val="24"/>
        </w:rPr>
      </w:pPr>
      <w:r w:rsidRPr="00A302BF">
        <w:rPr>
          <w:rFonts w:ascii="Palatino Linotype" w:hAnsi="Palatino Linotype"/>
          <w:sz w:val="24"/>
          <w:szCs w:val="24"/>
        </w:rPr>
        <w:t>- Autorizar para su pago, previa validación del avance y calidad de las obras, los presupuestos y estimaciones que presenten los contratistas de obras públicas municipales;</w:t>
      </w:r>
    </w:p>
    <w:p w14:paraId="3641857F" w14:textId="77777777" w:rsidR="00D56731" w:rsidRPr="00A302BF" w:rsidRDefault="00D8748C" w:rsidP="00D56731">
      <w:pPr>
        <w:pBdr>
          <w:top w:val="nil"/>
          <w:left w:val="nil"/>
          <w:bottom w:val="nil"/>
          <w:right w:val="nil"/>
          <w:between w:val="nil"/>
        </w:pBdr>
        <w:spacing w:before="240" w:after="240" w:line="360" w:lineRule="auto"/>
        <w:jc w:val="both"/>
        <w:rPr>
          <w:rFonts w:ascii="Palatino Linotype" w:hAnsi="Palatino Linotype"/>
          <w:sz w:val="24"/>
          <w:szCs w:val="24"/>
        </w:rPr>
      </w:pPr>
      <w:r w:rsidRPr="00A302BF">
        <w:rPr>
          <w:rFonts w:ascii="Palatino Linotype" w:hAnsi="Palatino Linotype"/>
          <w:sz w:val="24"/>
          <w:szCs w:val="24"/>
        </w:rPr>
        <w:lastRenderedPageBreak/>
        <w:t xml:space="preserve">Asimismo, no obsta mencionar que, de conformidad con </w:t>
      </w:r>
      <w:r w:rsidR="00D56731" w:rsidRPr="00A302BF">
        <w:rPr>
          <w:rFonts w:ascii="Palatino Linotype" w:hAnsi="Palatino Linotype"/>
          <w:sz w:val="24"/>
          <w:szCs w:val="24"/>
        </w:rPr>
        <w:t>los</w:t>
      </w:r>
      <w:r w:rsidRPr="00A302BF">
        <w:rPr>
          <w:rFonts w:ascii="Palatino Linotype" w:hAnsi="Palatino Linotype"/>
          <w:sz w:val="24"/>
          <w:szCs w:val="24"/>
        </w:rPr>
        <w:t xml:space="preserve"> artículo</w:t>
      </w:r>
      <w:r w:rsidR="00D56731" w:rsidRPr="00A302BF">
        <w:rPr>
          <w:rFonts w:ascii="Palatino Linotype" w:hAnsi="Palatino Linotype"/>
          <w:sz w:val="24"/>
          <w:szCs w:val="24"/>
        </w:rPr>
        <w:t>s</w:t>
      </w:r>
      <w:r w:rsidRPr="00A302BF">
        <w:rPr>
          <w:rFonts w:ascii="Palatino Linotype" w:hAnsi="Palatino Linotype"/>
          <w:sz w:val="24"/>
          <w:szCs w:val="24"/>
        </w:rPr>
        <w:t xml:space="preserve"> 12.4</w:t>
      </w:r>
      <w:r w:rsidR="00D56731" w:rsidRPr="00A302BF">
        <w:rPr>
          <w:rFonts w:ascii="Palatino Linotype" w:hAnsi="Palatino Linotype"/>
          <w:sz w:val="24"/>
          <w:szCs w:val="24"/>
        </w:rPr>
        <w:t xml:space="preserve"> y 12.5</w:t>
      </w:r>
      <w:r w:rsidRPr="00A302BF">
        <w:rPr>
          <w:rFonts w:ascii="Palatino Linotype" w:hAnsi="Palatino Linotype"/>
          <w:sz w:val="24"/>
          <w:szCs w:val="24"/>
        </w:rPr>
        <w:t xml:space="preserve"> del </w:t>
      </w:r>
      <w:r w:rsidR="0080567D" w:rsidRPr="00A302BF">
        <w:rPr>
          <w:rFonts w:ascii="Palatino Linotype" w:hAnsi="Palatino Linotype"/>
          <w:sz w:val="24"/>
          <w:szCs w:val="24"/>
        </w:rPr>
        <w:t>C</w:t>
      </w:r>
      <w:r w:rsidRPr="00A302BF">
        <w:rPr>
          <w:rFonts w:ascii="Palatino Linotype" w:hAnsi="Palatino Linotype"/>
          <w:sz w:val="24"/>
          <w:szCs w:val="24"/>
        </w:rPr>
        <w:t>ódigo</w:t>
      </w:r>
      <w:r w:rsidR="0080567D" w:rsidRPr="00A302BF">
        <w:rPr>
          <w:rFonts w:ascii="Palatino Linotype" w:hAnsi="Palatino Linotype"/>
          <w:sz w:val="24"/>
          <w:szCs w:val="24"/>
        </w:rPr>
        <w:t xml:space="preserve"> Administrativo del Estado de México, se considera obra pública todo trabajo que tenga por objeto principal construir, instalar, ampliar, adecuar, remodelar, restaurar, conservar, mantener, modificar o demoler bienes inmuebles propiedad del Estado, de sus dependencias y entidades y de los municipios y sus organismos con cargo a recursos públicos estatales o municipales</w:t>
      </w:r>
      <w:r w:rsidR="00D56731" w:rsidRPr="00A302BF">
        <w:rPr>
          <w:rFonts w:ascii="Palatino Linotype" w:hAnsi="Palatino Linotype"/>
          <w:sz w:val="24"/>
          <w:szCs w:val="24"/>
        </w:rPr>
        <w:t xml:space="preserve">; y por servicios relacionados con la obra pública, los trabajos que tengan por objeto concebir, diseñar y calcular los elementos que integran un proyecto de obra pública; las investigaciones, estudios, asesorías y consultorías que se vinculen con los actos que regula el Libro Décimo Segundo del Código, la dirección y supervisión de la ejecución de las obras y los estudios que tengan por objeto principal rehabilitar, corregir o incrementar la eficiencia de las instalaciones con excepción de los trabajos regulados por el Libro Décimo Sexto del Código. </w:t>
      </w:r>
    </w:p>
    <w:p w14:paraId="0AAB1A67" w14:textId="77777777" w:rsidR="00D56731" w:rsidRPr="00A302BF" w:rsidRDefault="00AE67BC" w:rsidP="00D56731">
      <w:pPr>
        <w:spacing w:before="240" w:after="240" w:line="360" w:lineRule="auto"/>
        <w:jc w:val="both"/>
        <w:rPr>
          <w:rFonts w:ascii="Palatino Linotype" w:eastAsia="Palatino Linotype" w:hAnsi="Palatino Linotype" w:cs="Palatino Linotype"/>
          <w:sz w:val="24"/>
          <w:szCs w:val="24"/>
        </w:rPr>
      </w:pPr>
      <w:r w:rsidRPr="00A302BF">
        <w:rPr>
          <w:rFonts w:ascii="Palatino Linotype" w:hAnsi="Palatino Linotype"/>
          <w:sz w:val="24"/>
          <w:szCs w:val="24"/>
        </w:rPr>
        <w:t>Con base en lo previo, se colige que</w:t>
      </w:r>
      <w:r w:rsidR="00D56731" w:rsidRPr="00A302BF">
        <w:rPr>
          <w:rFonts w:ascii="Palatino Linotype" w:hAnsi="Palatino Linotype"/>
          <w:sz w:val="24"/>
          <w:szCs w:val="24"/>
        </w:rPr>
        <w:t xml:space="preserve"> </w:t>
      </w:r>
      <w:r w:rsidRPr="00A302BF">
        <w:rPr>
          <w:rFonts w:ascii="Palatino Linotype" w:hAnsi="Palatino Linotype"/>
          <w:sz w:val="24"/>
          <w:szCs w:val="24"/>
        </w:rPr>
        <w:t xml:space="preserve">la </w:t>
      </w:r>
      <w:r w:rsidRPr="00A302BF">
        <w:rPr>
          <w:rFonts w:ascii="Palatino Linotype" w:eastAsia="Palatino Linotype" w:hAnsi="Palatino Linotype" w:cs="Palatino Linotype"/>
          <w:sz w:val="24"/>
          <w:szCs w:val="24"/>
        </w:rPr>
        <w:t>Dirección General de Obras Públicas es el área competente para conocer la información que es del interés de la persona solicitante</w:t>
      </w:r>
      <w:r w:rsidR="00D56731" w:rsidRPr="00A302BF">
        <w:rPr>
          <w:rFonts w:ascii="Palatino Linotype" w:eastAsia="Palatino Linotype" w:hAnsi="Palatino Linotype" w:cs="Palatino Linotype"/>
          <w:sz w:val="24"/>
          <w:szCs w:val="24"/>
        </w:rPr>
        <w:t>, por lo tanto, que se atendió el procedimiento de búsqueda, el cual se constituye como la garantía primaria del derecho humano de acceso a la información pública, el cual se rige por los principios de simplicidad, rapidez, gratuidad del procedimiento, auxilio y orientación a las personas solicitantes con el fin de otorgar la protección más amplia de éste derecho.</w:t>
      </w:r>
    </w:p>
    <w:p w14:paraId="61209CE9" w14:textId="405C877C" w:rsidR="00CE41E1" w:rsidRPr="00A302BF" w:rsidRDefault="00AE67BC" w:rsidP="00CE41E1">
      <w:pPr>
        <w:pBdr>
          <w:top w:val="nil"/>
          <w:left w:val="nil"/>
          <w:bottom w:val="nil"/>
          <w:right w:val="nil"/>
          <w:between w:val="nil"/>
        </w:pBdr>
        <w:spacing w:before="240" w:after="240" w:line="360" w:lineRule="auto"/>
        <w:jc w:val="both"/>
        <w:rPr>
          <w:rFonts w:ascii="Palatino Linotype" w:hAnsi="Palatino Linotype" w:cs="Arial"/>
          <w:sz w:val="24"/>
        </w:rPr>
      </w:pPr>
      <w:r w:rsidRPr="00A302BF">
        <w:rPr>
          <w:rFonts w:ascii="Palatino Linotype" w:eastAsia="Palatino Linotype" w:hAnsi="Palatino Linotype" w:cs="Palatino Linotype"/>
          <w:sz w:val="24"/>
          <w:szCs w:val="24"/>
        </w:rPr>
        <w:t>En este orden de ideas,</w:t>
      </w:r>
      <w:r w:rsidR="00D8748C" w:rsidRPr="00A302BF">
        <w:rPr>
          <w:rFonts w:ascii="Palatino Linotype" w:eastAsia="Palatino Linotype" w:hAnsi="Palatino Linotype" w:cs="Palatino Linotype"/>
          <w:sz w:val="24"/>
          <w:szCs w:val="24"/>
        </w:rPr>
        <w:t xml:space="preserve"> recordemos que en atención a las solicitudes de información, el servidor público habilitado</w:t>
      </w:r>
      <w:r w:rsidR="00CE41E1" w:rsidRPr="00A302BF">
        <w:rPr>
          <w:rFonts w:ascii="Palatino Linotype" w:eastAsia="Palatino Linotype" w:hAnsi="Palatino Linotype" w:cs="Palatino Linotype"/>
          <w:sz w:val="24"/>
          <w:szCs w:val="24"/>
        </w:rPr>
        <w:t xml:space="preserve"> de la Dirección General de Obras Públicas</w:t>
      </w:r>
      <w:r w:rsidR="00D8748C" w:rsidRPr="00A302BF">
        <w:rPr>
          <w:rFonts w:ascii="Palatino Linotype" w:eastAsia="Palatino Linotype" w:hAnsi="Palatino Linotype" w:cs="Palatino Linotype"/>
          <w:sz w:val="24"/>
          <w:szCs w:val="24"/>
        </w:rPr>
        <w:t xml:space="preserve"> manifestó </w:t>
      </w:r>
      <w:r w:rsidR="00D8748C" w:rsidRPr="00A302BF">
        <w:rPr>
          <w:rFonts w:ascii="Palatino Linotype" w:eastAsia="Palatino Linotype" w:hAnsi="Palatino Linotype" w:cs="Palatino Linotype"/>
          <w:sz w:val="24"/>
          <w:szCs w:val="24"/>
        </w:rPr>
        <w:lastRenderedPageBreak/>
        <w:t xml:space="preserve">que el </w:t>
      </w:r>
      <w:r w:rsidR="00D8748C" w:rsidRPr="00A302BF">
        <w:rPr>
          <w:rFonts w:ascii="Palatino Linotype" w:eastAsia="Palatino Linotype" w:hAnsi="Palatino Linotype" w:cs="Palatino Linotype"/>
          <w:b/>
          <w:sz w:val="24"/>
          <w:szCs w:val="24"/>
        </w:rPr>
        <w:t>Sujeto Obligado</w:t>
      </w:r>
      <w:r w:rsidR="00D8748C" w:rsidRPr="00A302BF">
        <w:rPr>
          <w:rFonts w:ascii="Palatino Linotype" w:eastAsia="Palatino Linotype" w:hAnsi="Palatino Linotype" w:cs="Palatino Linotype"/>
          <w:sz w:val="24"/>
          <w:szCs w:val="24"/>
        </w:rPr>
        <w:t xml:space="preserve"> no se encontraba </w:t>
      </w:r>
      <w:r w:rsidR="00D56731" w:rsidRPr="00A302BF">
        <w:rPr>
          <w:rFonts w:ascii="Palatino Linotype" w:eastAsia="Palatino Linotype" w:hAnsi="Palatino Linotype" w:cs="Palatino Linotype"/>
          <w:sz w:val="24"/>
          <w:szCs w:val="24"/>
        </w:rPr>
        <w:t xml:space="preserve">en posibilidad de entregar la información requerida, al no haber generado, ni administrar documento alguno que </w:t>
      </w:r>
      <w:r w:rsidR="00DC562E" w:rsidRPr="00A302BF">
        <w:rPr>
          <w:rFonts w:ascii="Palatino Linotype" w:eastAsia="Palatino Linotype" w:hAnsi="Palatino Linotype" w:cs="Palatino Linotype"/>
          <w:sz w:val="24"/>
          <w:szCs w:val="24"/>
        </w:rPr>
        <w:t>dé</w:t>
      </w:r>
      <w:r w:rsidR="00D56731" w:rsidRPr="00A302BF">
        <w:rPr>
          <w:rFonts w:ascii="Palatino Linotype" w:eastAsia="Palatino Linotype" w:hAnsi="Palatino Linotype" w:cs="Palatino Linotype"/>
          <w:sz w:val="24"/>
          <w:szCs w:val="24"/>
        </w:rPr>
        <w:t xml:space="preserve"> cuenta de lo solicitado derivado de la búsqueda exhaustiva y razonable efectuada en los archivos de las áre</w:t>
      </w:r>
      <w:r w:rsidR="00CE41E1" w:rsidRPr="00A302BF">
        <w:rPr>
          <w:rFonts w:ascii="Palatino Linotype" w:eastAsia="Palatino Linotype" w:hAnsi="Palatino Linotype" w:cs="Palatino Linotype"/>
          <w:sz w:val="24"/>
          <w:szCs w:val="24"/>
        </w:rPr>
        <w:t xml:space="preserve">as a su cargo, lo cual </w:t>
      </w:r>
      <w:r w:rsidR="00CE41E1" w:rsidRPr="00A302BF">
        <w:rPr>
          <w:rFonts w:ascii="Palatino Linotype" w:hAnsi="Palatino Linotype" w:cs="Arial"/>
          <w:sz w:val="24"/>
        </w:rPr>
        <w:t xml:space="preserve">se constituye </w:t>
      </w:r>
      <w:r w:rsidR="00CE41E1" w:rsidRPr="00A302BF">
        <w:rPr>
          <w:rFonts w:ascii="Palatino Linotype" w:hAnsi="Palatino Linotype"/>
          <w:sz w:val="24"/>
        </w:rPr>
        <w:t>en una expresión en sentido negativo</w:t>
      </w:r>
      <w:r w:rsidR="00CE41E1" w:rsidRPr="00A302BF">
        <w:rPr>
          <w:rFonts w:ascii="Palatino Linotype" w:hAnsi="Palatino Linotype" w:cs="Arial"/>
          <w:sz w:val="24"/>
        </w:rPr>
        <w:t xml:space="preserve"> puesto que refiere expresamente que no se generó ni se administra información relacionada con lo solicitado a la fecha de contestación</w:t>
      </w:r>
      <w:r w:rsidR="0047160B" w:rsidRPr="00A302BF">
        <w:rPr>
          <w:rFonts w:ascii="Palatino Linotype" w:hAnsi="Palatino Linotype" w:cs="Arial"/>
          <w:sz w:val="24"/>
        </w:rPr>
        <w:t>.</w:t>
      </w:r>
    </w:p>
    <w:p w14:paraId="3B307907" w14:textId="77777777" w:rsidR="0047160B" w:rsidRPr="00A302BF" w:rsidRDefault="0047160B" w:rsidP="00CE41E1">
      <w:pPr>
        <w:pBdr>
          <w:top w:val="nil"/>
          <w:left w:val="nil"/>
          <w:bottom w:val="nil"/>
          <w:right w:val="nil"/>
          <w:between w:val="nil"/>
        </w:pBdr>
        <w:spacing w:before="240" w:after="240" w:line="360" w:lineRule="auto"/>
        <w:jc w:val="both"/>
        <w:rPr>
          <w:rFonts w:ascii="Palatino Linotype" w:eastAsia="Palatino Linotype" w:hAnsi="Palatino Linotype" w:cs="Palatino Linotype"/>
          <w:sz w:val="28"/>
          <w:szCs w:val="24"/>
        </w:rPr>
      </w:pPr>
      <w:r w:rsidRPr="00A302BF">
        <w:rPr>
          <w:rFonts w:ascii="Palatino Linotype" w:eastAsia="Palatino Linotype" w:hAnsi="Palatino Linotype" w:cs="Palatino Linotype"/>
          <w:sz w:val="24"/>
        </w:rPr>
        <w:t xml:space="preserve">Así, al considerarse como hecho negativo, resulta obvio que el </w:t>
      </w:r>
      <w:r w:rsidRPr="00A302BF">
        <w:rPr>
          <w:rFonts w:ascii="Palatino Linotype" w:eastAsia="Palatino Linotype" w:hAnsi="Palatino Linotype" w:cs="Palatino Linotype"/>
          <w:b/>
          <w:sz w:val="24"/>
        </w:rPr>
        <w:t>Sujeto Obligado</w:t>
      </w:r>
      <w:r w:rsidRPr="00A302BF">
        <w:rPr>
          <w:rFonts w:ascii="Palatino Linotype" w:eastAsia="Palatino Linotype" w:hAnsi="Palatino Linotype" w:cs="Palatino Linotype"/>
          <w:sz w:val="24"/>
        </w:rPr>
        <w:t xml:space="preserve"> no puede tener en sus archivos información que satisfaga el requerimiento de información, ya que no puede probarse por ser lógica y materialmente imposible, ello aunado a que no es obligatorio que la información se haya generado durante el periodo al que se hace alusión en la solicitud.</w:t>
      </w:r>
    </w:p>
    <w:p w14:paraId="4D9FC7FA" w14:textId="77777777" w:rsidR="00CE41E1" w:rsidRPr="00A302BF" w:rsidRDefault="00CE41E1" w:rsidP="00CE41E1">
      <w:pPr>
        <w:pBdr>
          <w:top w:val="nil"/>
          <w:left w:val="nil"/>
          <w:bottom w:val="nil"/>
          <w:right w:val="nil"/>
          <w:between w:val="nil"/>
        </w:pBdr>
        <w:spacing w:before="240" w:after="240" w:line="360" w:lineRule="auto"/>
        <w:jc w:val="both"/>
        <w:rPr>
          <w:rFonts w:ascii="Palatino Linotype" w:hAnsi="Palatino Linotype"/>
          <w:sz w:val="24"/>
          <w:szCs w:val="24"/>
        </w:rPr>
      </w:pPr>
      <w:r w:rsidRPr="00A302BF">
        <w:rPr>
          <w:rFonts w:ascii="Palatino Linotype" w:eastAsia="Palatino Linotype" w:hAnsi="Palatino Linotype" w:cs="Palatino Linotype"/>
          <w:sz w:val="24"/>
          <w:szCs w:val="24"/>
        </w:rPr>
        <w:t>Asimismo, no se trata de un caso por el cual la negación del hecho implique la afirmación del mismo, simplemente se está ante una notoria y evidente inexistencia fáctica de la información solicitada en dicha área, por lo que resulta aplicable la Tesis</w:t>
      </w:r>
      <w:r w:rsidRPr="00A302BF">
        <w:rPr>
          <w:rFonts w:ascii="Palatino Linotype" w:eastAsia="Palatino Linotype" w:hAnsi="Palatino Linotype" w:cs="Palatino Linotype"/>
          <w:sz w:val="24"/>
          <w:szCs w:val="24"/>
          <w:vertAlign w:val="superscript"/>
        </w:rPr>
        <w:footnoteReference w:id="1"/>
      </w:r>
      <w:r w:rsidRPr="00A302BF">
        <w:rPr>
          <w:rFonts w:ascii="Palatino Linotype" w:eastAsia="Palatino Linotype" w:hAnsi="Palatino Linotype" w:cs="Palatino Linotype"/>
          <w:sz w:val="24"/>
          <w:szCs w:val="24"/>
        </w:rPr>
        <w:t xml:space="preserve"> emitida por la Segunda Sala de la Suprema Corte de la Nación, que es del tenor literal siguiente:</w:t>
      </w:r>
    </w:p>
    <w:p w14:paraId="05C791C6" w14:textId="77777777" w:rsidR="00CE41E1" w:rsidRPr="00A302BF" w:rsidRDefault="00CE41E1" w:rsidP="00CE41E1">
      <w:pPr>
        <w:spacing w:before="240" w:after="240"/>
        <w:ind w:left="851" w:right="900"/>
        <w:jc w:val="both"/>
        <w:rPr>
          <w:rFonts w:ascii="Palatino Linotype" w:eastAsia="Palatino Linotype" w:hAnsi="Palatino Linotype" w:cs="Palatino Linotype"/>
        </w:rPr>
      </w:pPr>
      <w:r w:rsidRPr="00A302BF">
        <w:rPr>
          <w:rFonts w:ascii="Palatino Linotype" w:eastAsia="Palatino Linotype" w:hAnsi="Palatino Linotype" w:cs="Palatino Linotype"/>
          <w:b/>
          <w:i/>
        </w:rPr>
        <w:t>“HECHOS NEGATIVOS, NO SON SUSCEPTIBLES DE DEMOSTRACIÓN</w:t>
      </w:r>
      <w:r w:rsidRPr="00A302BF">
        <w:rPr>
          <w:rFonts w:ascii="Palatino Linotype" w:eastAsia="Palatino Linotype" w:hAnsi="Palatino Linotype" w:cs="Palatino Linotype"/>
          <w:i/>
        </w:rPr>
        <w:t xml:space="preserve">. Tratándose de un hecho negativo, el Juez no tiene por qué invocar prueba alguna de la que se desprenda, ya que es bien sabido que esta clase de hechos no son susceptibles de demostración.” </w:t>
      </w:r>
    </w:p>
    <w:p w14:paraId="54300523" w14:textId="77777777" w:rsidR="00CE41E1" w:rsidRPr="00A302BF" w:rsidRDefault="00CE41E1" w:rsidP="00CE41E1">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p>
    <w:p w14:paraId="5141EFFF" w14:textId="38C6753E" w:rsidR="00CE41E1" w:rsidRPr="00A302BF" w:rsidRDefault="0025115A" w:rsidP="00C176F2">
      <w:pPr>
        <w:spacing w:before="240" w:after="240" w:line="360" w:lineRule="auto"/>
        <w:ind w:right="49"/>
        <w:jc w:val="both"/>
        <w:rPr>
          <w:rFonts w:ascii="Palatino Linotype" w:hAnsi="Palatino Linotype"/>
          <w:sz w:val="24"/>
          <w:szCs w:val="24"/>
        </w:rPr>
      </w:pPr>
      <w:r w:rsidRPr="00A302BF">
        <w:rPr>
          <w:rFonts w:ascii="Palatino Linotype" w:hAnsi="Palatino Linotype"/>
          <w:sz w:val="24"/>
          <w:szCs w:val="24"/>
        </w:rPr>
        <w:lastRenderedPageBreak/>
        <w:t xml:space="preserve">Aunado a lo anterior se menciona que </w:t>
      </w:r>
      <w:r w:rsidR="00C176F2" w:rsidRPr="00A302BF">
        <w:rPr>
          <w:rFonts w:ascii="Palatino Linotype" w:hAnsi="Palatino Linotype"/>
          <w:sz w:val="24"/>
          <w:szCs w:val="24"/>
        </w:rPr>
        <w:t>si bien</w:t>
      </w:r>
      <w:r w:rsidR="00DC562E" w:rsidRPr="00A302BF">
        <w:rPr>
          <w:rFonts w:ascii="Palatino Linotype" w:hAnsi="Palatino Linotype"/>
          <w:sz w:val="24"/>
          <w:szCs w:val="24"/>
        </w:rPr>
        <w:t>,</w:t>
      </w:r>
      <w:r w:rsidR="00C176F2" w:rsidRPr="00A302BF">
        <w:rPr>
          <w:rFonts w:ascii="Palatino Linotype" w:hAnsi="Palatino Linotype"/>
          <w:sz w:val="24"/>
          <w:szCs w:val="24"/>
        </w:rPr>
        <w:t xml:space="preserve"> el </w:t>
      </w:r>
      <w:r w:rsidR="00C176F2" w:rsidRPr="00A302BF">
        <w:rPr>
          <w:rFonts w:ascii="Palatino Linotype" w:hAnsi="Palatino Linotype"/>
          <w:b/>
          <w:sz w:val="24"/>
          <w:szCs w:val="24"/>
        </w:rPr>
        <w:t xml:space="preserve"> Sujeto Obligado </w:t>
      </w:r>
      <w:r w:rsidR="00C176F2" w:rsidRPr="00A302BF">
        <w:rPr>
          <w:rFonts w:ascii="Palatino Linotype" w:hAnsi="Palatino Linotype"/>
          <w:sz w:val="24"/>
          <w:szCs w:val="24"/>
        </w:rPr>
        <w:t>tiene la facultad para celebrar contratos de obra pública, estos se realizan en función del Programa Anual de Obra, documento que</w:t>
      </w:r>
      <w:r w:rsidR="00CE41E1" w:rsidRPr="00A302BF">
        <w:rPr>
          <w:rFonts w:ascii="Palatino Linotype" w:hAnsi="Palatino Linotype"/>
          <w:sz w:val="24"/>
          <w:szCs w:val="24"/>
        </w:rPr>
        <w:t xml:space="preserve"> forma parte del Presupuesto de Egresos Municipal,  cuya versión definitiva se promulga y publica en la "Gaceta Municipal”, por la Presidenta o el Presidente Municipal,  a</w:t>
      </w:r>
      <w:r w:rsidR="00CE41E1" w:rsidRPr="00A302BF">
        <w:rPr>
          <w:rFonts w:ascii="Palatino Linotype" w:hAnsi="Palatino Linotype"/>
        </w:rPr>
        <w:t xml:space="preserve"> </w:t>
      </w:r>
      <w:r w:rsidR="00CE41E1" w:rsidRPr="00A302BF">
        <w:rPr>
          <w:rFonts w:ascii="Palatino Linotype" w:hAnsi="Palatino Linotype"/>
          <w:sz w:val="24"/>
          <w:szCs w:val="24"/>
        </w:rPr>
        <w:t>más tardar el día veinticinco de febrero de cada año, de conformidad con los artículos 125, párrafo cuarto de la Constitución Política del Estado Libre y Soberano de México, 351, párrafo segundo del Código Financiero del Estado de México, y 47 de la Ley de Fiscalización Superior del Estado de México, a saber:</w:t>
      </w:r>
    </w:p>
    <w:p w14:paraId="69A0F322" w14:textId="77777777" w:rsidR="00CE41E1" w:rsidRPr="00A302BF" w:rsidRDefault="00CE41E1" w:rsidP="00CE41E1">
      <w:pPr>
        <w:spacing w:before="120" w:after="120"/>
        <w:ind w:left="851" w:right="902"/>
        <w:jc w:val="both"/>
        <w:rPr>
          <w:rFonts w:ascii="Palatino Linotype" w:eastAsia="Palatino Linotype" w:hAnsi="Palatino Linotype" w:cs="Palatino Linotype"/>
          <w:i/>
        </w:rPr>
      </w:pPr>
      <w:r w:rsidRPr="00A302BF">
        <w:rPr>
          <w:rFonts w:ascii="Palatino Linotype" w:eastAsia="Palatino Linotype" w:hAnsi="Palatino Linotype" w:cs="Palatino Linotype"/>
          <w:i/>
        </w:rPr>
        <w:t>“</w:t>
      </w:r>
      <w:r w:rsidRPr="00A302BF">
        <w:rPr>
          <w:rFonts w:ascii="Palatino Linotype" w:eastAsia="Palatino Linotype" w:hAnsi="Palatino Linotype" w:cs="Palatino Linotype"/>
          <w:b/>
          <w:i/>
        </w:rPr>
        <w:t>Artículo 125</w:t>
      </w:r>
      <w:r w:rsidRPr="00A302BF">
        <w:rPr>
          <w:rFonts w:ascii="Palatino Linotype" w:eastAsia="Palatino Linotype" w:hAnsi="Palatino Linotype" w:cs="Palatino Linotype"/>
          <w:i/>
        </w:rPr>
        <w:t>...</w:t>
      </w:r>
    </w:p>
    <w:p w14:paraId="5E9C55F6" w14:textId="77777777" w:rsidR="00CE41E1" w:rsidRPr="00A302BF" w:rsidRDefault="00CE41E1" w:rsidP="00CE41E1">
      <w:pPr>
        <w:spacing w:before="120" w:after="120"/>
        <w:ind w:left="851" w:right="902"/>
        <w:jc w:val="both"/>
        <w:rPr>
          <w:rFonts w:ascii="Palatino Linotype" w:eastAsia="Palatino Linotype" w:hAnsi="Palatino Linotype" w:cs="Palatino Linotype"/>
          <w:b/>
          <w:i/>
        </w:rPr>
      </w:pPr>
      <w:r w:rsidRPr="00A302BF">
        <w:rPr>
          <w:rFonts w:ascii="Palatino Linotype" w:eastAsia="Palatino Linotype" w:hAnsi="Palatino Linotype" w:cs="Palatino Linotype"/>
          <w:i/>
        </w:rPr>
        <w:t xml:space="preserve">Los Ayuntamientos podrán celebrar sesiones extraordinarias de cabildo cuando la Ley de ingresos aprobada por la Legislatura, implique adecuaciones a su Presupuesto de Egresos, así como por la asignación de las participaciones y aportaciones federales y estatales. Estas sesiones tendrán como único objeto concordar con el Presupuesto de Egresos. </w:t>
      </w:r>
      <w:r w:rsidRPr="00A302BF">
        <w:rPr>
          <w:rFonts w:ascii="Palatino Linotype" w:eastAsia="Palatino Linotype" w:hAnsi="Palatino Linotype" w:cs="Palatino Linotype"/>
          <w:b/>
          <w:i/>
        </w:rPr>
        <w:t>La Presidenta o el Presidente Municipal, promulgará y publicará el Presupuesto de Egresos Municipal, a más tardar el día 25 de febrero de cada año debiendo enviarlo al Órgano Superior de Fiscalización en la misma fecha.”</w:t>
      </w:r>
    </w:p>
    <w:p w14:paraId="2E9AACD0" w14:textId="77777777" w:rsidR="00CE41E1" w:rsidRPr="00A302BF" w:rsidRDefault="00CE41E1" w:rsidP="00CE41E1">
      <w:pPr>
        <w:spacing w:before="120" w:after="120"/>
        <w:ind w:left="851" w:right="902"/>
        <w:jc w:val="both"/>
        <w:rPr>
          <w:rFonts w:ascii="Palatino Linotype" w:eastAsia="Palatino Linotype" w:hAnsi="Palatino Linotype" w:cs="Palatino Linotype"/>
          <w:i/>
        </w:rPr>
      </w:pPr>
      <w:r w:rsidRPr="00A302BF">
        <w:rPr>
          <w:rFonts w:ascii="Palatino Linotype" w:eastAsia="Palatino Linotype" w:hAnsi="Palatino Linotype" w:cs="Palatino Linotype"/>
          <w:b/>
          <w:i/>
        </w:rPr>
        <w:t>“Artículo 351</w:t>
      </w:r>
      <w:r w:rsidRPr="00A302BF">
        <w:rPr>
          <w:rFonts w:ascii="Palatino Linotype" w:eastAsia="Palatino Linotype" w:hAnsi="Palatino Linotype" w:cs="Palatino Linotype"/>
          <w:i/>
        </w:rPr>
        <w:t>...</w:t>
      </w:r>
    </w:p>
    <w:p w14:paraId="7EE4775C" w14:textId="77777777" w:rsidR="00CE41E1" w:rsidRPr="00A302BF" w:rsidRDefault="00CE41E1" w:rsidP="00CE41E1">
      <w:pPr>
        <w:spacing w:before="120" w:after="120"/>
        <w:ind w:left="851" w:right="902"/>
        <w:jc w:val="both"/>
        <w:rPr>
          <w:rFonts w:ascii="Palatino Linotype" w:eastAsia="Palatino Linotype" w:hAnsi="Palatino Linotype" w:cs="Palatino Linotype"/>
          <w:b/>
          <w:i/>
        </w:rPr>
      </w:pPr>
      <w:r w:rsidRPr="00A302BF">
        <w:rPr>
          <w:rFonts w:ascii="Palatino Linotype" w:eastAsia="Palatino Linotype" w:hAnsi="Palatino Linotype" w:cs="Palatino Linotype"/>
          <w:b/>
          <w:i/>
        </w:rPr>
        <w:t>Los Ayuntamientos al aprobar en forma definitiva su presupuesto de egresos, deberán publicar en la "Gaceta Municipal</w:t>
      </w:r>
      <w:r w:rsidRPr="00A302BF">
        <w:rPr>
          <w:rFonts w:ascii="Palatino Linotype" w:eastAsia="Palatino Linotype" w:hAnsi="Palatino Linotype" w:cs="Palatino Linotype"/>
          <w:i/>
        </w:rPr>
        <w:t xml:space="preserve">" de manera clara y entendible, todas y cada una de las partidas que lo integran, las remuneraciones de todo tipo aprobadas para los miembros del ayuntamiento y para los servidores públicos en general, incluyendo mandos medios y superiores de la administración municipal, </w:t>
      </w:r>
      <w:r w:rsidRPr="00A302BF">
        <w:rPr>
          <w:rFonts w:ascii="Palatino Linotype" w:eastAsia="Palatino Linotype" w:hAnsi="Palatino Linotype" w:cs="Palatino Linotype"/>
          <w:b/>
          <w:i/>
        </w:rPr>
        <w:t>a más tardar el 25 de febrero del año para el cual habrá de aplicar dicho presupuesto.”</w:t>
      </w:r>
    </w:p>
    <w:p w14:paraId="1DC3EF6C" w14:textId="77777777" w:rsidR="00CE41E1" w:rsidRPr="00A302BF" w:rsidRDefault="00CE41E1" w:rsidP="00CE41E1">
      <w:pPr>
        <w:spacing w:before="120" w:after="120"/>
        <w:ind w:left="851" w:right="902"/>
        <w:jc w:val="both"/>
        <w:rPr>
          <w:rFonts w:ascii="Palatino Linotype" w:eastAsia="Palatino Linotype" w:hAnsi="Palatino Linotype" w:cs="Palatino Linotype"/>
          <w:b/>
          <w:i/>
        </w:rPr>
      </w:pPr>
      <w:r w:rsidRPr="00A302BF">
        <w:rPr>
          <w:rFonts w:ascii="Palatino Linotype" w:eastAsia="Palatino Linotype" w:hAnsi="Palatino Linotype" w:cs="Palatino Linotype"/>
          <w:b/>
          <w:i/>
        </w:rPr>
        <w:t>“Artículo 47</w:t>
      </w:r>
      <w:r w:rsidRPr="00A302BF">
        <w:rPr>
          <w:rFonts w:ascii="Palatino Linotype" w:eastAsia="Palatino Linotype" w:hAnsi="Palatino Linotype" w:cs="Palatino Linotype"/>
          <w:i/>
        </w:rPr>
        <w:t xml:space="preserve">.- Los Presidentes Municipales y los Síndicos estarán obligados a </w:t>
      </w:r>
      <w:r w:rsidRPr="00A302BF">
        <w:rPr>
          <w:rFonts w:ascii="Palatino Linotype" w:eastAsia="Palatino Linotype" w:hAnsi="Palatino Linotype" w:cs="Palatino Linotype"/>
          <w:b/>
          <w:i/>
        </w:rPr>
        <w:t xml:space="preserve">informar al Órgano Superior, a más tardar el 25 de febrero de cada año, </w:t>
      </w:r>
      <w:r w:rsidRPr="00A302BF">
        <w:rPr>
          <w:rFonts w:ascii="Palatino Linotype" w:eastAsia="Palatino Linotype" w:hAnsi="Palatino Linotype" w:cs="Palatino Linotype"/>
          <w:b/>
          <w:i/>
        </w:rPr>
        <w:lastRenderedPageBreak/>
        <w:t xml:space="preserve">el Presupuesto de Egresos Municipal que haya aprobado el Ayuntamiento </w:t>
      </w:r>
      <w:r w:rsidRPr="00A302BF">
        <w:rPr>
          <w:rFonts w:ascii="Palatino Linotype" w:eastAsia="Palatino Linotype" w:hAnsi="Palatino Linotype" w:cs="Palatino Linotype"/>
          <w:i/>
        </w:rPr>
        <w:t>correspondiente.”</w:t>
      </w:r>
    </w:p>
    <w:p w14:paraId="00C4C466" w14:textId="77777777" w:rsidR="00CE41E1" w:rsidRPr="00A302BF" w:rsidRDefault="009F6391" w:rsidP="00CE41E1">
      <w:pP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t xml:space="preserve">Como se adelantó, </w:t>
      </w:r>
      <w:r w:rsidR="00CE41E1" w:rsidRPr="00A302BF">
        <w:rPr>
          <w:rFonts w:ascii="Palatino Linotype" w:eastAsia="Palatino Linotype" w:hAnsi="Palatino Linotype" w:cs="Palatino Linotype"/>
          <w:sz w:val="24"/>
          <w:szCs w:val="24"/>
        </w:rPr>
        <w:t xml:space="preserve">entre los formatos que integran el Presupuesto de Egresos aprobado, de conformidad con el numeral 3.4.1 del Manual para la Planeación, Programación y Presupuesto de Egresos Municipal, se encuentra el </w:t>
      </w:r>
      <w:r w:rsidR="00CE41E1" w:rsidRPr="00A302BF">
        <w:rPr>
          <w:rFonts w:ascii="Palatino Linotype" w:eastAsia="Palatino Linotype" w:hAnsi="Palatino Linotype" w:cs="Palatino Linotype"/>
          <w:b/>
          <w:sz w:val="24"/>
          <w:szCs w:val="24"/>
        </w:rPr>
        <w:t>PbRM-07a Programa Anual de Obra</w:t>
      </w:r>
      <w:r w:rsidR="00CE41E1" w:rsidRPr="00A302BF">
        <w:rPr>
          <w:rFonts w:ascii="Palatino Linotype" w:eastAsia="Palatino Linotype" w:hAnsi="Palatino Linotype" w:cs="Palatino Linotype"/>
          <w:sz w:val="24"/>
          <w:szCs w:val="24"/>
        </w:rPr>
        <w:t xml:space="preserve">, el cual especifica de manera precisa el período de ejecución y presupuesto ejercido de la obra pública de que se trate; así como la fuente de financiamiento con la que ésta se llevará a cabo. </w:t>
      </w:r>
    </w:p>
    <w:p w14:paraId="17AF3F72" w14:textId="4DE62A9A" w:rsidR="009F6391" w:rsidRPr="00A302BF" w:rsidRDefault="009F6391" w:rsidP="00C176F2">
      <w:pP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t xml:space="preserve">En tal contexto, dado que la persona solicitante requirió los contratos de obras </w:t>
      </w:r>
      <w:r w:rsidR="00DC562E" w:rsidRPr="00A302BF">
        <w:rPr>
          <w:rFonts w:ascii="Palatino Linotype" w:eastAsia="Palatino Linotype" w:hAnsi="Palatino Linotype" w:cs="Palatino Linotype"/>
          <w:sz w:val="24"/>
          <w:szCs w:val="24"/>
        </w:rPr>
        <w:t>realizadas en e</w:t>
      </w:r>
      <w:r w:rsidRPr="00A302BF">
        <w:rPr>
          <w:rFonts w:ascii="Palatino Linotype" w:eastAsia="Palatino Linotype" w:hAnsi="Palatino Linotype" w:cs="Palatino Linotype"/>
          <w:sz w:val="24"/>
          <w:szCs w:val="24"/>
        </w:rPr>
        <w:t xml:space="preserve">l ejercicio 2025, el </w:t>
      </w:r>
      <w:r w:rsidRPr="00A302BF">
        <w:rPr>
          <w:rFonts w:ascii="Palatino Linotype" w:eastAsia="Palatino Linotype" w:hAnsi="Palatino Linotype" w:cs="Palatino Linotype"/>
          <w:b/>
          <w:sz w:val="24"/>
          <w:szCs w:val="24"/>
        </w:rPr>
        <w:t>Sujeto Obligado</w:t>
      </w:r>
      <w:r w:rsidRPr="00A302BF">
        <w:rPr>
          <w:rFonts w:ascii="Palatino Linotype" w:eastAsia="Palatino Linotype" w:hAnsi="Palatino Linotype" w:cs="Palatino Linotype"/>
          <w:sz w:val="24"/>
          <w:szCs w:val="24"/>
        </w:rPr>
        <w:t xml:space="preserve"> </w:t>
      </w:r>
      <w:r w:rsidR="003B7EE7" w:rsidRPr="00A302BF">
        <w:rPr>
          <w:rFonts w:ascii="Palatino Linotype" w:eastAsia="Palatino Linotype" w:hAnsi="Palatino Linotype" w:cs="Palatino Linotype"/>
          <w:sz w:val="24"/>
          <w:szCs w:val="24"/>
        </w:rPr>
        <w:t xml:space="preserve">se encuentra imposibilitado para atender favorablemente la solicitud </w:t>
      </w:r>
      <w:r w:rsidRPr="00A302BF">
        <w:rPr>
          <w:rFonts w:ascii="Palatino Linotype" w:eastAsia="Palatino Linotype" w:hAnsi="Palatino Linotype" w:cs="Palatino Linotype"/>
          <w:sz w:val="24"/>
          <w:szCs w:val="24"/>
        </w:rPr>
        <w:t xml:space="preserve">como lo </w:t>
      </w:r>
      <w:r w:rsidR="003B7EE7" w:rsidRPr="00A302BF">
        <w:rPr>
          <w:rFonts w:ascii="Palatino Linotype" w:eastAsia="Palatino Linotype" w:hAnsi="Palatino Linotype" w:cs="Palatino Linotype"/>
          <w:sz w:val="24"/>
          <w:szCs w:val="24"/>
        </w:rPr>
        <w:t>hizo valer</w:t>
      </w:r>
      <w:r w:rsidRPr="00A302BF">
        <w:rPr>
          <w:rFonts w:ascii="Palatino Linotype" w:eastAsia="Palatino Linotype" w:hAnsi="Palatino Linotype" w:cs="Palatino Linotype"/>
          <w:sz w:val="24"/>
          <w:szCs w:val="24"/>
        </w:rPr>
        <w:t xml:space="preserve"> el servidor público habilitado de la Dirección General de Obras Públicas, </w:t>
      </w:r>
      <w:r w:rsidR="009D73DC" w:rsidRPr="00A302BF">
        <w:rPr>
          <w:rFonts w:ascii="Palatino Linotype" w:eastAsia="Palatino Linotype" w:hAnsi="Palatino Linotype" w:cs="Palatino Linotype"/>
          <w:sz w:val="24"/>
          <w:szCs w:val="24"/>
        </w:rPr>
        <w:t>dado que las solicitudes se tuvieron por presentadas el catorce de enero de dos mil veinticinco</w:t>
      </w:r>
      <w:r w:rsidR="00DC562E" w:rsidRPr="00A302BF">
        <w:rPr>
          <w:rFonts w:ascii="Palatino Linotype" w:eastAsia="Palatino Linotype" w:hAnsi="Palatino Linotype" w:cs="Palatino Linotype"/>
          <w:sz w:val="24"/>
          <w:szCs w:val="24"/>
        </w:rPr>
        <w:t>,</w:t>
      </w:r>
      <w:r w:rsidR="003B7EE7" w:rsidRPr="00A302BF">
        <w:rPr>
          <w:rFonts w:ascii="Palatino Linotype" w:eastAsia="Palatino Linotype" w:hAnsi="Palatino Linotype" w:cs="Palatino Linotype"/>
          <w:sz w:val="24"/>
          <w:szCs w:val="24"/>
        </w:rPr>
        <w:t xml:space="preserve"> como se advierte en los antecedentes de la presente resolución</w:t>
      </w:r>
      <w:r w:rsidR="009D73DC" w:rsidRPr="00A302BF">
        <w:rPr>
          <w:rFonts w:ascii="Palatino Linotype" w:eastAsia="Palatino Linotype" w:hAnsi="Palatino Linotype" w:cs="Palatino Linotype"/>
          <w:sz w:val="24"/>
          <w:szCs w:val="24"/>
        </w:rPr>
        <w:t>, mientras que el Programa Anual de Obra</w:t>
      </w:r>
      <w:r w:rsidR="003B7EE7" w:rsidRPr="00A302BF">
        <w:rPr>
          <w:rFonts w:ascii="Palatino Linotype" w:eastAsia="Palatino Linotype" w:hAnsi="Palatino Linotype" w:cs="Palatino Linotype"/>
          <w:sz w:val="24"/>
          <w:szCs w:val="24"/>
        </w:rPr>
        <w:t>, al formar parte del presupuesto de egresos municipal definitivo,</w:t>
      </w:r>
      <w:r w:rsidR="009D73DC" w:rsidRPr="00A302BF">
        <w:rPr>
          <w:rFonts w:ascii="Palatino Linotype" w:eastAsia="Palatino Linotype" w:hAnsi="Palatino Linotype" w:cs="Palatino Linotype"/>
          <w:sz w:val="24"/>
          <w:szCs w:val="24"/>
        </w:rPr>
        <w:t xml:space="preserve"> se </w:t>
      </w:r>
      <w:r w:rsidR="003B7EE7" w:rsidRPr="00A302BF">
        <w:rPr>
          <w:rFonts w:ascii="Palatino Linotype" w:eastAsia="Palatino Linotype" w:hAnsi="Palatino Linotype" w:cs="Palatino Linotype"/>
          <w:sz w:val="24"/>
          <w:szCs w:val="24"/>
        </w:rPr>
        <w:t>promulga</w:t>
      </w:r>
      <w:r w:rsidR="009D73DC" w:rsidRPr="00A302BF">
        <w:rPr>
          <w:rFonts w:ascii="Palatino Linotype" w:eastAsia="Palatino Linotype" w:hAnsi="Palatino Linotype" w:cs="Palatino Linotype"/>
          <w:sz w:val="24"/>
          <w:szCs w:val="24"/>
        </w:rPr>
        <w:t xml:space="preserve"> a más tardar el veinticinco de febrero</w:t>
      </w:r>
      <w:r w:rsidR="003B7EE7" w:rsidRPr="00A302BF">
        <w:rPr>
          <w:rFonts w:ascii="Palatino Linotype" w:eastAsia="Palatino Linotype" w:hAnsi="Palatino Linotype" w:cs="Palatino Linotype"/>
          <w:sz w:val="24"/>
          <w:szCs w:val="24"/>
        </w:rPr>
        <w:t xml:space="preserve"> de cada ejercicio como ya ha sido expuesto</w:t>
      </w:r>
      <w:r w:rsidR="009D73DC" w:rsidRPr="00A302BF">
        <w:rPr>
          <w:rFonts w:ascii="Palatino Linotype" w:eastAsia="Palatino Linotype" w:hAnsi="Palatino Linotype" w:cs="Palatino Linotype"/>
          <w:sz w:val="24"/>
          <w:szCs w:val="24"/>
        </w:rPr>
        <w:t xml:space="preserve">, </w:t>
      </w:r>
      <w:r w:rsidR="003B7EE7" w:rsidRPr="00A302BF">
        <w:rPr>
          <w:rFonts w:ascii="Palatino Linotype" w:eastAsia="Palatino Linotype" w:hAnsi="Palatino Linotype" w:cs="Palatino Linotype"/>
          <w:sz w:val="24"/>
          <w:szCs w:val="24"/>
        </w:rPr>
        <w:t>por lo que es evidente que a la fecha de presentación de las solicitudes no se había generado información alguna relacionada con lo solicitado.</w:t>
      </w:r>
    </w:p>
    <w:p w14:paraId="3921A958" w14:textId="77777777" w:rsidR="00C176F2" w:rsidRPr="00A302BF" w:rsidRDefault="003B7EE7" w:rsidP="00C176F2">
      <w:pPr>
        <w:spacing w:before="240" w:after="240" w:line="360" w:lineRule="auto"/>
        <w:jc w:val="both"/>
        <w:rPr>
          <w:rFonts w:ascii="Palatino Linotype" w:eastAsia="Palatino Linotype" w:hAnsi="Palatino Linotype" w:cs="Palatino Linotype"/>
          <w:i/>
          <w:sz w:val="24"/>
          <w:szCs w:val="24"/>
        </w:rPr>
      </w:pPr>
      <w:r w:rsidRPr="00A302BF">
        <w:rPr>
          <w:rFonts w:ascii="Palatino Linotype" w:eastAsia="Palatino Linotype" w:hAnsi="Palatino Linotype" w:cs="Palatino Linotype"/>
          <w:sz w:val="24"/>
          <w:szCs w:val="24"/>
        </w:rPr>
        <w:t>En este orden de ideas</w:t>
      </w:r>
      <w:r w:rsidR="00B652B7" w:rsidRPr="00A302BF">
        <w:rPr>
          <w:rFonts w:ascii="Palatino Linotype" w:eastAsia="Palatino Linotype" w:hAnsi="Palatino Linotype" w:cs="Palatino Linotype"/>
          <w:sz w:val="24"/>
          <w:szCs w:val="24"/>
        </w:rPr>
        <w:t xml:space="preserve">, </w:t>
      </w:r>
      <w:r w:rsidR="00C176F2" w:rsidRPr="00A302BF">
        <w:rPr>
          <w:rFonts w:ascii="Palatino Linotype" w:eastAsia="Palatino Linotype" w:hAnsi="Palatino Linotype" w:cs="Palatino Linotype"/>
          <w:sz w:val="24"/>
          <w:szCs w:val="24"/>
        </w:rPr>
        <w:t xml:space="preserve">no es procedente la entrega de documento alguno, o en su caso, el Acuerdo de Inexistencia, toda vez que el pronunciamiento del </w:t>
      </w:r>
      <w:r w:rsidR="00C176F2" w:rsidRPr="00A302BF">
        <w:rPr>
          <w:rFonts w:ascii="Palatino Linotype" w:eastAsia="Palatino Linotype" w:hAnsi="Palatino Linotype" w:cs="Palatino Linotype"/>
          <w:b/>
          <w:sz w:val="24"/>
          <w:szCs w:val="24"/>
        </w:rPr>
        <w:t>Sujeto Obligado</w:t>
      </w:r>
      <w:r w:rsidR="00C176F2" w:rsidRPr="00A302BF">
        <w:rPr>
          <w:rFonts w:ascii="Palatino Linotype" w:eastAsia="Palatino Linotype" w:hAnsi="Palatino Linotype" w:cs="Palatino Linotype"/>
          <w:sz w:val="24"/>
          <w:szCs w:val="24"/>
        </w:rPr>
        <w:t xml:space="preserve"> declara en automática la inexistencia de la información solicitada de modo que no existe obligación de justificar o allegar pruebas, y por ende no tiene aplicación lo estatuido en el artículo 49 fracción XIII de la Ley de la Materia.</w:t>
      </w:r>
    </w:p>
    <w:p w14:paraId="5B6A6B66" w14:textId="77777777" w:rsidR="00C176F2" w:rsidRPr="00A302BF" w:rsidRDefault="00C176F2" w:rsidP="00C176F2">
      <w:pPr>
        <w:spacing w:before="240" w:after="360" w:line="360" w:lineRule="auto"/>
        <w:ind w:right="18"/>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lastRenderedPageBreak/>
        <w:t xml:space="preserve">De tal manera que basta con la aseveración por parte del </w:t>
      </w:r>
      <w:r w:rsidRPr="00A302BF">
        <w:rPr>
          <w:rFonts w:ascii="Palatino Linotype" w:eastAsia="Palatino Linotype" w:hAnsi="Palatino Linotype" w:cs="Palatino Linotype"/>
          <w:b/>
          <w:sz w:val="24"/>
          <w:szCs w:val="24"/>
        </w:rPr>
        <w:t>Sujeto Obligado</w:t>
      </w:r>
      <w:r w:rsidRPr="00A302BF">
        <w:rPr>
          <w:rFonts w:ascii="Palatino Linotype" w:eastAsia="Palatino Linotype" w:hAnsi="Palatino Linotype" w:cs="Palatino Linotype"/>
          <w:sz w:val="24"/>
          <w:szCs w:val="24"/>
        </w:rPr>
        <w:t xml:space="preserve"> en relación a la inexistencia de información relacionada con el requerimiento de información que formuló la parte </w:t>
      </w:r>
      <w:r w:rsidRPr="00A302BF">
        <w:rPr>
          <w:rFonts w:ascii="Palatino Linotype" w:eastAsia="Palatino Linotype" w:hAnsi="Palatino Linotype" w:cs="Palatino Linotype"/>
          <w:b/>
          <w:sz w:val="24"/>
          <w:szCs w:val="24"/>
        </w:rPr>
        <w:t>Recurrente</w:t>
      </w:r>
      <w:r w:rsidRPr="00A302BF">
        <w:rPr>
          <w:rFonts w:ascii="Palatino Linotype" w:eastAsia="Palatino Linotype" w:hAnsi="Palatino Linotype" w:cs="Palatino Linotype"/>
          <w:sz w:val="24"/>
          <w:szCs w:val="24"/>
        </w:rPr>
        <w:t>; siendo que de conformidad con lo establecido en el artículo 12, segundo párrafo de la Ley de Transparencia y Acceso a la Información Pública del Estado de México y Municipios, los Sujetos Obligados solo proporcionaran la información pública que se les requiera y que obre en sus archivos y en el estado en que ésta se encuentre, en sentido contrario, no están obligados a proporcionar lo que no tengan en sus archivos.</w:t>
      </w:r>
    </w:p>
    <w:p w14:paraId="1CA702B8" w14:textId="77777777" w:rsidR="00C176F2" w:rsidRPr="00A302BF" w:rsidRDefault="00C176F2" w:rsidP="00C176F2">
      <w:pPr>
        <w:spacing w:before="240" w:after="360" w:line="360" w:lineRule="auto"/>
        <w:ind w:right="18"/>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t>Y, menos aún, los Sujetos Obligados se encuentran obligados a generar documentos a fin de atender las solicitudes de acceso a la información que les sean formuladas, tal y como se desprende del mismo texto del artículo 12 de la Ley de la Materia en consulta.</w:t>
      </w:r>
    </w:p>
    <w:p w14:paraId="4E201E71" w14:textId="77777777" w:rsidR="003B7EE7" w:rsidRPr="00A302BF" w:rsidRDefault="009B03EE" w:rsidP="003B7EE7">
      <w:pPr>
        <w:spacing w:before="240" w:after="240" w:line="360" w:lineRule="auto"/>
        <w:ind w:right="51"/>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t xml:space="preserve">De lo hasta aquí expuesto, se concluye que los motivos de inconformidad de la parte </w:t>
      </w:r>
      <w:r w:rsidRPr="00A302BF">
        <w:rPr>
          <w:rFonts w:ascii="Palatino Linotype" w:eastAsia="Palatino Linotype" w:hAnsi="Palatino Linotype" w:cs="Palatino Linotype"/>
          <w:b/>
          <w:sz w:val="24"/>
          <w:szCs w:val="24"/>
        </w:rPr>
        <w:t xml:space="preserve">Recurrente </w:t>
      </w:r>
      <w:r w:rsidRPr="00A302BF">
        <w:rPr>
          <w:rFonts w:ascii="Palatino Linotype" w:eastAsia="Palatino Linotype" w:hAnsi="Palatino Linotype" w:cs="Palatino Linotype"/>
          <w:sz w:val="24"/>
          <w:szCs w:val="24"/>
        </w:rPr>
        <w:t xml:space="preserve">devienen </w:t>
      </w:r>
      <w:r w:rsidR="003B7EE7" w:rsidRPr="00A302BF">
        <w:rPr>
          <w:rFonts w:ascii="Palatino Linotype" w:eastAsia="Palatino Linotype" w:hAnsi="Palatino Linotype" w:cs="Palatino Linotype"/>
          <w:sz w:val="24"/>
          <w:szCs w:val="24"/>
        </w:rPr>
        <w:t xml:space="preserve">infundados, siendo procedente </w:t>
      </w:r>
      <w:r w:rsidR="003B7EE7" w:rsidRPr="00A302BF">
        <w:rPr>
          <w:rFonts w:ascii="Palatino Linotype" w:eastAsia="Palatino Linotype" w:hAnsi="Palatino Linotype" w:cs="Palatino Linotype"/>
          <w:i/>
          <w:sz w:val="24"/>
          <w:szCs w:val="24"/>
        </w:rPr>
        <w:t xml:space="preserve">Confirmar </w:t>
      </w:r>
      <w:r w:rsidR="003B7EE7" w:rsidRPr="00A302BF">
        <w:rPr>
          <w:rFonts w:ascii="Palatino Linotype" w:eastAsia="Palatino Linotype" w:hAnsi="Palatino Linotype" w:cs="Palatino Linotype"/>
          <w:sz w:val="24"/>
          <w:szCs w:val="24"/>
        </w:rPr>
        <w:t xml:space="preserve">la respuesta proporcionada por el </w:t>
      </w:r>
      <w:r w:rsidR="003B7EE7" w:rsidRPr="00A302BF">
        <w:rPr>
          <w:rFonts w:ascii="Palatino Linotype" w:eastAsia="Palatino Linotype" w:hAnsi="Palatino Linotype" w:cs="Palatino Linotype"/>
          <w:b/>
          <w:sz w:val="24"/>
          <w:szCs w:val="24"/>
        </w:rPr>
        <w:t xml:space="preserve">Sujeto Obligado </w:t>
      </w:r>
      <w:r w:rsidR="003B7EE7" w:rsidRPr="00A302BF">
        <w:rPr>
          <w:rFonts w:ascii="Palatino Linotype" w:eastAsia="Palatino Linotype" w:hAnsi="Palatino Linotype" w:cs="Palatino Linotype"/>
          <w:sz w:val="24"/>
          <w:szCs w:val="24"/>
        </w:rPr>
        <w:t>en términos del artículo 186, fracción II de la Ley de Transparencia y Acceso a la Información Pública del Estado de México y Municipios.</w:t>
      </w:r>
    </w:p>
    <w:p w14:paraId="413CA779" w14:textId="77777777" w:rsidR="00A315D8" w:rsidRPr="00A302BF" w:rsidRDefault="009B03EE">
      <w:pP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t xml:space="preserve">Así, con fundamento en lo prescrito en los artículos 5 párrafos trigésimo tercero, trigésimo cuarto y trigésimo quinto de la Constitución Política del Estado Libre y Soberano de México; 2, fracción II; 29, 36 fracciones I y II; 176, 178, 181, 185, fracción </w:t>
      </w:r>
      <w:r w:rsidRPr="00A302BF">
        <w:rPr>
          <w:rFonts w:ascii="Palatino Linotype" w:eastAsia="Palatino Linotype" w:hAnsi="Palatino Linotype" w:cs="Palatino Linotype"/>
          <w:sz w:val="24"/>
          <w:szCs w:val="24"/>
        </w:rPr>
        <w:lastRenderedPageBreak/>
        <w:t>I, 186 y 188 de la Ley de Transparencia y Acceso a la Información Pública del Estado de México y Municipios, este Pleno:</w:t>
      </w:r>
    </w:p>
    <w:p w14:paraId="4EF19F4D" w14:textId="77777777" w:rsidR="00A315D8" w:rsidRPr="00A302BF" w:rsidRDefault="009B03EE">
      <w:pPr>
        <w:pBdr>
          <w:top w:val="nil"/>
          <w:left w:val="nil"/>
          <w:bottom w:val="nil"/>
          <w:right w:val="nil"/>
          <w:between w:val="nil"/>
        </w:pBdr>
        <w:spacing w:before="240" w:after="240" w:line="336" w:lineRule="auto"/>
        <w:jc w:val="center"/>
        <w:rPr>
          <w:rFonts w:ascii="Palatino Linotype" w:eastAsia="Palatino Linotype" w:hAnsi="Palatino Linotype" w:cs="Palatino Linotype"/>
          <w:b/>
          <w:sz w:val="24"/>
          <w:szCs w:val="24"/>
        </w:rPr>
      </w:pPr>
      <w:r w:rsidRPr="00A302BF">
        <w:rPr>
          <w:rFonts w:ascii="Palatino Linotype" w:eastAsia="Palatino Linotype" w:hAnsi="Palatino Linotype" w:cs="Palatino Linotype"/>
          <w:b/>
          <w:sz w:val="24"/>
          <w:szCs w:val="24"/>
        </w:rPr>
        <w:t>III. R E S U E L V E:</w:t>
      </w:r>
    </w:p>
    <w:p w14:paraId="26793EB7" w14:textId="77777777" w:rsidR="003B7EE7" w:rsidRPr="00A302BF" w:rsidRDefault="009B03EE" w:rsidP="003B7EE7">
      <w:pPr>
        <w:spacing w:before="240" w:after="240" w:line="360" w:lineRule="auto"/>
        <w:jc w:val="both"/>
        <w:rPr>
          <w:rFonts w:ascii="Palatino Linotype" w:eastAsia="Palatino Linotype" w:hAnsi="Palatino Linotype" w:cs="Palatino Linotype"/>
          <w:sz w:val="24"/>
          <w:szCs w:val="24"/>
        </w:rPr>
      </w:pPr>
      <w:bookmarkStart w:id="4" w:name="_heading=h.3rdcrjn" w:colFirst="0" w:colLast="0"/>
      <w:bookmarkEnd w:id="4"/>
      <w:r w:rsidRPr="00A302BF">
        <w:rPr>
          <w:rFonts w:ascii="Palatino Linotype" w:eastAsia="Palatino Linotype" w:hAnsi="Palatino Linotype" w:cs="Palatino Linotype"/>
          <w:b/>
          <w:sz w:val="24"/>
          <w:szCs w:val="24"/>
        </w:rPr>
        <w:t xml:space="preserve">Primero. </w:t>
      </w:r>
      <w:r w:rsidRPr="00A302BF">
        <w:rPr>
          <w:rFonts w:ascii="Palatino Linotype" w:eastAsia="Palatino Linotype" w:hAnsi="Palatino Linotype" w:cs="Palatino Linotype"/>
          <w:sz w:val="24"/>
          <w:szCs w:val="24"/>
        </w:rPr>
        <w:t>Resultan</w:t>
      </w:r>
      <w:r w:rsidRPr="00A302BF">
        <w:rPr>
          <w:rFonts w:ascii="Palatino Linotype" w:eastAsia="Palatino Linotype" w:hAnsi="Palatino Linotype" w:cs="Palatino Linotype"/>
          <w:b/>
          <w:sz w:val="24"/>
          <w:szCs w:val="24"/>
        </w:rPr>
        <w:t xml:space="preserve"> </w:t>
      </w:r>
      <w:bookmarkStart w:id="5" w:name="_heading=h.17dp8vu" w:colFirst="0" w:colLast="0"/>
      <w:bookmarkEnd w:id="5"/>
      <w:r w:rsidR="003B7EE7" w:rsidRPr="00A302BF">
        <w:rPr>
          <w:rFonts w:ascii="Palatino Linotype" w:eastAsia="Palatino Linotype" w:hAnsi="Palatino Linotype" w:cs="Palatino Linotype"/>
          <w:b/>
          <w:sz w:val="24"/>
          <w:szCs w:val="24"/>
        </w:rPr>
        <w:t>infundadas</w:t>
      </w:r>
      <w:r w:rsidR="003B7EE7" w:rsidRPr="00A302BF">
        <w:rPr>
          <w:rFonts w:ascii="Palatino Linotype" w:eastAsia="Palatino Linotype" w:hAnsi="Palatino Linotype" w:cs="Palatino Linotype"/>
          <w:sz w:val="24"/>
          <w:szCs w:val="24"/>
        </w:rPr>
        <w:t xml:space="preserve"> las razones o motivos de inconformidad hechos valer por la parte </w:t>
      </w:r>
      <w:r w:rsidR="003B7EE7" w:rsidRPr="00A302BF">
        <w:rPr>
          <w:rFonts w:ascii="Palatino Linotype" w:eastAsia="Palatino Linotype" w:hAnsi="Palatino Linotype" w:cs="Palatino Linotype"/>
          <w:b/>
          <w:sz w:val="24"/>
          <w:szCs w:val="24"/>
        </w:rPr>
        <w:t>Recurrente</w:t>
      </w:r>
      <w:r w:rsidR="003B7EE7" w:rsidRPr="00A302BF">
        <w:rPr>
          <w:rFonts w:ascii="Palatino Linotype" w:eastAsia="Palatino Linotype" w:hAnsi="Palatino Linotype" w:cs="Palatino Linotype"/>
          <w:sz w:val="24"/>
          <w:szCs w:val="24"/>
        </w:rPr>
        <w:t xml:space="preserve"> en los recursos de revisión </w:t>
      </w:r>
      <w:r w:rsidR="003B7EE7" w:rsidRPr="00A302BF">
        <w:rPr>
          <w:rFonts w:ascii="Palatino Linotype" w:eastAsia="Palatino Linotype" w:hAnsi="Palatino Linotype" w:cs="Palatino Linotype"/>
          <w:b/>
          <w:sz w:val="24"/>
          <w:szCs w:val="24"/>
        </w:rPr>
        <w:t xml:space="preserve">01014/INFOEM/IP/RR/2025 </w:t>
      </w:r>
      <w:r w:rsidR="003B7EE7" w:rsidRPr="00A302BF">
        <w:rPr>
          <w:rFonts w:ascii="Palatino Linotype" w:eastAsia="Palatino Linotype" w:hAnsi="Palatino Linotype" w:cs="Palatino Linotype"/>
          <w:sz w:val="24"/>
          <w:szCs w:val="24"/>
        </w:rPr>
        <w:t xml:space="preserve">y </w:t>
      </w:r>
      <w:r w:rsidR="003B7EE7" w:rsidRPr="00A302BF">
        <w:rPr>
          <w:rFonts w:ascii="Palatino Linotype" w:eastAsia="Palatino Linotype" w:hAnsi="Palatino Linotype" w:cs="Palatino Linotype"/>
          <w:b/>
          <w:sz w:val="24"/>
          <w:szCs w:val="24"/>
        </w:rPr>
        <w:t>01017/INFOEM/IP/RR/2025</w:t>
      </w:r>
      <w:r w:rsidR="003B7EE7" w:rsidRPr="00A302BF">
        <w:rPr>
          <w:rFonts w:ascii="Palatino Linotype" w:eastAsia="Palatino Linotype" w:hAnsi="Palatino Linotype" w:cs="Palatino Linotype"/>
          <w:sz w:val="24"/>
          <w:szCs w:val="24"/>
        </w:rPr>
        <w:t xml:space="preserve">, por lo que, en términos de los argumentos de derecho señalados en el considerando </w:t>
      </w:r>
      <w:r w:rsidR="003B7EE7" w:rsidRPr="00A302BF">
        <w:rPr>
          <w:rFonts w:ascii="Palatino Linotype" w:eastAsia="Palatino Linotype" w:hAnsi="Palatino Linotype" w:cs="Palatino Linotype"/>
          <w:b/>
          <w:sz w:val="24"/>
          <w:szCs w:val="24"/>
        </w:rPr>
        <w:t>Cuarto</w:t>
      </w:r>
      <w:r w:rsidR="003B7EE7" w:rsidRPr="00A302BF">
        <w:rPr>
          <w:rFonts w:ascii="Palatino Linotype" w:eastAsia="Palatino Linotype" w:hAnsi="Palatino Linotype" w:cs="Palatino Linotype"/>
          <w:sz w:val="24"/>
          <w:szCs w:val="24"/>
        </w:rPr>
        <w:t>, se</w:t>
      </w:r>
      <w:r w:rsidR="003B7EE7" w:rsidRPr="00A302BF">
        <w:rPr>
          <w:rFonts w:ascii="Palatino Linotype" w:eastAsia="Palatino Linotype" w:hAnsi="Palatino Linotype" w:cs="Palatino Linotype"/>
          <w:b/>
          <w:sz w:val="24"/>
          <w:szCs w:val="24"/>
        </w:rPr>
        <w:t xml:space="preserve"> Confirman </w:t>
      </w:r>
      <w:r w:rsidR="003B7EE7" w:rsidRPr="00A302BF">
        <w:rPr>
          <w:rFonts w:ascii="Palatino Linotype" w:eastAsia="Palatino Linotype" w:hAnsi="Palatino Linotype" w:cs="Palatino Linotype"/>
          <w:sz w:val="24"/>
          <w:szCs w:val="24"/>
        </w:rPr>
        <w:t xml:space="preserve">las respuestas del </w:t>
      </w:r>
      <w:r w:rsidR="003B7EE7" w:rsidRPr="00A302BF">
        <w:rPr>
          <w:rFonts w:ascii="Palatino Linotype" w:eastAsia="Palatino Linotype" w:hAnsi="Palatino Linotype" w:cs="Palatino Linotype"/>
          <w:b/>
          <w:sz w:val="24"/>
          <w:szCs w:val="24"/>
        </w:rPr>
        <w:t>Sujeto Obligado</w:t>
      </w:r>
      <w:r w:rsidR="003B7EE7" w:rsidRPr="00A302BF">
        <w:rPr>
          <w:rFonts w:ascii="Palatino Linotype" w:eastAsia="Palatino Linotype" w:hAnsi="Palatino Linotype" w:cs="Palatino Linotype"/>
          <w:sz w:val="24"/>
          <w:szCs w:val="24"/>
        </w:rPr>
        <w:t>.</w:t>
      </w:r>
    </w:p>
    <w:p w14:paraId="1467C1FB" w14:textId="77777777" w:rsidR="003B7EE7" w:rsidRPr="00A302BF" w:rsidRDefault="009B03EE" w:rsidP="003B7EE7">
      <w:pP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b/>
          <w:sz w:val="24"/>
          <w:szCs w:val="24"/>
        </w:rPr>
        <w:t xml:space="preserve">Segundo. </w:t>
      </w:r>
      <w:bookmarkStart w:id="6" w:name="_heading=h.30j0zll" w:colFirst="0" w:colLast="0"/>
      <w:bookmarkEnd w:id="6"/>
      <w:r w:rsidR="003B7EE7" w:rsidRPr="00A302BF">
        <w:rPr>
          <w:rFonts w:ascii="Palatino Linotype" w:eastAsia="Palatino Linotype" w:hAnsi="Palatino Linotype" w:cs="Palatino Linotype"/>
          <w:b/>
          <w:sz w:val="24"/>
          <w:szCs w:val="24"/>
        </w:rPr>
        <w:t xml:space="preserve">Notifíquese, </w:t>
      </w:r>
      <w:r w:rsidR="003B7EE7" w:rsidRPr="00A302BF">
        <w:rPr>
          <w:rFonts w:ascii="Palatino Linotype" w:eastAsia="Palatino Linotype" w:hAnsi="Palatino Linotype" w:cs="Palatino Linotype"/>
          <w:sz w:val="24"/>
          <w:szCs w:val="24"/>
        </w:rPr>
        <w:t xml:space="preserve">vía </w:t>
      </w:r>
      <w:r w:rsidR="003B7EE7" w:rsidRPr="00A302BF">
        <w:rPr>
          <w:rFonts w:ascii="Palatino Linotype" w:eastAsia="Palatino Linotype" w:hAnsi="Palatino Linotype" w:cs="Palatino Linotype"/>
          <w:b/>
          <w:sz w:val="24"/>
          <w:szCs w:val="24"/>
        </w:rPr>
        <w:t xml:space="preserve">SAIMEX, </w:t>
      </w:r>
      <w:r w:rsidR="003B7EE7" w:rsidRPr="00A302BF">
        <w:rPr>
          <w:rFonts w:ascii="Palatino Linotype" w:eastAsia="Palatino Linotype" w:hAnsi="Palatino Linotype" w:cs="Palatino Linotype"/>
          <w:sz w:val="24"/>
          <w:szCs w:val="24"/>
        </w:rPr>
        <w:t xml:space="preserve">al Titular de la Unidad de Transparencia del </w:t>
      </w:r>
      <w:r w:rsidR="003B7EE7" w:rsidRPr="00A302BF">
        <w:rPr>
          <w:rFonts w:ascii="Palatino Linotype" w:eastAsia="Palatino Linotype" w:hAnsi="Palatino Linotype" w:cs="Palatino Linotype"/>
          <w:b/>
          <w:sz w:val="24"/>
          <w:szCs w:val="24"/>
        </w:rPr>
        <w:t>Sujeto Obligado</w:t>
      </w:r>
      <w:r w:rsidR="003B7EE7" w:rsidRPr="00A302BF">
        <w:rPr>
          <w:rFonts w:ascii="Palatino Linotype" w:eastAsia="Palatino Linotype" w:hAnsi="Palatino Linotype" w:cs="Palatino Linotype"/>
          <w:sz w:val="24"/>
          <w:szCs w:val="24"/>
        </w:rPr>
        <w:t xml:space="preserve"> para su conocimiento, la presente resolución.</w:t>
      </w:r>
    </w:p>
    <w:p w14:paraId="6B89894E" w14:textId="0881A8C6" w:rsidR="003B7EE7" w:rsidRPr="00A302BF" w:rsidRDefault="009B03EE" w:rsidP="003B7EE7">
      <w:pPr>
        <w:spacing w:before="240" w:after="240" w:line="36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b/>
          <w:sz w:val="24"/>
          <w:szCs w:val="24"/>
        </w:rPr>
        <w:t>Tercero.</w:t>
      </w:r>
      <w:r w:rsidRPr="00A302BF">
        <w:rPr>
          <w:rFonts w:ascii="Palatino Linotype" w:eastAsia="Palatino Linotype" w:hAnsi="Palatino Linotype" w:cs="Palatino Linotype"/>
          <w:sz w:val="24"/>
          <w:szCs w:val="24"/>
        </w:rPr>
        <w:t xml:space="preserve"> </w:t>
      </w:r>
      <w:bookmarkStart w:id="7" w:name="_heading=h.gjdgxs" w:colFirst="0" w:colLast="0"/>
      <w:bookmarkEnd w:id="7"/>
      <w:r w:rsidR="003B7EE7" w:rsidRPr="00A302BF">
        <w:rPr>
          <w:rFonts w:ascii="Palatino Linotype" w:eastAsia="Palatino Linotype" w:hAnsi="Palatino Linotype" w:cs="Palatino Linotype"/>
          <w:b/>
          <w:sz w:val="24"/>
          <w:szCs w:val="24"/>
        </w:rPr>
        <w:t xml:space="preserve">Notifíquese, </w:t>
      </w:r>
      <w:r w:rsidR="003B7EE7" w:rsidRPr="00A302BF">
        <w:rPr>
          <w:rFonts w:ascii="Palatino Linotype" w:eastAsia="Palatino Linotype" w:hAnsi="Palatino Linotype" w:cs="Palatino Linotype"/>
          <w:sz w:val="24"/>
          <w:szCs w:val="24"/>
        </w:rPr>
        <w:t xml:space="preserve">vía </w:t>
      </w:r>
      <w:r w:rsidR="003B7EE7" w:rsidRPr="00A302BF">
        <w:rPr>
          <w:rFonts w:ascii="Palatino Linotype" w:eastAsia="Palatino Linotype" w:hAnsi="Palatino Linotype" w:cs="Palatino Linotype"/>
          <w:b/>
          <w:sz w:val="24"/>
          <w:szCs w:val="24"/>
        </w:rPr>
        <w:t xml:space="preserve">SAIMEX, </w:t>
      </w:r>
      <w:r w:rsidR="003B7EE7" w:rsidRPr="00A302BF">
        <w:rPr>
          <w:rFonts w:ascii="Palatino Linotype" w:eastAsia="Palatino Linotype" w:hAnsi="Palatino Linotype" w:cs="Palatino Linotype"/>
          <w:sz w:val="24"/>
          <w:szCs w:val="24"/>
        </w:rPr>
        <w:t xml:space="preserve">a la parte </w:t>
      </w:r>
      <w:r w:rsidR="003B7EE7" w:rsidRPr="00A302BF">
        <w:rPr>
          <w:rFonts w:ascii="Palatino Linotype" w:eastAsia="Palatino Linotype" w:hAnsi="Palatino Linotype" w:cs="Palatino Linotype"/>
          <w:b/>
          <w:sz w:val="24"/>
          <w:szCs w:val="24"/>
        </w:rPr>
        <w:t>Recurrente</w:t>
      </w:r>
      <w:r w:rsidR="003B7EE7" w:rsidRPr="00A302BF">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16656E59" w14:textId="6DE19614" w:rsidR="00A315D8" w:rsidRPr="00A302BF" w:rsidRDefault="009B03EE" w:rsidP="00112873">
      <w:pPr>
        <w:spacing w:before="240" w:after="240" w:line="240" w:lineRule="auto"/>
        <w:jc w:val="both"/>
        <w:rPr>
          <w:rFonts w:ascii="Palatino Linotype" w:eastAsia="Palatino Linotype" w:hAnsi="Palatino Linotype" w:cs="Palatino Linotype"/>
          <w:sz w:val="24"/>
          <w:szCs w:val="24"/>
        </w:rPr>
      </w:pPr>
      <w:r w:rsidRPr="00A302BF">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84801" w:rsidRPr="00A302BF">
        <w:rPr>
          <w:rFonts w:ascii="Palatino Linotype" w:eastAsia="Palatino Linotype" w:hAnsi="Palatino Linotype" w:cs="Palatino Linotype"/>
          <w:sz w:val="24"/>
          <w:szCs w:val="24"/>
        </w:rPr>
        <w:t xml:space="preserve">NOVENA SESIÓN ORDINARIA CELEBRADA EL DOCE DE MARZO </w:t>
      </w:r>
      <w:r w:rsidRPr="00A302BF">
        <w:rPr>
          <w:rFonts w:ascii="Palatino Linotype" w:eastAsia="Palatino Linotype" w:hAnsi="Palatino Linotype" w:cs="Palatino Linotype"/>
          <w:sz w:val="24"/>
          <w:szCs w:val="24"/>
        </w:rPr>
        <w:t>DE DOS MIL VEINTICINCO, ANTE EL SECRETARIO TÉCNICO DEL PLENO ALEXIS TAPIA RAMÍREZ.</w:t>
      </w:r>
    </w:p>
    <w:p w14:paraId="4C470D4B" w14:textId="04FC551A" w:rsidR="00A315D8" w:rsidRPr="00A302BF" w:rsidRDefault="00A315D8">
      <w:pPr>
        <w:tabs>
          <w:tab w:val="left" w:pos="142"/>
        </w:tabs>
        <w:spacing w:before="240" w:after="240" w:line="360" w:lineRule="auto"/>
        <w:jc w:val="both"/>
        <w:rPr>
          <w:rFonts w:ascii="Palatino Linotype" w:eastAsia="Palatino Linotype" w:hAnsi="Palatino Linotype" w:cs="Palatino Linotype"/>
          <w:sz w:val="24"/>
          <w:szCs w:val="24"/>
        </w:rPr>
      </w:pPr>
      <w:bookmarkStart w:id="8" w:name="_heading=h.2et92p0" w:colFirst="0" w:colLast="0"/>
      <w:bookmarkEnd w:id="8"/>
    </w:p>
    <w:p w14:paraId="5F596AC9" w14:textId="04627E89" w:rsidR="00A302BF" w:rsidRPr="00A302BF" w:rsidRDefault="00A302BF">
      <w:pPr>
        <w:tabs>
          <w:tab w:val="left" w:pos="142"/>
        </w:tabs>
        <w:spacing w:before="240" w:after="240" w:line="360" w:lineRule="auto"/>
        <w:jc w:val="both"/>
        <w:rPr>
          <w:rFonts w:ascii="Palatino Linotype" w:eastAsia="Palatino Linotype" w:hAnsi="Palatino Linotype" w:cs="Palatino Linotype"/>
          <w:sz w:val="24"/>
          <w:szCs w:val="24"/>
        </w:rPr>
      </w:pPr>
    </w:p>
    <w:p w14:paraId="519CF542" w14:textId="0D79B441" w:rsidR="00A302BF" w:rsidRPr="00A302BF" w:rsidRDefault="00A302BF">
      <w:pPr>
        <w:tabs>
          <w:tab w:val="left" w:pos="142"/>
        </w:tabs>
        <w:spacing w:before="240" w:after="240" w:line="360" w:lineRule="auto"/>
        <w:jc w:val="both"/>
        <w:rPr>
          <w:rFonts w:ascii="Palatino Linotype" w:eastAsia="Palatino Linotype" w:hAnsi="Palatino Linotype" w:cs="Palatino Linotype"/>
          <w:sz w:val="24"/>
          <w:szCs w:val="24"/>
        </w:rPr>
      </w:pPr>
    </w:p>
    <w:p w14:paraId="5A39A09E" w14:textId="77777777" w:rsidR="00A315D8" w:rsidRPr="00A302BF" w:rsidRDefault="00A315D8">
      <w:pPr>
        <w:spacing w:before="240" w:after="240" w:line="360" w:lineRule="auto"/>
        <w:jc w:val="both"/>
        <w:rPr>
          <w:rFonts w:ascii="Palatino Linotype" w:eastAsia="Palatino Linotype" w:hAnsi="Palatino Linotype" w:cs="Palatino Linotype"/>
        </w:rPr>
      </w:pPr>
    </w:p>
    <w:sectPr w:rsidR="00A315D8" w:rsidRPr="00A302BF">
      <w:headerReference w:type="default" r:id="rId8"/>
      <w:footerReference w:type="default" r:id="rId9"/>
      <w:headerReference w:type="first" r:id="rId10"/>
      <w:pgSz w:w="12240" w:h="15840"/>
      <w:pgMar w:top="1417" w:right="1701" w:bottom="1276"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D8D78" w14:textId="77777777" w:rsidR="00B022F2" w:rsidRDefault="00B022F2">
      <w:pPr>
        <w:spacing w:after="0" w:line="240" w:lineRule="auto"/>
      </w:pPr>
      <w:r>
        <w:separator/>
      </w:r>
    </w:p>
  </w:endnote>
  <w:endnote w:type="continuationSeparator" w:id="0">
    <w:p w14:paraId="2B29EF81" w14:textId="77777777" w:rsidR="00B022F2" w:rsidRDefault="00B0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DA63" w14:textId="77777777" w:rsidR="00012D4E" w:rsidRDefault="00012D4E">
    <w:pP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112873">
      <w:rPr>
        <w:rFonts w:ascii="Arial" w:eastAsia="Arial" w:hAnsi="Arial" w:cs="Arial"/>
        <w:b/>
        <w:noProof/>
        <w:color w:val="000000"/>
        <w:sz w:val="20"/>
        <w:szCs w:val="20"/>
      </w:rPr>
      <w:t>25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112873">
      <w:rPr>
        <w:rFonts w:ascii="Arial" w:eastAsia="Arial" w:hAnsi="Arial" w:cs="Arial"/>
        <w:b/>
        <w:noProof/>
        <w:color w:val="000000"/>
        <w:sz w:val="20"/>
        <w:szCs w:val="20"/>
      </w:rPr>
      <w:t>27</w:t>
    </w:r>
    <w:r>
      <w:rPr>
        <w:rFonts w:ascii="Arial" w:eastAsia="Arial" w:hAnsi="Arial" w:cs="Arial"/>
        <w:b/>
        <w:color w:val="000000"/>
        <w:sz w:val="20"/>
        <w:szCs w:val="20"/>
      </w:rPr>
      <w:fldChar w:fldCharType="end"/>
    </w:r>
  </w:p>
  <w:p w14:paraId="101FAF75" w14:textId="77777777" w:rsidR="00012D4E" w:rsidRDefault="00012D4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79D18" w14:textId="77777777" w:rsidR="00B022F2" w:rsidRDefault="00B022F2">
      <w:pPr>
        <w:spacing w:after="0" w:line="240" w:lineRule="auto"/>
      </w:pPr>
      <w:r>
        <w:separator/>
      </w:r>
    </w:p>
  </w:footnote>
  <w:footnote w:type="continuationSeparator" w:id="0">
    <w:p w14:paraId="472DCE7E" w14:textId="77777777" w:rsidR="00B022F2" w:rsidRDefault="00B022F2">
      <w:pPr>
        <w:spacing w:after="0" w:line="240" w:lineRule="auto"/>
      </w:pPr>
      <w:r>
        <w:continuationSeparator/>
      </w:r>
    </w:p>
  </w:footnote>
  <w:footnote w:id="1">
    <w:p w14:paraId="04CD222B" w14:textId="77777777" w:rsidR="00CE41E1" w:rsidRDefault="00CE41E1" w:rsidP="00CE41E1">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Tesis [A]: 2a. Semanario Judicial de la Federación, Sexta Época, Volumen LII, Tercera Parte, p. 101, Reg. digital </w:t>
      </w:r>
      <w:r>
        <w:rPr>
          <w:rFonts w:ascii="Palatino Linotype" w:eastAsia="Palatino Linotype" w:hAnsi="Palatino Linotype" w:cs="Palatino Linotype"/>
          <w:color w:val="212529"/>
          <w:sz w:val="16"/>
          <w:szCs w:val="16"/>
          <w:highlight w:val="white"/>
        </w:rPr>
        <w:t>267287.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88EE" w14:textId="77777777" w:rsidR="00012D4E" w:rsidRDefault="00012D4E">
    <w:pPr>
      <w:widowControl w:val="0"/>
      <w:pBdr>
        <w:top w:val="nil"/>
        <w:left w:val="nil"/>
        <w:bottom w:val="nil"/>
        <w:right w:val="nil"/>
        <w:between w:val="nil"/>
      </w:pBdr>
      <w:spacing w:line="276" w:lineRule="auto"/>
      <w:rPr>
        <w:color w:val="000000"/>
      </w:rPr>
    </w:pPr>
    <w:r>
      <w:rPr>
        <w:noProof/>
      </w:rPr>
      <w:drawing>
        <wp:anchor distT="0" distB="0" distL="0" distR="0" simplePos="0" relativeHeight="251658240" behindDoc="1" locked="0" layoutInCell="1" hidden="0" allowOverlap="1" wp14:anchorId="740DC3F4" wp14:editId="4F2363F2">
          <wp:simplePos x="0" y="0"/>
          <wp:positionH relativeFrom="column">
            <wp:posOffset>-1080131</wp:posOffset>
          </wp:positionH>
          <wp:positionV relativeFrom="paragraph">
            <wp:posOffset>-48256</wp:posOffset>
          </wp:positionV>
          <wp:extent cx="7635240" cy="9942830"/>
          <wp:effectExtent l="0" t="0" r="0" b="0"/>
          <wp:wrapNone/>
          <wp:docPr id="4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635240" cy="9942830"/>
                  </a:xfrm>
                  <a:prstGeom prst="rect">
                    <a:avLst/>
                  </a:prstGeom>
                  <a:ln/>
                </pic:spPr>
              </pic:pic>
            </a:graphicData>
          </a:graphic>
        </wp:anchor>
      </w:drawing>
    </w:r>
  </w:p>
  <w:tbl>
    <w:tblPr>
      <w:tblStyle w:val="affffa"/>
      <w:tblW w:w="5812" w:type="dxa"/>
      <w:tblInd w:w="3119" w:type="dxa"/>
      <w:tblLayout w:type="fixed"/>
      <w:tblLook w:val="0400" w:firstRow="0" w:lastRow="0" w:firstColumn="0" w:lastColumn="0" w:noHBand="0" w:noVBand="1"/>
    </w:tblPr>
    <w:tblGrid>
      <w:gridCol w:w="2694"/>
      <w:gridCol w:w="3118"/>
    </w:tblGrid>
    <w:tr w:rsidR="00012D4E" w14:paraId="1B05B2F3" w14:textId="77777777">
      <w:tc>
        <w:tcPr>
          <w:tcW w:w="2694" w:type="dxa"/>
          <w:vAlign w:val="center"/>
        </w:tcPr>
        <w:p w14:paraId="5534F836" w14:textId="77777777" w:rsidR="00012D4E" w:rsidRDefault="00012D4E">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118" w:type="dxa"/>
          <w:vAlign w:val="center"/>
        </w:tcPr>
        <w:p w14:paraId="6C232314" w14:textId="77777777" w:rsidR="00012D4E" w:rsidRDefault="00012D4E" w:rsidP="00984801">
          <w:pPr>
            <w:spacing w:after="0" w:line="240" w:lineRule="auto"/>
            <w:jc w:val="both"/>
            <w:rPr>
              <w:rFonts w:ascii="Palatino Linotype" w:eastAsia="Palatino Linotype" w:hAnsi="Palatino Linotype" w:cs="Palatino Linotype"/>
              <w:b/>
            </w:rPr>
          </w:pPr>
          <w:r>
            <w:rPr>
              <w:rFonts w:ascii="Palatino Linotype" w:eastAsia="Palatino Linotype" w:hAnsi="Palatino Linotype" w:cs="Palatino Linotype"/>
              <w:b/>
            </w:rPr>
            <w:t>01014/INFOEM/IP/RR/2025 y acumulado</w:t>
          </w:r>
        </w:p>
      </w:tc>
    </w:tr>
    <w:tr w:rsidR="00012D4E" w14:paraId="3DBCD26A" w14:textId="77777777">
      <w:trPr>
        <w:trHeight w:val="228"/>
      </w:trPr>
      <w:tc>
        <w:tcPr>
          <w:tcW w:w="2694" w:type="dxa"/>
          <w:vAlign w:val="center"/>
        </w:tcPr>
        <w:p w14:paraId="44AED158" w14:textId="77777777" w:rsidR="00012D4E" w:rsidRDefault="00012D4E">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118" w:type="dxa"/>
          <w:vAlign w:val="center"/>
        </w:tcPr>
        <w:p w14:paraId="01A1F83C" w14:textId="77777777" w:rsidR="00012D4E" w:rsidRDefault="00012D4E">
          <w:pPr>
            <w:spacing w:after="0" w:line="240" w:lineRule="auto"/>
            <w:jc w:val="both"/>
            <w:rPr>
              <w:rFonts w:ascii="Palatino Linotype" w:eastAsia="Palatino Linotype" w:hAnsi="Palatino Linotype" w:cs="Palatino Linotype"/>
              <w:b/>
            </w:rPr>
          </w:pPr>
          <w:r w:rsidRPr="00984801">
            <w:rPr>
              <w:rFonts w:ascii="Palatino Linotype" w:eastAsia="Palatino Linotype" w:hAnsi="Palatino Linotype" w:cs="Palatino Linotype"/>
              <w:b/>
            </w:rPr>
            <w:t>Ayuntamiento de Toluca</w:t>
          </w:r>
        </w:p>
      </w:tc>
    </w:tr>
    <w:tr w:rsidR="00012D4E" w14:paraId="48E3DEEB" w14:textId="77777777">
      <w:tc>
        <w:tcPr>
          <w:tcW w:w="2694" w:type="dxa"/>
          <w:vAlign w:val="center"/>
        </w:tcPr>
        <w:p w14:paraId="0FE10454" w14:textId="77777777" w:rsidR="00012D4E" w:rsidRDefault="00012D4E">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118" w:type="dxa"/>
          <w:vAlign w:val="center"/>
        </w:tcPr>
        <w:p w14:paraId="466FC4F6" w14:textId="77777777" w:rsidR="00012D4E" w:rsidRDefault="00012D4E">
          <w:pPr>
            <w:spacing w:after="0" w:line="240" w:lineRule="auto"/>
            <w:ind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68EBB722" w14:textId="77777777" w:rsidR="00012D4E" w:rsidRDefault="00012D4E">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F718" w14:textId="77777777" w:rsidR="00012D4E" w:rsidRDefault="00012D4E">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BBE21F1" wp14:editId="6828EB06">
          <wp:simplePos x="0" y="0"/>
          <wp:positionH relativeFrom="column">
            <wp:posOffset>-1102356</wp:posOffset>
          </wp:positionH>
          <wp:positionV relativeFrom="paragraph">
            <wp:posOffset>100330</wp:posOffset>
          </wp:positionV>
          <wp:extent cx="7635240" cy="9942830"/>
          <wp:effectExtent l="0" t="0" r="0" b="0"/>
          <wp:wrapNone/>
          <wp:docPr id="4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635240" cy="9942830"/>
                  </a:xfrm>
                  <a:prstGeom prst="rect">
                    <a:avLst/>
                  </a:prstGeom>
                  <a:ln/>
                </pic:spPr>
              </pic:pic>
            </a:graphicData>
          </a:graphic>
        </wp:anchor>
      </w:drawing>
    </w:r>
  </w:p>
  <w:tbl>
    <w:tblPr>
      <w:tblStyle w:val="affffb"/>
      <w:tblW w:w="5953" w:type="dxa"/>
      <w:tblInd w:w="3119" w:type="dxa"/>
      <w:tblLayout w:type="fixed"/>
      <w:tblLook w:val="0400" w:firstRow="0" w:lastRow="0" w:firstColumn="0" w:lastColumn="0" w:noHBand="0" w:noVBand="1"/>
    </w:tblPr>
    <w:tblGrid>
      <w:gridCol w:w="2551"/>
      <w:gridCol w:w="3402"/>
    </w:tblGrid>
    <w:tr w:rsidR="00012D4E" w14:paraId="7047A796" w14:textId="77777777">
      <w:tc>
        <w:tcPr>
          <w:tcW w:w="2551" w:type="dxa"/>
          <w:vAlign w:val="center"/>
        </w:tcPr>
        <w:p w14:paraId="2BAD0C5E" w14:textId="77777777" w:rsidR="00012D4E" w:rsidRDefault="00012D4E">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02" w:type="dxa"/>
          <w:vAlign w:val="center"/>
        </w:tcPr>
        <w:p w14:paraId="28C031EA" w14:textId="77777777" w:rsidR="00012D4E" w:rsidRDefault="00012D4E" w:rsidP="00984801">
          <w:pPr>
            <w:spacing w:after="0" w:line="240" w:lineRule="auto"/>
            <w:jc w:val="both"/>
            <w:rPr>
              <w:rFonts w:ascii="Palatino Linotype" w:eastAsia="Palatino Linotype" w:hAnsi="Palatino Linotype" w:cs="Palatino Linotype"/>
              <w:b/>
            </w:rPr>
          </w:pPr>
          <w:r>
            <w:rPr>
              <w:rFonts w:ascii="Palatino Linotype" w:eastAsia="Palatino Linotype" w:hAnsi="Palatino Linotype" w:cs="Palatino Linotype"/>
              <w:b/>
            </w:rPr>
            <w:t>01014/INFOEM/IP/RR/2025 y acumulado</w:t>
          </w:r>
        </w:p>
      </w:tc>
    </w:tr>
    <w:tr w:rsidR="00012D4E" w14:paraId="77633EB5" w14:textId="77777777">
      <w:tc>
        <w:tcPr>
          <w:tcW w:w="2551" w:type="dxa"/>
          <w:vAlign w:val="center"/>
        </w:tcPr>
        <w:p w14:paraId="07F50D92" w14:textId="77777777" w:rsidR="00012D4E" w:rsidRDefault="00012D4E">
          <w:pPr>
            <w:spacing w:after="0" w:line="240" w:lineRule="auto"/>
            <w:ind w:left="35" w:hanging="35"/>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402" w:type="dxa"/>
          <w:vAlign w:val="center"/>
        </w:tcPr>
        <w:p w14:paraId="5F16590D" w14:textId="77777777" w:rsidR="00012D4E" w:rsidRDefault="00012D4E">
          <w:pPr>
            <w:spacing w:after="0" w:line="240" w:lineRule="auto"/>
            <w:ind w:left="-45"/>
            <w:jc w:val="both"/>
            <w:rPr>
              <w:rFonts w:ascii="Palatino Linotype" w:eastAsia="Palatino Linotype" w:hAnsi="Palatino Linotype" w:cs="Palatino Linotype"/>
              <w:b/>
            </w:rPr>
          </w:pPr>
        </w:p>
      </w:tc>
    </w:tr>
    <w:tr w:rsidR="00012D4E" w14:paraId="09FE222A" w14:textId="77777777">
      <w:trPr>
        <w:trHeight w:val="228"/>
      </w:trPr>
      <w:tc>
        <w:tcPr>
          <w:tcW w:w="2551" w:type="dxa"/>
          <w:vAlign w:val="center"/>
        </w:tcPr>
        <w:p w14:paraId="356990AD" w14:textId="77777777" w:rsidR="00012D4E" w:rsidRDefault="00012D4E">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2" w:type="dxa"/>
          <w:vAlign w:val="center"/>
        </w:tcPr>
        <w:p w14:paraId="2DE01E7B" w14:textId="77777777" w:rsidR="00012D4E" w:rsidRDefault="00012D4E">
          <w:pPr>
            <w:spacing w:after="0" w:line="240" w:lineRule="auto"/>
            <w:jc w:val="both"/>
            <w:rPr>
              <w:rFonts w:ascii="Palatino Linotype" w:eastAsia="Palatino Linotype" w:hAnsi="Palatino Linotype" w:cs="Palatino Linotype"/>
              <w:b/>
            </w:rPr>
          </w:pPr>
          <w:r w:rsidRPr="00984801">
            <w:rPr>
              <w:rFonts w:ascii="Palatino Linotype" w:eastAsia="Palatino Linotype" w:hAnsi="Palatino Linotype" w:cs="Palatino Linotype"/>
              <w:b/>
            </w:rPr>
            <w:t>Ayuntamiento de Toluca</w:t>
          </w:r>
        </w:p>
      </w:tc>
    </w:tr>
    <w:tr w:rsidR="00012D4E" w14:paraId="1CBF22C3" w14:textId="77777777">
      <w:tc>
        <w:tcPr>
          <w:tcW w:w="2551" w:type="dxa"/>
          <w:vAlign w:val="center"/>
        </w:tcPr>
        <w:p w14:paraId="757151B0" w14:textId="77777777" w:rsidR="00012D4E" w:rsidRDefault="00012D4E">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02" w:type="dxa"/>
          <w:vAlign w:val="center"/>
        </w:tcPr>
        <w:p w14:paraId="1757C221" w14:textId="77777777" w:rsidR="00012D4E" w:rsidRDefault="00012D4E">
          <w:pPr>
            <w:spacing w:after="0" w:line="240" w:lineRule="auto"/>
            <w:ind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6BA56436" w14:textId="77777777" w:rsidR="00012D4E" w:rsidRDefault="00012D4E">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4CC"/>
    <w:multiLevelType w:val="hybridMultilevel"/>
    <w:tmpl w:val="835E3704"/>
    <w:lvl w:ilvl="0" w:tplc="8B9A1922">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4C7197"/>
    <w:multiLevelType w:val="hybridMultilevel"/>
    <w:tmpl w:val="F9B63FC8"/>
    <w:lvl w:ilvl="0" w:tplc="11C63942">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1C3016D4"/>
    <w:multiLevelType w:val="multilevel"/>
    <w:tmpl w:val="0C56C2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4540691"/>
    <w:multiLevelType w:val="multilevel"/>
    <w:tmpl w:val="407C53A2"/>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5D8"/>
    <w:rsid w:val="00012D4E"/>
    <w:rsid w:val="000635FB"/>
    <w:rsid w:val="000865F0"/>
    <w:rsid w:val="00112873"/>
    <w:rsid w:val="00185A5E"/>
    <w:rsid w:val="001A6DE1"/>
    <w:rsid w:val="001F7E1E"/>
    <w:rsid w:val="0025115A"/>
    <w:rsid w:val="002B1529"/>
    <w:rsid w:val="003952DA"/>
    <w:rsid w:val="003B7EE7"/>
    <w:rsid w:val="00415AAC"/>
    <w:rsid w:val="0047160B"/>
    <w:rsid w:val="00563F8D"/>
    <w:rsid w:val="005C11C5"/>
    <w:rsid w:val="005F624E"/>
    <w:rsid w:val="00624DEE"/>
    <w:rsid w:val="00714C90"/>
    <w:rsid w:val="007267D9"/>
    <w:rsid w:val="00751A40"/>
    <w:rsid w:val="00777B71"/>
    <w:rsid w:val="007A5394"/>
    <w:rsid w:val="007E3E25"/>
    <w:rsid w:val="0080567D"/>
    <w:rsid w:val="00825694"/>
    <w:rsid w:val="00861E93"/>
    <w:rsid w:val="00894592"/>
    <w:rsid w:val="0095646A"/>
    <w:rsid w:val="00984801"/>
    <w:rsid w:val="00996EEC"/>
    <w:rsid w:val="009B03EE"/>
    <w:rsid w:val="009D73DC"/>
    <w:rsid w:val="009F6391"/>
    <w:rsid w:val="00A2787D"/>
    <w:rsid w:val="00A302BF"/>
    <w:rsid w:val="00A315D8"/>
    <w:rsid w:val="00A45B8F"/>
    <w:rsid w:val="00A61214"/>
    <w:rsid w:val="00A66861"/>
    <w:rsid w:val="00A8720F"/>
    <w:rsid w:val="00AE67BC"/>
    <w:rsid w:val="00B022F2"/>
    <w:rsid w:val="00B12FB1"/>
    <w:rsid w:val="00B37190"/>
    <w:rsid w:val="00B64C6C"/>
    <w:rsid w:val="00B652B7"/>
    <w:rsid w:val="00B9229A"/>
    <w:rsid w:val="00BC2BFA"/>
    <w:rsid w:val="00C176F2"/>
    <w:rsid w:val="00C543F7"/>
    <w:rsid w:val="00C875AB"/>
    <w:rsid w:val="00C91BFC"/>
    <w:rsid w:val="00CA7284"/>
    <w:rsid w:val="00CD6B87"/>
    <w:rsid w:val="00CE41E1"/>
    <w:rsid w:val="00D56731"/>
    <w:rsid w:val="00D8748C"/>
    <w:rsid w:val="00DC562E"/>
    <w:rsid w:val="00E12123"/>
    <w:rsid w:val="00E9209C"/>
    <w:rsid w:val="00E960F2"/>
    <w:rsid w:val="00EE6175"/>
    <w:rsid w:val="00F02E40"/>
    <w:rsid w:val="00F62AC5"/>
    <w:rsid w:val="00FD484D"/>
    <w:rsid w:val="00FF4A58"/>
    <w:rsid w:val="00FF5F5F"/>
    <w:rsid w:val="00FF6B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EE738"/>
  <w15:docId w15:val="{E7C3BE76-A5AF-40A7-98D1-1CA4CF72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9E2"/>
  </w:style>
  <w:style w:type="paragraph" w:styleId="Ttulo1">
    <w:name w:val="heading 1"/>
    <w:basedOn w:val="Normal"/>
    <w:next w:val="Normal"/>
    <w:link w:val="Ttulo1Car"/>
    <w:uiPriority w:val="9"/>
    <w:qFormat/>
    <w:rsid w:val="000009E2"/>
    <w:pPr>
      <w:keepNext/>
      <w:keepLines/>
      <w:spacing w:before="400" w:after="40" w:line="240" w:lineRule="auto"/>
      <w:outlineLvl w:val="0"/>
    </w:pPr>
    <w:rPr>
      <w:rFonts w:asciiTheme="majorHAnsi" w:eastAsiaTheme="majorEastAsia" w:hAnsiTheme="majorHAnsi" w:cstheme="majorBidi"/>
      <w:caps/>
      <w:sz w:val="36"/>
      <w:szCs w:val="36"/>
    </w:rPr>
  </w:style>
  <w:style w:type="paragraph" w:styleId="Ttulo2">
    <w:name w:val="heading 2"/>
    <w:basedOn w:val="Normal"/>
    <w:next w:val="Normal"/>
    <w:link w:val="Ttulo2Car"/>
    <w:uiPriority w:val="9"/>
    <w:semiHidden/>
    <w:unhideWhenUsed/>
    <w:qFormat/>
    <w:rsid w:val="000009E2"/>
    <w:pPr>
      <w:keepNext/>
      <w:keepLines/>
      <w:spacing w:before="120" w:after="0" w:line="240" w:lineRule="auto"/>
      <w:outlineLvl w:val="1"/>
    </w:pPr>
    <w:rPr>
      <w:rFonts w:asciiTheme="majorHAnsi" w:eastAsiaTheme="majorEastAsia" w:hAnsiTheme="majorHAnsi" w:cstheme="majorBidi"/>
      <w:caps/>
      <w:sz w:val="28"/>
      <w:szCs w:val="28"/>
    </w:rPr>
  </w:style>
  <w:style w:type="paragraph" w:styleId="Ttulo3">
    <w:name w:val="heading 3"/>
    <w:basedOn w:val="Normal"/>
    <w:next w:val="Normal"/>
    <w:link w:val="Ttulo3Car"/>
    <w:uiPriority w:val="9"/>
    <w:semiHidden/>
    <w:unhideWhenUsed/>
    <w:qFormat/>
    <w:rsid w:val="000009E2"/>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tulo4">
    <w:name w:val="heading 4"/>
    <w:basedOn w:val="Normal"/>
    <w:next w:val="Normal"/>
    <w:link w:val="Ttulo4Car"/>
    <w:uiPriority w:val="9"/>
    <w:semiHidden/>
    <w:unhideWhenUsed/>
    <w:qFormat/>
    <w:rsid w:val="000009E2"/>
    <w:pPr>
      <w:keepNext/>
      <w:keepLines/>
      <w:spacing w:before="120" w:after="0"/>
      <w:outlineLvl w:val="3"/>
    </w:pPr>
    <w:rPr>
      <w:rFonts w:asciiTheme="majorHAnsi" w:eastAsiaTheme="majorEastAsia" w:hAnsiTheme="majorHAnsi" w:cstheme="majorBidi"/>
      <w:caps/>
    </w:rPr>
  </w:style>
  <w:style w:type="paragraph" w:styleId="Ttulo5">
    <w:name w:val="heading 5"/>
    <w:basedOn w:val="Normal"/>
    <w:next w:val="Normal"/>
    <w:link w:val="Ttulo5Car"/>
    <w:uiPriority w:val="9"/>
    <w:semiHidden/>
    <w:unhideWhenUsed/>
    <w:qFormat/>
    <w:rsid w:val="000009E2"/>
    <w:pPr>
      <w:keepNext/>
      <w:keepLines/>
      <w:spacing w:before="120" w:after="0"/>
      <w:outlineLvl w:val="4"/>
    </w:pPr>
    <w:rPr>
      <w:rFonts w:asciiTheme="majorHAnsi" w:eastAsiaTheme="majorEastAsia" w:hAnsiTheme="majorHAnsi" w:cstheme="majorBidi"/>
      <w:i/>
      <w:iCs/>
      <w:caps/>
    </w:rPr>
  </w:style>
  <w:style w:type="paragraph" w:styleId="Ttulo6">
    <w:name w:val="heading 6"/>
    <w:basedOn w:val="Normal"/>
    <w:next w:val="Normal"/>
    <w:link w:val="Ttulo6Car"/>
    <w:uiPriority w:val="9"/>
    <w:semiHidden/>
    <w:unhideWhenUsed/>
    <w:qFormat/>
    <w:rsid w:val="000009E2"/>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tulo7">
    <w:name w:val="heading 7"/>
    <w:basedOn w:val="Normal"/>
    <w:next w:val="Normal"/>
    <w:link w:val="Ttulo7Car"/>
    <w:uiPriority w:val="9"/>
    <w:semiHidden/>
    <w:unhideWhenUsed/>
    <w:qFormat/>
    <w:rsid w:val="000009E2"/>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tulo8">
    <w:name w:val="heading 8"/>
    <w:basedOn w:val="Normal"/>
    <w:next w:val="Normal"/>
    <w:link w:val="Ttulo8Car"/>
    <w:uiPriority w:val="9"/>
    <w:semiHidden/>
    <w:unhideWhenUsed/>
    <w:qFormat/>
    <w:rsid w:val="000009E2"/>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tulo9">
    <w:name w:val="heading 9"/>
    <w:basedOn w:val="Normal"/>
    <w:next w:val="Normal"/>
    <w:link w:val="Ttulo9Car"/>
    <w:uiPriority w:val="9"/>
    <w:semiHidden/>
    <w:unhideWhenUsed/>
    <w:qFormat/>
    <w:rsid w:val="000009E2"/>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0009E2"/>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21CDF"/>
    <w:pPr>
      <w:tabs>
        <w:tab w:val="center" w:pos="4419"/>
        <w:tab w:val="right" w:pos="8838"/>
      </w:tabs>
    </w:pPr>
    <w:rPr>
      <w:rFonts w:eastAsiaTheme="minorHAnsi"/>
      <w:lang w:eastAsia="en-US"/>
    </w:rPr>
  </w:style>
  <w:style w:type="character" w:customStyle="1" w:styleId="EncabezadoCar">
    <w:name w:val="Encabezado Car"/>
    <w:basedOn w:val="Fuentedeprrafopredeter"/>
    <w:link w:val="Encabezado"/>
    <w:uiPriority w:val="99"/>
    <w:rsid w:val="00521CDF"/>
  </w:style>
  <w:style w:type="paragraph" w:styleId="Piedepgina">
    <w:name w:val="footer"/>
    <w:basedOn w:val="Normal"/>
    <w:link w:val="PiedepginaCar"/>
    <w:uiPriority w:val="99"/>
    <w:unhideWhenUsed/>
    <w:rsid w:val="00521CDF"/>
    <w:pPr>
      <w:tabs>
        <w:tab w:val="center" w:pos="4419"/>
        <w:tab w:val="right" w:pos="8838"/>
      </w:tabs>
    </w:pPr>
    <w:rPr>
      <w:rFonts w:eastAsiaTheme="minorHAnsi"/>
      <w:lang w:eastAsia="en-US"/>
    </w:rPr>
  </w:style>
  <w:style w:type="character" w:customStyle="1" w:styleId="PiedepginaCar">
    <w:name w:val="Pie de página Car"/>
    <w:basedOn w:val="Fuentedeprrafopredeter"/>
    <w:link w:val="Piedepgina"/>
    <w:uiPriority w:val="99"/>
    <w:rsid w:val="00521CDF"/>
  </w:style>
  <w:style w:type="character" w:styleId="Hipervnculo">
    <w:name w:val="Hyperlink"/>
    <w:aliases w:val="Hipervínculo1,Hipervínculo11,Hipervínculo12,Hipervínculo13,Hipervínculo14,Hipervínculo15"/>
    <w:basedOn w:val="Fuentedeprrafopredeter"/>
    <w:uiPriority w:val="99"/>
    <w:unhideWhenUsed/>
    <w:rsid w:val="003C6D6D"/>
    <w:rPr>
      <w:color w:val="0563C1" w:themeColor="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E1566"/>
    <w:pPr>
      <w:ind w:left="720"/>
      <w:contextualSpacing/>
    </w:pPr>
  </w:style>
  <w:style w:type="paragraph" w:styleId="Listaconvietas">
    <w:name w:val="List Bullet"/>
    <w:basedOn w:val="Normal"/>
    <w:uiPriority w:val="99"/>
    <w:unhideWhenUsed/>
    <w:rsid w:val="00400151"/>
    <w:pPr>
      <w:numPr>
        <w:numId w:val="2"/>
      </w:numPr>
      <w:contextualSpacing/>
    </w:pPr>
    <w:rPr>
      <w:lang w:eastAsia="es-ES"/>
    </w:rPr>
  </w:style>
  <w:style w:type="paragraph" w:styleId="Textodeglobo">
    <w:name w:val="Balloon Text"/>
    <w:basedOn w:val="Normal"/>
    <w:link w:val="TextodegloboCar"/>
    <w:uiPriority w:val="99"/>
    <w:semiHidden/>
    <w:unhideWhenUsed/>
    <w:rsid w:val="00617A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7A03"/>
    <w:rPr>
      <w:rFonts w:ascii="Segoe UI" w:eastAsia="Calibri" w:hAnsi="Segoe UI" w:cs="Segoe UI"/>
      <w:sz w:val="18"/>
      <w:szCs w:val="18"/>
      <w:lang w:eastAsia="es-MX"/>
    </w:rPr>
  </w:style>
  <w:style w:type="table" w:styleId="Tablaconcuadrcula">
    <w:name w:val="Table Grid"/>
    <w:basedOn w:val="Tablanormal"/>
    <w:uiPriority w:val="39"/>
    <w:rsid w:val="00A47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Pr>
      <w:smallCaps/>
      <w:color w:val="595959"/>
      <w:sz w:val="28"/>
      <w:szCs w:val="28"/>
    </w:rPr>
  </w:style>
  <w:style w:type="table" w:customStyle="1" w:styleId="a">
    <w:basedOn w:val="TableNormala"/>
    <w:tblPr>
      <w:tblStyleRowBandSize w:val="1"/>
      <w:tblStyleColBandSize w:val="1"/>
      <w:tblCellMar>
        <w:left w:w="115" w:type="dxa"/>
        <w:right w:w="115" w:type="dxa"/>
      </w:tblCellMar>
    </w:tblPr>
  </w:style>
  <w:style w:type="table" w:customStyle="1" w:styleId="a0">
    <w:basedOn w:val="TableNormala"/>
    <w:tblPr>
      <w:tblStyleRowBandSize w:val="1"/>
      <w:tblStyleColBandSize w:val="1"/>
      <w:tblCellMar>
        <w:left w:w="115" w:type="dxa"/>
        <w:right w:w="115" w:type="dxa"/>
      </w:tblCellMar>
    </w:tblPr>
  </w:style>
  <w:style w:type="table" w:customStyle="1" w:styleId="a1">
    <w:basedOn w:val="TableNormala"/>
    <w:tblPr>
      <w:tblStyleRowBandSize w:val="1"/>
      <w:tblStyleColBandSize w:val="1"/>
      <w:tblCellMar>
        <w:left w:w="115" w:type="dxa"/>
        <w:right w:w="115" w:type="dxa"/>
      </w:tblCellMar>
    </w:tblPr>
  </w:style>
  <w:style w:type="table" w:customStyle="1" w:styleId="a2">
    <w:basedOn w:val="TableNormala"/>
    <w:tblPr>
      <w:tblStyleRowBandSize w:val="1"/>
      <w:tblStyleColBandSize w:val="1"/>
      <w:tblCellMar>
        <w:left w:w="115" w:type="dxa"/>
        <w:right w:w="115" w:type="dxa"/>
      </w:tblCellMar>
    </w:tblPr>
  </w:style>
  <w:style w:type="table" w:customStyle="1" w:styleId="a3">
    <w:basedOn w:val="TableNormala"/>
    <w:tblPr>
      <w:tblStyleRowBandSize w:val="1"/>
      <w:tblStyleColBandSize w:val="1"/>
      <w:tblCellMar>
        <w:left w:w="115" w:type="dxa"/>
        <w:right w:w="115" w:type="dxa"/>
      </w:tblCellMar>
    </w:tblPr>
  </w:style>
  <w:style w:type="table" w:customStyle="1" w:styleId="a4">
    <w:basedOn w:val="TableNormala"/>
    <w:tblPr>
      <w:tblStyleRowBandSize w:val="1"/>
      <w:tblStyleColBandSize w:val="1"/>
      <w:tblCellMar>
        <w:left w:w="115" w:type="dxa"/>
        <w:right w:w="115" w:type="dxa"/>
      </w:tblCellMar>
    </w:tblPr>
  </w:style>
  <w:style w:type="table" w:customStyle="1" w:styleId="a5">
    <w:basedOn w:val="TableNormala"/>
    <w:tblPr>
      <w:tblStyleRowBandSize w:val="1"/>
      <w:tblStyleColBandSize w:val="1"/>
      <w:tblCellMar>
        <w:left w:w="115" w:type="dxa"/>
        <w:right w:w="115" w:type="dxa"/>
      </w:tblCellMar>
    </w:tblPr>
  </w:style>
  <w:style w:type="table" w:customStyle="1" w:styleId="a6">
    <w:basedOn w:val="TableNormala"/>
    <w:tblPr>
      <w:tblStyleRowBandSize w:val="1"/>
      <w:tblStyleColBandSize w:val="1"/>
      <w:tblCellMar>
        <w:left w:w="115" w:type="dxa"/>
        <w:right w:w="115" w:type="dxa"/>
      </w:tblCellMar>
    </w:tblPr>
  </w:style>
  <w:style w:type="table" w:customStyle="1" w:styleId="a7">
    <w:basedOn w:val="TableNormala"/>
    <w:tblPr>
      <w:tblStyleRowBandSize w:val="1"/>
      <w:tblStyleColBandSize w:val="1"/>
      <w:tblCellMar>
        <w:left w:w="115" w:type="dxa"/>
        <w:right w:w="115" w:type="dxa"/>
      </w:tblCellMar>
    </w:tblPr>
  </w:style>
  <w:style w:type="table" w:customStyle="1" w:styleId="a8">
    <w:basedOn w:val="TableNormala"/>
    <w:tblPr>
      <w:tblStyleRowBandSize w:val="1"/>
      <w:tblStyleColBandSize w:val="1"/>
      <w:tblCellMar>
        <w:left w:w="108" w:type="dxa"/>
        <w:right w:w="108" w:type="dxa"/>
      </w:tblCellMar>
    </w:tblPr>
  </w:style>
  <w:style w:type="table" w:customStyle="1" w:styleId="a9">
    <w:basedOn w:val="TableNormala"/>
    <w:tblPr>
      <w:tblStyleRowBandSize w:val="1"/>
      <w:tblStyleColBandSize w:val="1"/>
      <w:tblCellMar>
        <w:left w:w="115" w:type="dxa"/>
        <w:right w:w="115" w:type="dxa"/>
      </w:tblCellMar>
    </w:tblPr>
  </w:style>
  <w:style w:type="table" w:customStyle="1" w:styleId="aa">
    <w:basedOn w:val="TableNormala"/>
    <w:tblPr>
      <w:tblStyleRowBandSize w:val="1"/>
      <w:tblStyleColBandSize w:val="1"/>
      <w:tblCellMar>
        <w:left w:w="115" w:type="dxa"/>
        <w:right w:w="115" w:type="dxa"/>
      </w:tblCellMar>
    </w:tblPr>
  </w:style>
  <w:style w:type="table" w:customStyle="1" w:styleId="ab">
    <w:basedOn w:val="TableNormala"/>
    <w:tblPr>
      <w:tblStyleRowBandSize w:val="1"/>
      <w:tblStyleColBandSize w:val="1"/>
      <w:tblCellMar>
        <w:left w:w="115" w:type="dxa"/>
        <w:right w:w="115" w:type="dxa"/>
      </w:tblCellMar>
    </w:tblPr>
  </w:style>
  <w:style w:type="table" w:customStyle="1" w:styleId="ac">
    <w:basedOn w:val="TableNormala"/>
    <w:tblPr>
      <w:tblStyleRowBandSize w:val="1"/>
      <w:tblStyleColBandSize w:val="1"/>
      <w:tblCellMar>
        <w:left w:w="115" w:type="dxa"/>
        <w:right w:w="115" w:type="dxa"/>
      </w:tblCellMar>
    </w:tblPr>
  </w:style>
  <w:style w:type="table" w:customStyle="1" w:styleId="ad">
    <w:basedOn w:val="TableNormala"/>
    <w:tblPr>
      <w:tblStyleRowBandSize w:val="1"/>
      <w:tblStyleColBandSize w:val="1"/>
      <w:tblCellMar>
        <w:left w:w="115" w:type="dxa"/>
        <w:right w:w="115" w:type="dxa"/>
      </w:tblCellMar>
    </w:tblPr>
  </w:style>
  <w:style w:type="table" w:customStyle="1" w:styleId="ae">
    <w:basedOn w:val="TableNormala"/>
    <w:tblPr>
      <w:tblStyleRowBandSize w:val="1"/>
      <w:tblStyleColBandSize w:val="1"/>
      <w:tblCellMar>
        <w:left w:w="115" w:type="dxa"/>
        <w:right w:w="115" w:type="dxa"/>
      </w:tblCellMar>
    </w:tblPr>
  </w:style>
  <w:style w:type="table" w:customStyle="1" w:styleId="af">
    <w:basedOn w:val="TableNormala"/>
    <w:tblPr>
      <w:tblStyleRowBandSize w:val="1"/>
      <w:tblStyleColBandSize w:val="1"/>
      <w:tblCellMar>
        <w:left w:w="115" w:type="dxa"/>
        <w:right w:w="115" w:type="dxa"/>
      </w:tblCellMar>
    </w:tblPr>
  </w:style>
  <w:style w:type="table" w:customStyle="1" w:styleId="af0">
    <w:basedOn w:val="TableNormala"/>
    <w:tblPr>
      <w:tblStyleRowBandSize w:val="1"/>
      <w:tblStyleColBandSize w:val="1"/>
      <w:tblCellMar>
        <w:left w:w="115" w:type="dxa"/>
        <w:right w:w="115"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42517"/>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E42517"/>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E42517"/>
    <w:rPr>
      <w:vertAlign w:val="superscript"/>
    </w:rPr>
  </w:style>
  <w:style w:type="paragraph" w:styleId="Sinespaciado">
    <w:name w:val="No Spacing"/>
    <w:aliases w:val="Francesa"/>
    <w:link w:val="SinespaciadoCar"/>
    <w:uiPriority w:val="1"/>
    <w:qFormat/>
    <w:rsid w:val="000009E2"/>
    <w:pPr>
      <w:spacing w:after="0" w:line="240" w:lineRule="auto"/>
    </w:pPr>
  </w:style>
  <w:style w:type="character" w:customStyle="1" w:styleId="SinespaciadoCar">
    <w:name w:val="Sin espaciado Car"/>
    <w:aliases w:val="Francesa Car"/>
    <w:link w:val="Sinespaciado"/>
    <w:uiPriority w:val="1"/>
    <w:locked/>
    <w:rsid w:val="00B33C26"/>
  </w:style>
  <w:style w:type="paragraph" w:styleId="Lista">
    <w:name w:val="List"/>
    <w:basedOn w:val="Normal"/>
    <w:uiPriority w:val="99"/>
    <w:unhideWhenUsed/>
    <w:rsid w:val="004127D1"/>
    <w:pPr>
      <w:ind w:left="283" w:hanging="283"/>
      <w:contextualSpacing/>
    </w:pPr>
  </w:style>
  <w:style w:type="paragraph" w:styleId="Lista2">
    <w:name w:val="List 2"/>
    <w:basedOn w:val="Normal"/>
    <w:uiPriority w:val="99"/>
    <w:unhideWhenUsed/>
    <w:rsid w:val="004127D1"/>
    <w:pPr>
      <w:ind w:left="566" w:hanging="283"/>
      <w:contextualSpacing/>
    </w:pPr>
  </w:style>
  <w:style w:type="paragraph" w:styleId="Lista3">
    <w:name w:val="List 3"/>
    <w:basedOn w:val="Normal"/>
    <w:uiPriority w:val="99"/>
    <w:unhideWhenUsed/>
    <w:rsid w:val="004127D1"/>
    <w:pPr>
      <w:ind w:left="849" w:hanging="283"/>
      <w:contextualSpacing/>
    </w:pPr>
  </w:style>
  <w:style w:type="paragraph" w:styleId="Listaconvietas2">
    <w:name w:val="List Bullet 2"/>
    <w:basedOn w:val="Normal"/>
    <w:uiPriority w:val="99"/>
    <w:unhideWhenUsed/>
    <w:rsid w:val="004127D1"/>
    <w:pPr>
      <w:tabs>
        <w:tab w:val="num" w:pos="720"/>
      </w:tabs>
      <w:ind w:left="720" w:hanging="720"/>
      <w:contextualSpacing/>
    </w:pPr>
  </w:style>
  <w:style w:type="paragraph" w:styleId="Continuarlista">
    <w:name w:val="List Continue"/>
    <w:basedOn w:val="Normal"/>
    <w:uiPriority w:val="99"/>
    <w:unhideWhenUsed/>
    <w:rsid w:val="004127D1"/>
    <w:pPr>
      <w:spacing w:after="120"/>
      <w:ind w:left="283"/>
      <w:contextualSpacing/>
    </w:pPr>
  </w:style>
  <w:style w:type="paragraph" w:styleId="Continuarlista2">
    <w:name w:val="List Continue 2"/>
    <w:basedOn w:val="Normal"/>
    <w:uiPriority w:val="99"/>
    <w:unhideWhenUsed/>
    <w:rsid w:val="004127D1"/>
    <w:pPr>
      <w:spacing w:after="120"/>
      <w:ind w:left="566"/>
      <w:contextualSpacing/>
    </w:pPr>
  </w:style>
  <w:style w:type="paragraph" w:styleId="Textoindependiente">
    <w:name w:val="Body Text"/>
    <w:basedOn w:val="Normal"/>
    <w:link w:val="TextoindependienteCar"/>
    <w:uiPriority w:val="99"/>
    <w:unhideWhenUsed/>
    <w:rsid w:val="004127D1"/>
    <w:pPr>
      <w:spacing w:after="120"/>
    </w:pPr>
  </w:style>
  <w:style w:type="character" w:customStyle="1" w:styleId="TextoindependienteCar">
    <w:name w:val="Texto independiente Car"/>
    <w:basedOn w:val="Fuentedeprrafopredeter"/>
    <w:link w:val="Textoindependiente"/>
    <w:uiPriority w:val="99"/>
    <w:rsid w:val="004127D1"/>
  </w:style>
  <w:style w:type="paragraph" w:styleId="Sangradetextonormal">
    <w:name w:val="Body Text Indent"/>
    <w:basedOn w:val="Normal"/>
    <w:link w:val="SangradetextonormalCar"/>
    <w:uiPriority w:val="99"/>
    <w:unhideWhenUsed/>
    <w:rsid w:val="004127D1"/>
    <w:pPr>
      <w:spacing w:after="120"/>
      <w:ind w:left="283"/>
    </w:pPr>
  </w:style>
  <w:style w:type="character" w:customStyle="1" w:styleId="SangradetextonormalCar">
    <w:name w:val="Sangría de texto normal Car"/>
    <w:basedOn w:val="Fuentedeprrafopredeter"/>
    <w:link w:val="Sangradetextonormal"/>
    <w:uiPriority w:val="99"/>
    <w:rsid w:val="004127D1"/>
  </w:style>
  <w:style w:type="paragraph" w:styleId="Textoindependienteprimerasangra2">
    <w:name w:val="Body Text First Indent 2"/>
    <w:basedOn w:val="Sangradetextonormal"/>
    <w:link w:val="Textoindependienteprimerasangra2Car"/>
    <w:uiPriority w:val="99"/>
    <w:unhideWhenUsed/>
    <w:rsid w:val="004127D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127D1"/>
  </w:style>
  <w:style w:type="table" w:customStyle="1" w:styleId="af1">
    <w:basedOn w:val="TableNormala"/>
    <w:tblPr>
      <w:tblStyleRowBandSize w:val="1"/>
      <w:tblStyleColBandSize w:val="1"/>
      <w:tblCellMar>
        <w:left w:w="115" w:type="dxa"/>
        <w:right w:w="115" w:type="dxa"/>
      </w:tblCellMar>
    </w:tblPr>
  </w:style>
  <w:style w:type="table" w:customStyle="1" w:styleId="af2">
    <w:basedOn w:val="TableNormala"/>
    <w:tblPr>
      <w:tblStyleRowBandSize w:val="1"/>
      <w:tblStyleColBandSize w:val="1"/>
      <w:tblCellMar>
        <w:left w:w="115" w:type="dxa"/>
        <w:right w:w="115" w:type="dxa"/>
      </w:tblCellMar>
    </w:tblPr>
  </w:style>
  <w:style w:type="table" w:customStyle="1" w:styleId="af3">
    <w:basedOn w:val="TableNormala"/>
    <w:tblPr>
      <w:tblStyleRowBandSize w:val="1"/>
      <w:tblStyleColBandSize w:val="1"/>
      <w:tblCellMar>
        <w:left w:w="115" w:type="dxa"/>
        <w:right w:w="115" w:type="dxa"/>
      </w:tblCellMar>
    </w:tblPr>
  </w:style>
  <w:style w:type="table" w:customStyle="1" w:styleId="af4">
    <w:basedOn w:val="TableNormala"/>
    <w:tblPr>
      <w:tblStyleRowBandSize w:val="1"/>
      <w:tblStyleColBandSize w:val="1"/>
      <w:tblCellMar>
        <w:left w:w="115" w:type="dxa"/>
        <w:right w:w="115" w:type="dxa"/>
      </w:tblCellMar>
    </w:tblPr>
  </w:style>
  <w:style w:type="table" w:customStyle="1" w:styleId="af5">
    <w:basedOn w:val="TableNormala"/>
    <w:tblPr>
      <w:tblStyleRowBandSize w:val="1"/>
      <w:tblStyleColBandSize w:val="1"/>
      <w:tblCellMar>
        <w:left w:w="115" w:type="dxa"/>
        <w:right w:w="115" w:type="dxa"/>
      </w:tblCellMar>
    </w:tblPr>
  </w:style>
  <w:style w:type="paragraph" w:styleId="NormalWeb">
    <w:name w:val="Normal (Web)"/>
    <w:basedOn w:val="Normal"/>
    <w:uiPriority w:val="99"/>
    <w:unhideWhenUsed/>
    <w:rsid w:val="00B477FB"/>
    <w:pPr>
      <w:spacing w:before="100" w:beforeAutospacing="1" w:after="100" w:afterAutospacing="1"/>
    </w:pPr>
  </w:style>
  <w:style w:type="table" w:customStyle="1" w:styleId="af6">
    <w:basedOn w:val="TableNormal9"/>
    <w:tblPr>
      <w:tblStyleRowBandSize w:val="1"/>
      <w:tblStyleColBandSize w:val="1"/>
      <w:tblCellMar>
        <w:left w:w="115" w:type="dxa"/>
        <w:right w:w="115" w:type="dxa"/>
      </w:tblCellMar>
    </w:tblPr>
  </w:style>
  <w:style w:type="table" w:customStyle="1" w:styleId="af7">
    <w:basedOn w:val="TableNormal9"/>
    <w:tblPr>
      <w:tblStyleRowBandSize w:val="1"/>
      <w:tblStyleColBandSize w:val="1"/>
      <w:tblCellMar>
        <w:left w:w="115" w:type="dxa"/>
        <w:right w:w="115" w:type="dxa"/>
      </w:tblCellMar>
    </w:tblPr>
  </w:style>
  <w:style w:type="table" w:customStyle="1" w:styleId="af8">
    <w:basedOn w:val="TableNormal9"/>
    <w:tblPr>
      <w:tblStyleRowBandSize w:val="1"/>
      <w:tblStyleColBandSize w:val="1"/>
      <w:tblCellMar>
        <w:left w:w="108" w:type="dxa"/>
        <w:right w:w="108" w:type="dxa"/>
      </w:tblCellMar>
    </w:tblPr>
  </w:style>
  <w:style w:type="table" w:customStyle="1" w:styleId="af9">
    <w:basedOn w:val="TableNormal9"/>
    <w:tblPr>
      <w:tblStyleRowBandSize w:val="1"/>
      <w:tblStyleColBandSize w:val="1"/>
      <w:tblCellMar>
        <w:left w:w="115" w:type="dxa"/>
        <w:right w:w="115" w:type="dxa"/>
      </w:tblCellMar>
    </w:tblPr>
  </w:style>
  <w:style w:type="table" w:customStyle="1" w:styleId="afa">
    <w:basedOn w:val="TableNormal9"/>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locked/>
    <w:rsid w:val="00D7226C"/>
  </w:style>
  <w:style w:type="table" w:customStyle="1" w:styleId="afb">
    <w:basedOn w:val="TableNormal8"/>
    <w:tblPr>
      <w:tblStyleRowBandSize w:val="1"/>
      <w:tblStyleColBandSize w:val="1"/>
      <w:tblCellMar>
        <w:left w:w="115" w:type="dxa"/>
        <w:right w:w="115" w:type="dxa"/>
      </w:tblCellMar>
    </w:tblPr>
  </w:style>
  <w:style w:type="table" w:customStyle="1" w:styleId="afc">
    <w:basedOn w:val="TableNormal8"/>
    <w:tblPr>
      <w:tblStyleRowBandSize w:val="1"/>
      <w:tblStyleColBandSize w:val="1"/>
      <w:tblCellMar>
        <w:left w:w="115" w:type="dxa"/>
        <w:right w:w="115" w:type="dxa"/>
      </w:tblCellMar>
    </w:tblPr>
  </w:style>
  <w:style w:type="table" w:customStyle="1" w:styleId="afd">
    <w:basedOn w:val="TableNormal8"/>
    <w:tblPr>
      <w:tblStyleRowBandSize w:val="1"/>
      <w:tblStyleColBandSize w:val="1"/>
      <w:tblCellMar>
        <w:left w:w="115" w:type="dxa"/>
        <w:right w:w="115" w:type="dxa"/>
      </w:tblCellMar>
    </w:tblPr>
  </w:style>
  <w:style w:type="table" w:customStyle="1" w:styleId="afe">
    <w:basedOn w:val="TableNormal8"/>
    <w:tblPr>
      <w:tblStyleRowBandSize w:val="1"/>
      <w:tblStyleColBandSize w:val="1"/>
      <w:tblCellMar>
        <w:left w:w="115" w:type="dxa"/>
        <w:right w:w="115" w:type="dxa"/>
      </w:tblCellMar>
    </w:tblPr>
  </w:style>
  <w:style w:type="table" w:customStyle="1" w:styleId="aff">
    <w:basedOn w:val="TableNormal7"/>
    <w:tblPr>
      <w:tblStyleRowBandSize w:val="1"/>
      <w:tblStyleColBandSize w:val="1"/>
      <w:tblCellMar>
        <w:left w:w="115" w:type="dxa"/>
        <w:right w:w="115" w:type="dxa"/>
      </w:tblCellMar>
    </w:tblPr>
  </w:style>
  <w:style w:type="table" w:customStyle="1" w:styleId="aff0">
    <w:basedOn w:val="TableNormal7"/>
    <w:tblPr>
      <w:tblStyleRowBandSize w:val="1"/>
      <w:tblStyleColBandSize w:val="1"/>
      <w:tblCellMar>
        <w:left w:w="115" w:type="dxa"/>
        <w:right w:w="115" w:type="dxa"/>
      </w:tblCellMar>
    </w:tblPr>
  </w:style>
  <w:style w:type="table" w:customStyle="1" w:styleId="aff1">
    <w:basedOn w:val="TableNormal7"/>
    <w:tblPr>
      <w:tblStyleRowBandSize w:val="1"/>
      <w:tblStyleColBandSize w:val="1"/>
      <w:tblCellMar>
        <w:left w:w="115" w:type="dxa"/>
        <w:right w:w="115" w:type="dxa"/>
      </w:tblCellMar>
    </w:tblPr>
  </w:style>
  <w:style w:type="table" w:customStyle="1" w:styleId="aff2">
    <w:basedOn w:val="TableNormal7"/>
    <w:tblPr>
      <w:tblStyleRowBandSize w:val="1"/>
      <w:tblStyleColBandSize w:val="1"/>
      <w:tblCellMar>
        <w:left w:w="115" w:type="dxa"/>
        <w:right w:w="115" w:type="dxa"/>
      </w:tblCellMar>
    </w:tblPr>
  </w:style>
  <w:style w:type="character" w:customStyle="1" w:styleId="Ttulo1Car">
    <w:name w:val="Título 1 Car"/>
    <w:basedOn w:val="Fuentedeprrafopredeter"/>
    <w:link w:val="Ttulo1"/>
    <w:uiPriority w:val="9"/>
    <w:rsid w:val="000009E2"/>
    <w:rPr>
      <w:rFonts w:asciiTheme="majorHAnsi" w:eastAsiaTheme="majorEastAsia" w:hAnsiTheme="majorHAnsi" w:cstheme="majorBidi"/>
      <w:caps/>
      <w:sz w:val="36"/>
      <w:szCs w:val="36"/>
    </w:rPr>
  </w:style>
  <w:style w:type="character" w:customStyle="1" w:styleId="Ttulo2Car">
    <w:name w:val="Título 2 Car"/>
    <w:basedOn w:val="Fuentedeprrafopredeter"/>
    <w:link w:val="Ttulo2"/>
    <w:uiPriority w:val="9"/>
    <w:semiHidden/>
    <w:rsid w:val="000009E2"/>
    <w:rPr>
      <w:rFonts w:asciiTheme="majorHAnsi" w:eastAsiaTheme="majorEastAsia" w:hAnsiTheme="majorHAnsi" w:cstheme="majorBidi"/>
      <w:caps/>
      <w:sz w:val="28"/>
      <w:szCs w:val="28"/>
    </w:rPr>
  </w:style>
  <w:style w:type="character" w:customStyle="1" w:styleId="Ttulo3Car">
    <w:name w:val="Título 3 Car"/>
    <w:basedOn w:val="Fuentedeprrafopredeter"/>
    <w:link w:val="Ttulo3"/>
    <w:uiPriority w:val="9"/>
    <w:semiHidden/>
    <w:rsid w:val="000009E2"/>
    <w:rPr>
      <w:rFonts w:asciiTheme="majorHAnsi" w:eastAsiaTheme="majorEastAsia" w:hAnsiTheme="majorHAnsi" w:cstheme="majorBidi"/>
      <w:smallCaps/>
      <w:sz w:val="28"/>
      <w:szCs w:val="28"/>
    </w:rPr>
  </w:style>
  <w:style w:type="character" w:customStyle="1" w:styleId="Ttulo4Car">
    <w:name w:val="Título 4 Car"/>
    <w:basedOn w:val="Fuentedeprrafopredeter"/>
    <w:link w:val="Ttulo4"/>
    <w:uiPriority w:val="9"/>
    <w:semiHidden/>
    <w:rsid w:val="000009E2"/>
    <w:rPr>
      <w:rFonts w:asciiTheme="majorHAnsi" w:eastAsiaTheme="majorEastAsia" w:hAnsiTheme="majorHAnsi" w:cstheme="majorBidi"/>
      <w:caps/>
    </w:rPr>
  </w:style>
  <w:style w:type="character" w:customStyle="1" w:styleId="Ttulo5Car">
    <w:name w:val="Título 5 Car"/>
    <w:basedOn w:val="Fuentedeprrafopredeter"/>
    <w:link w:val="Ttulo5"/>
    <w:uiPriority w:val="9"/>
    <w:semiHidden/>
    <w:rsid w:val="000009E2"/>
    <w:rPr>
      <w:rFonts w:asciiTheme="majorHAnsi" w:eastAsiaTheme="majorEastAsia" w:hAnsiTheme="majorHAnsi" w:cstheme="majorBidi"/>
      <w:i/>
      <w:iCs/>
      <w:caps/>
    </w:rPr>
  </w:style>
  <w:style w:type="character" w:customStyle="1" w:styleId="Ttulo6Car">
    <w:name w:val="Título 6 Car"/>
    <w:basedOn w:val="Fuentedeprrafopredeter"/>
    <w:link w:val="Ttulo6"/>
    <w:uiPriority w:val="9"/>
    <w:semiHidden/>
    <w:rsid w:val="000009E2"/>
    <w:rPr>
      <w:rFonts w:asciiTheme="majorHAnsi" w:eastAsiaTheme="majorEastAsia" w:hAnsiTheme="majorHAnsi" w:cstheme="majorBidi"/>
      <w:b/>
      <w:bCs/>
      <w:caps/>
      <w:color w:val="262626" w:themeColor="text1" w:themeTint="D9"/>
      <w:sz w:val="20"/>
      <w:szCs w:val="20"/>
    </w:rPr>
  </w:style>
  <w:style w:type="character" w:customStyle="1" w:styleId="Ttulo7Car">
    <w:name w:val="Título 7 Car"/>
    <w:basedOn w:val="Fuentedeprrafopredeter"/>
    <w:link w:val="Ttulo7"/>
    <w:uiPriority w:val="9"/>
    <w:semiHidden/>
    <w:rsid w:val="000009E2"/>
    <w:rPr>
      <w:rFonts w:asciiTheme="majorHAnsi" w:eastAsiaTheme="majorEastAsia" w:hAnsiTheme="majorHAnsi" w:cstheme="majorBidi"/>
      <w:b/>
      <w:bCs/>
      <w:i/>
      <w:iCs/>
      <w:caps/>
      <w:color w:val="262626" w:themeColor="text1" w:themeTint="D9"/>
      <w:sz w:val="20"/>
      <w:szCs w:val="20"/>
    </w:rPr>
  </w:style>
  <w:style w:type="character" w:customStyle="1" w:styleId="Ttulo8Car">
    <w:name w:val="Título 8 Car"/>
    <w:basedOn w:val="Fuentedeprrafopredeter"/>
    <w:link w:val="Ttulo8"/>
    <w:uiPriority w:val="9"/>
    <w:semiHidden/>
    <w:rsid w:val="000009E2"/>
    <w:rPr>
      <w:rFonts w:asciiTheme="majorHAnsi" w:eastAsiaTheme="majorEastAsia" w:hAnsiTheme="majorHAnsi" w:cstheme="majorBidi"/>
      <w:b/>
      <w:bCs/>
      <w:caps/>
      <w:color w:val="7F7F7F" w:themeColor="text1" w:themeTint="80"/>
      <w:sz w:val="20"/>
      <w:szCs w:val="20"/>
    </w:rPr>
  </w:style>
  <w:style w:type="character" w:customStyle="1" w:styleId="Ttulo9Car">
    <w:name w:val="Título 9 Car"/>
    <w:basedOn w:val="Fuentedeprrafopredeter"/>
    <w:link w:val="Ttulo9"/>
    <w:uiPriority w:val="9"/>
    <w:semiHidden/>
    <w:rsid w:val="000009E2"/>
    <w:rPr>
      <w:rFonts w:asciiTheme="majorHAnsi" w:eastAsiaTheme="majorEastAsia" w:hAnsiTheme="majorHAnsi" w:cstheme="majorBidi"/>
      <w:b/>
      <w:bCs/>
      <w:i/>
      <w:iCs/>
      <w:caps/>
      <w:color w:val="7F7F7F" w:themeColor="text1" w:themeTint="80"/>
      <w:sz w:val="20"/>
      <w:szCs w:val="20"/>
    </w:rPr>
  </w:style>
  <w:style w:type="paragraph" w:styleId="Descripcin">
    <w:name w:val="caption"/>
    <w:basedOn w:val="Normal"/>
    <w:next w:val="Normal"/>
    <w:uiPriority w:val="35"/>
    <w:semiHidden/>
    <w:unhideWhenUsed/>
    <w:qFormat/>
    <w:rsid w:val="000009E2"/>
    <w:pPr>
      <w:spacing w:line="240" w:lineRule="auto"/>
    </w:pPr>
    <w:rPr>
      <w:b/>
      <w:bCs/>
      <w:smallCaps/>
      <w:color w:val="595959" w:themeColor="text1" w:themeTint="A6"/>
    </w:rPr>
  </w:style>
  <w:style w:type="character" w:customStyle="1" w:styleId="TtuloCar">
    <w:name w:val="Título Car"/>
    <w:basedOn w:val="Fuentedeprrafopredeter"/>
    <w:link w:val="Ttulo"/>
    <w:uiPriority w:val="10"/>
    <w:rsid w:val="000009E2"/>
    <w:rPr>
      <w:rFonts w:asciiTheme="majorHAnsi" w:eastAsiaTheme="majorEastAsia" w:hAnsiTheme="majorHAnsi" w:cstheme="majorBidi"/>
      <w:caps/>
      <w:color w:val="404040" w:themeColor="text1" w:themeTint="BF"/>
      <w:spacing w:val="-10"/>
      <w:sz w:val="72"/>
      <w:szCs w:val="72"/>
    </w:rPr>
  </w:style>
  <w:style w:type="character" w:customStyle="1" w:styleId="SubttuloCar">
    <w:name w:val="Subtítulo Car"/>
    <w:basedOn w:val="Fuentedeprrafopredeter"/>
    <w:link w:val="Subttulo"/>
    <w:uiPriority w:val="11"/>
    <w:rsid w:val="000009E2"/>
    <w:rPr>
      <w:rFonts w:asciiTheme="majorHAnsi" w:eastAsiaTheme="majorEastAsia" w:hAnsiTheme="majorHAnsi" w:cstheme="majorBidi"/>
      <w:smallCaps/>
      <w:color w:val="595959" w:themeColor="text1" w:themeTint="A6"/>
      <w:sz w:val="28"/>
      <w:szCs w:val="28"/>
    </w:rPr>
  </w:style>
  <w:style w:type="character" w:styleId="Textoennegrita">
    <w:name w:val="Strong"/>
    <w:basedOn w:val="Fuentedeprrafopredeter"/>
    <w:uiPriority w:val="22"/>
    <w:qFormat/>
    <w:rsid w:val="000009E2"/>
    <w:rPr>
      <w:b/>
      <w:bCs/>
    </w:rPr>
  </w:style>
  <w:style w:type="character" w:styleId="nfasis">
    <w:name w:val="Emphasis"/>
    <w:basedOn w:val="Fuentedeprrafopredeter"/>
    <w:uiPriority w:val="20"/>
    <w:qFormat/>
    <w:rsid w:val="000009E2"/>
    <w:rPr>
      <w:i/>
      <w:iCs/>
    </w:rPr>
  </w:style>
  <w:style w:type="paragraph" w:styleId="Cita">
    <w:name w:val="Quote"/>
    <w:basedOn w:val="Normal"/>
    <w:next w:val="Normal"/>
    <w:link w:val="CitaCar"/>
    <w:uiPriority w:val="29"/>
    <w:qFormat/>
    <w:rsid w:val="000009E2"/>
    <w:pPr>
      <w:spacing w:before="160" w:line="240" w:lineRule="auto"/>
      <w:ind w:left="720" w:right="720"/>
    </w:pPr>
    <w:rPr>
      <w:rFonts w:asciiTheme="majorHAnsi" w:eastAsiaTheme="majorEastAsia" w:hAnsiTheme="majorHAnsi" w:cstheme="majorBidi"/>
      <w:sz w:val="25"/>
      <w:szCs w:val="25"/>
    </w:rPr>
  </w:style>
  <w:style w:type="character" w:customStyle="1" w:styleId="CitaCar">
    <w:name w:val="Cita Car"/>
    <w:basedOn w:val="Fuentedeprrafopredeter"/>
    <w:link w:val="Cita"/>
    <w:uiPriority w:val="29"/>
    <w:rsid w:val="000009E2"/>
    <w:rPr>
      <w:rFonts w:asciiTheme="majorHAnsi" w:eastAsiaTheme="majorEastAsia" w:hAnsiTheme="majorHAnsi" w:cstheme="majorBidi"/>
      <w:sz w:val="25"/>
      <w:szCs w:val="25"/>
    </w:rPr>
  </w:style>
  <w:style w:type="paragraph" w:styleId="Citadestacada">
    <w:name w:val="Intense Quote"/>
    <w:basedOn w:val="Normal"/>
    <w:next w:val="Normal"/>
    <w:link w:val="CitadestacadaCar"/>
    <w:uiPriority w:val="30"/>
    <w:qFormat/>
    <w:rsid w:val="000009E2"/>
    <w:pPr>
      <w:spacing w:before="280" w:after="280" w:line="240" w:lineRule="auto"/>
      <w:ind w:left="1080" w:right="1080"/>
      <w:jc w:val="center"/>
    </w:pPr>
    <w:rPr>
      <w:color w:val="404040" w:themeColor="text1" w:themeTint="BF"/>
      <w:sz w:val="32"/>
      <w:szCs w:val="32"/>
    </w:rPr>
  </w:style>
  <w:style w:type="character" w:customStyle="1" w:styleId="CitadestacadaCar">
    <w:name w:val="Cita destacada Car"/>
    <w:basedOn w:val="Fuentedeprrafopredeter"/>
    <w:link w:val="Citadestacada"/>
    <w:uiPriority w:val="30"/>
    <w:rsid w:val="000009E2"/>
    <w:rPr>
      <w:color w:val="404040" w:themeColor="text1" w:themeTint="BF"/>
      <w:sz w:val="32"/>
      <w:szCs w:val="32"/>
    </w:rPr>
  </w:style>
  <w:style w:type="character" w:styleId="nfasissutil">
    <w:name w:val="Subtle Emphasis"/>
    <w:basedOn w:val="Fuentedeprrafopredeter"/>
    <w:uiPriority w:val="19"/>
    <w:qFormat/>
    <w:rsid w:val="000009E2"/>
    <w:rPr>
      <w:i/>
      <w:iCs/>
      <w:color w:val="595959" w:themeColor="text1" w:themeTint="A6"/>
    </w:rPr>
  </w:style>
  <w:style w:type="character" w:styleId="nfasisintenso">
    <w:name w:val="Intense Emphasis"/>
    <w:basedOn w:val="Fuentedeprrafopredeter"/>
    <w:uiPriority w:val="21"/>
    <w:qFormat/>
    <w:rsid w:val="000009E2"/>
    <w:rPr>
      <w:b/>
      <w:bCs/>
      <w:i/>
      <w:iCs/>
    </w:rPr>
  </w:style>
  <w:style w:type="character" w:styleId="Referenciasutil">
    <w:name w:val="Subtle Reference"/>
    <w:basedOn w:val="Fuentedeprrafopredeter"/>
    <w:uiPriority w:val="31"/>
    <w:qFormat/>
    <w:rsid w:val="000009E2"/>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0009E2"/>
    <w:rPr>
      <w:b/>
      <w:bCs/>
      <w:caps w:val="0"/>
      <w:smallCaps/>
      <w:color w:val="auto"/>
      <w:spacing w:val="3"/>
      <w:u w:val="single"/>
    </w:rPr>
  </w:style>
  <w:style w:type="character" w:styleId="Ttulodellibro">
    <w:name w:val="Book Title"/>
    <w:basedOn w:val="Fuentedeprrafopredeter"/>
    <w:uiPriority w:val="33"/>
    <w:qFormat/>
    <w:rsid w:val="000009E2"/>
    <w:rPr>
      <w:b/>
      <w:bCs/>
      <w:smallCaps/>
      <w:spacing w:val="7"/>
    </w:rPr>
  </w:style>
  <w:style w:type="paragraph" w:styleId="TtuloTDC">
    <w:name w:val="TOC Heading"/>
    <w:basedOn w:val="Ttulo1"/>
    <w:next w:val="Normal"/>
    <w:uiPriority w:val="39"/>
    <w:semiHidden/>
    <w:unhideWhenUsed/>
    <w:qFormat/>
    <w:rsid w:val="000009E2"/>
    <w:pPr>
      <w:outlineLvl w:val="9"/>
    </w:pPr>
  </w:style>
  <w:style w:type="table" w:customStyle="1" w:styleId="aff3">
    <w:basedOn w:val="TableNormal6"/>
    <w:tblPr>
      <w:tblStyleRowBandSize w:val="1"/>
      <w:tblStyleColBandSize w:val="1"/>
      <w:tblCellMar>
        <w:left w:w="115" w:type="dxa"/>
        <w:right w:w="115" w:type="dxa"/>
      </w:tblCellMar>
    </w:tblPr>
  </w:style>
  <w:style w:type="table" w:customStyle="1" w:styleId="aff4">
    <w:basedOn w:val="TableNormal6"/>
    <w:tblPr>
      <w:tblStyleRowBandSize w:val="1"/>
      <w:tblStyleColBandSize w:val="1"/>
      <w:tblCellMar>
        <w:left w:w="115" w:type="dxa"/>
        <w:right w:w="115" w:type="dxa"/>
      </w:tblCellMar>
    </w:tblPr>
  </w:style>
  <w:style w:type="table" w:customStyle="1" w:styleId="aff5">
    <w:basedOn w:val="TableNormal6"/>
    <w:tblPr>
      <w:tblStyleRowBandSize w:val="1"/>
      <w:tblStyleColBandSize w:val="1"/>
      <w:tblCellMar>
        <w:left w:w="115" w:type="dxa"/>
        <w:right w:w="115" w:type="dxa"/>
      </w:tblCellMar>
    </w:tblPr>
  </w:style>
  <w:style w:type="table" w:customStyle="1" w:styleId="aff6">
    <w:basedOn w:val="TableNormal6"/>
    <w:tblPr>
      <w:tblStyleRowBandSize w:val="1"/>
      <w:tblStyleColBandSize w:val="1"/>
      <w:tblCellMar>
        <w:left w:w="108" w:type="dxa"/>
        <w:right w:w="108" w:type="dxa"/>
      </w:tblCellMar>
    </w:tblPr>
  </w:style>
  <w:style w:type="table" w:customStyle="1" w:styleId="aff7">
    <w:basedOn w:val="TableNormal6"/>
    <w:tblPr>
      <w:tblStyleRowBandSize w:val="1"/>
      <w:tblStyleColBandSize w:val="1"/>
      <w:tblCellMar>
        <w:left w:w="115" w:type="dxa"/>
        <w:right w:w="115" w:type="dxa"/>
      </w:tblCellMar>
    </w:tblPr>
  </w:style>
  <w:style w:type="table" w:customStyle="1" w:styleId="aff8">
    <w:basedOn w:val="TableNormal6"/>
    <w:tblPr>
      <w:tblStyleRowBandSize w:val="1"/>
      <w:tblStyleColBandSize w:val="1"/>
      <w:tblCellMar>
        <w:left w:w="115" w:type="dxa"/>
        <w:right w:w="115" w:type="dxa"/>
      </w:tblCellMar>
    </w:tblPr>
  </w:style>
  <w:style w:type="table" w:customStyle="1" w:styleId="aff9">
    <w:basedOn w:val="TableNormal5"/>
    <w:tblPr>
      <w:tblStyleRowBandSize w:val="1"/>
      <w:tblStyleColBandSize w:val="1"/>
      <w:tblCellMar>
        <w:left w:w="115" w:type="dxa"/>
        <w:right w:w="115" w:type="dxa"/>
      </w:tblCellMar>
    </w:tblPr>
  </w:style>
  <w:style w:type="table" w:customStyle="1" w:styleId="affa">
    <w:basedOn w:val="TableNormal5"/>
    <w:tblPr>
      <w:tblStyleRowBandSize w:val="1"/>
      <w:tblStyleColBandSize w:val="1"/>
      <w:tblCellMar>
        <w:left w:w="115" w:type="dxa"/>
        <w:right w:w="115" w:type="dxa"/>
      </w:tblCellMar>
    </w:tblPr>
  </w:style>
  <w:style w:type="table" w:customStyle="1" w:styleId="affb">
    <w:basedOn w:val="TableNormal5"/>
    <w:tblPr>
      <w:tblStyleRowBandSize w:val="1"/>
      <w:tblStyleColBandSize w:val="1"/>
      <w:tblCellMar>
        <w:left w:w="115" w:type="dxa"/>
        <w:right w:w="115" w:type="dxa"/>
      </w:tblCellMar>
    </w:tblPr>
  </w:style>
  <w:style w:type="table" w:customStyle="1" w:styleId="affc">
    <w:basedOn w:val="TableNormal5"/>
    <w:tblPr>
      <w:tblStyleRowBandSize w:val="1"/>
      <w:tblStyleColBandSize w:val="1"/>
      <w:tblCellMar>
        <w:left w:w="115" w:type="dxa"/>
        <w:right w:w="115" w:type="dxa"/>
      </w:tblCellMar>
    </w:tblPr>
  </w:style>
  <w:style w:type="table" w:customStyle="1" w:styleId="affd">
    <w:basedOn w:val="TableNormal5"/>
    <w:tblPr>
      <w:tblStyleRowBandSize w:val="1"/>
      <w:tblStyleColBandSize w:val="1"/>
      <w:tblCellMar>
        <w:left w:w="115" w:type="dxa"/>
        <w:right w:w="115" w:type="dxa"/>
      </w:tblCellMar>
    </w:tblPr>
  </w:style>
  <w:style w:type="table" w:customStyle="1" w:styleId="affe">
    <w:basedOn w:val="TableNormal5"/>
    <w:tblPr>
      <w:tblStyleRowBandSize w:val="1"/>
      <w:tblStyleColBandSize w:val="1"/>
      <w:tblCellMar>
        <w:left w:w="115" w:type="dxa"/>
        <w:right w:w="115" w:type="dxa"/>
      </w:tblCellMar>
    </w:tblPr>
  </w:style>
  <w:style w:type="paragraph" w:customStyle="1" w:styleId="Default">
    <w:name w:val="Default"/>
    <w:rsid w:val="00557977"/>
    <w:pPr>
      <w:autoSpaceDE w:val="0"/>
      <w:autoSpaceDN w:val="0"/>
      <w:adjustRightInd w:val="0"/>
      <w:spacing w:after="0" w:line="240" w:lineRule="auto"/>
    </w:pPr>
    <w:rPr>
      <w:rFonts w:ascii="Tahoma" w:hAnsi="Tahoma" w:cs="Tahoma"/>
      <w:color w:val="000000"/>
      <w:sz w:val="24"/>
      <w:szCs w:val="24"/>
    </w:rPr>
  </w:style>
  <w:style w:type="table" w:customStyle="1" w:styleId="afff">
    <w:basedOn w:val="TableNormal4"/>
    <w:tblPr>
      <w:tblStyleRowBandSize w:val="1"/>
      <w:tblStyleColBandSize w:val="1"/>
      <w:tblCellMar>
        <w:left w:w="115" w:type="dxa"/>
        <w:right w:w="115" w:type="dxa"/>
      </w:tblCellMar>
    </w:tblPr>
  </w:style>
  <w:style w:type="table" w:customStyle="1" w:styleId="afff0">
    <w:basedOn w:val="TableNormal4"/>
    <w:tblPr>
      <w:tblStyleRowBandSize w:val="1"/>
      <w:tblStyleColBandSize w:val="1"/>
      <w:tblCellMar>
        <w:left w:w="115" w:type="dxa"/>
        <w:right w:w="115"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9C12D4"/>
    <w:rPr>
      <w:color w:val="605E5C"/>
      <w:shd w:val="clear" w:color="auto" w:fill="E1DFDD"/>
    </w:rPr>
  </w:style>
  <w:style w:type="character" w:styleId="Hipervnculovisitado">
    <w:name w:val="FollowedHyperlink"/>
    <w:basedOn w:val="Fuentedeprrafopredeter"/>
    <w:uiPriority w:val="99"/>
    <w:semiHidden/>
    <w:unhideWhenUsed/>
    <w:rsid w:val="00132376"/>
    <w:rPr>
      <w:color w:val="954F72" w:themeColor="followedHyperlink"/>
      <w:u w:val="single"/>
    </w:rPr>
  </w:style>
  <w:style w:type="table" w:customStyle="1" w:styleId="afff5">
    <w:basedOn w:val="TableNormal3"/>
    <w:tblPr>
      <w:tblStyleRowBandSize w:val="1"/>
      <w:tblStyleColBandSize w:val="1"/>
      <w:tblCellMar>
        <w:left w:w="115" w:type="dxa"/>
        <w:right w:w="115" w:type="dxa"/>
      </w:tblCellMar>
    </w:tblPr>
  </w:style>
  <w:style w:type="table" w:customStyle="1" w:styleId="afff6">
    <w:basedOn w:val="TableNormal3"/>
    <w:tblPr>
      <w:tblStyleRowBandSize w:val="1"/>
      <w:tblStyleColBandSize w:val="1"/>
      <w:tblCellMar>
        <w:left w:w="115" w:type="dxa"/>
        <w:right w:w="115" w:type="dxa"/>
      </w:tblCellMar>
    </w:tblPr>
  </w:style>
  <w:style w:type="table" w:customStyle="1" w:styleId="afff7">
    <w:basedOn w:val="TableNormal3"/>
    <w:tblPr>
      <w:tblStyleRowBandSize w:val="1"/>
      <w:tblStyleColBandSize w:val="1"/>
      <w:tblCellMar>
        <w:left w:w="115" w:type="dxa"/>
        <w:right w:w="115" w:type="dxa"/>
      </w:tblCellMar>
    </w:tblPr>
  </w:style>
  <w:style w:type="table" w:customStyle="1" w:styleId="afff8">
    <w:basedOn w:val="TableNormal3"/>
    <w:tblPr>
      <w:tblStyleRowBandSize w:val="1"/>
      <w:tblStyleColBandSize w:val="1"/>
      <w:tblCellMar>
        <w:left w:w="115" w:type="dxa"/>
        <w:right w:w="115" w:type="dxa"/>
      </w:tblCellMar>
    </w:tblPr>
  </w:style>
  <w:style w:type="table" w:customStyle="1" w:styleId="afff9">
    <w:basedOn w:val="TableNormal3"/>
    <w:tblPr>
      <w:tblStyleRowBandSize w:val="1"/>
      <w:tblStyleColBandSize w:val="1"/>
      <w:tblCellMar>
        <w:left w:w="115" w:type="dxa"/>
        <w:right w:w="115" w:type="dxa"/>
      </w:tblCellMar>
    </w:tblPr>
  </w:style>
  <w:style w:type="table" w:customStyle="1" w:styleId="afffa">
    <w:basedOn w:val="TableNormal2"/>
    <w:tblPr>
      <w:tblStyleRowBandSize w:val="1"/>
      <w:tblStyleColBandSize w:val="1"/>
      <w:tblCellMar>
        <w:left w:w="115" w:type="dxa"/>
        <w:right w:w="115" w:type="dxa"/>
      </w:tblCellMar>
    </w:tblPr>
  </w:style>
  <w:style w:type="table" w:customStyle="1" w:styleId="afffb">
    <w:basedOn w:val="TableNormal2"/>
    <w:tblPr>
      <w:tblStyleRowBandSize w:val="1"/>
      <w:tblStyleColBandSize w:val="1"/>
      <w:tblCellMar>
        <w:left w:w="115" w:type="dxa"/>
        <w:right w:w="115" w:type="dxa"/>
      </w:tblCellMar>
    </w:tblPr>
  </w:style>
  <w:style w:type="table" w:customStyle="1" w:styleId="afffc">
    <w:basedOn w:val="TableNormal2"/>
    <w:tblPr>
      <w:tblStyleRowBandSize w:val="1"/>
      <w:tblStyleColBandSize w:val="1"/>
      <w:tblCellMar>
        <w:left w:w="115" w:type="dxa"/>
        <w:right w:w="115" w:type="dxa"/>
      </w:tblCellMar>
    </w:tblPr>
  </w:style>
  <w:style w:type="table" w:customStyle="1" w:styleId="afffd">
    <w:basedOn w:val="TableNormal2"/>
    <w:tblPr>
      <w:tblStyleRowBandSize w:val="1"/>
      <w:tblStyleColBandSize w:val="1"/>
      <w:tblCellMar>
        <w:left w:w="115" w:type="dxa"/>
        <w:right w:w="115" w:type="dxa"/>
      </w:tblCellMar>
    </w:tblPr>
  </w:style>
  <w:style w:type="table" w:customStyle="1" w:styleId="afffe">
    <w:basedOn w:val="TableNormal2"/>
    <w:tblPr>
      <w:tblStyleRowBandSize w:val="1"/>
      <w:tblStyleColBandSize w:val="1"/>
      <w:tblCellMar>
        <w:left w:w="115" w:type="dxa"/>
        <w:right w:w="115" w:type="dxa"/>
      </w:tblCellMar>
    </w:tblPr>
  </w:style>
  <w:style w:type="table" w:customStyle="1" w:styleId="affff">
    <w:basedOn w:val="TableNormal2"/>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15" w:type="dxa"/>
        <w:right w:w="115" w:type="dxa"/>
      </w:tblCellMar>
    </w:tblPr>
  </w:style>
  <w:style w:type="table" w:customStyle="1" w:styleId="affff7">
    <w:basedOn w:val="TableNormal0"/>
    <w:tblPr>
      <w:tblStyleRowBandSize w:val="1"/>
      <w:tblStyleColBandSize w:val="1"/>
      <w:tblCellMar>
        <w:left w:w="115" w:type="dxa"/>
        <w:right w:w="115" w:type="dxa"/>
      </w:tblCellMar>
    </w:tblPr>
  </w:style>
  <w:style w:type="table" w:customStyle="1" w:styleId="affff8">
    <w:basedOn w:val="TableNormal0"/>
    <w:tblPr>
      <w:tblStyleRowBandSize w:val="1"/>
      <w:tblStyleColBandSize w:val="1"/>
      <w:tblCellMar>
        <w:left w:w="115" w:type="dxa"/>
        <w:right w:w="115" w:type="dxa"/>
      </w:tblCellMar>
    </w:tblPr>
  </w:style>
  <w:style w:type="table" w:customStyle="1" w:styleId="affff9">
    <w:basedOn w:val="TableNormal0"/>
    <w:tblPr>
      <w:tblStyleRowBandSize w:val="1"/>
      <w:tblStyleColBandSize w:val="1"/>
      <w:tblCellMar>
        <w:left w:w="115" w:type="dxa"/>
        <w:right w:w="115" w:type="dxa"/>
      </w:tblCellMar>
    </w:tblPr>
  </w:style>
  <w:style w:type="table" w:customStyle="1" w:styleId="affffa">
    <w:basedOn w:val="TableNormal0"/>
    <w:tblPr>
      <w:tblStyleRowBandSize w:val="1"/>
      <w:tblStyleColBandSize w:val="1"/>
      <w:tblCellMar>
        <w:left w:w="115" w:type="dxa"/>
        <w:right w:w="115" w:type="dxa"/>
      </w:tblCellMar>
    </w:tblPr>
  </w:style>
  <w:style w:type="table" w:customStyle="1" w:styleId="affffb">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3z3Ghqbl+oJZQyaumZ71O3fa6Q==">CgMxLjAyCWguMWZvYjl0ZTIJaC4zem55c2g3MghoLnR5amN3dDIJaC4zcmRjcmpuMgloLjE3ZHA4dnUyCWguMzBqMHpsbDIIaC5namRneHMyCWguMmV0OTJwMDgAciExTkE0WFNwdmFPSjltY0FPWnVxX2xHRzNNU1FTR3p3YzI=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6712</Words>
  <Characters>36922</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2025-03-14T17:02:00Z</cp:lastPrinted>
  <dcterms:created xsi:type="dcterms:W3CDTF">2025-04-01T20:25:00Z</dcterms:created>
  <dcterms:modified xsi:type="dcterms:W3CDTF">2025-04-01T20:25:00Z</dcterms:modified>
</cp:coreProperties>
</file>