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5598" w:rsidRDefault="00495598">
      <w:pPr>
        <w:widowControl w:val="0"/>
        <w:pBdr>
          <w:top w:val="nil"/>
          <w:left w:val="nil"/>
          <w:bottom w:val="nil"/>
          <w:right w:val="nil"/>
          <w:between w:val="nil"/>
        </w:pBdr>
        <w:spacing w:after="0" w:line="276" w:lineRule="auto"/>
        <w:jc w:val="left"/>
      </w:pPr>
    </w:p>
    <w:p w:rsidR="00495598" w:rsidRDefault="00495598">
      <w:pPr>
        <w:tabs>
          <w:tab w:val="left" w:pos="8931"/>
        </w:tabs>
        <w:spacing w:after="0" w:line="360" w:lineRule="auto"/>
      </w:pPr>
    </w:p>
    <w:p w:rsidR="00495598" w:rsidRDefault="008E4C61">
      <w:pPr>
        <w:keepNext/>
        <w:keepLines/>
        <w:pBdr>
          <w:top w:val="nil"/>
          <w:left w:val="nil"/>
          <w:bottom w:val="nil"/>
          <w:right w:val="nil"/>
          <w:between w:val="nil"/>
        </w:pBdr>
        <w:spacing w:after="0" w:line="360" w:lineRule="auto"/>
        <w:jc w:val="center"/>
        <w:rPr>
          <w:color w:val="000000"/>
        </w:rPr>
      </w:pPr>
      <w:r>
        <w:rPr>
          <w:color w:val="000000"/>
        </w:rPr>
        <w:t>RESOLUCIÓN DEL RECURSO DE REVISIÓN 08036/INFOEM/IP/RR/2025</w:t>
      </w:r>
    </w:p>
    <w:p w:rsidR="00495598" w:rsidRDefault="00495598">
      <w:pPr>
        <w:spacing w:after="0" w:line="360" w:lineRule="auto"/>
      </w:pPr>
    </w:p>
    <w:sdt>
      <w:sdtPr>
        <w:id w:val="-2007843577"/>
        <w:docPartObj>
          <w:docPartGallery w:val="Table of Contents"/>
          <w:docPartUnique/>
        </w:docPartObj>
      </w:sdtPr>
      <w:sdtEndPr/>
      <w:sdtContent>
        <w:p w:rsidR="00495598" w:rsidRDefault="008E4C61">
          <w:pPr>
            <w:pBdr>
              <w:top w:val="nil"/>
              <w:left w:val="nil"/>
              <w:bottom w:val="nil"/>
              <w:right w:val="nil"/>
              <w:between w:val="nil"/>
            </w:pBdr>
            <w:tabs>
              <w:tab w:val="right" w:pos="8921"/>
            </w:tabs>
            <w:spacing w:after="0" w:line="360" w:lineRule="auto"/>
            <w:rPr>
              <w:rFonts w:ascii="Cambria" w:eastAsia="Cambria" w:hAnsi="Cambria" w:cs="Cambria"/>
              <w:color w:val="000000"/>
            </w:rPr>
          </w:pPr>
          <w:r>
            <w:fldChar w:fldCharType="begin"/>
          </w:r>
          <w:r>
            <w:instrText xml:space="preserve"> TOC \h \u \z \t "Heading 1,1,Heading 2,2,Heading 3,3,"</w:instrText>
          </w:r>
          <w:r>
            <w:fldChar w:fldCharType="separate"/>
          </w:r>
          <w:hyperlink w:anchor="_heading=h.oo21kb2s0g9v">
            <w:r>
              <w:rPr>
                <w:color w:val="000000"/>
              </w:rPr>
              <w:t>A N T E C E D E N T E S</w:t>
            </w:r>
            <w:r>
              <w:rPr>
                <w:color w:val="000000"/>
              </w:rPr>
              <w:tab/>
              <w:t>2</w:t>
            </w:r>
          </w:hyperlink>
        </w:p>
        <w:p w:rsidR="00495598" w:rsidRDefault="00B34165">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kx6e03qwt6ko">
            <w:r w:rsidR="008E4C61">
              <w:rPr>
                <w:color w:val="000000"/>
              </w:rPr>
              <w:t>I. Presentación de la solicitud de información</w:t>
            </w:r>
            <w:r w:rsidR="008E4C61">
              <w:rPr>
                <w:color w:val="000000"/>
              </w:rPr>
              <w:tab/>
              <w:t>2</w:t>
            </w:r>
          </w:hyperlink>
        </w:p>
        <w:p w:rsidR="00495598" w:rsidRDefault="00B34165">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34iwhd1vitnc">
            <w:r w:rsidR="008E4C61">
              <w:rPr>
                <w:color w:val="000000"/>
              </w:rPr>
              <w:t>II. Respuesta del Sujeto Obligado</w:t>
            </w:r>
            <w:r w:rsidR="008E4C61">
              <w:rPr>
                <w:color w:val="000000"/>
              </w:rPr>
              <w:tab/>
              <w:t>3</w:t>
            </w:r>
          </w:hyperlink>
        </w:p>
        <w:p w:rsidR="00495598" w:rsidRDefault="00B34165">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n46mdafork6f">
            <w:r w:rsidR="008E4C61">
              <w:rPr>
                <w:color w:val="000000"/>
              </w:rPr>
              <w:t>III. Interposición del Recurso de Revisión</w:t>
            </w:r>
            <w:r w:rsidR="008E4C61">
              <w:rPr>
                <w:color w:val="000000"/>
              </w:rPr>
              <w:tab/>
              <w:t>5</w:t>
            </w:r>
          </w:hyperlink>
        </w:p>
        <w:p w:rsidR="00495598" w:rsidRDefault="00B34165">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dlo4sf5h8qg">
            <w:r w:rsidR="008E4C61">
              <w:rPr>
                <w:color w:val="000000"/>
              </w:rPr>
              <w:t>IV. Trámite del Recurso de Revisión ante este Instituto</w:t>
            </w:r>
            <w:r w:rsidR="008E4C61">
              <w:rPr>
                <w:color w:val="000000"/>
              </w:rPr>
              <w:tab/>
              <w:t>6</w:t>
            </w:r>
          </w:hyperlink>
        </w:p>
        <w:p w:rsidR="00495598" w:rsidRDefault="00B34165">
          <w:pPr>
            <w:pBdr>
              <w:top w:val="nil"/>
              <w:left w:val="nil"/>
              <w:bottom w:val="nil"/>
              <w:right w:val="nil"/>
              <w:between w:val="nil"/>
            </w:pBdr>
            <w:tabs>
              <w:tab w:val="right" w:pos="8921"/>
            </w:tabs>
            <w:spacing w:after="0" w:line="360" w:lineRule="auto"/>
            <w:rPr>
              <w:rFonts w:ascii="Cambria" w:eastAsia="Cambria" w:hAnsi="Cambria" w:cs="Cambria"/>
              <w:color w:val="000000"/>
            </w:rPr>
          </w:pPr>
          <w:hyperlink w:anchor="_heading=h.6wj3awe8elhc">
            <w:r w:rsidR="008E4C61">
              <w:rPr>
                <w:color w:val="000000"/>
              </w:rPr>
              <w:t>C O N S I D E R A N D O S</w:t>
            </w:r>
            <w:r w:rsidR="008E4C61">
              <w:rPr>
                <w:color w:val="000000"/>
              </w:rPr>
              <w:tab/>
              <w:t>11</w:t>
            </w:r>
          </w:hyperlink>
        </w:p>
        <w:p w:rsidR="00495598" w:rsidRDefault="00B34165">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2arg6ma0ytqj">
            <w:r w:rsidR="008E4C61">
              <w:rPr>
                <w:color w:val="000000"/>
              </w:rPr>
              <w:t>PRIMERO. Competencia</w:t>
            </w:r>
            <w:r w:rsidR="008E4C61">
              <w:rPr>
                <w:color w:val="000000"/>
              </w:rPr>
              <w:tab/>
              <w:t>11</w:t>
            </w:r>
          </w:hyperlink>
        </w:p>
        <w:p w:rsidR="00495598" w:rsidRDefault="00B34165">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oj0x41v4zx7i">
            <w:r w:rsidR="008E4C61">
              <w:rPr>
                <w:color w:val="000000"/>
              </w:rPr>
              <w:t>SEGUNDO. Causales de improcedencia y sobreseimiento</w:t>
            </w:r>
            <w:r w:rsidR="008E4C61">
              <w:rPr>
                <w:color w:val="000000"/>
              </w:rPr>
              <w:tab/>
              <w:t>11</w:t>
            </w:r>
          </w:hyperlink>
        </w:p>
        <w:p w:rsidR="00495598" w:rsidRDefault="00B34165">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avb92yrssqo">
            <w:r w:rsidR="008E4C61">
              <w:rPr>
                <w:color w:val="000000"/>
              </w:rPr>
              <w:t>TERCERO. Determinación de la Controversia</w:t>
            </w:r>
            <w:r w:rsidR="008E4C61">
              <w:rPr>
                <w:color w:val="000000"/>
              </w:rPr>
              <w:tab/>
              <w:t>13</w:t>
            </w:r>
          </w:hyperlink>
        </w:p>
        <w:p w:rsidR="00495598" w:rsidRDefault="00B34165">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9uezjtcwobtj">
            <w:r w:rsidR="008E4C61">
              <w:rPr>
                <w:color w:val="000000"/>
              </w:rPr>
              <w:t>CUARTO. Marco normativo aplicable en materia de transparencia y acceso a la información pública</w:t>
            </w:r>
            <w:r w:rsidR="008E4C61">
              <w:rPr>
                <w:color w:val="000000"/>
              </w:rPr>
              <w:tab/>
              <w:t>14</w:t>
            </w:r>
          </w:hyperlink>
        </w:p>
        <w:p w:rsidR="00495598" w:rsidRDefault="00B34165">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uy8bmuqhbb2b">
            <w:r w:rsidR="008E4C61">
              <w:rPr>
                <w:color w:val="000000"/>
              </w:rPr>
              <w:t>QUINTO. Estudio de Fondo</w:t>
            </w:r>
            <w:r w:rsidR="008E4C61">
              <w:rPr>
                <w:color w:val="000000"/>
              </w:rPr>
              <w:tab/>
              <w:t>15</w:t>
            </w:r>
          </w:hyperlink>
        </w:p>
        <w:p w:rsidR="00495598" w:rsidRDefault="00B34165">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x194253c7bzi">
            <w:r w:rsidR="008E4C61">
              <w:rPr>
                <w:color w:val="000000"/>
              </w:rPr>
              <w:t>SEXTO. Decisión</w:t>
            </w:r>
            <w:r w:rsidR="008E4C61">
              <w:rPr>
                <w:color w:val="000000"/>
              </w:rPr>
              <w:tab/>
              <w:t>39</w:t>
            </w:r>
          </w:hyperlink>
        </w:p>
        <w:p w:rsidR="00495598" w:rsidRDefault="00B34165">
          <w:pPr>
            <w:pBdr>
              <w:top w:val="nil"/>
              <w:left w:val="nil"/>
              <w:bottom w:val="nil"/>
              <w:right w:val="nil"/>
              <w:between w:val="nil"/>
            </w:pBdr>
            <w:tabs>
              <w:tab w:val="right" w:pos="8921"/>
            </w:tabs>
            <w:spacing w:after="0" w:line="360" w:lineRule="auto"/>
            <w:rPr>
              <w:rFonts w:ascii="Cambria" w:eastAsia="Cambria" w:hAnsi="Cambria" w:cs="Cambria"/>
              <w:color w:val="000000"/>
            </w:rPr>
          </w:pPr>
          <w:hyperlink w:anchor="_heading=h.wol8rs7d744o">
            <w:r w:rsidR="008E4C61">
              <w:rPr>
                <w:color w:val="000000"/>
              </w:rPr>
              <w:t>R E S U E L V E</w:t>
            </w:r>
            <w:r w:rsidR="008E4C61">
              <w:rPr>
                <w:color w:val="000000"/>
              </w:rPr>
              <w:tab/>
              <w:t>39</w:t>
            </w:r>
          </w:hyperlink>
        </w:p>
        <w:p w:rsidR="00495598" w:rsidRDefault="008E4C61">
          <w:pPr>
            <w:spacing w:after="0" w:line="360" w:lineRule="auto"/>
          </w:pPr>
          <w:r>
            <w:fldChar w:fldCharType="end"/>
          </w:r>
        </w:p>
      </w:sdtContent>
    </w:sdt>
    <w:p w:rsidR="00495598" w:rsidRDefault="00495598">
      <w:pPr>
        <w:tabs>
          <w:tab w:val="left" w:pos="8931"/>
        </w:tabs>
        <w:spacing w:after="0" w:line="360" w:lineRule="auto"/>
      </w:pPr>
    </w:p>
    <w:p w:rsidR="00495598" w:rsidRDefault="00495598">
      <w:pPr>
        <w:tabs>
          <w:tab w:val="left" w:pos="8931"/>
        </w:tabs>
        <w:spacing w:after="0" w:line="360" w:lineRule="auto"/>
      </w:pPr>
    </w:p>
    <w:p w:rsidR="00495598" w:rsidRDefault="00495598">
      <w:pPr>
        <w:tabs>
          <w:tab w:val="left" w:pos="8931"/>
        </w:tabs>
        <w:spacing w:after="0" w:line="360" w:lineRule="auto"/>
      </w:pPr>
    </w:p>
    <w:p w:rsidR="00495598" w:rsidRDefault="00495598">
      <w:pPr>
        <w:tabs>
          <w:tab w:val="left" w:pos="8931"/>
        </w:tabs>
        <w:spacing w:after="0" w:line="360" w:lineRule="auto"/>
      </w:pPr>
    </w:p>
    <w:p w:rsidR="00495598" w:rsidRDefault="00495598">
      <w:pPr>
        <w:tabs>
          <w:tab w:val="left" w:pos="8931"/>
        </w:tabs>
        <w:spacing w:after="0" w:line="360" w:lineRule="auto"/>
      </w:pPr>
    </w:p>
    <w:p w:rsidR="00495598" w:rsidRDefault="00495598">
      <w:pPr>
        <w:tabs>
          <w:tab w:val="left" w:pos="8931"/>
        </w:tabs>
        <w:spacing w:after="0" w:line="360" w:lineRule="auto"/>
      </w:pPr>
    </w:p>
    <w:p w:rsidR="00495598" w:rsidRDefault="00495598">
      <w:pPr>
        <w:tabs>
          <w:tab w:val="left" w:pos="8931"/>
        </w:tabs>
        <w:spacing w:after="0" w:line="360" w:lineRule="auto"/>
      </w:pPr>
    </w:p>
    <w:p w:rsidR="00495598" w:rsidRDefault="008E4C61">
      <w:pPr>
        <w:tabs>
          <w:tab w:val="left" w:pos="8931"/>
        </w:tabs>
        <w:spacing w:after="0" w:line="360" w:lineRule="auto"/>
      </w:pPr>
      <w:r>
        <w:lastRenderedPageBreak/>
        <w:t xml:space="preserve">Resolución del Pleno del Instituto de Transparencia, Acceso a la Información Pública y Protección de Datos Personales del Estado de México y Municipios, con domicilio en Metepec, Estado de México, de fecha cinco de noviembre de dos mil veinticinco. </w:t>
      </w:r>
    </w:p>
    <w:p w:rsidR="00495598" w:rsidRDefault="00495598">
      <w:pPr>
        <w:spacing w:after="0" w:line="360" w:lineRule="auto"/>
        <w:rPr>
          <w:b/>
        </w:rPr>
      </w:pPr>
    </w:p>
    <w:p w:rsidR="00495598" w:rsidRDefault="008E4C61">
      <w:pPr>
        <w:spacing w:after="0" w:line="360" w:lineRule="auto"/>
        <w:rPr>
          <w:color w:val="0D0D0D"/>
        </w:rPr>
      </w:pPr>
      <w:r>
        <w:rPr>
          <w:b/>
        </w:rPr>
        <w:t xml:space="preserve">VISTO </w:t>
      </w:r>
      <w:r>
        <w:t xml:space="preserve">el expediente electrónico conformado con motivo del Recurso de Revisión </w:t>
      </w:r>
      <w:r w:rsidRPr="000D683A">
        <w:rPr>
          <w:b/>
        </w:rPr>
        <w:t>08036/INFOEM/IP/RR/2025</w:t>
      </w:r>
      <w:r>
        <w:t xml:space="preserve">, interpuesto por la persona </w:t>
      </w:r>
      <w:r>
        <w:rPr>
          <w:color w:val="0D0D0D"/>
        </w:rPr>
        <w:t xml:space="preserve">Recurrente o Particular, en contra de la respuesta del Sujeto Obligado, </w:t>
      </w:r>
      <w:bookmarkStart w:id="0" w:name="_GoBack"/>
      <w:r w:rsidRPr="000D683A">
        <w:rPr>
          <w:b/>
          <w:color w:val="0D0D0D"/>
        </w:rPr>
        <w:t>Secretaría de Educación, Ciencia, Tecnología e Innovación</w:t>
      </w:r>
      <w:r w:rsidRPr="000D683A">
        <w:rPr>
          <w:b/>
        </w:rPr>
        <w:t>,</w:t>
      </w:r>
      <w:r w:rsidRPr="000D683A">
        <w:rPr>
          <w:b/>
          <w:color w:val="0D0D0D"/>
        </w:rPr>
        <w:t xml:space="preserve"> </w:t>
      </w:r>
      <w:bookmarkEnd w:id="0"/>
      <w:r>
        <w:rPr>
          <w:color w:val="0D0D0D"/>
        </w:rPr>
        <w:t xml:space="preserve">a la solicitud de acceso a la información pública </w:t>
      </w:r>
      <w:r>
        <w:t>00523/SECTI/IP/2025</w:t>
      </w:r>
      <w:r>
        <w:rPr>
          <w:color w:val="000000"/>
        </w:rPr>
        <w:t xml:space="preserve">, </w:t>
      </w:r>
      <w:r>
        <w:rPr>
          <w:color w:val="0D0D0D"/>
        </w:rPr>
        <w:t>se emite la presente Resolución, con base en los Antecedentes y Considerandos que se exponen a continuación:</w:t>
      </w:r>
    </w:p>
    <w:p w:rsidR="00495598" w:rsidRDefault="00495598">
      <w:pPr>
        <w:spacing w:after="0" w:line="360" w:lineRule="auto"/>
        <w:rPr>
          <w:b/>
        </w:rPr>
      </w:pPr>
    </w:p>
    <w:p w:rsidR="00495598" w:rsidRDefault="008E4C61">
      <w:pPr>
        <w:pStyle w:val="Ttulo1"/>
        <w:spacing w:before="0" w:after="0" w:line="360" w:lineRule="auto"/>
        <w:jc w:val="center"/>
        <w:rPr>
          <w:sz w:val="22"/>
          <w:szCs w:val="22"/>
        </w:rPr>
      </w:pPr>
      <w:bookmarkStart w:id="1" w:name="_heading=h.oo21kb2s0g9v" w:colFirst="0" w:colLast="0"/>
      <w:bookmarkEnd w:id="1"/>
      <w:r>
        <w:rPr>
          <w:sz w:val="22"/>
          <w:szCs w:val="22"/>
        </w:rPr>
        <w:t>A N T E C E D E N T E S</w:t>
      </w:r>
    </w:p>
    <w:p w:rsidR="00495598" w:rsidRDefault="00495598">
      <w:pPr>
        <w:spacing w:after="0" w:line="360" w:lineRule="auto"/>
        <w:jc w:val="center"/>
        <w:rPr>
          <w:b/>
        </w:rPr>
      </w:pPr>
    </w:p>
    <w:p w:rsidR="00495598" w:rsidRDefault="008E4C61">
      <w:pPr>
        <w:pStyle w:val="Ttulo2"/>
        <w:spacing w:before="0" w:after="0" w:line="360" w:lineRule="auto"/>
        <w:rPr>
          <w:sz w:val="22"/>
          <w:szCs w:val="22"/>
        </w:rPr>
      </w:pPr>
      <w:bookmarkStart w:id="2" w:name="_heading=h.kx6e03qwt6ko" w:colFirst="0" w:colLast="0"/>
      <w:bookmarkEnd w:id="2"/>
      <w:r>
        <w:rPr>
          <w:sz w:val="22"/>
          <w:szCs w:val="22"/>
        </w:rPr>
        <w:t>I. Presentación de la solicitud de información</w:t>
      </w:r>
    </w:p>
    <w:p w:rsidR="00495598" w:rsidRDefault="00495598">
      <w:pPr>
        <w:tabs>
          <w:tab w:val="left" w:pos="567"/>
        </w:tabs>
        <w:spacing w:after="0" w:line="360" w:lineRule="auto"/>
      </w:pPr>
    </w:p>
    <w:p w:rsidR="00495598" w:rsidRDefault="008E4C61">
      <w:pPr>
        <w:spacing w:after="0" w:line="360" w:lineRule="auto"/>
      </w:pPr>
      <w:r>
        <w:t>El nueve de junio de dos mil veinticinco, la persona Recurrente presentó una solicitud de acceso a la información pública, a través del Sistema de Acceso a la Información Mexiquense (SAIMEX), ante la Secretaría de Educación, Ciencia, Tecnología e Innovación</w:t>
      </w:r>
      <w:r>
        <w:rPr>
          <w:color w:val="000000"/>
        </w:rPr>
        <w:t>,</w:t>
      </w:r>
      <w:r>
        <w:t xml:space="preserve"> en los siguientes términos: </w:t>
      </w:r>
    </w:p>
    <w:p w:rsidR="00495598" w:rsidRDefault="00495598">
      <w:pPr>
        <w:spacing w:after="0" w:line="360" w:lineRule="auto"/>
      </w:pPr>
    </w:p>
    <w:p w:rsidR="00495598" w:rsidRDefault="008E4C61">
      <w:pPr>
        <w:tabs>
          <w:tab w:val="left" w:pos="4667"/>
        </w:tabs>
        <w:spacing w:after="0" w:line="360" w:lineRule="auto"/>
        <w:ind w:left="567" w:right="567"/>
        <w:rPr>
          <w:b/>
          <w:i/>
          <w:sz w:val="20"/>
          <w:szCs w:val="20"/>
        </w:rPr>
      </w:pPr>
      <w:r>
        <w:rPr>
          <w:b/>
          <w:i/>
          <w:sz w:val="20"/>
          <w:szCs w:val="20"/>
        </w:rPr>
        <w:t>“DESCRIPCIÓN CLARA Y PRECISA DE LA INFORMACIÓN SOLICITADA</w:t>
      </w:r>
    </w:p>
    <w:p w:rsidR="00495598" w:rsidRDefault="008E4C61">
      <w:pPr>
        <w:tabs>
          <w:tab w:val="left" w:pos="4667"/>
        </w:tabs>
        <w:spacing w:after="0" w:line="360" w:lineRule="auto"/>
        <w:ind w:left="567" w:right="567"/>
        <w:rPr>
          <w:i/>
          <w:sz w:val="20"/>
          <w:szCs w:val="20"/>
        </w:rPr>
      </w:pPr>
      <w:r>
        <w:rPr>
          <w:i/>
          <w:sz w:val="20"/>
          <w:szCs w:val="20"/>
        </w:rPr>
        <w:t xml:space="preserve">Solicito los recibos de pago y/o nómina del mes de mayo, así como sus contratos y nombramientos de todos los hombres que pertenecen al Departamento de Programación Presupuestal, de la Subsecretaría de Administración y Finanzas, perteneciente a la Secretaría de Educación, Ciencia, Tecnología e Innovación.” (Sic.) </w:t>
      </w:r>
    </w:p>
    <w:p w:rsidR="00495598" w:rsidRDefault="00495598">
      <w:pPr>
        <w:tabs>
          <w:tab w:val="left" w:pos="4667"/>
        </w:tabs>
        <w:spacing w:after="0" w:line="360" w:lineRule="auto"/>
        <w:ind w:left="567" w:right="567"/>
        <w:rPr>
          <w:b/>
          <w:i/>
          <w:sz w:val="20"/>
          <w:szCs w:val="20"/>
        </w:rPr>
      </w:pPr>
    </w:p>
    <w:p w:rsidR="00495598" w:rsidRDefault="00495598">
      <w:pPr>
        <w:tabs>
          <w:tab w:val="left" w:pos="4667"/>
        </w:tabs>
        <w:spacing w:after="0" w:line="360" w:lineRule="auto"/>
        <w:ind w:left="567" w:right="567"/>
        <w:rPr>
          <w:b/>
          <w:i/>
          <w:sz w:val="20"/>
          <w:szCs w:val="20"/>
        </w:rPr>
      </w:pPr>
    </w:p>
    <w:p w:rsidR="00495598" w:rsidRDefault="008E4C61">
      <w:pPr>
        <w:tabs>
          <w:tab w:val="left" w:pos="4667"/>
        </w:tabs>
        <w:spacing w:after="0" w:line="360" w:lineRule="auto"/>
        <w:ind w:left="567" w:right="567"/>
        <w:rPr>
          <w:b/>
          <w:i/>
          <w:sz w:val="20"/>
          <w:szCs w:val="20"/>
        </w:rPr>
      </w:pPr>
      <w:r>
        <w:rPr>
          <w:b/>
          <w:i/>
          <w:sz w:val="20"/>
          <w:szCs w:val="20"/>
        </w:rPr>
        <w:lastRenderedPageBreak/>
        <w:t>“MODALIDAD DE ENTREGA</w:t>
      </w:r>
    </w:p>
    <w:p w:rsidR="00495598" w:rsidRDefault="008E4C61">
      <w:pPr>
        <w:spacing w:after="0" w:line="360" w:lineRule="auto"/>
        <w:ind w:left="567" w:right="567"/>
        <w:rPr>
          <w:i/>
          <w:sz w:val="20"/>
          <w:szCs w:val="20"/>
        </w:rPr>
      </w:pPr>
      <w:r>
        <w:rPr>
          <w:i/>
          <w:sz w:val="20"/>
          <w:szCs w:val="20"/>
        </w:rPr>
        <w:t>A través del SAIMEX”</w:t>
      </w:r>
    </w:p>
    <w:p w:rsidR="00495598" w:rsidRDefault="00495598">
      <w:pPr>
        <w:spacing w:after="0" w:line="360" w:lineRule="auto"/>
        <w:ind w:left="567" w:right="567"/>
        <w:rPr>
          <w:i/>
          <w:sz w:val="20"/>
          <w:szCs w:val="20"/>
        </w:rPr>
      </w:pPr>
    </w:p>
    <w:p w:rsidR="00495598" w:rsidRDefault="008E4C61">
      <w:pPr>
        <w:pStyle w:val="Ttulo2"/>
        <w:spacing w:before="0" w:after="0" w:line="360" w:lineRule="auto"/>
        <w:rPr>
          <w:sz w:val="22"/>
          <w:szCs w:val="22"/>
        </w:rPr>
      </w:pPr>
      <w:bookmarkStart w:id="3" w:name="_heading=h.34iwhd1vitnc" w:colFirst="0" w:colLast="0"/>
      <w:bookmarkEnd w:id="3"/>
      <w:r>
        <w:rPr>
          <w:sz w:val="22"/>
          <w:szCs w:val="22"/>
        </w:rPr>
        <w:t>II. Respuesta del Sujeto Obligado</w:t>
      </w:r>
    </w:p>
    <w:p w:rsidR="00495598" w:rsidRDefault="00495598">
      <w:pPr>
        <w:spacing w:after="0" w:line="360" w:lineRule="auto"/>
        <w:rPr>
          <w:b/>
        </w:rPr>
      </w:pPr>
    </w:p>
    <w:p w:rsidR="00495598" w:rsidRDefault="008E4C61">
      <w:pPr>
        <w:spacing w:after="0" w:line="360" w:lineRule="auto"/>
      </w:pPr>
      <w:r>
        <w:t xml:space="preserve">El veinticuatro de junio de dos mil veinticinco, el Sujeto Obligado notificó, a través del Sistema de Acceso a la Información Mexiquense (SAIMEX), la respuesta a la solicitud de acceso a la información pública, a través de los documentos siguientes: </w:t>
      </w:r>
    </w:p>
    <w:p w:rsidR="00495598" w:rsidRDefault="00495598">
      <w:pPr>
        <w:spacing w:after="0" w:line="360" w:lineRule="auto"/>
      </w:pPr>
    </w:p>
    <w:p w:rsidR="00495598" w:rsidRDefault="008E4C61">
      <w:pPr>
        <w:spacing w:after="0" w:line="360" w:lineRule="auto"/>
      </w:pPr>
      <w:r>
        <w:t xml:space="preserve">i) Oficio número 22800007010000S/1548/UT/2025 del veintitrés de junio de dos mil veinticinco,  suscrito por el Titular de la Unidad de Transparencia y dirigido al Solicitante por medio del cual precisó remitir los diversos 22804001010001L/2830/2025 y 22804001000000S/1026/2025, que dan respuesta la solicitud de información pública, además precisó que, toda vez que la documentación remitida </w:t>
      </w:r>
      <w:proofErr w:type="spellStart"/>
      <w:r>
        <w:t>contine</w:t>
      </w:r>
      <w:proofErr w:type="spellEnd"/>
      <w:r>
        <w:t xml:space="preserve"> datos personales confidenciales, se emitió el Acuerdo número CTE/19/05/2025 en la Décima Novena Sesión Extraordinaria, en la que se confirmó la clasificación con carácter de información confidencial parcial de los datos contenidos en los documentos proporcionados. </w:t>
      </w:r>
    </w:p>
    <w:p w:rsidR="00495598" w:rsidRDefault="00495598">
      <w:pPr>
        <w:spacing w:after="0" w:line="360" w:lineRule="auto"/>
      </w:pPr>
    </w:p>
    <w:p w:rsidR="00495598" w:rsidRDefault="008E4C61">
      <w:pPr>
        <w:spacing w:after="0" w:line="360" w:lineRule="auto"/>
      </w:pPr>
      <w:r>
        <w:t xml:space="preserve">ii) Oficio número 22804001010001L/2830/2025 del trece de junio de dos mil veinticinco, signado por el Jefe del Departamento de Administración y Desarrollo de Personal, por medio del cual precisó que después de realizar una búsqueda minuciosa en sus archivos y base de datos, no se encontró ningún servidor público burócrata general o de confianza de sexo masculino (hombre) perteneciente al Departamento de Programación Presupuestal. </w:t>
      </w:r>
    </w:p>
    <w:p w:rsidR="00495598" w:rsidRDefault="008E4C61">
      <w:pPr>
        <w:spacing w:after="0" w:line="360" w:lineRule="auto"/>
      </w:pPr>
      <w:r>
        <w:t xml:space="preserve">iii) Oficio número 22804001000000S/1026/2025 del dieciocho de junio de dos mil veinticinco, suscrito por el Coordinador de Delegaciones Administrativas, en los términos siguientes: </w:t>
      </w:r>
    </w:p>
    <w:p w:rsidR="00495598" w:rsidRDefault="00495598">
      <w:pPr>
        <w:spacing w:after="0" w:line="360" w:lineRule="auto"/>
      </w:pPr>
    </w:p>
    <w:p w:rsidR="00495598" w:rsidRDefault="008E4C61">
      <w:pPr>
        <w:spacing w:after="0" w:line="360" w:lineRule="auto"/>
        <w:ind w:left="567" w:right="567"/>
        <w:rPr>
          <w:i/>
          <w:sz w:val="20"/>
          <w:szCs w:val="20"/>
        </w:rPr>
      </w:pPr>
      <w:r>
        <w:rPr>
          <w:i/>
          <w:sz w:val="20"/>
          <w:szCs w:val="20"/>
        </w:rPr>
        <w:lastRenderedPageBreak/>
        <w:t>“…después de consultar el Sistema de Administración de la Secretaría de Educación, Ciencia, Tecnología e Innovación, con corte al período 10 de 20025 se envían físicamente la relación de servidores públicos docentes varones adscritos al Departamento de programación Presupuestal, así como los Formatos Únicos de Movimientos de Personal y los comprobantes de pago correspondientes a la primera y segunda quincena del mes de mayo del año en curso, que existen en esta Coordinación de Delegaciones Administrativas, no omito comentar que los contratos y nombramientos de todos los varones que están adscritos al Departamento citado, no existen en esta unidad administrativa, motivo por el cual no se está proporcionando la información, sin que implique incumplir en responsabilidades de la Ley citada, toda vez que no se está obligado a realizar investigaciones para proporcionar la información de acuerdo al interés del solicitante.</w:t>
      </w:r>
    </w:p>
    <w:p w:rsidR="00495598" w:rsidRDefault="00495598">
      <w:pPr>
        <w:spacing w:after="0" w:line="360" w:lineRule="auto"/>
        <w:ind w:left="567" w:right="567"/>
        <w:rPr>
          <w:i/>
          <w:sz w:val="20"/>
          <w:szCs w:val="20"/>
        </w:rPr>
      </w:pPr>
    </w:p>
    <w:p w:rsidR="00495598" w:rsidRDefault="008E4C61">
      <w:pPr>
        <w:spacing w:after="0" w:line="360" w:lineRule="auto"/>
        <w:ind w:left="567" w:right="567"/>
        <w:rPr>
          <w:i/>
          <w:sz w:val="20"/>
          <w:szCs w:val="20"/>
        </w:rPr>
      </w:pPr>
      <w:r>
        <w:rPr>
          <w:i/>
          <w:sz w:val="20"/>
          <w:szCs w:val="20"/>
        </w:rPr>
        <w:t xml:space="preserve">Hago notar que los Formatos Únicos de Movimientos de Personal y los comprobantes de pago correspondientes al mes de mayo de 2025 de los servidores públicos docentes varones adscritos al Departamento de Programación Presupuestal de la Subsecretaría de Administración y Finanzas, contienen datos personales confidenciales, que deben ser protegidos…” </w:t>
      </w:r>
    </w:p>
    <w:p w:rsidR="00495598" w:rsidRDefault="008E4C61">
      <w:pPr>
        <w:spacing w:after="0" w:line="360" w:lineRule="auto"/>
        <w:ind w:left="567" w:right="567"/>
        <w:rPr>
          <w:i/>
          <w:sz w:val="20"/>
          <w:szCs w:val="20"/>
        </w:rPr>
      </w:pPr>
      <w:r>
        <w:rPr>
          <w:i/>
          <w:sz w:val="20"/>
          <w:szCs w:val="20"/>
        </w:rPr>
        <w:t xml:space="preserve"> </w:t>
      </w:r>
    </w:p>
    <w:p w:rsidR="00495598" w:rsidRDefault="008E4C61">
      <w:pPr>
        <w:spacing w:after="0" w:line="360" w:lineRule="auto"/>
      </w:pPr>
      <w:r>
        <w:t xml:space="preserve">iv) Adjuntó una relación de los servidores públicos (hombres) adscritos al Departamento de Programación Presupuestal, tal como se muestra a continuación: </w:t>
      </w:r>
    </w:p>
    <w:p w:rsidR="00495598" w:rsidRDefault="00495598">
      <w:pPr>
        <w:spacing w:after="0" w:line="360" w:lineRule="auto"/>
      </w:pPr>
    </w:p>
    <w:p w:rsidR="00495598" w:rsidRDefault="008E4C61">
      <w:pPr>
        <w:spacing w:after="0" w:line="360" w:lineRule="auto"/>
        <w:jc w:val="center"/>
      </w:pPr>
      <w:r>
        <w:rPr>
          <w:noProof/>
        </w:rPr>
        <w:drawing>
          <wp:inline distT="0" distB="0" distL="0" distR="0">
            <wp:extent cx="4585454" cy="2130226"/>
            <wp:effectExtent l="0" t="0" r="0" b="0"/>
            <wp:docPr id="172820147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4585454" cy="2130226"/>
                    </a:xfrm>
                    <a:prstGeom prst="rect">
                      <a:avLst/>
                    </a:prstGeom>
                    <a:ln/>
                  </pic:spPr>
                </pic:pic>
              </a:graphicData>
            </a:graphic>
          </wp:inline>
        </w:drawing>
      </w:r>
    </w:p>
    <w:p w:rsidR="00495598" w:rsidRDefault="00495598">
      <w:pPr>
        <w:spacing w:after="0" w:line="360" w:lineRule="auto"/>
      </w:pPr>
    </w:p>
    <w:p w:rsidR="00495598" w:rsidRDefault="008E4C61">
      <w:pPr>
        <w:spacing w:after="0" w:line="360" w:lineRule="auto"/>
      </w:pPr>
      <w:r>
        <w:lastRenderedPageBreak/>
        <w:t xml:space="preserve">v) Adjuntó la Digitalización de los Formatos Únicos de Movimiento de Personal y los comprobantes de percepciones y deducciones correspondientes a la primera y segunda quincena de mayo de dos mil veinticinco, de los servidores públicos referidos en el inciso anterior, en versión pública. </w:t>
      </w:r>
    </w:p>
    <w:p w:rsidR="00495598" w:rsidRDefault="00495598">
      <w:pPr>
        <w:spacing w:after="0" w:line="360" w:lineRule="auto"/>
      </w:pPr>
    </w:p>
    <w:p w:rsidR="00495598" w:rsidRDefault="008E4C61">
      <w:pPr>
        <w:pStyle w:val="Ttulo2"/>
        <w:spacing w:before="0" w:after="0" w:line="360" w:lineRule="auto"/>
        <w:rPr>
          <w:sz w:val="22"/>
          <w:szCs w:val="22"/>
        </w:rPr>
      </w:pPr>
      <w:bookmarkStart w:id="4" w:name="_heading=h.n46mdafork6f" w:colFirst="0" w:colLast="0"/>
      <w:bookmarkEnd w:id="4"/>
      <w:r>
        <w:rPr>
          <w:sz w:val="22"/>
          <w:szCs w:val="22"/>
        </w:rPr>
        <w:t>III. Interposición del Recurso de Revisión</w:t>
      </w:r>
    </w:p>
    <w:p w:rsidR="00495598" w:rsidRDefault="00495598">
      <w:pPr>
        <w:spacing w:after="0" w:line="360" w:lineRule="auto"/>
        <w:rPr>
          <w:b/>
        </w:rPr>
      </w:pPr>
    </w:p>
    <w:p w:rsidR="00495598" w:rsidRDefault="008E4C61">
      <w:pPr>
        <w:spacing w:after="0" w:line="360" w:lineRule="auto"/>
      </w:pPr>
      <w:r>
        <w:t xml:space="preserve">El dos de julio de dos mil veinticinco, se recibió en este Instituto, a través del Sistema de Acceso a la Información Mexiquense (SAIMEX), el Recurso de Revisión interpuesto por la persona Recurrente, en contra de la respuesta por el Sujeto Obligado, a la solicitud de información, en los siguientes términos: </w:t>
      </w:r>
    </w:p>
    <w:p w:rsidR="00495598" w:rsidRDefault="00495598">
      <w:pPr>
        <w:spacing w:after="0" w:line="360" w:lineRule="auto"/>
        <w:ind w:left="567" w:right="567"/>
        <w:rPr>
          <w:b/>
          <w:i/>
          <w:sz w:val="20"/>
          <w:szCs w:val="20"/>
        </w:rPr>
      </w:pPr>
    </w:p>
    <w:p w:rsidR="00495598" w:rsidRDefault="008E4C61">
      <w:pPr>
        <w:spacing w:after="0" w:line="360" w:lineRule="auto"/>
        <w:ind w:left="567" w:right="567"/>
        <w:rPr>
          <w:i/>
          <w:sz w:val="20"/>
          <w:szCs w:val="20"/>
        </w:rPr>
      </w:pPr>
      <w:r>
        <w:rPr>
          <w:b/>
          <w:i/>
          <w:sz w:val="20"/>
          <w:szCs w:val="20"/>
        </w:rPr>
        <w:t>‘’ACTO IMPUGNADO</w:t>
      </w:r>
    </w:p>
    <w:p w:rsidR="00495598" w:rsidRDefault="008E4C61">
      <w:pPr>
        <w:spacing w:after="0" w:line="360" w:lineRule="auto"/>
        <w:ind w:left="567" w:right="567"/>
        <w:rPr>
          <w:i/>
          <w:sz w:val="20"/>
          <w:szCs w:val="20"/>
        </w:rPr>
      </w:pPr>
      <w:r>
        <w:rPr>
          <w:i/>
          <w:sz w:val="20"/>
          <w:szCs w:val="20"/>
        </w:rPr>
        <w:t>No entregan completa la información que solicite”</w:t>
      </w:r>
    </w:p>
    <w:p w:rsidR="00495598" w:rsidRDefault="00495598">
      <w:pPr>
        <w:spacing w:after="0" w:line="360" w:lineRule="auto"/>
        <w:ind w:left="567" w:right="567"/>
        <w:rPr>
          <w:i/>
          <w:sz w:val="20"/>
          <w:szCs w:val="20"/>
        </w:rPr>
      </w:pPr>
    </w:p>
    <w:p w:rsidR="00495598" w:rsidRDefault="008E4C61">
      <w:pPr>
        <w:spacing w:after="0" w:line="360" w:lineRule="auto"/>
        <w:ind w:left="567" w:right="567"/>
        <w:rPr>
          <w:b/>
          <w:i/>
          <w:sz w:val="20"/>
          <w:szCs w:val="20"/>
        </w:rPr>
      </w:pPr>
      <w:r>
        <w:rPr>
          <w:b/>
          <w:i/>
          <w:sz w:val="20"/>
          <w:szCs w:val="20"/>
        </w:rPr>
        <w:t>‘’RAZONES O MOTIVOS DE LA INCONFORMIDAD</w:t>
      </w:r>
    </w:p>
    <w:p w:rsidR="00495598" w:rsidRDefault="008E4C61">
      <w:pPr>
        <w:spacing w:after="0" w:line="360" w:lineRule="auto"/>
        <w:ind w:left="567" w:right="567"/>
        <w:rPr>
          <w:i/>
          <w:sz w:val="20"/>
          <w:szCs w:val="20"/>
        </w:rPr>
      </w:pPr>
      <w:r>
        <w:rPr>
          <w:i/>
          <w:sz w:val="20"/>
          <w:szCs w:val="20"/>
        </w:rPr>
        <w:t xml:space="preserve">No entregan completa la información que solicite, su respuesta es contradictoria, en el oficio de la Coordinación de Delegaciones Administrativas se entregan datos del personal de los servidores públicos docentes varones, adscritos al Departamento de Programación Presupuestal de la Subsecretaria de Administración y Finanzas, sin embargo, contario a esto el Jefe del Departamento de Administración y Desarrollo del Personal, contesta que no se encontró ningún servidor público burócrata general o de confianza de sexo masculino (hombre) perteneciente al Departamento de Programación Presupuestal, lo cual es totalmente contradictorio en una y otra de las dos respuestas emitidas por este Sujeto Obligado, ya que en una se enlistan los datos de 8 servidores públicos hombres y en la otra se dice que no hay, lo cual no tiene congruencia y denota que en realidad no hubo una búsqueda minuciosa en los archivos y base de datos con los que cuenta ese Departamento como lo manifiesta el C.P. Ulises Galán cuevas. Me hacen entrega parcial de lo </w:t>
      </w:r>
      <w:r>
        <w:rPr>
          <w:i/>
          <w:sz w:val="20"/>
          <w:szCs w:val="20"/>
        </w:rPr>
        <w:lastRenderedPageBreak/>
        <w:t xml:space="preserve">solicitado, quedando pendiente -Contratos y Nombramientos- de todos los hombres que pertenecen al Departamento de Programación Presupuestal de la Subsecretaría de Administración y Finanzas, perteneciente a la Secretaría de Educación, Ciencia, Tecnología e Innovación, así que tomando en consideración que como se mencionó previamente y son datos comprobables en una de las dos respuestas emitidas por este SO, se reconoce que si hay servidores públicos varones que pertenecen al Departamento de Programación Presupuestal y por lo antes mencionado solicito de la Manera más Atenta, se me Conceda mi presente petición del RECURSO DE REVISIÓN y se me sean entregados los Contratos y Nombramientos- solicitados en la solicitud inicial correspondiente a la Solicitud de Información: 00523/SECTI/IP/2025” </w:t>
      </w:r>
    </w:p>
    <w:p w:rsidR="00495598" w:rsidRDefault="00495598">
      <w:pPr>
        <w:spacing w:after="0" w:line="360" w:lineRule="auto"/>
        <w:ind w:right="567"/>
        <w:rPr>
          <w:i/>
          <w:sz w:val="20"/>
          <w:szCs w:val="20"/>
        </w:rPr>
      </w:pPr>
    </w:p>
    <w:p w:rsidR="00495598" w:rsidRDefault="008E4C61">
      <w:pPr>
        <w:pStyle w:val="Ttulo2"/>
        <w:spacing w:before="0" w:after="0" w:line="360" w:lineRule="auto"/>
        <w:rPr>
          <w:sz w:val="22"/>
          <w:szCs w:val="22"/>
        </w:rPr>
      </w:pPr>
      <w:bookmarkStart w:id="5" w:name="_heading=h.dlo4sf5h8qg" w:colFirst="0" w:colLast="0"/>
      <w:bookmarkEnd w:id="5"/>
      <w:r>
        <w:rPr>
          <w:sz w:val="22"/>
          <w:szCs w:val="22"/>
        </w:rPr>
        <w:t>IV. Trámite del Recurso de Revisión ante este Instituto</w:t>
      </w:r>
    </w:p>
    <w:p w:rsidR="00495598" w:rsidRDefault="00495598">
      <w:pPr>
        <w:spacing w:after="0" w:line="360" w:lineRule="auto"/>
        <w:rPr>
          <w:b/>
        </w:rPr>
      </w:pPr>
    </w:p>
    <w:p w:rsidR="00495598" w:rsidRDefault="008E4C61">
      <w:pPr>
        <w:spacing w:after="0" w:line="360" w:lineRule="auto"/>
      </w:pPr>
      <w:r>
        <w:rPr>
          <w:b/>
        </w:rPr>
        <w:t>a) Turno del Medio de Impugnación.</w:t>
      </w:r>
      <w:r>
        <w:t xml:space="preserve"> El dos de julio de dos mil veinticinco, el Sistema de Acceso a la Información Mexiquense (SAIMEX), asignó el número de expediente </w:t>
      </w:r>
      <w:r>
        <w:rPr>
          <w:b/>
        </w:rPr>
        <w:t>08036/INFOEM/IP/RR/2025</w:t>
      </w:r>
      <w: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rsidR="00495598" w:rsidRDefault="00495598">
      <w:pPr>
        <w:spacing w:after="0" w:line="360" w:lineRule="auto"/>
        <w:rPr>
          <w:b/>
        </w:rPr>
      </w:pPr>
    </w:p>
    <w:p w:rsidR="00495598" w:rsidRDefault="008E4C61">
      <w:pPr>
        <w:spacing w:after="0" w:line="360" w:lineRule="auto"/>
      </w:pPr>
      <w:r>
        <w:rPr>
          <w:b/>
        </w:rPr>
        <w:t xml:space="preserve">b) Admisión del Recurso de Revisión. </w:t>
      </w:r>
      <w:r>
        <w:t>El siete de julio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rsidR="00495598" w:rsidRDefault="008E4C61">
      <w:pPr>
        <w:spacing w:after="0" w:line="360" w:lineRule="auto"/>
      </w:pPr>
      <w:bookmarkStart w:id="6" w:name="_heading=h.gc7k3p2kbu85" w:colFirst="0" w:colLast="0"/>
      <w:bookmarkEnd w:id="6"/>
      <w:r>
        <w:rPr>
          <w:b/>
        </w:rPr>
        <w:lastRenderedPageBreak/>
        <w:t xml:space="preserve">c) Informe Justificado. </w:t>
      </w:r>
      <w:r>
        <w:t xml:space="preserve">El diez de julio de dos mil veinticinco, se recibió, a través del Sistema de Acceso a la Información Mexiquense (SAIMEX), el Informe Justificado del Sujeto Obligado, a través del oficio número 22800007010000S/1718/UT/2025, del nueve de julio del mismo año, suscrito por el Titular de la Unidad de Transparencia y dirigido al Comisionado Ponente, por medio del cual ratificó su respuesta, tal como se muestra en las siguientes imágenes ilustrativas: </w:t>
      </w:r>
    </w:p>
    <w:p w:rsidR="00495598" w:rsidRDefault="00495598">
      <w:pPr>
        <w:spacing w:after="0" w:line="360" w:lineRule="auto"/>
      </w:pPr>
    </w:p>
    <w:p w:rsidR="00495598" w:rsidRDefault="008E4C61">
      <w:pPr>
        <w:spacing w:after="0" w:line="360" w:lineRule="auto"/>
        <w:jc w:val="center"/>
      </w:pPr>
      <w:r>
        <w:rPr>
          <w:noProof/>
        </w:rPr>
        <w:drawing>
          <wp:inline distT="0" distB="0" distL="0" distR="0">
            <wp:extent cx="5083525" cy="2255170"/>
            <wp:effectExtent l="0" t="0" r="0" b="0"/>
            <wp:docPr id="1728201480" name="image9.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9.png" descr="Texto&#10;&#10;El contenido generado por IA puede ser incorrecto."/>
                    <pic:cNvPicPr preferRelativeResize="0"/>
                  </pic:nvPicPr>
                  <pic:blipFill>
                    <a:blip r:embed="rId9"/>
                    <a:srcRect/>
                    <a:stretch>
                      <a:fillRect/>
                    </a:stretch>
                  </pic:blipFill>
                  <pic:spPr>
                    <a:xfrm>
                      <a:off x="0" y="0"/>
                      <a:ext cx="5083525" cy="2255170"/>
                    </a:xfrm>
                    <a:prstGeom prst="rect">
                      <a:avLst/>
                    </a:prstGeom>
                    <a:ln/>
                  </pic:spPr>
                </pic:pic>
              </a:graphicData>
            </a:graphic>
          </wp:inline>
        </w:drawing>
      </w:r>
    </w:p>
    <w:p w:rsidR="00495598" w:rsidRDefault="008E4C61">
      <w:pPr>
        <w:spacing w:after="0" w:line="360" w:lineRule="auto"/>
        <w:jc w:val="center"/>
      </w:pPr>
      <w:r>
        <w:rPr>
          <w:noProof/>
        </w:rPr>
        <w:drawing>
          <wp:inline distT="0" distB="0" distL="0" distR="0">
            <wp:extent cx="3865493" cy="2977785"/>
            <wp:effectExtent l="0" t="0" r="0" b="0"/>
            <wp:docPr id="1728201479" name="image8.png" descr="Una captura de pantalla de un celular&#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8.png" descr="Una captura de pantalla de un celular&#10;&#10;El contenido generado por IA puede ser incorrecto."/>
                    <pic:cNvPicPr preferRelativeResize="0"/>
                  </pic:nvPicPr>
                  <pic:blipFill>
                    <a:blip r:embed="rId10"/>
                    <a:srcRect/>
                    <a:stretch>
                      <a:fillRect/>
                    </a:stretch>
                  </pic:blipFill>
                  <pic:spPr>
                    <a:xfrm>
                      <a:off x="0" y="0"/>
                      <a:ext cx="3865493" cy="2977785"/>
                    </a:xfrm>
                    <a:prstGeom prst="rect">
                      <a:avLst/>
                    </a:prstGeom>
                    <a:ln/>
                  </pic:spPr>
                </pic:pic>
              </a:graphicData>
            </a:graphic>
          </wp:inline>
        </w:drawing>
      </w:r>
    </w:p>
    <w:p w:rsidR="00495598" w:rsidRDefault="008E4C61">
      <w:pPr>
        <w:spacing w:after="0" w:line="360" w:lineRule="auto"/>
      </w:pPr>
      <w:r>
        <w:rPr>
          <w:b/>
          <w:color w:val="000000"/>
        </w:rPr>
        <w:lastRenderedPageBreak/>
        <w:t xml:space="preserve">d) Manifestaciones. </w:t>
      </w:r>
      <w:r>
        <w:t xml:space="preserve">El once de julio de dos mil veinticinco, se recibió, a través del Sistema de Acceso a la Información Mexiquense (SAIMEX), las manifestaciones de la persona recurrente en los términos siguientes: </w:t>
      </w:r>
    </w:p>
    <w:p w:rsidR="00495598" w:rsidRDefault="00495598">
      <w:pPr>
        <w:spacing w:after="0" w:line="360" w:lineRule="auto"/>
        <w:ind w:left="567" w:right="567"/>
        <w:rPr>
          <w:sz w:val="20"/>
          <w:szCs w:val="20"/>
        </w:rPr>
      </w:pPr>
    </w:p>
    <w:p w:rsidR="00495598" w:rsidRDefault="008E4C61">
      <w:pPr>
        <w:spacing w:after="0" w:line="360" w:lineRule="auto"/>
        <w:ind w:left="567" w:right="567"/>
        <w:rPr>
          <w:i/>
          <w:sz w:val="20"/>
          <w:szCs w:val="20"/>
        </w:rPr>
      </w:pPr>
      <w:r>
        <w:rPr>
          <w:i/>
          <w:sz w:val="20"/>
          <w:szCs w:val="20"/>
        </w:rPr>
        <w:t>“…</w:t>
      </w:r>
    </w:p>
    <w:p w:rsidR="00495598" w:rsidRDefault="008E4C61">
      <w:pPr>
        <w:spacing w:after="0" w:line="360" w:lineRule="auto"/>
        <w:ind w:left="567" w:right="567"/>
        <w:rPr>
          <w:i/>
          <w:color w:val="000000"/>
          <w:sz w:val="20"/>
          <w:szCs w:val="20"/>
        </w:rPr>
      </w:pPr>
      <w:r>
        <w:rPr>
          <w:i/>
          <w:color w:val="000000"/>
          <w:sz w:val="20"/>
          <w:szCs w:val="20"/>
        </w:rPr>
        <w:t>No entregan completa la información que solicite, su respuesta es contradictoria, en el oficio de la Coordinación de Delegaciones Administrativas se entregan datos del personal de los servidores públicos docentes varones, adscritos al Departamento de Programación Presupuestal de la Subsecretaria de Administración y Finanzas, sin embargo, contario a esto el Jefe del Departamento de Administración y Desarrollo del Personal, contesta que no se encontró ningún servidor público burócrata general o de confianza de sexo masculino (hombre) perteneciente al Departamento de Programación Presupuestal, lo cual es totalmente contradictorio en una y otra de las dos respuestas emitidas por este Sujeto Obligado.</w:t>
      </w:r>
    </w:p>
    <w:p w:rsidR="00495598" w:rsidRDefault="00495598">
      <w:pPr>
        <w:spacing w:after="0" w:line="360" w:lineRule="auto"/>
        <w:ind w:left="567" w:right="567"/>
        <w:rPr>
          <w:i/>
          <w:color w:val="000000"/>
          <w:sz w:val="20"/>
          <w:szCs w:val="20"/>
        </w:rPr>
      </w:pPr>
    </w:p>
    <w:p w:rsidR="00495598" w:rsidRDefault="008E4C61">
      <w:pPr>
        <w:spacing w:after="0" w:line="360" w:lineRule="auto"/>
        <w:ind w:left="567" w:right="567"/>
        <w:rPr>
          <w:i/>
          <w:color w:val="000000"/>
          <w:sz w:val="20"/>
          <w:szCs w:val="20"/>
        </w:rPr>
      </w:pPr>
      <w:r>
        <w:rPr>
          <w:i/>
          <w:color w:val="000000"/>
          <w:sz w:val="20"/>
          <w:szCs w:val="20"/>
        </w:rPr>
        <w:t>Como ya se mencionó, se entregó parcialmente lo solicitado, dando el beneficio de la duda y que haya habido algún error, omisión o que pudiese ser que, en el remoto caso de que en las oficinas a quienes se les turno la presente solicitud de información no llegaran a contar con la documentación relativa a los -Contratos y Nombramientos- se debieron a apegar a los artículos 53 numeral III y 167 de la Ley de Transparencia y Acceso a la Información Pública del Estado de México y Municipios, los cuales como bien sabemos debieron haber orientado al solicitante, el o los sujetos obligados competentes, ya que ha quedado demostrado, acreditado y evidenciado que este SO si cuenta con personal de sexo masculino (hombre) perteneciente al Departamento de Programación Presupuestal, por lo antes mencionado solicito de la Manera más Atenta, se me Conceda mi presente petición del RECURSO DE REVISIÓN y se me sean entregados los Contratos y Nombramientos solicitados en la solicitud inicial correspondiente a la Solicitud de Información: 00523/SECTI/IP/2025</w:t>
      </w:r>
    </w:p>
    <w:p w:rsidR="00495598" w:rsidRDefault="008E4C61">
      <w:pPr>
        <w:spacing w:after="0" w:line="360" w:lineRule="auto"/>
        <w:ind w:left="567" w:right="567"/>
        <w:rPr>
          <w:i/>
          <w:color w:val="000000"/>
          <w:sz w:val="20"/>
          <w:szCs w:val="20"/>
        </w:rPr>
      </w:pPr>
      <w:r>
        <w:rPr>
          <w:i/>
          <w:color w:val="000000"/>
          <w:sz w:val="20"/>
          <w:szCs w:val="20"/>
        </w:rPr>
        <w:t>…”</w:t>
      </w:r>
    </w:p>
    <w:p w:rsidR="00495598" w:rsidRDefault="008E4C61">
      <w:pPr>
        <w:spacing w:after="0" w:line="360" w:lineRule="auto"/>
        <w:rPr>
          <w:b/>
        </w:rPr>
      </w:pPr>
      <w:r>
        <w:rPr>
          <w:b/>
          <w:color w:val="000000"/>
        </w:rPr>
        <w:lastRenderedPageBreak/>
        <w:t>e) Vista del Informe Justificado.</w:t>
      </w:r>
      <w:r>
        <w:t xml:space="preserve"> El quince de octubre de dos mil veinticinco, se dictó acuerdo mediante el cual se puso a la vista del Particular el Informe Justificado, entregado por el Sujeto Obligado, así como los documentos adjuntos, el cual fue notificado a las partes, a través del Sistema de Acceso a la Información Mexiquense (SAIMEX). </w:t>
      </w:r>
      <w:r>
        <w:rPr>
          <w:b/>
        </w:rPr>
        <w:t>Cabe señalar que el Particular fue omiso en realizar manifestación alguna.</w:t>
      </w:r>
    </w:p>
    <w:p w:rsidR="00495598" w:rsidRDefault="00495598">
      <w:pPr>
        <w:spacing w:after="0" w:line="360" w:lineRule="auto"/>
      </w:pPr>
    </w:p>
    <w:p w:rsidR="00495598" w:rsidRDefault="008E4C61">
      <w:pPr>
        <w:spacing w:after="0" w:line="360" w:lineRule="auto"/>
      </w:pPr>
      <w:r>
        <w:rPr>
          <w:b/>
        </w:rPr>
        <w:t xml:space="preserve">f) Ampliación de plazo para resolver. </w:t>
      </w:r>
      <w:r>
        <w:t>El catorce de octubre de dos mil veinticinco, el Comisionado Ponente, con fundamento en lo dispuesto por el artículo 181, párrafo tercero, de la Ley de Transparencia y Acceso a la Información Pública del Estado de México y Municipios, acordó ampliar por un plazo razonable, el plazo para resolver el Recurso de Revisión que nos ocupa; acto que fue notificado a las partes el día hábil siguiente, mediante el Sistema de Acceso a la Información Mexiquense (SAIMEX).</w:t>
      </w:r>
    </w:p>
    <w:p w:rsidR="00495598" w:rsidRDefault="00495598">
      <w:pPr>
        <w:spacing w:after="0" w:line="360" w:lineRule="auto"/>
      </w:pPr>
    </w:p>
    <w:p w:rsidR="00495598" w:rsidRDefault="008E4C61">
      <w:pPr>
        <w:spacing w:after="0" w:line="360" w:lineRule="auto"/>
      </w:pPr>
      <w:r>
        <w:rPr>
          <w:b/>
        </w:rPr>
        <w:t>g) Cierre de instrucción.</w:t>
      </w:r>
      <w:r>
        <w:t xml:space="preserve"> El treinta de octubre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rsidR="00495598" w:rsidRDefault="00495598">
      <w:pPr>
        <w:spacing w:after="0" w:line="360" w:lineRule="auto"/>
      </w:pPr>
    </w:p>
    <w:p w:rsidR="00495598" w:rsidRDefault="008E4C61">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rsidR="00495598" w:rsidRDefault="00495598">
      <w:pPr>
        <w:spacing w:after="0" w:line="360" w:lineRule="auto"/>
      </w:pPr>
    </w:p>
    <w:p w:rsidR="00495598" w:rsidRDefault="008E4C61">
      <w:pPr>
        <w:pStyle w:val="Ttulo1"/>
        <w:spacing w:before="0" w:after="0" w:line="360" w:lineRule="auto"/>
        <w:jc w:val="center"/>
        <w:rPr>
          <w:sz w:val="22"/>
          <w:szCs w:val="22"/>
        </w:rPr>
      </w:pPr>
      <w:bookmarkStart w:id="7" w:name="_heading=h.6wj3awe8elhc" w:colFirst="0" w:colLast="0"/>
      <w:bookmarkEnd w:id="7"/>
      <w:r>
        <w:rPr>
          <w:sz w:val="22"/>
          <w:szCs w:val="22"/>
        </w:rPr>
        <w:t>C O N S I D E R A N D O S</w:t>
      </w:r>
    </w:p>
    <w:p w:rsidR="00495598" w:rsidRDefault="00495598">
      <w:pPr>
        <w:spacing w:after="0" w:line="360" w:lineRule="auto"/>
        <w:jc w:val="center"/>
        <w:rPr>
          <w:b/>
          <w:color w:val="000000"/>
        </w:rPr>
      </w:pPr>
    </w:p>
    <w:p w:rsidR="00495598" w:rsidRDefault="008E4C61">
      <w:pPr>
        <w:pStyle w:val="Ttulo2"/>
        <w:spacing w:before="0" w:after="0" w:line="360" w:lineRule="auto"/>
        <w:rPr>
          <w:sz w:val="22"/>
          <w:szCs w:val="22"/>
        </w:rPr>
      </w:pPr>
      <w:bookmarkStart w:id="8" w:name="_heading=h.2arg6ma0ytqj" w:colFirst="0" w:colLast="0"/>
      <w:bookmarkEnd w:id="8"/>
      <w:r>
        <w:rPr>
          <w:sz w:val="22"/>
          <w:szCs w:val="22"/>
        </w:rPr>
        <w:lastRenderedPageBreak/>
        <w:t>PRIMERO. Competencia</w:t>
      </w:r>
    </w:p>
    <w:p w:rsidR="00495598" w:rsidRDefault="00495598">
      <w:pPr>
        <w:spacing w:after="0" w:line="360" w:lineRule="auto"/>
      </w:pPr>
      <w:bookmarkStart w:id="9" w:name="_heading=h.30j0zll" w:colFirst="0" w:colLast="0"/>
      <w:bookmarkEnd w:id="9"/>
    </w:p>
    <w:p w:rsidR="00495598" w:rsidRDefault="008E4C61">
      <w:pPr>
        <w:spacing w:after="0" w:line="360" w:lineRule="auto"/>
        <w:rPr>
          <w:color w:val="000000"/>
        </w:rPr>
      </w:pPr>
      <w:r>
        <w:rPr>
          <w:color w:val="000000"/>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495598" w:rsidRDefault="00495598">
      <w:pPr>
        <w:spacing w:after="0" w:line="360" w:lineRule="auto"/>
        <w:rPr>
          <w:b/>
          <w:color w:val="000000"/>
        </w:rPr>
      </w:pPr>
    </w:p>
    <w:p w:rsidR="00495598" w:rsidRDefault="008E4C61">
      <w:pPr>
        <w:pStyle w:val="Ttulo2"/>
        <w:spacing w:before="0" w:after="0" w:line="360" w:lineRule="auto"/>
        <w:rPr>
          <w:sz w:val="22"/>
          <w:szCs w:val="22"/>
        </w:rPr>
      </w:pPr>
      <w:bookmarkStart w:id="10" w:name="_heading=h.oj0x41v4zx7i" w:colFirst="0" w:colLast="0"/>
      <w:bookmarkEnd w:id="10"/>
      <w:r>
        <w:rPr>
          <w:sz w:val="22"/>
          <w:szCs w:val="22"/>
        </w:rPr>
        <w:t>SEGUNDO. Causales de improcedencia y sobreseimiento</w:t>
      </w:r>
    </w:p>
    <w:p w:rsidR="00495598" w:rsidRDefault="00495598">
      <w:pPr>
        <w:spacing w:after="0" w:line="360" w:lineRule="auto"/>
        <w:rPr>
          <w:color w:val="000000"/>
        </w:rPr>
      </w:pPr>
    </w:p>
    <w:p w:rsidR="00495598" w:rsidRDefault="008E4C61">
      <w:pPr>
        <w:spacing w:after="0" w:line="360" w:lineRule="auto"/>
        <w:rPr>
          <w:color w:val="000000"/>
        </w:rPr>
      </w:pPr>
      <w:r>
        <w:rPr>
          <w:color w:val="000000"/>
        </w:rPr>
        <w:t xml:space="preserve">De las constancias que forma parte del Recurso de Revisión que se analiza, se advierte que previo al estudio del fondo de la </w:t>
      </w:r>
      <w:proofErr w:type="spellStart"/>
      <w:r>
        <w:rPr>
          <w:i/>
          <w:color w:val="000000"/>
        </w:rPr>
        <w:t>litis</w:t>
      </w:r>
      <w:proofErr w:type="spellEnd"/>
      <w:r>
        <w:rPr>
          <w:color w:val="000000"/>
        </w:rPr>
        <w:t>, es necesario estudiar las causales de improcedencia y sobreseimiento que se adviertan, para determinar lo que en Derecho proceda.</w:t>
      </w:r>
    </w:p>
    <w:p w:rsidR="00495598" w:rsidRDefault="00495598">
      <w:pPr>
        <w:spacing w:after="0" w:line="360" w:lineRule="auto"/>
        <w:rPr>
          <w:color w:val="000000"/>
        </w:rPr>
      </w:pPr>
    </w:p>
    <w:p w:rsidR="00495598" w:rsidRDefault="008E4C61">
      <w:pPr>
        <w:spacing w:after="0" w:line="360" w:lineRule="auto"/>
        <w:rPr>
          <w:b/>
        </w:rPr>
      </w:pPr>
      <w:r>
        <w:rPr>
          <w:b/>
        </w:rPr>
        <w:t>Causales de improcedencia</w:t>
      </w:r>
    </w:p>
    <w:p w:rsidR="00495598" w:rsidRDefault="00495598">
      <w:pPr>
        <w:spacing w:after="0" w:line="360" w:lineRule="auto"/>
        <w:rPr>
          <w:b/>
        </w:rPr>
      </w:pPr>
    </w:p>
    <w:p w:rsidR="00495598" w:rsidRDefault="008E4C61">
      <w:pPr>
        <w:spacing w:after="0" w:line="360" w:lineRule="auto"/>
        <w:rPr>
          <w:color w:val="000000"/>
        </w:rPr>
      </w:pPr>
      <w:r>
        <w:rPr>
          <w:color w:val="000000"/>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w:t>
      </w:r>
      <w:r>
        <w:rPr>
          <w:color w:val="000000"/>
        </w:rPr>
        <w:lastRenderedPageBreak/>
        <w:t>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495598" w:rsidRDefault="00495598">
      <w:pPr>
        <w:spacing w:after="0" w:line="360" w:lineRule="auto"/>
        <w:rPr>
          <w:color w:val="000000"/>
        </w:rPr>
      </w:pPr>
    </w:p>
    <w:p w:rsidR="00495598" w:rsidRDefault="008E4C61">
      <w:pPr>
        <w:spacing w:after="0" w:line="360" w:lineRule="auto"/>
        <w:rPr>
          <w:color w:val="000000"/>
        </w:rPr>
      </w:pPr>
      <w:r>
        <w:rPr>
          <w:color w:val="000000"/>
        </w:rPr>
        <w:t>En el presente caso, </w:t>
      </w:r>
      <w:r>
        <w:rPr>
          <w:b/>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rsidR="00495598" w:rsidRDefault="00495598">
      <w:pPr>
        <w:spacing w:after="0" w:line="360" w:lineRule="auto"/>
        <w:rPr>
          <w:color w:val="000000"/>
        </w:rPr>
      </w:pPr>
    </w:p>
    <w:p w:rsidR="00495598" w:rsidRDefault="008E4C61">
      <w:pPr>
        <w:spacing w:after="0" w:line="360" w:lineRule="auto"/>
      </w:pPr>
      <w:r>
        <w:t xml:space="preserve">Por lo cual, se actualiza la causal de procedencia del Recurso de Revisión señalada en el artículo 179, fracciones V y VI, de la Ley en cita, pues la persona Recurrente se inconformó con la entrega de información incompleta y que no corresponde con lo solicitado. </w:t>
      </w:r>
    </w:p>
    <w:p w:rsidR="00495598" w:rsidRDefault="00495598">
      <w:pPr>
        <w:spacing w:after="0" w:line="360" w:lineRule="auto"/>
      </w:pPr>
    </w:p>
    <w:p w:rsidR="00495598" w:rsidRDefault="008E4C61">
      <w:pPr>
        <w:spacing w:after="0" w:line="360" w:lineRule="auto"/>
        <w:rPr>
          <w:color w:val="0D0D0D"/>
        </w:rPr>
      </w:pPr>
      <w:r>
        <w:rPr>
          <w:b/>
          <w:color w:val="0D0D0D"/>
        </w:rPr>
        <w:t>Causales de sobreseimiento</w:t>
      </w:r>
    </w:p>
    <w:p w:rsidR="00495598" w:rsidRDefault="00495598">
      <w:pPr>
        <w:spacing w:after="0" w:line="360" w:lineRule="auto"/>
        <w:rPr>
          <w:color w:val="0D0D0D"/>
        </w:rPr>
      </w:pPr>
    </w:p>
    <w:p w:rsidR="00495598" w:rsidRDefault="008E4C61">
      <w:pPr>
        <w:spacing w:after="0" w:line="360" w:lineRule="auto"/>
        <w:rPr>
          <w:color w:val="0D0D0D"/>
        </w:rPr>
      </w:pPr>
      <w:r>
        <w:rPr>
          <w:color w:val="0D0D0D"/>
        </w:rPr>
        <w:t>Por ser de previo y especial pronunciamiento, este Instituto analiza si se actualiza alguna causal de sobreseimiento.</w:t>
      </w:r>
    </w:p>
    <w:p w:rsidR="00495598" w:rsidRDefault="00495598">
      <w:pPr>
        <w:spacing w:after="0" w:line="360" w:lineRule="auto"/>
        <w:rPr>
          <w:color w:val="0D0D0D"/>
        </w:rPr>
      </w:pPr>
    </w:p>
    <w:p w:rsidR="00495598" w:rsidRDefault="008E4C61">
      <w:pPr>
        <w:spacing w:after="0" w:line="360" w:lineRule="auto"/>
        <w:rPr>
          <w:color w:val="000000"/>
        </w:rPr>
      </w:pPr>
      <w:r>
        <w:rPr>
          <w:color w:val="0D0D0D"/>
        </w:rPr>
        <w:t>Sobre el tema, e</w:t>
      </w:r>
      <w:r>
        <w:rPr>
          <w:color w:val="000000"/>
        </w:rPr>
        <w:t xml:space="preserv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w:t>
      </w:r>
      <w:r>
        <w:rPr>
          <w:color w:val="000000"/>
        </w:rPr>
        <w:lastRenderedPageBreak/>
        <w:t>Obligado hubiese modificado o revocado el acto impugnado o bien, haya quedado sin materia.</w:t>
      </w:r>
    </w:p>
    <w:p w:rsidR="00495598" w:rsidRDefault="00495598">
      <w:pPr>
        <w:spacing w:after="0" w:line="360" w:lineRule="auto"/>
        <w:rPr>
          <w:color w:val="000000"/>
        </w:rPr>
      </w:pPr>
    </w:p>
    <w:p w:rsidR="00495598" w:rsidRDefault="008E4C61">
      <w:pPr>
        <w:spacing w:after="0" w:line="360" w:lineRule="auto"/>
        <w:rPr>
          <w:color w:val="0D0D0D"/>
        </w:rPr>
      </w:pPr>
      <w:r>
        <w:rPr>
          <w:color w:val="0D0D0D"/>
        </w:rPr>
        <w:t xml:space="preserve">Por tales motivos, se considera procedente entrar al fondo del presente asunto. </w:t>
      </w:r>
    </w:p>
    <w:p w:rsidR="00495598" w:rsidRDefault="00495598">
      <w:pPr>
        <w:spacing w:after="0" w:line="360" w:lineRule="auto"/>
        <w:rPr>
          <w:b/>
          <w:color w:val="000000"/>
        </w:rPr>
      </w:pPr>
    </w:p>
    <w:p w:rsidR="00495598" w:rsidRDefault="008E4C61">
      <w:pPr>
        <w:pStyle w:val="Ttulo2"/>
        <w:spacing w:before="0" w:after="0" w:line="360" w:lineRule="auto"/>
        <w:rPr>
          <w:sz w:val="22"/>
          <w:szCs w:val="22"/>
        </w:rPr>
      </w:pPr>
      <w:bookmarkStart w:id="11" w:name="_heading=h.avb92yrssqo" w:colFirst="0" w:colLast="0"/>
      <w:bookmarkEnd w:id="11"/>
      <w:r>
        <w:rPr>
          <w:sz w:val="22"/>
          <w:szCs w:val="22"/>
        </w:rPr>
        <w:t>TERCERO. Determinación de la Controversia</w:t>
      </w:r>
    </w:p>
    <w:p w:rsidR="00495598" w:rsidRDefault="00495598">
      <w:pPr>
        <w:spacing w:after="0" w:line="360" w:lineRule="auto"/>
        <w:rPr>
          <w:b/>
          <w:color w:val="000000"/>
        </w:rPr>
      </w:pPr>
    </w:p>
    <w:p w:rsidR="00495598" w:rsidRDefault="008E4C61">
      <w:pPr>
        <w:spacing w:after="0" w:line="360" w:lineRule="auto"/>
      </w:pPr>
      <w:r>
        <w:t xml:space="preserve">Con el objetivo de ilustrar la controversia planteada, resulta conveniente precisar, que una vez realizado el estudio de las constancias que integran el expediente en el que se actúa, se desprende que el Particular requirió, de los servidores públicos (hombres) adscritos al Departamento de Programación Presupuestal, lo siguiente: </w:t>
      </w:r>
    </w:p>
    <w:p w:rsidR="00495598" w:rsidRDefault="00495598">
      <w:pPr>
        <w:spacing w:after="0" w:line="360" w:lineRule="auto"/>
      </w:pPr>
    </w:p>
    <w:p w:rsidR="00495598" w:rsidRDefault="008E4C61">
      <w:pPr>
        <w:numPr>
          <w:ilvl w:val="0"/>
          <w:numId w:val="1"/>
        </w:numPr>
        <w:pBdr>
          <w:top w:val="nil"/>
          <w:left w:val="nil"/>
          <w:bottom w:val="nil"/>
          <w:right w:val="nil"/>
          <w:between w:val="nil"/>
        </w:pBdr>
        <w:spacing w:after="0" w:line="360" w:lineRule="auto"/>
        <w:rPr>
          <w:color w:val="000000"/>
        </w:rPr>
      </w:pPr>
      <w:r>
        <w:rPr>
          <w:color w:val="000000"/>
        </w:rPr>
        <w:t xml:space="preserve">Recibos de pago o nómina de la primera y segunda quincena de mayo de dos mil veinticinco: </w:t>
      </w:r>
    </w:p>
    <w:p w:rsidR="00495598" w:rsidRDefault="008E4C61">
      <w:pPr>
        <w:numPr>
          <w:ilvl w:val="0"/>
          <w:numId w:val="1"/>
        </w:numPr>
        <w:pBdr>
          <w:top w:val="nil"/>
          <w:left w:val="nil"/>
          <w:bottom w:val="nil"/>
          <w:right w:val="nil"/>
          <w:between w:val="nil"/>
        </w:pBdr>
        <w:spacing w:after="0" w:line="360" w:lineRule="auto"/>
        <w:rPr>
          <w:color w:val="000000"/>
        </w:rPr>
      </w:pPr>
      <w:r>
        <w:rPr>
          <w:color w:val="000000"/>
        </w:rPr>
        <w:t xml:space="preserve">Contratos y nombramientos al nueve de junio de dos mil veinticinco </w:t>
      </w:r>
    </w:p>
    <w:p w:rsidR="00495598" w:rsidRDefault="00495598">
      <w:pPr>
        <w:spacing w:after="0" w:line="360" w:lineRule="auto"/>
        <w:ind w:left="360"/>
      </w:pPr>
    </w:p>
    <w:p w:rsidR="00495598" w:rsidRDefault="008E4C61">
      <w:pPr>
        <w:spacing w:after="0" w:line="360" w:lineRule="auto"/>
      </w:pPr>
      <w:r>
        <w:rPr>
          <w:color w:val="000000"/>
        </w:rPr>
        <w:t xml:space="preserve">En respuesta, el Sujeto Obligado, a través del departamento de </w:t>
      </w:r>
      <w:r>
        <w:t>Administración y Desarrollo de Personal precisó que no se localizó ningún servidor público burócrata general o de confianza de sexo masculino (hombre) perteneciente al Departamento de Programación Presupuestal, no obstante, el Coordinador de Delegaciones Administrativas proporcionó un listado de servidores públicos y adjuntó la digitalización de los Formatos Únicos de Movimientos de Personal y los comprobantes de pago correspondientes a la primera y segunda quincena del mes de mayo del año en curso</w:t>
      </w:r>
      <w:r>
        <w:rPr>
          <w:color w:val="000000"/>
          <w:sz w:val="24"/>
          <w:szCs w:val="24"/>
        </w:rPr>
        <w:t>;</w:t>
      </w:r>
      <w:r>
        <w:t xml:space="preserve"> ante dicha circunstancia, el Particular se inconformó de la entrega de información que no corresponde con lo solicitado y la información incompleta, al precisar que la respuesta entre las áreas administrativas del Sujeto Obligado resultaban incongruentes y faltaban los contratos y nombramientos, lo cual </w:t>
      </w:r>
      <w:r>
        <w:lastRenderedPageBreak/>
        <w:t>actualiza la causal de procedencia prevista en las fracciones V y VI, del artículo 179 de la Ley de Transparencia y Acceso a la Información Pública del Estado de México y Municipios</w:t>
      </w:r>
      <w:r>
        <w:rPr>
          <w:color w:val="0D0D0D"/>
        </w:rPr>
        <w:t xml:space="preserve">. </w:t>
      </w:r>
      <w:r>
        <w:t>Así, las cosas, una vez admitido y notificado el Recurso de Revisión a las partes, el Sujeto Obligado ratificó su respuesta.</w:t>
      </w:r>
    </w:p>
    <w:p w:rsidR="00495598" w:rsidRDefault="00495598">
      <w:pPr>
        <w:spacing w:after="0" w:line="360" w:lineRule="auto"/>
      </w:pPr>
    </w:p>
    <w:p w:rsidR="00495598" w:rsidRDefault="008E4C61">
      <w:pPr>
        <w:tabs>
          <w:tab w:val="left" w:pos="4962"/>
        </w:tabs>
        <w:spacing w:after="0" w:line="360" w:lineRule="auto"/>
      </w:pPr>
      <w:r>
        <w:t xml:space="preserve">Lo anterior, se desprende de las documentales que obran en el expediente de referencia, materia de la presente resolución, consistente en: la solicitud de acceso a la información, el escrito </w:t>
      </w:r>
      <w:proofErr w:type="spellStart"/>
      <w:r>
        <w:t>recursal</w:t>
      </w:r>
      <w:proofErr w:type="spellEnd"/>
      <w:r>
        <w:t xml:space="preserve">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rsidR="00495598" w:rsidRDefault="00495598">
      <w:pPr>
        <w:pStyle w:val="Ttulo2"/>
        <w:spacing w:before="0" w:after="0" w:line="360" w:lineRule="auto"/>
        <w:rPr>
          <w:sz w:val="22"/>
          <w:szCs w:val="22"/>
        </w:rPr>
      </w:pPr>
    </w:p>
    <w:p w:rsidR="00495598" w:rsidRDefault="008E4C61">
      <w:pPr>
        <w:pStyle w:val="Ttulo2"/>
        <w:spacing w:before="0" w:after="0" w:line="360" w:lineRule="auto"/>
        <w:rPr>
          <w:sz w:val="22"/>
          <w:szCs w:val="22"/>
        </w:rPr>
      </w:pPr>
      <w:bookmarkStart w:id="12" w:name="_heading=h.9uezjtcwobtj" w:colFirst="0" w:colLast="0"/>
      <w:bookmarkEnd w:id="12"/>
      <w:r>
        <w:rPr>
          <w:sz w:val="22"/>
          <w:szCs w:val="22"/>
        </w:rPr>
        <w:t>CUARTO. Marco normativo aplicable en materia de transparencia y acceso a la información pública</w:t>
      </w:r>
    </w:p>
    <w:p w:rsidR="00495598" w:rsidRDefault="00495598">
      <w:pPr>
        <w:spacing w:after="0" w:line="360" w:lineRule="auto"/>
        <w:rPr>
          <w:color w:val="000000"/>
        </w:rPr>
      </w:pPr>
    </w:p>
    <w:p w:rsidR="00495598" w:rsidRDefault="008E4C61">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495598" w:rsidRDefault="00495598">
      <w:pPr>
        <w:spacing w:after="0" w:line="360" w:lineRule="auto"/>
        <w:rPr>
          <w:color w:val="000000"/>
        </w:rPr>
      </w:pPr>
    </w:p>
    <w:p w:rsidR="00495598" w:rsidRDefault="008E4C61">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495598" w:rsidRDefault="00495598">
      <w:pPr>
        <w:spacing w:after="0" w:line="360" w:lineRule="auto"/>
        <w:rPr>
          <w:color w:val="000000"/>
        </w:rPr>
      </w:pPr>
    </w:p>
    <w:p w:rsidR="00495598" w:rsidRDefault="008E4C61">
      <w:pPr>
        <w:spacing w:after="0" w:line="360" w:lineRule="auto"/>
        <w:rPr>
          <w:color w:val="000000"/>
        </w:rPr>
      </w:pPr>
      <w:r>
        <w:rPr>
          <w:color w:val="000000"/>
        </w:rPr>
        <w:lastRenderedPageBreak/>
        <w:t>Por su parte, la Ley de Transparencia y Acceso a la Información Pública del Estado de México y Municipios (Reglamentaria del artículo 5° de la Constitución Local), establece lo siguiente:</w:t>
      </w:r>
    </w:p>
    <w:p w:rsidR="00495598" w:rsidRDefault="00495598">
      <w:pPr>
        <w:spacing w:after="0" w:line="360" w:lineRule="auto"/>
        <w:rPr>
          <w:color w:val="000000"/>
        </w:rPr>
      </w:pPr>
    </w:p>
    <w:p w:rsidR="00495598" w:rsidRDefault="008E4C61">
      <w:pPr>
        <w:spacing w:after="0" w:line="360" w:lineRule="auto"/>
        <w:rPr>
          <w:color w:val="000000"/>
        </w:rPr>
      </w:pPr>
      <w:r>
        <w:rPr>
          <w:color w:val="000000"/>
        </w:rPr>
        <w:t>El artículo 12, que, quienes generen, recopilen, administren, manejen, procesen, archiven o conserven información pública serán responsables de la misma.</w:t>
      </w:r>
    </w:p>
    <w:p w:rsidR="00495598" w:rsidRDefault="00495598">
      <w:pPr>
        <w:spacing w:after="0" w:line="360" w:lineRule="auto"/>
        <w:rPr>
          <w:color w:val="000000"/>
        </w:rPr>
      </w:pPr>
    </w:p>
    <w:p w:rsidR="00495598" w:rsidRDefault="008E4C61">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rsidR="00495598" w:rsidRDefault="00495598">
      <w:pPr>
        <w:widowControl w:val="0"/>
        <w:spacing w:after="0" w:line="360" w:lineRule="auto"/>
        <w:rPr>
          <w:color w:val="000000"/>
        </w:rPr>
      </w:pPr>
    </w:p>
    <w:p w:rsidR="00495598" w:rsidRDefault="008E4C61">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495598" w:rsidRDefault="00495598">
      <w:pPr>
        <w:spacing w:after="0" w:line="360" w:lineRule="auto"/>
      </w:pPr>
    </w:p>
    <w:p w:rsidR="00495598" w:rsidRDefault="008E4C61">
      <w:pPr>
        <w:pStyle w:val="Ttulo2"/>
        <w:spacing w:before="0" w:after="0" w:line="360" w:lineRule="auto"/>
        <w:rPr>
          <w:sz w:val="22"/>
          <w:szCs w:val="22"/>
        </w:rPr>
      </w:pPr>
      <w:bookmarkStart w:id="13" w:name="_heading=h.uy8bmuqhbb2b" w:colFirst="0" w:colLast="0"/>
      <w:bookmarkEnd w:id="13"/>
      <w:r>
        <w:rPr>
          <w:sz w:val="22"/>
          <w:szCs w:val="22"/>
        </w:rPr>
        <w:t>QUINTO. Estudio de Fondo</w:t>
      </w:r>
    </w:p>
    <w:p w:rsidR="00495598" w:rsidRDefault="00495598">
      <w:pPr>
        <w:spacing w:after="0" w:line="360" w:lineRule="auto"/>
        <w:rPr>
          <w:b/>
          <w:color w:val="000000"/>
        </w:rPr>
      </w:pPr>
    </w:p>
    <w:p w:rsidR="00495598" w:rsidRDefault="008E4C61">
      <w:pPr>
        <w:spacing w:after="0" w:line="360" w:lineRule="auto"/>
      </w:pPr>
      <w:r>
        <w:rPr>
          <w:color w:val="000000"/>
        </w:rPr>
        <w:t>Expuestas las posturas de las partes, se procede al análisis de los agravios hechos valer por la persona Recurrente</w:t>
      </w:r>
      <w:r>
        <w:t>, por lo que, en principio es necesario contextualizar la solicitud de información.</w:t>
      </w:r>
    </w:p>
    <w:p w:rsidR="00495598" w:rsidRDefault="00495598">
      <w:pPr>
        <w:spacing w:after="0" w:line="360" w:lineRule="auto"/>
      </w:pPr>
    </w:p>
    <w:p w:rsidR="00495598" w:rsidRDefault="008E4C61">
      <w:pPr>
        <w:spacing w:after="0" w:line="360" w:lineRule="auto"/>
      </w:pPr>
      <w:r>
        <w:t>Al respecto, el artículo 4°, fracción VI, de la Ley del Trabajo de los servidores públicos del Estado y Municipios, precisa que son servidores públicos, todas las personas físicas que presten a una institución pública un trabajo personal subordinado, mediante el pago de un sueldo.</w:t>
      </w:r>
    </w:p>
    <w:p w:rsidR="00495598" w:rsidRDefault="00495598">
      <w:pPr>
        <w:spacing w:after="0" w:line="360" w:lineRule="auto"/>
      </w:pPr>
    </w:p>
    <w:p w:rsidR="00495598" w:rsidRDefault="008E4C61">
      <w:pPr>
        <w:spacing w:after="0" w:line="360" w:lineRule="auto"/>
      </w:pPr>
      <w:r>
        <w:lastRenderedPageBreak/>
        <w:t xml:space="preserve">En ese contexto, los artículos 45 y 49, de la Ley del Trabajo antes mencionada, establece que los servidores públicos </w:t>
      </w:r>
      <w:r>
        <w:rPr>
          <w:b/>
        </w:rPr>
        <w:t xml:space="preserve">para iniciar la prestación de sus servicios serán mediante </w:t>
      </w:r>
      <w:r>
        <w:rPr>
          <w:b/>
          <w:u w:val="single"/>
        </w:rPr>
        <w:t>nombramiento, contrato o formato único de Movimientos de Personal</w:t>
      </w:r>
      <w:r>
        <w:t>, los cuales deberán tener lo siguiente:</w:t>
      </w:r>
    </w:p>
    <w:p w:rsidR="00495598" w:rsidRDefault="00495598">
      <w:pPr>
        <w:spacing w:after="0" w:line="360" w:lineRule="auto"/>
      </w:pPr>
    </w:p>
    <w:p w:rsidR="00495598" w:rsidRDefault="008E4C61">
      <w:pPr>
        <w:numPr>
          <w:ilvl w:val="0"/>
          <w:numId w:val="3"/>
        </w:numPr>
        <w:pBdr>
          <w:top w:val="nil"/>
          <w:left w:val="nil"/>
          <w:bottom w:val="nil"/>
          <w:right w:val="nil"/>
          <w:between w:val="nil"/>
        </w:pBdr>
        <w:spacing w:after="0" w:line="360" w:lineRule="auto"/>
        <w:rPr>
          <w:color w:val="000000"/>
        </w:rPr>
      </w:pPr>
      <w:r>
        <w:rPr>
          <w:b/>
          <w:color w:val="000000"/>
        </w:rPr>
        <w:t>Nombre completo del servidor público</w:t>
      </w:r>
      <w:r>
        <w:rPr>
          <w:color w:val="000000"/>
        </w:rPr>
        <w:t xml:space="preserve">; </w:t>
      </w:r>
    </w:p>
    <w:p w:rsidR="00495598" w:rsidRDefault="008E4C61">
      <w:pPr>
        <w:numPr>
          <w:ilvl w:val="0"/>
          <w:numId w:val="2"/>
        </w:numPr>
        <w:pBdr>
          <w:top w:val="nil"/>
          <w:left w:val="nil"/>
          <w:bottom w:val="nil"/>
          <w:right w:val="nil"/>
          <w:between w:val="nil"/>
        </w:pBdr>
        <w:spacing w:after="0" w:line="360" w:lineRule="auto"/>
        <w:rPr>
          <w:b/>
          <w:color w:val="000000"/>
        </w:rPr>
      </w:pPr>
      <w:r>
        <w:rPr>
          <w:color w:val="000000"/>
        </w:rPr>
        <w:t>Cargo para el que es designado, fecha de inicio de sus servicios y</w:t>
      </w:r>
      <w:r>
        <w:rPr>
          <w:b/>
          <w:color w:val="000000"/>
        </w:rPr>
        <w:t xml:space="preserve"> lugar de adscripción; </w:t>
      </w:r>
    </w:p>
    <w:p w:rsidR="00495598" w:rsidRDefault="008E4C61">
      <w:pPr>
        <w:numPr>
          <w:ilvl w:val="0"/>
          <w:numId w:val="2"/>
        </w:numPr>
        <w:pBdr>
          <w:top w:val="nil"/>
          <w:left w:val="nil"/>
          <w:bottom w:val="nil"/>
          <w:right w:val="nil"/>
          <w:between w:val="nil"/>
        </w:pBdr>
        <w:spacing w:after="0" w:line="360" w:lineRule="auto"/>
        <w:rPr>
          <w:color w:val="000000"/>
        </w:rPr>
      </w:pPr>
      <w:r>
        <w:rPr>
          <w:color w:val="000000"/>
        </w:rPr>
        <w:t xml:space="preserve">Carácter del nombramiento, ya sea de servidores públicos generales o de confianza, así como la temporalidad del mismo; </w:t>
      </w:r>
    </w:p>
    <w:p w:rsidR="00495598" w:rsidRDefault="008E4C61">
      <w:pPr>
        <w:numPr>
          <w:ilvl w:val="0"/>
          <w:numId w:val="2"/>
        </w:numPr>
        <w:pBdr>
          <w:top w:val="nil"/>
          <w:left w:val="nil"/>
          <w:bottom w:val="nil"/>
          <w:right w:val="nil"/>
          <w:between w:val="nil"/>
        </w:pBdr>
        <w:spacing w:after="0" w:line="360" w:lineRule="auto"/>
        <w:rPr>
          <w:b/>
          <w:color w:val="000000"/>
        </w:rPr>
      </w:pPr>
      <w:r>
        <w:rPr>
          <w:b/>
          <w:color w:val="000000"/>
        </w:rPr>
        <w:t xml:space="preserve">Remuneración correspondiente al puesto; </w:t>
      </w:r>
    </w:p>
    <w:p w:rsidR="00495598" w:rsidRDefault="008E4C61">
      <w:pPr>
        <w:numPr>
          <w:ilvl w:val="0"/>
          <w:numId w:val="2"/>
        </w:numPr>
        <w:pBdr>
          <w:top w:val="nil"/>
          <w:left w:val="nil"/>
          <w:bottom w:val="nil"/>
          <w:right w:val="nil"/>
          <w:between w:val="nil"/>
        </w:pBdr>
        <w:spacing w:after="0" w:line="360" w:lineRule="auto"/>
        <w:rPr>
          <w:color w:val="000000"/>
        </w:rPr>
      </w:pPr>
      <w:r>
        <w:rPr>
          <w:color w:val="000000"/>
        </w:rPr>
        <w:t xml:space="preserve">Jornada de trabajo, y, </w:t>
      </w:r>
    </w:p>
    <w:p w:rsidR="00495598" w:rsidRDefault="008E4C61">
      <w:pPr>
        <w:numPr>
          <w:ilvl w:val="0"/>
          <w:numId w:val="2"/>
        </w:numPr>
        <w:pBdr>
          <w:top w:val="nil"/>
          <w:left w:val="nil"/>
          <w:bottom w:val="nil"/>
          <w:right w:val="nil"/>
          <w:between w:val="nil"/>
        </w:pBdr>
        <w:spacing w:after="0" w:line="360" w:lineRule="auto"/>
        <w:rPr>
          <w:color w:val="000000"/>
        </w:rPr>
      </w:pPr>
      <w:r>
        <w:rPr>
          <w:color w:val="000000"/>
        </w:rPr>
        <w:t>Firma del servidor público autorizado para emitir el nombramiento, contrato o formato único de Movimientos de Personal, así como el fundamento legal de esa atribución.</w:t>
      </w:r>
    </w:p>
    <w:p w:rsidR="00495598" w:rsidRDefault="00495598">
      <w:pPr>
        <w:spacing w:after="0" w:line="360" w:lineRule="auto"/>
      </w:pPr>
    </w:p>
    <w:p w:rsidR="00495598" w:rsidRDefault="008E4C61">
      <w:pPr>
        <w:spacing w:after="0" w:line="360" w:lineRule="auto"/>
      </w:pPr>
      <w:r>
        <w:t>Ahora bien, la Ley de Transparencia y Acceso a la Información Pública del Estado de México y Municipios ha establecido que el nombre completo, cargo, fecha de alta en el cargo y área de adscripción, así como, la remuneración bruta y neta mensual constituyen una obligación de transparencia por parte de los sujetos obligados.</w:t>
      </w:r>
    </w:p>
    <w:p w:rsidR="00495598" w:rsidRDefault="00495598">
      <w:pPr>
        <w:spacing w:after="0" w:line="360" w:lineRule="auto"/>
      </w:pPr>
    </w:p>
    <w:p w:rsidR="00495598" w:rsidRDefault="008E4C61">
      <w:pPr>
        <w:spacing w:after="0" w:line="360" w:lineRule="auto"/>
      </w:pPr>
      <w:r>
        <w:t>En orden de ideas, el artículo 3°, fracción LXVIII,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rsidR="00495598" w:rsidRDefault="00495598">
      <w:pPr>
        <w:spacing w:after="0" w:line="360" w:lineRule="auto"/>
      </w:pPr>
    </w:p>
    <w:p w:rsidR="00495598" w:rsidRDefault="008E4C61">
      <w:pPr>
        <w:spacing w:after="0" w:line="360" w:lineRule="auto"/>
        <w:rPr>
          <w:b/>
        </w:rPr>
      </w:pPr>
      <w:r>
        <w:t xml:space="preserve">En ese contexto, el artículo 92, fracción VIII, de la Ley de Transparencia y Acceso a la Información Pública del Estado de México y Municipios, establece que los Sujetos Obligados deberán poner a disposición del público de manera permanente y actualizada, </w:t>
      </w:r>
      <w:r>
        <w:rPr>
          <w:b/>
        </w:rPr>
        <w:t>las remuneraciones brutas y netas de todos los servidores públicos, que incluya todas las percepciones, entre las cuales, se encuentran los sueldos, prestaciones, gratificaciones, primas, comisiones, dietas, bonos, estímulos, ingresos, entre otros.</w:t>
      </w:r>
    </w:p>
    <w:p w:rsidR="00495598" w:rsidRDefault="00495598">
      <w:pPr>
        <w:spacing w:after="0" w:line="360" w:lineRule="auto"/>
      </w:pPr>
    </w:p>
    <w:p w:rsidR="00495598" w:rsidRDefault="008E4C61">
      <w:pPr>
        <w:spacing w:after="0" w:line="360" w:lineRule="auto"/>
      </w:pPr>
      <w:r>
        <w:t xml:space="preserve">Ahora bien, respecto a los documento solicitado, la Ley del Trabajo de los Servidores Públicos del Estado y Municipios, en su artículo 220 K, fracciones II y IV, establece los documentos que tiene la obligación de conservar el Sujeto Obligado, entre los que se encuentra los </w:t>
      </w:r>
      <w:r>
        <w:rPr>
          <w:b/>
        </w:rPr>
        <w:t>recibos de pago de salarios o las constancias documentales del pago de sueldos</w:t>
      </w:r>
      <w:r>
        <w:t>, cuando sea por depósito o mediante información electrónica; así como los recibos o constancias de depósito o del medio de información magnética o electrónica que sean utilizadas para el pago de salarios, prima vacacional, aguinaldo y demás prestaciones.</w:t>
      </w:r>
    </w:p>
    <w:p w:rsidR="00495598" w:rsidRDefault="00495598">
      <w:pPr>
        <w:spacing w:after="0" w:line="360" w:lineRule="auto"/>
      </w:pPr>
    </w:p>
    <w:p w:rsidR="00495598" w:rsidRDefault="008E4C61">
      <w:pPr>
        <w:spacing w:after="0" w:line="360" w:lineRule="auto"/>
      </w:pPr>
      <w:r>
        <w:t>Además, la Resolución Miscelánea Fiscal del ejercicio fiscal dos mil veinticinco, y la página oficial del Servicio de Administración Tributaria, precisan que un Comprobante Fiscal Digital por Internet por concepto de nómina y otras retenciones, es también conocido como Recibo de Nómina, mismo que se podrá expedir antes de la realización de los pagos correspondientes o dentro del plazo señalado en función al número de sus trabajadores, posteriores a la realización efectiva de dichos pagos, conforme a lo siguiente:</w:t>
      </w:r>
    </w:p>
    <w:p w:rsidR="00495598" w:rsidRDefault="00495598">
      <w:pPr>
        <w:spacing w:after="0" w:line="360" w:lineRule="auto"/>
      </w:pPr>
    </w:p>
    <w:p w:rsidR="00495598" w:rsidRDefault="008E4C61">
      <w:pPr>
        <w:spacing w:after="0" w:line="360" w:lineRule="auto"/>
        <w:jc w:val="center"/>
      </w:pPr>
      <w:r>
        <w:rPr>
          <w:noProof/>
        </w:rPr>
        <w:lastRenderedPageBreak/>
        <w:drawing>
          <wp:inline distT="0" distB="0" distL="0" distR="0">
            <wp:extent cx="3044179" cy="934117"/>
            <wp:effectExtent l="0" t="0" r="0" b="0"/>
            <wp:docPr id="1728201482" name="image3.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Tabla&#10;&#10;El contenido generado por IA puede ser incorrecto."/>
                    <pic:cNvPicPr preferRelativeResize="0"/>
                  </pic:nvPicPr>
                  <pic:blipFill>
                    <a:blip r:embed="rId11"/>
                    <a:srcRect/>
                    <a:stretch>
                      <a:fillRect/>
                    </a:stretch>
                  </pic:blipFill>
                  <pic:spPr>
                    <a:xfrm>
                      <a:off x="0" y="0"/>
                      <a:ext cx="3044179" cy="934117"/>
                    </a:xfrm>
                    <a:prstGeom prst="rect">
                      <a:avLst/>
                    </a:prstGeom>
                    <a:ln/>
                  </pic:spPr>
                </pic:pic>
              </a:graphicData>
            </a:graphic>
          </wp:inline>
        </w:drawing>
      </w:r>
    </w:p>
    <w:p w:rsidR="00495598" w:rsidRDefault="008E4C61">
      <w:pPr>
        <w:spacing w:after="0" w:line="360" w:lineRule="auto"/>
      </w:pPr>
      <w:r>
        <w:t xml:space="preserve">Ahora bien, sobre el área solicitada, este Instituto consultó la fracción II B “Organigrama” del sistema de Información Pública de Oficio Mexiquense del Sujeto Obligado (en la liga electrónica </w:t>
      </w:r>
      <w:hyperlink r:id="rId12">
        <w:r>
          <w:rPr>
            <w:color w:val="0000FF"/>
            <w:u w:val="single"/>
          </w:rPr>
          <w:t>https://dgi.edomex.gob.mx/sites/dgi.edomex.gob.mx/files/organigramas/pdf/14611149268956.pdf</w:t>
        </w:r>
      </w:hyperlink>
      <w:r>
        <w:t xml:space="preserve">), del cual se logró advertir lo siguiente: </w:t>
      </w:r>
    </w:p>
    <w:p w:rsidR="00495598" w:rsidRDefault="00495598">
      <w:pPr>
        <w:spacing w:after="0" w:line="360" w:lineRule="auto"/>
      </w:pPr>
    </w:p>
    <w:p w:rsidR="00495598" w:rsidRDefault="008E4C61">
      <w:pPr>
        <w:spacing w:after="0" w:line="360" w:lineRule="auto"/>
        <w:jc w:val="center"/>
      </w:pPr>
      <w:r>
        <w:rPr>
          <w:noProof/>
        </w:rPr>
        <w:lastRenderedPageBreak/>
        <w:drawing>
          <wp:inline distT="0" distB="0" distL="0" distR="0">
            <wp:extent cx="4426721" cy="5622948"/>
            <wp:effectExtent l="0" t="0" r="0" b="0"/>
            <wp:docPr id="172820148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4426721" cy="5622948"/>
                    </a:xfrm>
                    <a:prstGeom prst="rect">
                      <a:avLst/>
                    </a:prstGeom>
                    <a:ln/>
                  </pic:spPr>
                </pic:pic>
              </a:graphicData>
            </a:graphic>
          </wp:inline>
        </w:drawing>
      </w:r>
    </w:p>
    <w:p w:rsidR="00495598" w:rsidRDefault="008E4C61">
      <w:pPr>
        <w:spacing w:after="0" w:line="360" w:lineRule="auto"/>
      </w:pPr>
      <w:r>
        <w:t>Así, se logra vislumbrar que la pretensión de la persona Recurrente es obtener, de los servidores públicos (hombres)</w:t>
      </w:r>
      <w:r>
        <w:rPr>
          <w:color w:val="000000"/>
        </w:rPr>
        <w:t xml:space="preserve">, adscritos al Departamento de </w:t>
      </w:r>
      <w:r>
        <w:t>Programación Presupuestal, lo siguiente:</w:t>
      </w:r>
    </w:p>
    <w:p w:rsidR="00495598" w:rsidRDefault="00495598">
      <w:pPr>
        <w:spacing w:after="0" w:line="360" w:lineRule="auto"/>
      </w:pPr>
    </w:p>
    <w:p w:rsidR="00495598" w:rsidRDefault="008E4C61">
      <w:pPr>
        <w:numPr>
          <w:ilvl w:val="0"/>
          <w:numId w:val="4"/>
        </w:numPr>
        <w:pBdr>
          <w:top w:val="nil"/>
          <w:left w:val="nil"/>
          <w:bottom w:val="nil"/>
          <w:right w:val="nil"/>
          <w:between w:val="nil"/>
        </w:pBdr>
        <w:spacing w:after="0" w:line="360" w:lineRule="auto"/>
        <w:rPr>
          <w:color w:val="000000"/>
        </w:rPr>
      </w:pPr>
      <w:r>
        <w:rPr>
          <w:color w:val="000000"/>
        </w:rPr>
        <w:t xml:space="preserve">Recibos de pago y/o nómina de la primera y segunda quincena de mayo de dos mil veinticinco; y </w:t>
      </w:r>
    </w:p>
    <w:p w:rsidR="00495598" w:rsidRDefault="008E4C61">
      <w:pPr>
        <w:numPr>
          <w:ilvl w:val="0"/>
          <w:numId w:val="4"/>
        </w:numPr>
        <w:pBdr>
          <w:top w:val="nil"/>
          <w:left w:val="nil"/>
          <w:bottom w:val="nil"/>
          <w:right w:val="nil"/>
          <w:between w:val="nil"/>
        </w:pBdr>
        <w:spacing w:after="0" w:line="360" w:lineRule="auto"/>
        <w:rPr>
          <w:color w:val="000000"/>
        </w:rPr>
      </w:pPr>
      <w:r>
        <w:rPr>
          <w:color w:val="000000"/>
        </w:rPr>
        <w:lastRenderedPageBreak/>
        <w:t xml:space="preserve">Documento donde conste la relación laboral (contratos y nombramientos) al nueve de junio de dos mil veinticinco </w:t>
      </w:r>
    </w:p>
    <w:p w:rsidR="00495598" w:rsidRDefault="00495598">
      <w:pPr>
        <w:spacing w:after="0" w:line="360" w:lineRule="auto"/>
        <w:rPr>
          <w:color w:val="000000"/>
        </w:rPr>
      </w:pPr>
    </w:p>
    <w:p w:rsidR="00495598" w:rsidRDefault="008E4C61">
      <w:pPr>
        <w:spacing w:after="0" w:line="360" w:lineRule="auto"/>
      </w:pPr>
      <w:r>
        <w:rPr>
          <w:color w:val="000000"/>
        </w:rPr>
        <w:t>Conforme a lo anterior, de las constancias que obran en el expediente electrónico, se advierte que el Sujeto Obligado</w:t>
      </w:r>
      <w:r>
        <w:rPr>
          <w:color w:val="0D0D0D"/>
        </w:rPr>
        <w:t xml:space="preserve">, turnó la solicitud de información a la </w:t>
      </w:r>
      <w:r>
        <w:t>Coordinación de Delegaciones Administrativas y el Departamento de Administración y Desarrollo de Personal</w:t>
      </w:r>
      <w:r>
        <w:rPr>
          <w:color w:val="000000"/>
        </w:rPr>
        <w:t xml:space="preserve">; </w:t>
      </w:r>
      <w:r>
        <w:t xml:space="preserve">por lo que, es oportuno hacer referencia al </w:t>
      </w:r>
      <w:r>
        <w:rPr>
          <w:b/>
        </w:rPr>
        <w:t>procedimiento de búsqueda que deben de seguir los Sujetos Obligados para localizar la información</w:t>
      </w:r>
      <w:r>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rsidR="00495598" w:rsidRDefault="00495598">
      <w:pPr>
        <w:spacing w:after="0" w:line="360" w:lineRule="auto"/>
        <w:rPr>
          <w:color w:val="0D0D0D"/>
        </w:rPr>
      </w:pPr>
    </w:p>
    <w:p w:rsidR="00495598" w:rsidRDefault="008E4C61">
      <w:pPr>
        <w:spacing w:after="0" w:line="360" w:lineRule="auto"/>
        <w:rPr>
          <w:color w:val="0D0D0D"/>
        </w:rPr>
      </w:pPr>
      <w:r>
        <w:rPr>
          <w:color w:val="0D0D0D"/>
        </w:rPr>
        <w:t>Al respecto, el artículo 4</w:t>
      </w:r>
      <w:r>
        <w:rPr>
          <w:color w:val="0D0D0D"/>
          <w:vertAlign w:val="superscript"/>
        </w:rPr>
        <w:t>o</w:t>
      </w:r>
      <w:r>
        <w:rPr>
          <w:color w:val="0D0D0D"/>
        </w:rPr>
        <w:t xml:space="preserve"> del Reglamento Interior de la Secretaría de Educación, Ciencia, Tecnología e Innovación, en relación con el Manual General de Organización de la Secretaría de Educación, Ciencia, Tecnología e Innovación, para el estudio, planeación y despacho de los asuntos de su competencia, la Secretaría contará con la Subsecretaría de Administración y Fianzas, que tendrá a cargo las unidades administrativas: </w:t>
      </w:r>
    </w:p>
    <w:p w:rsidR="00495598" w:rsidRDefault="008E4C61">
      <w:pPr>
        <w:spacing w:after="0" w:line="360" w:lineRule="auto"/>
        <w:rPr>
          <w:color w:val="0D0D0D"/>
        </w:rPr>
      </w:pPr>
      <w:r>
        <w:rPr>
          <w:color w:val="0D0D0D"/>
        </w:rPr>
        <w:t xml:space="preserve"> </w:t>
      </w:r>
      <w:r>
        <w:rPr>
          <w:b/>
          <w:color w:val="0D0D0D"/>
        </w:rPr>
        <w:t>Coordinación de Delegaciones Administrativas (22804001000000S):</w:t>
      </w:r>
      <w:r>
        <w:rPr>
          <w:color w:val="0D0D0D"/>
        </w:rPr>
        <w:t xml:space="preserve"> Encargada de vigilar el manejo de los recursos humanos, financieros, materiales, técnicos y de servicios generales de las unidades administrativas de las Subsecretarías. </w:t>
      </w:r>
    </w:p>
    <w:p w:rsidR="00495598" w:rsidRDefault="00495598">
      <w:pPr>
        <w:pBdr>
          <w:top w:val="nil"/>
          <w:left w:val="nil"/>
          <w:bottom w:val="nil"/>
          <w:right w:val="nil"/>
          <w:between w:val="nil"/>
        </w:pBdr>
        <w:spacing w:after="0" w:line="360" w:lineRule="auto"/>
        <w:ind w:left="720"/>
        <w:rPr>
          <w:color w:val="0D0D0D"/>
        </w:rPr>
      </w:pPr>
    </w:p>
    <w:p w:rsidR="00495598" w:rsidRDefault="008E4C61">
      <w:pPr>
        <w:numPr>
          <w:ilvl w:val="0"/>
          <w:numId w:val="5"/>
        </w:numPr>
        <w:pBdr>
          <w:top w:val="nil"/>
          <w:left w:val="nil"/>
          <w:bottom w:val="nil"/>
          <w:right w:val="nil"/>
          <w:between w:val="nil"/>
        </w:pBdr>
        <w:spacing w:after="0" w:line="360" w:lineRule="auto"/>
        <w:rPr>
          <w:color w:val="0D0D0D"/>
        </w:rPr>
      </w:pPr>
      <w:r>
        <w:rPr>
          <w:b/>
          <w:color w:val="0D0D0D"/>
        </w:rPr>
        <w:t>Departamento de Administración y Desarrollo de Personal:</w:t>
      </w:r>
      <w:r>
        <w:rPr>
          <w:color w:val="0D0D0D"/>
        </w:rPr>
        <w:t xml:space="preserve"> Integrar y mantener actualizada la plantilla y expedientes de las personas servidoras públicas generales y </w:t>
      </w:r>
      <w:r>
        <w:rPr>
          <w:color w:val="0D0D0D"/>
        </w:rPr>
        <w:lastRenderedPageBreak/>
        <w:t>de confianza de la Secretaría de Educación, Ciencia, Tecnología e Innovación y gestionar ante el Instituto de Seguridad Social del Estado de México y Municipios, los movimientos de alta o baja de las personas servidoras públicas generales y de confianza.</w:t>
      </w:r>
    </w:p>
    <w:p w:rsidR="00495598" w:rsidRDefault="00495598">
      <w:pPr>
        <w:pBdr>
          <w:top w:val="nil"/>
          <w:left w:val="nil"/>
          <w:bottom w:val="nil"/>
          <w:right w:val="nil"/>
          <w:between w:val="nil"/>
        </w:pBdr>
        <w:spacing w:after="0" w:line="360" w:lineRule="auto"/>
        <w:ind w:left="720"/>
        <w:rPr>
          <w:color w:val="0D0D0D"/>
        </w:rPr>
      </w:pPr>
    </w:p>
    <w:p w:rsidR="00495598" w:rsidRDefault="008E4C61">
      <w:pPr>
        <w:spacing w:after="0" w:line="360" w:lineRule="auto"/>
        <w:rPr>
          <w:color w:val="000000"/>
        </w:rPr>
      </w:pPr>
      <w:r>
        <w:rPr>
          <w:color w:val="000000"/>
        </w:rPr>
        <w:t xml:space="preserve">Así, </w:t>
      </w:r>
      <w:r>
        <w:t xml:space="preserve">se logra colegir que el Sujeto Obligado cumplió con el procedimiento de búsqueda </w:t>
      </w:r>
      <w:r>
        <w:rPr>
          <w:color w:val="000000"/>
        </w:rPr>
        <w:t xml:space="preserve">establecido en el artículo 162 de la Ley de Transparencia y Acceso a la Información Pública del Estado de México y Municipios, toda vez, que gestionó el requerimiento de información al área competente para conocer de la información solicitada. </w:t>
      </w:r>
    </w:p>
    <w:p w:rsidR="00495598" w:rsidRDefault="00495598">
      <w:pPr>
        <w:spacing w:after="0" w:line="360" w:lineRule="auto"/>
        <w:rPr>
          <w:color w:val="000000"/>
        </w:rPr>
      </w:pPr>
    </w:p>
    <w:p w:rsidR="00495598" w:rsidRDefault="008E4C61">
      <w:pPr>
        <w:spacing w:after="0" w:line="360" w:lineRule="auto"/>
        <w:rPr>
          <w:color w:val="000000"/>
        </w:rPr>
      </w:pPr>
      <w:r>
        <w:rPr>
          <w:color w:val="000000"/>
        </w:rPr>
        <w:t xml:space="preserve">Ahora bien, cabe precisar que en respuesta el Departamento de Administración y Desarrollo de Personal, precisó que tras búsqueda en sus archivos no se encontró ningún servidor público burócrata general o de confianza de sexo masculino (hombre) perteneciente al Departamento de Programación Presupuestal. </w:t>
      </w:r>
    </w:p>
    <w:p w:rsidR="00495598" w:rsidRDefault="00495598">
      <w:pPr>
        <w:spacing w:after="0" w:line="360" w:lineRule="auto"/>
        <w:rPr>
          <w:color w:val="000000"/>
        </w:rPr>
      </w:pPr>
    </w:p>
    <w:p w:rsidR="00495598" w:rsidRDefault="008E4C61">
      <w:pPr>
        <w:spacing w:after="0" w:line="360" w:lineRule="auto"/>
        <w:rPr>
          <w:color w:val="000000"/>
        </w:rPr>
      </w:pPr>
      <w:r>
        <w:rPr>
          <w:color w:val="000000"/>
        </w:rPr>
        <w:t xml:space="preserve">Al respecto, este Instituto localizó en la fracción “Remuneraciones” el Sistema de Información Pública de Oficio Mexiquense 4.0, a los servidores públicos adscritos al segundo trimestre de dos mil veinticinco, del Departamento de Programación Presupuestal del cual se logró vislumbrar lo siguiente: </w:t>
      </w:r>
    </w:p>
    <w:p w:rsidR="00495598" w:rsidRDefault="00495598">
      <w:pPr>
        <w:spacing w:after="0" w:line="360" w:lineRule="auto"/>
        <w:rPr>
          <w:color w:val="000000"/>
        </w:rPr>
      </w:pPr>
    </w:p>
    <w:p w:rsidR="00495598" w:rsidRDefault="008E4C61">
      <w:pPr>
        <w:spacing w:after="0" w:line="360" w:lineRule="auto"/>
        <w:rPr>
          <w:color w:val="000000"/>
        </w:rPr>
      </w:pPr>
      <w:r>
        <w:rPr>
          <w:noProof/>
          <w:color w:val="000000"/>
        </w:rPr>
        <w:lastRenderedPageBreak/>
        <w:drawing>
          <wp:inline distT="0" distB="0" distL="0" distR="0">
            <wp:extent cx="5671185" cy="2605405"/>
            <wp:effectExtent l="0" t="0" r="0" b="0"/>
            <wp:docPr id="17282014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671185" cy="2605405"/>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simplePos x="0" y="0"/>
                <wp:positionH relativeFrom="column">
                  <wp:posOffset>-18096</wp:posOffset>
                </wp:positionH>
                <wp:positionV relativeFrom="paragraph">
                  <wp:posOffset>1230312</wp:posOffset>
                </wp:positionV>
                <wp:extent cx="5667375" cy="1066800"/>
                <wp:effectExtent l="0" t="0" r="0" b="0"/>
                <wp:wrapNone/>
                <wp:docPr id="1728201475" name="Rectángulo 1728201475"/>
                <wp:cNvGraphicFramePr/>
                <a:graphic xmlns:a="http://schemas.openxmlformats.org/drawingml/2006/main">
                  <a:graphicData uri="http://schemas.microsoft.com/office/word/2010/wordprocessingShape">
                    <wps:wsp>
                      <wps:cNvSpPr/>
                      <wps:spPr>
                        <a:xfrm>
                          <a:off x="2526600" y="3260888"/>
                          <a:ext cx="5638800" cy="1038225"/>
                        </a:xfrm>
                        <a:prstGeom prst="rect">
                          <a:avLst/>
                        </a:prstGeom>
                        <a:noFill/>
                        <a:ln w="28575" cap="flat" cmpd="sng">
                          <a:solidFill>
                            <a:schemeClr val="dk1"/>
                          </a:solidFill>
                          <a:prstDash val="solid"/>
                          <a:round/>
                          <a:headEnd type="none" w="sm" len="sm"/>
                          <a:tailEnd type="none" w="sm" len="sm"/>
                        </a:ln>
                      </wps:spPr>
                      <wps:txbx>
                        <w:txbxContent>
                          <w:p w:rsidR="00495598" w:rsidRDefault="00495598">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-18096</wp:posOffset>
                </wp:positionH>
                <wp:positionV relativeFrom="paragraph">
                  <wp:posOffset>1230312</wp:posOffset>
                </wp:positionV>
                <wp:extent cx="5667375" cy="1066800"/>
                <wp:effectExtent b="0" l="0" r="0" t="0"/>
                <wp:wrapNone/>
                <wp:docPr id="1728201475"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5667375" cy="1066800"/>
                        </a:xfrm>
                        <a:prstGeom prst="rect"/>
                        <a:ln/>
                      </pic:spPr>
                    </pic:pic>
                  </a:graphicData>
                </a:graphic>
              </wp:anchor>
            </w:drawing>
          </mc:Fallback>
        </mc:AlternateContent>
      </w:r>
    </w:p>
    <w:p w:rsidR="00495598" w:rsidRDefault="008E4C61">
      <w:pPr>
        <w:spacing w:after="0" w:line="360" w:lineRule="auto"/>
        <w:rPr>
          <w:color w:val="000000"/>
        </w:rPr>
      </w:pPr>
      <w:r>
        <w:rPr>
          <w:noProof/>
          <w:color w:val="000000"/>
        </w:rPr>
        <w:drawing>
          <wp:inline distT="0" distB="0" distL="0" distR="0">
            <wp:extent cx="5671185" cy="2639060"/>
            <wp:effectExtent l="0" t="0" r="0" b="0"/>
            <wp:docPr id="172820148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671185" cy="2639060"/>
                    </a:xfrm>
                    <a:prstGeom prst="rect">
                      <a:avLst/>
                    </a:prstGeom>
                    <a:ln/>
                  </pic:spPr>
                </pic:pic>
              </a:graphicData>
            </a:graphic>
          </wp:inline>
        </w:drawing>
      </w:r>
      <w:r>
        <w:rPr>
          <w:noProof/>
        </w:rPr>
        <mc:AlternateContent>
          <mc:Choice Requires="wpg">
            <w:drawing>
              <wp:anchor distT="0" distB="0" distL="114300" distR="114300" simplePos="0" relativeHeight="251659264" behindDoc="0" locked="0" layoutInCell="1" hidden="0" allowOverlap="1">
                <wp:simplePos x="0" y="0"/>
                <wp:positionH relativeFrom="column">
                  <wp:posOffset>-18096</wp:posOffset>
                </wp:positionH>
                <wp:positionV relativeFrom="paragraph">
                  <wp:posOffset>1012507</wp:posOffset>
                </wp:positionV>
                <wp:extent cx="5667375" cy="1371600"/>
                <wp:effectExtent l="0" t="0" r="0" b="0"/>
                <wp:wrapNone/>
                <wp:docPr id="1728201477" name="Rectángulo 1728201477"/>
                <wp:cNvGraphicFramePr/>
                <a:graphic xmlns:a="http://schemas.openxmlformats.org/drawingml/2006/main">
                  <a:graphicData uri="http://schemas.microsoft.com/office/word/2010/wordprocessingShape">
                    <wps:wsp>
                      <wps:cNvSpPr/>
                      <wps:spPr>
                        <a:xfrm>
                          <a:off x="2526600" y="3108488"/>
                          <a:ext cx="5638800" cy="1343025"/>
                        </a:xfrm>
                        <a:prstGeom prst="rect">
                          <a:avLst/>
                        </a:prstGeom>
                        <a:noFill/>
                        <a:ln w="28575" cap="flat" cmpd="sng">
                          <a:solidFill>
                            <a:schemeClr val="dk1"/>
                          </a:solidFill>
                          <a:prstDash val="solid"/>
                          <a:round/>
                          <a:headEnd type="none" w="sm" len="sm"/>
                          <a:tailEnd type="none" w="sm" len="sm"/>
                        </a:ln>
                      </wps:spPr>
                      <wps:txbx>
                        <w:txbxContent>
                          <w:p w:rsidR="00495598" w:rsidRDefault="00495598">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-18096</wp:posOffset>
                </wp:positionH>
                <wp:positionV relativeFrom="paragraph">
                  <wp:posOffset>1012507</wp:posOffset>
                </wp:positionV>
                <wp:extent cx="5667375" cy="1371600"/>
                <wp:effectExtent b="0" l="0" r="0" t="0"/>
                <wp:wrapNone/>
                <wp:docPr id="1728201477" name="image12.png"/>
                <a:graphic>
                  <a:graphicData uri="http://schemas.openxmlformats.org/drawingml/2006/picture">
                    <pic:pic>
                      <pic:nvPicPr>
                        <pic:cNvPr id="0" name="image12.png"/>
                        <pic:cNvPicPr preferRelativeResize="0"/>
                      </pic:nvPicPr>
                      <pic:blipFill>
                        <a:blip r:embed="rId15"/>
                        <a:srcRect/>
                        <a:stretch>
                          <a:fillRect/>
                        </a:stretch>
                      </pic:blipFill>
                      <pic:spPr>
                        <a:xfrm>
                          <a:off x="0" y="0"/>
                          <a:ext cx="5667375" cy="137160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-14286</wp:posOffset>
                </wp:positionH>
                <wp:positionV relativeFrom="paragraph">
                  <wp:posOffset>23813</wp:posOffset>
                </wp:positionV>
                <wp:extent cx="5667375" cy="371475"/>
                <wp:effectExtent l="0" t="0" r="0" b="0"/>
                <wp:wrapNone/>
                <wp:docPr id="1728201476" name="Rectángulo 1728201476"/>
                <wp:cNvGraphicFramePr/>
                <a:graphic xmlns:a="http://schemas.openxmlformats.org/drawingml/2006/main">
                  <a:graphicData uri="http://schemas.microsoft.com/office/word/2010/wordprocessingShape">
                    <wps:wsp>
                      <wps:cNvSpPr/>
                      <wps:spPr>
                        <a:xfrm>
                          <a:off x="2526600" y="3608550"/>
                          <a:ext cx="5638800" cy="342900"/>
                        </a:xfrm>
                        <a:prstGeom prst="rect">
                          <a:avLst/>
                        </a:prstGeom>
                        <a:noFill/>
                        <a:ln w="28575" cap="flat" cmpd="sng">
                          <a:solidFill>
                            <a:schemeClr val="dk1"/>
                          </a:solidFill>
                          <a:prstDash val="solid"/>
                          <a:round/>
                          <a:headEnd type="none" w="sm" len="sm"/>
                          <a:tailEnd type="none" w="sm" len="sm"/>
                        </a:ln>
                      </wps:spPr>
                      <wps:txbx>
                        <w:txbxContent>
                          <w:p w:rsidR="00495598" w:rsidRDefault="00495598">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-14286</wp:posOffset>
                </wp:positionH>
                <wp:positionV relativeFrom="paragraph">
                  <wp:posOffset>23813</wp:posOffset>
                </wp:positionV>
                <wp:extent cx="5667375" cy="371475"/>
                <wp:effectExtent b="0" l="0" r="0" t="0"/>
                <wp:wrapNone/>
                <wp:docPr id="1728201476" name="image11.png"/>
                <a:graphic>
                  <a:graphicData uri="http://schemas.openxmlformats.org/drawingml/2006/picture">
                    <pic:pic>
                      <pic:nvPicPr>
                        <pic:cNvPr id="0" name="image11.png"/>
                        <pic:cNvPicPr preferRelativeResize="0"/>
                      </pic:nvPicPr>
                      <pic:blipFill>
                        <a:blip r:embed="rId15"/>
                        <a:srcRect/>
                        <a:stretch>
                          <a:fillRect/>
                        </a:stretch>
                      </pic:blipFill>
                      <pic:spPr>
                        <a:xfrm>
                          <a:off x="0" y="0"/>
                          <a:ext cx="5667375" cy="371475"/>
                        </a:xfrm>
                        <a:prstGeom prst="rect"/>
                        <a:ln/>
                      </pic:spPr>
                    </pic:pic>
                  </a:graphicData>
                </a:graphic>
              </wp:anchor>
            </w:drawing>
          </mc:Fallback>
        </mc:AlternateContent>
      </w:r>
    </w:p>
    <w:p w:rsidR="00495598" w:rsidRDefault="008E4C61">
      <w:pPr>
        <w:spacing w:after="0" w:line="360" w:lineRule="auto"/>
        <w:rPr>
          <w:color w:val="000000"/>
        </w:rPr>
      </w:pPr>
      <w:r>
        <w:rPr>
          <w:noProof/>
          <w:color w:val="000000"/>
        </w:rPr>
        <w:drawing>
          <wp:inline distT="0" distB="0" distL="0" distR="0">
            <wp:extent cx="5671185" cy="1000125"/>
            <wp:effectExtent l="0" t="0" r="0" b="0"/>
            <wp:docPr id="172820148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671185" cy="1000125"/>
                    </a:xfrm>
                    <a:prstGeom prst="rect">
                      <a:avLst/>
                    </a:prstGeom>
                    <a:ln/>
                  </pic:spPr>
                </pic:pic>
              </a:graphicData>
            </a:graphic>
          </wp:inline>
        </w:drawing>
      </w:r>
    </w:p>
    <w:p w:rsidR="00495598" w:rsidRDefault="00495598">
      <w:pPr>
        <w:spacing w:after="0" w:line="360" w:lineRule="auto"/>
        <w:jc w:val="center"/>
        <w:rPr>
          <w:color w:val="000000"/>
        </w:rPr>
      </w:pPr>
    </w:p>
    <w:p w:rsidR="00495598" w:rsidRDefault="008E4C61">
      <w:pPr>
        <w:spacing w:after="0" w:line="360" w:lineRule="auto"/>
        <w:rPr>
          <w:color w:val="000000"/>
        </w:rPr>
      </w:pPr>
      <w:r>
        <w:rPr>
          <w:color w:val="000000"/>
        </w:rPr>
        <w:t xml:space="preserve">Conforme a lo anterior se logra vislumbrar que contrario a lo precisado por el Departamento de Administración y Desarrollo de Personal, a la fecha de la solicitud, es decir al nueve de </w:t>
      </w:r>
      <w:r>
        <w:rPr>
          <w:color w:val="000000"/>
        </w:rPr>
        <w:lastRenderedPageBreak/>
        <w:t xml:space="preserve">junio de dos mil veinticinco, se contaban con ocho servidores públicos (hombres) adscritos al Departamento de Programación Presupuestal., por lo se coligue que el agravio de la persona Recurrente es </w:t>
      </w:r>
      <w:r>
        <w:rPr>
          <w:b/>
          <w:color w:val="000000"/>
        </w:rPr>
        <w:t>PARCIALMENTE FUNDADO.</w:t>
      </w:r>
      <w:r>
        <w:rPr>
          <w:color w:val="000000"/>
        </w:rPr>
        <w:t xml:space="preserve"> </w:t>
      </w:r>
    </w:p>
    <w:p w:rsidR="00495598" w:rsidRDefault="00495598">
      <w:pPr>
        <w:spacing w:after="0" w:line="360" w:lineRule="auto"/>
        <w:rPr>
          <w:color w:val="000000"/>
        </w:rPr>
      </w:pPr>
    </w:p>
    <w:p w:rsidR="00495598" w:rsidRDefault="008E4C61">
      <w:pPr>
        <w:spacing w:after="0" w:line="360" w:lineRule="auto"/>
        <w:rPr>
          <w:color w:val="000000"/>
        </w:rPr>
      </w:pPr>
      <w:r>
        <w:rPr>
          <w:color w:val="000000"/>
        </w:rPr>
        <w:t xml:space="preserve">No obstante, la Coordinación de Delegaciones Administrativas proporcionó el listado de servidores públicos (hombres) adscritos al Departamento de Programación Presupuestal, conforme a lo localizado en el IPOMEX 4.0, además entregó los comprobantes de pago y Formatos Únicos de Movimiento de Personal, situación que fue ratificada mediante informe justificado, de conformidad con lo siguiente </w:t>
      </w:r>
    </w:p>
    <w:p w:rsidR="00495598" w:rsidRDefault="00495598">
      <w:pPr>
        <w:spacing w:after="0" w:line="360" w:lineRule="auto"/>
        <w:rPr>
          <w:color w:val="000000"/>
        </w:rPr>
      </w:pPr>
    </w:p>
    <w:tbl>
      <w:tblPr>
        <w:tblStyle w:val="a"/>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4"/>
        <w:gridCol w:w="2115"/>
        <w:gridCol w:w="2126"/>
        <w:gridCol w:w="2410"/>
        <w:gridCol w:w="1696"/>
      </w:tblGrid>
      <w:tr w:rsidR="00495598">
        <w:tc>
          <w:tcPr>
            <w:tcW w:w="574" w:type="dxa"/>
            <w:shd w:val="clear" w:color="auto" w:fill="BFBFBF"/>
            <w:vAlign w:val="center"/>
          </w:tcPr>
          <w:p w:rsidR="00495598" w:rsidRDefault="008E4C61">
            <w:pPr>
              <w:spacing w:line="360" w:lineRule="auto"/>
              <w:jc w:val="center"/>
              <w:rPr>
                <w:b/>
                <w:color w:val="000000"/>
                <w:sz w:val="18"/>
                <w:szCs w:val="18"/>
              </w:rPr>
            </w:pPr>
            <w:r>
              <w:rPr>
                <w:b/>
                <w:color w:val="000000"/>
                <w:sz w:val="18"/>
                <w:szCs w:val="18"/>
              </w:rPr>
              <w:t>No.</w:t>
            </w:r>
          </w:p>
        </w:tc>
        <w:tc>
          <w:tcPr>
            <w:tcW w:w="2115" w:type="dxa"/>
            <w:shd w:val="clear" w:color="auto" w:fill="BFBFBF"/>
            <w:vAlign w:val="center"/>
          </w:tcPr>
          <w:p w:rsidR="00495598" w:rsidRDefault="008E4C61">
            <w:pPr>
              <w:spacing w:line="360" w:lineRule="auto"/>
              <w:jc w:val="center"/>
              <w:rPr>
                <w:b/>
                <w:color w:val="000000"/>
                <w:sz w:val="18"/>
                <w:szCs w:val="18"/>
              </w:rPr>
            </w:pPr>
            <w:r>
              <w:rPr>
                <w:b/>
                <w:color w:val="000000"/>
                <w:sz w:val="18"/>
                <w:szCs w:val="18"/>
              </w:rPr>
              <w:t>Servidor Público</w:t>
            </w:r>
          </w:p>
        </w:tc>
        <w:tc>
          <w:tcPr>
            <w:tcW w:w="2126" w:type="dxa"/>
            <w:shd w:val="clear" w:color="auto" w:fill="BFBFBF"/>
            <w:vAlign w:val="center"/>
          </w:tcPr>
          <w:p w:rsidR="00495598" w:rsidRDefault="008E4C61">
            <w:pPr>
              <w:spacing w:line="360" w:lineRule="auto"/>
              <w:jc w:val="center"/>
              <w:rPr>
                <w:b/>
                <w:color w:val="000000"/>
                <w:sz w:val="18"/>
                <w:szCs w:val="18"/>
              </w:rPr>
            </w:pPr>
            <w:r>
              <w:rPr>
                <w:b/>
                <w:color w:val="000000"/>
                <w:sz w:val="18"/>
                <w:szCs w:val="18"/>
              </w:rPr>
              <w:t>Comprobantes de pago</w:t>
            </w:r>
          </w:p>
        </w:tc>
        <w:tc>
          <w:tcPr>
            <w:tcW w:w="2410" w:type="dxa"/>
            <w:shd w:val="clear" w:color="auto" w:fill="BFBFBF"/>
          </w:tcPr>
          <w:p w:rsidR="00495598" w:rsidRDefault="008E4C61">
            <w:pPr>
              <w:spacing w:line="360" w:lineRule="auto"/>
              <w:rPr>
                <w:b/>
                <w:color w:val="000000"/>
                <w:sz w:val="18"/>
                <w:szCs w:val="18"/>
              </w:rPr>
            </w:pPr>
            <w:r>
              <w:rPr>
                <w:b/>
                <w:color w:val="000000"/>
                <w:sz w:val="18"/>
                <w:szCs w:val="18"/>
              </w:rPr>
              <w:t>Nombramiento, contrato o formato único de Movimientos de Personal</w:t>
            </w:r>
          </w:p>
        </w:tc>
        <w:tc>
          <w:tcPr>
            <w:tcW w:w="1696" w:type="dxa"/>
            <w:shd w:val="clear" w:color="auto" w:fill="BFBFBF"/>
            <w:vAlign w:val="center"/>
          </w:tcPr>
          <w:p w:rsidR="00495598" w:rsidRDefault="008E4C61">
            <w:pPr>
              <w:spacing w:line="360" w:lineRule="auto"/>
              <w:jc w:val="center"/>
              <w:rPr>
                <w:b/>
                <w:color w:val="000000"/>
                <w:sz w:val="18"/>
                <w:szCs w:val="18"/>
              </w:rPr>
            </w:pPr>
            <w:r>
              <w:rPr>
                <w:b/>
                <w:color w:val="000000"/>
                <w:sz w:val="18"/>
                <w:szCs w:val="18"/>
              </w:rPr>
              <w:t>Observaciones</w:t>
            </w:r>
          </w:p>
        </w:tc>
      </w:tr>
      <w:tr w:rsidR="00495598">
        <w:tc>
          <w:tcPr>
            <w:tcW w:w="574" w:type="dxa"/>
          </w:tcPr>
          <w:p w:rsidR="00495598" w:rsidRDefault="008E4C61">
            <w:pPr>
              <w:spacing w:line="360" w:lineRule="auto"/>
              <w:rPr>
                <w:color w:val="000000"/>
                <w:sz w:val="18"/>
                <w:szCs w:val="18"/>
              </w:rPr>
            </w:pPr>
            <w:r>
              <w:rPr>
                <w:color w:val="000000"/>
                <w:sz w:val="18"/>
                <w:szCs w:val="18"/>
              </w:rPr>
              <w:t xml:space="preserve">1. </w:t>
            </w:r>
          </w:p>
        </w:tc>
        <w:tc>
          <w:tcPr>
            <w:tcW w:w="2115" w:type="dxa"/>
          </w:tcPr>
          <w:p w:rsidR="00495598" w:rsidRDefault="008E4C61">
            <w:pPr>
              <w:spacing w:line="360" w:lineRule="auto"/>
              <w:rPr>
                <w:color w:val="000000"/>
                <w:sz w:val="18"/>
                <w:szCs w:val="18"/>
              </w:rPr>
            </w:pPr>
            <w:proofErr w:type="spellStart"/>
            <w:r>
              <w:rPr>
                <w:color w:val="000000"/>
                <w:sz w:val="18"/>
                <w:szCs w:val="18"/>
              </w:rPr>
              <w:t>Yoni</w:t>
            </w:r>
            <w:proofErr w:type="spellEnd"/>
            <w:r>
              <w:rPr>
                <w:color w:val="000000"/>
                <w:sz w:val="18"/>
                <w:szCs w:val="18"/>
              </w:rPr>
              <w:t xml:space="preserve"> Bahena Palacios </w:t>
            </w:r>
          </w:p>
        </w:tc>
        <w:tc>
          <w:tcPr>
            <w:tcW w:w="2126" w:type="dxa"/>
          </w:tcPr>
          <w:p w:rsidR="00495598" w:rsidRDefault="008E4C61">
            <w:pPr>
              <w:spacing w:line="360" w:lineRule="auto"/>
              <w:rPr>
                <w:color w:val="000000"/>
                <w:sz w:val="18"/>
                <w:szCs w:val="18"/>
              </w:rPr>
            </w:pPr>
            <w:r>
              <w:rPr>
                <w:color w:val="000000"/>
                <w:sz w:val="18"/>
                <w:szCs w:val="18"/>
              </w:rPr>
              <w:t xml:space="preserve">1ª y 2ª quincena de mayo </w:t>
            </w:r>
          </w:p>
        </w:tc>
        <w:tc>
          <w:tcPr>
            <w:tcW w:w="2410" w:type="dxa"/>
          </w:tcPr>
          <w:p w:rsidR="00495598" w:rsidRDefault="008E4C61">
            <w:pPr>
              <w:spacing w:line="360" w:lineRule="auto"/>
              <w:rPr>
                <w:color w:val="000000"/>
                <w:sz w:val="18"/>
                <w:szCs w:val="18"/>
              </w:rPr>
            </w:pPr>
            <w:r>
              <w:rPr>
                <w:color w:val="000000"/>
                <w:sz w:val="18"/>
                <w:szCs w:val="18"/>
              </w:rPr>
              <w:t>Formato Único de Movimiento de personal</w:t>
            </w:r>
          </w:p>
        </w:tc>
        <w:tc>
          <w:tcPr>
            <w:tcW w:w="1696" w:type="dxa"/>
            <w:vMerge w:val="restart"/>
          </w:tcPr>
          <w:p w:rsidR="00495598" w:rsidRDefault="008E4C61">
            <w:pPr>
              <w:spacing w:line="360" w:lineRule="auto"/>
              <w:rPr>
                <w:sz w:val="18"/>
                <w:szCs w:val="18"/>
              </w:rPr>
            </w:pPr>
            <w:r>
              <w:rPr>
                <w:sz w:val="18"/>
                <w:szCs w:val="18"/>
              </w:rPr>
              <w:t xml:space="preserve">Atiende </w:t>
            </w:r>
            <w:r>
              <w:rPr>
                <w:b/>
                <w:sz w:val="18"/>
                <w:szCs w:val="18"/>
              </w:rPr>
              <w:t>parcialmente,</w:t>
            </w:r>
            <w:r>
              <w:rPr>
                <w:sz w:val="18"/>
                <w:szCs w:val="18"/>
              </w:rPr>
              <w:t xml:space="preserve"> pues de la revisión de las documentales remitidas, se logró advertir que </w:t>
            </w:r>
            <w:r>
              <w:rPr>
                <w:b/>
                <w:sz w:val="18"/>
                <w:szCs w:val="18"/>
              </w:rPr>
              <w:t xml:space="preserve">clasificó CURP, RFC, Clave </w:t>
            </w:r>
            <w:proofErr w:type="spellStart"/>
            <w:r>
              <w:rPr>
                <w:b/>
                <w:sz w:val="18"/>
                <w:szCs w:val="18"/>
              </w:rPr>
              <w:t>ISSEMyM</w:t>
            </w:r>
            <w:proofErr w:type="spellEnd"/>
            <w:r>
              <w:rPr>
                <w:b/>
                <w:sz w:val="18"/>
                <w:szCs w:val="18"/>
              </w:rPr>
              <w:t>, deducciones personales y el número de cuenta bancaria de los servidores</w:t>
            </w:r>
            <w:r>
              <w:rPr>
                <w:sz w:val="18"/>
                <w:szCs w:val="18"/>
              </w:rPr>
              <w:t xml:space="preserve"> públicos en los </w:t>
            </w:r>
            <w:r>
              <w:rPr>
                <w:sz w:val="18"/>
                <w:szCs w:val="18"/>
              </w:rPr>
              <w:lastRenderedPageBreak/>
              <w:t xml:space="preserve">comprobantes de pago. </w:t>
            </w:r>
          </w:p>
          <w:p w:rsidR="00495598" w:rsidRDefault="00495598">
            <w:pPr>
              <w:spacing w:line="360" w:lineRule="auto"/>
              <w:rPr>
                <w:sz w:val="18"/>
                <w:szCs w:val="18"/>
              </w:rPr>
            </w:pPr>
          </w:p>
          <w:p w:rsidR="00495598" w:rsidRDefault="008E4C61">
            <w:pPr>
              <w:spacing w:line="360" w:lineRule="auto"/>
              <w:rPr>
                <w:sz w:val="18"/>
                <w:szCs w:val="18"/>
              </w:rPr>
            </w:pPr>
            <w:r>
              <w:rPr>
                <w:sz w:val="18"/>
                <w:szCs w:val="18"/>
              </w:rPr>
              <w:t xml:space="preserve">No obstante clasificó  información de naturaleza pública en los FUMP; tales como el tipo de sindicato al que pertenecen y el grado de escolaridad. </w:t>
            </w:r>
          </w:p>
        </w:tc>
      </w:tr>
      <w:tr w:rsidR="00495598">
        <w:tc>
          <w:tcPr>
            <w:tcW w:w="574" w:type="dxa"/>
          </w:tcPr>
          <w:p w:rsidR="00495598" w:rsidRDefault="008E4C61">
            <w:pPr>
              <w:spacing w:line="360" w:lineRule="auto"/>
              <w:rPr>
                <w:color w:val="000000"/>
                <w:sz w:val="18"/>
                <w:szCs w:val="18"/>
              </w:rPr>
            </w:pPr>
            <w:r>
              <w:rPr>
                <w:color w:val="000000"/>
                <w:sz w:val="18"/>
                <w:szCs w:val="18"/>
              </w:rPr>
              <w:t xml:space="preserve">2. </w:t>
            </w:r>
          </w:p>
        </w:tc>
        <w:tc>
          <w:tcPr>
            <w:tcW w:w="2115" w:type="dxa"/>
          </w:tcPr>
          <w:p w:rsidR="00495598" w:rsidRDefault="008E4C61">
            <w:pPr>
              <w:spacing w:line="360" w:lineRule="auto"/>
              <w:rPr>
                <w:color w:val="000000"/>
                <w:sz w:val="18"/>
                <w:szCs w:val="18"/>
              </w:rPr>
            </w:pPr>
            <w:r>
              <w:rPr>
                <w:color w:val="000000"/>
                <w:sz w:val="18"/>
                <w:szCs w:val="18"/>
              </w:rPr>
              <w:t xml:space="preserve">Israel Gutiérrez Ruiz </w:t>
            </w:r>
          </w:p>
        </w:tc>
        <w:tc>
          <w:tcPr>
            <w:tcW w:w="2126" w:type="dxa"/>
          </w:tcPr>
          <w:p w:rsidR="00495598" w:rsidRDefault="008E4C61">
            <w:pPr>
              <w:spacing w:line="360" w:lineRule="auto"/>
              <w:rPr>
                <w:color w:val="000000"/>
                <w:sz w:val="18"/>
                <w:szCs w:val="18"/>
              </w:rPr>
            </w:pPr>
            <w:r>
              <w:rPr>
                <w:color w:val="000000"/>
                <w:sz w:val="18"/>
                <w:szCs w:val="18"/>
              </w:rPr>
              <w:t>1ª y 2ª quincena de mayo</w:t>
            </w:r>
          </w:p>
        </w:tc>
        <w:tc>
          <w:tcPr>
            <w:tcW w:w="2410" w:type="dxa"/>
          </w:tcPr>
          <w:p w:rsidR="00495598" w:rsidRDefault="008E4C61">
            <w:pPr>
              <w:spacing w:line="360" w:lineRule="auto"/>
              <w:rPr>
                <w:color w:val="000000"/>
                <w:sz w:val="18"/>
                <w:szCs w:val="18"/>
              </w:rPr>
            </w:pPr>
            <w:r>
              <w:rPr>
                <w:color w:val="000000"/>
                <w:sz w:val="18"/>
                <w:szCs w:val="18"/>
              </w:rPr>
              <w:t>Formato Único de Movimiento de personal</w:t>
            </w:r>
          </w:p>
        </w:tc>
        <w:tc>
          <w:tcPr>
            <w:tcW w:w="1696" w:type="dxa"/>
            <w:vMerge/>
          </w:tcPr>
          <w:p w:rsidR="00495598" w:rsidRDefault="00495598">
            <w:pPr>
              <w:widowControl w:val="0"/>
              <w:pBdr>
                <w:top w:val="nil"/>
                <w:left w:val="nil"/>
                <w:bottom w:val="nil"/>
                <w:right w:val="nil"/>
                <w:between w:val="nil"/>
              </w:pBdr>
              <w:spacing w:line="276" w:lineRule="auto"/>
              <w:jc w:val="left"/>
              <w:rPr>
                <w:color w:val="000000"/>
                <w:sz w:val="18"/>
                <w:szCs w:val="18"/>
              </w:rPr>
            </w:pPr>
          </w:p>
        </w:tc>
      </w:tr>
      <w:tr w:rsidR="00495598">
        <w:tc>
          <w:tcPr>
            <w:tcW w:w="574" w:type="dxa"/>
          </w:tcPr>
          <w:p w:rsidR="00495598" w:rsidRDefault="008E4C61">
            <w:pPr>
              <w:spacing w:line="360" w:lineRule="auto"/>
              <w:rPr>
                <w:color w:val="000000"/>
                <w:sz w:val="18"/>
                <w:szCs w:val="18"/>
              </w:rPr>
            </w:pPr>
            <w:r>
              <w:rPr>
                <w:color w:val="000000"/>
                <w:sz w:val="18"/>
                <w:szCs w:val="18"/>
              </w:rPr>
              <w:t xml:space="preserve">3. </w:t>
            </w:r>
          </w:p>
        </w:tc>
        <w:tc>
          <w:tcPr>
            <w:tcW w:w="2115" w:type="dxa"/>
          </w:tcPr>
          <w:p w:rsidR="00495598" w:rsidRDefault="008E4C61">
            <w:pPr>
              <w:spacing w:line="360" w:lineRule="auto"/>
              <w:rPr>
                <w:color w:val="000000"/>
                <w:sz w:val="18"/>
                <w:szCs w:val="18"/>
              </w:rPr>
            </w:pPr>
            <w:r>
              <w:rPr>
                <w:color w:val="000000"/>
                <w:sz w:val="18"/>
                <w:szCs w:val="18"/>
              </w:rPr>
              <w:t xml:space="preserve">Martín López Trejo </w:t>
            </w:r>
          </w:p>
        </w:tc>
        <w:tc>
          <w:tcPr>
            <w:tcW w:w="2126" w:type="dxa"/>
          </w:tcPr>
          <w:p w:rsidR="00495598" w:rsidRDefault="008E4C61">
            <w:pPr>
              <w:spacing w:line="360" w:lineRule="auto"/>
              <w:rPr>
                <w:color w:val="000000"/>
                <w:sz w:val="18"/>
                <w:szCs w:val="18"/>
              </w:rPr>
            </w:pPr>
            <w:r>
              <w:rPr>
                <w:color w:val="000000"/>
                <w:sz w:val="18"/>
                <w:szCs w:val="18"/>
              </w:rPr>
              <w:t>1ª y 2ª quincena de mayo</w:t>
            </w:r>
          </w:p>
        </w:tc>
        <w:tc>
          <w:tcPr>
            <w:tcW w:w="2410" w:type="dxa"/>
          </w:tcPr>
          <w:p w:rsidR="00495598" w:rsidRDefault="008E4C61">
            <w:pPr>
              <w:spacing w:line="360" w:lineRule="auto"/>
              <w:rPr>
                <w:color w:val="000000"/>
                <w:sz w:val="18"/>
                <w:szCs w:val="18"/>
              </w:rPr>
            </w:pPr>
            <w:r>
              <w:rPr>
                <w:color w:val="000000"/>
                <w:sz w:val="18"/>
                <w:szCs w:val="18"/>
              </w:rPr>
              <w:t>Formato Único de Movimiento de personal</w:t>
            </w:r>
          </w:p>
        </w:tc>
        <w:tc>
          <w:tcPr>
            <w:tcW w:w="1696" w:type="dxa"/>
            <w:vMerge/>
          </w:tcPr>
          <w:p w:rsidR="00495598" w:rsidRDefault="00495598">
            <w:pPr>
              <w:widowControl w:val="0"/>
              <w:pBdr>
                <w:top w:val="nil"/>
                <w:left w:val="nil"/>
                <w:bottom w:val="nil"/>
                <w:right w:val="nil"/>
                <w:between w:val="nil"/>
              </w:pBdr>
              <w:spacing w:line="276" w:lineRule="auto"/>
              <w:jc w:val="left"/>
              <w:rPr>
                <w:color w:val="000000"/>
                <w:sz w:val="18"/>
                <w:szCs w:val="18"/>
              </w:rPr>
            </w:pPr>
          </w:p>
        </w:tc>
      </w:tr>
      <w:tr w:rsidR="00495598">
        <w:tc>
          <w:tcPr>
            <w:tcW w:w="574" w:type="dxa"/>
          </w:tcPr>
          <w:p w:rsidR="00495598" w:rsidRDefault="008E4C61">
            <w:pPr>
              <w:spacing w:line="360" w:lineRule="auto"/>
              <w:rPr>
                <w:color w:val="000000"/>
                <w:sz w:val="18"/>
                <w:szCs w:val="18"/>
              </w:rPr>
            </w:pPr>
            <w:r>
              <w:rPr>
                <w:color w:val="000000"/>
                <w:sz w:val="18"/>
                <w:szCs w:val="18"/>
              </w:rPr>
              <w:t xml:space="preserve">4. </w:t>
            </w:r>
          </w:p>
        </w:tc>
        <w:tc>
          <w:tcPr>
            <w:tcW w:w="2115" w:type="dxa"/>
          </w:tcPr>
          <w:p w:rsidR="00495598" w:rsidRDefault="008E4C61">
            <w:pPr>
              <w:spacing w:line="360" w:lineRule="auto"/>
              <w:rPr>
                <w:color w:val="000000"/>
                <w:sz w:val="18"/>
                <w:szCs w:val="18"/>
              </w:rPr>
            </w:pPr>
            <w:r>
              <w:rPr>
                <w:color w:val="000000"/>
                <w:sz w:val="18"/>
                <w:szCs w:val="18"/>
              </w:rPr>
              <w:t xml:space="preserve">Carlos Guillermo Martínez Consuelos </w:t>
            </w:r>
          </w:p>
        </w:tc>
        <w:tc>
          <w:tcPr>
            <w:tcW w:w="2126" w:type="dxa"/>
          </w:tcPr>
          <w:p w:rsidR="00495598" w:rsidRDefault="008E4C61">
            <w:pPr>
              <w:spacing w:line="360" w:lineRule="auto"/>
              <w:rPr>
                <w:color w:val="000000"/>
                <w:sz w:val="18"/>
                <w:szCs w:val="18"/>
              </w:rPr>
            </w:pPr>
            <w:r>
              <w:rPr>
                <w:color w:val="000000"/>
                <w:sz w:val="18"/>
                <w:szCs w:val="18"/>
              </w:rPr>
              <w:t>1ª y 2ª quincena de mayo</w:t>
            </w:r>
          </w:p>
        </w:tc>
        <w:tc>
          <w:tcPr>
            <w:tcW w:w="2410" w:type="dxa"/>
          </w:tcPr>
          <w:p w:rsidR="00495598" w:rsidRDefault="008E4C61">
            <w:pPr>
              <w:spacing w:line="360" w:lineRule="auto"/>
              <w:rPr>
                <w:color w:val="000000"/>
                <w:sz w:val="18"/>
                <w:szCs w:val="18"/>
              </w:rPr>
            </w:pPr>
            <w:r>
              <w:rPr>
                <w:color w:val="000000"/>
                <w:sz w:val="18"/>
                <w:szCs w:val="18"/>
              </w:rPr>
              <w:t>Formato Único de Movimiento de personal</w:t>
            </w:r>
          </w:p>
        </w:tc>
        <w:tc>
          <w:tcPr>
            <w:tcW w:w="1696" w:type="dxa"/>
            <w:vMerge/>
          </w:tcPr>
          <w:p w:rsidR="00495598" w:rsidRDefault="00495598">
            <w:pPr>
              <w:widowControl w:val="0"/>
              <w:pBdr>
                <w:top w:val="nil"/>
                <w:left w:val="nil"/>
                <w:bottom w:val="nil"/>
                <w:right w:val="nil"/>
                <w:between w:val="nil"/>
              </w:pBdr>
              <w:spacing w:line="276" w:lineRule="auto"/>
              <w:jc w:val="left"/>
              <w:rPr>
                <w:color w:val="000000"/>
                <w:sz w:val="18"/>
                <w:szCs w:val="18"/>
              </w:rPr>
            </w:pPr>
          </w:p>
        </w:tc>
      </w:tr>
      <w:tr w:rsidR="00495598">
        <w:tc>
          <w:tcPr>
            <w:tcW w:w="574" w:type="dxa"/>
          </w:tcPr>
          <w:p w:rsidR="00495598" w:rsidRDefault="008E4C61">
            <w:pPr>
              <w:spacing w:line="360" w:lineRule="auto"/>
              <w:rPr>
                <w:color w:val="000000"/>
                <w:sz w:val="18"/>
                <w:szCs w:val="18"/>
              </w:rPr>
            </w:pPr>
            <w:r>
              <w:rPr>
                <w:color w:val="000000"/>
                <w:sz w:val="18"/>
                <w:szCs w:val="18"/>
              </w:rPr>
              <w:t xml:space="preserve">5. </w:t>
            </w:r>
          </w:p>
        </w:tc>
        <w:tc>
          <w:tcPr>
            <w:tcW w:w="2115" w:type="dxa"/>
          </w:tcPr>
          <w:p w:rsidR="00495598" w:rsidRDefault="008E4C61">
            <w:pPr>
              <w:spacing w:line="360" w:lineRule="auto"/>
              <w:rPr>
                <w:color w:val="000000"/>
                <w:sz w:val="18"/>
                <w:szCs w:val="18"/>
              </w:rPr>
            </w:pPr>
            <w:r>
              <w:rPr>
                <w:color w:val="000000"/>
                <w:sz w:val="18"/>
                <w:szCs w:val="18"/>
              </w:rPr>
              <w:t xml:space="preserve">Ismael López </w:t>
            </w:r>
            <w:proofErr w:type="spellStart"/>
            <w:r>
              <w:rPr>
                <w:color w:val="000000"/>
                <w:sz w:val="18"/>
                <w:szCs w:val="18"/>
              </w:rPr>
              <w:t>Gónzalez</w:t>
            </w:r>
            <w:proofErr w:type="spellEnd"/>
          </w:p>
        </w:tc>
        <w:tc>
          <w:tcPr>
            <w:tcW w:w="2126" w:type="dxa"/>
          </w:tcPr>
          <w:p w:rsidR="00495598" w:rsidRDefault="008E4C61">
            <w:pPr>
              <w:spacing w:line="360" w:lineRule="auto"/>
              <w:rPr>
                <w:color w:val="000000"/>
                <w:sz w:val="18"/>
                <w:szCs w:val="18"/>
              </w:rPr>
            </w:pPr>
            <w:r>
              <w:rPr>
                <w:color w:val="000000"/>
                <w:sz w:val="18"/>
                <w:szCs w:val="18"/>
              </w:rPr>
              <w:t>1ª y 2ª quincena de mayo</w:t>
            </w:r>
          </w:p>
        </w:tc>
        <w:tc>
          <w:tcPr>
            <w:tcW w:w="2410" w:type="dxa"/>
          </w:tcPr>
          <w:p w:rsidR="00495598" w:rsidRDefault="008E4C61">
            <w:pPr>
              <w:spacing w:line="360" w:lineRule="auto"/>
              <w:rPr>
                <w:color w:val="000000"/>
                <w:sz w:val="18"/>
                <w:szCs w:val="18"/>
              </w:rPr>
            </w:pPr>
            <w:r>
              <w:rPr>
                <w:color w:val="000000"/>
                <w:sz w:val="18"/>
                <w:szCs w:val="18"/>
              </w:rPr>
              <w:t>Formato Único de Movimiento de personal</w:t>
            </w:r>
          </w:p>
        </w:tc>
        <w:tc>
          <w:tcPr>
            <w:tcW w:w="1696" w:type="dxa"/>
            <w:vMerge/>
          </w:tcPr>
          <w:p w:rsidR="00495598" w:rsidRDefault="00495598">
            <w:pPr>
              <w:widowControl w:val="0"/>
              <w:pBdr>
                <w:top w:val="nil"/>
                <w:left w:val="nil"/>
                <w:bottom w:val="nil"/>
                <w:right w:val="nil"/>
                <w:between w:val="nil"/>
              </w:pBdr>
              <w:spacing w:line="276" w:lineRule="auto"/>
              <w:jc w:val="left"/>
              <w:rPr>
                <w:color w:val="000000"/>
                <w:sz w:val="18"/>
                <w:szCs w:val="18"/>
              </w:rPr>
            </w:pPr>
          </w:p>
        </w:tc>
      </w:tr>
      <w:tr w:rsidR="00495598">
        <w:tc>
          <w:tcPr>
            <w:tcW w:w="574" w:type="dxa"/>
          </w:tcPr>
          <w:p w:rsidR="00495598" w:rsidRDefault="008E4C61">
            <w:pPr>
              <w:spacing w:line="360" w:lineRule="auto"/>
              <w:rPr>
                <w:color w:val="000000"/>
                <w:sz w:val="18"/>
                <w:szCs w:val="18"/>
              </w:rPr>
            </w:pPr>
            <w:r>
              <w:rPr>
                <w:color w:val="000000"/>
                <w:sz w:val="18"/>
                <w:szCs w:val="18"/>
              </w:rPr>
              <w:t xml:space="preserve">6. </w:t>
            </w:r>
          </w:p>
        </w:tc>
        <w:tc>
          <w:tcPr>
            <w:tcW w:w="2115" w:type="dxa"/>
          </w:tcPr>
          <w:p w:rsidR="00495598" w:rsidRDefault="008E4C61">
            <w:pPr>
              <w:spacing w:line="360" w:lineRule="auto"/>
              <w:rPr>
                <w:color w:val="000000"/>
                <w:sz w:val="18"/>
                <w:szCs w:val="18"/>
              </w:rPr>
            </w:pPr>
            <w:r>
              <w:rPr>
                <w:color w:val="000000"/>
                <w:sz w:val="18"/>
                <w:szCs w:val="18"/>
              </w:rPr>
              <w:t>Alejandro Agallo Celaya</w:t>
            </w:r>
          </w:p>
        </w:tc>
        <w:tc>
          <w:tcPr>
            <w:tcW w:w="2126" w:type="dxa"/>
          </w:tcPr>
          <w:p w:rsidR="00495598" w:rsidRDefault="008E4C61">
            <w:pPr>
              <w:spacing w:line="360" w:lineRule="auto"/>
              <w:rPr>
                <w:color w:val="000000"/>
                <w:sz w:val="18"/>
                <w:szCs w:val="18"/>
              </w:rPr>
            </w:pPr>
            <w:r>
              <w:rPr>
                <w:color w:val="000000"/>
                <w:sz w:val="18"/>
                <w:szCs w:val="18"/>
              </w:rPr>
              <w:t>1ª y 2ª quincena de mayo</w:t>
            </w:r>
          </w:p>
        </w:tc>
        <w:tc>
          <w:tcPr>
            <w:tcW w:w="2410" w:type="dxa"/>
          </w:tcPr>
          <w:p w:rsidR="00495598" w:rsidRDefault="008E4C61">
            <w:pPr>
              <w:spacing w:line="360" w:lineRule="auto"/>
              <w:rPr>
                <w:color w:val="000000"/>
                <w:sz w:val="18"/>
                <w:szCs w:val="18"/>
              </w:rPr>
            </w:pPr>
            <w:r>
              <w:rPr>
                <w:color w:val="000000"/>
                <w:sz w:val="18"/>
                <w:szCs w:val="18"/>
              </w:rPr>
              <w:t>Formato Único de Movimiento de personal</w:t>
            </w:r>
          </w:p>
        </w:tc>
        <w:tc>
          <w:tcPr>
            <w:tcW w:w="1696" w:type="dxa"/>
            <w:vMerge/>
          </w:tcPr>
          <w:p w:rsidR="00495598" w:rsidRDefault="00495598">
            <w:pPr>
              <w:widowControl w:val="0"/>
              <w:pBdr>
                <w:top w:val="nil"/>
                <w:left w:val="nil"/>
                <w:bottom w:val="nil"/>
                <w:right w:val="nil"/>
                <w:between w:val="nil"/>
              </w:pBdr>
              <w:spacing w:line="276" w:lineRule="auto"/>
              <w:jc w:val="left"/>
              <w:rPr>
                <w:color w:val="000000"/>
                <w:sz w:val="18"/>
                <w:szCs w:val="18"/>
              </w:rPr>
            </w:pPr>
          </w:p>
        </w:tc>
      </w:tr>
      <w:tr w:rsidR="00495598">
        <w:tc>
          <w:tcPr>
            <w:tcW w:w="574" w:type="dxa"/>
          </w:tcPr>
          <w:p w:rsidR="00495598" w:rsidRDefault="008E4C61">
            <w:pPr>
              <w:spacing w:line="360" w:lineRule="auto"/>
              <w:rPr>
                <w:color w:val="000000"/>
                <w:sz w:val="18"/>
                <w:szCs w:val="18"/>
              </w:rPr>
            </w:pPr>
            <w:r>
              <w:rPr>
                <w:color w:val="000000"/>
                <w:sz w:val="18"/>
                <w:szCs w:val="18"/>
              </w:rPr>
              <w:t xml:space="preserve">7. </w:t>
            </w:r>
          </w:p>
        </w:tc>
        <w:tc>
          <w:tcPr>
            <w:tcW w:w="2115" w:type="dxa"/>
          </w:tcPr>
          <w:p w:rsidR="00495598" w:rsidRDefault="008E4C61">
            <w:pPr>
              <w:spacing w:line="360" w:lineRule="auto"/>
              <w:rPr>
                <w:color w:val="000000"/>
                <w:sz w:val="18"/>
                <w:szCs w:val="18"/>
              </w:rPr>
            </w:pPr>
            <w:r>
              <w:rPr>
                <w:color w:val="000000"/>
                <w:sz w:val="18"/>
                <w:szCs w:val="18"/>
              </w:rPr>
              <w:t>Ignacio Reyes Olivera</w:t>
            </w:r>
          </w:p>
        </w:tc>
        <w:tc>
          <w:tcPr>
            <w:tcW w:w="2126" w:type="dxa"/>
          </w:tcPr>
          <w:p w:rsidR="00495598" w:rsidRDefault="008E4C61">
            <w:pPr>
              <w:spacing w:line="360" w:lineRule="auto"/>
              <w:rPr>
                <w:color w:val="000000"/>
                <w:sz w:val="18"/>
                <w:szCs w:val="18"/>
              </w:rPr>
            </w:pPr>
            <w:r>
              <w:rPr>
                <w:color w:val="000000"/>
                <w:sz w:val="18"/>
                <w:szCs w:val="18"/>
              </w:rPr>
              <w:t>1ª y 2ª quincena de mayo</w:t>
            </w:r>
          </w:p>
        </w:tc>
        <w:tc>
          <w:tcPr>
            <w:tcW w:w="2410" w:type="dxa"/>
          </w:tcPr>
          <w:p w:rsidR="00495598" w:rsidRDefault="008E4C61">
            <w:pPr>
              <w:spacing w:line="360" w:lineRule="auto"/>
              <w:rPr>
                <w:color w:val="000000"/>
                <w:sz w:val="18"/>
                <w:szCs w:val="18"/>
              </w:rPr>
            </w:pPr>
            <w:r>
              <w:rPr>
                <w:color w:val="000000"/>
                <w:sz w:val="18"/>
                <w:szCs w:val="18"/>
              </w:rPr>
              <w:t>Formato Único de Movimiento de personal</w:t>
            </w:r>
          </w:p>
        </w:tc>
        <w:tc>
          <w:tcPr>
            <w:tcW w:w="1696" w:type="dxa"/>
            <w:vMerge/>
          </w:tcPr>
          <w:p w:rsidR="00495598" w:rsidRDefault="00495598">
            <w:pPr>
              <w:widowControl w:val="0"/>
              <w:pBdr>
                <w:top w:val="nil"/>
                <w:left w:val="nil"/>
                <w:bottom w:val="nil"/>
                <w:right w:val="nil"/>
                <w:between w:val="nil"/>
              </w:pBdr>
              <w:spacing w:line="276" w:lineRule="auto"/>
              <w:jc w:val="left"/>
              <w:rPr>
                <w:color w:val="000000"/>
                <w:sz w:val="18"/>
                <w:szCs w:val="18"/>
              </w:rPr>
            </w:pPr>
          </w:p>
        </w:tc>
      </w:tr>
      <w:tr w:rsidR="00495598">
        <w:tc>
          <w:tcPr>
            <w:tcW w:w="574" w:type="dxa"/>
          </w:tcPr>
          <w:p w:rsidR="00495598" w:rsidRDefault="008E4C61">
            <w:pPr>
              <w:spacing w:line="360" w:lineRule="auto"/>
              <w:rPr>
                <w:color w:val="000000"/>
                <w:sz w:val="18"/>
                <w:szCs w:val="18"/>
              </w:rPr>
            </w:pPr>
            <w:r>
              <w:rPr>
                <w:color w:val="000000"/>
                <w:sz w:val="18"/>
                <w:szCs w:val="18"/>
              </w:rPr>
              <w:t xml:space="preserve">8. </w:t>
            </w:r>
          </w:p>
        </w:tc>
        <w:tc>
          <w:tcPr>
            <w:tcW w:w="2115" w:type="dxa"/>
          </w:tcPr>
          <w:p w:rsidR="00495598" w:rsidRDefault="008E4C61">
            <w:pPr>
              <w:spacing w:line="360" w:lineRule="auto"/>
              <w:rPr>
                <w:color w:val="000000"/>
                <w:sz w:val="18"/>
                <w:szCs w:val="18"/>
              </w:rPr>
            </w:pPr>
            <w:r>
              <w:rPr>
                <w:color w:val="000000"/>
                <w:sz w:val="18"/>
                <w:szCs w:val="18"/>
              </w:rPr>
              <w:t xml:space="preserve">José Ángel Delgado Nava  </w:t>
            </w:r>
          </w:p>
        </w:tc>
        <w:tc>
          <w:tcPr>
            <w:tcW w:w="2126" w:type="dxa"/>
          </w:tcPr>
          <w:p w:rsidR="00495598" w:rsidRDefault="008E4C61">
            <w:pPr>
              <w:spacing w:line="360" w:lineRule="auto"/>
              <w:rPr>
                <w:color w:val="000000"/>
                <w:sz w:val="18"/>
                <w:szCs w:val="18"/>
              </w:rPr>
            </w:pPr>
            <w:r>
              <w:rPr>
                <w:color w:val="000000"/>
                <w:sz w:val="18"/>
                <w:szCs w:val="18"/>
              </w:rPr>
              <w:t>1ª y 2ª quincena de mayo</w:t>
            </w:r>
          </w:p>
        </w:tc>
        <w:tc>
          <w:tcPr>
            <w:tcW w:w="2410" w:type="dxa"/>
          </w:tcPr>
          <w:p w:rsidR="00495598" w:rsidRDefault="008E4C61">
            <w:pPr>
              <w:spacing w:line="360" w:lineRule="auto"/>
              <w:rPr>
                <w:color w:val="000000"/>
                <w:sz w:val="18"/>
                <w:szCs w:val="18"/>
              </w:rPr>
            </w:pPr>
            <w:r>
              <w:rPr>
                <w:color w:val="000000"/>
                <w:sz w:val="18"/>
                <w:szCs w:val="18"/>
              </w:rPr>
              <w:t>Formato Único de Movimiento de personal</w:t>
            </w:r>
          </w:p>
        </w:tc>
        <w:tc>
          <w:tcPr>
            <w:tcW w:w="1696" w:type="dxa"/>
            <w:vMerge/>
          </w:tcPr>
          <w:p w:rsidR="00495598" w:rsidRDefault="00495598">
            <w:pPr>
              <w:widowControl w:val="0"/>
              <w:pBdr>
                <w:top w:val="nil"/>
                <w:left w:val="nil"/>
                <w:bottom w:val="nil"/>
                <w:right w:val="nil"/>
                <w:between w:val="nil"/>
              </w:pBdr>
              <w:spacing w:line="276" w:lineRule="auto"/>
              <w:jc w:val="left"/>
              <w:rPr>
                <w:color w:val="000000"/>
                <w:sz w:val="18"/>
                <w:szCs w:val="18"/>
              </w:rPr>
            </w:pPr>
          </w:p>
        </w:tc>
      </w:tr>
    </w:tbl>
    <w:p w:rsidR="00495598" w:rsidRDefault="008E4C61">
      <w:pPr>
        <w:spacing w:after="0" w:line="360" w:lineRule="auto"/>
        <w:rPr>
          <w:color w:val="000000"/>
        </w:rPr>
      </w:pPr>
      <w:r>
        <w:rPr>
          <w:color w:val="000000"/>
        </w:rPr>
        <w:t xml:space="preserve"> </w:t>
      </w:r>
    </w:p>
    <w:p w:rsidR="00495598" w:rsidRDefault="008E4C61">
      <w:pPr>
        <w:spacing w:after="0" w:line="360" w:lineRule="auto"/>
        <w:rPr>
          <w:color w:val="000000"/>
        </w:rPr>
      </w:pPr>
      <w:r>
        <w:rPr>
          <w:color w:val="000000"/>
        </w:rPr>
        <w:t>Conforme a lo anterior, se procede al análisis de los datos testados en los comprobantes de nómina y los formatos Único de Movimiento de personal, en los que se clasificó como confidencial los siguientes datos:</w:t>
      </w:r>
    </w:p>
    <w:p w:rsidR="00495598" w:rsidRDefault="008E4C61">
      <w:pPr>
        <w:spacing w:after="0" w:line="360" w:lineRule="auto"/>
        <w:rPr>
          <w:color w:val="000000"/>
        </w:rPr>
      </w:pPr>
      <w:r>
        <w:rPr>
          <w:color w:val="000000"/>
        </w:rPr>
        <w:t xml:space="preserve"> </w:t>
      </w:r>
    </w:p>
    <w:p w:rsidR="00495598" w:rsidRDefault="008E4C61">
      <w:pPr>
        <w:numPr>
          <w:ilvl w:val="0"/>
          <w:numId w:val="6"/>
        </w:numPr>
        <w:spacing w:after="0" w:line="360" w:lineRule="auto"/>
        <w:jc w:val="left"/>
        <w:rPr>
          <w:color w:val="000000"/>
        </w:rPr>
      </w:pPr>
      <w:r>
        <w:rPr>
          <w:color w:val="000000"/>
        </w:rPr>
        <w:t>Clave Única de Registro de Población;</w:t>
      </w:r>
    </w:p>
    <w:p w:rsidR="00495598" w:rsidRDefault="008E4C61">
      <w:pPr>
        <w:numPr>
          <w:ilvl w:val="0"/>
          <w:numId w:val="6"/>
        </w:numPr>
        <w:spacing w:after="0" w:line="360" w:lineRule="auto"/>
        <w:jc w:val="left"/>
        <w:rPr>
          <w:color w:val="000000"/>
        </w:rPr>
      </w:pPr>
      <w:r>
        <w:rPr>
          <w:color w:val="000000"/>
        </w:rPr>
        <w:t>Registro Federal de Contribuyentes de servidores públicos y del Sujeto Obligado;</w:t>
      </w:r>
    </w:p>
    <w:p w:rsidR="00495598" w:rsidRDefault="008E4C61">
      <w:pPr>
        <w:numPr>
          <w:ilvl w:val="0"/>
          <w:numId w:val="6"/>
        </w:numPr>
        <w:spacing w:after="0" w:line="360" w:lineRule="auto"/>
        <w:jc w:val="left"/>
        <w:rPr>
          <w:color w:val="000000"/>
        </w:rPr>
      </w:pPr>
      <w:r>
        <w:rPr>
          <w:color w:val="000000"/>
        </w:rPr>
        <w:t>Número de seguridad social del Instituto de Seguridad Social del Estado de México y Municipios;</w:t>
      </w:r>
    </w:p>
    <w:p w:rsidR="00495598" w:rsidRDefault="008E4C61">
      <w:pPr>
        <w:numPr>
          <w:ilvl w:val="0"/>
          <w:numId w:val="6"/>
        </w:numPr>
        <w:spacing w:after="0" w:line="360" w:lineRule="auto"/>
        <w:jc w:val="left"/>
        <w:rPr>
          <w:color w:val="000000"/>
        </w:rPr>
      </w:pPr>
      <w:r>
        <w:rPr>
          <w:color w:val="000000"/>
        </w:rPr>
        <w:t>Deducciones personales;</w:t>
      </w:r>
    </w:p>
    <w:p w:rsidR="00495598" w:rsidRDefault="008E4C61">
      <w:pPr>
        <w:numPr>
          <w:ilvl w:val="0"/>
          <w:numId w:val="6"/>
        </w:numPr>
        <w:spacing w:after="0" w:line="360" w:lineRule="auto"/>
        <w:jc w:val="left"/>
        <w:rPr>
          <w:color w:val="000000"/>
        </w:rPr>
      </w:pPr>
      <w:r>
        <w:rPr>
          <w:color w:val="000000"/>
        </w:rPr>
        <w:t xml:space="preserve">Cuenta bancaria de servidores públicos; </w:t>
      </w:r>
    </w:p>
    <w:p w:rsidR="00495598" w:rsidRDefault="008E4C61">
      <w:pPr>
        <w:numPr>
          <w:ilvl w:val="0"/>
          <w:numId w:val="6"/>
        </w:numPr>
        <w:spacing w:after="0" w:line="360" w:lineRule="auto"/>
        <w:jc w:val="left"/>
        <w:rPr>
          <w:color w:val="000000"/>
        </w:rPr>
      </w:pPr>
      <w:r>
        <w:rPr>
          <w:color w:val="000000"/>
        </w:rPr>
        <w:t xml:space="preserve">Domicilio; </w:t>
      </w:r>
    </w:p>
    <w:p w:rsidR="00495598" w:rsidRDefault="008E4C61">
      <w:pPr>
        <w:numPr>
          <w:ilvl w:val="0"/>
          <w:numId w:val="6"/>
        </w:numPr>
        <w:spacing w:after="0" w:line="360" w:lineRule="auto"/>
        <w:jc w:val="left"/>
        <w:rPr>
          <w:color w:val="000000"/>
        </w:rPr>
      </w:pPr>
      <w:r>
        <w:rPr>
          <w:color w:val="000000"/>
        </w:rPr>
        <w:t xml:space="preserve">Estado de Nacimiento; </w:t>
      </w:r>
    </w:p>
    <w:p w:rsidR="00495598" w:rsidRDefault="008E4C61">
      <w:pPr>
        <w:numPr>
          <w:ilvl w:val="0"/>
          <w:numId w:val="6"/>
        </w:numPr>
        <w:spacing w:after="0" w:line="360" w:lineRule="auto"/>
        <w:jc w:val="left"/>
        <w:rPr>
          <w:color w:val="000000"/>
        </w:rPr>
      </w:pPr>
      <w:r>
        <w:rPr>
          <w:color w:val="000000"/>
        </w:rPr>
        <w:t xml:space="preserve">Fecha de nacimiento; </w:t>
      </w:r>
    </w:p>
    <w:p w:rsidR="00495598" w:rsidRDefault="008E4C61">
      <w:pPr>
        <w:numPr>
          <w:ilvl w:val="0"/>
          <w:numId w:val="6"/>
        </w:numPr>
        <w:spacing w:after="0" w:line="360" w:lineRule="auto"/>
        <w:jc w:val="left"/>
        <w:rPr>
          <w:color w:val="000000"/>
        </w:rPr>
      </w:pPr>
      <w:r>
        <w:rPr>
          <w:color w:val="000000"/>
        </w:rPr>
        <w:lastRenderedPageBreak/>
        <w:t xml:space="preserve">Estado Civil; </w:t>
      </w:r>
    </w:p>
    <w:p w:rsidR="00495598" w:rsidRDefault="008E4C61">
      <w:pPr>
        <w:numPr>
          <w:ilvl w:val="0"/>
          <w:numId w:val="6"/>
        </w:numPr>
        <w:spacing w:after="0" w:line="360" w:lineRule="auto"/>
        <w:jc w:val="left"/>
        <w:rPr>
          <w:color w:val="000000"/>
        </w:rPr>
      </w:pPr>
      <w:r>
        <w:rPr>
          <w:color w:val="000000"/>
        </w:rPr>
        <w:t xml:space="preserve">Correo electrónico; </w:t>
      </w:r>
    </w:p>
    <w:p w:rsidR="00495598" w:rsidRDefault="008E4C61">
      <w:pPr>
        <w:numPr>
          <w:ilvl w:val="0"/>
          <w:numId w:val="6"/>
        </w:numPr>
        <w:spacing w:after="0" w:line="360" w:lineRule="auto"/>
        <w:jc w:val="left"/>
        <w:rPr>
          <w:color w:val="000000"/>
        </w:rPr>
      </w:pPr>
      <w:r>
        <w:rPr>
          <w:color w:val="000000"/>
        </w:rPr>
        <w:t xml:space="preserve">Escolaridad; </w:t>
      </w:r>
    </w:p>
    <w:p w:rsidR="00495598" w:rsidRDefault="008E4C61">
      <w:pPr>
        <w:numPr>
          <w:ilvl w:val="0"/>
          <w:numId w:val="6"/>
        </w:numPr>
        <w:spacing w:after="0" w:line="360" w:lineRule="auto"/>
        <w:jc w:val="left"/>
        <w:rPr>
          <w:color w:val="000000"/>
        </w:rPr>
      </w:pPr>
      <w:r>
        <w:rPr>
          <w:color w:val="000000"/>
        </w:rPr>
        <w:t xml:space="preserve">Tipo de Sindicato </w:t>
      </w:r>
    </w:p>
    <w:p w:rsidR="00495598" w:rsidRDefault="00495598">
      <w:pPr>
        <w:spacing w:after="0" w:line="360" w:lineRule="auto"/>
      </w:pPr>
    </w:p>
    <w:p w:rsidR="00495598" w:rsidRDefault="008E4C61">
      <w:pPr>
        <w:spacing w:after="0" w:line="360" w:lineRule="auto"/>
      </w:pPr>
      <w:r>
        <w:t>Al respecto, resulta procedente analizar si dichos datos son públicos o privados; 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00495598" w:rsidRDefault="008E4C61">
      <w:pPr>
        <w:spacing w:after="0" w:line="360" w:lineRule="auto"/>
      </w:pPr>
      <w:r>
        <w:t xml:space="preserve"> </w:t>
      </w:r>
      <w:r>
        <w:tab/>
      </w:r>
    </w:p>
    <w:p w:rsidR="00495598" w:rsidRDefault="008E4C61">
      <w:pPr>
        <w:spacing w:after="0" w:line="360" w:lineRule="auto"/>
      </w:pPr>
      <w: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00495598" w:rsidRDefault="008E4C61">
      <w:pPr>
        <w:spacing w:after="0" w:line="360" w:lineRule="auto"/>
      </w:pPr>
      <w:r>
        <w:t xml:space="preserve"> </w:t>
      </w:r>
    </w:p>
    <w:p w:rsidR="00495598" w:rsidRDefault="008E4C61">
      <w:pPr>
        <w:spacing w:after="0" w:line="360" w:lineRule="auto"/>
      </w:pPr>
      <w:r>
        <w:t xml:space="preserve">Por su parte, el artículo 24, fracción VI, de la Ley de Transparencia y Acceso a la Información Pública del Estado de México y Municipios, precisa que los Sujetos Obligados serán los </w:t>
      </w:r>
      <w:r>
        <w:lastRenderedPageBreak/>
        <w:t>responsables de proteger y resguardar la información clasificada como reservada o confidencial.</w:t>
      </w:r>
    </w:p>
    <w:p w:rsidR="00495598" w:rsidRDefault="008E4C61">
      <w:pPr>
        <w:spacing w:after="0" w:line="360" w:lineRule="auto"/>
      </w:pPr>
      <w:r>
        <w:t xml:space="preserve"> </w:t>
      </w:r>
    </w:p>
    <w:p w:rsidR="00495598" w:rsidRDefault="008E4C61">
      <w:pPr>
        <w:spacing w:after="0" w:line="360" w:lineRule="auto"/>
      </w:pPr>
      <w:r>
        <w:t>En concordancia con lo previo, el artículo 143, fracción I, de la Ley previamente citada, establece que la información privada y los datos personales, concernientes a una persona física o jurídica colectiva identificada o identificable son confidenciales.</w:t>
      </w:r>
    </w:p>
    <w:p w:rsidR="00495598" w:rsidRDefault="008E4C61">
      <w:pPr>
        <w:spacing w:after="0" w:line="360" w:lineRule="auto"/>
      </w:pPr>
      <w:r>
        <w:t xml:space="preserve"> </w:t>
      </w:r>
    </w:p>
    <w:p w:rsidR="00495598" w:rsidRDefault="008E4C61">
      <w:pPr>
        <w:spacing w:after="0" w:line="360" w:lineRule="auto"/>
      </w:pPr>
      <w: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00495598" w:rsidRDefault="008E4C61">
      <w:pPr>
        <w:spacing w:after="0" w:line="360" w:lineRule="auto"/>
      </w:pPr>
      <w:r>
        <w:t xml:space="preserve"> </w:t>
      </w:r>
    </w:p>
    <w:p w:rsidR="00495598" w:rsidRDefault="008E4C61">
      <w:pPr>
        <w:spacing w:after="0" w:line="360" w:lineRule="auto"/>
      </w:pPr>
      <w:r>
        <w:t>En términos de lo expuesto, la documentación y aquellos datos que se consideren confidenciales, serán una limitante del derecho de acceso a la información, siempre y cuando:</w:t>
      </w:r>
    </w:p>
    <w:p w:rsidR="00495598" w:rsidRDefault="008E4C61">
      <w:pPr>
        <w:spacing w:after="0" w:line="360" w:lineRule="auto"/>
      </w:pPr>
      <w:r>
        <w:t xml:space="preserve"> </w:t>
      </w:r>
    </w:p>
    <w:p w:rsidR="00495598" w:rsidRDefault="008E4C61">
      <w:pPr>
        <w:numPr>
          <w:ilvl w:val="0"/>
          <w:numId w:val="7"/>
        </w:numPr>
        <w:spacing w:after="0" w:line="360" w:lineRule="auto"/>
      </w:pPr>
      <w:r>
        <w:t xml:space="preserve">Se trate de datos personales o información privada; esto es, información concerniente a una persona física o jurídico colectiva y que esta sea identificada o identificable. </w:t>
      </w:r>
    </w:p>
    <w:p w:rsidR="00495598" w:rsidRDefault="00495598">
      <w:pPr>
        <w:spacing w:after="0" w:line="360" w:lineRule="auto"/>
        <w:ind w:left="720"/>
      </w:pPr>
    </w:p>
    <w:p w:rsidR="00495598" w:rsidRDefault="008E4C61">
      <w:pPr>
        <w:numPr>
          <w:ilvl w:val="0"/>
          <w:numId w:val="7"/>
        </w:numPr>
        <w:spacing w:after="0" w:line="360" w:lineRule="auto"/>
      </w:pPr>
      <w:r>
        <w:t xml:space="preserve">Para la difusión de los datos, se requiera el consentimiento del titular. </w:t>
      </w:r>
    </w:p>
    <w:p w:rsidR="00495598" w:rsidRDefault="008E4C61">
      <w:pPr>
        <w:spacing w:after="0" w:line="360" w:lineRule="auto"/>
      </w:pPr>
      <w:r>
        <w:t xml:space="preserve"> </w:t>
      </w:r>
    </w:p>
    <w:p w:rsidR="00495598" w:rsidRDefault="008E4C61">
      <w:pPr>
        <w:spacing w:after="0" w:line="360" w:lineRule="auto"/>
      </w:pPr>
      <w:r>
        <w:t xml:space="preserve">En ese orden de ideas, de conformidad con el artículo 3°, fracción IX, de la Ley de Transparencia y Acceso a la Información Pública del Estado de México y Municipios, con </w:t>
      </w:r>
      <w:r>
        <w:lastRenderedPageBreak/>
        <w:t xml:space="preserve">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rsidR="00495598" w:rsidRDefault="008E4C61">
      <w:pPr>
        <w:spacing w:after="0" w:line="360" w:lineRule="auto"/>
      </w:pPr>
      <w:r>
        <w:t xml:space="preserve"> </w:t>
      </w:r>
    </w:p>
    <w:p w:rsidR="00495598" w:rsidRDefault="008E4C61">
      <w:pPr>
        <w:spacing w:after="0" w:line="360" w:lineRule="auto"/>
      </w:pPr>
      <w: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 Bajo ese contexto, se analizarán si los datos mencionados de manera enunciativa, son confidenciales o públicos.</w:t>
      </w:r>
    </w:p>
    <w:p w:rsidR="00495598" w:rsidRDefault="008E4C61">
      <w:pPr>
        <w:spacing w:after="0" w:line="360" w:lineRule="auto"/>
      </w:pPr>
      <w:r>
        <w:t xml:space="preserve"> </w:t>
      </w:r>
    </w:p>
    <w:p w:rsidR="00495598" w:rsidRDefault="008E4C61">
      <w:pPr>
        <w:numPr>
          <w:ilvl w:val="0"/>
          <w:numId w:val="8"/>
        </w:numPr>
        <w:spacing w:after="0" w:line="360" w:lineRule="auto"/>
        <w:rPr>
          <w:b/>
        </w:rPr>
      </w:pPr>
      <w:r>
        <w:rPr>
          <w:b/>
        </w:rPr>
        <w:t>Clave Única de Registro de Población (CURP)</w:t>
      </w:r>
    </w:p>
    <w:p w:rsidR="00495598" w:rsidRDefault="008E4C61">
      <w:pPr>
        <w:spacing w:after="0" w:line="360" w:lineRule="auto"/>
      </w:pPr>
      <w:r>
        <w:t xml:space="preserve"> </w:t>
      </w:r>
    </w:p>
    <w:p w:rsidR="00495598" w:rsidRDefault="008E4C61">
      <w:pPr>
        <w:spacing w:after="0" w:line="360" w:lineRule="auto"/>
      </w:pPr>
      <w: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rsidR="00495598" w:rsidRDefault="008E4C61">
      <w:pPr>
        <w:spacing w:after="0" w:line="360" w:lineRule="auto"/>
      </w:pPr>
      <w:r>
        <w:t xml:space="preserve"> </w:t>
      </w:r>
    </w:p>
    <w:p w:rsidR="00495598" w:rsidRDefault="008E4C61">
      <w:pPr>
        <w:spacing w:after="0" w:line="360" w:lineRule="auto"/>
      </w:pPr>
      <w:r>
        <w:t xml:space="preserve">Acorde con lo anterior, el artículo 22 del Reglamento Interior de la Secretaría de Gobernación, establece en su fracción III, que la Dirección General del Registro Nacional de Población e </w:t>
      </w:r>
      <w:r>
        <w:lastRenderedPageBreak/>
        <w:t>Identificación Personal tiene la atribución de asignar y depurar la Clave Única de Registro de Población a todas las personas residentes en el país, así como a los mexicanos que residan en el extranjero.</w:t>
      </w:r>
    </w:p>
    <w:p w:rsidR="00495598" w:rsidRDefault="008E4C61">
      <w:pPr>
        <w:spacing w:after="0" w:line="360" w:lineRule="auto"/>
      </w:pPr>
      <w:r>
        <w:t xml:space="preserve"> </w:t>
      </w:r>
    </w:p>
    <w:p w:rsidR="00495598" w:rsidRDefault="008E4C61">
      <w:pPr>
        <w:spacing w:after="0" w:line="360" w:lineRule="auto"/>
      </w:pPr>
      <w:r>
        <w:t>En ese orden de ideas, la Secretaría de Gobernación en las direcciones https://consultas.curp.gob.mx/CurpSP/html/informacionecurpPS.html y https://www.gob.mx/segob/renapo/acciones-y-programas/clave-unica-de-registro-de-</w:t>
      </w:r>
    </w:p>
    <w:p w:rsidR="00495598" w:rsidRDefault="008E4C61">
      <w:pPr>
        <w:spacing w:after="0" w:line="360" w:lineRule="auto"/>
      </w:pPr>
      <w:r>
        <w:t xml:space="preserve">poblacion-curp-142226 (consultadas el diecisiete de mayo de dos mil veintitrés),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Pr>
          <w:b/>
        </w:rPr>
        <w:t>se generan a partir de los datos contenidos en el documento probatorio de la identidad del interesado</w:t>
      </w:r>
      <w:r>
        <w:t xml:space="preserve"> (acta de nacimiento, carta de naturalización o documento migratorio) de la siguiente forma:</w:t>
      </w:r>
    </w:p>
    <w:p w:rsidR="00495598" w:rsidRDefault="008E4C61">
      <w:pPr>
        <w:spacing w:after="0" w:line="360" w:lineRule="auto"/>
      </w:pPr>
      <w:r>
        <w:t xml:space="preserve"> </w:t>
      </w:r>
    </w:p>
    <w:p w:rsidR="00495598" w:rsidRDefault="008E4C61">
      <w:pPr>
        <w:numPr>
          <w:ilvl w:val="0"/>
          <w:numId w:val="9"/>
        </w:numPr>
        <w:spacing w:after="0" w:line="360" w:lineRule="auto"/>
      </w:pPr>
      <w:r>
        <w:t>El primero y segundo apellidos, así como al nombre de pila;</w:t>
      </w:r>
    </w:p>
    <w:p w:rsidR="00495598" w:rsidRDefault="008E4C61">
      <w:pPr>
        <w:numPr>
          <w:ilvl w:val="0"/>
          <w:numId w:val="9"/>
        </w:numPr>
        <w:spacing w:after="0" w:line="360" w:lineRule="auto"/>
        <w:rPr>
          <w:b/>
        </w:rPr>
      </w:pPr>
      <w:r>
        <w:rPr>
          <w:b/>
        </w:rPr>
        <w:t>La fecha de nacimiento;</w:t>
      </w:r>
    </w:p>
    <w:p w:rsidR="00495598" w:rsidRDefault="008E4C61">
      <w:pPr>
        <w:numPr>
          <w:ilvl w:val="0"/>
          <w:numId w:val="9"/>
        </w:numPr>
        <w:spacing w:after="0" w:line="360" w:lineRule="auto"/>
      </w:pPr>
      <w:r>
        <w:t>El sexo, y</w:t>
      </w:r>
    </w:p>
    <w:p w:rsidR="00495598" w:rsidRDefault="008E4C61">
      <w:pPr>
        <w:numPr>
          <w:ilvl w:val="0"/>
          <w:numId w:val="9"/>
        </w:numPr>
        <w:spacing w:after="0" w:line="360" w:lineRule="auto"/>
        <w:rPr>
          <w:b/>
        </w:rPr>
      </w:pPr>
      <w:r>
        <w:rPr>
          <w:b/>
        </w:rPr>
        <w:t>La entidad federativa de nacimiento.</w:t>
      </w:r>
    </w:p>
    <w:p w:rsidR="00495598" w:rsidRDefault="008E4C61">
      <w:pPr>
        <w:spacing w:after="0" w:line="360" w:lineRule="auto"/>
      </w:pPr>
      <w:r>
        <w:t xml:space="preserve"> </w:t>
      </w:r>
    </w:p>
    <w:p w:rsidR="00495598" w:rsidRDefault="008E4C61">
      <w:pPr>
        <w:spacing w:after="0" w:line="360" w:lineRule="auto"/>
      </w:pPr>
      <w:r>
        <w:t>Los dos últimos elementos de la Clave Única de Registro de Población evitan la duplicidad de la Clave y garantizan su correcta integración.</w:t>
      </w:r>
    </w:p>
    <w:p w:rsidR="00495598" w:rsidRDefault="008E4C61">
      <w:pPr>
        <w:spacing w:after="0" w:line="360" w:lineRule="auto"/>
      </w:pPr>
      <w:r>
        <w:t xml:space="preserve"> </w:t>
      </w:r>
    </w:p>
    <w:p w:rsidR="00495598" w:rsidRDefault="008E4C61">
      <w:pPr>
        <w:spacing w:after="0" w:line="360" w:lineRule="auto"/>
      </w:pPr>
      <w:r>
        <w:t xml:space="preserve">Como se desprende de lo anterior, la Clave Única de Registro de Población, fecha de nacimiento y entidad de nacimiento, son datos personales confidenciales, ya que por sí sola </w:t>
      </w:r>
      <w:r>
        <w:lastRenderedPageBreak/>
        <w:t>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00495598" w:rsidRDefault="008E4C61">
      <w:pPr>
        <w:spacing w:after="0" w:line="360" w:lineRule="auto"/>
      </w:pPr>
      <w:r>
        <w:t xml:space="preserve"> </w:t>
      </w:r>
    </w:p>
    <w:p w:rsidR="00495598" w:rsidRDefault="008E4C61">
      <w:pPr>
        <w:spacing w:after="0" w:line="360" w:lineRule="auto"/>
      </w:pPr>
      <w:r>
        <w:t>Situación que se robustece, con el Criterio Orientador, de la Segunda Época, con número de registro SO/018/2017, emitido por el entonces Instituto Nacional de Transparencia, Acceso a la Información y Protección de Datos Personales, que establece lo siguiente:</w:t>
      </w:r>
    </w:p>
    <w:p w:rsidR="00495598" w:rsidRDefault="008E4C61">
      <w:pPr>
        <w:spacing w:after="0" w:line="360" w:lineRule="auto"/>
      </w:pPr>
      <w:r>
        <w:t xml:space="preserve"> </w:t>
      </w:r>
    </w:p>
    <w:p w:rsidR="00495598" w:rsidRDefault="008E4C61">
      <w:pPr>
        <w:spacing w:after="0" w:line="360" w:lineRule="auto"/>
        <w:ind w:left="567" w:right="567"/>
        <w:rPr>
          <w:i/>
        </w:rPr>
      </w:pPr>
      <w:r>
        <w:rPr>
          <w:b/>
          <w:i/>
        </w:rPr>
        <w:t xml:space="preserve">“Clave Única de Registro de Población (CURP). </w:t>
      </w:r>
      <w:r>
        <w:rPr>
          <w:i/>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495598" w:rsidRDefault="008E4C61">
      <w:pPr>
        <w:spacing w:after="0" w:line="360" w:lineRule="auto"/>
        <w:rPr>
          <w:i/>
        </w:rPr>
      </w:pPr>
      <w:r>
        <w:rPr>
          <w:i/>
        </w:rPr>
        <w:t xml:space="preserve"> </w:t>
      </w:r>
    </w:p>
    <w:p w:rsidR="00495598" w:rsidRDefault="008E4C61">
      <w:pPr>
        <w:spacing w:after="0" w:line="360" w:lineRule="auto"/>
      </w:pPr>
      <w:r>
        <w:t xml:space="preserve">De acuerdo con lo anterior, resulta procedente la clasificación de </w:t>
      </w:r>
      <w:r>
        <w:rPr>
          <w:b/>
        </w:rPr>
        <w:t>la Clave Única de Registro de Población</w:t>
      </w:r>
      <w:r>
        <w:t xml:space="preserve">, por tratarse de un dato personal confidencial, en términos del artículo 143, fracción I, de la Ley de Transparencia y Acceso a la Información Pública del Estado de México y Municipios. </w:t>
      </w:r>
    </w:p>
    <w:p w:rsidR="00495598" w:rsidRDefault="008E4C61">
      <w:pPr>
        <w:spacing w:after="0" w:line="360" w:lineRule="auto"/>
      </w:pPr>
      <w:r>
        <w:t xml:space="preserve"> </w:t>
      </w:r>
    </w:p>
    <w:p w:rsidR="00495598" w:rsidRDefault="008E4C61">
      <w:pPr>
        <w:numPr>
          <w:ilvl w:val="0"/>
          <w:numId w:val="8"/>
        </w:numPr>
        <w:spacing w:after="0" w:line="360" w:lineRule="auto"/>
        <w:rPr>
          <w:b/>
        </w:rPr>
      </w:pPr>
      <w:r>
        <w:rPr>
          <w:b/>
        </w:rPr>
        <w:t>Registro Federal de Contribuyentes (RFC) de servidores públicos</w:t>
      </w:r>
    </w:p>
    <w:p w:rsidR="00495598" w:rsidRDefault="008E4C61">
      <w:pPr>
        <w:spacing w:after="0" w:line="360" w:lineRule="auto"/>
      </w:pPr>
      <w:r>
        <w:t xml:space="preserve"> </w:t>
      </w:r>
    </w:p>
    <w:p w:rsidR="00495598" w:rsidRDefault="008E4C61">
      <w:pPr>
        <w:spacing w:after="0" w:line="360" w:lineRule="auto"/>
      </w:pPr>
      <w:r>
        <w:t xml:space="preserve">Al respecto, cabe precisar que las personas físicas que deban presentar declaraciones periódicas o que están obligadas a expedir comprobantes fiscales, tienen que solicitar su inscripción en el Registro Federal de Contribuyentes, esta inscripción es realizada por el </w:t>
      </w:r>
      <w:r>
        <w:lastRenderedPageBreak/>
        <w:t>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00495598" w:rsidRDefault="008E4C61">
      <w:pPr>
        <w:spacing w:after="0" w:line="360" w:lineRule="auto"/>
      </w:pPr>
      <w:r>
        <w:t xml:space="preserve"> </w:t>
      </w:r>
    </w:p>
    <w:p w:rsidR="00495598" w:rsidRDefault="008E4C61">
      <w:pPr>
        <w:spacing w:after="0" w:line="360" w:lineRule="auto"/>
      </w:pPr>
      <w:r>
        <w:t xml:space="preserve">De acuerdo a lo establecido en el artículo en comento, esta clave se compone de trece caracteres alfanuméricos, con datos obtenidos de los apellidos, nombre(s), fecha de nacimiento del titular, más una </w:t>
      </w:r>
      <w:proofErr w:type="spellStart"/>
      <w:r>
        <w:t>homoclave</w:t>
      </w:r>
      <w:proofErr w:type="spellEnd"/>
      <w:r>
        <w:t xml:space="preserve"> que establece el sistema automático del Servicio de Administración Tributaria.</w:t>
      </w:r>
    </w:p>
    <w:p w:rsidR="00495598" w:rsidRDefault="008E4C61">
      <w:pPr>
        <w:spacing w:after="0" w:line="360" w:lineRule="auto"/>
      </w:pPr>
      <w:r>
        <w:t xml:space="preserve"> </w:t>
      </w:r>
    </w:p>
    <w:p w:rsidR="00495598" w:rsidRDefault="008E4C61">
      <w:pPr>
        <w:spacing w:after="0" w:line="360" w:lineRule="auto"/>
      </w:pPr>
      <w: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495598" w:rsidRDefault="008E4C61">
      <w:pPr>
        <w:spacing w:after="0" w:line="360" w:lineRule="auto"/>
      </w:pPr>
      <w:r>
        <w:t xml:space="preserve"> 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rsidR="00495598" w:rsidRDefault="00495598">
      <w:pPr>
        <w:spacing w:after="0" w:line="360" w:lineRule="auto"/>
      </w:pPr>
    </w:p>
    <w:p w:rsidR="00495598" w:rsidRDefault="008E4C61">
      <w:pPr>
        <w:spacing w:after="0" w:line="360" w:lineRule="auto"/>
      </w:pPr>
      <w:r>
        <w:t>Lo anterior, resulta congruente con el Criterio Orientador, de la Segunda Época, con número de registro SO/019/2017, emitido por el entones Instituto Nacional de Transparencia, Acceso a la Información y Protección de Datos Personales, en el cual se señala lo siguiente:</w:t>
      </w:r>
    </w:p>
    <w:p w:rsidR="00495598" w:rsidRDefault="008E4C61">
      <w:pPr>
        <w:spacing w:after="0" w:line="360" w:lineRule="auto"/>
      </w:pPr>
      <w:r>
        <w:t xml:space="preserve"> </w:t>
      </w:r>
    </w:p>
    <w:p w:rsidR="00495598" w:rsidRDefault="008E4C61">
      <w:pPr>
        <w:spacing w:after="0" w:line="360" w:lineRule="auto"/>
        <w:ind w:left="567" w:right="567"/>
        <w:rPr>
          <w:i/>
        </w:rPr>
      </w:pPr>
      <w:r>
        <w:rPr>
          <w:b/>
          <w:i/>
        </w:rPr>
        <w:lastRenderedPageBreak/>
        <w:t>“Registro Federal de Contribuyentes (RFC) de personas físicas.</w:t>
      </w:r>
      <w:r>
        <w:rPr>
          <w:i/>
        </w:rPr>
        <w:t xml:space="preserve"> El RFC es una clave de carácter fiscal, única e irrepetible, que permite identificar al titular, su edad y fecha de nacimiento, por lo que es un dato personal de carácter confidencial.”</w:t>
      </w:r>
    </w:p>
    <w:p w:rsidR="00495598" w:rsidRDefault="008E4C61">
      <w:pPr>
        <w:spacing w:after="0" w:line="360" w:lineRule="auto"/>
      </w:pPr>
      <w:r>
        <w:t xml:space="preserve"> </w:t>
      </w:r>
    </w:p>
    <w:p w:rsidR="00495598" w:rsidRDefault="008E4C61">
      <w:pPr>
        <w:spacing w:after="0" w:line="360" w:lineRule="auto"/>
        <w:rPr>
          <w:b/>
        </w:rPr>
      </w:pPr>
      <w: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r>
        <w:rPr>
          <w:b/>
        </w:rPr>
        <w:t xml:space="preserve"> </w:t>
      </w:r>
    </w:p>
    <w:p w:rsidR="00495598" w:rsidRDefault="00495598">
      <w:pPr>
        <w:spacing w:after="0" w:line="360" w:lineRule="auto"/>
        <w:rPr>
          <w:b/>
        </w:rPr>
      </w:pPr>
    </w:p>
    <w:p w:rsidR="00495598" w:rsidRDefault="008E4C61">
      <w:pPr>
        <w:numPr>
          <w:ilvl w:val="0"/>
          <w:numId w:val="10"/>
        </w:numPr>
        <w:spacing w:after="0" w:line="360" w:lineRule="auto"/>
        <w:rPr>
          <w:b/>
        </w:rPr>
      </w:pPr>
      <w:r>
        <w:rPr>
          <w:b/>
        </w:rPr>
        <w:t>Número de seguridad social del Instituto de Seguridad Social del Estado de México y Municipios.</w:t>
      </w:r>
    </w:p>
    <w:p w:rsidR="00495598" w:rsidRDefault="008E4C61">
      <w:pPr>
        <w:spacing w:after="0" w:line="360" w:lineRule="auto"/>
        <w:rPr>
          <w:b/>
        </w:rPr>
      </w:pPr>
      <w:r>
        <w:rPr>
          <w:b/>
        </w:rPr>
        <w:t xml:space="preserve"> </w:t>
      </w:r>
    </w:p>
    <w:p w:rsidR="00495598" w:rsidRDefault="008E4C61">
      <w:pPr>
        <w:spacing w:after="0" w:line="360" w:lineRule="auto"/>
      </w:pPr>
      <w: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rsidR="00495598" w:rsidRDefault="008E4C61">
      <w:pPr>
        <w:spacing w:after="0" w:line="360" w:lineRule="auto"/>
      </w:pPr>
      <w:r>
        <w:t xml:space="preserve"> </w:t>
      </w:r>
    </w:p>
    <w:p w:rsidR="00495598" w:rsidRDefault="008E4C61">
      <w:pPr>
        <w:spacing w:after="0" w:line="360" w:lineRule="auto"/>
      </w:pPr>
      <w: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w:t>
      </w:r>
      <w:r>
        <w:lastRenderedPageBreak/>
        <w:t xml:space="preserve">se consignan diversos datos personales </w:t>
      </w:r>
      <w:r>
        <w:rPr>
          <w:b/>
        </w:rPr>
        <w:t>y se le asigna una clave para hacer identificable al trabajador con el objetivo de poder proporcionar los servicios que brinda el Instituto de Seguridad Social del Estado de México y Municipios.</w:t>
      </w:r>
    </w:p>
    <w:p w:rsidR="00495598" w:rsidRDefault="008E4C61">
      <w:pPr>
        <w:spacing w:after="0" w:line="360" w:lineRule="auto"/>
      </w:pPr>
      <w:r>
        <w:t xml:space="preserve"> </w:t>
      </w:r>
    </w:p>
    <w:p w:rsidR="00495598" w:rsidRDefault="008E4C61">
      <w:pPr>
        <w:spacing w:after="0" w:line="360" w:lineRule="auto"/>
      </w:pPr>
      <w: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rsidR="00495598" w:rsidRDefault="008E4C61">
      <w:pPr>
        <w:spacing w:after="0" w:line="360" w:lineRule="auto"/>
      </w:pPr>
      <w:r>
        <w:t xml:space="preserve"> </w:t>
      </w:r>
    </w:p>
    <w:p w:rsidR="00495598" w:rsidRDefault="008E4C61">
      <w:pPr>
        <w:spacing w:after="0" w:line="360" w:lineRule="auto"/>
      </w:pPr>
      <w: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rsidR="00495598" w:rsidRDefault="00495598">
      <w:pPr>
        <w:spacing w:after="0" w:line="360" w:lineRule="auto"/>
      </w:pPr>
    </w:p>
    <w:p w:rsidR="00495598" w:rsidRDefault="008E4C61">
      <w:pPr>
        <w:numPr>
          <w:ilvl w:val="0"/>
          <w:numId w:val="8"/>
        </w:numPr>
        <w:spacing w:after="0" w:line="360" w:lineRule="auto"/>
        <w:rPr>
          <w:b/>
        </w:rPr>
      </w:pPr>
      <w:r>
        <w:rPr>
          <w:b/>
        </w:rPr>
        <w:t>Descuentos personales</w:t>
      </w:r>
    </w:p>
    <w:p w:rsidR="00495598" w:rsidRDefault="008E4C61">
      <w:pPr>
        <w:spacing w:after="0" w:line="360" w:lineRule="auto"/>
        <w:rPr>
          <w:b/>
        </w:rPr>
      </w:pPr>
      <w:r>
        <w:rPr>
          <w:b/>
        </w:rPr>
        <w:t xml:space="preserve"> </w:t>
      </w:r>
    </w:p>
    <w:p w:rsidR="00495598" w:rsidRDefault="008E4C61">
      <w:pPr>
        <w:spacing w:after="0" w:line="360" w:lineRule="auto"/>
      </w:pPr>
      <w:r>
        <w:t>Es necesario precisar que existen deducciones que se generan con motivo de una decisión libre y voluntaria de los servidores públicos, como son: créditos personales, cuotas sindicales, los fondos de resistencia, de mutualidad y de ahorro del Sindicato Único de Trabajadores de los Poderes, Municipios e Institución Descentralizadas del Estado de México, seguro de vida, accidentes y enfermedades.</w:t>
      </w:r>
    </w:p>
    <w:p w:rsidR="00495598" w:rsidRDefault="008E4C61">
      <w:pPr>
        <w:spacing w:after="0" w:line="360" w:lineRule="auto"/>
      </w:pPr>
      <w:r>
        <w:t xml:space="preserve"> </w:t>
      </w:r>
    </w:p>
    <w:p w:rsidR="00495598" w:rsidRDefault="008E4C61">
      <w:pPr>
        <w:spacing w:after="0" w:line="360" w:lineRule="auto"/>
      </w:pPr>
      <w:r>
        <w:lastRenderedPageBreak/>
        <w:t xml:space="preserve">Asimismo, hay otras que se generan con motivo de una sentencia judicial, como es la pensión alimenticia que periódicamente se retira de la cuenta de un empleado, a efecto de que sea entregado a un tercero.  </w:t>
      </w:r>
    </w:p>
    <w:p w:rsidR="00495598" w:rsidRDefault="008E4C61">
      <w:pPr>
        <w:spacing w:after="0" w:line="360" w:lineRule="auto"/>
      </w:pPr>
      <w:r>
        <w:t xml:space="preserve"> </w:t>
      </w:r>
    </w:p>
    <w:p w:rsidR="00495598" w:rsidRDefault="008E4C61">
      <w:pPr>
        <w:spacing w:after="0" w:line="360" w:lineRule="auto"/>
      </w:pPr>
      <w: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rsidR="00495598" w:rsidRDefault="008E4C61">
      <w:pPr>
        <w:spacing w:after="0" w:line="360" w:lineRule="auto"/>
      </w:pPr>
      <w:r>
        <w:t xml:space="preserve"> </w:t>
      </w:r>
    </w:p>
    <w:p w:rsidR="00495598" w:rsidRDefault="008E4C61">
      <w:pPr>
        <w:spacing w:after="0" w:line="360" w:lineRule="auto"/>
      </w:pPr>
      <w:r>
        <w:t xml:space="preserve">Así, dichas deducciones reflejan el destino que un servidor público da a su patrimonio y, por lo tanto, resulta procedente clasificar dichos datos, en los comprobantes de pago, en términos del artículo 143, fracción I de la Ley de Transparencia y Acceso a la Información Pública del Estado de México y Municipios. </w:t>
      </w:r>
    </w:p>
    <w:p w:rsidR="00495598" w:rsidRDefault="00495598">
      <w:pPr>
        <w:spacing w:after="0" w:line="360" w:lineRule="auto"/>
      </w:pPr>
    </w:p>
    <w:p w:rsidR="00495598" w:rsidRDefault="008E4C61">
      <w:pPr>
        <w:numPr>
          <w:ilvl w:val="0"/>
          <w:numId w:val="11"/>
        </w:numPr>
        <w:spacing w:after="0" w:line="360" w:lineRule="auto"/>
        <w:jc w:val="left"/>
        <w:rPr>
          <w:b/>
          <w:color w:val="000000"/>
        </w:rPr>
      </w:pPr>
      <w:r>
        <w:rPr>
          <w:b/>
          <w:color w:val="000000"/>
        </w:rPr>
        <w:t>Cuenta bancaria de servidores públicos</w:t>
      </w:r>
    </w:p>
    <w:p w:rsidR="00495598" w:rsidRDefault="00495598">
      <w:pPr>
        <w:spacing w:after="0" w:line="360" w:lineRule="auto"/>
        <w:ind w:left="720"/>
        <w:rPr>
          <w:b/>
          <w:color w:val="000000"/>
        </w:rPr>
      </w:pPr>
    </w:p>
    <w:p w:rsidR="00495598" w:rsidRDefault="008E4C61">
      <w:pPr>
        <w:spacing w:after="0" w:line="360" w:lineRule="auto"/>
        <w:rPr>
          <w:color w:val="000000"/>
        </w:rPr>
      </w:pPr>
      <w:r>
        <w:rPr>
          <w:color w:val="000000"/>
        </w:rPr>
        <w:t>Al respecto, se estima que dicho dato se relaciona con hechos y actos de carácter económico, pues los mismos darían cuenta, de la relación que tiene una institución financiero con un servidor público, en su carácter de particular; además, que con dicha información se podría obtener los recursos enviados a las órdenes de cargo, pago de nómina o a las transferencias electrónicas e fondos interbancarios, entre otros movimientos que sean utilizados exclusivamente en la cuenta señalada por el cliente y por lo tanto, los datos bancarios corresponden a información que se encuentra relacionada con el patrimonio de la persona titular de la cuenta.</w:t>
      </w:r>
    </w:p>
    <w:p w:rsidR="00495598" w:rsidRDefault="008E4C61">
      <w:pPr>
        <w:spacing w:after="0" w:line="360" w:lineRule="auto"/>
        <w:rPr>
          <w:color w:val="000000"/>
        </w:rPr>
      </w:pPr>
      <w:r>
        <w:rPr>
          <w:color w:val="000000"/>
        </w:rPr>
        <w:lastRenderedPageBreak/>
        <w:t> </w:t>
      </w:r>
    </w:p>
    <w:p w:rsidR="00495598" w:rsidRDefault="008E4C61">
      <w:pPr>
        <w:spacing w:after="0" w:line="360" w:lineRule="auto"/>
        <w:rPr>
          <w:color w:val="000000"/>
        </w:rPr>
      </w:pPr>
      <w:r>
        <w:rPr>
          <w:color w:val="000000"/>
        </w:rPr>
        <w:t>A mayor abundamiento, resulta necesario traer a colación el Criterio Orientador SO/010/2017, emitido por el entonces Instituto Nacional de Transparencia, Acceso a la Información y Protección de Datos Personales, vigente a la fecha de la solicitud, mismo que establece lo siguiente:</w:t>
      </w:r>
    </w:p>
    <w:p w:rsidR="00495598" w:rsidRDefault="00495598">
      <w:pPr>
        <w:spacing w:after="0" w:line="360" w:lineRule="auto"/>
        <w:rPr>
          <w:color w:val="000000"/>
        </w:rPr>
      </w:pPr>
    </w:p>
    <w:p w:rsidR="00495598" w:rsidRDefault="008E4C61">
      <w:pPr>
        <w:spacing w:after="0" w:line="360" w:lineRule="auto"/>
        <w:ind w:left="567" w:right="567"/>
        <w:rPr>
          <w:i/>
          <w:color w:val="000000"/>
          <w:sz w:val="20"/>
          <w:szCs w:val="20"/>
        </w:rPr>
      </w:pPr>
      <w:r>
        <w:rPr>
          <w:i/>
          <w:color w:val="000000"/>
          <w:sz w:val="20"/>
          <w:szCs w:val="20"/>
        </w:rPr>
        <w:t>“</w:t>
      </w:r>
      <w:r>
        <w:rPr>
          <w:b/>
          <w:i/>
          <w:color w:val="000000"/>
          <w:sz w:val="20"/>
          <w:szCs w:val="20"/>
        </w:rPr>
        <w:t>Cuentas bancarias y/o CLABE interbancaria de personas físicas y morales privadas.</w:t>
      </w:r>
      <w:r>
        <w:rPr>
          <w:i/>
          <w:color w:val="000000"/>
          <w:sz w:val="20"/>
          <w:szCs w:val="20"/>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495598" w:rsidRDefault="00495598">
      <w:pPr>
        <w:spacing w:after="0" w:line="360" w:lineRule="auto"/>
        <w:rPr>
          <w:color w:val="000000"/>
        </w:rPr>
      </w:pPr>
    </w:p>
    <w:p w:rsidR="00495598" w:rsidRDefault="008E4C61">
      <w:pPr>
        <w:spacing w:after="0" w:line="360" w:lineRule="auto"/>
        <w:rPr>
          <w:color w:val="000000"/>
        </w:rPr>
      </w:pPr>
      <w:r>
        <w:rPr>
          <w:color w:val="000000"/>
        </w:rPr>
        <w:t>Por lo cual, se puede colegir que dichos datos no guardan relación con el servicio público ni con los recursos públicos, pues solo corresponde a información, que le atañe a la institución financiera y al cliente;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rsidR="00495598" w:rsidRDefault="00495598">
      <w:pPr>
        <w:spacing w:after="0" w:line="360" w:lineRule="auto"/>
        <w:rPr>
          <w:color w:val="000000"/>
        </w:rPr>
      </w:pPr>
    </w:p>
    <w:p w:rsidR="00495598" w:rsidRDefault="008E4C61">
      <w:pPr>
        <w:numPr>
          <w:ilvl w:val="0"/>
          <w:numId w:val="12"/>
        </w:numPr>
        <w:pBdr>
          <w:top w:val="nil"/>
          <w:left w:val="nil"/>
          <w:bottom w:val="nil"/>
          <w:right w:val="nil"/>
          <w:between w:val="nil"/>
        </w:pBdr>
        <w:spacing w:after="0" w:line="360" w:lineRule="auto"/>
        <w:rPr>
          <w:b/>
          <w:color w:val="000000"/>
        </w:rPr>
      </w:pPr>
      <w:r>
        <w:rPr>
          <w:b/>
          <w:color w:val="000000"/>
        </w:rPr>
        <w:t xml:space="preserve">Domicilio Particular </w:t>
      </w:r>
    </w:p>
    <w:p w:rsidR="00495598" w:rsidRDefault="00495598">
      <w:pPr>
        <w:spacing w:after="0" w:line="360" w:lineRule="auto"/>
      </w:pPr>
    </w:p>
    <w:p w:rsidR="00495598" w:rsidRDefault="008E4C61">
      <w:pPr>
        <w:spacing w:after="0" w:line="360" w:lineRule="auto"/>
      </w:pPr>
      <w:r>
        <w:t xml:space="preserve">De acuerdo con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rsidR="00495598" w:rsidRDefault="00495598">
      <w:pPr>
        <w:spacing w:after="0" w:line="360" w:lineRule="auto"/>
      </w:pPr>
    </w:p>
    <w:p w:rsidR="00495598" w:rsidRDefault="008E4C61">
      <w:pPr>
        <w:spacing w:after="0" w:line="360" w:lineRule="auto"/>
        <w:rPr>
          <w:b/>
        </w:rPr>
      </w:pPr>
      <w:r>
        <w:t xml:space="preserve">De la misma manera, lo establece el artículo 29 del Código Civil Federal, al precisar que el domicilio de personas físicas, </w:t>
      </w:r>
      <w:r>
        <w:rPr>
          <w:b/>
        </w:rPr>
        <w:t xml:space="preserve">es el lugar donde residen habitualmente, el lugar del centro principal de sus negocios, donde residan o el lugar donde se encuentren. </w:t>
      </w:r>
    </w:p>
    <w:p w:rsidR="00495598" w:rsidRDefault="00495598">
      <w:pPr>
        <w:spacing w:after="0" w:line="360" w:lineRule="auto"/>
        <w:rPr>
          <w:b/>
        </w:rPr>
      </w:pPr>
    </w:p>
    <w:p w:rsidR="00495598" w:rsidRDefault="008E4C61">
      <w:pPr>
        <w:spacing w:after="0" w:line="360" w:lineRule="auto"/>
      </w:pPr>
      <w:r>
        <w:t>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w:t>
      </w:r>
    </w:p>
    <w:p w:rsidR="00495598" w:rsidRDefault="00495598">
      <w:pPr>
        <w:spacing w:after="0" w:line="360" w:lineRule="auto"/>
      </w:pPr>
    </w:p>
    <w:p w:rsidR="00495598" w:rsidRDefault="00310882">
      <w:pPr>
        <w:numPr>
          <w:ilvl w:val="0"/>
          <w:numId w:val="12"/>
        </w:numPr>
        <w:pBdr>
          <w:top w:val="nil"/>
          <w:left w:val="nil"/>
          <w:bottom w:val="nil"/>
          <w:right w:val="nil"/>
          <w:between w:val="nil"/>
        </w:pBdr>
        <w:spacing w:after="0" w:line="360" w:lineRule="auto"/>
        <w:rPr>
          <w:b/>
          <w:color w:val="000000"/>
        </w:rPr>
      </w:pPr>
      <w:r>
        <w:rPr>
          <w:b/>
          <w:color w:val="000000"/>
        </w:rPr>
        <w:t>Estado civil</w:t>
      </w:r>
    </w:p>
    <w:p w:rsidR="00495598" w:rsidRDefault="00495598">
      <w:pPr>
        <w:spacing w:after="0" w:line="360" w:lineRule="auto"/>
        <w:rPr>
          <w:b/>
        </w:rPr>
      </w:pPr>
    </w:p>
    <w:p w:rsidR="00495598" w:rsidRDefault="008E4C61">
      <w:pPr>
        <w:spacing w:after="0" w:line="360" w:lineRule="auto"/>
      </w:pPr>
      <w:r>
        <w:t>El estado civil es un atributo de la personalidad, de acuerdo con el artículo 2.3 del Código Civil del Estado de México, e indica si las personas son solteras o casadas y sólo se comprueba con las constancias relativas del Registro Civil. Por lo que es un tema que tiene que ver con la vida privada, ya que, para acceder a un cargo público, el estado civil de las personas es irrelevante, ya que tener uno u otro no influye en el mejor o menor desempeño de un cargo público.</w:t>
      </w:r>
    </w:p>
    <w:p w:rsidR="00495598" w:rsidRDefault="00495598">
      <w:pPr>
        <w:spacing w:after="0" w:line="360" w:lineRule="auto"/>
      </w:pPr>
    </w:p>
    <w:p w:rsidR="00495598" w:rsidRDefault="008E4C61">
      <w:pPr>
        <w:spacing w:after="0" w:line="360" w:lineRule="auto"/>
      </w:pPr>
      <w:r>
        <w:t xml:space="preserve">De esta manera, se trata de un dato personal confidencial que tiene que ver únicamente con la vida privada de las personas, motivo por el cual se considera un dato personal en términos </w:t>
      </w:r>
      <w:r>
        <w:lastRenderedPageBreak/>
        <w:t>del artículo 143, fracción I de la Ley de Transparencia y Acceso a la Información Pública del Estado de México y Municipios.</w:t>
      </w:r>
    </w:p>
    <w:p w:rsidR="00495598" w:rsidRDefault="00495598">
      <w:pPr>
        <w:spacing w:after="0" w:line="360" w:lineRule="auto"/>
      </w:pPr>
    </w:p>
    <w:p w:rsidR="00495598" w:rsidRDefault="008E4C61">
      <w:pPr>
        <w:numPr>
          <w:ilvl w:val="0"/>
          <w:numId w:val="13"/>
        </w:numPr>
        <w:spacing w:after="0" w:line="360" w:lineRule="auto"/>
        <w:jc w:val="left"/>
        <w:rPr>
          <w:color w:val="000000"/>
        </w:rPr>
      </w:pPr>
      <w:r>
        <w:rPr>
          <w:b/>
        </w:rPr>
        <w:t xml:space="preserve"> </w:t>
      </w:r>
      <w:r w:rsidR="00310882">
        <w:rPr>
          <w:b/>
          <w:color w:val="000000"/>
        </w:rPr>
        <w:t>Correo electrónico particular</w:t>
      </w:r>
    </w:p>
    <w:p w:rsidR="00495598" w:rsidRDefault="00495598">
      <w:pPr>
        <w:spacing w:after="0" w:line="360" w:lineRule="auto"/>
        <w:rPr>
          <w:color w:val="000000"/>
        </w:rPr>
      </w:pPr>
    </w:p>
    <w:p w:rsidR="00495598" w:rsidRDefault="008E4C61">
      <w:pPr>
        <w:spacing w:after="0" w:line="360" w:lineRule="auto"/>
        <w:rPr>
          <w:color w:val="000000"/>
        </w:rPr>
      </w:pPr>
      <w:r>
        <w:rPr>
          <w:color w:val="000000"/>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rsidR="00495598" w:rsidRDefault="00495598">
      <w:pPr>
        <w:spacing w:after="0" w:line="360" w:lineRule="auto"/>
        <w:rPr>
          <w:color w:val="000000"/>
        </w:rPr>
      </w:pPr>
    </w:p>
    <w:p w:rsidR="00495598" w:rsidRDefault="008E4C61">
      <w:pPr>
        <w:spacing w:after="0" w:line="360" w:lineRule="auto"/>
        <w:rPr>
          <w:color w:val="000000"/>
        </w:rPr>
      </w:pPr>
      <w:r>
        <w:rPr>
          <w:color w:val="000000"/>
        </w:rPr>
        <w:t>En ese sentido, mantiene su carácter primigenio, es decir, que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rsidR="00495598" w:rsidRDefault="00495598">
      <w:pPr>
        <w:spacing w:after="0" w:line="360" w:lineRule="auto"/>
        <w:rPr>
          <w:color w:val="000000"/>
        </w:rPr>
      </w:pPr>
    </w:p>
    <w:p w:rsidR="00495598" w:rsidRDefault="008E4C61">
      <w:pPr>
        <w:numPr>
          <w:ilvl w:val="0"/>
          <w:numId w:val="13"/>
        </w:numPr>
        <w:pBdr>
          <w:top w:val="nil"/>
          <w:left w:val="nil"/>
          <w:bottom w:val="nil"/>
          <w:right w:val="nil"/>
          <w:between w:val="nil"/>
        </w:pBdr>
        <w:spacing w:after="0" w:line="360" w:lineRule="auto"/>
        <w:rPr>
          <w:b/>
          <w:color w:val="000000"/>
        </w:rPr>
      </w:pPr>
      <w:r>
        <w:rPr>
          <w:b/>
          <w:color w:val="000000"/>
        </w:rPr>
        <w:t>Escolaridad y Tipo de Sindicato</w:t>
      </w:r>
    </w:p>
    <w:p w:rsidR="00495598" w:rsidRDefault="00495598">
      <w:pPr>
        <w:pBdr>
          <w:top w:val="nil"/>
          <w:left w:val="nil"/>
          <w:bottom w:val="nil"/>
          <w:right w:val="nil"/>
          <w:between w:val="nil"/>
        </w:pBdr>
        <w:spacing w:after="0" w:line="360" w:lineRule="auto"/>
        <w:ind w:left="720"/>
        <w:rPr>
          <w:b/>
          <w:color w:val="000000"/>
        </w:rPr>
      </w:pPr>
    </w:p>
    <w:p w:rsidR="00495598" w:rsidRDefault="008E4C61">
      <w:pPr>
        <w:spacing w:after="0" w:line="360" w:lineRule="auto"/>
        <w:rPr>
          <w:color w:val="000000"/>
        </w:rPr>
      </w:pPr>
      <w:r>
        <w:rPr>
          <w:color w:val="000000"/>
        </w:rPr>
        <w:t>Al respecto cabe preciar que la escolaridad da cuenta de la preparación de los servidores públicos, mientras que el tipo de sindicato únicamente hace referencia al nombre del sindicato al cual pertenecen los servidores públicos, por lo que no procede su clasificación, en términos del artículo 143, fracción I, de la Ley de Transparencia y Acceso a la Información Pública del Estado de México y Municipios, por lo que en las versiones públicas que se ordenen, no podrá clasificarse esa información.</w:t>
      </w:r>
    </w:p>
    <w:p w:rsidR="00495598" w:rsidRDefault="008E4C61">
      <w:pPr>
        <w:spacing w:after="0" w:line="360" w:lineRule="auto"/>
      </w:pPr>
      <w:r>
        <w:lastRenderedPageBreak/>
        <w:t>Así, este Instituto considera que el Sujeto Obligado deberá proporcionar lo solicitado en versión pública, en atención a lo analizado en el presente Considerando; sobre dicha circunstancia, el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rsidR="00495598" w:rsidRDefault="00495598">
      <w:pPr>
        <w:spacing w:after="0" w:line="360" w:lineRule="auto"/>
      </w:pPr>
    </w:p>
    <w:p w:rsidR="00495598" w:rsidRDefault="008E4C61">
      <w:pPr>
        <w:spacing w:after="0" w:line="360" w:lineRule="auto"/>
      </w:pPr>
      <w: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495598" w:rsidRDefault="00495598">
      <w:pPr>
        <w:spacing w:after="0" w:line="360" w:lineRule="auto"/>
      </w:pPr>
    </w:p>
    <w:p w:rsidR="00495598" w:rsidRDefault="008E4C61">
      <w:pPr>
        <w:pStyle w:val="Ttulo2"/>
        <w:spacing w:before="0" w:after="0" w:line="360" w:lineRule="auto"/>
        <w:rPr>
          <w:sz w:val="22"/>
          <w:szCs w:val="22"/>
        </w:rPr>
      </w:pPr>
      <w:bookmarkStart w:id="14" w:name="_heading=h.x194253c7bzi" w:colFirst="0" w:colLast="0"/>
      <w:bookmarkEnd w:id="14"/>
      <w:r>
        <w:rPr>
          <w:sz w:val="22"/>
          <w:szCs w:val="22"/>
        </w:rPr>
        <w:t>SEXTO. Decisión</w:t>
      </w:r>
    </w:p>
    <w:p w:rsidR="00495598" w:rsidRDefault="00495598">
      <w:pPr>
        <w:spacing w:after="0" w:line="360" w:lineRule="auto"/>
        <w:rPr>
          <w:b/>
        </w:rPr>
      </w:pPr>
    </w:p>
    <w:p w:rsidR="00495598" w:rsidRDefault="008E4C61">
      <w:pPr>
        <w:spacing w:after="0" w:line="360" w:lineRule="auto"/>
      </w:pPr>
      <w:r>
        <w:t xml:space="preserve">De acuerdo con lo expuesto y, con fundamento en el artículo 186, fracción III, de la Ley de Transparencia y Acceso a la Información Pública del Estado de México y Municipios, este Instituto considera procedente </w:t>
      </w:r>
      <w:r>
        <w:rPr>
          <w:b/>
        </w:rPr>
        <w:t xml:space="preserve">MODIFICAR </w:t>
      </w:r>
      <w:r>
        <w:t>la respuesta del Secretaría de Educación, Ciencia, Tecnología e Innovación</w:t>
      </w:r>
      <w:r>
        <w:rPr>
          <w:b/>
        </w:rPr>
        <w:t xml:space="preserve">, </w:t>
      </w:r>
      <w:r>
        <w:t>a efecto de que previa búsqueda exhaustiva y razonable entregue, en su caso en versión pública, la información solicitada.</w:t>
      </w:r>
    </w:p>
    <w:p w:rsidR="00495598" w:rsidRDefault="00495598">
      <w:pPr>
        <w:spacing w:after="0" w:line="360" w:lineRule="auto"/>
      </w:pPr>
    </w:p>
    <w:p w:rsidR="00495598" w:rsidRDefault="008E4C61">
      <w:pPr>
        <w:spacing w:after="0" w:line="360" w:lineRule="auto"/>
        <w:rPr>
          <w:b/>
        </w:rPr>
      </w:pPr>
      <w:r>
        <w:rPr>
          <w:b/>
        </w:rPr>
        <w:t>Términos de la Resolución para conocimiento del Particular</w:t>
      </w:r>
    </w:p>
    <w:p w:rsidR="00495598" w:rsidRDefault="00495598">
      <w:pPr>
        <w:spacing w:after="0" w:line="360" w:lineRule="auto"/>
        <w:rPr>
          <w:b/>
        </w:rPr>
      </w:pPr>
    </w:p>
    <w:p w:rsidR="00495598" w:rsidRDefault="008E4C61">
      <w:pPr>
        <w:spacing w:after="0" w:line="360" w:lineRule="auto"/>
      </w:pPr>
      <w:r>
        <w:t xml:space="preserve">Se le hace del conocimiento a la persona Recurrente que, en el presente asunto, se le daba parcialmente la razón, pues el Sujeto Obligado proporcionó la información que da cuenta de </w:t>
      </w:r>
      <w:r>
        <w:lastRenderedPageBreak/>
        <w:t xml:space="preserve">lo solicitado, clasificó información de naturaleza pública, por lo que, deberá hacer la entrega de los Formatos Únicos de Movimiento de Personal en una versión pública correcta; </w:t>
      </w:r>
      <w:r>
        <w:rPr>
          <w:color w:val="000000"/>
        </w:rPr>
        <w:t>la labor del Instituto es apoyar a la población a acceder a la información pública y garantizar la protección de sus datos personales.</w:t>
      </w:r>
    </w:p>
    <w:p w:rsidR="00495598" w:rsidRDefault="00495598">
      <w:pPr>
        <w:spacing w:after="0" w:line="360" w:lineRule="auto"/>
      </w:pPr>
    </w:p>
    <w:p w:rsidR="00495598" w:rsidRDefault="008E4C61">
      <w:pPr>
        <w:spacing w:after="0" w:line="360" w:lineRule="auto"/>
      </w:pPr>
      <w:r>
        <w:t>Por lo expuesto y fundado, este Pleno:</w:t>
      </w:r>
    </w:p>
    <w:p w:rsidR="00495598" w:rsidRDefault="00495598">
      <w:pPr>
        <w:spacing w:after="0" w:line="360" w:lineRule="auto"/>
      </w:pPr>
    </w:p>
    <w:p w:rsidR="00495598" w:rsidRDefault="008E4C61">
      <w:pPr>
        <w:pStyle w:val="Ttulo1"/>
        <w:spacing w:before="0" w:after="0" w:line="360" w:lineRule="auto"/>
        <w:jc w:val="center"/>
        <w:rPr>
          <w:sz w:val="22"/>
          <w:szCs w:val="22"/>
        </w:rPr>
      </w:pPr>
      <w:bookmarkStart w:id="15" w:name="_heading=h.wol8rs7d744o" w:colFirst="0" w:colLast="0"/>
      <w:bookmarkEnd w:id="15"/>
      <w:r>
        <w:rPr>
          <w:sz w:val="22"/>
          <w:szCs w:val="22"/>
        </w:rPr>
        <w:t>R E S U E L V E</w:t>
      </w:r>
    </w:p>
    <w:p w:rsidR="00495598" w:rsidRDefault="00495598">
      <w:pPr>
        <w:spacing w:after="0" w:line="360" w:lineRule="auto"/>
        <w:rPr>
          <w:b/>
        </w:rPr>
      </w:pPr>
    </w:p>
    <w:p w:rsidR="00495598" w:rsidRDefault="008E4C61">
      <w:pPr>
        <w:spacing w:after="0" w:line="360" w:lineRule="auto"/>
      </w:pPr>
      <w:r>
        <w:rPr>
          <w:b/>
        </w:rPr>
        <w:t xml:space="preserve">PRIMERO. </w:t>
      </w:r>
      <w:r>
        <w:t xml:space="preserve">Se </w:t>
      </w:r>
      <w:r>
        <w:rPr>
          <w:b/>
        </w:rPr>
        <w:t xml:space="preserve">MODIFICA </w:t>
      </w:r>
      <w:r>
        <w:t xml:space="preserve">la respuesta entregada por el Secretaría de Educación, Ciencia, Tecnología e Innovación, a la solicitud de información 00523/SECTI/IP/2025, por resultar </w:t>
      </w:r>
      <w:r>
        <w:rPr>
          <w:b/>
        </w:rPr>
        <w:t xml:space="preserve">PARCIALMENTE FUNDADAS </w:t>
      </w:r>
      <w:r>
        <w:t>las razones o motivos de inconformidad hechos valer por el Recurrente, en términos de los considerandos QUINTO y SEXTO de la presente Resolución.</w:t>
      </w:r>
    </w:p>
    <w:p w:rsidR="00495598" w:rsidRDefault="00495598">
      <w:pPr>
        <w:spacing w:after="0" w:line="360" w:lineRule="auto"/>
      </w:pPr>
    </w:p>
    <w:p w:rsidR="00495598" w:rsidRDefault="008E4C61">
      <w:pPr>
        <w:spacing w:after="0" w:line="360" w:lineRule="auto"/>
      </w:pPr>
      <w:r>
        <w:rPr>
          <w:b/>
        </w:rPr>
        <w:t xml:space="preserve">SEGUNDO. </w:t>
      </w:r>
      <w:r>
        <w:t xml:space="preserve">Se </w:t>
      </w:r>
      <w:r>
        <w:rPr>
          <w:b/>
        </w:rPr>
        <w:t>ORDENA</w:t>
      </w:r>
      <w:r>
        <w:t xml:space="preserve"> al Ente Recurrido</w:t>
      </w:r>
      <w:r>
        <w:rPr>
          <w:b/>
        </w:rPr>
        <w:t xml:space="preserve">, </w:t>
      </w:r>
      <w:r>
        <w:t>a efecto de que entregue a través del Sistema de Acceso a la Información Mexiquense (SAIMEX), lo siguiente:</w:t>
      </w:r>
    </w:p>
    <w:p w:rsidR="00495598" w:rsidRDefault="00495598">
      <w:pPr>
        <w:spacing w:after="0" w:line="360" w:lineRule="auto"/>
      </w:pPr>
    </w:p>
    <w:p w:rsidR="00495598" w:rsidRDefault="008E4C61">
      <w:pPr>
        <w:numPr>
          <w:ilvl w:val="0"/>
          <w:numId w:val="14"/>
        </w:numPr>
        <w:pBdr>
          <w:top w:val="nil"/>
          <w:left w:val="nil"/>
          <w:bottom w:val="nil"/>
          <w:right w:val="nil"/>
          <w:between w:val="nil"/>
        </w:pBdr>
        <w:spacing w:after="0" w:line="360" w:lineRule="auto"/>
      </w:pPr>
      <w:r>
        <w:rPr>
          <w:color w:val="000000"/>
        </w:rPr>
        <w:t>En versión pública, los Formatos Únicos de Movimiento de Personal remitidos en respuesta, y</w:t>
      </w:r>
    </w:p>
    <w:p w:rsidR="00495598" w:rsidRDefault="00495598">
      <w:pPr>
        <w:pBdr>
          <w:top w:val="nil"/>
          <w:left w:val="nil"/>
          <w:bottom w:val="nil"/>
          <w:right w:val="nil"/>
          <w:between w:val="nil"/>
        </w:pBdr>
        <w:spacing w:after="0" w:line="360" w:lineRule="auto"/>
        <w:ind w:left="720"/>
        <w:rPr>
          <w:color w:val="000000"/>
        </w:rPr>
      </w:pPr>
    </w:p>
    <w:p w:rsidR="00495598" w:rsidRDefault="008E4C61">
      <w:pPr>
        <w:numPr>
          <w:ilvl w:val="0"/>
          <w:numId w:val="14"/>
        </w:numPr>
        <w:pBdr>
          <w:top w:val="nil"/>
          <w:left w:val="nil"/>
          <w:bottom w:val="nil"/>
          <w:right w:val="nil"/>
          <w:between w:val="nil"/>
        </w:pBdr>
        <w:spacing w:after="0" w:line="360" w:lineRule="auto"/>
      </w:pPr>
      <w:r>
        <w:rPr>
          <w:color w:val="000000"/>
        </w:rPr>
        <w:t xml:space="preserve">El Acuerdo emitido por el Comité de Transparencia, donde confirme la eliminación de los datos o información clasificada, en los comprobantes de pago remitidos en respuesta y aquellos señalados en el punto 1, en términos del Considerando QUINTO, de conformidad con los artículos 49, fracciones II y VIII y 132, fracción II </w:t>
      </w:r>
      <w:r>
        <w:rPr>
          <w:color w:val="000000"/>
        </w:rPr>
        <w:lastRenderedPageBreak/>
        <w:t>de la Ley de Transparencia y Acceso a la Información Pública del Estado de México y Municipios.</w:t>
      </w:r>
    </w:p>
    <w:p w:rsidR="00495598" w:rsidRDefault="00495598">
      <w:pPr>
        <w:spacing w:after="0" w:line="360" w:lineRule="auto"/>
        <w:ind w:right="-91"/>
        <w:rPr>
          <w:b/>
        </w:rPr>
      </w:pPr>
    </w:p>
    <w:p w:rsidR="00495598" w:rsidRDefault="008E4C61">
      <w:pPr>
        <w:spacing w:after="0" w:line="360" w:lineRule="auto"/>
        <w:ind w:right="-28"/>
      </w:pPr>
      <w:r>
        <w:rPr>
          <w:b/>
        </w:rPr>
        <w:t xml:space="preserve">TERCERO. NOTIFÍQUESE POR SAIMEX </w:t>
      </w:r>
      <w: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w:t>
      </w:r>
    </w:p>
    <w:p w:rsidR="00495598" w:rsidRDefault="00495598">
      <w:pPr>
        <w:spacing w:after="0" w:line="360" w:lineRule="auto"/>
        <w:ind w:right="-28"/>
      </w:pPr>
    </w:p>
    <w:p w:rsidR="00495598" w:rsidRDefault="008E4C61">
      <w:pPr>
        <w:spacing w:after="0" w:line="360" w:lineRule="auto"/>
        <w:ind w:right="-28"/>
        <w:rPr>
          <w:color w:val="000000"/>
        </w:rPr>
      </w:pPr>
      <w:r>
        <w:rPr>
          <w:color w:val="000000"/>
        </w:rPr>
        <w:t>De conformidad con el artículo 198 de la Ley de la materia, de considerarlo procedente, el Sujeto Obligado de manera fundada y motivada, podrá solicitar una ampliación de plazo para el cumplimiento de la presente resolución.</w:t>
      </w:r>
    </w:p>
    <w:p w:rsidR="00495598" w:rsidRDefault="00495598">
      <w:pPr>
        <w:spacing w:after="0" w:line="360" w:lineRule="auto"/>
        <w:rPr>
          <w:color w:val="000000"/>
        </w:rPr>
      </w:pPr>
    </w:p>
    <w:p w:rsidR="00495598" w:rsidRDefault="008E4C61">
      <w:pPr>
        <w:spacing w:after="0" w:line="360" w:lineRule="auto"/>
      </w:pPr>
      <w:r>
        <w:rPr>
          <w:b/>
        </w:rPr>
        <w:t>CUARTO. NOTIFÍQUESE POR SAIMEX</w:t>
      </w:r>
      <w: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495598" w:rsidRDefault="00495598">
      <w:pPr>
        <w:spacing w:after="0" w:line="360" w:lineRule="auto"/>
        <w:rPr>
          <w:b/>
        </w:rPr>
      </w:pPr>
    </w:p>
    <w:p w:rsidR="00495598" w:rsidRDefault="008E4C61">
      <w:pPr>
        <w:spacing w:after="0" w:line="360" w:lineRule="auto"/>
        <w:rPr>
          <w:b/>
        </w:rPr>
      </w:pPr>
      <w:r>
        <w:t>ASÍ LO RESUELVE, POR </w:t>
      </w:r>
      <w:r>
        <w:rPr>
          <w:b/>
        </w:rPr>
        <w:t>UNANIMIDAD</w:t>
      </w:r>
      <w:r>
        <w:t> DE VOTOS EL PLENO DEL INSTITUTO DE TRANSPARENCIA, ACCESO A LA INFORMACIÓN PÚBLICA Y PROTECCIÓN DE DATOS PERSONALES DEL ESTADO DE MÉXICO Y MUNICIPIOS, CONFORMADO POR LOS COMISIONADOS JOSÉ MARTÍNEZ VILCHIS, MARÍA DEL ROSARIO MEJÍA AYALA</w:t>
      </w:r>
      <w:r w:rsidR="000566C0">
        <w:t xml:space="preserve"> </w:t>
      </w:r>
      <w:r w:rsidR="000566C0">
        <w:lastRenderedPageBreak/>
        <w:t>(AUSENCIA JUSTIFICADA)</w:t>
      </w:r>
      <w:r>
        <w:t>, SHARON CRISTINA MORALES MARTÍNEZ, LUIS GUSTAVO PARRA NORIEGA Y GUADALUPE RAMÍREZ PEÑA, EN LA TRIGÉSIMA NOVENA SESIÓN ORDINARIA, CELEBRADA EL CINCO DE NOVIEMBRE DE DOS MIL VEINTICINCO, ANTE EL SECRETARIO TÉCNICO DEL PLENO, ALEXIS TAPIA RAMÍREZ.</w:t>
      </w:r>
    </w:p>
    <w:p w:rsidR="00495598" w:rsidRDefault="00495598">
      <w:pPr>
        <w:spacing w:after="0" w:line="360" w:lineRule="auto"/>
        <w:ind w:right="-28"/>
        <w:rPr>
          <w:color w:val="000000"/>
        </w:rPr>
      </w:pPr>
    </w:p>
    <w:p w:rsidR="00495598" w:rsidRDefault="00495598">
      <w:pPr>
        <w:spacing w:after="0" w:line="360" w:lineRule="auto"/>
        <w:rPr>
          <w:b/>
        </w:rPr>
      </w:pPr>
    </w:p>
    <w:p w:rsidR="00495598" w:rsidRDefault="00495598">
      <w:pPr>
        <w:spacing w:after="0" w:line="360" w:lineRule="auto"/>
        <w:rPr>
          <w:b/>
        </w:rPr>
      </w:pPr>
    </w:p>
    <w:p w:rsidR="00495598" w:rsidRDefault="00495598">
      <w:pPr>
        <w:spacing w:after="0" w:line="360" w:lineRule="auto"/>
        <w:rPr>
          <w:color w:val="000000"/>
        </w:rPr>
      </w:pPr>
    </w:p>
    <w:p w:rsidR="00495598" w:rsidRDefault="00495598">
      <w:pPr>
        <w:spacing w:after="0" w:line="360" w:lineRule="auto"/>
        <w:rPr>
          <w:color w:val="000000"/>
        </w:rPr>
      </w:pPr>
    </w:p>
    <w:p w:rsidR="00495598" w:rsidRDefault="00495598">
      <w:pPr>
        <w:spacing w:after="0" w:line="360" w:lineRule="auto"/>
      </w:pPr>
    </w:p>
    <w:p w:rsidR="00495598" w:rsidRDefault="00495598">
      <w:pPr>
        <w:spacing w:after="0" w:line="360" w:lineRule="auto"/>
      </w:pPr>
    </w:p>
    <w:p w:rsidR="00495598" w:rsidRDefault="00495598">
      <w:pPr>
        <w:spacing w:after="0" w:line="360" w:lineRule="auto"/>
        <w:rPr>
          <w:color w:val="000000"/>
        </w:rPr>
      </w:pPr>
    </w:p>
    <w:p w:rsidR="00495598" w:rsidRDefault="00495598">
      <w:pPr>
        <w:spacing w:after="0" w:line="360" w:lineRule="auto"/>
        <w:rPr>
          <w:color w:val="000000"/>
        </w:rPr>
      </w:pPr>
    </w:p>
    <w:p w:rsidR="00495598" w:rsidRDefault="00495598">
      <w:pPr>
        <w:tabs>
          <w:tab w:val="right" w:pos="8931"/>
        </w:tabs>
        <w:spacing w:after="0" w:line="360" w:lineRule="auto"/>
      </w:pPr>
    </w:p>
    <w:p w:rsidR="00495598" w:rsidRDefault="00495598">
      <w:pPr>
        <w:tabs>
          <w:tab w:val="right" w:pos="8931"/>
        </w:tabs>
        <w:spacing w:after="0" w:line="360" w:lineRule="auto"/>
      </w:pPr>
    </w:p>
    <w:p w:rsidR="00495598" w:rsidRDefault="00495598">
      <w:pPr>
        <w:spacing w:after="0" w:line="360" w:lineRule="auto"/>
      </w:pPr>
    </w:p>
    <w:p w:rsidR="00495598" w:rsidRDefault="00495598">
      <w:pPr>
        <w:spacing w:after="0" w:line="360" w:lineRule="auto"/>
      </w:pPr>
    </w:p>
    <w:p w:rsidR="00310882" w:rsidRDefault="00310882">
      <w:pPr>
        <w:spacing w:after="0" w:line="360" w:lineRule="auto"/>
      </w:pPr>
    </w:p>
    <w:p w:rsidR="00310882" w:rsidRDefault="00310882">
      <w:pPr>
        <w:spacing w:after="0" w:line="360" w:lineRule="auto"/>
      </w:pPr>
    </w:p>
    <w:p w:rsidR="00310882" w:rsidRDefault="00310882">
      <w:pPr>
        <w:spacing w:after="0" w:line="360" w:lineRule="auto"/>
      </w:pPr>
    </w:p>
    <w:p w:rsidR="00310882" w:rsidRDefault="00310882">
      <w:pPr>
        <w:spacing w:after="0" w:line="360" w:lineRule="auto"/>
      </w:pPr>
    </w:p>
    <w:p w:rsidR="00310882" w:rsidRDefault="00310882">
      <w:pPr>
        <w:spacing w:after="0" w:line="360" w:lineRule="auto"/>
      </w:pPr>
    </w:p>
    <w:p w:rsidR="00310882" w:rsidRDefault="00310882">
      <w:pPr>
        <w:spacing w:after="0" w:line="360" w:lineRule="auto"/>
      </w:pPr>
    </w:p>
    <w:p w:rsidR="00310882" w:rsidRDefault="00310882">
      <w:pPr>
        <w:spacing w:after="0" w:line="360" w:lineRule="auto"/>
      </w:pPr>
    </w:p>
    <w:p w:rsidR="00310882" w:rsidRDefault="00310882">
      <w:pPr>
        <w:spacing w:after="0" w:line="360" w:lineRule="auto"/>
      </w:pPr>
    </w:p>
    <w:p w:rsidR="00310882" w:rsidRDefault="00310882">
      <w:pPr>
        <w:spacing w:after="0" w:line="360" w:lineRule="auto"/>
      </w:pPr>
    </w:p>
    <w:p w:rsidR="00310882" w:rsidRDefault="00310882">
      <w:pPr>
        <w:spacing w:after="0" w:line="360" w:lineRule="auto"/>
      </w:pPr>
    </w:p>
    <w:sectPr w:rsidR="00310882">
      <w:headerReference w:type="even" r:id="rId18"/>
      <w:headerReference w:type="default" r:id="rId19"/>
      <w:footerReference w:type="even" r:id="rId20"/>
      <w:footerReference w:type="default" r:id="rId21"/>
      <w:headerReference w:type="first" r:id="rId22"/>
      <w:footerReference w:type="first" r:id="rId23"/>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4165" w:rsidRDefault="00B34165">
      <w:pPr>
        <w:spacing w:after="0" w:line="240" w:lineRule="auto"/>
      </w:pPr>
      <w:r>
        <w:separator/>
      </w:r>
    </w:p>
  </w:endnote>
  <w:endnote w:type="continuationSeparator" w:id="0">
    <w:p w:rsidR="00B34165" w:rsidRDefault="00B34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25045953-C924-4B3D-8F1A-898CCA5DC09A}"/>
    <w:embedBold r:id="rId2" w:fontKey="{685D89E6-79CC-44BF-B8AD-E73DA3EF4213}"/>
    <w:embedItalic r:id="rId3" w:fontKey="{44E7DCB9-1E6B-4489-AC77-DF818CBB1302}"/>
    <w:embedBoldItalic r:id="rId4" w:fontKey="{32C3C301-5EDF-4C16-9370-7875840FB6ED}"/>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C34C45C8-5FAC-4B04-8D56-6C86DA07DD6D}"/>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DF301A28-1660-4FAD-AAB6-C2C70F5948A0}"/>
  </w:font>
  <w:font w:name="Calibri">
    <w:panose1 w:val="020F0502020204030204"/>
    <w:charset w:val="00"/>
    <w:family w:val="swiss"/>
    <w:pitch w:val="variable"/>
    <w:sig w:usb0="E4002EFF" w:usb1="C200247B" w:usb2="00000009" w:usb3="00000000" w:csb0="000001FF" w:csb1="00000000"/>
    <w:embedRegular r:id="rId7" w:fontKey="{201CA849-0E8B-42F0-8565-0CB116E4CBB3}"/>
  </w:font>
  <w:font w:name="Georgia">
    <w:panose1 w:val="02040502050405020303"/>
    <w:charset w:val="00"/>
    <w:family w:val="roman"/>
    <w:pitch w:val="variable"/>
    <w:sig w:usb0="00000287" w:usb1="00000000" w:usb2="00000000" w:usb3="00000000" w:csb0="0000009F" w:csb1="00000000"/>
    <w:embedRegular r:id="rId8" w:fontKey="{A68082D5-6D1E-4C92-9FEF-7B29E1457A13}"/>
    <w:embedItalic r:id="rId9" w:fontKey="{70C315CA-8332-4332-82BE-4342A06A4A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598" w:rsidRDefault="008E4C6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CF3179">
      <w:rPr>
        <w:b/>
        <w:color w:val="000000"/>
        <w:sz w:val="24"/>
        <w:szCs w:val="24"/>
      </w:rPr>
      <w:fldChar w:fldCharType="separate"/>
    </w:r>
    <w:r w:rsidR="00CF3179">
      <w:rPr>
        <w:b/>
        <w:noProof/>
        <w:color w:val="000000"/>
        <w:sz w:val="24"/>
        <w:szCs w:val="24"/>
      </w:rPr>
      <w:t>40</w:t>
    </w:r>
    <w:r>
      <w:rPr>
        <w:b/>
        <w:color w:val="000000"/>
        <w:sz w:val="24"/>
        <w:szCs w:val="24"/>
      </w:rPr>
      <w:fldChar w:fldCharType="end"/>
    </w:r>
  </w:p>
  <w:p w:rsidR="00495598" w:rsidRDefault="0049559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598" w:rsidRDefault="008E4C6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F3179">
      <w:rPr>
        <w:b/>
        <w:noProof/>
        <w:color w:val="000000"/>
        <w:sz w:val="24"/>
        <w:szCs w:val="24"/>
      </w:rPr>
      <w:t>39</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F3179">
      <w:rPr>
        <w:b/>
        <w:noProof/>
        <w:color w:val="000000"/>
        <w:sz w:val="24"/>
        <w:szCs w:val="24"/>
      </w:rPr>
      <w:t>40</w:t>
    </w:r>
    <w:r>
      <w:rPr>
        <w:b/>
        <w:color w:val="000000"/>
        <w:sz w:val="24"/>
        <w:szCs w:val="24"/>
      </w:rPr>
      <w:fldChar w:fldCharType="end"/>
    </w:r>
  </w:p>
  <w:p w:rsidR="00495598" w:rsidRDefault="00495598">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598" w:rsidRDefault="008E4C6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F3179">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F3179">
      <w:rPr>
        <w:b/>
        <w:noProof/>
        <w:color w:val="000000"/>
        <w:sz w:val="24"/>
        <w:szCs w:val="24"/>
      </w:rPr>
      <w:t>40</w:t>
    </w:r>
    <w:r>
      <w:rPr>
        <w:b/>
        <w:color w:val="000000"/>
        <w:sz w:val="24"/>
        <w:szCs w:val="24"/>
      </w:rPr>
      <w:fldChar w:fldCharType="end"/>
    </w:r>
  </w:p>
  <w:p w:rsidR="00495598" w:rsidRDefault="0049559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4165" w:rsidRDefault="00B34165">
      <w:pPr>
        <w:spacing w:after="0" w:line="240" w:lineRule="auto"/>
      </w:pPr>
      <w:r>
        <w:separator/>
      </w:r>
    </w:p>
  </w:footnote>
  <w:footnote w:type="continuationSeparator" w:id="0">
    <w:p w:rsidR="00B34165" w:rsidRDefault="00B341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598" w:rsidRDefault="00495598">
    <w:pPr>
      <w:widowControl w:val="0"/>
      <w:pBdr>
        <w:top w:val="nil"/>
        <w:left w:val="nil"/>
        <w:bottom w:val="nil"/>
        <w:right w:val="nil"/>
        <w:between w:val="nil"/>
      </w:pBdr>
      <w:spacing w:after="0" w:line="276" w:lineRule="auto"/>
      <w:jc w:val="left"/>
      <w:rPr>
        <w:color w:val="000000"/>
      </w:rPr>
    </w:pPr>
  </w:p>
  <w:tbl>
    <w:tblPr>
      <w:tblStyle w:val="a0"/>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495598">
      <w:trPr>
        <w:trHeight w:val="132"/>
      </w:trPr>
      <w:tc>
        <w:tcPr>
          <w:tcW w:w="0" w:type="auto"/>
        </w:tcPr>
        <w:p w:rsidR="00495598" w:rsidRDefault="008E4C61">
          <w:pPr>
            <w:tabs>
              <w:tab w:val="right" w:pos="8838"/>
            </w:tabs>
            <w:ind w:right="-105"/>
            <w:rPr>
              <w:b/>
            </w:rPr>
          </w:pPr>
          <w:r>
            <w:rPr>
              <w:b/>
            </w:rPr>
            <w:t>Recurso de Revisión:</w:t>
          </w:r>
        </w:p>
      </w:tc>
      <w:tc>
        <w:tcPr>
          <w:tcW w:w="0" w:type="auto"/>
        </w:tcPr>
        <w:p w:rsidR="00495598" w:rsidRDefault="008E4C61">
          <w:pPr>
            <w:tabs>
              <w:tab w:val="right" w:pos="8838"/>
            </w:tabs>
            <w:ind w:left="-28" w:right="-32"/>
          </w:pPr>
          <w:r>
            <w:t>03846/INFOEM/IP/RR/2020</w:t>
          </w:r>
        </w:p>
      </w:tc>
    </w:tr>
    <w:tr w:rsidR="00495598">
      <w:trPr>
        <w:trHeight w:val="261"/>
      </w:trPr>
      <w:tc>
        <w:tcPr>
          <w:tcW w:w="0" w:type="auto"/>
        </w:tcPr>
        <w:p w:rsidR="00495598" w:rsidRDefault="008E4C61">
          <w:pPr>
            <w:tabs>
              <w:tab w:val="right" w:pos="8838"/>
            </w:tabs>
            <w:ind w:right="-105"/>
            <w:rPr>
              <w:b/>
            </w:rPr>
          </w:pPr>
          <w:r>
            <w:rPr>
              <w:b/>
            </w:rPr>
            <w:t>Sujeto Obligado:</w:t>
          </w:r>
        </w:p>
      </w:tc>
      <w:tc>
        <w:tcPr>
          <w:tcW w:w="0" w:type="auto"/>
        </w:tcPr>
        <w:p w:rsidR="00495598" w:rsidRDefault="008E4C61">
          <w:pPr>
            <w:tabs>
              <w:tab w:val="right" w:pos="8838"/>
            </w:tabs>
            <w:ind w:right="-32"/>
          </w:pPr>
          <w:r>
            <w:t xml:space="preserve">Ayuntamiento de </w:t>
          </w:r>
          <w:proofErr w:type="spellStart"/>
          <w:r>
            <w:t>Temascalcingo</w:t>
          </w:r>
          <w:proofErr w:type="spellEnd"/>
        </w:p>
      </w:tc>
    </w:tr>
    <w:tr w:rsidR="00495598">
      <w:trPr>
        <w:trHeight w:val="261"/>
      </w:trPr>
      <w:tc>
        <w:tcPr>
          <w:tcW w:w="0" w:type="auto"/>
        </w:tcPr>
        <w:p w:rsidR="00495598" w:rsidRDefault="008E4C61">
          <w:pPr>
            <w:tabs>
              <w:tab w:val="right" w:pos="8838"/>
            </w:tabs>
            <w:ind w:right="-105"/>
            <w:rPr>
              <w:b/>
            </w:rPr>
          </w:pPr>
          <w:r>
            <w:rPr>
              <w:b/>
            </w:rPr>
            <w:t>Comisionado Ponente:</w:t>
          </w:r>
        </w:p>
      </w:tc>
      <w:tc>
        <w:tcPr>
          <w:tcW w:w="0" w:type="auto"/>
        </w:tcPr>
        <w:p w:rsidR="00495598" w:rsidRDefault="008E4C61">
          <w:pPr>
            <w:tabs>
              <w:tab w:val="right" w:pos="8838"/>
            </w:tabs>
            <w:ind w:right="-32"/>
            <w:rPr>
              <w:b/>
            </w:rPr>
          </w:pPr>
          <w:r>
            <w:t>Luis Gustavo Parra Noriega</w:t>
          </w:r>
        </w:p>
      </w:tc>
    </w:tr>
  </w:tbl>
  <w:p w:rsidR="00495598" w:rsidRDefault="00B34165">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598" w:rsidRDefault="00B34165">
    <w:pPr>
      <w:widowControl w:val="0"/>
      <w:pBdr>
        <w:top w:val="nil"/>
        <w:left w:val="nil"/>
        <w:bottom w:val="nil"/>
        <w:right w:val="nil"/>
        <w:between w:val="nil"/>
      </w:pBdr>
      <w:spacing w:after="0" w:line="276" w:lineRule="auto"/>
      <w:jc w:val="left"/>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1"/>
          <w10:wrap anchorx="margin" anchory="margin"/>
        </v:shape>
      </w:pict>
    </w:r>
  </w:p>
  <w:tbl>
    <w:tblPr>
      <w:tblStyle w:val="a1"/>
      <w:tblW w:w="6662" w:type="dxa"/>
      <w:tblInd w:w="2694"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495598">
      <w:trPr>
        <w:trHeight w:val="138"/>
      </w:trPr>
      <w:tc>
        <w:tcPr>
          <w:tcW w:w="2693" w:type="dxa"/>
          <w:vAlign w:val="center"/>
        </w:tcPr>
        <w:p w:rsidR="00495598" w:rsidRDefault="00495598">
          <w:pPr>
            <w:tabs>
              <w:tab w:val="right" w:pos="8838"/>
            </w:tabs>
            <w:ind w:left="-108" w:right="-105"/>
            <w:jc w:val="left"/>
            <w:rPr>
              <w:b/>
            </w:rPr>
          </w:pPr>
        </w:p>
        <w:p w:rsidR="00495598" w:rsidRDefault="008E4C61">
          <w:pPr>
            <w:tabs>
              <w:tab w:val="right" w:pos="8838"/>
            </w:tabs>
            <w:ind w:left="-108" w:right="-105"/>
            <w:jc w:val="left"/>
            <w:rPr>
              <w:b/>
            </w:rPr>
          </w:pPr>
          <w:r>
            <w:rPr>
              <w:b/>
            </w:rPr>
            <w:t>Recurso de Revisión:</w:t>
          </w:r>
        </w:p>
      </w:tc>
      <w:tc>
        <w:tcPr>
          <w:tcW w:w="3969" w:type="dxa"/>
        </w:tcPr>
        <w:p w:rsidR="00495598" w:rsidRDefault="00495598">
          <w:pPr>
            <w:tabs>
              <w:tab w:val="right" w:pos="8838"/>
            </w:tabs>
            <w:ind w:right="57"/>
          </w:pPr>
        </w:p>
        <w:p w:rsidR="00495598" w:rsidRDefault="008E4C61">
          <w:pPr>
            <w:tabs>
              <w:tab w:val="right" w:pos="8838"/>
            </w:tabs>
            <w:ind w:right="57"/>
          </w:pPr>
          <w:r>
            <w:t>08036/INFOEM/IP/RR/2025</w:t>
          </w:r>
        </w:p>
      </w:tc>
    </w:tr>
    <w:tr w:rsidR="00495598">
      <w:trPr>
        <w:trHeight w:val="273"/>
      </w:trPr>
      <w:tc>
        <w:tcPr>
          <w:tcW w:w="2693" w:type="dxa"/>
        </w:tcPr>
        <w:p w:rsidR="00495598" w:rsidRDefault="008E4C61">
          <w:pPr>
            <w:tabs>
              <w:tab w:val="right" w:pos="8838"/>
            </w:tabs>
            <w:ind w:left="-108" w:right="-105"/>
            <w:rPr>
              <w:b/>
            </w:rPr>
          </w:pPr>
          <w:r>
            <w:rPr>
              <w:b/>
            </w:rPr>
            <w:t>Sujeto Obligado:</w:t>
          </w:r>
        </w:p>
      </w:tc>
      <w:tc>
        <w:tcPr>
          <w:tcW w:w="3969" w:type="dxa"/>
        </w:tcPr>
        <w:p w:rsidR="00495598" w:rsidRDefault="008E4C61">
          <w:pPr>
            <w:tabs>
              <w:tab w:val="right" w:pos="8838"/>
            </w:tabs>
            <w:ind w:right="324"/>
          </w:pPr>
          <w:r>
            <w:t>Secretaría de Educación, Ciencia, Tecnología e Innovación</w:t>
          </w:r>
        </w:p>
      </w:tc>
    </w:tr>
    <w:tr w:rsidR="00495598">
      <w:trPr>
        <w:trHeight w:val="273"/>
      </w:trPr>
      <w:tc>
        <w:tcPr>
          <w:tcW w:w="2693" w:type="dxa"/>
        </w:tcPr>
        <w:p w:rsidR="00495598" w:rsidRDefault="008E4C61">
          <w:pPr>
            <w:tabs>
              <w:tab w:val="right" w:pos="8838"/>
            </w:tabs>
            <w:ind w:left="-108" w:right="-105"/>
            <w:rPr>
              <w:b/>
            </w:rPr>
          </w:pPr>
          <w:r>
            <w:rPr>
              <w:b/>
            </w:rPr>
            <w:t>Comisionado Ponente:</w:t>
          </w:r>
        </w:p>
      </w:tc>
      <w:tc>
        <w:tcPr>
          <w:tcW w:w="3969" w:type="dxa"/>
        </w:tcPr>
        <w:p w:rsidR="00495598" w:rsidRDefault="008E4C61">
          <w:pPr>
            <w:tabs>
              <w:tab w:val="right" w:pos="8838"/>
            </w:tabs>
            <w:ind w:right="-170"/>
          </w:pPr>
          <w:r>
            <w:t>Luis Gustavo Parra Noriega</w:t>
          </w:r>
        </w:p>
        <w:p w:rsidR="00495598" w:rsidRDefault="00495598">
          <w:pPr>
            <w:tabs>
              <w:tab w:val="right" w:pos="8838"/>
            </w:tabs>
            <w:ind w:right="-170"/>
            <w:rPr>
              <w:b/>
            </w:rPr>
          </w:pPr>
        </w:p>
      </w:tc>
    </w:tr>
  </w:tbl>
  <w:p w:rsidR="00495598" w:rsidRDefault="00495598">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598" w:rsidRDefault="00B34165">
    <w:pPr>
      <w:widowControl w:val="0"/>
      <w:pBdr>
        <w:top w:val="nil"/>
        <w:left w:val="nil"/>
        <w:bottom w:val="nil"/>
        <w:right w:val="nil"/>
        <w:between w:val="nil"/>
      </w:pBdr>
      <w:spacing w:after="0" w:line="276" w:lineRule="auto"/>
      <w:jc w:val="left"/>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MARCA DE AGUA - HOJA RESOLUCIÓN" style="position:absolute;margin-left:-87.6pt;margin-top:-131.75pt;width:663.5pt;height:12in;z-index:-251658752;mso-position-horizontal:absolute;mso-position-horizontal-relative:margin;mso-position-vertical:absolute;mso-position-vertical-relative:margin">
          <v:imagedata r:id="rId1" o:title="image1"/>
          <w10:wrap anchorx="margin" anchory="margin"/>
        </v:shape>
      </w:pict>
    </w:r>
  </w:p>
  <w:tbl>
    <w:tblPr>
      <w:tblStyle w:val="a2"/>
      <w:tblW w:w="6804" w:type="dxa"/>
      <w:tblInd w:w="2694"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495598">
      <w:trPr>
        <w:trHeight w:val="132"/>
      </w:trPr>
      <w:tc>
        <w:tcPr>
          <w:tcW w:w="2551" w:type="dxa"/>
        </w:tcPr>
        <w:p w:rsidR="00495598" w:rsidRDefault="008E4C61">
          <w:pPr>
            <w:tabs>
              <w:tab w:val="right" w:pos="8838"/>
            </w:tabs>
            <w:ind w:right="-105"/>
            <w:rPr>
              <w:b/>
            </w:rPr>
          </w:pPr>
          <w:r>
            <w:rPr>
              <w:b/>
            </w:rPr>
            <w:t>Recurso de Revisión:</w:t>
          </w:r>
        </w:p>
      </w:tc>
      <w:tc>
        <w:tcPr>
          <w:tcW w:w="4253" w:type="dxa"/>
        </w:tcPr>
        <w:p w:rsidR="00495598" w:rsidRDefault="008E4C61">
          <w:r>
            <w:t>08036/INFOEM/IP/RR/2025</w:t>
          </w:r>
        </w:p>
      </w:tc>
    </w:tr>
    <w:tr w:rsidR="00495598">
      <w:trPr>
        <w:trHeight w:val="132"/>
      </w:trPr>
      <w:tc>
        <w:tcPr>
          <w:tcW w:w="2551" w:type="dxa"/>
        </w:tcPr>
        <w:p w:rsidR="00495598" w:rsidRDefault="008E4C61">
          <w:pPr>
            <w:tabs>
              <w:tab w:val="left" w:pos="1875"/>
            </w:tabs>
            <w:ind w:right="-105"/>
            <w:rPr>
              <w:b/>
            </w:rPr>
          </w:pPr>
          <w:r>
            <w:rPr>
              <w:b/>
            </w:rPr>
            <w:t>Recurrente:</w:t>
          </w:r>
          <w:r>
            <w:rPr>
              <w:b/>
            </w:rPr>
            <w:tab/>
          </w:r>
        </w:p>
      </w:tc>
      <w:tc>
        <w:tcPr>
          <w:tcW w:w="4253" w:type="dxa"/>
        </w:tcPr>
        <w:p w:rsidR="00495598" w:rsidRDefault="00495598">
          <w:pPr>
            <w:tabs>
              <w:tab w:val="right" w:pos="8838"/>
            </w:tabs>
            <w:ind w:right="-250"/>
          </w:pPr>
        </w:p>
      </w:tc>
    </w:tr>
    <w:tr w:rsidR="00495598">
      <w:trPr>
        <w:trHeight w:val="261"/>
      </w:trPr>
      <w:tc>
        <w:tcPr>
          <w:tcW w:w="2551" w:type="dxa"/>
        </w:tcPr>
        <w:p w:rsidR="00495598" w:rsidRDefault="008E4C61">
          <w:pPr>
            <w:tabs>
              <w:tab w:val="right" w:pos="8838"/>
            </w:tabs>
            <w:ind w:right="-105"/>
            <w:rPr>
              <w:b/>
            </w:rPr>
          </w:pPr>
          <w:r>
            <w:rPr>
              <w:b/>
            </w:rPr>
            <w:t>Sujeto Obligado:</w:t>
          </w:r>
        </w:p>
      </w:tc>
      <w:tc>
        <w:tcPr>
          <w:tcW w:w="4253" w:type="dxa"/>
        </w:tcPr>
        <w:p w:rsidR="00495598" w:rsidRDefault="008E4C61">
          <w:pPr>
            <w:ind w:right="459"/>
          </w:pPr>
          <w:r>
            <w:t>Secretaría de Educación, Ciencia, Tecnología e Innovación</w:t>
          </w:r>
        </w:p>
      </w:tc>
    </w:tr>
    <w:tr w:rsidR="00495598">
      <w:trPr>
        <w:trHeight w:val="261"/>
      </w:trPr>
      <w:tc>
        <w:tcPr>
          <w:tcW w:w="2551" w:type="dxa"/>
        </w:tcPr>
        <w:p w:rsidR="00495598" w:rsidRDefault="008E4C61">
          <w:pPr>
            <w:tabs>
              <w:tab w:val="right" w:pos="8838"/>
            </w:tabs>
            <w:ind w:right="-105"/>
            <w:rPr>
              <w:b/>
            </w:rPr>
          </w:pPr>
          <w:r>
            <w:rPr>
              <w:b/>
            </w:rPr>
            <w:t>Comisionado Ponente:</w:t>
          </w:r>
        </w:p>
      </w:tc>
      <w:tc>
        <w:tcPr>
          <w:tcW w:w="4253" w:type="dxa"/>
        </w:tcPr>
        <w:p w:rsidR="00495598" w:rsidRDefault="008E4C61">
          <w:pPr>
            <w:tabs>
              <w:tab w:val="right" w:pos="8838"/>
            </w:tabs>
            <w:ind w:right="-32"/>
            <w:rPr>
              <w:b/>
            </w:rPr>
          </w:pPr>
          <w:r>
            <w:t>Luis Gustavo Parra Noriega</w:t>
          </w:r>
        </w:p>
      </w:tc>
    </w:tr>
  </w:tbl>
  <w:p w:rsidR="00495598" w:rsidRDefault="00495598">
    <w:pPr>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F8785A"/>
    <w:multiLevelType w:val="multilevel"/>
    <w:tmpl w:val="E2CC4F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B716254"/>
    <w:multiLevelType w:val="multilevel"/>
    <w:tmpl w:val="E07C7118"/>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F52ACB"/>
    <w:multiLevelType w:val="multilevel"/>
    <w:tmpl w:val="E31429E0"/>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7BD7C18"/>
    <w:multiLevelType w:val="multilevel"/>
    <w:tmpl w:val="106C59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DB87961"/>
    <w:multiLevelType w:val="multilevel"/>
    <w:tmpl w:val="9E0CA0BC"/>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CB459D7"/>
    <w:multiLevelType w:val="multilevel"/>
    <w:tmpl w:val="916ED5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3116831"/>
    <w:multiLevelType w:val="multilevel"/>
    <w:tmpl w:val="D0F02FF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7" w15:restartNumberingAfterBreak="0">
    <w:nsid w:val="5317546F"/>
    <w:multiLevelType w:val="multilevel"/>
    <w:tmpl w:val="F59865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942096A"/>
    <w:multiLevelType w:val="multilevel"/>
    <w:tmpl w:val="BB229B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DEA2424"/>
    <w:multiLevelType w:val="multilevel"/>
    <w:tmpl w:val="67FA5BA6"/>
    <w:lvl w:ilvl="0">
      <w:start w:val="1"/>
      <w:numFmt w:val="upp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10" w15:restartNumberingAfterBreak="0">
    <w:nsid w:val="68CC318F"/>
    <w:multiLevelType w:val="multilevel"/>
    <w:tmpl w:val="CD2E1C20"/>
    <w:lvl w:ilvl="0">
      <w:start w:val="4"/>
      <w:numFmt w:val="bullet"/>
      <w:lvlText w:val="-"/>
      <w:lvlJc w:val="left"/>
      <w:pPr>
        <w:ind w:left="720" w:hanging="360"/>
      </w:pPr>
      <w:rPr>
        <w:rFonts w:ascii="Palatino Linotype" w:eastAsia="Palatino Linotype" w:hAnsi="Palatino Linotype" w:cs="Palatino Linotype"/>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9622C2B"/>
    <w:multiLevelType w:val="multilevel"/>
    <w:tmpl w:val="3146BB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F7D4F57"/>
    <w:multiLevelType w:val="multilevel"/>
    <w:tmpl w:val="2820D9D2"/>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3473662"/>
    <w:multiLevelType w:val="multilevel"/>
    <w:tmpl w:val="2166A9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5"/>
  </w:num>
  <w:num w:numId="3">
    <w:abstractNumId w:val="11"/>
  </w:num>
  <w:num w:numId="4">
    <w:abstractNumId w:val="3"/>
  </w:num>
  <w:num w:numId="5">
    <w:abstractNumId w:val="7"/>
  </w:num>
  <w:num w:numId="6">
    <w:abstractNumId w:val="6"/>
  </w:num>
  <w:num w:numId="7">
    <w:abstractNumId w:val="9"/>
  </w:num>
  <w:num w:numId="8">
    <w:abstractNumId w:val="4"/>
  </w:num>
  <w:num w:numId="9">
    <w:abstractNumId w:val="13"/>
  </w:num>
  <w:num w:numId="10">
    <w:abstractNumId w:val="2"/>
  </w:num>
  <w:num w:numId="11">
    <w:abstractNumId w:val="12"/>
  </w:num>
  <w:num w:numId="12">
    <w:abstractNumId w:val="10"/>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598"/>
    <w:rsid w:val="000566C0"/>
    <w:rsid w:val="000D683A"/>
    <w:rsid w:val="00310882"/>
    <w:rsid w:val="00495598"/>
    <w:rsid w:val="008E4C61"/>
    <w:rsid w:val="00A15CE9"/>
    <w:rsid w:val="00B34165"/>
    <w:rsid w:val="00CF31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A82A5F2B-240D-4FF3-8EAF-0A9132F0B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E83159"/>
    <w:rPr>
      <w:color w:val="605E5C"/>
      <w:shd w:val="clear" w:color="auto" w:fill="E1DFDD"/>
    </w:rPr>
  </w:style>
  <w:style w:type="character" w:customStyle="1" w:styleId="Mencinsinresolver6">
    <w:name w:val="Mención sin resolver6"/>
    <w:basedOn w:val="Fuentedeprrafopredeter"/>
    <w:uiPriority w:val="99"/>
    <w:semiHidden/>
    <w:unhideWhenUsed/>
    <w:rsid w:val="00E66AFC"/>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gi.edomex.gob.mx/sites/dgi.edomex.gob.mx/files/organigramas/pdf/14611149268956.pdf"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RZtshr/NX4HT7aYqWipzktXSpQ==">CgMxLjAyDmgub28yMWtiMnMwZzl2Mg5oLmt4NmUwM3F3dDZrbzIOaC4zNGl3aGQxdml0bmMyDmgubjQ2bWRhZm9yazZmMg1oLmRsbzRzZjVoOHFnMg5oLmdjN2szcDJrYnU4NTIOaC42d2ozYXdlOGVsaGMyDmguMmFyZzZtYTB5dHFqMgloLjMwajB6bGwyDmgub2oweDQxdjR6eDdpMg1oLmF2YjkyeXJzc3FvMg5oLjl1ZXpqdGN3b2J0ajIOaC51eThibXVxaGJiMmIyDmgueDE5NDI1M2M3YnppMg5oLndvbDhyczdkNzQ0bzgAciExMmItT2o2Y28yMFZId1l4N2JtZHpQalQ2QnRvZW9aTD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8629</Words>
  <Characters>47464</Characters>
  <Application>Microsoft Office Word</Application>
  <DocSecurity>0</DocSecurity>
  <Lines>395</Lines>
  <Paragraphs>111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55982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3</cp:revision>
  <cp:lastPrinted>2025-11-07T00:29:00Z</cp:lastPrinted>
  <dcterms:created xsi:type="dcterms:W3CDTF">2025-11-07T00:29:00Z</dcterms:created>
  <dcterms:modified xsi:type="dcterms:W3CDTF">2025-11-07T00:30:00Z</dcterms:modified>
</cp:coreProperties>
</file>