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11973" w14:textId="77777777" w:rsidR="00B977D3" w:rsidRPr="0060445D" w:rsidRDefault="00D92C13">
      <w:pPr>
        <w:spacing w:before="240" w:after="240" w:line="360" w:lineRule="auto"/>
        <w:jc w:val="both"/>
        <w:rPr>
          <w:rFonts w:ascii="Palatino Linotype" w:eastAsia="Palatino Linotype" w:hAnsi="Palatino Linotype" w:cs="Palatino Linotype"/>
        </w:rPr>
      </w:pPr>
      <w:bookmarkStart w:id="0" w:name="_heading=h.3rdcrjn" w:colFirst="0" w:colLast="0"/>
      <w:bookmarkEnd w:id="0"/>
      <w:r w:rsidRPr="0060445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uno de octubre de dos mil veinticinco. </w:t>
      </w:r>
    </w:p>
    <w:p w14:paraId="554A138A" w14:textId="03F08F57" w:rsidR="00B977D3" w:rsidRPr="0060445D" w:rsidRDefault="00D92C13">
      <w:pPr>
        <w:tabs>
          <w:tab w:val="left" w:pos="5812"/>
        </w:tabs>
        <w:spacing w:before="240" w:after="240" w:line="360" w:lineRule="auto"/>
        <w:jc w:val="both"/>
        <w:rPr>
          <w:rFonts w:ascii="Palatino Linotype" w:eastAsia="Palatino Linotype" w:hAnsi="Palatino Linotype" w:cs="Palatino Linotype"/>
        </w:rPr>
      </w:pPr>
      <w:bookmarkStart w:id="1" w:name="_heading=h.daj3j2xo6q66" w:colFirst="0" w:colLast="0"/>
      <w:bookmarkEnd w:id="1"/>
      <w:r w:rsidRPr="0060445D">
        <w:rPr>
          <w:rFonts w:ascii="Palatino Linotype" w:eastAsia="Palatino Linotype" w:hAnsi="Palatino Linotype" w:cs="Palatino Linotype"/>
          <w:b/>
        </w:rPr>
        <w:t>VISTO</w:t>
      </w:r>
      <w:r w:rsidRPr="0060445D">
        <w:rPr>
          <w:rFonts w:ascii="Palatino Linotype" w:eastAsia="Palatino Linotype" w:hAnsi="Palatino Linotype" w:cs="Palatino Linotype"/>
        </w:rPr>
        <w:t xml:space="preserve"> el expediente formado con motivo del recurso de revisión </w:t>
      </w:r>
      <w:r w:rsidRPr="0060445D">
        <w:rPr>
          <w:rFonts w:ascii="Palatino Linotype" w:eastAsia="Palatino Linotype" w:hAnsi="Palatino Linotype" w:cs="Palatino Linotype"/>
          <w:b/>
        </w:rPr>
        <w:t>06214/INFOEM/IP/RR/2025</w:t>
      </w:r>
      <w:r w:rsidRPr="0060445D">
        <w:rPr>
          <w:rFonts w:ascii="Palatino Linotype" w:eastAsia="Palatino Linotype" w:hAnsi="Palatino Linotype" w:cs="Palatino Linotype"/>
        </w:rPr>
        <w:t>, interpuesto por</w:t>
      </w:r>
      <w:r w:rsidRPr="0060445D">
        <w:rPr>
          <w:rFonts w:ascii="Palatino Linotype" w:eastAsia="Palatino Linotype" w:hAnsi="Palatino Linotype" w:cs="Palatino Linotype"/>
          <w:b/>
        </w:rPr>
        <w:t xml:space="preserve"> </w:t>
      </w:r>
      <w:r w:rsidR="009F1658" w:rsidRPr="009F1658">
        <w:rPr>
          <w:rFonts w:ascii="Palatino Linotype" w:eastAsia="Palatino Linotype" w:hAnsi="Palatino Linotype" w:cs="Palatino Linotype"/>
          <w:b/>
        </w:rPr>
        <w:t>XXXXX XX XXX XXXXXXX  XXXXXX XXXXXXX</w:t>
      </w:r>
      <w:r w:rsidRPr="009F1658">
        <w:rPr>
          <w:rFonts w:ascii="Palatino Linotype" w:eastAsia="Palatino Linotype" w:hAnsi="Palatino Linotype" w:cs="Palatino Linotype"/>
          <w:b/>
        </w:rPr>
        <w:t>,</w:t>
      </w:r>
      <w:bookmarkStart w:id="2" w:name="_GoBack"/>
      <w:bookmarkEnd w:id="2"/>
      <w:r w:rsidRPr="0060445D">
        <w:rPr>
          <w:rFonts w:ascii="Palatino Linotype" w:eastAsia="Palatino Linotype" w:hAnsi="Palatino Linotype" w:cs="Palatino Linotype"/>
        </w:rPr>
        <w:t xml:space="preserve"> en lo sucesivo</w:t>
      </w:r>
      <w:r w:rsidRPr="0060445D">
        <w:rPr>
          <w:rFonts w:ascii="Palatino Linotype" w:eastAsia="Palatino Linotype" w:hAnsi="Palatino Linotype" w:cs="Palatino Linotype"/>
          <w:b/>
        </w:rPr>
        <w:t xml:space="preserve"> </w:t>
      </w:r>
      <w:r w:rsidRPr="0060445D">
        <w:rPr>
          <w:rFonts w:ascii="Palatino Linotype" w:eastAsia="Palatino Linotype" w:hAnsi="Palatino Linotype" w:cs="Palatino Linotype"/>
        </w:rPr>
        <w:t xml:space="preserve">la parte </w:t>
      </w:r>
      <w:r w:rsidRPr="0060445D">
        <w:rPr>
          <w:rFonts w:ascii="Palatino Linotype" w:eastAsia="Palatino Linotype" w:hAnsi="Palatino Linotype" w:cs="Palatino Linotype"/>
          <w:b/>
        </w:rPr>
        <w:t>Recurrente,</w:t>
      </w:r>
      <w:r w:rsidRPr="0060445D">
        <w:rPr>
          <w:rFonts w:ascii="Palatino Linotype" w:eastAsia="Palatino Linotype" w:hAnsi="Palatino Linotype" w:cs="Palatino Linotype"/>
        </w:rPr>
        <w:t xml:space="preserve"> en contra de la respuesta a la solicitud de información con número de folio</w:t>
      </w:r>
      <w:r w:rsidRPr="0060445D">
        <w:rPr>
          <w:rFonts w:ascii="Palatino Linotype" w:eastAsia="Palatino Linotype" w:hAnsi="Palatino Linotype" w:cs="Palatino Linotype"/>
          <w:b/>
        </w:rPr>
        <w:t xml:space="preserve"> 00745/UAEM/IP/2025, </w:t>
      </w:r>
      <w:r w:rsidRPr="0060445D">
        <w:rPr>
          <w:rFonts w:ascii="Palatino Linotype" w:eastAsia="Palatino Linotype" w:hAnsi="Palatino Linotype" w:cs="Palatino Linotype"/>
        </w:rPr>
        <w:t xml:space="preserve">por parte de la </w:t>
      </w:r>
      <w:r w:rsidRPr="0060445D">
        <w:rPr>
          <w:rFonts w:ascii="Palatino Linotype" w:eastAsia="Palatino Linotype" w:hAnsi="Palatino Linotype" w:cs="Palatino Linotype"/>
          <w:b/>
        </w:rPr>
        <w:t xml:space="preserve">Universidad Autónoma del Estado de México, </w:t>
      </w:r>
      <w:r w:rsidRPr="0060445D">
        <w:rPr>
          <w:rFonts w:ascii="Palatino Linotype" w:eastAsia="Palatino Linotype" w:hAnsi="Palatino Linotype" w:cs="Palatino Linotype"/>
        </w:rPr>
        <w:t xml:space="preserve">en lo sucesivo el </w:t>
      </w:r>
      <w:r w:rsidRPr="0060445D">
        <w:rPr>
          <w:rFonts w:ascii="Palatino Linotype" w:eastAsia="Palatino Linotype" w:hAnsi="Palatino Linotype" w:cs="Palatino Linotype"/>
          <w:b/>
        </w:rPr>
        <w:t xml:space="preserve">Sujeto Obligado, </w:t>
      </w:r>
      <w:r w:rsidRPr="0060445D">
        <w:rPr>
          <w:rFonts w:ascii="Palatino Linotype" w:eastAsia="Palatino Linotype" w:hAnsi="Palatino Linotype" w:cs="Palatino Linotype"/>
        </w:rPr>
        <w:t xml:space="preserve">se procede a dictar la presente resolución con base en los siguientes: </w:t>
      </w:r>
    </w:p>
    <w:p w14:paraId="15DC68E8" w14:textId="77777777" w:rsidR="00B977D3" w:rsidRPr="0060445D" w:rsidRDefault="00D92C13">
      <w:pPr>
        <w:spacing w:before="240" w:after="240" w:line="360" w:lineRule="auto"/>
        <w:jc w:val="center"/>
        <w:rPr>
          <w:rFonts w:ascii="Palatino Linotype" w:eastAsia="Palatino Linotype" w:hAnsi="Palatino Linotype" w:cs="Palatino Linotype"/>
          <w:b/>
        </w:rPr>
      </w:pPr>
      <w:r w:rsidRPr="0060445D">
        <w:rPr>
          <w:rFonts w:ascii="Palatino Linotype" w:eastAsia="Palatino Linotype" w:hAnsi="Palatino Linotype" w:cs="Palatino Linotype"/>
          <w:b/>
        </w:rPr>
        <w:t>I. A N T E C E D E N T E S</w:t>
      </w:r>
    </w:p>
    <w:p w14:paraId="43B1429B" w14:textId="77777777" w:rsidR="00B977D3" w:rsidRPr="0060445D" w:rsidRDefault="00D92C13">
      <w:pPr>
        <w:spacing w:before="240" w:after="240" w:line="360" w:lineRule="auto"/>
        <w:jc w:val="both"/>
        <w:rPr>
          <w:rFonts w:ascii="Palatino Linotype" w:eastAsia="Palatino Linotype" w:hAnsi="Palatino Linotype" w:cs="Palatino Linotype"/>
        </w:rPr>
      </w:pPr>
      <w:bookmarkStart w:id="3" w:name="_heading=h.gjdgxs" w:colFirst="0" w:colLast="0"/>
      <w:bookmarkEnd w:id="3"/>
      <w:r w:rsidRPr="0060445D">
        <w:rPr>
          <w:rFonts w:ascii="Palatino Linotype" w:eastAsia="Palatino Linotype" w:hAnsi="Palatino Linotype" w:cs="Palatino Linotype"/>
          <w:b/>
        </w:rPr>
        <w:t>1. Solicitud de acceso a la información.</w:t>
      </w:r>
      <w:r w:rsidRPr="0060445D">
        <w:rPr>
          <w:rFonts w:ascii="Palatino Linotype" w:eastAsia="Palatino Linotype" w:hAnsi="Palatino Linotype" w:cs="Palatino Linotype"/>
        </w:rPr>
        <w:t xml:space="preserve"> El </w:t>
      </w:r>
      <w:r w:rsidRPr="0060445D">
        <w:rPr>
          <w:rFonts w:ascii="Palatino Linotype" w:eastAsia="Palatino Linotype" w:hAnsi="Palatino Linotype" w:cs="Palatino Linotype"/>
          <w:b/>
        </w:rPr>
        <w:t>siete de abril de dos mil veinticinco,</w:t>
      </w:r>
      <w:r w:rsidRPr="0060445D">
        <w:rPr>
          <w:rFonts w:ascii="Palatino Linotype" w:eastAsia="Palatino Linotype" w:hAnsi="Palatino Linotype" w:cs="Palatino Linotype"/>
        </w:rPr>
        <w:t xml:space="preserve"> la parte </w:t>
      </w:r>
      <w:r w:rsidRPr="0060445D">
        <w:rPr>
          <w:rFonts w:ascii="Palatino Linotype" w:eastAsia="Palatino Linotype" w:hAnsi="Palatino Linotype" w:cs="Palatino Linotype"/>
          <w:b/>
        </w:rPr>
        <w:t xml:space="preserve">Recurrente </w:t>
      </w:r>
      <w:r w:rsidRPr="0060445D">
        <w:rPr>
          <w:rFonts w:ascii="Palatino Linotype" w:eastAsia="Palatino Linotype" w:hAnsi="Palatino Linotype" w:cs="Palatino Linotype"/>
        </w:rPr>
        <w:t xml:space="preserve">presentó la solicitud de acceso a la información pública ante el </w:t>
      </w:r>
      <w:r w:rsidRPr="0060445D">
        <w:rPr>
          <w:rFonts w:ascii="Palatino Linotype" w:eastAsia="Palatino Linotype" w:hAnsi="Palatino Linotype" w:cs="Palatino Linotype"/>
          <w:b/>
        </w:rPr>
        <w:t>Sujeto Obligado</w:t>
      </w:r>
      <w:r w:rsidRPr="0060445D">
        <w:rPr>
          <w:rFonts w:ascii="Palatino Linotype" w:eastAsia="Palatino Linotype" w:hAnsi="Palatino Linotype" w:cs="Palatino Linotype"/>
        </w:rPr>
        <w:t xml:space="preserve">, a través del Sistema de Acceso a la Información Mexiquense, en lo subsecuente el </w:t>
      </w:r>
      <w:r w:rsidRPr="0060445D">
        <w:rPr>
          <w:rFonts w:ascii="Palatino Linotype" w:eastAsia="Palatino Linotype" w:hAnsi="Palatino Linotype" w:cs="Palatino Linotype"/>
          <w:b/>
        </w:rPr>
        <w:t>SAIMEX,</w:t>
      </w:r>
      <w:r w:rsidRPr="0060445D">
        <w:rPr>
          <w:rFonts w:ascii="Palatino Linotype" w:eastAsia="Palatino Linotype" w:hAnsi="Palatino Linotype" w:cs="Palatino Linotype"/>
        </w:rPr>
        <w:t xml:space="preserve"> mediante la cual requirió lo siguiente:</w:t>
      </w:r>
    </w:p>
    <w:p w14:paraId="0255023D" w14:textId="77777777" w:rsidR="00B977D3" w:rsidRPr="0060445D" w:rsidRDefault="00D92C13">
      <w:pPr>
        <w:spacing w:before="120" w:after="120"/>
        <w:ind w:left="851" w:right="902"/>
        <w:jc w:val="both"/>
        <w:rPr>
          <w:rFonts w:ascii="Palatino Linotype" w:eastAsia="Palatino Linotype" w:hAnsi="Palatino Linotype" w:cs="Palatino Linotype"/>
          <w:b/>
          <w:i/>
          <w:sz w:val="22"/>
          <w:szCs w:val="22"/>
        </w:rPr>
      </w:pPr>
      <w:bookmarkStart w:id="4" w:name="_heading=h.mn9zncrv1bzx" w:colFirst="0" w:colLast="0"/>
      <w:bookmarkEnd w:id="4"/>
      <w:r w:rsidRPr="0060445D">
        <w:rPr>
          <w:rFonts w:ascii="Palatino Linotype" w:eastAsia="Palatino Linotype" w:hAnsi="Palatino Linotype" w:cs="Palatino Linotype"/>
          <w:i/>
          <w:sz w:val="22"/>
          <w:szCs w:val="22"/>
        </w:rPr>
        <w:t xml:space="preserve"> “Solicito la información de todas y cada una de las prestaciones que forman parte del salario de Oscar Chaires Palma el cual se desempeña laboralmente como Supervisor de obra en el Departamento de Obra y Construcción de la Universidad Autónoma del Estado de México, así como también el monto que recibe por cada prestación que forma parte de su salario.</w:t>
      </w:r>
      <w:r w:rsidRPr="0060445D">
        <w:rPr>
          <w:rFonts w:ascii="Palatino Linotype" w:eastAsia="Palatino Linotype" w:hAnsi="Palatino Linotype" w:cs="Palatino Linotype"/>
          <w:b/>
          <w:i/>
          <w:sz w:val="22"/>
          <w:szCs w:val="22"/>
        </w:rPr>
        <w:t>”</w:t>
      </w:r>
      <w:r w:rsidRPr="0060445D">
        <w:rPr>
          <w:rFonts w:ascii="Palatino Linotype" w:eastAsia="Palatino Linotype" w:hAnsi="Palatino Linotype" w:cs="Palatino Linotype"/>
          <w:i/>
          <w:sz w:val="22"/>
          <w:szCs w:val="22"/>
        </w:rPr>
        <w:t xml:space="preserve"> (sic) </w:t>
      </w:r>
    </w:p>
    <w:p w14:paraId="12438E0B" w14:textId="77777777" w:rsidR="00B977D3" w:rsidRPr="0060445D" w:rsidRDefault="00D92C13">
      <w:pPr>
        <w:spacing w:before="240" w:after="240" w:line="360" w:lineRule="auto"/>
        <w:jc w:val="both"/>
        <w:rPr>
          <w:rFonts w:ascii="Palatino Linotype" w:eastAsia="Palatino Linotype" w:hAnsi="Palatino Linotype" w:cs="Palatino Linotype"/>
        </w:rPr>
      </w:pPr>
      <w:bookmarkStart w:id="5" w:name="_heading=h.3dy6vkm" w:colFirst="0" w:colLast="0"/>
      <w:bookmarkEnd w:id="5"/>
      <w:r w:rsidRPr="0060445D">
        <w:rPr>
          <w:rFonts w:ascii="Palatino Linotype" w:eastAsia="Palatino Linotype" w:hAnsi="Palatino Linotype" w:cs="Palatino Linotype"/>
          <w:b/>
        </w:rPr>
        <w:t>Modalidad de Entrega:</w:t>
      </w:r>
      <w:r w:rsidRPr="0060445D">
        <w:rPr>
          <w:rFonts w:ascii="Palatino Linotype" w:eastAsia="Palatino Linotype" w:hAnsi="Palatino Linotype" w:cs="Palatino Linotype"/>
        </w:rPr>
        <w:t xml:space="preserve"> a través del</w:t>
      </w:r>
      <w:r w:rsidRPr="0060445D">
        <w:rPr>
          <w:rFonts w:ascii="Palatino Linotype" w:eastAsia="Palatino Linotype" w:hAnsi="Palatino Linotype" w:cs="Palatino Linotype"/>
          <w:b/>
        </w:rPr>
        <w:t xml:space="preserve"> SAIMEX.</w:t>
      </w:r>
    </w:p>
    <w:p w14:paraId="44ACF219" w14:textId="77777777" w:rsidR="00B977D3" w:rsidRPr="0060445D" w:rsidRDefault="00D92C13">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rPr>
      </w:pPr>
      <w:r w:rsidRPr="0060445D">
        <w:rPr>
          <w:rFonts w:ascii="Palatino Linotype" w:eastAsia="Palatino Linotype" w:hAnsi="Palatino Linotype" w:cs="Palatino Linotype"/>
          <w:b/>
        </w:rPr>
        <w:lastRenderedPageBreak/>
        <w:t>2. Prórroga.</w:t>
      </w:r>
      <w:r w:rsidRPr="0060445D">
        <w:rPr>
          <w:rFonts w:ascii="Palatino Linotype" w:eastAsia="Palatino Linotype" w:hAnsi="Palatino Linotype" w:cs="Palatino Linotype"/>
        </w:rPr>
        <w:t xml:space="preserve"> El </w:t>
      </w:r>
      <w:r w:rsidRPr="0060445D">
        <w:rPr>
          <w:rFonts w:ascii="Palatino Linotype" w:eastAsia="Palatino Linotype" w:hAnsi="Palatino Linotype" w:cs="Palatino Linotype"/>
          <w:b/>
        </w:rPr>
        <w:t xml:space="preserve">siete de mayo de dos mil veinticinco, </w:t>
      </w:r>
      <w:r w:rsidRPr="0060445D">
        <w:rPr>
          <w:rFonts w:ascii="Palatino Linotype" w:eastAsia="Palatino Linotype" w:hAnsi="Palatino Linotype" w:cs="Palatino Linotype"/>
        </w:rPr>
        <w:t xml:space="preserve">el </w:t>
      </w:r>
      <w:r w:rsidRPr="0060445D">
        <w:rPr>
          <w:rFonts w:ascii="Palatino Linotype" w:eastAsia="Palatino Linotype" w:hAnsi="Palatino Linotype" w:cs="Palatino Linotype"/>
          <w:b/>
        </w:rPr>
        <w:t xml:space="preserve">Sujeto Obligado </w:t>
      </w:r>
      <w:r w:rsidRPr="0060445D">
        <w:rPr>
          <w:rFonts w:ascii="Palatino Linotype" w:eastAsia="Palatino Linotype" w:hAnsi="Palatino Linotype" w:cs="Palatino Linotype"/>
        </w:rPr>
        <w:t>notificó a la persona solicitante la prórroga para dar respuesta a la solicitud</w:t>
      </w:r>
      <w:r w:rsidRPr="0060445D">
        <w:rPr>
          <w:rFonts w:ascii="Palatino Linotype" w:eastAsia="Palatino Linotype" w:hAnsi="Palatino Linotype" w:cs="Palatino Linotype"/>
          <w:b/>
        </w:rPr>
        <w:t>,</w:t>
      </w:r>
      <w:r w:rsidRPr="0060445D">
        <w:rPr>
          <w:rFonts w:ascii="Palatino Linotype" w:eastAsia="Palatino Linotype" w:hAnsi="Palatino Linotype" w:cs="Palatino Linotype"/>
        </w:rPr>
        <w:t xml:space="preserve"> medularmente en los siguientes términos:</w:t>
      </w:r>
    </w:p>
    <w:p w14:paraId="39D0791B" w14:textId="77777777" w:rsidR="00B977D3" w:rsidRPr="0060445D" w:rsidRDefault="00D92C13">
      <w:pPr>
        <w:spacing w:before="240" w:after="240"/>
        <w:ind w:left="851" w:right="900"/>
        <w:jc w:val="both"/>
        <w:rPr>
          <w:rFonts w:ascii="Palatino Linotype" w:eastAsia="Palatino Linotype" w:hAnsi="Palatino Linotype" w:cs="Palatino Linotype"/>
          <w:i/>
        </w:rPr>
      </w:pPr>
      <w:r w:rsidRPr="0060445D">
        <w:rPr>
          <w:rFonts w:ascii="Palatino Linotype" w:eastAsia="Palatino Linotype" w:hAnsi="Palatino Linotype" w:cs="Palatino Linotype"/>
          <w:i/>
        </w:rPr>
        <w:t>“Con fundamento en los artículos 3 fracciones IV, IX, XXIII, XXVII, XXXII, XXXIV, XLV, XLIV, 4. 6, 10, 11, 15, 16, 17, 23 fracción V, 47, 49, 50, 51, 53 fracción X y 163 párrafo segundo, de la Ley de Transparencia y Acceso a la Información Pública del Estado de México y Municipios y demás disposiciones relativas y aplicables vigentes; el Comité de Transparencia de la Universidad Autónoma del Estado de México aprobó la prórroga de la solicitud de información con número de folio 00745/UAEM/IP/2025, toda vez que se está realizando una búsqueda de la información solicitada, es menester señalar que el número de solicitudes de información en el último mes creció de manera exponencial, lo que conlleva un mayor tiempo para que las áreas administrativas atiendan los requerimientos en el tiempo estipulado por la ley, sin olvidar que cuentan con actividades sustantivas inherentes al sujeto obligado, de conformidad con el Acuerdo de Prorrogas UAEM/AP/16/2025.” (sic)</w:t>
      </w:r>
    </w:p>
    <w:p w14:paraId="0DC2DA5A" w14:textId="77777777" w:rsidR="00B977D3" w:rsidRPr="0060445D" w:rsidRDefault="00D92C13">
      <w:pPr>
        <w:spacing w:before="240" w:after="240" w:line="360" w:lineRule="auto"/>
        <w:jc w:val="both"/>
        <w:rPr>
          <w:rFonts w:ascii="Palatino Linotype" w:eastAsia="Palatino Linotype" w:hAnsi="Palatino Linotype" w:cs="Palatino Linotype"/>
        </w:rPr>
      </w:pPr>
      <w:r w:rsidRPr="0060445D">
        <w:rPr>
          <w:rFonts w:ascii="Palatino Linotype" w:eastAsia="Palatino Linotype" w:hAnsi="Palatino Linotype" w:cs="Palatino Linotype"/>
        </w:rPr>
        <w:t xml:space="preserve">Como refiere el </w:t>
      </w:r>
      <w:r w:rsidRPr="0060445D">
        <w:rPr>
          <w:rFonts w:ascii="Palatino Linotype" w:eastAsia="Palatino Linotype" w:hAnsi="Palatino Linotype" w:cs="Palatino Linotype"/>
          <w:b/>
        </w:rPr>
        <w:t>Sujeto Obligado</w:t>
      </w:r>
      <w:r w:rsidRPr="0060445D">
        <w:rPr>
          <w:rFonts w:ascii="Palatino Linotype" w:eastAsia="Palatino Linotype" w:hAnsi="Palatino Linotype" w:cs="Palatino Linotype"/>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073F647F" w14:textId="77777777" w:rsidR="00B977D3" w:rsidRPr="0060445D" w:rsidRDefault="00D92C13">
      <w:pPr>
        <w:spacing w:before="240" w:after="240" w:line="360" w:lineRule="auto"/>
        <w:jc w:val="both"/>
        <w:rPr>
          <w:rFonts w:ascii="Palatino Linotype" w:eastAsia="Palatino Linotype" w:hAnsi="Palatino Linotype" w:cs="Palatino Linotype"/>
        </w:rPr>
      </w:pPr>
      <w:r w:rsidRPr="0060445D">
        <w:rPr>
          <w:rFonts w:ascii="Palatino Linotype" w:eastAsia="Palatino Linotype" w:hAnsi="Palatino Linotype" w:cs="Palatino Linotype"/>
          <w:b/>
        </w:rPr>
        <w:lastRenderedPageBreak/>
        <w:t xml:space="preserve">3. Respuesta. </w:t>
      </w:r>
      <w:r w:rsidRPr="0060445D">
        <w:rPr>
          <w:rFonts w:ascii="Palatino Linotype" w:eastAsia="Palatino Linotype" w:hAnsi="Palatino Linotype" w:cs="Palatino Linotype"/>
        </w:rPr>
        <w:t xml:space="preserve">El </w:t>
      </w:r>
      <w:r w:rsidRPr="0060445D">
        <w:rPr>
          <w:rFonts w:ascii="Palatino Linotype" w:eastAsia="Palatino Linotype" w:hAnsi="Palatino Linotype" w:cs="Palatino Linotype"/>
          <w:b/>
        </w:rPr>
        <w:t>trece de mayo de dos mil veinticinco,</w:t>
      </w:r>
      <w:r w:rsidRPr="0060445D">
        <w:rPr>
          <w:rFonts w:ascii="Palatino Linotype" w:eastAsia="Palatino Linotype" w:hAnsi="Palatino Linotype" w:cs="Palatino Linotype"/>
        </w:rPr>
        <w:t xml:space="preserve"> el </w:t>
      </w:r>
      <w:r w:rsidRPr="0060445D">
        <w:rPr>
          <w:rFonts w:ascii="Palatino Linotype" w:eastAsia="Palatino Linotype" w:hAnsi="Palatino Linotype" w:cs="Palatino Linotype"/>
          <w:b/>
        </w:rPr>
        <w:t xml:space="preserve">Sujeto Obligado </w:t>
      </w:r>
      <w:r w:rsidRPr="0060445D">
        <w:rPr>
          <w:rFonts w:ascii="Palatino Linotype" w:eastAsia="Palatino Linotype" w:hAnsi="Palatino Linotype" w:cs="Palatino Linotype"/>
        </w:rPr>
        <w:t xml:space="preserve">envió su respuesta a la solicitud de acceso a la información a través del SAIMEX, sustancialmente en los términos siguientes:   </w:t>
      </w:r>
    </w:p>
    <w:p w14:paraId="25FF1FA6" w14:textId="77777777" w:rsidR="00B977D3" w:rsidRPr="0060445D" w:rsidRDefault="00D92C13">
      <w:pPr>
        <w:spacing w:before="240" w:after="240"/>
        <w:ind w:left="851" w:right="902"/>
        <w:jc w:val="both"/>
        <w:rPr>
          <w:rFonts w:ascii="Palatino Linotype" w:eastAsia="Palatino Linotype" w:hAnsi="Palatino Linotype" w:cs="Palatino Linotype"/>
          <w:i/>
          <w:sz w:val="22"/>
          <w:szCs w:val="22"/>
        </w:rPr>
      </w:pPr>
      <w:r w:rsidRPr="0060445D">
        <w:rPr>
          <w:rFonts w:ascii="Palatino Linotype" w:eastAsia="Palatino Linotype" w:hAnsi="Palatino Linotype" w:cs="Palatino Linotype"/>
          <w:i/>
          <w:sz w:val="22"/>
          <w:szCs w:val="22"/>
        </w:rPr>
        <w:t>“…En respuesta a la solicitud de acceso a la información pública con número de folio 00745/UAEM/IP/2025, con fundamento en lo dispuesto en los artículos 150, 163, y 164 de la Ley de Transparencia y Acceso a la Información Pública del Estado de México y Municipios; hacemos de su conocimiento con base en la información proporcionada por la Dirección de Recursos Humanos que la información solicitada puede ser consultada en la siguiente liga electrónica, en el apartado de tabulador salarial, año 2025, atendiendo a la categoría 22012. http://transparencia.uaemex.mx/usuario/infPub.php?nomDir=03.catPueTabSal&amp;cveParent=5 Es menester señalar que de conformidad con lo establecido en los artículos 51, 53 fracciones I, II, V, 59, y 162 de la Ley de Transparencia, Acceso a la Información Pública del Estado de México y Municipios, las unidades de transparencia deberán recibir, tramitar y dar respuesta a las solicitudes de acceso a la información, con la información que las áreas competentes cuenten de acuerdo a sus facultades, competencias y funciones. En este sentido queda de manifiesto que el titular de esta Unidad de Transparencia realizó las gestiones necesarias para colmar el debido ejercicio del acceso a la información pública. Asimismo, de conformidad con el artículo 51 el Titular de la Unidad de Transparencia, fungirá como enlace entre las Unidades Administrativas que poseen, administran o generan información, es decir, quienes proporcionen la información deben ser las dependencias que tienen en su poder la información.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(sic)</w:t>
      </w:r>
    </w:p>
    <w:p w14:paraId="476DF008"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rFonts w:ascii="Palatino Linotype" w:eastAsia="Palatino Linotype" w:hAnsi="Palatino Linotype" w:cs="Palatino Linotype"/>
        </w:rPr>
        <w:t xml:space="preserve">El </w:t>
      </w:r>
      <w:r w:rsidRPr="0060445D">
        <w:rPr>
          <w:rFonts w:ascii="Palatino Linotype" w:eastAsia="Palatino Linotype" w:hAnsi="Palatino Linotype" w:cs="Palatino Linotype"/>
          <w:b/>
        </w:rPr>
        <w:t xml:space="preserve">Sujeto Obligado </w:t>
      </w:r>
      <w:r w:rsidRPr="0060445D">
        <w:rPr>
          <w:rFonts w:ascii="Palatino Linotype" w:eastAsia="Palatino Linotype" w:hAnsi="Palatino Linotype" w:cs="Palatino Linotype"/>
        </w:rPr>
        <w:t>adjuntó lo siguiente:</w:t>
      </w:r>
    </w:p>
    <w:p w14:paraId="5F9E3CBE"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rFonts w:ascii="Palatino Linotype" w:eastAsia="Palatino Linotype" w:hAnsi="Palatino Linotype" w:cs="Palatino Linotype"/>
        </w:rPr>
        <w:t>- Tabulador de salarios 2025 (duplicado).</w:t>
      </w:r>
    </w:p>
    <w:p w14:paraId="548D3D0F"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rFonts w:ascii="Palatino Linotype" w:eastAsia="Palatino Linotype" w:hAnsi="Palatino Linotype" w:cs="Palatino Linotype"/>
          <w:b/>
        </w:rPr>
        <w:t xml:space="preserve">4. Interposición del recurso de revisión. </w:t>
      </w:r>
      <w:r w:rsidRPr="0060445D">
        <w:rPr>
          <w:rFonts w:ascii="Palatino Linotype" w:eastAsia="Palatino Linotype" w:hAnsi="Palatino Linotype" w:cs="Palatino Linotype"/>
        </w:rPr>
        <w:t xml:space="preserve">Inconforme con los términos de la respuesta emitida por parte del </w:t>
      </w:r>
      <w:r w:rsidRPr="0060445D">
        <w:rPr>
          <w:rFonts w:ascii="Palatino Linotype" w:eastAsia="Palatino Linotype" w:hAnsi="Palatino Linotype" w:cs="Palatino Linotype"/>
          <w:b/>
        </w:rPr>
        <w:t>Sujeto Obligado</w:t>
      </w:r>
      <w:r w:rsidRPr="0060445D">
        <w:rPr>
          <w:rFonts w:ascii="Palatino Linotype" w:eastAsia="Palatino Linotype" w:hAnsi="Palatino Linotype" w:cs="Palatino Linotype"/>
        </w:rPr>
        <w:t xml:space="preserve">, el </w:t>
      </w:r>
      <w:r w:rsidRPr="0060445D">
        <w:rPr>
          <w:rFonts w:ascii="Palatino Linotype" w:eastAsia="Palatino Linotype" w:hAnsi="Palatino Linotype" w:cs="Palatino Linotype"/>
          <w:b/>
        </w:rPr>
        <w:t>veintinueve de mayo de dos mil veinticinco,</w:t>
      </w:r>
      <w:r w:rsidRPr="0060445D">
        <w:rPr>
          <w:rFonts w:ascii="Palatino Linotype" w:eastAsia="Palatino Linotype" w:hAnsi="Palatino Linotype" w:cs="Palatino Linotype"/>
        </w:rPr>
        <w:t xml:space="preserve"> la parte </w:t>
      </w:r>
      <w:r w:rsidRPr="0060445D">
        <w:rPr>
          <w:rFonts w:ascii="Palatino Linotype" w:eastAsia="Palatino Linotype" w:hAnsi="Palatino Linotype" w:cs="Palatino Linotype"/>
          <w:b/>
        </w:rPr>
        <w:t>Recurrente</w:t>
      </w:r>
      <w:r w:rsidRPr="0060445D">
        <w:rPr>
          <w:rFonts w:ascii="Palatino Linotype" w:eastAsia="Palatino Linotype" w:hAnsi="Palatino Linotype" w:cs="Palatino Linotype"/>
        </w:rPr>
        <w:t xml:space="preserve"> interpuso el recurso de revisión a través de </w:t>
      </w:r>
      <w:r w:rsidRPr="0060445D">
        <w:rPr>
          <w:rFonts w:ascii="Palatino Linotype" w:eastAsia="Palatino Linotype" w:hAnsi="Palatino Linotype" w:cs="Palatino Linotype"/>
          <w:b/>
        </w:rPr>
        <w:t xml:space="preserve">SAIMEX, </w:t>
      </w:r>
      <w:r w:rsidRPr="0060445D">
        <w:rPr>
          <w:rFonts w:ascii="Palatino Linotype" w:eastAsia="Palatino Linotype" w:hAnsi="Palatino Linotype" w:cs="Palatino Linotype"/>
        </w:rPr>
        <w:t>en donde se manifestó de la siguiente manera:</w:t>
      </w:r>
    </w:p>
    <w:p w14:paraId="496C41D7" w14:textId="77777777" w:rsidR="00B977D3" w:rsidRPr="0060445D" w:rsidRDefault="00D92C13">
      <w:pPr>
        <w:spacing w:before="240" w:after="240" w:line="360" w:lineRule="auto"/>
        <w:ind w:right="49"/>
        <w:jc w:val="both"/>
        <w:rPr>
          <w:rFonts w:ascii="Palatino Linotype" w:eastAsia="Palatino Linotype" w:hAnsi="Palatino Linotype" w:cs="Palatino Linotype"/>
          <w:b/>
        </w:rPr>
      </w:pPr>
      <w:r w:rsidRPr="0060445D">
        <w:rPr>
          <w:rFonts w:ascii="Palatino Linotype" w:eastAsia="Palatino Linotype" w:hAnsi="Palatino Linotype" w:cs="Palatino Linotype"/>
          <w:b/>
        </w:rPr>
        <w:t xml:space="preserve">Acto impugnado: </w:t>
      </w:r>
    </w:p>
    <w:p w14:paraId="5926A354" w14:textId="77777777" w:rsidR="00B977D3" w:rsidRPr="0060445D" w:rsidRDefault="00D92C13">
      <w:pPr>
        <w:tabs>
          <w:tab w:val="left" w:pos="2745"/>
        </w:tabs>
        <w:spacing w:before="240" w:after="240"/>
        <w:ind w:left="851" w:right="900"/>
        <w:jc w:val="both"/>
        <w:rPr>
          <w:rFonts w:ascii="Palatino Linotype" w:eastAsia="Palatino Linotype" w:hAnsi="Palatino Linotype" w:cs="Palatino Linotype"/>
          <w:i/>
          <w:sz w:val="22"/>
          <w:szCs w:val="22"/>
        </w:rPr>
      </w:pPr>
      <w:r w:rsidRPr="0060445D">
        <w:rPr>
          <w:rFonts w:ascii="Palatino Linotype" w:eastAsia="Palatino Linotype" w:hAnsi="Palatino Linotype" w:cs="Palatino Linotype"/>
          <w:i/>
          <w:sz w:val="22"/>
          <w:szCs w:val="22"/>
        </w:rPr>
        <w:t>“La respuesta a la solicitud 00745/UAEM/IP/2025. de fecha 13 de mayo del 2025. DONDE SEÑALAN QUE PUEDE ENCONTRARSE DICHA RESPUESTA EN LA LIGA ELECTRONICA http://transparencia.uaemex.mx/usuario/infPub.php?nomDir=03.catPueTabSal&amp;cveParent=5 NO EXISTE ACCESO A DICHA LIGA ELECTRONICA. FAVOR DE ENVIAR UN DOCUMENTO DONDE EXISTA LO SOLICITADO Y ESPECIFICO AL TRABAJADOR OSCAR CHAIRES PALMA. 1. TODAS Y CADA UNA DE LAS PRESTACIONES QUE FORMAN PARTE DEL SALARIO DEL TRABAJADOR OSCAR CHAIRES PALMA Y 2. EL DOCUMENTO EN CUAL SE ESPECIFIQUE EL MONTO POR CADA PRESTACION QUE FORMA PARTE DEL SALARIO DE OSCRA CHAIRES PALMA” (sic)</w:t>
      </w:r>
    </w:p>
    <w:p w14:paraId="3A54BFA2" w14:textId="77777777" w:rsidR="00B977D3" w:rsidRPr="0060445D" w:rsidRDefault="00D92C13">
      <w:pPr>
        <w:spacing w:line="360" w:lineRule="auto"/>
        <w:jc w:val="both"/>
        <w:rPr>
          <w:rFonts w:ascii="Palatino Linotype" w:eastAsia="Palatino Linotype" w:hAnsi="Palatino Linotype" w:cs="Palatino Linotype"/>
        </w:rPr>
      </w:pPr>
      <w:bookmarkStart w:id="6" w:name="_heading=h.30j0zll" w:colFirst="0" w:colLast="0"/>
      <w:bookmarkEnd w:id="6"/>
      <w:r w:rsidRPr="0060445D">
        <w:rPr>
          <w:rFonts w:ascii="Palatino Linotype" w:eastAsia="Palatino Linotype" w:hAnsi="Palatino Linotype" w:cs="Palatino Linotype"/>
          <w:b/>
        </w:rPr>
        <w:t>Y, Razones o motivos de inconformidad</w:t>
      </w:r>
      <w:r w:rsidRPr="0060445D">
        <w:rPr>
          <w:rFonts w:ascii="Palatino Linotype" w:eastAsia="Palatino Linotype" w:hAnsi="Palatino Linotype" w:cs="Palatino Linotype"/>
        </w:rPr>
        <w:t>:</w:t>
      </w:r>
    </w:p>
    <w:p w14:paraId="604875D4" w14:textId="77777777" w:rsidR="00B977D3" w:rsidRPr="0060445D" w:rsidRDefault="00D92C13">
      <w:pPr>
        <w:tabs>
          <w:tab w:val="left" w:pos="2745"/>
        </w:tabs>
        <w:spacing w:before="240" w:after="240"/>
        <w:ind w:left="851" w:right="900"/>
        <w:jc w:val="both"/>
        <w:rPr>
          <w:rFonts w:ascii="Palatino Linotype" w:eastAsia="Palatino Linotype" w:hAnsi="Palatino Linotype" w:cs="Palatino Linotype"/>
          <w:i/>
          <w:sz w:val="22"/>
          <w:szCs w:val="22"/>
        </w:rPr>
      </w:pPr>
      <w:r w:rsidRPr="0060445D">
        <w:rPr>
          <w:rFonts w:ascii="Palatino Linotype" w:eastAsia="Palatino Linotype" w:hAnsi="Palatino Linotype" w:cs="Palatino Linotype"/>
          <w:i/>
          <w:sz w:val="22"/>
          <w:szCs w:val="22"/>
        </w:rPr>
        <w:t>“Se solicitó la información de todas y cada una de las prestaciones que forman parte del salario de OSCAR CHAIRES PALMA, el cual se desempeña laboralmente como Supervisor en el Departamento de Obra y Construcción de la Universidad Autónoma del Estado de México UAEMEX, así como también el monto que recibe por cada prestación que forma parte de su salario, a lo cual tuve como respuesta una liga electrónica que no se puede abrir, por lo que la información está incompleta. por lo que el Titular de esa Unidad de Transparencia, no realizó la gestión necesaria para colmar el debido ejercicio del acceso a la información pública, ya que no existe la evidencia que con esa liga electrónica http://transparencia.uaemex.mx/usuario/infPub.php?nomDir=03.catPueTabSal&amp;cveParent=5 se encontraba la respuesta a mi solicitud.es decir. 1. TODAS Y CADA UNA DE LAS PRESTACIONES QUE FORMAN PARTE DEL SALARIO DEL TRABAJADOR OSCAR CHAIRES PALMA Y 2. EL DOCUMENTO EN CUAL SE ESPECIFIQUE EL MONTO POR CADA PRESTACION QUE FORMA PARTE DEL SALARIO DE OSCRA CHAIRES PALMA.” (sic)</w:t>
      </w:r>
    </w:p>
    <w:p w14:paraId="56DD26E6" w14:textId="77777777" w:rsidR="00B977D3" w:rsidRPr="0060445D" w:rsidRDefault="00D92C13">
      <w:pPr>
        <w:spacing w:before="240" w:after="240" w:line="360" w:lineRule="auto"/>
        <w:jc w:val="both"/>
        <w:rPr>
          <w:rFonts w:ascii="Palatino Linotype" w:eastAsia="Palatino Linotype" w:hAnsi="Palatino Linotype" w:cs="Palatino Linotype"/>
        </w:rPr>
      </w:pPr>
      <w:r w:rsidRPr="0060445D">
        <w:rPr>
          <w:rFonts w:ascii="Palatino Linotype" w:eastAsia="Palatino Linotype" w:hAnsi="Palatino Linotype" w:cs="Palatino Linotype"/>
        </w:rPr>
        <w:t xml:space="preserve">La parte </w:t>
      </w:r>
      <w:r w:rsidRPr="0060445D">
        <w:rPr>
          <w:rFonts w:ascii="Palatino Linotype" w:eastAsia="Palatino Linotype" w:hAnsi="Palatino Linotype" w:cs="Palatino Linotype"/>
          <w:b/>
        </w:rPr>
        <w:t xml:space="preserve">Recurrente </w:t>
      </w:r>
      <w:r w:rsidRPr="0060445D">
        <w:rPr>
          <w:rFonts w:ascii="Palatino Linotype" w:eastAsia="Palatino Linotype" w:hAnsi="Palatino Linotype" w:cs="Palatino Linotype"/>
        </w:rPr>
        <w:t>adjuntó el acuse de la solicitud, así como una captura de pantalla de la página de internet proporcionada en respuesta.</w:t>
      </w:r>
    </w:p>
    <w:p w14:paraId="7D2A1A12" w14:textId="77777777" w:rsidR="00B977D3" w:rsidRPr="0060445D" w:rsidRDefault="00D92C13">
      <w:pPr>
        <w:spacing w:before="240" w:after="240" w:line="360" w:lineRule="auto"/>
        <w:jc w:val="both"/>
        <w:rPr>
          <w:rFonts w:ascii="Palatino Linotype" w:eastAsia="Palatino Linotype" w:hAnsi="Palatino Linotype" w:cs="Palatino Linotype"/>
        </w:rPr>
      </w:pPr>
      <w:r w:rsidRPr="0060445D">
        <w:rPr>
          <w:rFonts w:ascii="Palatino Linotype" w:eastAsia="Palatino Linotype" w:hAnsi="Palatino Linotype" w:cs="Palatino Linotype"/>
          <w:b/>
        </w:rPr>
        <w:t xml:space="preserve">5. Turno. </w:t>
      </w:r>
      <w:r w:rsidRPr="0060445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60445D">
        <w:rPr>
          <w:rFonts w:ascii="Palatino Linotype" w:eastAsia="Palatino Linotype" w:hAnsi="Palatino Linotype" w:cs="Palatino Linotype"/>
          <w:b/>
        </w:rPr>
        <w:t xml:space="preserve">Guadalupe Ramírez Peña, </w:t>
      </w:r>
      <w:r w:rsidRPr="0060445D">
        <w:rPr>
          <w:rFonts w:ascii="Palatino Linotype" w:eastAsia="Palatino Linotype" w:hAnsi="Palatino Linotype" w:cs="Palatino Linotype"/>
        </w:rPr>
        <w:t>a efecto de que analizara sobre su admisión o su desechamiento.</w:t>
      </w:r>
    </w:p>
    <w:p w14:paraId="5337208B" w14:textId="77777777" w:rsidR="00B977D3" w:rsidRPr="0060445D" w:rsidRDefault="00D92C13">
      <w:pPr>
        <w:spacing w:before="240" w:after="240" w:line="360" w:lineRule="auto"/>
        <w:jc w:val="both"/>
        <w:rPr>
          <w:rFonts w:ascii="Palatino Linotype" w:eastAsia="Palatino Linotype" w:hAnsi="Palatino Linotype" w:cs="Palatino Linotype"/>
          <w:b/>
        </w:rPr>
      </w:pPr>
      <w:r w:rsidRPr="0060445D">
        <w:rPr>
          <w:rFonts w:ascii="Palatino Linotype" w:eastAsia="Palatino Linotype" w:hAnsi="Palatino Linotype" w:cs="Palatino Linotype"/>
          <w:b/>
        </w:rPr>
        <w:t>6. Admisión del Recurso de revisión.</w:t>
      </w:r>
      <w:r w:rsidRPr="0060445D">
        <w:rPr>
          <w:rFonts w:ascii="Palatino Linotype" w:eastAsia="Palatino Linotype" w:hAnsi="Palatino Linotype" w:cs="Palatino Linotype"/>
        </w:rPr>
        <w:t xml:space="preserve"> El</w:t>
      </w:r>
      <w:r w:rsidRPr="0060445D">
        <w:rPr>
          <w:rFonts w:ascii="Palatino Linotype" w:eastAsia="Palatino Linotype" w:hAnsi="Palatino Linotype" w:cs="Palatino Linotype"/>
          <w:b/>
        </w:rPr>
        <w:t xml:space="preserve"> tres de junio de dos mil veinticinco, </w:t>
      </w:r>
      <w:r w:rsidRPr="0060445D">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60445D">
        <w:rPr>
          <w:rFonts w:ascii="Palatino Linotype" w:eastAsia="Palatino Linotype" w:hAnsi="Palatino Linotype" w:cs="Palatino Linotype"/>
          <w:b/>
        </w:rPr>
        <w:t xml:space="preserve">Sujeto Obligado </w:t>
      </w:r>
      <w:r w:rsidRPr="0060445D">
        <w:rPr>
          <w:rFonts w:ascii="Palatino Linotype" w:eastAsia="Palatino Linotype" w:hAnsi="Palatino Linotype" w:cs="Palatino Linotype"/>
        </w:rPr>
        <w:t>presentara su informe justificado.</w:t>
      </w:r>
    </w:p>
    <w:p w14:paraId="04E86604" w14:textId="77777777" w:rsidR="00B977D3" w:rsidRPr="0060445D" w:rsidRDefault="00D92C13">
      <w:pPr>
        <w:spacing w:before="240" w:after="240" w:line="360" w:lineRule="auto"/>
        <w:jc w:val="both"/>
        <w:rPr>
          <w:rFonts w:ascii="Palatino Linotype" w:eastAsia="Palatino Linotype" w:hAnsi="Palatino Linotype" w:cs="Palatino Linotype"/>
        </w:rPr>
      </w:pPr>
      <w:bookmarkStart w:id="7" w:name="_heading=h.2s8eyo1" w:colFirst="0" w:colLast="0"/>
      <w:bookmarkEnd w:id="7"/>
      <w:r w:rsidRPr="0060445D">
        <w:rPr>
          <w:rFonts w:ascii="Palatino Linotype" w:eastAsia="Palatino Linotype" w:hAnsi="Palatino Linotype" w:cs="Palatino Linotype"/>
          <w:b/>
        </w:rPr>
        <w:t>7. Manifestaciones</w:t>
      </w:r>
      <w:r w:rsidRPr="0060445D">
        <w:rPr>
          <w:rFonts w:ascii="Palatino Linotype" w:eastAsia="Palatino Linotype" w:hAnsi="Palatino Linotype" w:cs="Palatino Linotype"/>
        </w:rPr>
        <w:t xml:space="preserve">. El </w:t>
      </w:r>
      <w:r w:rsidRPr="0060445D">
        <w:rPr>
          <w:rFonts w:ascii="Palatino Linotype" w:eastAsia="Palatino Linotype" w:hAnsi="Palatino Linotype" w:cs="Palatino Linotype"/>
          <w:b/>
        </w:rPr>
        <w:t>diecisiete y veintitrés de septiembre de dos mil veinticinco</w:t>
      </w:r>
      <w:r w:rsidRPr="0060445D">
        <w:rPr>
          <w:rFonts w:ascii="Palatino Linotype" w:eastAsia="Palatino Linotype" w:hAnsi="Palatino Linotype" w:cs="Palatino Linotype"/>
        </w:rPr>
        <w:t xml:space="preserve">, el </w:t>
      </w:r>
      <w:r w:rsidRPr="0060445D">
        <w:rPr>
          <w:rFonts w:ascii="Palatino Linotype" w:eastAsia="Palatino Linotype" w:hAnsi="Palatino Linotype" w:cs="Palatino Linotype"/>
          <w:b/>
        </w:rPr>
        <w:t>Sujeto Obligado</w:t>
      </w:r>
      <w:r w:rsidRPr="0060445D">
        <w:rPr>
          <w:rFonts w:ascii="Palatino Linotype" w:eastAsia="Palatino Linotype" w:hAnsi="Palatino Linotype" w:cs="Palatino Linotype"/>
        </w:rPr>
        <w:t xml:space="preserve"> remitió, a través del SAIMEX, lo siguiente:</w:t>
      </w:r>
    </w:p>
    <w:p w14:paraId="629E620C" w14:textId="77777777" w:rsidR="00B977D3" w:rsidRPr="0060445D" w:rsidRDefault="00D92C13">
      <w:pPr>
        <w:spacing w:before="240" w:after="240" w:line="360" w:lineRule="auto"/>
        <w:jc w:val="both"/>
        <w:rPr>
          <w:rFonts w:ascii="Palatino Linotype" w:eastAsia="Palatino Linotype" w:hAnsi="Palatino Linotype" w:cs="Palatino Linotype"/>
        </w:rPr>
      </w:pPr>
      <w:r w:rsidRPr="0060445D">
        <w:rPr>
          <w:rFonts w:ascii="Palatino Linotype" w:eastAsia="Palatino Linotype" w:hAnsi="Palatino Linotype" w:cs="Palatino Linotype"/>
        </w:rPr>
        <w:t>- Informe justificado mediante el cual, por conducto de la Dirección de Recursos Humanos, ratificó en lo sustancial la respuesta emitida en primera instancia.</w:t>
      </w:r>
    </w:p>
    <w:p w14:paraId="712441D8" w14:textId="77777777" w:rsidR="00B977D3" w:rsidRPr="0060445D" w:rsidRDefault="00D92C13">
      <w:pPr>
        <w:spacing w:before="240" w:after="240" w:line="360" w:lineRule="auto"/>
        <w:jc w:val="both"/>
        <w:rPr>
          <w:rFonts w:ascii="Palatino Linotype" w:eastAsia="Palatino Linotype" w:hAnsi="Palatino Linotype" w:cs="Palatino Linotype"/>
        </w:rPr>
      </w:pPr>
      <w:r w:rsidRPr="0060445D">
        <w:rPr>
          <w:rFonts w:ascii="Palatino Linotype" w:eastAsia="Palatino Linotype" w:hAnsi="Palatino Linotype" w:cs="Palatino Linotype"/>
        </w:rPr>
        <w:t>- Archivo que contiene las Remuneraciones del Personal de la Universidad Autónoma del Estado de México 2025, constante de cuatro hojas.</w:t>
      </w:r>
    </w:p>
    <w:p w14:paraId="16FEF35B" w14:textId="77777777" w:rsidR="00B977D3" w:rsidRPr="0060445D" w:rsidRDefault="00D92C13">
      <w:pPr>
        <w:spacing w:before="240" w:after="240" w:line="360" w:lineRule="auto"/>
        <w:jc w:val="both"/>
        <w:rPr>
          <w:rFonts w:ascii="Palatino Linotype" w:eastAsia="Palatino Linotype" w:hAnsi="Palatino Linotype" w:cs="Palatino Linotype"/>
        </w:rPr>
      </w:pPr>
      <w:r w:rsidRPr="0060445D">
        <w:rPr>
          <w:rFonts w:ascii="Palatino Linotype" w:eastAsia="Palatino Linotype" w:hAnsi="Palatino Linotype" w:cs="Palatino Linotype"/>
        </w:rPr>
        <w:t>Una vez analizada la información, se hizo del conocimiento de la persona solicitante a efecto de que manifestara lo que a su derecho estimara conveniente, siendo omisa en ejercer dicha prerrogativa.</w:t>
      </w:r>
    </w:p>
    <w:p w14:paraId="4DCAB583" w14:textId="77777777" w:rsidR="00B977D3" w:rsidRPr="0060445D" w:rsidRDefault="00D92C13">
      <w:pPr>
        <w:spacing w:before="240" w:after="240" w:line="360" w:lineRule="auto"/>
        <w:jc w:val="both"/>
        <w:rPr>
          <w:rFonts w:ascii="Palatino Linotype" w:eastAsia="Palatino Linotype" w:hAnsi="Palatino Linotype" w:cs="Palatino Linotype"/>
          <w:b/>
        </w:rPr>
      </w:pPr>
      <w:r w:rsidRPr="0060445D">
        <w:rPr>
          <w:rFonts w:ascii="Palatino Linotype" w:eastAsia="Palatino Linotype" w:hAnsi="Palatino Linotype" w:cs="Palatino Linotype"/>
          <w:b/>
        </w:rPr>
        <w:t xml:space="preserve">8. Ampliación del término para resolver. </w:t>
      </w:r>
      <w:r w:rsidRPr="0060445D">
        <w:rPr>
          <w:rFonts w:ascii="Palatino Linotype" w:eastAsia="Palatino Linotype" w:hAnsi="Palatino Linotype" w:cs="Palatino Linotype"/>
        </w:rPr>
        <w:t>El</w:t>
      </w:r>
      <w:r w:rsidRPr="0060445D">
        <w:rPr>
          <w:rFonts w:ascii="Palatino Linotype" w:eastAsia="Palatino Linotype" w:hAnsi="Palatino Linotype" w:cs="Palatino Linotype"/>
          <w:b/>
        </w:rPr>
        <w:t xml:space="preserve"> veinticuatro de septiembre de dos mil veinticinco</w:t>
      </w:r>
      <w:r w:rsidRPr="0060445D">
        <w:rPr>
          <w:rFonts w:ascii="Palatino Linotype" w:eastAsia="Palatino Linotype" w:hAnsi="Palatino Linotype" w:cs="Palatino Linotype"/>
        </w:rPr>
        <w:t xml:space="preserve">, se amplió el término para resolver el recurso de revisión en términos del artículo 181 párrafo tercero de la Ley de Transparencia y Acceso a la Información Pública del Estado de México y Municipios, mediante acuerdo notificado el veintiocho de agosto de dos mil veinticinco. </w:t>
      </w:r>
    </w:p>
    <w:p w14:paraId="74A2390E" w14:textId="77777777" w:rsidR="00B977D3" w:rsidRPr="0060445D" w:rsidRDefault="00D92C13">
      <w:pPr>
        <w:spacing w:before="240" w:after="240" w:line="360" w:lineRule="auto"/>
        <w:jc w:val="both"/>
        <w:rPr>
          <w:rFonts w:ascii="Palatino Linotype" w:eastAsia="Palatino Linotype" w:hAnsi="Palatino Linotype" w:cs="Palatino Linotype"/>
        </w:rPr>
      </w:pPr>
      <w:r w:rsidRPr="0060445D">
        <w:rPr>
          <w:rFonts w:ascii="Palatino Linotype" w:eastAsia="Palatino Linotype" w:hAnsi="Palatino Linotype" w:cs="Palatino Linotype"/>
          <w:b/>
        </w:rPr>
        <w:t xml:space="preserve">9. Cierre de instrucción. </w:t>
      </w:r>
      <w:r w:rsidRPr="0060445D">
        <w:rPr>
          <w:rFonts w:ascii="Palatino Linotype" w:eastAsia="Palatino Linotype" w:hAnsi="Palatino Linotype" w:cs="Palatino Linotype"/>
        </w:rPr>
        <w:t xml:space="preserve">Una vez transcurrido el periodo otorgado a las partes para realizar sus manifestaciones y no habiendo documentos que integrar al expediente, mediante acuerdo del </w:t>
      </w:r>
      <w:r w:rsidR="00366716" w:rsidRPr="0060445D">
        <w:rPr>
          <w:rFonts w:ascii="Palatino Linotype" w:eastAsia="Palatino Linotype" w:hAnsi="Palatino Linotype" w:cs="Palatino Linotype"/>
          <w:b/>
        </w:rPr>
        <w:t>uno de octubre</w:t>
      </w:r>
      <w:r w:rsidRPr="0060445D">
        <w:rPr>
          <w:rFonts w:ascii="Palatino Linotype" w:eastAsia="Palatino Linotype" w:hAnsi="Palatino Linotype" w:cs="Palatino Linotype"/>
          <w:b/>
        </w:rPr>
        <w:t xml:space="preserve"> de dos mil veinticinco</w:t>
      </w:r>
      <w:r w:rsidRPr="0060445D">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 </w:t>
      </w:r>
    </w:p>
    <w:p w14:paraId="0E73BF75" w14:textId="77777777" w:rsidR="00B977D3" w:rsidRPr="0060445D" w:rsidRDefault="00D92C13">
      <w:pPr>
        <w:spacing w:before="240" w:after="240" w:line="360" w:lineRule="auto"/>
        <w:jc w:val="both"/>
        <w:rPr>
          <w:rFonts w:ascii="Palatino Linotype" w:eastAsia="Palatino Linotype" w:hAnsi="Palatino Linotype" w:cs="Palatino Linotype"/>
        </w:rPr>
      </w:pPr>
      <w:r w:rsidRPr="0060445D">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984983D" w14:textId="77777777" w:rsidR="00B977D3" w:rsidRPr="0060445D" w:rsidRDefault="00D92C13">
      <w:pPr>
        <w:widowControl w:val="0"/>
        <w:spacing w:before="240" w:after="240" w:line="360" w:lineRule="auto"/>
        <w:jc w:val="center"/>
        <w:rPr>
          <w:rFonts w:ascii="Palatino Linotype" w:eastAsia="Palatino Linotype" w:hAnsi="Palatino Linotype" w:cs="Palatino Linotype"/>
          <w:b/>
        </w:rPr>
      </w:pPr>
      <w:r w:rsidRPr="0060445D">
        <w:rPr>
          <w:rFonts w:ascii="Palatino Linotype" w:eastAsia="Palatino Linotype" w:hAnsi="Palatino Linotype" w:cs="Palatino Linotype"/>
          <w:b/>
        </w:rPr>
        <w:t>II. C O N S I D E R A N D O S</w:t>
      </w:r>
    </w:p>
    <w:p w14:paraId="3ED1207F" w14:textId="77777777" w:rsidR="00B977D3" w:rsidRPr="0060445D" w:rsidRDefault="00D92C13">
      <w:pPr>
        <w:spacing w:before="240" w:after="240" w:line="360" w:lineRule="auto"/>
        <w:jc w:val="both"/>
        <w:rPr>
          <w:rFonts w:ascii="Palatino Linotype" w:eastAsia="Palatino Linotype" w:hAnsi="Palatino Linotype" w:cs="Palatino Linotype"/>
        </w:rPr>
      </w:pPr>
      <w:r w:rsidRPr="0060445D">
        <w:rPr>
          <w:rFonts w:ascii="Palatino Linotype" w:eastAsia="Palatino Linotype" w:hAnsi="Palatino Linotype" w:cs="Palatino Linotype"/>
          <w:b/>
        </w:rPr>
        <w:t>Primero. Competencia.</w:t>
      </w:r>
      <w:r w:rsidRPr="0060445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7D874C9" w14:textId="77777777" w:rsidR="00B977D3" w:rsidRPr="0060445D" w:rsidRDefault="00D92C13">
      <w:pPr>
        <w:spacing w:before="240" w:after="240" w:line="360" w:lineRule="auto"/>
        <w:jc w:val="both"/>
        <w:rPr>
          <w:rFonts w:ascii="Palatino Linotype" w:eastAsia="Palatino Linotype" w:hAnsi="Palatino Linotype" w:cs="Palatino Linotype"/>
        </w:rPr>
      </w:pPr>
      <w:bookmarkStart w:id="8" w:name="_heading=h.tyjcwt" w:colFirst="0" w:colLast="0"/>
      <w:bookmarkEnd w:id="8"/>
      <w:r w:rsidRPr="0060445D">
        <w:rPr>
          <w:rFonts w:ascii="Palatino Linotype" w:eastAsia="Palatino Linotype" w:hAnsi="Palatino Linotype" w:cs="Palatino Linotype"/>
          <w:b/>
        </w:rPr>
        <w:t>Segundo. Oportunidad y Procedibilidad del Recurso de Revisión</w:t>
      </w:r>
      <w:r w:rsidRPr="0060445D">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6053C41" w14:textId="77777777" w:rsidR="00B977D3" w:rsidRPr="0060445D" w:rsidRDefault="00D92C13">
      <w:pPr>
        <w:spacing w:before="240" w:after="240" w:line="360" w:lineRule="auto"/>
        <w:jc w:val="both"/>
        <w:rPr>
          <w:rFonts w:ascii="Palatino Linotype" w:eastAsia="Palatino Linotype" w:hAnsi="Palatino Linotype" w:cs="Palatino Linotype"/>
        </w:rPr>
      </w:pPr>
      <w:r w:rsidRPr="0060445D">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60445D">
        <w:rPr>
          <w:rFonts w:ascii="Palatino Linotype" w:eastAsia="Palatino Linotype" w:hAnsi="Palatino Linotype" w:cs="Palatino Linotype"/>
          <w:b/>
        </w:rPr>
        <w:t xml:space="preserve">Sujeto Obligado </w:t>
      </w:r>
      <w:r w:rsidRPr="0060445D">
        <w:rPr>
          <w:rFonts w:ascii="Palatino Linotype" w:eastAsia="Palatino Linotype" w:hAnsi="Palatino Linotype" w:cs="Palatino Linotype"/>
        </w:rPr>
        <w:t xml:space="preserve">remitió la respuesta a la solicitud de información el día </w:t>
      </w:r>
      <w:r w:rsidRPr="0060445D">
        <w:rPr>
          <w:rFonts w:ascii="Palatino Linotype" w:eastAsia="Palatino Linotype" w:hAnsi="Palatino Linotype" w:cs="Palatino Linotype"/>
          <w:b/>
        </w:rPr>
        <w:t xml:space="preserve">trece de mayo de dos mil veinticinco, </w:t>
      </w:r>
      <w:r w:rsidRPr="0060445D">
        <w:rPr>
          <w:rFonts w:ascii="Palatino Linotype" w:eastAsia="Palatino Linotype" w:hAnsi="Palatino Linotype" w:cs="Palatino Linotype"/>
        </w:rPr>
        <w:t xml:space="preserve">mientras que el recurso de revisión interpuesto por la parte </w:t>
      </w:r>
      <w:r w:rsidRPr="0060445D">
        <w:rPr>
          <w:rFonts w:ascii="Palatino Linotype" w:eastAsia="Palatino Linotype" w:hAnsi="Palatino Linotype" w:cs="Palatino Linotype"/>
          <w:b/>
        </w:rPr>
        <w:t xml:space="preserve">Recurrente, </w:t>
      </w:r>
      <w:r w:rsidRPr="0060445D">
        <w:rPr>
          <w:rFonts w:ascii="Palatino Linotype" w:eastAsia="Palatino Linotype" w:hAnsi="Palatino Linotype" w:cs="Palatino Linotype"/>
        </w:rPr>
        <w:t>se tuvo por presentado el día</w:t>
      </w:r>
      <w:r w:rsidRPr="0060445D">
        <w:rPr>
          <w:rFonts w:ascii="Palatino Linotype" w:eastAsia="Palatino Linotype" w:hAnsi="Palatino Linotype" w:cs="Palatino Linotype"/>
          <w:b/>
        </w:rPr>
        <w:t xml:space="preserve"> veintinueve de mayo de dos mil veinticinco, </w:t>
      </w:r>
      <w:r w:rsidRPr="0060445D">
        <w:rPr>
          <w:rFonts w:ascii="Palatino Linotype" w:eastAsia="Palatino Linotype" w:hAnsi="Palatino Linotype" w:cs="Palatino Linotype"/>
        </w:rPr>
        <w:t>esto es, al décimo segundo día hábil posterior a aquel en el que tuvo conocimiento de la respuesta impugnada. En este sentido, se concluye que el presente recurso de revisión se encuentra dentro de los márgenes temporales previstos en las disposiciones legales referidas.</w:t>
      </w:r>
    </w:p>
    <w:p w14:paraId="51E55F8E" w14:textId="77777777" w:rsidR="00B977D3" w:rsidRPr="0060445D" w:rsidRDefault="00D92C13">
      <w:pPr>
        <w:spacing w:before="240" w:after="240" w:line="360" w:lineRule="auto"/>
        <w:jc w:val="both"/>
        <w:rPr>
          <w:rFonts w:ascii="Palatino Linotype" w:eastAsia="Palatino Linotype" w:hAnsi="Palatino Linotype" w:cs="Palatino Linotype"/>
        </w:rPr>
      </w:pPr>
      <w:r w:rsidRPr="0060445D">
        <w:rPr>
          <w:rFonts w:ascii="Palatino Linotype" w:eastAsia="Palatino Linotype" w:hAnsi="Palatino Linotype" w:cs="Palatino Linotype"/>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78FB189" w14:textId="77777777" w:rsidR="00B977D3" w:rsidRPr="0060445D" w:rsidRDefault="00D92C13">
      <w:pPr>
        <w:spacing w:before="240" w:after="240" w:line="360" w:lineRule="auto"/>
        <w:jc w:val="both"/>
        <w:rPr>
          <w:rFonts w:ascii="Palatino Linotype" w:eastAsia="Palatino Linotype" w:hAnsi="Palatino Linotype" w:cs="Palatino Linotype"/>
        </w:rPr>
      </w:pPr>
      <w:r w:rsidRPr="0060445D">
        <w:rPr>
          <w:rFonts w:ascii="Palatino Linotype" w:eastAsia="Palatino Linotype" w:hAnsi="Palatino Linotype" w:cs="Palatino Linotype"/>
        </w:rPr>
        <w:t xml:space="preserve">Finalmente, se advierte que resulta procedente la interposición del recurso, según lo manifestado por la parte </w:t>
      </w:r>
      <w:r w:rsidRPr="0060445D">
        <w:rPr>
          <w:rFonts w:ascii="Palatino Linotype" w:eastAsia="Palatino Linotype" w:hAnsi="Palatino Linotype" w:cs="Palatino Linotype"/>
          <w:b/>
        </w:rPr>
        <w:t>Recurrente</w:t>
      </w:r>
      <w:r w:rsidRPr="0060445D">
        <w:rPr>
          <w:rFonts w:ascii="Palatino Linotype" w:eastAsia="Palatino Linotype" w:hAnsi="Palatino Linotype" w:cs="Palatino Linotype"/>
        </w:rPr>
        <w:t xml:space="preserve"> en sus motivos de inconformidad, de acuerdo al artículo 179, fracción XI del ordenamiento legal citado, que a la letra dice: </w:t>
      </w:r>
    </w:p>
    <w:p w14:paraId="0E9AC4A4" w14:textId="77777777" w:rsidR="00B977D3" w:rsidRPr="0060445D" w:rsidRDefault="00D92C13">
      <w:pPr>
        <w:tabs>
          <w:tab w:val="left" w:pos="7938"/>
        </w:tabs>
        <w:spacing w:before="120" w:after="120"/>
        <w:ind w:left="851" w:right="902"/>
        <w:jc w:val="both"/>
        <w:rPr>
          <w:rFonts w:ascii="Palatino Linotype" w:eastAsia="Palatino Linotype" w:hAnsi="Palatino Linotype" w:cs="Palatino Linotype"/>
          <w:i/>
          <w:sz w:val="22"/>
          <w:szCs w:val="22"/>
        </w:rPr>
      </w:pPr>
      <w:r w:rsidRPr="0060445D">
        <w:rPr>
          <w:rFonts w:ascii="Palatino Linotype" w:eastAsia="Palatino Linotype" w:hAnsi="Palatino Linotype" w:cs="Palatino Linotype"/>
          <w:i/>
          <w:sz w:val="22"/>
          <w:szCs w:val="22"/>
        </w:rPr>
        <w:t>“</w:t>
      </w:r>
      <w:r w:rsidRPr="0060445D">
        <w:rPr>
          <w:rFonts w:ascii="Palatino Linotype" w:eastAsia="Palatino Linotype" w:hAnsi="Palatino Linotype" w:cs="Palatino Linotype"/>
          <w:b/>
          <w:i/>
          <w:sz w:val="22"/>
          <w:szCs w:val="22"/>
        </w:rPr>
        <w:t>Artículo 179.</w:t>
      </w:r>
      <w:r w:rsidRPr="0060445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2768252" w14:textId="77777777" w:rsidR="00B977D3" w:rsidRPr="0060445D" w:rsidRDefault="00D92C13">
      <w:pPr>
        <w:tabs>
          <w:tab w:val="left" w:pos="7938"/>
        </w:tabs>
        <w:spacing w:before="120" w:after="120"/>
        <w:ind w:left="1134" w:right="900"/>
        <w:jc w:val="both"/>
        <w:rPr>
          <w:rFonts w:ascii="Palatino Linotype" w:eastAsia="Palatino Linotype" w:hAnsi="Palatino Linotype" w:cs="Palatino Linotype"/>
          <w:i/>
          <w:sz w:val="22"/>
          <w:szCs w:val="22"/>
        </w:rPr>
      </w:pPr>
      <w:r w:rsidRPr="0060445D">
        <w:rPr>
          <w:rFonts w:ascii="Palatino Linotype" w:eastAsia="Palatino Linotype" w:hAnsi="Palatino Linotype" w:cs="Palatino Linotype"/>
          <w:i/>
          <w:sz w:val="22"/>
          <w:szCs w:val="22"/>
        </w:rPr>
        <w:t>...</w:t>
      </w:r>
    </w:p>
    <w:p w14:paraId="77726D36" w14:textId="77777777" w:rsidR="00B977D3" w:rsidRPr="0060445D" w:rsidRDefault="00D92C13">
      <w:pPr>
        <w:tabs>
          <w:tab w:val="left" w:pos="7938"/>
        </w:tabs>
        <w:spacing w:before="120" w:after="120"/>
        <w:ind w:left="1134" w:right="900"/>
        <w:jc w:val="both"/>
        <w:rPr>
          <w:rFonts w:ascii="Palatino Linotype" w:eastAsia="Palatino Linotype" w:hAnsi="Palatino Linotype" w:cs="Palatino Linotype"/>
          <w:i/>
          <w:sz w:val="22"/>
          <w:szCs w:val="22"/>
        </w:rPr>
      </w:pPr>
      <w:r w:rsidRPr="0060445D">
        <w:rPr>
          <w:rFonts w:ascii="Palatino Linotype" w:eastAsia="Palatino Linotype" w:hAnsi="Palatino Linotype" w:cs="Palatino Linotype"/>
          <w:b/>
          <w:i/>
          <w:sz w:val="22"/>
          <w:szCs w:val="22"/>
        </w:rPr>
        <w:t>IX.</w:t>
      </w:r>
      <w:r w:rsidRPr="0060445D">
        <w:rPr>
          <w:rFonts w:ascii="Palatino Linotype" w:eastAsia="Palatino Linotype" w:hAnsi="Palatino Linotype" w:cs="Palatino Linotype"/>
          <w:i/>
          <w:sz w:val="22"/>
          <w:szCs w:val="22"/>
        </w:rPr>
        <w:t xml:space="preserve"> La entrega o puesta a disposición de información en un formato incomprensible y/o no accesible para el solicitante;”</w:t>
      </w:r>
    </w:p>
    <w:p w14:paraId="7BD4A042" w14:textId="77777777" w:rsidR="00B977D3" w:rsidRPr="0060445D" w:rsidRDefault="00D92C13">
      <w:pPr>
        <w:spacing w:before="240" w:after="240" w:line="360" w:lineRule="auto"/>
        <w:jc w:val="both"/>
        <w:rPr>
          <w:rFonts w:ascii="Palatino Linotype" w:eastAsia="Palatino Linotype" w:hAnsi="Palatino Linotype" w:cs="Palatino Linotype"/>
        </w:rPr>
      </w:pPr>
      <w:r w:rsidRPr="0060445D">
        <w:rPr>
          <w:rFonts w:ascii="Palatino Linotype" w:eastAsia="Palatino Linotype" w:hAnsi="Palatino Linotype" w:cs="Palatino Linotype"/>
          <w:b/>
        </w:rPr>
        <w:t>Tercero. Análisis de las causales de sobreseimiento de los recursos de revisión.</w:t>
      </w:r>
      <w:r w:rsidRPr="0060445D">
        <w:rPr>
          <w:rFonts w:ascii="Palatino Linotype" w:eastAsia="Palatino Linotype" w:hAnsi="Palatino Linotype" w:cs="Palatino Linotype"/>
        </w:rPr>
        <w:t xml:space="preserve"> 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714F6B2" w14:textId="77777777" w:rsidR="00B977D3" w:rsidRPr="0060445D" w:rsidRDefault="00D92C13">
      <w:pPr>
        <w:spacing w:before="240" w:after="240" w:line="360" w:lineRule="auto"/>
        <w:jc w:val="both"/>
        <w:rPr>
          <w:rFonts w:ascii="Palatino Linotype" w:eastAsia="Palatino Linotype" w:hAnsi="Palatino Linotype" w:cs="Palatino Linotype"/>
        </w:rPr>
      </w:pPr>
      <w:r w:rsidRPr="0060445D">
        <w:rPr>
          <w:rFonts w:ascii="Palatino Linotype" w:eastAsia="Palatino Linotype" w:hAnsi="Palatino Linotype" w:cs="Palatino Linotype"/>
        </w:rPr>
        <w:t>Es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6A48C1BC" w14:textId="77777777" w:rsidR="00B977D3" w:rsidRPr="0060445D" w:rsidRDefault="00D92C13">
      <w:pPr>
        <w:spacing w:before="240" w:after="240" w:line="360" w:lineRule="auto"/>
        <w:jc w:val="both"/>
        <w:rPr>
          <w:rFonts w:ascii="Palatino Linotype" w:eastAsia="Palatino Linotype" w:hAnsi="Palatino Linotype" w:cs="Palatino Linotype"/>
        </w:rPr>
      </w:pPr>
      <w:r w:rsidRPr="0060445D">
        <w:rPr>
          <w:rFonts w:ascii="Palatino Linotype" w:eastAsia="Palatino Linotype" w:hAnsi="Palatino Linotype" w:cs="Palatino Linotype"/>
        </w:rPr>
        <w:t>De manera preliminar en el caso concreto conviene analizar si se actualiza alguna de las causales de sobreseimiento del recurso de revisión.</w:t>
      </w:r>
    </w:p>
    <w:p w14:paraId="043D368C" w14:textId="77777777" w:rsidR="00B977D3" w:rsidRPr="0060445D" w:rsidRDefault="00D92C13">
      <w:pPr>
        <w:spacing w:before="240" w:after="240" w:line="360" w:lineRule="auto"/>
        <w:jc w:val="both"/>
        <w:rPr>
          <w:rFonts w:ascii="Palatino Linotype" w:eastAsia="Palatino Linotype" w:hAnsi="Palatino Linotype" w:cs="Palatino Linotype"/>
        </w:rPr>
      </w:pPr>
      <w:r w:rsidRPr="0060445D">
        <w:rPr>
          <w:rFonts w:ascii="Palatino Linotype" w:eastAsia="Palatino Linotype" w:hAnsi="Palatino Linotype" w:cs="Palatino Linotype"/>
        </w:rPr>
        <w:t xml:space="preserve">En tal contexto, del análisis de la solicitud de información motivo del recurso de revisión que ahora se resuelve, se advierte que la parte </w:t>
      </w:r>
      <w:r w:rsidRPr="0060445D">
        <w:rPr>
          <w:rFonts w:ascii="Palatino Linotype" w:eastAsia="Palatino Linotype" w:hAnsi="Palatino Linotype" w:cs="Palatino Linotype"/>
          <w:b/>
        </w:rPr>
        <w:t>Recurrente</w:t>
      </w:r>
      <w:r w:rsidRPr="0060445D">
        <w:rPr>
          <w:rFonts w:ascii="Palatino Linotype" w:eastAsia="Palatino Linotype" w:hAnsi="Palatino Linotype" w:cs="Palatino Linotype"/>
        </w:rPr>
        <w:t xml:space="preserve"> requirió al </w:t>
      </w:r>
      <w:r w:rsidRPr="0060445D">
        <w:rPr>
          <w:rFonts w:ascii="Palatino Linotype" w:eastAsia="Palatino Linotype" w:hAnsi="Palatino Linotype" w:cs="Palatino Linotype"/>
          <w:b/>
        </w:rPr>
        <w:t>Sujeto Obligado</w:t>
      </w:r>
      <w:r w:rsidRPr="0060445D">
        <w:rPr>
          <w:rFonts w:ascii="Palatino Linotype" w:eastAsia="Palatino Linotype" w:hAnsi="Palatino Linotype" w:cs="Palatino Linotype"/>
        </w:rPr>
        <w:t xml:space="preserve"> le proporcione información que consiste en lo siguiente:</w:t>
      </w:r>
    </w:p>
    <w:p w14:paraId="3B6245E4" w14:textId="77777777" w:rsidR="00B977D3" w:rsidRPr="0060445D" w:rsidRDefault="00D92C13">
      <w:pPr>
        <w:spacing w:before="240" w:after="240" w:line="360" w:lineRule="auto"/>
        <w:ind w:left="284"/>
        <w:jc w:val="both"/>
        <w:rPr>
          <w:rFonts w:ascii="Palatino Linotype" w:eastAsia="Palatino Linotype" w:hAnsi="Palatino Linotype" w:cs="Palatino Linotype"/>
        </w:rPr>
      </w:pPr>
      <w:r w:rsidRPr="0060445D">
        <w:rPr>
          <w:rFonts w:ascii="Palatino Linotype" w:eastAsia="Palatino Linotype" w:hAnsi="Palatino Linotype" w:cs="Palatino Linotype"/>
        </w:rPr>
        <w:t>Del trabajador universitario referido en la solicitud, quien se desempeña como Supervisor de Obra en el Departamento de Obra y Construcción:</w:t>
      </w:r>
    </w:p>
    <w:p w14:paraId="44201C09" w14:textId="77777777" w:rsidR="00B977D3" w:rsidRPr="0060445D" w:rsidRDefault="00D92C13">
      <w:pPr>
        <w:numPr>
          <w:ilvl w:val="0"/>
          <w:numId w:val="1"/>
        </w:numPr>
        <w:pBdr>
          <w:top w:val="nil"/>
          <w:left w:val="nil"/>
          <w:bottom w:val="nil"/>
          <w:right w:val="nil"/>
          <w:between w:val="nil"/>
        </w:pBdr>
        <w:tabs>
          <w:tab w:val="left" w:pos="426"/>
        </w:tabs>
        <w:spacing w:before="240" w:line="360" w:lineRule="auto"/>
        <w:ind w:left="284" w:firstLine="0"/>
        <w:jc w:val="both"/>
        <w:rPr>
          <w:rFonts w:ascii="Palatino Linotype" w:eastAsia="Palatino Linotype" w:hAnsi="Palatino Linotype" w:cs="Palatino Linotype"/>
        </w:rPr>
      </w:pPr>
      <w:r w:rsidRPr="0060445D">
        <w:rPr>
          <w:rFonts w:ascii="Palatino Linotype" w:eastAsia="Palatino Linotype" w:hAnsi="Palatino Linotype" w:cs="Palatino Linotype"/>
        </w:rPr>
        <w:t>Información de todas y cada una de sus prestaciones que forman parte de su salario.</w:t>
      </w:r>
    </w:p>
    <w:p w14:paraId="1EE067CD" w14:textId="77777777" w:rsidR="00B977D3" w:rsidRPr="0060445D" w:rsidRDefault="00D92C13">
      <w:pPr>
        <w:numPr>
          <w:ilvl w:val="0"/>
          <w:numId w:val="1"/>
        </w:numPr>
        <w:pBdr>
          <w:top w:val="nil"/>
          <w:left w:val="nil"/>
          <w:bottom w:val="nil"/>
          <w:right w:val="nil"/>
          <w:between w:val="nil"/>
        </w:pBdr>
        <w:tabs>
          <w:tab w:val="left" w:pos="426"/>
        </w:tabs>
        <w:spacing w:after="240" w:line="360" w:lineRule="auto"/>
        <w:ind w:left="284" w:firstLine="0"/>
        <w:jc w:val="both"/>
        <w:rPr>
          <w:rFonts w:ascii="Palatino Linotype" w:eastAsia="Palatino Linotype" w:hAnsi="Palatino Linotype" w:cs="Palatino Linotype"/>
        </w:rPr>
      </w:pPr>
      <w:r w:rsidRPr="0060445D">
        <w:rPr>
          <w:rFonts w:ascii="Palatino Linotype" w:eastAsia="Palatino Linotype" w:hAnsi="Palatino Linotype" w:cs="Palatino Linotype"/>
        </w:rPr>
        <w:t>Monto que recibe por cada prestación que forma parte de su salario.</w:t>
      </w:r>
    </w:p>
    <w:p w14:paraId="21FAF7D8" w14:textId="77777777" w:rsidR="00B977D3" w:rsidRPr="0060445D" w:rsidRDefault="00D92C13">
      <w:pPr>
        <w:spacing w:before="240" w:after="240" w:line="360" w:lineRule="auto"/>
        <w:jc w:val="both"/>
        <w:rPr>
          <w:rFonts w:ascii="Palatino Linotype" w:eastAsia="Palatino Linotype" w:hAnsi="Palatino Linotype" w:cs="Palatino Linotype"/>
        </w:rPr>
      </w:pPr>
      <w:r w:rsidRPr="0060445D">
        <w:rPr>
          <w:rFonts w:ascii="Palatino Linotype" w:eastAsia="Palatino Linotype" w:hAnsi="Palatino Linotype" w:cs="Palatino Linotype"/>
        </w:rPr>
        <w:t xml:space="preserve">En respuesta, el </w:t>
      </w:r>
      <w:r w:rsidRPr="0060445D">
        <w:rPr>
          <w:rFonts w:ascii="Palatino Linotype" w:eastAsia="Palatino Linotype" w:hAnsi="Palatino Linotype" w:cs="Palatino Linotype"/>
          <w:b/>
        </w:rPr>
        <w:t xml:space="preserve">Sujeto Obligado </w:t>
      </w:r>
      <w:r w:rsidRPr="0060445D">
        <w:rPr>
          <w:rFonts w:ascii="Palatino Linotype" w:eastAsia="Palatino Linotype" w:hAnsi="Palatino Linotype" w:cs="Palatino Linotype"/>
        </w:rPr>
        <w:t xml:space="preserve">por conducto de la Dirección de Recursos Humanos refirió que la información solicitada podía ser consultada en la liga electrónica: </w:t>
      </w:r>
      <w:hyperlink r:id="rId8">
        <w:r w:rsidRPr="0060445D">
          <w:rPr>
            <w:rFonts w:ascii="Palatino Linotype" w:eastAsia="Palatino Linotype" w:hAnsi="Palatino Linotype" w:cs="Palatino Linotype"/>
            <w:i/>
            <w:sz w:val="20"/>
            <w:szCs w:val="20"/>
            <w:u w:val="single"/>
          </w:rPr>
          <w:t>http://transparencia.uaemex.mx/usuario/infPub.php?nomDir=03.catPueTabSal&amp;cveParent=5</w:t>
        </w:r>
      </w:hyperlink>
      <w:r w:rsidRPr="0060445D">
        <w:rPr>
          <w:rFonts w:ascii="Palatino Linotype" w:eastAsia="Palatino Linotype" w:hAnsi="Palatino Linotype" w:cs="Palatino Linotype"/>
        </w:rPr>
        <w:t xml:space="preserve">  en el apartado de tabulador salarial, año 2025, atendiendo a la categoría 22012, así mismo proporcionó el tabulador de sueldos 2025 para su consulta.</w:t>
      </w:r>
    </w:p>
    <w:p w14:paraId="3402E12D" w14:textId="77777777" w:rsidR="00B977D3" w:rsidRPr="0060445D" w:rsidRDefault="00D92C13">
      <w:pPr>
        <w:spacing w:before="240" w:after="240" w:line="360" w:lineRule="auto"/>
        <w:jc w:val="both"/>
        <w:rPr>
          <w:rFonts w:ascii="Palatino Linotype" w:eastAsia="Palatino Linotype" w:hAnsi="Palatino Linotype" w:cs="Palatino Linotype"/>
        </w:rPr>
      </w:pPr>
      <w:r w:rsidRPr="0060445D">
        <w:rPr>
          <w:rFonts w:ascii="Palatino Linotype" w:eastAsia="Palatino Linotype" w:hAnsi="Palatino Linotype" w:cs="Palatino Linotype"/>
        </w:rPr>
        <w:t xml:space="preserve">Sin embargo, al no estar conforme con los términos de dicha respuesta, la parte </w:t>
      </w:r>
      <w:r w:rsidRPr="0060445D">
        <w:rPr>
          <w:rFonts w:ascii="Palatino Linotype" w:eastAsia="Palatino Linotype" w:hAnsi="Palatino Linotype" w:cs="Palatino Linotype"/>
          <w:b/>
        </w:rPr>
        <w:t xml:space="preserve">Recurrente </w:t>
      </w:r>
      <w:r w:rsidRPr="0060445D">
        <w:rPr>
          <w:rFonts w:ascii="Palatino Linotype" w:eastAsia="Palatino Linotype" w:hAnsi="Palatino Linotype" w:cs="Palatino Linotype"/>
        </w:rPr>
        <w:t>presentó el recurso de revisión que nos ocupa, donde manifestó en lo medular que no se puede acceder a la liga electrónica proporcionada para consultar la información, requiriendo en el acto un documento donde conste lo solicitado específicamente del trabajador referido.</w:t>
      </w:r>
    </w:p>
    <w:p w14:paraId="6D854EAA"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rFonts w:ascii="Palatino Linotype" w:eastAsia="Palatino Linotype" w:hAnsi="Palatino Linotype" w:cs="Palatino Linotype"/>
        </w:rPr>
        <w:t xml:space="preserve">Durante la etapa de manifestaciones, además de ratificar en lo sustancial la respuesta emitirá en primera instancia, el </w:t>
      </w:r>
      <w:r w:rsidRPr="0060445D">
        <w:rPr>
          <w:rFonts w:ascii="Palatino Linotype" w:eastAsia="Palatino Linotype" w:hAnsi="Palatino Linotype" w:cs="Palatino Linotype"/>
          <w:b/>
        </w:rPr>
        <w:t xml:space="preserve">Sujeto Obligado </w:t>
      </w:r>
      <w:r w:rsidRPr="0060445D">
        <w:rPr>
          <w:rFonts w:ascii="Palatino Linotype" w:eastAsia="Palatino Linotype" w:hAnsi="Palatino Linotype" w:cs="Palatino Linotype"/>
        </w:rPr>
        <w:t>proporcionó el documento que contiene las remuneraciones del personal de la Universidad correspondientes al ejercicio 2025, como se muestra en seguida:</w:t>
      </w:r>
    </w:p>
    <w:p w14:paraId="2E27CF5D"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noProof/>
        </w:rPr>
        <w:drawing>
          <wp:inline distT="0" distB="0" distL="0" distR="0" wp14:anchorId="02107089" wp14:editId="4BB9D691">
            <wp:extent cx="5612130" cy="1315085"/>
            <wp:effectExtent l="0" t="0" r="0" b="0"/>
            <wp:docPr id="20659430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12130" cy="1315085"/>
                    </a:xfrm>
                    <a:prstGeom prst="rect">
                      <a:avLst/>
                    </a:prstGeom>
                    <a:ln/>
                  </pic:spPr>
                </pic:pic>
              </a:graphicData>
            </a:graphic>
          </wp:inline>
        </w:drawing>
      </w:r>
    </w:p>
    <w:p w14:paraId="484AE326"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rFonts w:ascii="Palatino Linotype" w:eastAsia="Palatino Linotype" w:hAnsi="Palatino Linotype" w:cs="Palatino Linotype"/>
        </w:rPr>
        <w:t xml:space="preserve">Como se señaló en los antecedentes de la presente resolución, la información referida se hizo del conocimiento de la parte </w:t>
      </w:r>
      <w:r w:rsidRPr="0060445D">
        <w:rPr>
          <w:rFonts w:ascii="Palatino Linotype" w:eastAsia="Palatino Linotype" w:hAnsi="Palatino Linotype" w:cs="Palatino Linotype"/>
          <w:b/>
        </w:rPr>
        <w:t xml:space="preserve">Recurrente, </w:t>
      </w:r>
      <w:r w:rsidRPr="0060445D">
        <w:rPr>
          <w:rFonts w:ascii="Palatino Linotype" w:eastAsia="Palatino Linotype" w:hAnsi="Palatino Linotype" w:cs="Palatino Linotype"/>
        </w:rPr>
        <w:t>sin embargo, esta fue omisa en manifestar lo que a su derecho estimara conveniente, por lo que se tiene por precluido su derecho para tal efecto y se procede a emitir la resolución que conforme a derecho corresponda.</w:t>
      </w:r>
    </w:p>
    <w:p w14:paraId="7BF903C4"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rFonts w:ascii="Palatino Linotype" w:eastAsia="Palatino Linotype" w:hAnsi="Palatino Linotype" w:cs="Palatino Linotype"/>
        </w:rPr>
        <w:t>Una vez establecidas las posturas de las partes,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1B1263AD"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rFonts w:ascii="Palatino Linotype" w:eastAsia="Palatino Linotype" w:hAnsi="Palatino Linotype" w:cs="Palatino Linotype"/>
        </w:rPr>
        <w:t xml:space="preserve">Como se señaló en los antecedentes de la presente resolución, la información referida se hizo del conocimiento de la parte </w:t>
      </w:r>
      <w:r w:rsidRPr="0060445D">
        <w:rPr>
          <w:rFonts w:ascii="Palatino Linotype" w:eastAsia="Palatino Linotype" w:hAnsi="Palatino Linotype" w:cs="Palatino Linotype"/>
          <w:b/>
        </w:rPr>
        <w:t xml:space="preserve">Recurrente, </w:t>
      </w:r>
      <w:r w:rsidRPr="0060445D">
        <w:rPr>
          <w:rFonts w:ascii="Palatino Linotype" w:eastAsia="Palatino Linotype" w:hAnsi="Palatino Linotype" w:cs="Palatino Linotype"/>
        </w:rPr>
        <w:t>sin embargo, esta fue omisa en manifestar lo que a su derecho estimara conveniente, por lo que se tiene por precluido su derecho para tal efecto y se procede a emitir la resolución que conforme a derecho corresponda.</w:t>
      </w:r>
    </w:p>
    <w:p w14:paraId="2B86A5DC"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rFonts w:ascii="Palatino Linotype" w:eastAsia="Palatino Linotype" w:hAnsi="Palatino Linotype" w:cs="Palatino Linotype"/>
        </w:rPr>
        <w:t>Una vez establecidas las posturas de las partes,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6795C3BC"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rFonts w:ascii="Palatino Linotype" w:eastAsia="Palatino Linotype" w:hAnsi="Palatino Linotype" w:cs="Palatino Linotype"/>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7782E2D4"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rFonts w:ascii="Palatino Linotype" w:eastAsia="Palatino Linotype" w:hAnsi="Palatino Linotype" w:cs="Palatino Linotype"/>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7344CF8E"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rFonts w:ascii="Palatino Linotype" w:eastAsia="Palatino Linotype" w:hAnsi="Palatino Linotype" w:cs="Palatino Linotype"/>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31DB7432"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rFonts w:ascii="Palatino Linotype" w:eastAsia="Palatino Linotype" w:hAnsi="Palatino Linotype" w:cs="Palatino Linotype"/>
        </w:rPr>
        <w:t xml:space="preserve">En esta línea de pensamiento, derivado del análisis de las constancias que obran en el expediente electrónico en el que se actúa, se advirtió que la Unidad de Transparencia del </w:t>
      </w:r>
      <w:r w:rsidRPr="0060445D">
        <w:rPr>
          <w:rFonts w:ascii="Palatino Linotype" w:eastAsia="Palatino Linotype" w:hAnsi="Palatino Linotype" w:cs="Palatino Linotype"/>
          <w:b/>
        </w:rPr>
        <w:t>Sujeto Obligado</w:t>
      </w:r>
      <w:r w:rsidRPr="0060445D">
        <w:rPr>
          <w:rFonts w:ascii="Palatino Linotype" w:eastAsia="Palatino Linotype" w:hAnsi="Palatino Linotype" w:cs="Palatino Linotype"/>
        </w:rPr>
        <w:t>, turnó la solicitud a la Dirección de Recursos Humanos adscrita a la Secretaría de Gestión y Administración Universitaria, como la responsable de planificar, coordinar, dirigir y ejecutar las políticas, programas y procesos para la eficiente administración de los recursos humanos, de conformidad con el artículo 41 del Reglamento de la Administración Universitaria de la Universidad Autónoma del Estado De México.</w:t>
      </w:r>
    </w:p>
    <w:p w14:paraId="4B057483"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rFonts w:ascii="Palatino Linotype" w:eastAsia="Palatino Linotype" w:hAnsi="Palatino Linotype" w:cs="Palatino Linotype"/>
        </w:rPr>
        <w:t>Mientras que el Manual de Organización de la Dirección de Recursos Humanos, confiere a dicha unidad las siguientes atribuciones en su parte conducente:</w:t>
      </w:r>
    </w:p>
    <w:p w14:paraId="2B5390F8"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rFonts w:ascii="Palatino Linotype" w:eastAsia="Palatino Linotype" w:hAnsi="Palatino Linotype" w:cs="Palatino Linotype"/>
        </w:rPr>
        <w:t>- Disponer las acciones necesarias tendientes a administrar el capital humano, los recursos materiales, financieros y técnicos que tenga asignados para otorgar servicios eficientes y eficaces al trabajador universitario.</w:t>
      </w:r>
    </w:p>
    <w:p w14:paraId="3FED4998"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rFonts w:ascii="Palatino Linotype" w:eastAsia="Palatino Linotype" w:hAnsi="Palatino Linotype" w:cs="Palatino Linotype"/>
        </w:rPr>
        <w:t xml:space="preserve">- </w:t>
      </w:r>
      <w:r w:rsidRPr="0060445D">
        <w:rPr>
          <w:rFonts w:ascii="Palatino Linotype" w:eastAsia="Palatino Linotype" w:hAnsi="Palatino Linotype" w:cs="Palatino Linotype"/>
          <w:b/>
        </w:rPr>
        <w:t>Supervisar la aplicación de los movimientos de percepciones y deducciones</w:t>
      </w:r>
      <w:r w:rsidRPr="0060445D">
        <w:rPr>
          <w:rFonts w:ascii="Palatino Linotype" w:eastAsia="Palatino Linotype" w:hAnsi="Palatino Linotype" w:cs="Palatino Linotype"/>
        </w:rPr>
        <w:t>, a efecto de garantizar el pago oportuno de sueldos y prestaciones de los trabajadores universitarios en el Sistema dispuesto para la Administración de Recursos Humanos, así como del aprovechamiento de las tecnologías de la información disponibles en cumplimiento de la normatividad aplicable, Ley Federal de Trabajo, Contratos Colectivos de Trabajo, ISR y Ley ISSEMyM.</w:t>
      </w:r>
    </w:p>
    <w:p w14:paraId="0D2D1B59"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rFonts w:ascii="Palatino Linotype" w:eastAsia="Palatino Linotype" w:hAnsi="Palatino Linotype" w:cs="Palatino Linotype"/>
        </w:rPr>
        <w:t>De lo anterior se desprende que la Dirección de Recursos Humanos está facultada para conocer de la información que es del interés de la persona solicitante.</w:t>
      </w:r>
    </w:p>
    <w:p w14:paraId="167ED19E"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rFonts w:ascii="Palatino Linotype" w:eastAsia="Palatino Linotype" w:hAnsi="Palatino Linotype" w:cs="Palatino Linotype"/>
        </w:rPr>
        <w:t xml:space="preserve">En este orden de ideas, como se mencionó anteriormente, el servidor público habilitado refirió que la información solicitada puede ser consultada en la liga electrónica </w:t>
      </w:r>
      <w:hyperlink r:id="rId10">
        <w:r w:rsidRPr="0060445D">
          <w:rPr>
            <w:rFonts w:ascii="Palatino Linotype" w:eastAsia="Palatino Linotype" w:hAnsi="Palatino Linotype" w:cs="Palatino Linotype"/>
            <w:i/>
            <w:sz w:val="20"/>
            <w:szCs w:val="20"/>
            <w:u w:val="single"/>
          </w:rPr>
          <w:t>http://transparencia.uaemex.mx/usuario/infPub.php?nomDir=03.catPueTabSal&amp;cveParent=5</w:t>
        </w:r>
      </w:hyperlink>
      <w:r w:rsidRPr="0060445D">
        <w:rPr>
          <w:rFonts w:ascii="Palatino Linotype" w:eastAsia="Palatino Linotype" w:hAnsi="Palatino Linotype" w:cs="Palatino Linotype"/>
          <w:i/>
          <w:sz w:val="22"/>
          <w:szCs w:val="22"/>
        </w:rPr>
        <w:t xml:space="preserve"> </w:t>
      </w:r>
      <w:r w:rsidRPr="0060445D">
        <w:rPr>
          <w:rFonts w:ascii="Palatino Linotype" w:eastAsia="Palatino Linotype" w:hAnsi="Palatino Linotype" w:cs="Palatino Linotype"/>
        </w:rPr>
        <w:t xml:space="preserve">en el apartado de tabulador salarial, año 2025, atendiendo a la categoría 22012. </w:t>
      </w:r>
    </w:p>
    <w:p w14:paraId="1A3C5B4A"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rFonts w:ascii="Palatino Linotype" w:eastAsia="Palatino Linotype" w:hAnsi="Palatino Linotype" w:cs="Palatino Linotype"/>
        </w:rPr>
        <w:t xml:space="preserve">Cabe mencionar que, atendiendo a los motivos de inconformidad alegados por la parte </w:t>
      </w:r>
      <w:r w:rsidRPr="0060445D">
        <w:rPr>
          <w:rFonts w:ascii="Palatino Linotype" w:eastAsia="Palatino Linotype" w:hAnsi="Palatino Linotype" w:cs="Palatino Linotype"/>
          <w:b/>
        </w:rPr>
        <w:t xml:space="preserve">Recurrente, </w:t>
      </w:r>
      <w:r w:rsidRPr="0060445D">
        <w:rPr>
          <w:rFonts w:ascii="Palatino Linotype" w:eastAsia="Palatino Linotype" w:hAnsi="Palatino Linotype" w:cs="Palatino Linotype"/>
        </w:rPr>
        <w:t>este Organismo Garante procedió a la consulta de la información, obteniendo como resultado lo siguiente:</w:t>
      </w:r>
    </w:p>
    <w:p w14:paraId="1886E4E6"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noProof/>
        </w:rPr>
        <w:drawing>
          <wp:inline distT="0" distB="0" distL="0" distR="0" wp14:anchorId="33694542" wp14:editId="6892B184">
            <wp:extent cx="5612130" cy="3220085"/>
            <wp:effectExtent l="0" t="0" r="0" b="0"/>
            <wp:docPr id="20659430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612130" cy="3220085"/>
                    </a:xfrm>
                    <a:prstGeom prst="rect">
                      <a:avLst/>
                    </a:prstGeom>
                    <a:ln/>
                  </pic:spPr>
                </pic:pic>
              </a:graphicData>
            </a:graphic>
          </wp:inline>
        </w:drawing>
      </w:r>
    </w:p>
    <w:p w14:paraId="0A081C2E"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noProof/>
        </w:rPr>
        <w:drawing>
          <wp:inline distT="0" distB="0" distL="0" distR="0" wp14:anchorId="5EB10C2A" wp14:editId="492C80B9">
            <wp:extent cx="5612130" cy="2111375"/>
            <wp:effectExtent l="0" t="0" r="0" b="0"/>
            <wp:docPr id="206594302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5612130" cy="2111375"/>
                    </a:xfrm>
                    <a:prstGeom prst="rect">
                      <a:avLst/>
                    </a:prstGeom>
                    <a:ln/>
                  </pic:spPr>
                </pic:pic>
              </a:graphicData>
            </a:graphic>
          </wp:inline>
        </w:drawing>
      </w:r>
    </w:p>
    <w:p w14:paraId="742DD544"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rFonts w:ascii="Palatino Linotype" w:eastAsia="Palatino Linotype" w:hAnsi="Palatino Linotype" w:cs="Palatino Linotype"/>
        </w:rPr>
        <w:t xml:space="preserve">Como se advierte, en la dirección electrónica proporcionada por el </w:t>
      </w:r>
      <w:r w:rsidRPr="0060445D">
        <w:rPr>
          <w:rFonts w:ascii="Palatino Linotype" w:eastAsia="Palatino Linotype" w:hAnsi="Palatino Linotype" w:cs="Palatino Linotype"/>
          <w:b/>
        </w:rPr>
        <w:t xml:space="preserve">Sujeto Obligado </w:t>
      </w:r>
      <w:r w:rsidRPr="0060445D">
        <w:rPr>
          <w:rFonts w:ascii="Palatino Linotype" w:eastAsia="Palatino Linotype" w:hAnsi="Palatino Linotype" w:cs="Palatino Linotype"/>
        </w:rPr>
        <w:t>se localiza el tabulador salarial del ejercicio 2005 a 2025.</w:t>
      </w:r>
    </w:p>
    <w:p w14:paraId="1D5B99A0" w14:textId="77777777" w:rsidR="00B977D3" w:rsidRPr="0060445D" w:rsidRDefault="00CE5F82">
      <w:pPr>
        <w:spacing w:before="240" w:after="240" w:line="360" w:lineRule="auto"/>
        <w:ind w:right="49"/>
        <w:jc w:val="both"/>
        <w:rPr>
          <w:rFonts w:ascii="Palatino Linotype" w:eastAsia="Palatino Linotype" w:hAnsi="Palatino Linotype" w:cs="Palatino Linotype"/>
        </w:rPr>
      </w:pPr>
      <w:r w:rsidRPr="0060445D">
        <w:rPr>
          <w:rFonts w:ascii="Palatino Linotype" w:eastAsia="Palatino Linotype" w:hAnsi="Palatino Linotype" w:cs="Palatino Linotype"/>
        </w:rPr>
        <w:t xml:space="preserve">Sin perder de vista </w:t>
      </w:r>
      <w:r w:rsidR="00D92C13" w:rsidRPr="0060445D">
        <w:rPr>
          <w:rFonts w:ascii="Palatino Linotype" w:eastAsia="Palatino Linotype" w:hAnsi="Palatino Linotype" w:cs="Palatino Linotype"/>
        </w:rPr>
        <w:t>que el tabulador de sueldos del ejercicio 2025 se adjuntó a la respuesta.</w:t>
      </w:r>
    </w:p>
    <w:p w14:paraId="5E2155C8"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rFonts w:ascii="Palatino Linotype" w:eastAsia="Palatino Linotype" w:hAnsi="Palatino Linotype" w:cs="Palatino Linotype"/>
        </w:rPr>
        <w:t>Además de lo anterior, el servidor público habilitado proporcionó la categoría que corresponde con el puesto que ostenta la persona referida en la solicitud, siendo esta la 22012, por consiguiente, se procedió a la consulta de la información, obteniendo lo siguiente:</w:t>
      </w:r>
    </w:p>
    <w:p w14:paraId="3FE4BE83"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noProof/>
        </w:rPr>
        <w:drawing>
          <wp:inline distT="0" distB="0" distL="0" distR="0" wp14:anchorId="4B530E66" wp14:editId="4C5C4D0D">
            <wp:extent cx="5612130" cy="1597025"/>
            <wp:effectExtent l="0" t="0" r="0" b="0"/>
            <wp:docPr id="206594303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5612130" cy="1597025"/>
                    </a:xfrm>
                    <a:prstGeom prst="rect">
                      <a:avLst/>
                    </a:prstGeom>
                    <a:ln/>
                  </pic:spPr>
                </pic:pic>
              </a:graphicData>
            </a:graphic>
          </wp:inline>
        </w:drawing>
      </w:r>
    </w:p>
    <w:p w14:paraId="456D6DCC"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noProof/>
        </w:rPr>
        <w:drawing>
          <wp:inline distT="0" distB="0" distL="0" distR="0" wp14:anchorId="0C04B814" wp14:editId="2C168E44">
            <wp:extent cx="5612130" cy="197485"/>
            <wp:effectExtent l="0" t="0" r="0" b="0"/>
            <wp:docPr id="206594302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5612130" cy="197485"/>
                    </a:xfrm>
                    <a:prstGeom prst="rect">
                      <a:avLst/>
                    </a:prstGeom>
                    <a:ln/>
                  </pic:spPr>
                </pic:pic>
              </a:graphicData>
            </a:graphic>
          </wp:inline>
        </w:drawing>
      </w:r>
    </w:p>
    <w:p w14:paraId="121A0C85"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rFonts w:ascii="Palatino Linotype" w:eastAsia="Palatino Linotype" w:hAnsi="Palatino Linotype" w:cs="Palatino Linotype"/>
        </w:rPr>
        <w:t>Como se advierte, el tabulador de salarios proporcionado únicamente da cuenta del importe mensual neto asignado a la categoría 22012 que corresponde con el puesto de Asistente “B”, sin embargo, no refiere la totalidad de las prestaciones que integran la remuneración del servidor público y los montos correspondientes a las mismas.</w:t>
      </w:r>
    </w:p>
    <w:p w14:paraId="0C5F02E4"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rFonts w:ascii="Palatino Linotype" w:eastAsia="Palatino Linotype" w:hAnsi="Palatino Linotype" w:cs="Palatino Linotype"/>
        </w:rPr>
        <w:t xml:space="preserve">Y, si bien es cierto que en la etapa de manifestaciones el </w:t>
      </w:r>
      <w:r w:rsidRPr="0060445D">
        <w:rPr>
          <w:rFonts w:ascii="Palatino Linotype" w:eastAsia="Palatino Linotype" w:hAnsi="Palatino Linotype" w:cs="Palatino Linotype"/>
          <w:b/>
        </w:rPr>
        <w:t xml:space="preserve">Sujeto Obligado </w:t>
      </w:r>
      <w:r w:rsidRPr="0060445D">
        <w:rPr>
          <w:rFonts w:ascii="Palatino Linotype" w:eastAsia="Palatino Linotype" w:hAnsi="Palatino Linotype" w:cs="Palatino Linotype"/>
        </w:rPr>
        <w:t>ratificó en lo sustancial la respuesta proporcionada en primera instancia, en un acto posterior hizo entrega del documento que contiene las Remuneraciones del Personal de la Universidad Autónoma del Estado de México 2025, en el cual pueden localizarse las prestaciones que corresponden a la categoría salarial 22012, como a continuación se ilustra:</w:t>
      </w:r>
    </w:p>
    <w:p w14:paraId="33FE9DA0"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noProof/>
        </w:rPr>
        <w:drawing>
          <wp:inline distT="0" distB="0" distL="0" distR="0" wp14:anchorId="785C869D" wp14:editId="10A532EB">
            <wp:extent cx="5612130" cy="413385"/>
            <wp:effectExtent l="0" t="0" r="0" b="0"/>
            <wp:docPr id="206594303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5612130" cy="413385"/>
                    </a:xfrm>
                    <a:prstGeom prst="rect">
                      <a:avLst/>
                    </a:prstGeom>
                    <a:ln/>
                  </pic:spPr>
                </pic:pic>
              </a:graphicData>
            </a:graphic>
          </wp:inline>
        </w:drawing>
      </w:r>
      <w:r w:rsidRPr="0060445D">
        <w:rPr>
          <w:noProof/>
        </w:rPr>
        <w:drawing>
          <wp:inline distT="0" distB="0" distL="0" distR="0" wp14:anchorId="2C9F1AD8" wp14:editId="6ED59028">
            <wp:extent cx="5612130" cy="90170"/>
            <wp:effectExtent l="0" t="0" r="0" b="0"/>
            <wp:docPr id="206594303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5612130" cy="90170"/>
                    </a:xfrm>
                    <a:prstGeom prst="rect">
                      <a:avLst/>
                    </a:prstGeom>
                    <a:ln/>
                  </pic:spPr>
                </pic:pic>
              </a:graphicData>
            </a:graphic>
          </wp:inline>
        </w:drawing>
      </w:r>
    </w:p>
    <w:p w14:paraId="49F1D0D3"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noProof/>
        </w:rPr>
        <w:drawing>
          <wp:inline distT="0" distB="0" distL="0" distR="0" wp14:anchorId="12083782" wp14:editId="60463C22">
            <wp:extent cx="5612130" cy="421640"/>
            <wp:effectExtent l="0" t="0" r="0" b="0"/>
            <wp:docPr id="206594303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7"/>
                    <a:srcRect/>
                    <a:stretch>
                      <a:fillRect/>
                    </a:stretch>
                  </pic:blipFill>
                  <pic:spPr>
                    <a:xfrm>
                      <a:off x="0" y="0"/>
                      <a:ext cx="5612130" cy="421640"/>
                    </a:xfrm>
                    <a:prstGeom prst="rect">
                      <a:avLst/>
                    </a:prstGeom>
                    <a:ln/>
                  </pic:spPr>
                </pic:pic>
              </a:graphicData>
            </a:graphic>
          </wp:inline>
        </w:drawing>
      </w:r>
      <w:r w:rsidRPr="0060445D">
        <w:rPr>
          <w:noProof/>
        </w:rPr>
        <w:drawing>
          <wp:inline distT="0" distB="0" distL="0" distR="0" wp14:anchorId="017DD041" wp14:editId="52AAF04E">
            <wp:extent cx="5612130" cy="75565"/>
            <wp:effectExtent l="0" t="0" r="0" b="0"/>
            <wp:docPr id="206594303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8"/>
                    <a:srcRect/>
                    <a:stretch>
                      <a:fillRect/>
                    </a:stretch>
                  </pic:blipFill>
                  <pic:spPr>
                    <a:xfrm>
                      <a:off x="0" y="0"/>
                      <a:ext cx="5612130" cy="75565"/>
                    </a:xfrm>
                    <a:prstGeom prst="rect">
                      <a:avLst/>
                    </a:prstGeom>
                    <a:ln/>
                  </pic:spPr>
                </pic:pic>
              </a:graphicData>
            </a:graphic>
          </wp:inline>
        </w:drawing>
      </w:r>
    </w:p>
    <w:p w14:paraId="5CE5165A" w14:textId="77777777" w:rsidR="00B977D3" w:rsidRPr="0060445D" w:rsidRDefault="00D92C13">
      <w:pPr>
        <w:spacing w:before="240" w:after="240" w:line="360" w:lineRule="auto"/>
        <w:ind w:right="40"/>
        <w:jc w:val="both"/>
        <w:rPr>
          <w:rFonts w:ascii="Palatino Linotype" w:eastAsia="Palatino Linotype" w:hAnsi="Palatino Linotype" w:cs="Palatino Linotype"/>
        </w:rPr>
      </w:pPr>
      <w:r w:rsidRPr="0060445D">
        <w:rPr>
          <w:rFonts w:ascii="Palatino Linotype" w:eastAsia="Palatino Linotype" w:hAnsi="Palatino Linotype" w:cs="Palatino Linotype"/>
        </w:rPr>
        <w:t>Como se logra vislumbrar, además de las percepciones ordinarias compuestas por los conceptos de sueldo base, despensa y fondo de ahorro; las percepciones extraordinarias de la categoría salarial 22012 se componen por las siguientes prestaciones: aguinaldo, prima vacacional, día del empleado, despensa anual, ajuste de calendario 5 días, ayuda de transporte bimestral, ayuda de útiles escolares, reconocimiento institucional académico y reconocimiento institucional 1000, cuyos montos se incluyen en el documento proporcionado.</w:t>
      </w:r>
    </w:p>
    <w:p w14:paraId="5B976385"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rFonts w:ascii="Palatino Linotype" w:eastAsia="Palatino Linotype" w:hAnsi="Palatino Linotype" w:cs="Palatino Linotype"/>
        </w:rPr>
        <w:t xml:space="preserve">Bajo los argumentos expuestos, se estima que la información remitida por el </w:t>
      </w:r>
      <w:r w:rsidRPr="0060445D">
        <w:rPr>
          <w:rFonts w:ascii="Palatino Linotype" w:eastAsia="Palatino Linotype" w:hAnsi="Palatino Linotype" w:cs="Palatino Linotype"/>
          <w:b/>
        </w:rPr>
        <w:t xml:space="preserve">Sujeto Obligado </w:t>
      </w:r>
      <w:r w:rsidRPr="0060445D">
        <w:rPr>
          <w:rFonts w:ascii="Palatino Linotype" w:eastAsia="Palatino Linotype" w:hAnsi="Palatino Linotype" w:cs="Palatino Linotype"/>
        </w:rPr>
        <w:t>en la etapa de manifestaciones</w:t>
      </w:r>
      <w:r w:rsidRPr="0060445D">
        <w:rPr>
          <w:rFonts w:ascii="Palatino Linotype" w:eastAsia="Palatino Linotype" w:hAnsi="Palatino Linotype" w:cs="Palatino Linotype"/>
          <w:b/>
        </w:rPr>
        <w:t xml:space="preserve"> </w:t>
      </w:r>
      <w:r w:rsidRPr="0060445D">
        <w:rPr>
          <w:rFonts w:ascii="Palatino Linotype" w:eastAsia="Palatino Linotype" w:hAnsi="Palatino Linotype" w:cs="Palatino Linotype"/>
        </w:rPr>
        <w:t xml:space="preserve">es suficiente para tener por atendido el derecho de acceso a la información de la parte </w:t>
      </w:r>
      <w:r w:rsidRPr="0060445D">
        <w:rPr>
          <w:rFonts w:ascii="Palatino Linotype" w:eastAsia="Palatino Linotype" w:hAnsi="Palatino Linotype" w:cs="Palatino Linotype"/>
          <w:b/>
        </w:rPr>
        <w:t>Recurrente</w:t>
      </w:r>
      <w:r w:rsidRPr="0060445D">
        <w:rPr>
          <w:rFonts w:ascii="Palatino Linotype" w:eastAsia="Palatino Linotype" w:hAnsi="Palatino Linotype" w:cs="Palatino Linotype"/>
        </w:rPr>
        <w:t>, siendo importante dejar claro que este Pleno no está facultado para manifestarse sobre la veracidad de la información proporcionada, conforme lo prevé el artículo 36 de la Ley de Transparencia y Acceso a la Información Pública del Estado de México y Municipios.</w:t>
      </w:r>
    </w:p>
    <w:p w14:paraId="59D1C393"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rFonts w:ascii="Palatino Linotype" w:eastAsia="Palatino Linotype" w:hAnsi="Palatino Linotype" w:cs="Palatino Linotype"/>
        </w:rPr>
        <w:t>Por ende, se considera que en el presente asunto se actualiza la hipótesis prevista en el artículo 192, fracción III de la Ley de Transparencia y Acceso a la Información Pública del Estado de México y Municipios vigente, a saber:</w:t>
      </w:r>
    </w:p>
    <w:p w14:paraId="5F48CB92" w14:textId="77777777" w:rsidR="00B977D3" w:rsidRPr="0060445D" w:rsidRDefault="00D92C13">
      <w:pPr>
        <w:tabs>
          <w:tab w:val="left" w:pos="8080"/>
        </w:tabs>
        <w:spacing w:before="120" w:after="120"/>
        <w:ind w:left="851" w:right="902"/>
        <w:jc w:val="both"/>
        <w:rPr>
          <w:rFonts w:ascii="Palatino Linotype" w:eastAsia="Palatino Linotype" w:hAnsi="Palatino Linotype" w:cs="Palatino Linotype"/>
          <w:i/>
          <w:sz w:val="22"/>
          <w:szCs w:val="22"/>
        </w:rPr>
      </w:pPr>
      <w:r w:rsidRPr="0060445D">
        <w:rPr>
          <w:rFonts w:ascii="Palatino Linotype" w:eastAsia="Palatino Linotype" w:hAnsi="Palatino Linotype" w:cs="Palatino Linotype"/>
          <w:i/>
          <w:sz w:val="22"/>
          <w:szCs w:val="22"/>
        </w:rPr>
        <w:t>“</w:t>
      </w:r>
      <w:r w:rsidRPr="0060445D">
        <w:rPr>
          <w:rFonts w:ascii="Palatino Linotype" w:eastAsia="Palatino Linotype" w:hAnsi="Palatino Linotype" w:cs="Palatino Linotype"/>
          <w:b/>
          <w:i/>
          <w:sz w:val="22"/>
          <w:szCs w:val="22"/>
        </w:rPr>
        <w:t>Artículo 192.</w:t>
      </w:r>
      <w:r w:rsidRPr="0060445D">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 </w:t>
      </w:r>
    </w:p>
    <w:p w14:paraId="06B692D5" w14:textId="77777777" w:rsidR="00B977D3" w:rsidRPr="0060445D" w:rsidRDefault="00D92C13">
      <w:pPr>
        <w:tabs>
          <w:tab w:val="left" w:pos="8080"/>
        </w:tabs>
        <w:spacing w:before="120" w:after="120"/>
        <w:ind w:left="851" w:right="902"/>
        <w:jc w:val="both"/>
        <w:rPr>
          <w:rFonts w:ascii="Palatino Linotype" w:eastAsia="Palatino Linotype" w:hAnsi="Palatino Linotype" w:cs="Palatino Linotype"/>
          <w:i/>
          <w:sz w:val="22"/>
          <w:szCs w:val="22"/>
        </w:rPr>
      </w:pPr>
      <w:r w:rsidRPr="0060445D">
        <w:rPr>
          <w:rFonts w:ascii="Palatino Linotype" w:eastAsia="Palatino Linotype" w:hAnsi="Palatino Linotype" w:cs="Palatino Linotype"/>
          <w:i/>
          <w:sz w:val="22"/>
          <w:szCs w:val="22"/>
        </w:rPr>
        <w:t>…</w:t>
      </w:r>
    </w:p>
    <w:p w14:paraId="252BB359" w14:textId="77777777" w:rsidR="00B977D3" w:rsidRPr="0060445D" w:rsidRDefault="00D92C13">
      <w:pPr>
        <w:tabs>
          <w:tab w:val="left" w:pos="8080"/>
        </w:tabs>
        <w:spacing w:before="120" w:after="120"/>
        <w:ind w:left="851" w:right="902"/>
        <w:jc w:val="both"/>
        <w:rPr>
          <w:rFonts w:ascii="Palatino Linotype" w:eastAsia="Palatino Linotype" w:hAnsi="Palatino Linotype" w:cs="Palatino Linotype"/>
          <w:i/>
          <w:sz w:val="22"/>
          <w:szCs w:val="22"/>
        </w:rPr>
      </w:pPr>
      <w:r w:rsidRPr="0060445D">
        <w:rPr>
          <w:rFonts w:ascii="Palatino Linotype" w:eastAsia="Palatino Linotype" w:hAnsi="Palatino Linotype" w:cs="Palatino Linotype"/>
          <w:b/>
          <w:i/>
          <w:sz w:val="22"/>
          <w:szCs w:val="22"/>
        </w:rPr>
        <w:t>III</w:t>
      </w:r>
      <w:r w:rsidRPr="0060445D">
        <w:rPr>
          <w:rFonts w:ascii="Palatino Linotype" w:eastAsia="Palatino Linotype" w:hAnsi="Palatino Linotype" w:cs="Palatino Linotype"/>
          <w:i/>
          <w:sz w:val="22"/>
          <w:szCs w:val="22"/>
        </w:rPr>
        <w:t>. El sujeto obligado responsable del acto, lo modifique o revoque de tal manera que el recurso de revisión quede sin materia...”</w:t>
      </w:r>
    </w:p>
    <w:p w14:paraId="188C1921"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rFonts w:ascii="Palatino Linotype" w:eastAsia="Palatino Linotype" w:hAnsi="Palatino Linotype" w:cs="Palatino Linotype"/>
        </w:rPr>
        <w:t>De lo establecido en el precepto legal citado se advierte que el sobreseimiento del recurso de revisión procede en los siguientes casos</w:t>
      </w:r>
    </w:p>
    <w:p w14:paraId="51ACB884"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rFonts w:ascii="Palatino Linotype" w:eastAsia="Palatino Linotype" w:hAnsi="Palatino Linotype" w:cs="Palatino Linotype"/>
        </w:rPr>
        <w:t xml:space="preserve">a) Cuando el sujeto obligado modifique el acto impugnado. </w:t>
      </w:r>
    </w:p>
    <w:p w14:paraId="6A2F7C43"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rFonts w:ascii="Palatino Linotype" w:eastAsia="Palatino Linotype" w:hAnsi="Palatino Linotype" w:cs="Palatino Linotype"/>
        </w:rPr>
        <w:t xml:space="preserve">b) Cuando el sujeto obligado revoque el acto impugnado; </w:t>
      </w:r>
    </w:p>
    <w:p w14:paraId="3ABF0E27"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rFonts w:ascii="Palatino Linotype" w:eastAsia="Palatino Linotype" w:hAnsi="Palatino Linotype" w:cs="Palatino Linotype"/>
        </w:rPr>
        <w:t>Quedando en ambos casos el acto combatido sin materia o sin efectos.</w:t>
      </w:r>
    </w:p>
    <w:p w14:paraId="4E8EB2A7"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rFonts w:ascii="Palatino Linotype" w:eastAsia="Palatino Linotype" w:hAnsi="Palatino Linotype" w:cs="Palatino Linotype"/>
        </w:rPr>
        <w:t xml:space="preserve">En otras palabras, un acto impugnado es modificado en aquellos casos en los que el Sujeto Obligado después de haber otorgado una respuesta, </w:t>
      </w:r>
      <w:r w:rsidRPr="0060445D">
        <w:rPr>
          <w:rFonts w:ascii="Palatino Linotype" w:eastAsia="Palatino Linotype" w:hAnsi="Palatino Linotype" w:cs="Palatino Linotype"/>
          <w:b/>
          <w:u w:val="single"/>
        </w:rPr>
        <w:t>o haber omitido hacerlo (acto de no hacer)</w:t>
      </w:r>
      <w:r w:rsidRPr="0060445D">
        <w:rPr>
          <w:rFonts w:ascii="Palatino Linotype" w:eastAsia="Palatino Linotype" w:hAnsi="Palatino Linotype" w:cs="Palatino Linotype"/>
          <w:u w:val="single"/>
        </w:rPr>
        <w:t xml:space="preserve">, </w:t>
      </w:r>
      <w:r w:rsidRPr="0060445D">
        <w:rPr>
          <w:rFonts w:ascii="Palatino Linotype" w:eastAsia="Palatino Linotype" w:hAnsi="Palatino Linotype" w:cs="Palatino Linotype"/>
          <w:b/>
          <w:u w:val="single"/>
        </w:rPr>
        <w:t>emite una</w:t>
      </w:r>
      <w:r w:rsidRPr="0060445D">
        <w:rPr>
          <w:rFonts w:ascii="Palatino Linotype" w:eastAsia="Palatino Linotype" w:hAnsi="Palatino Linotype" w:cs="Palatino Linotype"/>
        </w:rPr>
        <w:t xml:space="preserve"> o una diversa de manera posterior y en ésta subsana las deficiencias que hubiera tenido, quedando satisfecho el derecho subjetivo accionado por la parte Recurrente.</w:t>
      </w:r>
    </w:p>
    <w:p w14:paraId="53688B41"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rFonts w:ascii="Palatino Linotype" w:eastAsia="Palatino Linotype" w:hAnsi="Palatino Linotype" w:cs="Palatino Linotype"/>
        </w:rPr>
        <w:t>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14:paraId="6CB32D9A"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rFonts w:ascii="Palatino Linotype" w:eastAsia="Palatino Linotype" w:hAnsi="Palatino Linotype" w:cs="Palatino Linotype"/>
        </w:rPr>
        <w:t>En este orden de ideas, un acto impugnado queda sin efectos, cuando aun existiendo jurídicamente (esto es, que no se ha modificado, ni revocado) ya no genera ninguna consecuencia legal.</w:t>
      </w:r>
    </w:p>
    <w:p w14:paraId="30E969DA"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rFonts w:ascii="Palatino Linotype" w:eastAsia="Palatino Linotype" w:hAnsi="Palatino Linotype" w:cs="Palatino Linotype"/>
        </w:rPr>
        <w:t>En tanto que, un acto impugnado queda sin materia, cuando ha sido satisfecha la pretensión de la parte Recurrente de manera que el Sujeto Obligado entrega una respuesta aunque sea posterior a los términos previstos en la ley y mediante esta concede la información solicitada.</w:t>
      </w:r>
    </w:p>
    <w:p w14:paraId="058EA23F"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rFonts w:ascii="Palatino Linotype" w:eastAsia="Palatino Linotype" w:hAnsi="Palatino Linotype" w:cs="Palatino Linotype"/>
        </w:rPr>
        <w:t xml:space="preserve">Con base en los argumentos expuestos, resulta evidente que el </w:t>
      </w:r>
      <w:r w:rsidRPr="0060445D">
        <w:rPr>
          <w:rFonts w:ascii="Palatino Linotype" w:eastAsia="Palatino Linotype" w:hAnsi="Palatino Linotype" w:cs="Palatino Linotype"/>
          <w:b/>
        </w:rPr>
        <w:t>Sujeto Obligado</w:t>
      </w:r>
      <w:r w:rsidRPr="0060445D">
        <w:rPr>
          <w:rFonts w:ascii="Palatino Linotype" w:eastAsia="Palatino Linotype" w:hAnsi="Palatino Linotype" w:cs="Palatino Linotype"/>
        </w:rPr>
        <w:t>, aunque haya sido de manera posterior, emitió respuesta a la solicitud de acceso a la información pública de la persona solicitante, al haber proporcionado un documento en el que se advierten las prestaciones que corresponden con la categoría salarial que corresponde con el cargo que ostenta la persona referida en la solicitud, por tal motivo, debe tenerse que con lo entregado</w:t>
      </w:r>
      <w:r w:rsidRPr="0060445D">
        <w:rPr>
          <w:rFonts w:ascii="Palatino Linotype" w:eastAsia="Palatino Linotype" w:hAnsi="Palatino Linotype" w:cs="Palatino Linotype"/>
          <w:b/>
        </w:rPr>
        <w:t>,</w:t>
      </w:r>
      <w:r w:rsidRPr="0060445D">
        <w:rPr>
          <w:rFonts w:ascii="Palatino Linotype" w:eastAsia="Palatino Linotype" w:hAnsi="Palatino Linotype" w:cs="Palatino Linotype"/>
        </w:rPr>
        <w:t xml:space="preserve"> se satisface la solicitud planteada, con lo cual quedo sin materia el presente recurso de revisión, actualizándose entonces, la causal prevista en la fracción III del artículo 192 de la Ley de la Materia vigente en la Entidad, antes transcrita. </w:t>
      </w:r>
    </w:p>
    <w:p w14:paraId="4BF2FA64" w14:textId="77777777" w:rsidR="00B977D3" w:rsidRPr="0060445D" w:rsidRDefault="00D92C13">
      <w:pPr>
        <w:spacing w:before="240" w:after="240" w:line="360" w:lineRule="auto"/>
        <w:ind w:right="49"/>
        <w:jc w:val="both"/>
        <w:rPr>
          <w:rFonts w:ascii="Palatino Linotype" w:eastAsia="Palatino Linotype" w:hAnsi="Palatino Linotype" w:cs="Palatino Linotype"/>
          <w:b/>
        </w:rPr>
      </w:pPr>
      <w:r w:rsidRPr="0060445D">
        <w:rPr>
          <w:rFonts w:ascii="Palatino Linotype" w:eastAsia="Palatino Linotype" w:hAnsi="Palatino Linotype" w:cs="Palatino Linotype"/>
        </w:rPr>
        <w:t xml:space="preserve">Atento a los razonamientos lógico jurídicos que han quedado precisados y toda vez que el  </w:t>
      </w:r>
      <w:r w:rsidRPr="0060445D">
        <w:rPr>
          <w:rFonts w:ascii="Palatino Linotype" w:eastAsia="Palatino Linotype" w:hAnsi="Palatino Linotype" w:cs="Palatino Linotype"/>
          <w:i/>
        </w:rPr>
        <w:t xml:space="preserve">sobreseimiento </w:t>
      </w:r>
      <w:r w:rsidRPr="0060445D">
        <w:rPr>
          <w:rFonts w:ascii="Palatino Linotype" w:eastAsia="Palatino Linotype" w:hAnsi="Palatino Linotype" w:cs="Palatino Linotype"/>
        </w:rPr>
        <w:t xml:space="preserve">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60445D">
        <w:rPr>
          <w:rFonts w:ascii="Palatino Linotype" w:eastAsia="Palatino Linotype" w:hAnsi="Palatino Linotype" w:cs="Palatino Linotype"/>
          <w:b/>
        </w:rPr>
        <w:t>SOBRESEIMIENTO, NO PERMITE ENTRAR AL ESTUDIO DE LAS CUESTIONES DE FONDO</w:t>
      </w:r>
      <w:r w:rsidRPr="0060445D">
        <w:rPr>
          <w:rFonts w:ascii="Palatino Linotype" w:eastAsia="Palatino Linotype" w:hAnsi="Palatino Linotype" w:cs="Palatino Linotype"/>
          <w:vertAlign w:val="superscript"/>
        </w:rPr>
        <w:footnoteReference w:id="1"/>
      </w:r>
      <w:r w:rsidRPr="0060445D">
        <w:rPr>
          <w:rFonts w:ascii="Palatino Linotype" w:eastAsia="Palatino Linotype" w:hAnsi="Palatino Linotype" w:cs="Palatino Linotype"/>
          <w:b/>
        </w:rPr>
        <w:t>.</w:t>
      </w:r>
    </w:p>
    <w:p w14:paraId="437CAE50"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rFonts w:ascii="Palatino Linotype" w:eastAsia="Palatino Linotype" w:hAnsi="Palatino Linotype" w:cs="Palatino Linotype"/>
        </w:rPr>
        <w:t xml:space="preserve">Por lo tanto, en términos del artículo 186 fracción I este Pleno determina el </w:t>
      </w:r>
      <w:r w:rsidRPr="0060445D">
        <w:rPr>
          <w:rFonts w:ascii="Palatino Linotype" w:eastAsia="Palatino Linotype" w:hAnsi="Palatino Linotype" w:cs="Palatino Linotype"/>
          <w:b/>
        </w:rPr>
        <w:t xml:space="preserve">sobreseimiento </w:t>
      </w:r>
      <w:r w:rsidRPr="0060445D">
        <w:rPr>
          <w:rFonts w:ascii="Palatino Linotype" w:eastAsia="Palatino Linotype" w:hAnsi="Palatino Linotype" w:cs="Palatino Linotype"/>
        </w:rPr>
        <w:t xml:space="preserve">de los recursos de revisión toda vez que la afectación al derecho de acceso a la información pública establecido constitucionalmente a favor de la parte </w:t>
      </w:r>
      <w:r w:rsidRPr="0060445D">
        <w:rPr>
          <w:rFonts w:ascii="Palatino Linotype" w:eastAsia="Palatino Linotype" w:hAnsi="Palatino Linotype" w:cs="Palatino Linotype"/>
          <w:b/>
        </w:rPr>
        <w:t>Recurrente</w:t>
      </w:r>
      <w:r w:rsidRPr="0060445D">
        <w:rPr>
          <w:rFonts w:ascii="Palatino Linotype" w:eastAsia="Palatino Linotype" w:hAnsi="Palatino Linotype" w:cs="Palatino Linotype"/>
        </w:rPr>
        <w:t xml:space="preserve"> ha sido resarcida.</w:t>
      </w:r>
    </w:p>
    <w:p w14:paraId="213800B1" w14:textId="77777777" w:rsidR="00B977D3" w:rsidRPr="0060445D" w:rsidRDefault="00D92C13">
      <w:pPr>
        <w:spacing w:before="240" w:after="240" w:line="360" w:lineRule="auto"/>
        <w:ind w:right="49"/>
        <w:jc w:val="both"/>
        <w:rPr>
          <w:rFonts w:ascii="Palatino Linotype" w:eastAsia="Palatino Linotype" w:hAnsi="Palatino Linotype" w:cs="Palatino Linotype"/>
        </w:rPr>
      </w:pPr>
      <w:r w:rsidRPr="0060445D">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7C7F40AB" w14:textId="77777777" w:rsidR="00B977D3" w:rsidRPr="0060445D" w:rsidRDefault="00D92C13">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60445D">
        <w:rPr>
          <w:rFonts w:ascii="Palatino Linotype" w:eastAsia="Palatino Linotype" w:hAnsi="Palatino Linotype" w:cs="Palatino Linotype"/>
          <w:b/>
        </w:rPr>
        <w:t>III. R E S U E L V E</w:t>
      </w:r>
    </w:p>
    <w:p w14:paraId="38E0CD11" w14:textId="77777777" w:rsidR="00B977D3" w:rsidRPr="0060445D" w:rsidRDefault="00D92C1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60445D">
        <w:rPr>
          <w:rFonts w:ascii="Palatino Linotype" w:eastAsia="Palatino Linotype" w:hAnsi="Palatino Linotype" w:cs="Palatino Linotype"/>
          <w:b/>
        </w:rPr>
        <w:t xml:space="preserve">Primero. </w:t>
      </w:r>
      <w:r w:rsidRPr="0060445D">
        <w:rPr>
          <w:rFonts w:ascii="Palatino Linotype" w:eastAsia="Palatino Linotype" w:hAnsi="Palatino Linotype" w:cs="Palatino Linotype"/>
        </w:rPr>
        <w:t>Se</w:t>
      </w:r>
      <w:r w:rsidRPr="0060445D">
        <w:rPr>
          <w:rFonts w:ascii="Palatino Linotype" w:eastAsia="Palatino Linotype" w:hAnsi="Palatino Linotype" w:cs="Palatino Linotype"/>
          <w:b/>
        </w:rPr>
        <w:t xml:space="preserve"> Sobresee </w:t>
      </w:r>
      <w:r w:rsidRPr="0060445D">
        <w:rPr>
          <w:rFonts w:ascii="Palatino Linotype" w:eastAsia="Palatino Linotype" w:hAnsi="Palatino Linotype" w:cs="Palatino Linotype"/>
        </w:rPr>
        <w:t xml:space="preserve">el recurso de revisión </w:t>
      </w:r>
      <w:r w:rsidRPr="0060445D">
        <w:rPr>
          <w:rFonts w:ascii="Palatino Linotype" w:eastAsia="Palatino Linotype" w:hAnsi="Palatino Linotype" w:cs="Palatino Linotype"/>
          <w:b/>
        </w:rPr>
        <w:t xml:space="preserve">06214/INFOEM/IP/RR/2025, </w:t>
      </w:r>
      <w:r w:rsidRPr="0060445D">
        <w:rPr>
          <w:rFonts w:ascii="Palatino Linotype" w:eastAsia="Palatino Linotype" w:hAnsi="Palatino Linotype" w:cs="Palatino Linotype"/>
        </w:rPr>
        <w:t xml:space="preserve">en términos del Considerando </w:t>
      </w:r>
      <w:r w:rsidRPr="0060445D">
        <w:rPr>
          <w:rFonts w:ascii="Palatino Linotype" w:eastAsia="Palatino Linotype" w:hAnsi="Palatino Linotype" w:cs="Palatino Linotype"/>
          <w:b/>
        </w:rPr>
        <w:t xml:space="preserve">Tercero </w:t>
      </w:r>
      <w:r w:rsidRPr="0060445D">
        <w:rPr>
          <w:rFonts w:ascii="Palatino Linotype" w:eastAsia="Palatino Linotype" w:hAnsi="Palatino Linotype" w:cs="Palatino Linotype"/>
        </w:rPr>
        <w:t xml:space="preserve">de la presente Resolución, porque al colmar la pretensión de la parte </w:t>
      </w:r>
      <w:r w:rsidRPr="0060445D">
        <w:rPr>
          <w:rFonts w:ascii="Palatino Linotype" w:eastAsia="Palatino Linotype" w:hAnsi="Palatino Linotype" w:cs="Palatino Linotype"/>
          <w:b/>
        </w:rPr>
        <w:t xml:space="preserve">Recurrente </w:t>
      </w:r>
      <w:r w:rsidRPr="0060445D">
        <w:rPr>
          <w:rFonts w:ascii="Palatino Linotype" w:eastAsia="Palatino Linotype" w:hAnsi="Palatino Linotype" w:cs="Palatino Linotype"/>
        </w:rPr>
        <w:t xml:space="preserve">mediante informe justificado, quedó sin materia de conformidad con lo dispuesto en la fracción III del artículo 192 de la de la Ley de Transparencia y Acceso a la Información Pública del Estado de México y Municipios. </w:t>
      </w:r>
    </w:p>
    <w:p w14:paraId="2327E336" w14:textId="77777777" w:rsidR="00B977D3" w:rsidRPr="0060445D" w:rsidRDefault="00D92C1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60445D">
        <w:rPr>
          <w:rFonts w:ascii="Palatino Linotype" w:eastAsia="Palatino Linotype" w:hAnsi="Palatino Linotype" w:cs="Palatino Linotype"/>
          <w:b/>
        </w:rPr>
        <w:t xml:space="preserve">Segundo. Notifíquese, </w:t>
      </w:r>
      <w:r w:rsidRPr="0060445D">
        <w:rPr>
          <w:rFonts w:ascii="Palatino Linotype" w:eastAsia="Palatino Linotype" w:hAnsi="Palatino Linotype" w:cs="Palatino Linotype"/>
        </w:rPr>
        <w:t>vía</w:t>
      </w:r>
      <w:r w:rsidRPr="0060445D">
        <w:rPr>
          <w:rFonts w:ascii="Palatino Linotype" w:eastAsia="Palatino Linotype" w:hAnsi="Palatino Linotype" w:cs="Palatino Linotype"/>
          <w:b/>
        </w:rPr>
        <w:t xml:space="preserve"> SAIMEX, </w:t>
      </w:r>
      <w:r w:rsidRPr="0060445D">
        <w:rPr>
          <w:rFonts w:ascii="Palatino Linotype" w:eastAsia="Palatino Linotype" w:hAnsi="Palatino Linotype" w:cs="Palatino Linotype"/>
        </w:rPr>
        <w:t>al Titular de la Unidad de Transparencia, para su conocimiento.</w:t>
      </w:r>
    </w:p>
    <w:p w14:paraId="4C4466E2" w14:textId="77777777" w:rsidR="00B977D3" w:rsidRPr="0060445D" w:rsidRDefault="00D92C1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60445D">
        <w:rPr>
          <w:rFonts w:ascii="Palatino Linotype" w:eastAsia="Palatino Linotype" w:hAnsi="Palatino Linotype" w:cs="Palatino Linotype"/>
          <w:b/>
        </w:rPr>
        <w:t xml:space="preserve">Tercero. Notifíquese </w:t>
      </w:r>
      <w:r w:rsidRPr="0060445D">
        <w:rPr>
          <w:rFonts w:ascii="Palatino Linotype" w:eastAsia="Palatino Linotype" w:hAnsi="Palatino Linotype" w:cs="Palatino Linotype"/>
        </w:rPr>
        <w:t>vía</w:t>
      </w:r>
      <w:r w:rsidRPr="0060445D">
        <w:rPr>
          <w:rFonts w:ascii="Palatino Linotype" w:eastAsia="Palatino Linotype" w:hAnsi="Palatino Linotype" w:cs="Palatino Linotype"/>
          <w:b/>
        </w:rPr>
        <w:t xml:space="preserve"> SAIMEX</w:t>
      </w:r>
      <w:r w:rsidRPr="0060445D">
        <w:rPr>
          <w:rFonts w:ascii="Palatino Linotype" w:eastAsia="Palatino Linotype" w:hAnsi="Palatino Linotype" w:cs="Palatino Linotype"/>
        </w:rPr>
        <w:t xml:space="preserve">, a la parte </w:t>
      </w:r>
      <w:r w:rsidRPr="0060445D">
        <w:rPr>
          <w:rFonts w:ascii="Palatino Linotype" w:eastAsia="Palatino Linotype" w:hAnsi="Palatino Linotype" w:cs="Palatino Linotype"/>
          <w:b/>
        </w:rPr>
        <w:t xml:space="preserve">Recurrente </w:t>
      </w:r>
      <w:r w:rsidRPr="0060445D">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772BC4E3" w14:textId="77777777" w:rsidR="00B977D3" w:rsidRPr="00162BC7" w:rsidRDefault="00D92C13">
      <w:pPr>
        <w:tabs>
          <w:tab w:val="left" w:pos="8647"/>
        </w:tabs>
        <w:spacing w:before="240" w:after="240" w:line="360" w:lineRule="auto"/>
        <w:ind w:right="51"/>
        <w:jc w:val="both"/>
        <w:rPr>
          <w:rFonts w:ascii="Palatino Linotype" w:eastAsia="Palatino Linotype" w:hAnsi="Palatino Linotype" w:cs="Palatino Linotype"/>
        </w:rPr>
      </w:pPr>
      <w:r w:rsidRPr="0060445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UNO DE OCTUBRE DE DOS MIL VEINTICINCO, ANTE EL SECRETARIO TÉCNICO DEL PLENO ALEXIS TAPIA RAMÍREZ.</w:t>
      </w:r>
    </w:p>
    <w:p w14:paraId="652D4208" w14:textId="77777777" w:rsidR="00B977D3" w:rsidRPr="00162BC7" w:rsidRDefault="00B977D3">
      <w:pPr>
        <w:spacing w:line="360" w:lineRule="auto"/>
        <w:jc w:val="both"/>
        <w:rPr>
          <w:rFonts w:ascii="Palatino Linotype" w:eastAsia="Palatino Linotype" w:hAnsi="Palatino Linotype" w:cs="Palatino Linotype"/>
        </w:rPr>
      </w:pPr>
    </w:p>
    <w:p w14:paraId="144B19A1" w14:textId="77777777" w:rsidR="00B977D3" w:rsidRPr="00162BC7" w:rsidRDefault="00B977D3">
      <w:pPr>
        <w:spacing w:line="360" w:lineRule="auto"/>
        <w:jc w:val="center"/>
        <w:rPr>
          <w:rFonts w:ascii="Palatino Linotype" w:eastAsia="Palatino Linotype" w:hAnsi="Palatino Linotype" w:cs="Palatino Linotype"/>
        </w:rPr>
      </w:pPr>
    </w:p>
    <w:p w14:paraId="2022FE79" w14:textId="77777777" w:rsidR="00B977D3" w:rsidRPr="00162BC7" w:rsidRDefault="00B977D3">
      <w:pPr>
        <w:spacing w:line="360" w:lineRule="auto"/>
        <w:jc w:val="both"/>
        <w:rPr>
          <w:rFonts w:ascii="Palatino Linotype" w:eastAsia="Palatino Linotype" w:hAnsi="Palatino Linotype" w:cs="Palatino Linotype"/>
        </w:rPr>
      </w:pPr>
    </w:p>
    <w:p w14:paraId="79891848" w14:textId="77777777" w:rsidR="00B977D3" w:rsidRPr="00162BC7" w:rsidRDefault="00B977D3">
      <w:pPr>
        <w:spacing w:line="360" w:lineRule="auto"/>
        <w:jc w:val="both"/>
        <w:rPr>
          <w:rFonts w:ascii="Palatino Linotype" w:eastAsia="Palatino Linotype" w:hAnsi="Palatino Linotype" w:cs="Palatino Linotype"/>
        </w:rPr>
      </w:pPr>
    </w:p>
    <w:p w14:paraId="1B75886E" w14:textId="77777777" w:rsidR="00B977D3" w:rsidRPr="00162BC7" w:rsidRDefault="00B977D3">
      <w:pPr>
        <w:spacing w:line="360" w:lineRule="auto"/>
        <w:jc w:val="both"/>
        <w:rPr>
          <w:rFonts w:ascii="Palatino Linotype" w:eastAsia="Palatino Linotype" w:hAnsi="Palatino Linotype" w:cs="Palatino Linotype"/>
        </w:rPr>
      </w:pPr>
    </w:p>
    <w:p w14:paraId="06FFAA9F" w14:textId="77777777" w:rsidR="00B977D3" w:rsidRPr="00162BC7" w:rsidRDefault="00B977D3">
      <w:pPr>
        <w:spacing w:line="360" w:lineRule="auto"/>
        <w:jc w:val="both"/>
        <w:rPr>
          <w:rFonts w:ascii="Palatino Linotype" w:eastAsia="Palatino Linotype" w:hAnsi="Palatino Linotype" w:cs="Palatino Linotype"/>
        </w:rPr>
      </w:pPr>
    </w:p>
    <w:p w14:paraId="19415441" w14:textId="77777777" w:rsidR="00B977D3" w:rsidRPr="00162BC7" w:rsidRDefault="00B977D3">
      <w:pPr>
        <w:spacing w:line="360" w:lineRule="auto"/>
        <w:jc w:val="both"/>
        <w:rPr>
          <w:rFonts w:ascii="Palatino Linotype" w:eastAsia="Palatino Linotype" w:hAnsi="Palatino Linotype" w:cs="Palatino Linotype"/>
        </w:rPr>
      </w:pPr>
    </w:p>
    <w:p w14:paraId="7A4A07D1" w14:textId="77777777" w:rsidR="00B977D3" w:rsidRPr="00162BC7" w:rsidRDefault="00B977D3">
      <w:pPr>
        <w:spacing w:line="360" w:lineRule="auto"/>
        <w:jc w:val="both"/>
        <w:rPr>
          <w:rFonts w:ascii="Palatino Linotype" w:eastAsia="Palatino Linotype" w:hAnsi="Palatino Linotype" w:cs="Palatino Linotype"/>
        </w:rPr>
      </w:pPr>
    </w:p>
    <w:p w14:paraId="051AE4B3" w14:textId="77777777" w:rsidR="00B977D3" w:rsidRPr="00162BC7" w:rsidRDefault="00B977D3">
      <w:pPr>
        <w:spacing w:line="360" w:lineRule="auto"/>
        <w:jc w:val="both"/>
        <w:rPr>
          <w:rFonts w:ascii="Palatino Linotype" w:eastAsia="Palatino Linotype" w:hAnsi="Palatino Linotype" w:cs="Palatino Linotype"/>
        </w:rPr>
      </w:pPr>
    </w:p>
    <w:p w14:paraId="73C45F98" w14:textId="77777777" w:rsidR="00B977D3" w:rsidRPr="00162BC7" w:rsidRDefault="00B977D3">
      <w:pPr>
        <w:spacing w:line="360" w:lineRule="auto"/>
        <w:jc w:val="both"/>
        <w:rPr>
          <w:rFonts w:ascii="Palatino Linotype" w:eastAsia="Palatino Linotype" w:hAnsi="Palatino Linotype" w:cs="Palatino Linotype"/>
        </w:rPr>
      </w:pPr>
    </w:p>
    <w:p w14:paraId="4F944FBE" w14:textId="77777777" w:rsidR="00B977D3" w:rsidRPr="00162BC7" w:rsidRDefault="00B977D3">
      <w:pPr>
        <w:spacing w:line="360" w:lineRule="auto"/>
        <w:jc w:val="both"/>
        <w:rPr>
          <w:rFonts w:ascii="Palatino Linotype" w:eastAsia="Palatino Linotype" w:hAnsi="Palatino Linotype" w:cs="Palatino Linotype"/>
        </w:rPr>
      </w:pPr>
    </w:p>
    <w:p w14:paraId="07C3F9E1" w14:textId="77777777" w:rsidR="00B977D3" w:rsidRPr="00162BC7" w:rsidRDefault="00B977D3">
      <w:pPr>
        <w:spacing w:line="360" w:lineRule="auto"/>
        <w:jc w:val="both"/>
        <w:rPr>
          <w:rFonts w:ascii="Palatino Linotype" w:eastAsia="Palatino Linotype" w:hAnsi="Palatino Linotype" w:cs="Palatino Linotype"/>
        </w:rPr>
      </w:pPr>
    </w:p>
    <w:p w14:paraId="0455D5A7" w14:textId="77777777" w:rsidR="00B977D3" w:rsidRPr="00162BC7" w:rsidRDefault="00B977D3">
      <w:pPr>
        <w:spacing w:line="360" w:lineRule="auto"/>
        <w:jc w:val="both"/>
        <w:rPr>
          <w:rFonts w:ascii="Palatino Linotype" w:eastAsia="Palatino Linotype" w:hAnsi="Palatino Linotype" w:cs="Palatino Linotype"/>
        </w:rPr>
      </w:pPr>
    </w:p>
    <w:p w14:paraId="6BF221E3" w14:textId="77777777" w:rsidR="00B977D3" w:rsidRPr="00162BC7" w:rsidRDefault="00B977D3">
      <w:pPr>
        <w:spacing w:line="360" w:lineRule="auto"/>
        <w:jc w:val="both"/>
        <w:rPr>
          <w:rFonts w:ascii="Palatino Linotype" w:eastAsia="Palatino Linotype" w:hAnsi="Palatino Linotype" w:cs="Palatino Linotype"/>
        </w:rPr>
      </w:pPr>
    </w:p>
    <w:p w14:paraId="430AE079" w14:textId="77777777" w:rsidR="00B977D3" w:rsidRPr="00162BC7" w:rsidRDefault="00B977D3">
      <w:pPr>
        <w:spacing w:line="360" w:lineRule="auto"/>
        <w:jc w:val="both"/>
        <w:rPr>
          <w:rFonts w:ascii="Palatino Linotype" w:eastAsia="Palatino Linotype" w:hAnsi="Palatino Linotype" w:cs="Palatino Linotype"/>
        </w:rPr>
      </w:pPr>
    </w:p>
    <w:p w14:paraId="13526816" w14:textId="77777777" w:rsidR="00B977D3" w:rsidRPr="00162BC7" w:rsidRDefault="00B977D3">
      <w:pPr>
        <w:spacing w:line="360" w:lineRule="auto"/>
        <w:jc w:val="both"/>
        <w:rPr>
          <w:rFonts w:ascii="Palatino Linotype" w:eastAsia="Palatino Linotype" w:hAnsi="Palatino Linotype" w:cs="Palatino Linotype"/>
        </w:rPr>
      </w:pPr>
    </w:p>
    <w:p w14:paraId="5B6FDD92" w14:textId="77777777" w:rsidR="00B977D3" w:rsidRPr="00162BC7" w:rsidRDefault="00B977D3">
      <w:pPr>
        <w:spacing w:line="360" w:lineRule="auto"/>
        <w:jc w:val="both"/>
        <w:rPr>
          <w:rFonts w:ascii="Palatino Linotype" w:eastAsia="Palatino Linotype" w:hAnsi="Palatino Linotype" w:cs="Palatino Linotype"/>
        </w:rPr>
      </w:pPr>
    </w:p>
    <w:p w14:paraId="6D94121D" w14:textId="77777777" w:rsidR="00CE5F82" w:rsidRPr="00162BC7" w:rsidRDefault="00CE5F82">
      <w:pPr>
        <w:spacing w:line="360" w:lineRule="auto"/>
        <w:jc w:val="both"/>
        <w:rPr>
          <w:rFonts w:ascii="Palatino Linotype" w:eastAsia="Palatino Linotype" w:hAnsi="Palatino Linotype" w:cs="Palatino Linotype"/>
        </w:rPr>
      </w:pPr>
    </w:p>
    <w:p w14:paraId="6487C7D6" w14:textId="77777777" w:rsidR="00CE5F82" w:rsidRPr="00162BC7" w:rsidRDefault="00CE5F82">
      <w:pPr>
        <w:spacing w:line="360" w:lineRule="auto"/>
        <w:jc w:val="both"/>
        <w:rPr>
          <w:rFonts w:ascii="Palatino Linotype" w:eastAsia="Palatino Linotype" w:hAnsi="Palatino Linotype" w:cs="Palatino Linotype"/>
        </w:rPr>
      </w:pPr>
    </w:p>
    <w:p w14:paraId="480A4CC3" w14:textId="77777777" w:rsidR="00B977D3" w:rsidRPr="00162BC7" w:rsidRDefault="00B977D3">
      <w:pPr>
        <w:spacing w:line="360" w:lineRule="auto"/>
        <w:jc w:val="both"/>
        <w:rPr>
          <w:rFonts w:ascii="Palatino Linotype" w:eastAsia="Palatino Linotype" w:hAnsi="Palatino Linotype" w:cs="Palatino Linotype"/>
        </w:rPr>
      </w:pPr>
    </w:p>
    <w:p w14:paraId="4E2F9D85" w14:textId="77777777" w:rsidR="00B977D3" w:rsidRPr="00162BC7" w:rsidRDefault="00B977D3">
      <w:pPr>
        <w:spacing w:line="360" w:lineRule="auto"/>
        <w:jc w:val="both"/>
        <w:rPr>
          <w:rFonts w:ascii="Palatino Linotype" w:eastAsia="Palatino Linotype" w:hAnsi="Palatino Linotype" w:cs="Palatino Linotype"/>
        </w:rPr>
      </w:pPr>
    </w:p>
    <w:p w14:paraId="13BAD880" w14:textId="77777777" w:rsidR="00B977D3" w:rsidRPr="00162BC7" w:rsidRDefault="00B977D3">
      <w:pPr>
        <w:spacing w:line="360" w:lineRule="auto"/>
        <w:jc w:val="both"/>
        <w:rPr>
          <w:rFonts w:ascii="Palatino Linotype" w:eastAsia="Palatino Linotype" w:hAnsi="Palatino Linotype" w:cs="Palatino Linotype"/>
        </w:rPr>
      </w:pPr>
    </w:p>
    <w:sectPr w:rsidR="00B977D3" w:rsidRPr="00162BC7">
      <w:headerReference w:type="default" r:id="rId19"/>
      <w:footerReference w:type="default" r:id="rId20"/>
      <w:headerReference w:type="first" r:id="rId21"/>
      <w:footerReference w:type="first" r:id="rId2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94821" w14:textId="77777777" w:rsidR="004B5B28" w:rsidRDefault="004B5B28">
      <w:r>
        <w:separator/>
      </w:r>
    </w:p>
  </w:endnote>
  <w:endnote w:type="continuationSeparator" w:id="0">
    <w:p w14:paraId="0601138C" w14:textId="77777777" w:rsidR="004B5B28" w:rsidRDefault="004B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1C767" w14:textId="540C7DE9" w:rsidR="00B977D3" w:rsidRDefault="00D92C1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F1658">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F1658">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14:paraId="684B6B6B" w14:textId="77777777" w:rsidR="00B977D3" w:rsidRDefault="00B977D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A27A9" w14:textId="141C4BFC" w:rsidR="00B977D3" w:rsidRDefault="00D92C1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F165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F1658">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14:paraId="33C08352" w14:textId="77777777" w:rsidR="00B977D3" w:rsidRDefault="00B977D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385B5" w14:textId="77777777" w:rsidR="004B5B28" w:rsidRDefault="004B5B28">
      <w:r>
        <w:separator/>
      </w:r>
    </w:p>
  </w:footnote>
  <w:footnote w:type="continuationSeparator" w:id="0">
    <w:p w14:paraId="7D3AC052" w14:textId="77777777" w:rsidR="004B5B28" w:rsidRDefault="004B5B28">
      <w:r>
        <w:continuationSeparator/>
      </w:r>
    </w:p>
  </w:footnote>
  <w:footnote w:id="1">
    <w:p w14:paraId="262237D0" w14:textId="77777777" w:rsidR="00B977D3" w:rsidRDefault="00D92C13">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09C3F1DE" w14:textId="77777777" w:rsidR="00B977D3" w:rsidRDefault="00D92C13">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E2FED" w14:textId="77777777" w:rsidR="00B977D3" w:rsidRDefault="00D92C13">
    <w:pPr>
      <w:rPr>
        <w:rFonts w:ascii="Cambria" w:eastAsia="Cambria" w:hAnsi="Cambria" w:cs="Cambria"/>
        <w:color w:val="000000"/>
      </w:rPr>
    </w:pPr>
    <w:r>
      <w:rPr>
        <w:noProof/>
      </w:rPr>
      <w:drawing>
        <wp:anchor distT="0" distB="0" distL="0" distR="0" simplePos="0" relativeHeight="251658240" behindDoc="1" locked="0" layoutInCell="1" hidden="0" allowOverlap="1" wp14:anchorId="6C46CD4B" wp14:editId="733E9900">
          <wp:simplePos x="0" y="0"/>
          <wp:positionH relativeFrom="column">
            <wp:posOffset>-1080090</wp:posOffset>
          </wp:positionH>
          <wp:positionV relativeFrom="paragraph">
            <wp:posOffset>-488261</wp:posOffset>
          </wp:positionV>
          <wp:extent cx="7809865" cy="10165715"/>
          <wp:effectExtent l="0" t="0" r="0" b="0"/>
          <wp:wrapNone/>
          <wp:docPr id="20659430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c"/>
      <w:tblW w:w="5953" w:type="dxa"/>
      <w:tblInd w:w="3261" w:type="dxa"/>
      <w:tblLayout w:type="fixed"/>
      <w:tblLook w:val="0400" w:firstRow="0" w:lastRow="0" w:firstColumn="0" w:lastColumn="0" w:noHBand="0" w:noVBand="1"/>
    </w:tblPr>
    <w:tblGrid>
      <w:gridCol w:w="2489"/>
      <w:gridCol w:w="3464"/>
    </w:tblGrid>
    <w:tr w:rsidR="00B977D3" w14:paraId="637EFBE8" w14:textId="77777777">
      <w:tc>
        <w:tcPr>
          <w:tcW w:w="2489" w:type="dxa"/>
        </w:tcPr>
        <w:p w14:paraId="09F17762" w14:textId="77777777" w:rsidR="00B977D3" w:rsidRDefault="00D92C1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0F7DADBE" w14:textId="77777777" w:rsidR="00B977D3" w:rsidRDefault="00D92C1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06214/INFOEM/IP/RR/2025</w:t>
          </w:r>
        </w:p>
      </w:tc>
    </w:tr>
    <w:tr w:rsidR="00B977D3" w14:paraId="664C3D25" w14:textId="77777777">
      <w:trPr>
        <w:trHeight w:val="228"/>
      </w:trPr>
      <w:tc>
        <w:tcPr>
          <w:tcW w:w="2489" w:type="dxa"/>
          <w:vAlign w:val="center"/>
        </w:tcPr>
        <w:p w14:paraId="1992E1BA" w14:textId="77777777" w:rsidR="00B977D3" w:rsidRDefault="00D92C1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32EA6C5F" w14:textId="77777777" w:rsidR="00B977D3" w:rsidRDefault="00D92C1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Universidad Autónoma del Estado de México</w:t>
          </w:r>
        </w:p>
      </w:tc>
    </w:tr>
    <w:tr w:rsidR="00B977D3" w14:paraId="68D27DF9" w14:textId="77777777">
      <w:tc>
        <w:tcPr>
          <w:tcW w:w="2489" w:type="dxa"/>
          <w:vAlign w:val="center"/>
        </w:tcPr>
        <w:p w14:paraId="15D29CF8" w14:textId="77777777" w:rsidR="00B977D3" w:rsidRDefault="00D92C1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4BDC987B" w14:textId="77777777" w:rsidR="00B977D3" w:rsidRDefault="00D92C1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E37AABF" w14:textId="77777777" w:rsidR="00B977D3" w:rsidRDefault="00D92C1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74049" w14:textId="77777777" w:rsidR="00B977D3" w:rsidRDefault="00D92C1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43807E6D" wp14:editId="337EE4F4">
          <wp:simplePos x="0" y="0"/>
          <wp:positionH relativeFrom="column">
            <wp:posOffset>-1080132</wp:posOffset>
          </wp:positionH>
          <wp:positionV relativeFrom="paragraph">
            <wp:posOffset>-369891</wp:posOffset>
          </wp:positionV>
          <wp:extent cx="7809865" cy="10165715"/>
          <wp:effectExtent l="0" t="0" r="0" b="0"/>
          <wp:wrapNone/>
          <wp:docPr id="20659430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d"/>
      <w:tblW w:w="5953" w:type="dxa"/>
      <w:tblInd w:w="3261" w:type="dxa"/>
      <w:tblLayout w:type="fixed"/>
      <w:tblLook w:val="0400" w:firstRow="0" w:lastRow="0" w:firstColumn="0" w:lastColumn="0" w:noHBand="0" w:noVBand="1"/>
    </w:tblPr>
    <w:tblGrid>
      <w:gridCol w:w="2489"/>
      <w:gridCol w:w="3464"/>
    </w:tblGrid>
    <w:tr w:rsidR="00B977D3" w14:paraId="515C3E18" w14:textId="77777777">
      <w:tc>
        <w:tcPr>
          <w:tcW w:w="2489" w:type="dxa"/>
        </w:tcPr>
        <w:p w14:paraId="3069F262" w14:textId="77777777" w:rsidR="00B977D3" w:rsidRDefault="00D92C1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6B84667A" w14:textId="77777777" w:rsidR="00B977D3" w:rsidRDefault="00D92C1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06214/INFOEM/IP/RR/2025</w:t>
          </w:r>
        </w:p>
      </w:tc>
    </w:tr>
    <w:tr w:rsidR="00B977D3" w14:paraId="641DE401" w14:textId="77777777">
      <w:tc>
        <w:tcPr>
          <w:tcW w:w="2489" w:type="dxa"/>
        </w:tcPr>
        <w:p w14:paraId="5AC70E96" w14:textId="77777777" w:rsidR="00B977D3" w:rsidRDefault="00D92C1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2187719A" w14:textId="07DEDCB5" w:rsidR="00B977D3" w:rsidRDefault="009F1658" w:rsidP="009F1658">
          <w:pPr>
            <w:ind w:right="175"/>
            <w:jc w:val="both"/>
            <w:rPr>
              <w:rFonts w:ascii="Palatino Linotype" w:eastAsia="Palatino Linotype" w:hAnsi="Palatino Linotype" w:cs="Palatino Linotype"/>
              <w:b/>
              <w:color w:val="FF0000"/>
              <w:sz w:val="22"/>
              <w:szCs w:val="22"/>
              <w:highlight w:val="yellow"/>
            </w:rPr>
          </w:pPr>
          <w:r>
            <w:rPr>
              <w:rFonts w:ascii="Palatino Linotype" w:eastAsia="Palatino Linotype" w:hAnsi="Palatino Linotype" w:cs="Palatino Linotype"/>
              <w:b/>
              <w:sz w:val="22"/>
              <w:szCs w:val="22"/>
            </w:rPr>
            <w:t xml:space="preserve">XXXXX XX XXX XXXXXXX  XXXXXX XXXXXXX </w:t>
          </w:r>
        </w:p>
      </w:tc>
    </w:tr>
    <w:tr w:rsidR="00B977D3" w14:paraId="6BBBEBE2" w14:textId="77777777">
      <w:trPr>
        <w:trHeight w:val="228"/>
      </w:trPr>
      <w:tc>
        <w:tcPr>
          <w:tcW w:w="2489" w:type="dxa"/>
          <w:vAlign w:val="center"/>
        </w:tcPr>
        <w:p w14:paraId="69C0EA01" w14:textId="77777777" w:rsidR="00B977D3" w:rsidRDefault="00D92C1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28DE1AEE" w14:textId="77777777" w:rsidR="00B977D3" w:rsidRDefault="00D92C1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Universidad Autónoma del Estado de México</w:t>
          </w:r>
        </w:p>
      </w:tc>
    </w:tr>
    <w:tr w:rsidR="00B977D3" w14:paraId="1C4F86CB" w14:textId="77777777">
      <w:tc>
        <w:tcPr>
          <w:tcW w:w="2489" w:type="dxa"/>
          <w:vAlign w:val="center"/>
        </w:tcPr>
        <w:p w14:paraId="23552B9F" w14:textId="77777777" w:rsidR="00B977D3" w:rsidRDefault="00D92C1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1577499B" w14:textId="77777777" w:rsidR="00B977D3" w:rsidRDefault="00D92C1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1F2D82A" w14:textId="77777777" w:rsidR="00B977D3" w:rsidRDefault="00B977D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BD484E"/>
    <w:multiLevelType w:val="multilevel"/>
    <w:tmpl w:val="1F5A1F28"/>
    <w:lvl w:ilvl="0">
      <w:start w:val="1"/>
      <w:numFmt w:val="decimal"/>
      <w:pStyle w:val="Listaconvietas3"/>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7D3"/>
    <w:rsid w:val="00162BC7"/>
    <w:rsid w:val="002023CB"/>
    <w:rsid w:val="00366716"/>
    <w:rsid w:val="004B5B28"/>
    <w:rsid w:val="00547711"/>
    <w:rsid w:val="0060445D"/>
    <w:rsid w:val="006C4720"/>
    <w:rsid w:val="008264C2"/>
    <w:rsid w:val="009F1658"/>
    <w:rsid w:val="009F1D53"/>
    <w:rsid w:val="00B977D3"/>
    <w:rsid w:val="00CE5F82"/>
    <w:rsid w:val="00D92C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1EE46"/>
  <w15:docId w15:val="{E6404E82-10E6-40EF-B53B-4071EA36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a">
    <w:basedOn w:val="TableNormalf2"/>
    <w:tblPr>
      <w:tblStyleRowBandSize w:val="1"/>
      <w:tblStyleColBandSize w:val="1"/>
      <w:tblCellMar>
        <w:left w:w="115" w:type="dxa"/>
        <w:right w:w="115" w:type="dxa"/>
      </w:tblCellMar>
    </w:tblPr>
  </w:style>
  <w:style w:type="table" w:customStyle="1" w:styleId="a0">
    <w:basedOn w:val="TableNormalf2"/>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2"/>
    <w:tblPr>
      <w:tblStyleRowBandSize w:val="1"/>
      <w:tblStyleColBandSize w:val="1"/>
      <w:tblCellMar>
        <w:left w:w="115" w:type="dxa"/>
        <w:right w:w="115" w:type="dxa"/>
      </w:tblCellMar>
    </w:tblPr>
  </w:style>
  <w:style w:type="table" w:customStyle="1" w:styleId="a2">
    <w:basedOn w:val="TableNormalf2"/>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1"/>
    <w:tblPr>
      <w:tblStyleRowBandSize w:val="1"/>
      <w:tblStyleColBandSize w:val="1"/>
      <w:tblCellMar>
        <w:left w:w="115" w:type="dxa"/>
        <w:right w:w="115" w:type="dxa"/>
      </w:tblCellMar>
    </w:tblPr>
  </w:style>
  <w:style w:type="table" w:customStyle="1" w:styleId="a4">
    <w:basedOn w:val="TableNormalf1"/>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0"/>
    <w:tblPr>
      <w:tblStyleRowBandSize w:val="1"/>
      <w:tblStyleColBandSize w:val="1"/>
      <w:tblCellMar>
        <w:left w:w="108" w:type="dxa"/>
        <w:right w:w="108" w:type="dxa"/>
      </w:tblCellMar>
    </w:tblPr>
  </w:style>
  <w:style w:type="table" w:customStyle="1" w:styleId="a6">
    <w:basedOn w:val="TableNormalf0"/>
    <w:tblPr>
      <w:tblStyleRowBandSize w:val="1"/>
      <w:tblStyleColBandSize w:val="1"/>
      <w:tblCellMar>
        <w:left w:w="108" w:type="dxa"/>
        <w:right w:w="108" w:type="dxa"/>
      </w:tblCellMar>
    </w:tblPr>
  </w:style>
  <w:style w:type="table" w:customStyle="1" w:styleId="a7">
    <w:basedOn w:val="TableNormalf0"/>
    <w:tblPr>
      <w:tblStyleRowBandSize w:val="1"/>
      <w:tblStyleColBandSize w:val="1"/>
      <w:tblCellMar>
        <w:left w:w="108" w:type="dxa"/>
        <w:right w:w="108" w:type="dxa"/>
      </w:tblCellMar>
    </w:tblPr>
  </w:style>
  <w:style w:type="table" w:customStyle="1" w:styleId="a8">
    <w:basedOn w:val="TableNormalf0"/>
    <w:tblPr>
      <w:tblStyleRowBandSize w:val="1"/>
      <w:tblStyleColBandSize w:val="1"/>
      <w:tblCellMar>
        <w:left w:w="108" w:type="dxa"/>
        <w:right w:w="108" w:type="dxa"/>
      </w:tblCellMar>
    </w:tblPr>
  </w:style>
  <w:style w:type="table" w:customStyle="1" w:styleId="a9">
    <w:basedOn w:val="TableNormalf0"/>
    <w:tblPr>
      <w:tblStyleRowBandSize w:val="1"/>
      <w:tblStyleColBandSize w:val="1"/>
      <w:tblCellMar>
        <w:left w:w="108" w:type="dxa"/>
        <w:right w:w="108" w:type="dxa"/>
      </w:tblCellMar>
    </w:tblPr>
  </w:style>
  <w:style w:type="table" w:customStyle="1" w:styleId="aa">
    <w:basedOn w:val="TableNormalf0"/>
    <w:tblPr>
      <w:tblStyleRowBandSize w:val="1"/>
      <w:tblStyleColBandSize w:val="1"/>
      <w:tblCellMar>
        <w:left w:w="115" w:type="dxa"/>
        <w:right w:w="115" w:type="dxa"/>
      </w:tblCellMar>
    </w:tblPr>
  </w:style>
  <w:style w:type="table" w:customStyle="1" w:styleId="ab">
    <w:basedOn w:val="TableNormalf0"/>
    <w:tblPr>
      <w:tblStyleRowBandSize w:val="1"/>
      <w:tblStyleColBandSize w:val="1"/>
      <w:tblCellMar>
        <w:left w:w="115" w:type="dxa"/>
        <w:right w:w="115" w:type="dxa"/>
      </w:tblCellMar>
    </w:tblPr>
  </w:style>
  <w:style w:type="table" w:customStyle="1" w:styleId="ac">
    <w:basedOn w:val="TableNormalf"/>
    <w:tblPr>
      <w:tblStyleRowBandSize w:val="1"/>
      <w:tblStyleColBandSize w:val="1"/>
      <w:tblCellMar>
        <w:left w:w="108" w:type="dxa"/>
        <w:right w:w="108" w:type="dxa"/>
      </w:tblCellMar>
    </w:tblPr>
  </w:style>
  <w:style w:type="table" w:customStyle="1" w:styleId="ad">
    <w:basedOn w:val="TableNormalf"/>
    <w:tblPr>
      <w:tblStyleRowBandSize w:val="1"/>
      <w:tblStyleColBandSize w:val="1"/>
      <w:tblCellMar>
        <w:left w:w="115" w:type="dxa"/>
        <w:right w:w="115" w:type="dxa"/>
      </w:tblCellMar>
    </w:tblPr>
  </w:style>
  <w:style w:type="table" w:customStyle="1" w:styleId="ae">
    <w:basedOn w:val="TableNormalf"/>
    <w:tblPr>
      <w:tblStyleRowBandSize w:val="1"/>
      <w:tblStyleColBandSize w:val="1"/>
      <w:tblCellMar>
        <w:left w:w="115" w:type="dxa"/>
        <w:right w:w="115" w:type="dxa"/>
      </w:tblCellMar>
    </w:tblPr>
  </w:style>
  <w:style w:type="table" w:customStyle="1" w:styleId="af">
    <w:basedOn w:val="TableNormale"/>
    <w:tblPr>
      <w:tblStyleRowBandSize w:val="1"/>
      <w:tblStyleColBandSize w:val="1"/>
      <w:tblCellMar>
        <w:left w:w="115" w:type="dxa"/>
        <w:right w:w="115" w:type="dxa"/>
      </w:tblCellMar>
    </w:tblPr>
  </w:style>
  <w:style w:type="table" w:customStyle="1" w:styleId="af0">
    <w:basedOn w:val="TableNormale"/>
    <w:tblPr>
      <w:tblStyleRowBandSize w:val="1"/>
      <w:tblStyleColBandSize w:val="1"/>
      <w:tblCellMar>
        <w:left w:w="115" w:type="dxa"/>
        <w:right w:w="115" w:type="dxa"/>
      </w:tblCellMar>
    </w:tblPr>
  </w:style>
  <w:style w:type="table" w:customStyle="1" w:styleId="af1">
    <w:basedOn w:val="TableNormale"/>
    <w:tblPr>
      <w:tblStyleRowBandSize w:val="1"/>
      <w:tblStyleColBandSize w:val="1"/>
      <w:tblCellMar>
        <w:left w:w="115" w:type="dxa"/>
        <w:right w:w="115" w:type="dxa"/>
      </w:tblCellMar>
    </w:tblPr>
  </w:style>
  <w:style w:type="table" w:customStyle="1" w:styleId="af2">
    <w:basedOn w:val="TableNormald"/>
    <w:tblPr>
      <w:tblStyleRowBandSize w:val="1"/>
      <w:tblStyleColBandSize w:val="1"/>
      <w:tblCellMar>
        <w:left w:w="115" w:type="dxa"/>
        <w:right w:w="115" w:type="dxa"/>
      </w:tblCellMar>
    </w:tblPr>
  </w:style>
  <w:style w:type="table" w:customStyle="1" w:styleId="af3">
    <w:basedOn w:val="TableNormald"/>
    <w:tblPr>
      <w:tblStyleRowBandSize w:val="1"/>
      <w:tblStyleColBandSize w:val="1"/>
      <w:tblCellMar>
        <w:left w:w="115" w:type="dxa"/>
        <w:right w:w="115" w:type="dxa"/>
      </w:tblCellMar>
    </w:tblPr>
  </w:style>
  <w:style w:type="table" w:customStyle="1" w:styleId="af4">
    <w:basedOn w:val="TableNormalc"/>
    <w:tblPr>
      <w:tblStyleRowBandSize w:val="1"/>
      <w:tblStyleColBandSize w:val="1"/>
      <w:tblCellMar>
        <w:left w:w="115" w:type="dxa"/>
        <w:right w:w="115" w:type="dxa"/>
      </w:tblCellMar>
    </w:tblPr>
  </w:style>
  <w:style w:type="table" w:customStyle="1" w:styleId="af5">
    <w:basedOn w:val="TableNormalc"/>
    <w:tblPr>
      <w:tblStyleRowBandSize w:val="1"/>
      <w:tblStyleColBandSize w:val="1"/>
      <w:tblCellMar>
        <w:left w:w="115" w:type="dxa"/>
        <w:right w:w="115" w:type="dxa"/>
      </w:tblCellMar>
    </w:tblPr>
  </w:style>
  <w:style w:type="table" w:customStyle="1" w:styleId="af6">
    <w:basedOn w:val="TableNormalb"/>
    <w:tblPr>
      <w:tblStyleRowBandSize w:val="1"/>
      <w:tblStyleColBandSize w:val="1"/>
      <w:tblCellMar>
        <w:left w:w="115" w:type="dxa"/>
        <w:right w:w="115" w:type="dxa"/>
      </w:tblCellMar>
    </w:tblPr>
  </w:style>
  <w:style w:type="table" w:customStyle="1" w:styleId="af7">
    <w:basedOn w:val="TableNormalb"/>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a"/>
    <w:tblPr>
      <w:tblStyleRowBandSize w:val="1"/>
      <w:tblStyleColBandSize w:val="1"/>
      <w:tblCellMar>
        <w:left w:w="115" w:type="dxa"/>
        <w:right w:w="115" w:type="dxa"/>
      </w:tblCellMar>
    </w:tblPr>
  </w:style>
  <w:style w:type="table" w:customStyle="1" w:styleId="af9">
    <w:basedOn w:val="TableNormala"/>
    <w:tblPr>
      <w:tblStyleRowBandSize w:val="1"/>
      <w:tblStyleColBandSize w:val="1"/>
      <w:tblCellMar>
        <w:left w:w="115" w:type="dxa"/>
        <w:right w:w="115" w:type="dxa"/>
      </w:tblCellMar>
    </w:tblPr>
  </w:style>
  <w:style w:type="table" w:customStyle="1" w:styleId="afa">
    <w:basedOn w:val="TableNormal9"/>
    <w:tblPr>
      <w:tblStyleRowBandSize w:val="1"/>
      <w:tblStyleColBandSize w:val="1"/>
      <w:tblCellMar>
        <w:left w:w="115" w:type="dxa"/>
        <w:right w:w="115" w:type="dxa"/>
      </w:tblCellMar>
    </w:tblPr>
  </w:style>
  <w:style w:type="table" w:customStyle="1" w:styleId="afb">
    <w:basedOn w:val="TableNormal9"/>
    <w:tblPr>
      <w:tblStyleRowBandSize w:val="1"/>
      <w:tblStyleColBandSize w:val="1"/>
      <w:tblCellMar>
        <w:left w:w="115" w:type="dxa"/>
        <w:right w:w="115" w:type="dxa"/>
      </w:tblCellMar>
    </w:tblPr>
  </w:style>
  <w:style w:type="table" w:customStyle="1" w:styleId="afc">
    <w:basedOn w:val="TableNormal8"/>
    <w:tblPr>
      <w:tblStyleRowBandSize w:val="1"/>
      <w:tblStyleColBandSize w:val="1"/>
      <w:tblCellMar>
        <w:left w:w="115" w:type="dxa"/>
        <w:right w:w="115" w:type="dxa"/>
      </w:tblCellMar>
    </w:tblPr>
  </w:style>
  <w:style w:type="table" w:customStyle="1" w:styleId="afd">
    <w:basedOn w:val="TableNormal8"/>
    <w:tblPr>
      <w:tblStyleRowBandSize w:val="1"/>
      <w:tblStyleColBandSize w:val="1"/>
      <w:tblCellMar>
        <w:left w:w="115" w:type="dxa"/>
        <w:right w:w="115" w:type="dxa"/>
      </w:tblCellMar>
    </w:tblPr>
  </w:style>
  <w:style w:type="table" w:customStyle="1" w:styleId="afe">
    <w:basedOn w:val="TableNormal7"/>
    <w:tblPr>
      <w:tblStyleRowBandSize w:val="1"/>
      <w:tblStyleColBandSize w:val="1"/>
      <w:tblCellMar>
        <w:left w:w="115" w:type="dxa"/>
        <w:right w:w="115" w:type="dxa"/>
      </w:tblCellMar>
    </w:tblPr>
  </w:style>
  <w:style w:type="table" w:customStyle="1" w:styleId="aff">
    <w:basedOn w:val="TableNormal7"/>
    <w:tblPr>
      <w:tblStyleRowBandSize w:val="1"/>
      <w:tblStyleColBandSize w:val="1"/>
      <w:tblCellMar>
        <w:left w:w="115" w:type="dxa"/>
        <w:right w:w="115" w:type="dxa"/>
      </w:tblCellMar>
    </w:tblPr>
  </w:style>
  <w:style w:type="table" w:customStyle="1" w:styleId="aff0">
    <w:basedOn w:val="TableNormal6"/>
    <w:tblPr>
      <w:tblStyleRowBandSize w:val="1"/>
      <w:tblStyleColBandSize w:val="1"/>
      <w:tblCellMar>
        <w:left w:w="115" w:type="dxa"/>
        <w:right w:w="115" w:type="dxa"/>
      </w:tblCellMar>
    </w:tblPr>
  </w:style>
  <w:style w:type="table" w:customStyle="1" w:styleId="aff1">
    <w:basedOn w:val="TableNormal6"/>
    <w:tblPr>
      <w:tblStyleRowBandSize w:val="1"/>
      <w:tblStyleColBandSize w:val="1"/>
      <w:tblCellMar>
        <w:left w:w="115" w:type="dxa"/>
        <w:right w:w="115" w:type="dxa"/>
      </w:tblCellMar>
    </w:tblPr>
  </w:style>
  <w:style w:type="table" w:customStyle="1" w:styleId="aff2">
    <w:basedOn w:val="TableNormal5"/>
    <w:tblPr>
      <w:tblStyleRowBandSize w:val="1"/>
      <w:tblStyleColBandSize w:val="1"/>
      <w:tblCellMar>
        <w:left w:w="115" w:type="dxa"/>
        <w:right w:w="115" w:type="dxa"/>
      </w:tblCellMar>
    </w:tblPr>
  </w:style>
  <w:style w:type="table" w:customStyle="1" w:styleId="aff3">
    <w:basedOn w:val="TableNormal5"/>
    <w:tblPr>
      <w:tblStyleRowBandSize w:val="1"/>
      <w:tblStyleColBandSize w:val="1"/>
      <w:tblCellMar>
        <w:left w:w="115" w:type="dxa"/>
        <w:right w:w="115" w:type="dxa"/>
      </w:tblCellMar>
    </w:tblPr>
  </w:style>
  <w:style w:type="table" w:customStyle="1" w:styleId="aff4">
    <w:basedOn w:val="TableNormal4"/>
    <w:tblPr>
      <w:tblStyleRowBandSize w:val="1"/>
      <w:tblStyleColBandSize w:val="1"/>
      <w:tblCellMar>
        <w:left w:w="115" w:type="dxa"/>
        <w:right w:w="115" w:type="dxa"/>
      </w:tblCellMar>
    </w:tblPr>
  </w:style>
  <w:style w:type="table" w:customStyle="1" w:styleId="aff5">
    <w:basedOn w:val="TableNormal4"/>
    <w:tblPr>
      <w:tblStyleRowBandSize w:val="1"/>
      <w:tblStyleColBandSize w:val="1"/>
      <w:tblCellMar>
        <w:left w:w="115" w:type="dxa"/>
        <w:right w:w="115" w:type="dxa"/>
      </w:tblCellMar>
    </w:tblPr>
  </w:style>
  <w:style w:type="table" w:customStyle="1" w:styleId="aff6">
    <w:basedOn w:val="TableNormal3"/>
    <w:tblPr>
      <w:tblStyleRowBandSize w:val="1"/>
      <w:tblStyleColBandSize w:val="1"/>
      <w:tblCellMar>
        <w:left w:w="115" w:type="dxa"/>
        <w:right w:w="115" w:type="dxa"/>
      </w:tblCellMar>
    </w:tblPr>
  </w:style>
  <w:style w:type="table" w:customStyle="1" w:styleId="aff7">
    <w:basedOn w:val="TableNormal3"/>
    <w:tblPr>
      <w:tblStyleRowBandSize w:val="1"/>
      <w:tblStyleColBandSize w:val="1"/>
      <w:tblCellMar>
        <w:left w:w="115" w:type="dxa"/>
        <w:right w:w="115" w:type="dxa"/>
      </w:tblCellMar>
    </w:tblPr>
  </w:style>
  <w:style w:type="table" w:customStyle="1" w:styleId="aff8">
    <w:basedOn w:val="TableNormal2"/>
    <w:tblPr>
      <w:tblStyleRowBandSize w:val="1"/>
      <w:tblStyleColBandSize w:val="1"/>
      <w:tblCellMar>
        <w:left w:w="115" w:type="dxa"/>
        <w:right w:w="115" w:type="dxa"/>
      </w:tblCellMar>
    </w:tblPr>
  </w:style>
  <w:style w:type="table" w:customStyle="1" w:styleId="aff9">
    <w:basedOn w:val="TableNormal2"/>
    <w:tblPr>
      <w:tblStyleRowBandSize w:val="1"/>
      <w:tblStyleColBandSize w:val="1"/>
      <w:tblCellMar>
        <w:left w:w="115" w:type="dxa"/>
        <w:right w:w="115" w:type="dxa"/>
      </w:tblCellMar>
    </w:tblPr>
  </w:style>
  <w:style w:type="table" w:customStyle="1" w:styleId="affa">
    <w:basedOn w:val="TableNormal1"/>
    <w:tblPr>
      <w:tblStyleRowBandSize w:val="1"/>
      <w:tblStyleColBandSize w:val="1"/>
      <w:tblCellMar>
        <w:left w:w="115" w:type="dxa"/>
        <w:right w:w="115" w:type="dxa"/>
      </w:tblCellMar>
    </w:tblPr>
  </w:style>
  <w:style w:type="table" w:customStyle="1" w:styleId="affb">
    <w:basedOn w:val="TableNormal1"/>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2B48D2"/>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transparencia.uaemex.mx/usuario/infPub.php?nomDir=03.catPueTabSal&amp;cveParent=5"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http://transparencia.uaemex.mx/usuario/infPub.php?nomDir=03.catPueTabSal&amp;cveParent=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7IWjGk93cqfJ+G+HoHiMc6xCRA==">CgMxLjAyCWguM3JkY3JqbjIOaC5kYWozajJ4bzZxNjYyCGguZ2pkZ3hzMg5oLm1uOXpuY3J2MWJ6eDIJaC4zZHk2dmttMgloLjMwajB6bGwyCWguMnM4ZXlvMTIIaC50eWpjd3Q4AHIhMVA0Vl9pS3VjdUswT003bmV3TXBMS2FMa2Z6SG05a3hG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4631</Words>
  <Characters>25475</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30046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2025-10-03T19:21:00Z</cp:lastPrinted>
  <dcterms:created xsi:type="dcterms:W3CDTF">2025-11-11T19:39:00Z</dcterms:created>
  <dcterms:modified xsi:type="dcterms:W3CDTF">2025-11-11T19:39:00Z</dcterms:modified>
</cp:coreProperties>
</file>