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03294BE1" w:rsidR="00A970D5" w:rsidRPr="00875B7E" w:rsidRDefault="00A970D5" w:rsidP="009950AD">
      <w:pPr>
        <w:pStyle w:val="NormalINFOEM"/>
      </w:pPr>
      <w:r w:rsidRPr="00875B7E">
        <w:t>Resolución del Pleno del Instituto de Transparencia,</w:t>
      </w:r>
      <w:bookmarkStart w:id="0" w:name="_GoBack"/>
      <w:bookmarkEnd w:id="0"/>
      <w:r w:rsidRPr="00875B7E">
        <w:t xml:space="preserve">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0962AC">
        <w:t xml:space="preserve">seis de </w:t>
      </w:r>
      <w:r w:rsidR="00FF3E42">
        <w:t>febrero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0E3B524"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6C3DEF">
        <w:rPr>
          <w:rFonts w:eastAsia="Palatino Linotype" w:cs="Palatino Linotype"/>
          <w:b/>
          <w:bCs/>
          <w:color w:val="000000" w:themeColor="text1"/>
          <w:lang w:val="es-ES"/>
        </w:rPr>
        <w:t>07680/INFOEM/IP/RR/2024</w:t>
      </w:r>
      <w:r w:rsidRPr="70652167">
        <w:rPr>
          <w:rFonts w:eastAsia="Palatino Linotype" w:cs="Palatino Linotype"/>
          <w:color w:val="000000" w:themeColor="text1"/>
          <w:lang w:val="es-ES"/>
        </w:rPr>
        <w:t xml:space="preserve">, interpuesto por </w:t>
      </w:r>
      <w:r w:rsidR="00765116">
        <w:rPr>
          <w:rFonts w:eastAsia="Palatino Linotype" w:cs="Palatino Linotype"/>
          <w:b/>
          <w:bCs/>
          <w:color w:val="000000" w:themeColor="text1"/>
          <w:lang w:val="es-ES"/>
        </w:rPr>
        <w:t>XXXXXXXXXXXXXXXXXXXXXXX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5B03D3">
        <w:rPr>
          <w:rFonts w:eastAsia="Palatino Linotype" w:cs="Palatino Linotype"/>
          <w:b/>
          <w:bCs/>
          <w:color w:val="000000" w:themeColor="text1"/>
          <w:lang w:val="es-ES"/>
        </w:rPr>
        <w:t>Ayuntamiento de Calimaya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04A8CE1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A24D3F">
        <w:rPr>
          <w:rFonts w:eastAsia="Palatino Linotype" w:cs="Palatino Linotype"/>
          <w:color w:val="000000"/>
          <w:szCs w:val="24"/>
        </w:rPr>
        <w:t>veinticinco de noviembre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0024F0">
        <w:rPr>
          <w:rFonts w:eastAsia="Palatino Linotype" w:cs="Palatino Linotype"/>
          <w:b/>
          <w:bCs/>
          <w:color w:val="000000"/>
          <w:szCs w:val="24"/>
        </w:rPr>
        <w:t>00214/CALIMAYA/IP/2024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9ECBCC2" w:rsidR="00A970D5" w:rsidRPr="006922F5" w:rsidRDefault="70652167" w:rsidP="009950AD">
      <w:pPr>
        <w:pStyle w:val="Fundamentos"/>
      </w:pPr>
      <w:r w:rsidRPr="70652167">
        <w:rPr>
          <w:lang w:val="es-ES"/>
        </w:rPr>
        <w:t>«</w:t>
      </w:r>
      <w:r w:rsidR="007A1154" w:rsidRPr="007A1154">
        <w:rPr>
          <w:lang w:val="es-ES"/>
        </w:rPr>
        <w:t xml:space="preserve">Que por medio del presente ocurso, con fundamento en lo establecido en los artículos 8, y 35 fracción V; artículo XXIV de la Declaración Americana delos Deberes y Derechos del Hombre; solicito respetuosamente se me entregue de forma clara, precisa y completa la información pública en lo que a continuación se cita en el numeral romano I, II, III y IV. I.- Cuantos millones se asignaron para el presupuesto del año 2021 al Ayuntamiento de Calimaya y de cuantos millones fue el gasto público del Ayuntamiento de Calimaya en el año 2021. II.- Cuantos millones se asignaron para el presupuesto del año 2022 al Ayuntamiento de Calimaya y de cuantos millones fue el gasto público del Ayuntamiento de Calimaya en el año 2022. III.- Cuantos millones se asignaron para el presupuesto del año 2023 al Ayuntamiento de Calimaya </w:t>
      </w:r>
      <w:r w:rsidR="007A1154" w:rsidRPr="007A1154">
        <w:rPr>
          <w:lang w:val="es-ES"/>
        </w:rPr>
        <w:lastRenderedPageBreak/>
        <w:t>y de cuantos millones fue el gasto público del Ayuntamiento de Calimaya en el año 2023. IV.- Cuantos millones se asignaron para el presupuesto del año 2024 al Ayuntamiento de Calimaya y de cuantos millones fue el gasto público del Ayuntamiento de Calimaya hasta la fecha 25 de noviembre el año 2024.</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2514EF8A" w:rsidR="00A970D5" w:rsidRPr="006922F5" w:rsidRDefault="007A1154"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2EB0EA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A63CD7">
        <w:rPr>
          <w:rFonts w:eastAsia="Palatino Linotype" w:cs="Palatino Linotype"/>
          <w:color w:val="000000"/>
          <w:szCs w:val="24"/>
        </w:rPr>
        <w:t>d</w:t>
      </w:r>
      <w:r w:rsidR="007822D6">
        <w:rPr>
          <w:rFonts w:eastAsia="Palatino Linotype" w:cs="Palatino Linotype"/>
          <w:color w:val="000000"/>
          <w:szCs w:val="24"/>
        </w:rPr>
        <w:t xml:space="preserve">ieciséis </w:t>
      </w:r>
      <w:r w:rsidR="008549DA">
        <w:rPr>
          <w:rFonts w:eastAsia="Palatino Linotype" w:cs="Palatino Linotype"/>
          <w:color w:val="000000"/>
          <w:szCs w:val="24"/>
        </w:rPr>
        <w:t>de diciembre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953469C" w14:textId="3486AA18" w:rsidR="008F2D02" w:rsidRDefault="23740614" w:rsidP="008F2D02">
      <w:pPr>
        <w:pStyle w:val="Fundamentos"/>
        <w:rPr>
          <w:lang w:val="es-ES"/>
        </w:rPr>
      </w:pPr>
      <w:r w:rsidRPr="23740614">
        <w:rPr>
          <w:lang w:val="es-ES"/>
        </w:rPr>
        <w:t>«</w:t>
      </w:r>
      <w:r w:rsidR="008F2D02" w:rsidRPr="008F2D02">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235336" w14:textId="77777777" w:rsidR="008F2D02" w:rsidRPr="008F2D02" w:rsidRDefault="008F2D02" w:rsidP="008F2D02">
      <w:pPr>
        <w:pStyle w:val="Fundamentos"/>
        <w:rPr>
          <w:lang w:val="es-ES"/>
        </w:rPr>
      </w:pPr>
    </w:p>
    <w:p w14:paraId="2AC89781" w14:textId="77777777" w:rsidR="008F2D02" w:rsidRDefault="008F2D02" w:rsidP="008F2D02">
      <w:pPr>
        <w:pStyle w:val="Fundamentos"/>
        <w:rPr>
          <w:lang w:val="es-ES"/>
        </w:rPr>
      </w:pPr>
      <w:r w:rsidRPr="008F2D02">
        <w:rPr>
          <w:lang w:val="es-ES"/>
        </w:rPr>
        <w:t>ESTIMADO SOLICITANTE: EN ATENCIÓN A SU SOLICITUD DE INFORMACIÓN CON NÚMERO DE FOLIO 00214/CALIMAYA/IP/2024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“SE ANEXA DOCUMENTO.” (TESORERÍA MUNICIPAL)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697FAFC6" w14:textId="77777777" w:rsidR="008F2D02" w:rsidRPr="008F2D02" w:rsidRDefault="008F2D02" w:rsidP="008F2D02">
      <w:pPr>
        <w:pStyle w:val="Fundamentos"/>
        <w:rPr>
          <w:lang w:val="es-ES"/>
        </w:rPr>
      </w:pPr>
    </w:p>
    <w:p w14:paraId="6C68F89E" w14:textId="77777777" w:rsidR="008F2D02" w:rsidRPr="008F2D02" w:rsidRDefault="008F2D02" w:rsidP="008F2D02">
      <w:pPr>
        <w:pStyle w:val="Fundamentos"/>
        <w:rPr>
          <w:lang w:val="es-ES"/>
        </w:rPr>
      </w:pPr>
      <w:r w:rsidRPr="008F2D02">
        <w:rPr>
          <w:lang w:val="es-ES"/>
        </w:rPr>
        <w:t>ATENTAMENTE</w:t>
      </w:r>
    </w:p>
    <w:p w14:paraId="3FE4A9EF" w14:textId="58CAB385" w:rsidR="00A970D5" w:rsidRPr="00404754" w:rsidRDefault="008F2D02" w:rsidP="008F2D02">
      <w:pPr>
        <w:pStyle w:val="Fundamentos"/>
        <w:rPr>
          <w:lang w:val="es-MX"/>
        </w:rPr>
      </w:pPr>
      <w:r w:rsidRPr="008F2D02">
        <w:rPr>
          <w:lang w:val="es-ES"/>
        </w:rPr>
        <w:t>DRA. YESIKA GUADALUPE GÓMEZ CARMONA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AAD4CA8"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0D08B6">
        <w:rPr>
          <w:rFonts w:eastAsia="Palatino Linotype" w:cs="Palatino Linotype"/>
          <w:b/>
          <w:bCs/>
          <w:color w:val="000000" w:themeColor="text1"/>
          <w:lang w:val="es-ES"/>
        </w:rPr>
        <w:t>RESPUESTA A LA SOLICITUD 00214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29C1940" w:rsidR="00A970D5" w:rsidRPr="006922F5" w:rsidRDefault="007A1154"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BF8A1E3"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día </w:t>
      </w:r>
      <w:r w:rsidR="00436BDA">
        <w:rPr>
          <w:rFonts w:eastAsia="Palatino Linotype" w:cs="Palatino Linotype"/>
          <w:color w:val="000000"/>
          <w:szCs w:val="24"/>
        </w:rPr>
        <w:t xml:space="preserve">diecisiete de </w:t>
      </w:r>
      <w:r w:rsidR="00883EFF">
        <w:rPr>
          <w:rFonts w:eastAsia="Palatino Linotype" w:cs="Palatino Linotype"/>
          <w:color w:val="000000"/>
          <w:szCs w:val="24"/>
        </w:rPr>
        <w:t>diciembre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6C3DEF">
        <w:rPr>
          <w:rFonts w:eastAsia="Palatino Linotype" w:cs="Palatino Linotype"/>
          <w:b/>
          <w:color w:val="000000"/>
          <w:szCs w:val="24"/>
        </w:rPr>
        <w:t>07680/INFOEM/IP/RR/2024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1E98769" w:rsidR="00A970D5" w:rsidRPr="006922F5" w:rsidRDefault="5C35490E" w:rsidP="5C35490E">
      <w:pPr>
        <w:pStyle w:val="Fundamentos"/>
        <w:rPr>
          <w:b/>
          <w:bCs/>
          <w:lang w:val="es-ES"/>
        </w:rPr>
      </w:pPr>
      <w:r w:rsidRPr="5C35490E">
        <w:rPr>
          <w:lang w:val="es-ES"/>
        </w:rPr>
        <w:t>«</w:t>
      </w:r>
      <w:r w:rsidR="00883EFF" w:rsidRPr="00883EFF">
        <w:rPr>
          <w:lang w:val="es-ES"/>
        </w:rPr>
        <w:t>00214/CALIMAYA/IP/2024</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E636E0F" w:rsidR="00300EA0" w:rsidRPr="006922F5" w:rsidRDefault="00300EA0" w:rsidP="00300EA0">
      <w:pPr>
        <w:pStyle w:val="Fundamentos"/>
        <w:rPr>
          <w:b/>
          <w:bCs/>
          <w:lang w:val="es-ES"/>
        </w:rPr>
      </w:pPr>
      <w:r w:rsidRPr="5C35490E">
        <w:rPr>
          <w:lang w:val="es-ES"/>
        </w:rPr>
        <w:t>«</w:t>
      </w:r>
      <w:r w:rsidR="00F7795D" w:rsidRPr="00F7795D">
        <w:rPr>
          <w:lang w:val="es-ES"/>
        </w:rPr>
        <w:t>No sé proporciona la información como tal de manera concreta y clara.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14569CC2" w:rsidR="00A970D5" w:rsidRPr="006922F5" w:rsidRDefault="007A1154"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7895AA1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F7795D">
        <w:rPr>
          <w:rFonts w:eastAsia="Palatino Linotype" w:cs="Palatino Linotype"/>
          <w:color w:val="000000" w:themeColor="text1"/>
          <w:lang w:val="es-ES"/>
        </w:rPr>
        <w:t>tre</w:t>
      </w:r>
      <w:r w:rsidR="00774AC3">
        <w:rPr>
          <w:rFonts w:eastAsia="Palatino Linotype" w:cs="Palatino Linotype"/>
          <w:color w:val="000000" w:themeColor="text1"/>
          <w:lang w:val="es-ES"/>
        </w:rPr>
        <w:t>ce de enero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6F52F61" w:rsidR="00A970D5" w:rsidRPr="006922F5" w:rsidRDefault="007A1154"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2F49BCDE" w14:textId="75B58825" w:rsidR="00707E9C" w:rsidRPr="009D62BC" w:rsidRDefault="00707E9C" w:rsidP="00707E9C">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 xml:space="preserve">Una vez abierta la etapa de instrucción, se observa que el Sujeto Obligado omitió rendir el Informe Justificado. Por su parte, </w:t>
      </w:r>
      <w:r w:rsidR="003D7841">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84052DC" w:rsidR="00A970D5" w:rsidRPr="006922F5" w:rsidRDefault="007A1154"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3053489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1F3363">
        <w:rPr>
          <w:rFonts w:eastAsia="Palatino Linotype" w:cs="Palatino Linotype"/>
          <w:color w:val="000000"/>
          <w:szCs w:val="24"/>
        </w:rPr>
        <w:t>veinti</w:t>
      </w:r>
      <w:r w:rsidR="00273312">
        <w:rPr>
          <w:rFonts w:eastAsia="Palatino Linotype" w:cs="Palatino Linotype"/>
          <w:color w:val="000000"/>
          <w:szCs w:val="24"/>
        </w:rPr>
        <w:t>siete</w:t>
      </w:r>
      <w:r w:rsidR="001F3363">
        <w:rPr>
          <w:rFonts w:eastAsia="Palatino Linotype" w:cs="Palatino Linotype"/>
          <w:color w:val="000000"/>
          <w:szCs w:val="24"/>
        </w:rPr>
        <w:t xml:space="preserve"> de enero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3F271136" w:rsidR="00454915" w:rsidRPr="006922F5" w:rsidRDefault="006726AD"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9177206" w:rsidR="00454915" w:rsidRPr="006922F5" w:rsidRDefault="00EE4EE4"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226127D8" w14:textId="77777777" w:rsidR="006E21BF" w:rsidRDefault="0EE28084" w:rsidP="0EE28084">
      <w:pPr>
        <w:rPr>
          <w:rFonts w:eastAsiaTheme="minorEastAsia" w:cstheme="minorBidi"/>
          <w:lang w:val="es-ES" w:eastAsia="en-US"/>
        </w:rPr>
      </w:pPr>
      <w:r w:rsidRPr="0EE28084">
        <w:rPr>
          <w:rFonts w:eastAsiaTheme="minorEastAsia" w:cstheme="minorBidi"/>
          <w:lang w:val="es-ES" w:eastAsia="en-US"/>
        </w:rPr>
        <w:t xml:space="preserve">En virtud de lo anterior, es conveniente recordar que el Recurrente requirió que se le </w:t>
      </w:r>
      <w:r w:rsidR="006E21BF">
        <w:rPr>
          <w:rFonts w:eastAsiaTheme="minorEastAsia" w:cstheme="minorBidi"/>
          <w:lang w:val="es-ES" w:eastAsia="en-US"/>
        </w:rPr>
        <w:t>informara lo siguiente:</w:t>
      </w:r>
    </w:p>
    <w:p w14:paraId="01058998" w14:textId="77777777" w:rsidR="006E21BF" w:rsidRDefault="006E21BF" w:rsidP="0EE28084">
      <w:pPr>
        <w:rPr>
          <w:rFonts w:eastAsiaTheme="minorEastAsia" w:cstheme="minorBidi"/>
          <w:lang w:val="es-ES" w:eastAsia="en-US"/>
        </w:rPr>
      </w:pPr>
    </w:p>
    <w:p w14:paraId="4FC205C0" w14:textId="11CB0D14" w:rsidR="00E85BAC" w:rsidRPr="00CA62C6" w:rsidRDefault="006E21BF" w:rsidP="00CA62C6">
      <w:pPr>
        <w:pStyle w:val="Prrafodelista"/>
        <w:numPr>
          <w:ilvl w:val="0"/>
          <w:numId w:val="52"/>
        </w:numPr>
        <w:rPr>
          <w:rFonts w:eastAsiaTheme="minorEastAsia" w:cstheme="minorBidi"/>
          <w:lang w:eastAsia="en-US"/>
        </w:rPr>
      </w:pPr>
      <w:r w:rsidRPr="00CA62C6">
        <w:rPr>
          <w:rFonts w:eastAsiaTheme="minorEastAsia" w:cstheme="minorBidi"/>
          <w:lang w:eastAsia="en-US"/>
        </w:rPr>
        <w:t>Cu</w:t>
      </w:r>
      <w:r w:rsidR="00E85BAC" w:rsidRPr="00CA62C6">
        <w:rPr>
          <w:rFonts w:eastAsiaTheme="minorEastAsia" w:cstheme="minorBidi"/>
          <w:lang w:eastAsia="en-US"/>
        </w:rPr>
        <w:t>á</w:t>
      </w:r>
      <w:r w:rsidRPr="00CA62C6">
        <w:rPr>
          <w:rFonts w:eastAsiaTheme="minorEastAsia" w:cstheme="minorBidi"/>
          <w:lang w:eastAsia="en-US"/>
        </w:rPr>
        <w:t>ntos millones se asignaron para el presupuesto del año 2021 al Ayuntamiento de Calimaya y de cu</w:t>
      </w:r>
      <w:r w:rsidR="00E85BAC" w:rsidRPr="00CA62C6">
        <w:rPr>
          <w:rFonts w:eastAsiaTheme="minorEastAsia" w:cstheme="minorBidi"/>
          <w:lang w:eastAsia="en-US"/>
        </w:rPr>
        <w:t>á</w:t>
      </w:r>
      <w:r w:rsidRPr="00CA62C6">
        <w:rPr>
          <w:rFonts w:eastAsiaTheme="minorEastAsia" w:cstheme="minorBidi"/>
          <w:lang w:eastAsia="en-US"/>
        </w:rPr>
        <w:t>ntos millones fue el gasto público del Ayuntamiento de Calimaya en el año 2021.</w:t>
      </w:r>
    </w:p>
    <w:p w14:paraId="592A6ADE" w14:textId="5F90A389" w:rsidR="00E85BAC" w:rsidRPr="00CA62C6" w:rsidRDefault="006E21BF" w:rsidP="00CA62C6">
      <w:pPr>
        <w:pStyle w:val="Prrafodelista"/>
        <w:numPr>
          <w:ilvl w:val="0"/>
          <w:numId w:val="52"/>
        </w:numPr>
        <w:rPr>
          <w:rFonts w:eastAsiaTheme="minorEastAsia" w:cstheme="minorBidi"/>
          <w:lang w:eastAsia="en-US"/>
        </w:rPr>
      </w:pPr>
      <w:r w:rsidRPr="00CA62C6">
        <w:rPr>
          <w:rFonts w:eastAsiaTheme="minorEastAsia" w:cstheme="minorBidi"/>
          <w:lang w:eastAsia="en-US"/>
        </w:rPr>
        <w:t>Cu</w:t>
      </w:r>
      <w:r w:rsidR="00E85BAC" w:rsidRPr="00CA62C6">
        <w:rPr>
          <w:rFonts w:eastAsiaTheme="minorEastAsia" w:cstheme="minorBidi"/>
          <w:lang w:eastAsia="en-US"/>
        </w:rPr>
        <w:t>á</w:t>
      </w:r>
      <w:r w:rsidRPr="00CA62C6">
        <w:rPr>
          <w:rFonts w:eastAsiaTheme="minorEastAsia" w:cstheme="minorBidi"/>
          <w:lang w:eastAsia="en-US"/>
        </w:rPr>
        <w:t>ntos millones se asignaron para el presupuesto del año 2022 al Ayuntamiento de Calimaya y de cu</w:t>
      </w:r>
      <w:r w:rsidR="00E85BAC" w:rsidRPr="00CA62C6">
        <w:rPr>
          <w:rFonts w:eastAsiaTheme="minorEastAsia" w:cstheme="minorBidi"/>
          <w:lang w:eastAsia="en-US"/>
        </w:rPr>
        <w:t>á</w:t>
      </w:r>
      <w:r w:rsidRPr="00CA62C6">
        <w:rPr>
          <w:rFonts w:eastAsiaTheme="minorEastAsia" w:cstheme="minorBidi"/>
          <w:lang w:eastAsia="en-US"/>
        </w:rPr>
        <w:t>ntos millones fue el gasto público del Ayuntamiento de Calimaya en el año 2022.</w:t>
      </w:r>
    </w:p>
    <w:p w14:paraId="2A4B316F" w14:textId="7AE7EA4F" w:rsidR="00E85BAC" w:rsidRPr="00CA62C6" w:rsidRDefault="006E21BF" w:rsidP="00CA62C6">
      <w:pPr>
        <w:pStyle w:val="Prrafodelista"/>
        <w:numPr>
          <w:ilvl w:val="0"/>
          <w:numId w:val="52"/>
        </w:numPr>
        <w:rPr>
          <w:rFonts w:eastAsiaTheme="minorEastAsia" w:cstheme="minorBidi"/>
          <w:lang w:eastAsia="en-US"/>
        </w:rPr>
      </w:pPr>
      <w:r w:rsidRPr="00CA62C6">
        <w:rPr>
          <w:rFonts w:eastAsiaTheme="minorEastAsia" w:cstheme="minorBidi"/>
          <w:lang w:eastAsia="en-US"/>
        </w:rPr>
        <w:t>Cu</w:t>
      </w:r>
      <w:r w:rsidR="00CA62C6" w:rsidRPr="00CA62C6">
        <w:rPr>
          <w:rFonts w:eastAsiaTheme="minorEastAsia" w:cstheme="minorBidi"/>
          <w:lang w:eastAsia="en-US"/>
        </w:rPr>
        <w:t>á</w:t>
      </w:r>
      <w:r w:rsidRPr="00CA62C6">
        <w:rPr>
          <w:rFonts w:eastAsiaTheme="minorEastAsia" w:cstheme="minorBidi"/>
          <w:lang w:eastAsia="en-US"/>
        </w:rPr>
        <w:t>ntos millones se asignaron para el presupuesto del año 2023 al Ayuntamiento de Calimaya y de cu</w:t>
      </w:r>
      <w:r w:rsidR="00CA62C6" w:rsidRPr="00CA62C6">
        <w:rPr>
          <w:rFonts w:eastAsiaTheme="minorEastAsia" w:cstheme="minorBidi"/>
          <w:lang w:eastAsia="en-US"/>
        </w:rPr>
        <w:t>á</w:t>
      </w:r>
      <w:r w:rsidRPr="00CA62C6">
        <w:rPr>
          <w:rFonts w:eastAsiaTheme="minorEastAsia" w:cstheme="minorBidi"/>
          <w:lang w:eastAsia="en-US"/>
        </w:rPr>
        <w:t>ntos millones fue el gasto público del Ayuntamiento de Calimaya en el año 2023.</w:t>
      </w:r>
    </w:p>
    <w:p w14:paraId="489B0FBF" w14:textId="2858A81F" w:rsidR="006E21BF" w:rsidRPr="00CA62C6" w:rsidRDefault="006E21BF" w:rsidP="00CA62C6">
      <w:pPr>
        <w:pStyle w:val="Prrafodelista"/>
        <w:numPr>
          <w:ilvl w:val="0"/>
          <w:numId w:val="52"/>
        </w:numPr>
        <w:rPr>
          <w:rFonts w:eastAsiaTheme="minorEastAsia" w:cstheme="minorBidi"/>
          <w:lang w:eastAsia="en-US"/>
        </w:rPr>
      </w:pPr>
      <w:r w:rsidRPr="00CA62C6">
        <w:rPr>
          <w:rFonts w:eastAsiaTheme="minorEastAsia" w:cstheme="minorBidi"/>
          <w:lang w:eastAsia="en-US"/>
        </w:rPr>
        <w:lastRenderedPageBreak/>
        <w:t>Cu</w:t>
      </w:r>
      <w:r w:rsidR="00CA62C6" w:rsidRPr="00CA62C6">
        <w:rPr>
          <w:rFonts w:eastAsiaTheme="minorEastAsia" w:cstheme="minorBidi"/>
          <w:lang w:eastAsia="en-US"/>
        </w:rPr>
        <w:t>á</w:t>
      </w:r>
      <w:r w:rsidRPr="00CA62C6">
        <w:rPr>
          <w:rFonts w:eastAsiaTheme="minorEastAsia" w:cstheme="minorBidi"/>
          <w:lang w:eastAsia="en-US"/>
        </w:rPr>
        <w:t>ntos millones se asignaron para el presupuesto del año 2024 al Ayuntamiento de Calimaya y de cu</w:t>
      </w:r>
      <w:r w:rsidR="00CA62C6" w:rsidRPr="00CA62C6">
        <w:rPr>
          <w:rFonts w:eastAsiaTheme="minorEastAsia" w:cstheme="minorBidi"/>
          <w:lang w:eastAsia="en-US"/>
        </w:rPr>
        <w:t>á</w:t>
      </w:r>
      <w:r w:rsidRPr="00CA62C6">
        <w:rPr>
          <w:rFonts w:eastAsiaTheme="minorEastAsia" w:cstheme="minorBidi"/>
          <w:lang w:eastAsia="en-US"/>
        </w:rPr>
        <w:t>ntos millones fue el gasto público del Ayuntamiento de Calimaya hasta la fecha 25 de noviembre el año 2024</w:t>
      </w:r>
    </w:p>
    <w:p w14:paraId="4D4D45FC" w14:textId="77777777" w:rsidR="006E21BF" w:rsidRDefault="006E21BF" w:rsidP="0EE28084">
      <w:pPr>
        <w:rPr>
          <w:rFonts w:eastAsiaTheme="minorEastAsia" w:cstheme="minorBidi"/>
          <w:lang w:val="es-ES" w:eastAsia="en-US"/>
        </w:rPr>
      </w:pPr>
    </w:p>
    <w:p w14:paraId="01C6E39C" w14:textId="736C9B2E" w:rsidR="00E84FDA" w:rsidRDefault="00A970D5" w:rsidP="00AA6088">
      <w:pPr>
        <w:pBdr>
          <w:top w:val="nil"/>
          <w:left w:val="nil"/>
          <w:bottom w:val="nil"/>
          <w:right w:val="nil"/>
          <w:between w:val="nil"/>
        </w:pBdr>
        <w:contextualSpacing/>
        <w:rPr>
          <w:rFonts w:eastAsia="Palatino Linotype" w:cs="Palatino Linotype"/>
          <w:bCs/>
          <w:color w:val="000000"/>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E56AE4">
        <w:rPr>
          <w:rFonts w:eastAsia="Palatino Linotype" w:cs="Palatino Linotype"/>
          <w:color w:val="000000"/>
          <w:szCs w:val="24"/>
        </w:rPr>
        <w:t xml:space="preserve">documento denominado </w:t>
      </w:r>
      <w:r w:rsidR="00AA6088" w:rsidRPr="00AA6088">
        <w:rPr>
          <w:rFonts w:eastAsia="Palatino Linotype" w:cs="Palatino Linotype"/>
          <w:b/>
          <w:bCs/>
          <w:color w:val="000000"/>
          <w:szCs w:val="24"/>
        </w:rPr>
        <w:t>«</w:t>
      </w:r>
      <w:r w:rsidR="00E56AE4" w:rsidRPr="00AA6088">
        <w:rPr>
          <w:rFonts w:eastAsia="Palatino Linotype" w:cs="Palatino Linotype"/>
          <w:b/>
          <w:bCs/>
          <w:color w:val="000000"/>
        </w:rPr>
        <w:t>RESPUESTA</w:t>
      </w:r>
      <w:r w:rsidR="00E56AE4" w:rsidRPr="00201ABD">
        <w:rPr>
          <w:rFonts w:eastAsia="Palatino Linotype" w:cs="Palatino Linotype"/>
          <w:b/>
          <w:bCs/>
          <w:color w:val="000000"/>
        </w:rPr>
        <w:t xml:space="preserve"> A LA SOLICITUD 00214.pdf</w:t>
      </w:r>
      <w:r w:rsidR="00AA6088" w:rsidRPr="00AA6088">
        <w:rPr>
          <w:rFonts w:eastAsia="Palatino Linotype" w:cs="Palatino Linotype"/>
          <w:b/>
          <w:bCs/>
          <w:color w:val="000000"/>
        </w:rPr>
        <w:t>»</w:t>
      </w:r>
      <w:r w:rsidR="00AA6088" w:rsidRPr="00AA6088">
        <w:rPr>
          <w:rFonts w:eastAsia="Palatino Linotype" w:cs="Palatino Linotype"/>
          <w:color w:val="000000"/>
        </w:rPr>
        <w:t>, consistente del o</w:t>
      </w:r>
      <w:r w:rsidR="00E84FDA" w:rsidRPr="00AA6088">
        <w:rPr>
          <w:rFonts w:eastAsia="Palatino Linotype" w:cs="Palatino Linotype"/>
          <w:color w:val="000000"/>
        </w:rPr>
        <w:t>ficio</w:t>
      </w:r>
      <w:r w:rsidR="00E84FDA" w:rsidRPr="00AA6088">
        <w:rPr>
          <w:rFonts w:eastAsia="Palatino Linotype" w:cs="Palatino Linotype"/>
          <w:bCs/>
          <w:color w:val="000000"/>
        </w:rPr>
        <w:t xml:space="preserve"> </w:t>
      </w:r>
      <w:r w:rsidR="006A1D05" w:rsidRPr="00AA6088">
        <w:rPr>
          <w:rFonts w:eastAsia="Palatino Linotype" w:cs="Palatino Linotype"/>
          <w:bCs/>
          <w:color w:val="000000"/>
        </w:rPr>
        <w:t>PMC/TM/414/2024</w:t>
      </w:r>
      <w:r w:rsidR="004752CD" w:rsidRPr="00AA6088">
        <w:rPr>
          <w:rFonts w:eastAsia="Palatino Linotype" w:cs="Palatino Linotype"/>
          <w:bCs/>
          <w:color w:val="000000"/>
        </w:rPr>
        <w:t xml:space="preserve"> emitido por el Tesorero Municipal, con el que se respondió la solicitud del Recurrente de la siguiente forma:</w:t>
      </w:r>
    </w:p>
    <w:p w14:paraId="3E7A4785" w14:textId="7AF06681" w:rsidR="004752CD" w:rsidRDefault="00476784" w:rsidP="004752CD">
      <w:pPr>
        <w:pStyle w:val="Prrafodelista"/>
        <w:rPr>
          <w:rFonts w:eastAsia="Palatino Linotype" w:cs="Palatino Linotype"/>
          <w:b/>
          <w:bCs/>
          <w:color w:val="000000"/>
          <w:lang w:val="es-ES_tradnl"/>
        </w:rPr>
      </w:pPr>
      <w:r>
        <w:rPr>
          <w:rFonts w:eastAsia="Palatino Linotype" w:cs="Palatino Linotype"/>
          <w:b/>
          <w:bCs/>
          <w:noProof/>
          <w:color w:val="000000"/>
          <w:lang w:val="es-MX" w:eastAsia="es-MX"/>
        </w:rPr>
        <w:drawing>
          <wp:inline distT="0" distB="0" distL="0" distR="0" wp14:anchorId="7399508E" wp14:editId="3A702491">
            <wp:extent cx="4747212" cy="2196994"/>
            <wp:effectExtent l="0" t="0" r="3175" b="635"/>
            <wp:docPr id="11357127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12705" name="Imagen 11357127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8338" cy="2225283"/>
                    </a:xfrm>
                    <a:prstGeom prst="rect">
                      <a:avLst/>
                    </a:prstGeom>
                  </pic:spPr>
                </pic:pic>
              </a:graphicData>
            </a:graphic>
          </wp:inline>
        </w:drawing>
      </w:r>
    </w:p>
    <w:p w14:paraId="61D7C787" w14:textId="0BA6D286" w:rsidR="00E25725" w:rsidRPr="00E84FDA" w:rsidRDefault="00E56AE4" w:rsidP="007955D0">
      <w:pPr>
        <w:pBdr>
          <w:top w:val="nil"/>
          <w:left w:val="nil"/>
          <w:bottom w:val="nil"/>
          <w:right w:val="nil"/>
          <w:between w:val="nil"/>
        </w:pBdr>
        <w:contextualSpacing/>
        <w:jc w:val="center"/>
        <w:rPr>
          <w:rFonts w:eastAsia="Palatino Linotype" w:cs="Palatino Linotype"/>
          <w:color w:val="000000" w:themeColor="text1"/>
          <w:szCs w:val="24"/>
          <w:lang w:val="es-ES"/>
        </w:rPr>
      </w:pPr>
      <w:r>
        <w:rPr>
          <w:rFonts w:eastAsia="Palatino Linotype" w:cs="Palatino Linotype"/>
          <w:noProof/>
          <w:color w:val="000000" w:themeColor="text1"/>
          <w:szCs w:val="24"/>
          <w:lang w:val="es-MX"/>
        </w:rPr>
        <w:drawing>
          <wp:inline distT="0" distB="0" distL="0" distR="0" wp14:anchorId="19E70831" wp14:editId="3A482318">
            <wp:extent cx="4806787" cy="2610485"/>
            <wp:effectExtent l="0" t="0" r="0" b="5715"/>
            <wp:docPr id="4644989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98996" name="Imagen 46449899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8585" cy="2633185"/>
                    </a:xfrm>
                    <a:prstGeom prst="rect">
                      <a:avLst/>
                    </a:prstGeom>
                  </pic:spPr>
                </pic:pic>
              </a:graphicData>
            </a:graphic>
          </wp:inline>
        </w:drawing>
      </w:r>
    </w:p>
    <w:p w14:paraId="7E99A33D" w14:textId="77777777" w:rsidR="00D16E98" w:rsidRDefault="00D16E98"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7468C0A2"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5C2DFB">
        <w:rPr>
          <w:rFonts w:eastAsia="Palatino Linotype" w:cs="Palatino Linotype"/>
          <w:color w:val="000000" w:themeColor="text1"/>
          <w:lang w:val="es-ES"/>
        </w:rPr>
        <w:t xml:space="preserve">el </w:t>
      </w:r>
      <w:r w:rsidR="006F6768">
        <w:rPr>
          <w:rFonts w:eastAsia="Palatino Linotype" w:cs="Palatino Linotype"/>
          <w:color w:val="000000" w:themeColor="text1"/>
          <w:lang w:val="es-ES"/>
        </w:rPr>
        <w:t>número</w:t>
      </w:r>
      <w:r w:rsidR="005C2DFB">
        <w:rPr>
          <w:rFonts w:eastAsia="Palatino Linotype" w:cs="Palatino Linotype"/>
          <w:color w:val="000000" w:themeColor="text1"/>
          <w:lang w:val="es-ES"/>
        </w:rPr>
        <w:t xml:space="preserve"> d</w:t>
      </w:r>
      <w:r w:rsidR="006F6768">
        <w:rPr>
          <w:rFonts w:eastAsia="Palatino Linotype" w:cs="Palatino Linotype"/>
          <w:color w:val="000000" w:themeColor="text1"/>
          <w:lang w:val="es-ES"/>
        </w:rPr>
        <w:t>e solicitud de información</w:t>
      </w:r>
      <w:r w:rsidR="002623AA">
        <w:rPr>
          <w:rFonts w:eastAsia="Palatino Linotype" w:cs="Palatino Linotype"/>
          <w:color w:val="000000" w:themeColor="text1"/>
          <w:lang w:val="es-ES"/>
        </w:rPr>
        <w:t xml:space="preserve"> y </w:t>
      </w:r>
      <w:r w:rsidR="005740E5">
        <w:rPr>
          <w:rFonts w:eastAsia="Palatino Linotype" w:cs="Palatino Linotype"/>
          <w:color w:val="000000" w:themeColor="text1"/>
          <w:lang w:val="es-ES"/>
        </w:rPr>
        <w:t xml:space="preserve">dando como razones o motivos de inconformidad que </w:t>
      </w:r>
      <w:r w:rsidR="006F6768">
        <w:rPr>
          <w:rFonts w:eastAsia="Palatino Linotype" w:cs="Palatino Linotype"/>
          <w:color w:val="000000" w:themeColor="text1"/>
          <w:lang w:val="es-ES"/>
        </w:rPr>
        <w:t>no se proporcionó la información de manera concreta y clara.</w:t>
      </w:r>
    </w:p>
    <w:p w14:paraId="4A6500B8" w14:textId="77777777" w:rsidR="008F50E6" w:rsidRDefault="008F50E6" w:rsidP="00A04222"/>
    <w:p w14:paraId="33F9A552" w14:textId="77777777" w:rsidR="001F3363" w:rsidRDefault="001F3363" w:rsidP="001F3363">
      <w:r w:rsidRPr="00757365">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573F5701" w14:textId="77777777" w:rsidR="001F3363" w:rsidRDefault="001F3363" w:rsidP="00A830A7"/>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lastRenderedPageBreak/>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lastRenderedPageBreak/>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7A478C72"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w:t>
      </w:r>
      <w:proofErr w:type="gramStart"/>
      <w:r w:rsidR="00392DAC">
        <w:t>las fracci</w:t>
      </w:r>
      <w:r w:rsidR="00942EC6">
        <w:t>ón</w:t>
      </w:r>
      <w:proofErr w:type="gramEnd"/>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22901661" w14:textId="1445392C" w:rsidR="00CA59E3" w:rsidRDefault="006100FC" w:rsidP="00637679">
      <w:r>
        <w:t xml:space="preserve">En segundo término, </w:t>
      </w:r>
      <w:r w:rsidR="00CA59E3">
        <w:t xml:space="preserve">se </w:t>
      </w:r>
      <w:r w:rsidR="009357CD">
        <w:t>tiene</w:t>
      </w:r>
      <w:r w:rsidR="00CA59E3">
        <w:t xml:space="preserve"> que el Sujeto Obligado</w:t>
      </w:r>
      <w:r w:rsidR="00FC623B">
        <w:t xml:space="preserve"> proporcionó la</w:t>
      </w:r>
      <w:r w:rsidR="003C1570">
        <w:t xml:space="preserve"> respuesta emitida por el Tesorero Municipal, </w:t>
      </w:r>
      <w:r w:rsidR="00CD4D4B">
        <w:t xml:space="preserve">por lo que se estima conveniente hacer referencia a lo dispuesto en los artículos 93 y </w:t>
      </w:r>
      <w:r w:rsidR="003C1570">
        <w:t xml:space="preserve">95 </w:t>
      </w:r>
      <w:r w:rsidR="00703E25">
        <w:t>fracciones I</w:t>
      </w:r>
      <w:r w:rsidR="00CD4D4B">
        <w:t xml:space="preserve"> y</w:t>
      </w:r>
      <w:r w:rsidR="00703E25">
        <w:t xml:space="preserve"> </w:t>
      </w:r>
      <w:r w:rsidR="008635E0">
        <w:t>IV</w:t>
      </w:r>
      <w:r w:rsidR="00285A72">
        <w:t xml:space="preserve"> </w:t>
      </w:r>
      <w:r w:rsidR="003C1570">
        <w:t xml:space="preserve">de la Ley Orgánica Municipal </w:t>
      </w:r>
      <w:r w:rsidR="00285A72">
        <w:t>del Estado de México,</w:t>
      </w:r>
      <w:r w:rsidR="00FC623B">
        <w:t xml:space="preserve"> </w:t>
      </w:r>
      <w:r w:rsidR="00CD4D4B">
        <w:t xml:space="preserve">en los que se estipula lo siguiente: </w:t>
      </w:r>
    </w:p>
    <w:p w14:paraId="08E057EE" w14:textId="77777777" w:rsidR="00C5499F" w:rsidRDefault="00C5499F" w:rsidP="00637679"/>
    <w:p w14:paraId="06DCB90F" w14:textId="77777777" w:rsidR="008E6ECA" w:rsidRPr="008E6ECA" w:rsidRDefault="008E6ECA" w:rsidP="008E6ECA">
      <w:pPr>
        <w:pStyle w:val="Fundamentos"/>
        <w:rPr>
          <w:lang w:val="es-ES"/>
        </w:rPr>
      </w:pPr>
      <w:r w:rsidRPr="008E6ECA">
        <w:rPr>
          <w:b/>
          <w:lang w:val="es-ES"/>
        </w:rPr>
        <w:t>Artículo 93.-</w:t>
      </w:r>
      <w:r w:rsidRPr="008E6ECA">
        <w:rPr>
          <w:lang w:val="es-ES"/>
        </w:rPr>
        <w:t xml:space="preserve"> La tesorería municipal es el órgano encargado de la recaudación de los ingresos municipales y responsable de realizar las erogaciones que haga el ayuntamiento.</w:t>
      </w:r>
    </w:p>
    <w:p w14:paraId="0387654E" w14:textId="6D703CC5" w:rsidR="00C5499F" w:rsidRDefault="00C5499F" w:rsidP="00CD4D4B">
      <w:pPr>
        <w:pStyle w:val="Fundamentos"/>
        <w:rPr>
          <w:lang w:val="es-ES"/>
        </w:rPr>
      </w:pPr>
    </w:p>
    <w:p w14:paraId="2C587DAD" w14:textId="77777777" w:rsidR="001A5B53" w:rsidRPr="001A5B53" w:rsidRDefault="001A5B53" w:rsidP="001A5B53">
      <w:pPr>
        <w:pStyle w:val="Fundamentos"/>
        <w:rPr>
          <w:lang w:val="es-ES"/>
        </w:rPr>
      </w:pPr>
      <w:r w:rsidRPr="001A5B53">
        <w:rPr>
          <w:b/>
          <w:lang w:val="es-ES"/>
        </w:rPr>
        <w:t>Artículo 95.-</w:t>
      </w:r>
      <w:r w:rsidRPr="001A5B53">
        <w:rPr>
          <w:lang w:val="es-ES"/>
        </w:rPr>
        <w:t xml:space="preserve"> Son atribuciones del tesorero municipal:</w:t>
      </w:r>
    </w:p>
    <w:p w14:paraId="59DA17C9" w14:textId="77777777" w:rsidR="001A5B53" w:rsidRPr="001A5B53" w:rsidRDefault="001A5B53" w:rsidP="001A5B53">
      <w:pPr>
        <w:pStyle w:val="Fundamentos"/>
        <w:rPr>
          <w:lang w:val="es-ES"/>
        </w:rPr>
      </w:pPr>
    </w:p>
    <w:p w14:paraId="1ECF4DDE" w14:textId="77777777" w:rsidR="001A5B53" w:rsidRPr="001A5B53" w:rsidRDefault="001A5B53" w:rsidP="001A5B53">
      <w:pPr>
        <w:pStyle w:val="Fundamentos"/>
        <w:rPr>
          <w:lang w:val="es-ES"/>
        </w:rPr>
      </w:pPr>
      <w:r w:rsidRPr="001A5B53">
        <w:rPr>
          <w:lang w:val="es-ES"/>
        </w:rPr>
        <w:lastRenderedPageBreak/>
        <w:t>I. Administrar la hacienda pública municipal, de conformidad con las disposiciones legales aplicables;</w:t>
      </w:r>
    </w:p>
    <w:p w14:paraId="1F9E5036" w14:textId="042C0C11" w:rsidR="008E6ECA" w:rsidRDefault="001A5B53" w:rsidP="00CD4D4B">
      <w:pPr>
        <w:pStyle w:val="Fundamentos"/>
        <w:rPr>
          <w:lang w:val="es-ES"/>
        </w:rPr>
      </w:pPr>
      <w:r>
        <w:rPr>
          <w:lang w:val="es-ES"/>
        </w:rPr>
        <w:t>[…]</w:t>
      </w:r>
    </w:p>
    <w:p w14:paraId="3433EF99" w14:textId="77777777" w:rsidR="009F15B7" w:rsidRPr="009F15B7" w:rsidRDefault="009F15B7" w:rsidP="009F15B7">
      <w:pPr>
        <w:pStyle w:val="Fundamentos"/>
        <w:rPr>
          <w:lang w:val="es-ES"/>
        </w:rPr>
      </w:pPr>
      <w:r w:rsidRPr="009F15B7">
        <w:rPr>
          <w:lang w:val="es-ES"/>
        </w:rPr>
        <w:t>IV. Llevar los registros contables, financieros y administrativos de los ingresos, egresos, e inventarios;</w:t>
      </w:r>
    </w:p>
    <w:p w14:paraId="715034C9" w14:textId="398B7366" w:rsidR="001A5B53" w:rsidRPr="008E6ECA" w:rsidRDefault="009F15B7" w:rsidP="00CD4D4B">
      <w:pPr>
        <w:pStyle w:val="Fundamentos"/>
        <w:rPr>
          <w:lang w:val="es-ES"/>
        </w:rPr>
      </w:pPr>
      <w:r>
        <w:rPr>
          <w:lang w:val="es-ES"/>
        </w:rPr>
        <w:t>[…]</w:t>
      </w:r>
    </w:p>
    <w:p w14:paraId="4E84D162" w14:textId="77777777" w:rsidR="00C5499F" w:rsidRDefault="00C5499F" w:rsidP="00637679"/>
    <w:p w14:paraId="586181FA" w14:textId="2ED1426C" w:rsidR="00C5499F" w:rsidRDefault="00C5499F" w:rsidP="00637679">
      <w:r>
        <w:t xml:space="preserve">Como se </w:t>
      </w:r>
      <w:r w:rsidR="00E85271">
        <w:t xml:space="preserve">desprende de los artículos en cita, la Tesorería Municipal es la encargada </w:t>
      </w:r>
      <w:r w:rsidR="00D13C46">
        <w:t xml:space="preserve">de </w:t>
      </w:r>
      <w:r w:rsidR="00D13C46" w:rsidRPr="00D13C46">
        <w:t>la recaudación de los ingresos y responsable de realizar las erogaciones municipales</w:t>
      </w:r>
      <w:r w:rsidR="00D13C46">
        <w:t>; y su titular tiene las atribucio</w:t>
      </w:r>
      <w:r w:rsidR="00E55289">
        <w:t>nes para administrar la hacienda pública municipal y de llevar los registros contables</w:t>
      </w:r>
      <w:r w:rsidR="008A2F8E">
        <w:t xml:space="preserve">, financieros y administrativos de los ingresos, egresos </w:t>
      </w:r>
      <w:r w:rsidR="003F3BA5">
        <w:t xml:space="preserve">e inventarios. </w:t>
      </w:r>
    </w:p>
    <w:p w14:paraId="2FC44ACF" w14:textId="77777777" w:rsidR="00C5499F" w:rsidRDefault="00C5499F" w:rsidP="00637679"/>
    <w:p w14:paraId="61B676EE" w14:textId="09B03845" w:rsidR="00A67318" w:rsidRPr="0044449B" w:rsidRDefault="00A67318" w:rsidP="00A67318">
      <w:pPr>
        <w:contextualSpacing/>
        <w:rPr>
          <w:rFonts w:eastAsia="Palatino Linotype" w:cs="Palatino Linotype"/>
          <w:color w:val="000000"/>
        </w:rPr>
      </w:pPr>
      <w:r>
        <w:t xml:space="preserve">Así, conviene resaltar </w:t>
      </w:r>
      <w:r w:rsidRPr="0044449B">
        <w:rPr>
          <w:rFonts w:eastAsia="Palatino Linotype" w:cs="Palatino Linotype"/>
          <w:color w:val="000000"/>
        </w:rPr>
        <w:t>lo establecido en los artículos 4, 12</w:t>
      </w:r>
      <w:r>
        <w:rPr>
          <w:rFonts w:eastAsia="Palatino Linotype" w:cs="Palatino Linotype"/>
          <w:color w:val="000000"/>
        </w:rPr>
        <w:t>, 18</w:t>
      </w:r>
      <w:r w:rsidRPr="0044449B">
        <w:rPr>
          <w:rFonts w:eastAsia="Palatino Linotype" w:cs="Palatino Linotype"/>
          <w:color w:val="000000"/>
        </w:rPr>
        <w:t xml:space="preserve"> y 24 último párrafo de la Ley de Transparencia local, en los que se dispone lo siguiente:</w:t>
      </w:r>
    </w:p>
    <w:p w14:paraId="2FFD660C" w14:textId="77777777" w:rsidR="00A67318" w:rsidRPr="0044449B" w:rsidRDefault="00A67318" w:rsidP="00A67318">
      <w:pPr>
        <w:contextualSpacing/>
        <w:rPr>
          <w:rFonts w:eastAsia="Palatino Linotype" w:cs="Palatino Linotype"/>
          <w:color w:val="000000"/>
        </w:rPr>
      </w:pPr>
    </w:p>
    <w:p w14:paraId="2740AF2E"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778D42DC"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14AF93F" w14:textId="77777777" w:rsidR="00A67318" w:rsidRPr="0044449B" w:rsidRDefault="0EE28084" w:rsidP="0EE2808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EE28084">
        <w:rPr>
          <w:rFonts w:eastAsia="Palatino Linotype" w:cs="Palatino Linotype"/>
          <w:b/>
          <w:bCs/>
          <w:i/>
          <w:iCs/>
          <w:color w:val="000000" w:themeColor="text1"/>
          <w:sz w:val="22"/>
          <w:u w:val="single"/>
          <w:lang w:val="es-ES"/>
        </w:rPr>
        <w:t>Toda la información generada, obtenida, adquirida, transformada, administrada o en posesión de los sujetos obligados es pública y accesible de manera permanente a cualquier persona</w:t>
      </w:r>
      <w:r w:rsidRPr="0EE28084">
        <w:rPr>
          <w:rFonts w:eastAsia="Palatino Linotype" w:cs="Palatino Linotype"/>
          <w:i/>
          <w:iCs/>
          <w:color w:val="000000" w:themeColor="text1"/>
          <w:sz w:val="22"/>
          <w:lang w:val="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489B29"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075535A"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00B98C6"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7F0A378"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5BC0DA1"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A63CDEE" w14:textId="77777777" w:rsidR="00A67318" w:rsidRDefault="0EE28084" w:rsidP="0EE2808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EE28084">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0EE28084">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5DB85D40" w14:textId="77777777" w:rsidR="00A67318"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47A4186" w14:textId="77777777" w:rsidR="00A67318" w:rsidRPr="00A67318"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lang w:val="es-MX"/>
        </w:rPr>
      </w:pPr>
      <w:r w:rsidRPr="00A67318">
        <w:rPr>
          <w:rFonts w:eastAsia="Palatino Linotype" w:cs="Palatino Linotype"/>
          <w:b/>
          <w:i/>
          <w:color w:val="000000"/>
          <w:sz w:val="22"/>
          <w:lang w:val="es-MX"/>
        </w:rPr>
        <w:t xml:space="preserve">Artículo 18. </w:t>
      </w:r>
      <w:r w:rsidRPr="00A67318">
        <w:rPr>
          <w:rFonts w:eastAsia="Palatino Linotype" w:cs="Palatino Linotype"/>
          <w:i/>
          <w:color w:val="000000"/>
          <w:sz w:val="22"/>
          <w:lang w:val="es-MX"/>
        </w:rPr>
        <w:t>Los sujetos obligados deberán documentar todo acto que derive del ejercicio de sus facultades, competencias o funciones, considerando desde su origen la eventual publicidad y reutilización de la información que generen.</w:t>
      </w:r>
    </w:p>
    <w:p w14:paraId="04DE397E"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4D23504"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F489439"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E6B2A44" w14:textId="77777777" w:rsidR="00A67318" w:rsidRPr="0044449B" w:rsidRDefault="00A67318" w:rsidP="00A6731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7041718E" w14:textId="77777777" w:rsidR="00A67318" w:rsidRPr="0044449B" w:rsidRDefault="00A67318" w:rsidP="00A67318">
      <w:pPr>
        <w:contextualSpacing/>
        <w:rPr>
          <w:rFonts w:eastAsia="Palatino Linotype" w:cs="Palatino Linotype"/>
          <w:color w:val="000000"/>
        </w:rPr>
      </w:pPr>
    </w:p>
    <w:p w14:paraId="19AE425C" w14:textId="5920214D" w:rsidR="00A67318" w:rsidRPr="0044449B" w:rsidRDefault="00A67318" w:rsidP="00A67318">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00E4352A">
        <w:rPr>
          <w:rFonts w:eastAsia="Palatino Linotype" w:cs="Palatino Linotype"/>
          <w:color w:val="000000"/>
          <w:lang w:val="es-ES"/>
        </w:rPr>
        <w:t>; además de establecer la obligación de documentar todos los actos que deriven del ejercicio de sus facultades, atribuciones o competencias.</w:t>
      </w:r>
    </w:p>
    <w:p w14:paraId="1BA81309" w14:textId="6A33D670" w:rsidR="00C5499F" w:rsidRDefault="00C5499F" w:rsidP="00637679"/>
    <w:p w14:paraId="19EF06C8" w14:textId="58C5011F" w:rsidR="00C5499F" w:rsidRDefault="00E4352A" w:rsidP="00637679">
      <w:r>
        <w:t xml:space="preserve">Aunado a lo anterior, se tiene que el Sujeto Obligado manifestó que la información solicitada puede ser consultada en </w:t>
      </w:r>
      <w:r w:rsidR="00A134B2">
        <w:t>l</w:t>
      </w:r>
      <w:r w:rsidR="00435D81">
        <w:t xml:space="preserve">os enlaces electrónicos referidos en </w:t>
      </w:r>
      <w:r w:rsidR="00CD3C29">
        <w:t>la respuesta emitida por el Tesorero Municipal.</w:t>
      </w:r>
    </w:p>
    <w:p w14:paraId="261FFC5F" w14:textId="77777777" w:rsidR="005C49D1" w:rsidRDefault="005C49D1" w:rsidP="00637679"/>
    <w:p w14:paraId="6C746887" w14:textId="1007A6B6" w:rsidR="003A5940" w:rsidRDefault="003A5940" w:rsidP="003A5940">
      <w:pPr>
        <w:ind w:left="-20" w:right="-20"/>
      </w:pPr>
      <w:r>
        <w:t xml:space="preserve">En ese orden de ideas, </w:t>
      </w:r>
      <w:r w:rsidRPr="2CE7142E">
        <w:rPr>
          <w:rFonts w:eastAsia="Palatino Linotype" w:cs="Palatino Linotype"/>
          <w:lang w:val="es-ES"/>
        </w:rPr>
        <w:t xml:space="preserve">se debe enfatizar que el Sujeto Obligado no negó contar con la información solicitada; por el contrario, </w:t>
      </w:r>
      <w:r>
        <w:rPr>
          <w:rFonts w:eastAsia="Palatino Linotype" w:cs="Palatino Linotype"/>
          <w:lang w:val="es-ES"/>
        </w:rPr>
        <w:t xml:space="preserve">al señalar que la información solicitada puede ser consultada en la liga anterior, </w:t>
      </w:r>
      <w:r w:rsidRPr="2CE7142E">
        <w:rPr>
          <w:rFonts w:eastAsia="Palatino Linotype" w:cs="Palatino Linotype"/>
          <w:lang w:val="es-ES"/>
        </w:rPr>
        <w:t>se debe entender que el Sujeto Obligado cuenta con las atribuciones, competencias o facultades para generar, poseer o administrar la información solicitada; esto dado que aceptó expresamente que cuenta con dichos documentos en sus archivos</w:t>
      </w:r>
      <w:r w:rsidR="00AD714E">
        <w:rPr>
          <w:rFonts w:eastAsia="Palatino Linotype" w:cs="Palatino Linotype"/>
          <w:lang w:val="es-ES"/>
        </w:rPr>
        <w:t xml:space="preserve"> y que estos obran en el portal IPOMEX</w:t>
      </w:r>
      <w:r w:rsidRPr="2CE7142E">
        <w:rPr>
          <w:rFonts w:eastAsia="Palatino Linotype" w:cs="Palatino Linotype"/>
          <w:lang w:val="es-ES"/>
        </w:rPr>
        <w:t>, por ende, es dable omitir el estudio respecto de la fuente obligación para generar, poseer o administrar la información solicitada.</w:t>
      </w:r>
    </w:p>
    <w:p w14:paraId="48DAE3B3" w14:textId="10934952" w:rsidR="003A5940" w:rsidRDefault="003A5940" w:rsidP="003A5940">
      <w:pPr>
        <w:ind w:left="-20" w:right="-20"/>
      </w:pPr>
    </w:p>
    <w:p w14:paraId="105E3028" w14:textId="77777777" w:rsidR="003A5940" w:rsidRDefault="003A5940" w:rsidP="003A5940">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0F361B62" w14:textId="205034D2" w:rsidR="003A5940" w:rsidRDefault="003A5940" w:rsidP="00637679"/>
    <w:p w14:paraId="37364702" w14:textId="259096C7" w:rsidR="00A134B2" w:rsidRDefault="005C49D1" w:rsidP="00A134B2">
      <w:r>
        <w:t>Así</w:t>
      </w:r>
      <w:r w:rsidR="00AD714E">
        <w:t xml:space="preserve">, </w:t>
      </w:r>
      <w:r w:rsidR="00022432">
        <w:t xml:space="preserve">se debe recordar que el Recurrente manifestó que la información no se </w:t>
      </w:r>
      <w:r w:rsidR="001B587B">
        <w:t>proporcionó de manera concreta y clara, de lo que se colige que</w:t>
      </w:r>
      <w:r w:rsidR="00285028">
        <w:t xml:space="preserve"> la inconformidad del particular</w:t>
      </w:r>
      <w:r w:rsidR="000D2A2D">
        <w:t xml:space="preserve"> consiste en que no accedió a la información </w:t>
      </w:r>
      <w:r w:rsidR="00662416">
        <w:t xml:space="preserve">como lo </w:t>
      </w:r>
      <w:r w:rsidR="00E2254B">
        <w:t>solicitó. Ahora bien</w:t>
      </w:r>
      <w:r w:rsidR="00FD2DEE">
        <w:t xml:space="preserve">, dado que </w:t>
      </w:r>
      <w:r w:rsidR="00F923FB">
        <w:t xml:space="preserve">los enlaces se </w:t>
      </w:r>
      <w:r w:rsidR="00A134B2">
        <w:t>proporcion</w:t>
      </w:r>
      <w:r w:rsidR="00F923FB">
        <w:t>aron</w:t>
      </w:r>
      <w:r w:rsidR="00A134B2">
        <w:t xml:space="preserve"> en un formato cerrado; es decir, implica que el particular transcriba la liga, lo que pudiera generar la existencia de un error humano al momento de su captura y, por en</w:t>
      </w:r>
      <w:r>
        <w:t>de, hacer imposible su consulta</w:t>
      </w:r>
      <w:r w:rsidR="00E2254B">
        <w:t>.</w:t>
      </w:r>
    </w:p>
    <w:p w14:paraId="1156481F" w14:textId="77777777" w:rsidR="005C49D1" w:rsidRDefault="005C49D1" w:rsidP="00A134B2"/>
    <w:p w14:paraId="4645D3F1" w14:textId="36A268D5" w:rsidR="00A134B2" w:rsidRDefault="00A134B2" w:rsidP="00A134B2">
      <w:r>
        <w:lastRenderedPageBreak/>
        <w:t>Derivado de lo anterior, cabe destacar que Tr</w:t>
      </w:r>
      <w:r w:rsidR="003A5940">
        <w:t xml:space="preserve">ujillo, Humberto (2019), en el </w:t>
      </w:r>
      <w:r>
        <w:t xml:space="preserve">Diccionario de Transparencia y </w:t>
      </w:r>
      <w:r w:rsidR="003A5940">
        <w:t>Acceso a la Información Pública</w:t>
      </w:r>
      <w:r>
        <w:t xml:space="preserve"> (p. 136 y 137), </w:t>
      </w:r>
      <w:r w:rsidR="003A5940">
        <w:t>señala</w:t>
      </w:r>
      <w:r>
        <w:t xml:space="preserve"> que</w:t>
      </w:r>
      <w:r w:rsidR="003A5940">
        <w:t>,</w:t>
      </w:r>
      <w:r>
        <w:t xml:space="preserve"> cuando un Sujeto Obligado proporciona información pública de manera electrónica</w:t>
      </w:r>
      <w:r w:rsidR="003A5940">
        <w:t>,</w:t>
      </w:r>
      <w:r>
        <w:t xml:space="preserve"> es necesario garantiza</w:t>
      </w:r>
      <w:r w:rsidR="003A5940">
        <w:t>r su interoperabilidad, lo que implica q</w:t>
      </w:r>
      <w:r>
        <w:t>ue la información contenga datos en formatos y estándares abiertos para su reproducción y reutilización electrónica de manera libre y sin ninguna restricción.</w:t>
      </w:r>
    </w:p>
    <w:p w14:paraId="7FE0ABB9" w14:textId="0F9C7638" w:rsidR="00A134B2" w:rsidRDefault="00A134B2" w:rsidP="00A134B2"/>
    <w:p w14:paraId="6928DCFA" w14:textId="77777777" w:rsidR="00A134B2" w:rsidRDefault="00A134B2" w:rsidP="00A134B2">
      <w: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FB25DED" w14:textId="006FF6B9" w:rsidR="00A134B2" w:rsidRDefault="00A134B2" w:rsidP="00A134B2"/>
    <w:p w14:paraId="58CA37A5" w14:textId="2C2561CA" w:rsidR="00A134B2" w:rsidRDefault="00A134B2" w:rsidP="00A134B2">
      <w:r>
        <w:t xml:space="preserve">Derivado de lo anterior, se considera necesario precisar que datos abiertos, conforme a la Carta </w:t>
      </w:r>
      <w:r w:rsidR="003A5940">
        <w:t>Internacional de Datos Abiertos</w:t>
      </w:r>
      <w:r w:rsidR="003A5940">
        <w:rPr>
          <w:rStyle w:val="Refdenotaalpie"/>
        </w:rPr>
        <w:footnoteReference w:id="3"/>
      </w:r>
      <w:r>
        <w:t xml:space="preserve"> son datos digitales que son puestos a disposición con las características técnicas y jurídicas necesarias para que puedan ser usados, reutilizados y redistribuidos libremente por cualquier persona, en cualquier momento y en cualquier lugar.</w:t>
      </w:r>
    </w:p>
    <w:p w14:paraId="60C59A05" w14:textId="77777777" w:rsidR="00A134B2" w:rsidRDefault="00A134B2" w:rsidP="00A134B2"/>
    <w:p w14:paraId="17B28CEF" w14:textId="1C902AA8" w:rsidR="00A134B2" w:rsidRDefault="00A134B2" w:rsidP="00A134B2">
      <w:r>
        <w:t>En ese co</w:t>
      </w:r>
      <w:r w:rsidR="003A5940">
        <w:t>ntexto, el artículo 3°, fracciones</w:t>
      </w:r>
      <w:r>
        <w:t xml:space="preserve"> VI y X, de la Ley General de Transparencia y Acceso a la Información Pública, con relación, al diverso 3°, fracciones VIII y XVI de la Ley de Transparencia y Acceso a la Información Pública del Estado </w:t>
      </w:r>
      <w:r w:rsidR="003A5940">
        <w:t>de México y Municipios, disponen</w:t>
      </w:r>
      <w:r>
        <w:t xml:space="preserve"> lo siguiente:</w:t>
      </w:r>
    </w:p>
    <w:p w14:paraId="37D55B81" w14:textId="77777777" w:rsidR="00A134B2" w:rsidRDefault="00A134B2" w:rsidP="00A134B2">
      <w:r>
        <w:lastRenderedPageBreak/>
        <w:t xml:space="preserve"> </w:t>
      </w:r>
    </w:p>
    <w:p w14:paraId="0F2443ED" w14:textId="7EF69ED5" w:rsidR="00A134B2" w:rsidRDefault="00A134B2" w:rsidP="003A5940">
      <w:pPr>
        <w:pStyle w:val="Prrafodelista"/>
        <w:numPr>
          <w:ilvl w:val="0"/>
          <w:numId w:val="51"/>
        </w:numPr>
      </w:pPr>
      <w:r w:rsidRPr="003A5940">
        <w:rPr>
          <w:b/>
        </w:rPr>
        <w:t>Dato abierto:</w:t>
      </w:r>
      <w: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8F73820" w14:textId="189F5E31" w:rsidR="00A134B2" w:rsidRDefault="00A134B2" w:rsidP="003A5940">
      <w:pPr>
        <w:pStyle w:val="Prrafodelista"/>
        <w:numPr>
          <w:ilvl w:val="0"/>
          <w:numId w:val="51"/>
        </w:numPr>
      </w:pPr>
      <w:r w:rsidRPr="003A5940">
        <w:rPr>
          <w:b/>
        </w:rPr>
        <w:t>Formato accesible:</w:t>
      </w:r>
      <w: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F3110F2" w14:textId="2C3AEDEC" w:rsidR="00A134B2" w:rsidRDefault="00A134B2" w:rsidP="00A134B2"/>
    <w:p w14:paraId="2863EE48" w14:textId="0A3C4789" w:rsidR="00A134B2" w:rsidRDefault="0EE28084" w:rsidP="0EE28084">
      <w:pPr>
        <w:rPr>
          <w:lang w:val="es-ES"/>
        </w:rPr>
      </w:pPr>
      <w:r w:rsidRPr="0EE28084">
        <w:rPr>
          <w:lang w:val="es-ES"/>
        </w:rPr>
        <w:t>De lo que se desprende que los datos abiertos cumplen con la finalidad de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 consecuencia, se tiene que el enlace referido y proporcionado en formato PDF no permite seleccionar texto, copiarlo y pegarlo; por tanto, tampoco permite que la información pueda ser utilizada, reutilizada o redistribuida.</w:t>
      </w:r>
    </w:p>
    <w:p w14:paraId="1CB8F5E2" w14:textId="77777777" w:rsidR="00A134B2" w:rsidRDefault="00A134B2" w:rsidP="00A134B2"/>
    <w:p w14:paraId="1CC40112" w14:textId="589D5C28" w:rsidR="00C5499F" w:rsidRDefault="00A134B2" w:rsidP="00A134B2">
      <w:r>
        <w:t>Con</w:t>
      </w:r>
      <w:r w:rsidR="003A5940">
        <w:t>forme a lo anterior, se exhorta</w:t>
      </w:r>
      <w:r>
        <w:t xml:space="preserve"> al </w:t>
      </w:r>
      <w:r w:rsidR="003A5940">
        <w:t xml:space="preserve">Sujeto Obligado a </w:t>
      </w:r>
      <w:r>
        <w:t xml:space="preserve">que en subsecuentes ocasiones haga entrega </w:t>
      </w:r>
      <w:r w:rsidR="003A5940">
        <w:t xml:space="preserve">de ligas o enlaces electrónicos </w:t>
      </w:r>
      <w:r>
        <w:t>en datos abiertos, es decir, en un formato que permita la a</w:t>
      </w:r>
      <w:r w:rsidR="003A5940">
        <w:t>ccesibilidad y facilidad a los solicitantes para acceder a</w:t>
      </w:r>
      <w:r>
        <w:t xml:space="preserve"> la información contenida </w:t>
      </w:r>
      <w:r w:rsidR="003A5940">
        <w:t>en esto</w:t>
      </w:r>
      <w:r>
        <w:t>s.</w:t>
      </w:r>
    </w:p>
    <w:p w14:paraId="2669C9D6" w14:textId="77777777" w:rsidR="00C5499F" w:rsidRDefault="00C5499F" w:rsidP="00637679"/>
    <w:p w14:paraId="3A12ABF7" w14:textId="77777777" w:rsidR="00D31F97" w:rsidRDefault="000E195F" w:rsidP="000E195F">
      <w:r>
        <w:t>Por lo argumentado anteriormente, este Instituto estima que los motivos de</w:t>
      </w:r>
      <w:r w:rsidR="00022432">
        <w:t xml:space="preserve"> inconformidad planteados por el</w:t>
      </w:r>
      <w:r>
        <w:t xml:space="preserve"> Recurrente devienen fundados, por lo que es procedente revocar la respuesta y ordenar al Sujeto Obligado que</w:t>
      </w:r>
      <w:r w:rsidR="00022432">
        <w:t xml:space="preserve"> haga entrega de los documentos</w:t>
      </w:r>
      <w:r w:rsidR="00D31F97">
        <w:t>, en versión pública de ser procedentes,</w:t>
      </w:r>
      <w:r w:rsidR="00022432">
        <w:t xml:space="preserve"> en donde se conste </w:t>
      </w:r>
      <w:r w:rsidR="00D31F97">
        <w:t>los siguiente:</w:t>
      </w:r>
    </w:p>
    <w:p w14:paraId="58C460E9" w14:textId="77777777" w:rsidR="00D31F97" w:rsidRDefault="00D31F97" w:rsidP="000E195F"/>
    <w:p w14:paraId="5E92C6E0" w14:textId="1804CA5D" w:rsidR="00D31F97" w:rsidRDefault="006F3EFF" w:rsidP="00555A84">
      <w:pPr>
        <w:pStyle w:val="Prrafodelista"/>
        <w:numPr>
          <w:ilvl w:val="0"/>
          <w:numId w:val="55"/>
        </w:numPr>
      </w:pPr>
      <w:r>
        <w:t>Monto asignado para el prepuesto de egresos del ejercicio 2021</w:t>
      </w:r>
      <w:r w:rsidR="003021B1">
        <w:t xml:space="preserve"> y monto erogado por gasto público del mismo ejercicio.</w:t>
      </w:r>
    </w:p>
    <w:p w14:paraId="5EE1D154" w14:textId="46F8205A" w:rsidR="003021B1" w:rsidRDefault="003021B1" w:rsidP="003021B1">
      <w:pPr>
        <w:pStyle w:val="Prrafodelista"/>
        <w:numPr>
          <w:ilvl w:val="0"/>
          <w:numId w:val="55"/>
        </w:numPr>
      </w:pPr>
      <w:r>
        <w:t>Monto asignado para el prepuesto de egresos del ejercicio 2022 y monto erogado por gasto público del mismo ejercicio.</w:t>
      </w:r>
    </w:p>
    <w:p w14:paraId="37FDFDCE" w14:textId="6EAA89C5" w:rsidR="003021B1" w:rsidRDefault="003021B1" w:rsidP="003021B1">
      <w:pPr>
        <w:pStyle w:val="Prrafodelista"/>
        <w:numPr>
          <w:ilvl w:val="0"/>
          <w:numId w:val="55"/>
        </w:numPr>
      </w:pPr>
      <w:r>
        <w:t>Monto asignado para el prepuesto de egresos del ejercicio 2023 y monto erogado por gasto público del mismo ejercicio.</w:t>
      </w:r>
    </w:p>
    <w:p w14:paraId="0395849C" w14:textId="3BED67FF" w:rsidR="003021B1" w:rsidRDefault="003021B1" w:rsidP="004C62E2">
      <w:pPr>
        <w:pStyle w:val="Prrafodelista"/>
        <w:numPr>
          <w:ilvl w:val="0"/>
          <w:numId w:val="55"/>
        </w:numPr>
      </w:pPr>
      <w:r>
        <w:t>Monto asignado para el prepuesto de egresos del ejercicio 2024 y monto erogado por gasto público al veinticinco de noviembre de</w:t>
      </w:r>
      <w:r w:rsidR="002132F2">
        <w:t xml:space="preserve"> dos mil veinticuatro</w:t>
      </w:r>
      <w:r>
        <w:t>.</w:t>
      </w:r>
    </w:p>
    <w:p w14:paraId="0135E7C6" w14:textId="3892681E" w:rsidR="002C3AA0" w:rsidRPr="006A7396" w:rsidRDefault="002C3AA0" w:rsidP="002C3AA0"/>
    <w:p w14:paraId="0CB4D8FA" w14:textId="77777777" w:rsidR="002C3AA0" w:rsidRPr="008F3C6D" w:rsidRDefault="00852339" w:rsidP="002C3AA0">
      <w:pPr>
        <w:pStyle w:val="Ttulo3"/>
        <w:rPr>
          <w:rFonts w:eastAsia="Times New Roman"/>
        </w:rPr>
      </w:pPr>
      <w:r w:rsidRPr="008F3C6D">
        <w:rPr>
          <w:rFonts w:eastAsia="Times New Roman"/>
        </w:rPr>
        <w:t>DE LA VERSIÓN PÚBLICA</w:t>
      </w:r>
    </w:p>
    <w:p w14:paraId="6D08EBE6" w14:textId="77777777" w:rsidR="00022432" w:rsidRPr="006A7396" w:rsidRDefault="00022432" w:rsidP="00022432">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A4ECA8C" w14:textId="77777777" w:rsidR="00022432" w:rsidRPr="006A7396" w:rsidRDefault="00022432" w:rsidP="00022432">
      <w:pPr>
        <w:rPr>
          <w:rFonts w:eastAsia="Palatino Linotype" w:cs="Palatino Linotype"/>
          <w:szCs w:val="24"/>
        </w:rPr>
      </w:pPr>
    </w:p>
    <w:p w14:paraId="0BBD173B"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7030F903" w14:textId="5756F639" w:rsidR="00022432" w:rsidRPr="006A7396"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1CDEC57"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3F09002"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6ED184B9"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DDB1E7" w14:textId="7050BEC5" w:rsidR="00022432" w:rsidRPr="00787121"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87121">
        <w:rPr>
          <w:rFonts w:eastAsia="Palatino Linotype" w:cs="Palatino Linotype"/>
          <w:i/>
          <w:color w:val="000000"/>
          <w:sz w:val="22"/>
          <w:szCs w:val="24"/>
        </w:rPr>
        <w:t>[</w:t>
      </w:r>
      <w:r w:rsidR="00022432" w:rsidRPr="00787121">
        <w:rPr>
          <w:rFonts w:eastAsia="Palatino Linotype" w:cs="Palatino Linotype"/>
          <w:i/>
          <w:color w:val="000000"/>
          <w:sz w:val="22"/>
          <w:szCs w:val="24"/>
        </w:rPr>
        <w:t>…</w:t>
      </w:r>
      <w:r w:rsidRPr="00787121">
        <w:rPr>
          <w:rFonts w:eastAsia="Palatino Linotype" w:cs="Palatino Linotype"/>
          <w:i/>
          <w:color w:val="000000"/>
          <w:sz w:val="22"/>
          <w:szCs w:val="24"/>
        </w:rPr>
        <w:t>]</w:t>
      </w:r>
    </w:p>
    <w:p w14:paraId="31FEDF22"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9C2EAB4" w14:textId="5B8D2163" w:rsidR="00022432" w:rsidRPr="006A7396"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5B2BC94"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4F954A8"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3C31712C"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CF6B0B"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634A5877"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3630B468"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0585D832"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7AC3A48B" w14:textId="05B33929" w:rsidR="00022432" w:rsidRPr="006A7396"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3E8C530B" w14:textId="77777777" w:rsidR="00022432" w:rsidRPr="006A7396" w:rsidRDefault="00022432" w:rsidP="00022432">
      <w:pPr>
        <w:rPr>
          <w:rFonts w:eastAsia="Palatino Linotype" w:cs="Palatino Linotype"/>
          <w:i/>
          <w:szCs w:val="24"/>
        </w:rPr>
      </w:pPr>
    </w:p>
    <w:p w14:paraId="285AB23A" w14:textId="77777777" w:rsidR="00022432" w:rsidRPr="006A7396" w:rsidRDefault="00022432" w:rsidP="00022432">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741DC2" w14:textId="77777777" w:rsidR="00022432" w:rsidRPr="006A7396" w:rsidRDefault="00022432" w:rsidP="00022432">
      <w:pPr>
        <w:rPr>
          <w:rFonts w:eastAsia="Palatino Linotype" w:cs="Palatino Linotype"/>
          <w:szCs w:val="24"/>
        </w:rPr>
      </w:pPr>
    </w:p>
    <w:p w14:paraId="13A66848" w14:textId="77777777" w:rsidR="00022432" w:rsidRPr="006A7396" w:rsidRDefault="00022432" w:rsidP="00022432">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w:t>
      </w:r>
      <w:r w:rsidRPr="006A7396">
        <w:rPr>
          <w:rFonts w:eastAsia="Palatino Linotype" w:cs="Palatino Linotype"/>
          <w:szCs w:val="24"/>
        </w:rPr>
        <w:lastRenderedPageBreak/>
        <w:t>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FB4C99" w14:textId="77777777" w:rsidR="00022432" w:rsidRPr="006A7396" w:rsidRDefault="00022432" w:rsidP="00022432">
      <w:pPr>
        <w:rPr>
          <w:rFonts w:eastAsia="Palatino Linotype" w:cs="Palatino Linotype"/>
          <w:szCs w:val="24"/>
        </w:rPr>
      </w:pPr>
    </w:p>
    <w:p w14:paraId="50B67D7F" w14:textId="77777777" w:rsidR="00022432" w:rsidRPr="006A7396" w:rsidRDefault="00022432" w:rsidP="00022432">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03F94AFB" w14:textId="77777777" w:rsidR="00022432" w:rsidRPr="006A7396" w:rsidRDefault="00022432" w:rsidP="00022432">
      <w:pPr>
        <w:rPr>
          <w:rFonts w:eastAsia="Palatino Linotype" w:cs="Palatino Linotype"/>
        </w:rPr>
      </w:pPr>
    </w:p>
    <w:p w14:paraId="0DBE2A7F"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370FD29"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AD027C"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78451ACC"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21F674"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7F87ACF"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28C39A8"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88CAF6E"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8330127"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7C0081D"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D041D4C" w14:textId="77777777" w:rsidR="00022432" w:rsidRPr="006A7396"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31E4C181" w14:textId="77777777" w:rsidR="00022432" w:rsidRPr="006A7396" w:rsidRDefault="00022432" w:rsidP="00022432">
      <w:pPr>
        <w:rPr>
          <w:rFonts w:eastAsia="Palatino Linotype" w:cs="Palatino Linotype"/>
          <w:i/>
          <w:szCs w:val="24"/>
        </w:rPr>
      </w:pPr>
    </w:p>
    <w:p w14:paraId="2FE043FC" w14:textId="77777777" w:rsidR="00022432" w:rsidRPr="006A7396" w:rsidRDefault="00022432" w:rsidP="00022432">
      <w:pPr>
        <w:rPr>
          <w:rFonts w:eastAsia="Palatino Linotype" w:cs="Palatino Linotype"/>
          <w:lang w:val="es-ES"/>
        </w:rPr>
      </w:pPr>
      <w:r w:rsidRPr="006A7396">
        <w:rPr>
          <w:rFonts w:eastAsia="Palatino Linotype" w:cs="Palatino Linotype"/>
          <w:lang w:val="es-ES"/>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99CF762" w14:textId="77777777" w:rsidR="00022432" w:rsidRPr="006A7396" w:rsidRDefault="00022432" w:rsidP="00022432">
      <w:pPr>
        <w:rPr>
          <w:rFonts w:eastAsia="Palatino Linotype" w:cs="Palatino Linotype"/>
          <w:szCs w:val="24"/>
        </w:rPr>
      </w:pPr>
    </w:p>
    <w:p w14:paraId="25CB4677" w14:textId="77777777" w:rsidR="00022432" w:rsidRPr="006A7396" w:rsidRDefault="00022432" w:rsidP="00022432">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025B113C" w14:textId="77777777" w:rsidR="00022432" w:rsidRPr="006A7396" w:rsidRDefault="00022432" w:rsidP="00022432">
      <w:pPr>
        <w:rPr>
          <w:rFonts w:eastAsia="Palatino Linotype" w:cs="Palatino Linotype"/>
          <w:szCs w:val="24"/>
        </w:rPr>
      </w:pPr>
    </w:p>
    <w:p w14:paraId="7AB0E1A4" w14:textId="77777777" w:rsidR="00022432" w:rsidRPr="006A7396" w:rsidRDefault="00022432" w:rsidP="00022432">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3DB4EF41" w14:textId="77777777" w:rsidR="00180C5F" w:rsidRDefault="00180C5F" w:rsidP="008F50E6"/>
    <w:p w14:paraId="07B920B4" w14:textId="644BA3C6"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0024F0">
        <w:rPr>
          <w:rFonts w:eastAsia="Palatino Linotype" w:cs="Palatino Linotype"/>
          <w:b/>
          <w:bCs/>
          <w:color w:val="000000"/>
          <w:szCs w:val="24"/>
        </w:rPr>
        <w:t>00214/CALIMAYA/IP/2024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0F176C1"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6451AD">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0024F0">
        <w:rPr>
          <w:rFonts w:eastAsia="Palatino Linotype" w:cs="Palatino Linotype"/>
          <w:b/>
          <w:bCs/>
          <w:color w:val="000000"/>
          <w:szCs w:val="24"/>
        </w:rPr>
        <w:t>00214/CALIMAYA/IP/2024</w:t>
      </w:r>
      <w:r w:rsidR="000D3DC4">
        <w:rPr>
          <w:rFonts w:eastAsia="Palatino Linotype" w:cs="Palatino Linotype"/>
          <w:color w:val="000000" w:themeColor="text1"/>
        </w:rPr>
        <w:t>, al resultar</w:t>
      </w:r>
      <w:r w:rsidR="0002287F">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0D3DC4">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1C8E80F5"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 haga 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0D3DC4">
        <w:rPr>
          <w:rFonts w:eastAsia="Palatino Linotype" w:cs="Palatino Linotype"/>
          <w:color w:val="000000"/>
          <w:szCs w:val="24"/>
        </w:rPr>
        <w:t xml:space="preserve">de ser procedente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0D3DC4">
        <w:rPr>
          <w:rFonts w:eastAsia="Palatino Linotype" w:cs="Palatino Linotype"/>
          <w:b/>
          <w:color w:val="000000"/>
          <w:szCs w:val="24"/>
        </w:rPr>
        <w:t>Considerando CUAR</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0D3DC4">
        <w:rPr>
          <w:rFonts w:eastAsia="Palatino Linotype" w:cs="Palatino Linotype"/>
          <w:color w:val="000000"/>
          <w:szCs w:val="24"/>
        </w:rPr>
        <w:t>s documentos 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2A656ED1" w14:textId="77777777" w:rsidR="005C45A8" w:rsidRPr="00BE7B81" w:rsidRDefault="005C45A8" w:rsidP="00BE7B81">
      <w:pPr>
        <w:pStyle w:val="Prrafodelista"/>
        <w:numPr>
          <w:ilvl w:val="0"/>
          <w:numId w:val="57"/>
        </w:numPr>
        <w:spacing w:line="276" w:lineRule="auto"/>
        <w:rPr>
          <w:i/>
          <w:iCs/>
        </w:rPr>
      </w:pPr>
      <w:r w:rsidRPr="00BE7B81">
        <w:rPr>
          <w:i/>
          <w:iCs/>
        </w:rPr>
        <w:t>Monto asignado para el prepuesto de egresos del ejercicio 2021 y monto erogado por gasto público del mismo ejercicio.</w:t>
      </w:r>
    </w:p>
    <w:p w14:paraId="10591B06" w14:textId="77777777" w:rsidR="005C45A8" w:rsidRPr="00BE7B81" w:rsidRDefault="005C45A8" w:rsidP="00BE7B81">
      <w:pPr>
        <w:pStyle w:val="Prrafodelista"/>
        <w:numPr>
          <w:ilvl w:val="0"/>
          <w:numId w:val="57"/>
        </w:numPr>
        <w:spacing w:line="276" w:lineRule="auto"/>
        <w:rPr>
          <w:i/>
          <w:iCs/>
        </w:rPr>
      </w:pPr>
      <w:r w:rsidRPr="00BE7B81">
        <w:rPr>
          <w:i/>
          <w:iCs/>
        </w:rPr>
        <w:t>Monto asignado para el prepuesto de egresos del ejercicio 2022 y monto erogado por gasto público del mismo ejercicio.</w:t>
      </w:r>
    </w:p>
    <w:p w14:paraId="456E7984" w14:textId="77777777" w:rsidR="005C45A8" w:rsidRPr="00BE7B81" w:rsidRDefault="005C45A8" w:rsidP="00BE7B81">
      <w:pPr>
        <w:pStyle w:val="Prrafodelista"/>
        <w:numPr>
          <w:ilvl w:val="0"/>
          <w:numId w:val="57"/>
        </w:numPr>
        <w:spacing w:line="276" w:lineRule="auto"/>
        <w:rPr>
          <w:i/>
          <w:iCs/>
        </w:rPr>
      </w:pPr>
      <w:r w:rsidRPr="00BE7B81">
        <w:rPr>
          <w:i/>
          <w:iCs/>
        </w:rPr>
        <w:t>Monto asignado para el prepuesto de egresos del ejercicio 2023 y monto erogado por gasto público del mismo ejercicio.</w:t>
      </w:r>
    </w:p>
    <w:p w14:paraId="3A38899B" w14:textId="77777777" w:rsidR="005C45A8" w:rsidRPr="00BE7B81" w:rsidRDefault="005C45A8" w:rsidP="00BE7B81">
      <w:pPr>
        <w:pStyle w:val="Prrafodelista"/>
        <w:numPr>
          <w:ilvl w:val="0"/>
          <w:numId w:val="57"/>
        </w:numPr>
        <w:spacing w:line="276" w:lineRule="auto"/>
        <w:rPr>
          <w:i/>
          <w:iCs/>
        </w:rPr>
      </w:pPr>
      <w:r w:rsidRPr="00BE7B81">
        <w:rPr>
          <w:i/>
          <w:iCs/>
        </w:rPr>
        <w:lastRenderedPageBreak/>
        <w:t>Monto asignado para el prepuesto de egresos del ejercicio 2024 y monto erogado por gasto público al veinticinco de noviembre de dos mil veinticuatro.</w:t>
      </w:r>
    </w:p>
    <w:p w14:paraId="4B3083CF" w14:textId="77777777" w:rsidR="00581587" w:rsidRPr="005C45A8"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202E694D" w:rsidR="004161DA" w:rsidRPr="006A7396" w:rsidRDefault="00B43890"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556C3259"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0D3DC4">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0573BFF" w14:textId="0017073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43890">
        <w:rPr>
          <w:rFonts w:eastAsia="Palatino Linotype" w:cs="Palatino Linotype"/>
          <w:color w:val="000000"/>
          <w:szCs w:val="24"/>
        </w:rPr>
        <w:t>CUARTA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B43890">
        <w:rPr>
          <w:rFonts w:eastAsia="Palatino Linotype" w:cs="Palatino Linotype"/>
          <w:color w:val="000000"/>
          <w:szCs w:val="24"/>
        </w:rPr>
        <w:t>SEIS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884919">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BE01" w14:textId="77777777" w:rsidR="000F3D79" w:rsidRDefault="000F3D79" w:rsidP="00F2498E">
      <w:pPr>
        <w:spacing w:line="240" w:lineRule="auto"/>
      </w:pPr>
      <w:r>
        <w:separator/>
      </w:r>
    </w:p>
  </w:endnote>
  <w:endnote w:type="continuationSeparator" w:id="0">
    <w:p w14:paraId="6FAB96B7" w14:textId="77777777" w:rsidR="000F3D79" w:rsidRDefault="000F3D79" w:rsidP="00F2498E">
      <w:pPr>
        <w:spacing w:line="240" w:lineRule="auto"/>
      </w:pPr>
      <w:r>
        <w:continuationSeparator/>
      </w:r>
    </w:p>
  </w:endnote>
  <w:endnote w:type="continuationNotice" w:id="1">
    <w:p w14:paraId="3ED387A2" w14:textId="77777777" w:rsidR="000F3D79" w:rsidRDefault="000F3D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22432" w:rsidRPr="00871A91" w:rsidRDefault="0002243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65116">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65116">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22432" w:rsidRPr="00871A91" w:rsidRDefault="0002243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6511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65116">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E3EC9" w14:textId="77777777" w:rsidR="000F3D79" w:rsidRDefault="000F3D79" w:rsidP="00F2498E">
      <w:pPr>
        <w:spacing w:line="240" w:lineRule="auto"/>
      </w:pPr>
      <w:r>
        <w:separator/>
      </w:r>
    </w:p>
  </w:footnote>
  <w:footnote w:type="continuationSeparator" w:id="0">
    <w:p w14:paraId="688A12DB" w14:textId="77777777" w:rsidR="000F3D79" w:rsidRDefault="000F3D79" w:rsidP="00F2498E">
      <w:pPr>
        <w:spacing w:line="240" w:lineRule="auto"/>
      </w:pPr>
      <w:r>
        <w:continuationSeparator/>
      </w:r>
    </w:p>
  </w:footnote>
  <w:footnote w:type="continuationNotice" w:id="1">
    <w:p w14:paraId="398159C5" w14:textId="77777777" w:rsidR="000F3D79" w:rsidRDefault="000F3D79">
      <w:pPr>
        <w:spacing w:line="240" w:lineRule="auto"/>
      </w:pPr>
    </w:p>
  </w:footnote>
  <w:footnote w:id="2">
    <w:p w14:paraId="2BCE50A0" w14:textId="77777777" w:rsidR="00022432" w:rsidRPr="0031280C" w:rsidRDefault="0002243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22432" w:rsidRPr="0031280C" w:rsidRDefault="0002243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22432" w:rsidRPr="0031280C" w:rsidRDefault="0002243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22432" w:rsidRPr="0031280C" w:rsidRDefault="0002243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12543A6" w14:textId="3E652F4A" w:rsidR="00022432" w:rsidRPr="003A5940" w:rsidRDefault="00022432">
      <w:pPr>
        <w:pStyle w:val="Textonotapie"/>
        <w:rPr>
          <w:lang w:val="es-MX"/>
        </w:rPr>
      </w:pPr>
      <w:r>
        <w:rPr>
          <w:rStyle w:val="Refdenotaalpie"/>
        </w:rPr>
        <w:footnoteRef/>
      </w:r>
      <w:r>
        <w:t xml:space="preserve"> </w:t>
      </w:r>
      <w:hyperlink r:id="rId3" w:history="1">
        <w:r w:rsidRPr="00A10491">
          <w:rPr>
            <w:rStyle w:val="Hipervnculo"/>
          </w:rPr>
          <w:t>https://opendatacharter.net/principles-es/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22432" w:rsidRDefault="0076511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2432" w:rsidRPr="00B17577" w14:paraId="37B9EBDE" w14:textId="77777777" w:rsidTr="003938ED">
      <w:trPr>
        <w:trHeight w:val="227"/>
      </w:trPr>
      <w:tc>
        <w:tcPr>
          <w:tcW w:w="5103" w:type="dxa"/>
          <w:hideMark/>
        </w:tcPr>
        <w:p w14:paraId="4964FBC5" w14:textId="54CDA645" w:rsidR="00022432" w:rsidRPr="00096248" w:rsidRDefault="0002243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5799FDE" w:rsidR="00022432" w:rsidRPr="00096248" w:rsidRDefault="006C3DEF" w:rsidP="00011C4D">
          <w:pPr>
            <w:spacing w:after="120" w:line="240" w:lineRule="auto"/>
            <w:ind w:right="71"/>
            <w:jc w:val="right"/>
            <w:rPr>
              <w:rFonts w:cs="Arial"/>
              <w:b/>
              <w:szCs w:val="24"/>
            </w:rPr>
          </w:pPr>
          <w:r>
            <w:rPr>
              <w:rFonts w:cs="Arial"/>
              <w:b/>
              <w:bCs/>
              <w:szCs w:val="24"/>
            </w:rPr>
            <w:t>07680/INFOEM/IP/RR/2024</w:t>
          </w:r>
        </w:p>
      </w:tc>
    </w:tr>
    <w:tr w:rsidR="00022432" w14:paraId="7591D3C9" w14:textId="77777777" w:rsidTr="003938ED">
      <w:trPr>
        <w:trHeight w:val="242"/>
      </w:trPr>
      <w:tc>
        <w:tcPr>
          <w:tcW w:w="5103" w:type="dxa"/>
          <w:hideMark/>
        </w:tcPr>
        <w:p w14:paraId="729A65A8" w14:textId="77777777" w:rsidR="00022432" w:rsidRPr="00096248" w:rsidRDefault="0002243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5896942" w:rsidR="00022432" w:rsidRPr="00096248" w:rsidRDefault="005B03D3" w:rsidP="00011C4D">
          <w:pPr>
            <w:spacing w:after="120" w:line="240" w:lineRule="auto"/>
            <w:ind w:left="-81" w:right="71"/>
            <w:jc w:val="right"/>
            <w:rPr>
              <w:rFonts w:cs="Arial"/>
              <w:szCs w:val="24"/>
            </w:rPr>
          </w:pPr>
          <w:r>
            <w:rPr>
              <w:rFonts w:cs="Arial"/>
              <w:szCs w:val="24"/>
            </w:rPr>
            <w:t>Ayuntamiento de Calimaya</w:t>
          </w:r>
        </w:p>
      </w:tc>
    </w:tr>
    <w:tr w:rsidR="00022432" w:rsidRPr="00F63239" w14:paraId="037E914D" w14:textId="77777777" w:rsidTr="003938ED">
      <w:trPr>
        <w:trHeight w:val="342"/>
      </w:trPr>
      <w:tc>
        <w:tcPr>
          <w:tcW w:w="5103" w:type="dxa"/>
          <w:hideMark/>
        </w:tcPr>
        <w:p w14:paraId="7676B68F" w14:textId="64D69EAF" w:rsidR="00022432" w:rsidRPr="00096248" w:rsidRDefault="0002243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22432" w:rsidRDefault="0002243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22432" w:rsidRPr="00711916" w:rsidRDefault="00022432" w:rsidP="00011C4D">
          <w:pPr>
            <w:spacing w:after="120" w:line="240" w:lineRule="auto"/>
            <w:ind w:left="-486" w:right="71" w:firstLine="567"/>
            <w:jc w:val="right"/>
            <w:rPr>
              <w:rFonts w:cs="Arial"/>
              <w:sz w:val="2"/>
              <w:szCs w:val="2"/>
            </w:rPr>
          </w:pPr>
        </w:p>
      </w:tc>
    </w:tr>
  </w:tbl>
  <w:p w14:paraId="2998DBFD" w14:textId="25A9F426" w:rsidR="00022432" w:rsidRPr="00871A91" w:rsidRDefault="0076511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2243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2432" w14:paraId="0F9FE9B6" w14:textId="77777777" w:rsidTr="70652167">
      <w:trPr>
        <w:trHeight w:val="227"/>
      </w:trPr>
      <w:tc>
        <w:tcPr>
          <w:tcW w:w="5103" w:type="dxa"/>
          <w:hideMark/>
        </w:tcPr>
        <w:p w14:paraId="6D1D9D71" w14:textId="11150E5A" w:rsidR="00022432" w:rsidRPr="00663A37" w:rsidRDefault="0002243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03190BE" w:rsidR="00022432" w:rsidRPr="00C81ECD" w:rsidRDefault="006C3DEF" w:rsidP="00011C4D">
          <w:pPr>
            <w:spacing w:after="120" w:line="240" w:lineRule="auto"/>
            <w:ind w:left="-486" w:right="68" w:firstLine="558"/>
            <w:jc w:val="right"/>
            <w:rPr>
              <w:rFonts w:cs="Arial"/>
              <w:b/>
              <w:szCs w:val="24"/>
            </w:rPr>
          </w:pPr>
          <w:r>
            <w:rPr>
              <w:rFonts w:cs="Arial"/>
              <w:b/>
              <w:bCs/>
              <w:szCs w:val="24"/>
            </w:rPr>
            <w:t>07680/INFOEM/IP/RR/2024</w:t>
          </w:r>
        </w:p>
      </w:tc>
    </w:tr>
    <w:tr w:rsidR="00022432" w:rsidRPr="001F57CD" w14:paraId="1377D264" w14:textId="77777777" w:rsidTr="70652167">
      <w:trPr>
        <w:trHeight w:val="196"/>
      </w:trPr>
      <w:tc>
        <w:tcPr>
          <w:tcW w:w="5103" w:type="dxa"/>
          <w:hideMark/>
        </w:tcPr>
        <w:p w14:paraId="04D597A1" w14:textId="77777777" w:rsidR="00022432" w:rsidRPr="00663A37" w:rsidRDefault="0002243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D12C580" w:rsidR="00022432" w:rsidRPr="00663A37" w:rsidRDefault="00765116" w:rsidP="70652167">
          <w:pPr>
            <w:spacing w:after="120" w:line="240" w:lineRule="auto"/>
            <w:ind w:right="68"/>
            <w:jc w:val="right"/>
            <w:rPr>
              <w:rFonts w:cs="Arial"/>
              <w:lang w:val="es-ES"/>
            </w:rPr>
          </w:pPr>
          <w:r>
            <w:rPr>
              <w:rFonts w:cs="Arial"/>
              <w:lang w:val="es-ES"/>
            </w:rPr>
            <w:t>XXXXXXXXXXXXXXXXXXXX</w:t>
          </w:r>
        </w:p>
      </w:tc>
    </w:tr>
    <w:tr w:rsidR="00022432" w14:paraId="4DC11993" w14:textId="77777777" w:rsidTr="70652167">
      <w:trPr>
        <w:trHeight w:val="242"/>
      </w:trPr>
      <w:tc>
        <w:tcPr>
          <w:tcW w:w="5103" w:type="dxa"/>
          <w:hideMark/>
        </w:tcPr>
        <w:p w14:paraId="76CEF1B5" w14:textId="77777777" w:rsidR="00022432" w:rsidRPr="00663A37" w:rsidRDefault="0002243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2DFD4E1" w:rsidR="00022432" w:rsidRPr="00663A37" w:rsidRDefault="005B03D3" w:rsidP="00771E23">
          <w:pPr>
            <w:spacing w:after="120" w:line="240" w:lineRule="auto"/>
            <w:ind w:left="-70" w:right="68"/>
            <w:jc w:val="right"/>
            <w:rPr>
              <w:rFonts w:cs="Arial"/>
              <w:szCs w:val="24"/>
            </w:rPr>
          </w:pPr>
          <w:r>
            <w:rPr>
              <w:rFonts w:cs="Arial"/>
              <w:szCs w:val="24"/>
            </w:rPr>
            <w:t>Ayuntamiento de Calimaya</w:t>
          </w:r>
        </w:p>
      </w:tc>
    </w:tr>
    <w:tr w:rsidR="00022432" w14:paraId="5C2B511D" w14:textId="77777777" w:rsidTr="70652167">
      <w:trPr>
        <w:trHeight w:val="342"/>
      </w:trPr>
      <w:tc>
        <w:tcPr>
          <w:tcW w:w="5103" w:type="dxa"/>
          <w:hideMark/>
        </w:tcPr>
        <w:p w14:paraId="03FEF68C" w14:textId="45E91CF4" w:rsidR="00022432" w:rsidRPr="00663A37" w:rsidRDefault="0002243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22432" w:rsidRPr="00663A37" w:rsidRDefault="0002243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22432" w:rsidRPr="00871A91" w:rsidRDefault="0076511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8pt;margin-top:-145.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2243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7002805E"/>
    <w:lvl w:ilvl="0">
      <w:start w:val="1"/>
      <w:numFmt w:val="bullet"/>
      <w:lvlText w:val=""/>
      <w:lvlJc w:val="left"/>
      <w:pPr>
        <w:ind w:left="709" w:hanging="425"/>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856048B"/>
    <w:multiLevelType w:val="hybridMultilevel"/>
    <w:tmpl w:val="F14A629E"/>
    <w:lvl w:ilvl="0" w:tplc="01D803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DF76841"/>
    <w:multiLevelType w:val="multilevel"/>
    <w:tmpl w:val="7FB4B780"/>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408B48C7"/>
    <w:multiLevelType w:val="hybridMultilevel"/>
    <w:tmpl w:val="4560E76A"/>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B9B156D"/>
    <w:multiLevelType w:val="hybridMultilevel"/>
    <w:tmpl w:val="4560E76A"/>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3"/>
  </w:num>
  <w:num w:numId="3">
    <w:abstractNumId w:val="39"/>
  </w:num>
  <w:num w:numId="4">
    <w:abstractNumId w:val="14"/>
  </w:num>
  <w:num w:numId="5">
    <w:abstractNumId w:val="50"/>
  </w:num>
  <w:num w:numId="6">
    <w:abstractNumId w:val="4"/>
  </w:num>
  <w:num w:numId="7">
    <w:abstractNumId w:val="43"/>
  </w:num>
  <w:num w:numId="8">
    <w:abstractNumId w:val="12"/>
  </w:num>
  <w:num w:numId="9">
    <w:abstractNumId w:val="3"/>
  </w:num>
  <w:num w:numId="10">
    <w:abstractNumId w:val="22"/>
  </w:num>
  <w:num w:numId="11">
    <w:abstractNumId w:val="23"/>
  </w:num>
  <w:num w:numId="12">
    <w:abstractNumId w:val="54"/>
  </w:num>
  <w:num w:numId="13">
    <w:abstractNumId w:val="48"/>
  </w:num>
  <w:num w:numId="14">
    <w:abstractNumId w:val="34"/>
  </w:num>
  <w:num w:numId="15">
    <w:abstractNumId w:val="38"/>
  </w:num>
  <w:num w:numId="16">
    <w:abstractNumId w:val="19"/>
  </w:num>
  <w:num w:numId="17">
    <w:abstractNumId w:val="33"/>
  </w:num>
  <w:num w:numId="18">
    <w:abstractNumId w:val="16"/>
  </w:num>
  <w:num w:numId="19">
    <w:abstractNumId w:val="6"/>
  </w:num>
  <w:num w:numId="20">
    <w:abstractNumId w:val="7"/>
  </w:num>
  <w:num w:numId="21">
    <w:abstractNumId w:val="15"/>
  </w:num>
  <w:num w:numId="22">
    <w:abstractNumId w:val="26"/>
  </w:num>
  <w:num w:numId="23">
    <w:abstractNumId w:val="2"/>
  </w:num>
  <w:num w:numId="24">
    <w:abstractNumId w:val="36"/>
  </w:num>
  <w:num w:numId="25">
    <w:abstractNumId w:val="42"/>
  </w:num>
  <w:num w:numId="26">
    <w:abstractNumId w:val="49"/>
  </w:num>
  <w:num w:numId="27">
    <w:abstractNumId w:val="21"/>
  </w:num>
  <w:num w:numId="28">
    <w:abstractNumId w:val="8"/>
  </w:num>
  <w:num w:numId="29">
    <w:abstractNumId w:val="45"/>
  </w:num>
  <w:num w:numId="30">
    <w:abstractNumId w:val="18"/>
  </w:num>
  <w:num w:numId="31">
    <w:abstractNumId w:val="28"/>
  </w:num>
  <w:num w:numId="32">
    <w:abstractNumId w:val="24"/>
  </w:num>
  <w:num w:numId="33">
    <w:abstractNumId w:val="17"/>
  </w:num>
  <w:num w:numId="34">
    <w:abstractNumId w:val="37"/>
  </w:num>
  <w:num w:numId="35">
    <w:abstractNumId w:val="41"/>
  </w:num>
  <w:num w:numId="36">
    <w:abstractNumId w:val="5"/>
  </w:num>
  <w:num w:numId="37">
    <w:abstractNumId w:val="52"/>
  </w:num>
  <w:num w:numId="38">
    <w:abstractNumId w:val="55"/>
  </w:num>
  <w:num w:numId="39">
    <w:abstractNumId w:val="47"/>
  </w:num>
  <w:num w:numId="40">
    <w:abstractNumId w:val="10"/>
  </w:num>
  <w:num w:numId="41">
    <w:abstractNumId w:val="46"/>
  </w:num>
  <w:num w:numId="42">
    <w:abstractNumId w:val="11"/>
  </w:num>
  <w:num w:numId="43">
    <w:abstractNumId w:val="44"/>
  </w:num>
  <w:num w:numId="44">
    <w:abstractNumId w:val="51"/>
  </w:num>
  <w:num w:numId="45">
    <w:abstractNumId w:val="0"/>
  </w:num>
  <w:num w:numId="46">
    <w:abstractNumId w:val="1"/>
  </w:num>
  <w:num w:numId="47">
    <w:abstractNumId w:val="32"/>
  </w:num>
  <w:num w:numId="48">
    <w:abstractNumId w:val="20"/>
  </w:num>
  <w:num w:numId="49">
    <w:abstractNumId w:val="30"/>
  </w:num>
  <w:num w:numId="50">
    <w:abstractNumId w:val="25"/>
  </w:num>
  <w:num w:numId="51">
    <w:abstractNumId w:val="9"/>
  </w:num>
  <w:num w:numId="52">
    <w:abstractNumId w:val="29"/>
  </w:num>
  <w:num w:numId="53">
    <w:abstractNumId w:val="53"/>
  </w:num>
  <w:num w:numId="54">
    <w:abstractNumId w:val="27"/>
  </w:num>
  <w:num w:numId="55">
    <w:abstractNumId w:val="31"/>
  </w:num>
  <w:num w:numId="56">
    <w:abstractNumId w:val="56"/>
  </w:num>
  <w:num w:numId="57">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432"/>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3C5"/>
    <w:rsid w:val="00065463"/>
    <w:rsid w:val="000658E9"/>
    <w:rsid w:val="000666B3"/>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62AC"/>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23AA"/>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C83"/>
    <w:rsid w:val="002F713F"/>
    <w:rsid w:val="002F799E"/>
    <w:rsid w:val="002F7A64"/>
    <w:rsid w:val="002F7D3E"/>
    <w:rsid w:val="002F7ED4"/>
    <w:rsid w:val="00300919"/>
    <w:rsid w:val="00300EA0"/>
    <w:rsid w:val="003012FD"/>
    <w:rsid w:val="003021B1"/>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4709"/>
    <w:rsid w:val="00324F09"/>
    <w:rsid w:val="00325487"/>
    <w:rsid w:val="0032597C"/>
    <w:rsid w:val="00325BCB"/>
    <w:rsid w:val="00325C6E"/>
    <w:rsid w:val="0032659A"/>
    <w:rsid w:val="003265D6"/>
    <w:rsid w:val="003275F8"/>
    <w:rsid w:val="0033070B"/>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456A"/>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500E29"/>
    <w:rsid w:val="00501811"/>
    <w:rsid w:val="00501E92"/>
    <w:rsid w:val="005025C7"/>
    <w:rsid w:val="005039C0"/>
    <w:rsid w:val="00504B42"/>
    <w:rsid w:val="0050566F"/>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913E6"/>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4E14"/>
    <w:rsid w:val="005B52A0"/>
    <w:rsid w:val="005B538B"/>
    <w:rsid w:val="005B5434"/>
    <w:rsid w:val="005B5555"/>
    <w:rsid w:val="005B643F"/>
    <w:rsid w:val="005B6FFD"/>
    <w:rsid w:val="005B72D5"/>
    <w:rsid w:val="005C0894"/>
    <w:rsid w:val="005C16D1"/>
    <w:rsid w:val="005C196C"/>
    <w:rsid w:val="005C2DFB"/>
    <w:rsid w:val="005C32BE"/>
    <w:rsid w:val="005C3DF3"/>
    <w:rsid w:val="005C45A8"/>
    <w:rsid w:val="005C49D1"/>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1AD"/>
    <w:rsid w:val="0064523C"/>
    <w:rsid w:val="0064573B"/>
    <w:rsid w:val="006468ED"/>
    <w:rsid w:val="00647DF7"/>
    <w:rsid w:val="00650569"/>
    <w:rsid w:val="006512F6"/>
    <w:rsid w:val="00651EDD"/>
    <w:rsid w:val="0065378D"/>
    <w:rsid w:val="006538FC"/>
    <w:rsid w:val="00653B0F"/>
    <w:rsid w:val="00655007"/>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E0C"/>
    <w:rsid w:val="00673EAA"/>
    <w:rsid w:val="0067405E"/>
    <w:rsid w:val="006748F5"/>
    <w:rsid w:val="00675B61"/>
    <w:rsid w:val="00675D66"/>
    <w:rsid w:val="006761F3"/>
    <w:rsid w:val="00676D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B3A"/>
    <w:rsid w:val="006A04A9"/>
    <w:rsid w:val="006A1D05"/>
    <w:rsid w:val="006A281D"/>
    <w:rsid w:val="006A3246"/>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EFF"/>
    <w:rsid w:val="006F428B"/>
    <w:rsid w:val="006F48A5"/>
    <w:rsid w:val="006F4C9E"/>
    <w:rsid w:val="006F52DF"/>
    <w:rsid w:val="006F6768"/>
    <w:rsid w:val="006F676C"/>
    <w:rsid w:val="006F6AB6"/>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16"/>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E83"/>
    <w:rsid w:val="00781849"/>
    <w:rsid w:val="00781B6F"/>
    <w:rsid w:val="007822D6"/>
    <w:rsid w:val="0078246A"/>
    <w:rsid w:val="007826F1"/>
    <w:rsid w:val="00782890"/>
    <w:rsid w:val="007833CB"/>
    <w:rsid w:val="00783618"/>
    <w:rsid w:val="00783B56"/>
    <w:rsid w:val="00785BC4"/>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83E"/>
    <w:rsid w:val="0079595C"/>
    <w:rsid w:val="00797413"/>
    <w:rsid w:val="007A0DC1"/>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06E"/>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82E"/>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5B7"/>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70C"/>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B81"/>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6D2"/>
    <w:rsid w:val="00C54558"/>
    <w:rsid w:val="00C5499F"/>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18E"/>
    <w:rsid w:val="00CB740B"/>
    <w:rsid w:val="00CC0C48"/>
    <w:rsid w:val="00CC237C"/>
    <w:rsid w:val="00CC2F81"/>
    <w:rsid w:val="00CC3DCA"/>
    <w:rsid w:val="00CC435D"/>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1F97"/>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52A"/>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6C5F"/>
    <w:rsid w:val="00F86D62"/>
    <w:rsid w:val="00F874BB"/>
    <w:rsid w:val="00F90DA5"/>
    <w:rsid w:val="00F9118F"/>
    <w:rsid w:val="00F914C6"/>
    <w:rsid w:val="00F923FB"/>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23B"/>
    <w:rsid w:val="00FC692D"/>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 w:type="numbering" w:customStyle="1" w:styleId="Listaactual28">
    <w:name w:val="Lista actual28"/>
    <w:uiPriority w:val="99"/>
    <w:rsid w:val="00CA62C6"/>
    <w:pPr>
      <w:numPr>
        <w:numId w:val="53"/>
      </w:numPr>
    </w:pPr>
  </w:style>
  <w:style w:type="numbering" w:customStyle="1" w:styleId="Listaactual29">
    <w:name w:val="Lista actual29"/>
    <w:uiPriority w:val="99"/>
    <w:rsid w:val="00281167"/>
    <w:pPr>
      <w:numPr>
        <w:numId w:val="54"/>
      </w:numPr>
    </w:pPr>
  </w:style>
  <w:style w:type="numbering" w:customStyle="1" w:styleId="Listaactual30">
    <w:name w:val="Lista actual30"/>
    <w:uiPriority w:val="99"/>
    <w:rsid w:val="00555A84"/>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9343-4E82-452E-BEFD-4D2B4178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6161</Words>
  <Characters>33886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76</cp:revision>
  <cp:lastPrinted>2019-06-13T16:30:00Z</cp:lastPrinted>
  <dcterms:created xsi:type="dcterms:W3CDTF">2024-10-14T18:17:00Z</dcterms:created>
  <dcterms:modified xsi:type="dcterms:W3CDTF">2025-02-19T16:56:00Z</dcterms:modified>
</cp:coreProperties>
</file>