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6368FECD" w:rsidR="00D34057" w:rsidRPr="00AB1083" w:rsidRDefault="00D34057" w:rsidP="00E91EE4">
      <w:pPr>
        <w:shd w:val="clear" w:color="auto" w:fill="FFFFFF"/>
        <w:spacing w:before="240" w:line="360" w:lineRule="auto"/>
        <w:jc w:val="both"/>
        <w:rPr>
          <w:rFonts w:ascii="Palatino Linotype" w:hAnsi="Palatino Linotype" w:cs="Arial"/>
          <w:color w:val="000000"/>
          <w:lang w:eastAsia="es-MX"/>
        </w:rPr>
      </w:pPr>
      <w:r w:rsidRPr="00AB1083">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w:t>
      </w:r>
      <w:r w:rsidR="00472ADD" w:rsidRPr="00AB1083">
        <w:rPr>
          <w:rFonts w:ascii="Palatino Linotype" w:hAnsi="Palatino Linotype" w:cs="Arial"/>
          <w:color w:val="000000"/>
          <w:lang w:eastAsia="es-MX"/>
        </w:rPr>
        <w:t xml:space="preserve">a </w:t>
      </w:r>
      <w:r w:rsidR="00536CE4" w:rsidRPr="00AB1083">
        <w:rPr>
          <w:rFonts w:ascii="Palatino Linotype" w:hAnsi="Palatino Linotype" w:cs="Arial"/>
          <w:color w:val="000000"/>
          <w:lang w:eastAsia="es-MX"/>
        </w:rPr>
        <w:t>treinta de abril</w:t>
      </w:r>
      <w:r w:rsidR="00397D6D" w:rsidRPr="00AB1083">
        <w:rPr>
          <w:rFonts w:ascii="Palatino Linotype" w:hAnsi="Palatino Linotype" w:cs="Arial"/>
          <w:color w:val="000000"/>
          <w:lang w:eastAsia="es-MX"/>
        </w:rPr>
        <w:t xml:space="preserve"> de dos mil veinticinco</w:t>
      </w:r>
      <w:r w:rsidRPr="00AB1083">
        <w:rPr>
          <w:rFonts w:ascii="Palatino Linotype" w:hAnsi="Palatino Linotype" w:cs="Arial"/>
          <w:color w:val="000000"/>
          <w:lang w:eastAsia="es-MX"/>
        </w:rPr>
        <w:t>.</w:t>
      </w:r>
    </w:p>
    <w:p w14:paraId="1816EBEC" w14:textId="77777777" w:rsidR="00D34057" w:rsidRPr="00AB1083" w:rsidRDefault="00D34057" w:rsidP="00FF74F5">
      <w:pPr>
        <w:pStyle w:val="Sinespaciado"/>
        <w:rPr>
          <w:sz w:val="18"/>
          <w:lang w:val="es-ES_tradnl"/>
        </w:rPr>
      </w:pPr>
    </w:p>
    <w:p w14:paraId="426582CB" w14:textId="0ABACF88" w:rsidR="00D34057" w:rsidRPr="00AB1083" w:rsidRDefault="00D34057" w:rsidP="00E91EE4">
      <w:pPr>
        <w:tabs>
          <w:tab w:val="left" w:pos="1701"/>
        </w:tabs>
        <w:spacing w:before="240" w:line="360" w:lineRule="auto"/>
        <w:jc w:val="both"/>
        <w:rPr>
          <w:rFonts w:ascii="Palatino Linotype" w:hAnsi="Palatino Linotype" w:cs="Arial"/>
        </w:rPr>
      </w:pPr>
      <w:r w:rsidRPr="00AB1083">
        <w:rPr>
          <w:rFonts w:ascii="Palatino Linotype" w:hAnsi="Palatino Linotype" w:cs="Arial"/>
          <w:b/>
        </w:rPr>
        <w:t>VISTO</w:t>
      </w:r>
      <w:r w:rsidRPr="00AB1083">
        <w:rPr>
          <w:rFonts w:ascii="Palatino Linotype" w:hAnsi="Palatino Linotype" w:cs="Arial"/>
        </w:rPr>
        <w:t xml:space="preserve"> el expediente electrónico formado con motivo del recurso de revisión número </w:t>
      </w:r>
      <w:r w:rsidR="00536CE4" w:rsidRPr="00AB1083">
        <w:rPr>
          <w:rFonts w:ascii="Palatino Linotype" w:hAnsi="Palatino Linotype" w:cs="Arial"/>
          <w:b/>
          <w:bCs/>
          <w:lang w:eastAsia="es-MX"/>
        </w:rPr>
        <w:t>01925/INFOEM/IP/RR/2025</w:t>
      </w:r>
      <w:r w:rsidR="00413A91" w:rsidRPr="00AB1083">
        <w:rPr>
          <w:rFonts w:ascii="Palatino Linotype" w:hAnsi="Palatino Linotype" w:cs="Arial"/>
          <w:b/>
          <w:bCs/>
          <w:lang w:eastAsia="es-MX"/>
        </w:rPr>
        <w:t xml:space="preserve">, </w:t>
      </w:r>
      <w:r w:rsidR="00397D6D" w:rsidRPr="00AB1083">
        <w:rPr>
          <w:rFonts w:ascii="Palatino Linotype" w:hAnsi="Palatino Linotype"/>
        </w:rPr>
        <w:t xml:space="preserve">interpuesto por la </w:t>
      </w:r>
      <w:r w:rsidR="00397D6D" w:rsidRPr="00AB1083">
        <w:rPr>
          <w:rFonts w:ascii="Palatino Linotype" w:hAnsi="Palatino Linotype"/>
          <w:b/>
          <w:bCs/>
        </w:rPr>
        <w:t>C.</w:t>
      </w:r>
      <w:r w:rsidR="00397D6D" w:rsidRPr="00AB1083">
        <w:rPr>
          <w:rFonts w:ascii="Palatino Linotype" w:hAnsi="Palatino Linotype"/>
        </w:rPr>
        <w:t xml:space="preserve"> </w:t>
      </w:r>
      <w:r w:rsidR="00FC5543" w:rsidRPr="00AB1083">
        <w:rPr>
          <w:rFonts w:ascii="Palatino Linotype" w:hAnsi="Palatino Linotype"/>
          <w:b/>
          <w:bCs/>
        </w:rPr>
        <w:t>XXXXXXXXXXXXXXXX</w:t>
      </w:r>
      <w:r w:rsidR="00536CE4" w:rsidRPr="00AB1083">
        <w:rPr>
          <w:rFonts w:ascii="Palatino Linotype" w:hAnsi="Palatino Linotype"/>
          <w:b/>
          <w:bCs/>
        </w:rPr>
        <w:t xml:space="preserve"> </w:t>
      </w:r>
      <w:r w:rsidR="00FC5543" w:rsidRPr="00AB1083">
        <w:rPr>
          <w:rFonts w:ascii="Palatino Linotype" w:hAnsi="Palatino Linotype"/>
          <w:b/>
          <w:bCs/>
        </w:rPr>
        <w:t>XXXXXXXXX</w:t>
      </w:r>
      <w:r w:rsidR="00397D6D" w:rsidRPr="00AB1083">
        <w:rPr>
          <w:rFonts w:ascii="Palatino Linotype" w:hAnsi="Palatino Linotype"/>
          <w:b/>
        </w:rPr>
        <w:t>,</w:t>
      </w:r>
      <w:r w:rsidR="00397D6D" w:rsidRPr="00AB1083">
        <w:rPr>
          <w:rFonts w:ascii="Palatino Linotype" w:hAnsi="Palatino Linotype"/>
        </w:rPr>
        <w:t xml:space="preserve"> en lo sucesivo la </w:t>
      </w:r>
      <w:r w:rsidR="00397D6D" w:rsidRPr="00AB1083">
        <w:rPr>
          <w:rFonts w:ascii="Palatino Linotype" w:hAnsi="Palatino Linotype"/>
          <w:b/>
        </w:rPr>
        <w:t>Recurrente</w:t>
      </w:r>
      <w:r w:rsidRPr="00AB1083">
        <w:rPr>
          <w:rFonts w:ascii="Palatino Linotype" w:hAnsi="Palatino Linotype" w:cs="Arial"/>
        </w:rPr>
        <w:t xml:space="preserve">, en contra de la respuesta </w:t>
      </w:r>
      <w:r w:rsidR="000D4CB2" w:rsidRPr="00AB1083">
        <w:rPr>
          <w:rFonts w:ascii="Palatino Linotype" w:hAnsi="Palatino Linotype" w:cs="Arial"/>
        </w:rPr>
        <w:t>de</w:t>
      </w:r>
      <w:r w:rsidR="00536CE4" w:rsidRPr="00AB1083">
        <w:rPr>
          <w:rFonts w:ascii="Palatino Linotype" w:hAnsi="Palatino Linotype" w:cs="Arial"/>
        </w:rPr>
        <w:t xml:space="preserve"> la</w:t>
      </w:r>
      <w:r w:rsidRPr="00AB1083">
        <w:rPr>
          <w:rFonts w:ascii="Palatino Linotype" w:hAnsi="Palatino Linotype" w:cs="Arial"/>
        </w:rPr>
        <w:t xml:space="preserve"> </w:t>
      </w:r>
      <w:r w:rsidR="00536CE4" w:rsidRPr="00AB1083">
        <w:rPr>
          <w:rFonts w:ascii="Palatino Linotype" w:hAnsi="Palatino Linotype" w:cs="Arial"/>
          <w:b/>
        </w:rPr>
        <w:t>Secretaría de Educación, Ciencia, Tecnología e Innovación</w:t>
      </w:r>
      <w:r w:rsidRPr="00AB1083">
        <w:rPr>
          <w:rFonts w:ascii="Palatino Linotype" w:hAnsi="Palatino Linotype" w:cs="Arial"/>
          <w:sz w:val="28"/>
        </w:rPr>
        <w:t xml:space="preserve">, </w:t>
      </w:r>
      <w:r w:rsidRPr="00AB1083">
        <w:rPr>
          <w:rFonts w:ascii="Palatino Linotype" w:hAnsi="Palatino Linotype" w:cs="Arial"/>
        </w:rPr>
        <w:t>en lo subsecuente</w:t>
      </w:r>
      <w:r w:rsidRPr="00AB1083">
        <w:rPr>
          <w:rFonts w:ascii="Palatino Linotype" w:hAnsi="Palatino Linotype" w:cs="Arial"/>
          <w:b/>
        </w:rPr>
        <w:t xml:space="preserve"> El Sujeto Obligado, </w:t>
      </w:r>
      <w:r w:rsidRPr="00AB1083">
        <w:rPr>
          <w:rFonts w:ascii="Palatino Linotype" w:hAnsi="Palatino Linotype" w:cs="Arial"/>
        </w:rPr>
        <w:t>se procede a dictar la presente resolución.</w:t>
      </w:r>
    </w:p>
    <w:p w14:paraId="2051844B" w14:textId="77777777" w:rsidR="00CC6F3C" w:rsidRPr="00AB1083" w:rsidRDefault="00CC6F3C" w:rsidP="00E91EE4">
      <w:pPr>
        <w:tabs>
          <w:tab w:val="left" w:pos="1701"/>
        </w:tabs>
        <w:spacing w:before="240" w:line="360" w:lineRule="auto"/>
        <w:jc w:val="both"/>
        <w:rPr>
          <w:rFonts w:ascii="Palatino Linotype" w:hAnsi="Palatino Linotype" w:cs="Arial"/>
        </w:rPr>
      </w:pPr>
    </w:p>
    <w:p w14:paraId="4B577937" w14:textId="77777777" w:rsidR="00D34057" w:rsidRPr="00AB1083" w:rsidRDefault="00D34057" w:rsidP="00FF74F5">
      <w:pPr>
        <w:pStyle w:val="Sinespaciado"/>
        <w:rPr>
          <w:sz w:val="8"/>
          <w:lang w:val="es-ES_tradnl"/>
        </w:rPr>
      </w:pPr>
    </w:p>
    <w:p w14:paraId="75D21A27" w14:textId="77777777" w:rsidR="00D34057" w:rsidRPr="00AB1083" w:rsidRDefault="00D34057" w:rsidP="00E91EE4">
      <w:pPr>
        <w:spacing w:before="240" w:after="240" w:line="360" w:lineRule="auto"/>
        <w:jc w:val="center"/>
        <w:rPr>
          <w:rFonts w:ascii="Palatino Linotype" w:hAnsi="Palatino Linotype"/>
          <w:b/>
          <w:sz w:val="28"/>
        </w:rPr>
      </w:pPr>
      <w:r w:rsidRPr="00AB1083">
        <w:rPr>
          <w:rFonts w:ascii="Palatino Linotype" w:hAnsi="Palatino Linotype"/>
          <w:b/>
          <w:sz w:val="28"/>
        </w:rPr>
        <w:t>A N T E C E D E N T E S   D E L   A S U N T O</w:t>
      </w:r>
    </w:p>
    <w:p w14:paraId="18424EF2" w14:textId="77777777" w:rsidR="00972636" w:rsidRPr="00AB1083" w:rsidRDefault="00972636" w:rsidP="00FF74F5">
      <w:pPr>
        <w:pStyle w:val="Sinespaciado"/>
        <w:rPr>
          <w:sz w:val="14"/>
          <w:lang w:val="es-ES_tradnl"/>
        </w:rPr>
      </w:pPr>
    </w:p>
    <w:p w14:paraId="729E5B4C" w14:textId="77777777" w:rsidR="008D6D96" w:rsidRPr="00AB1083" w:rsidRDefault="008D6D96" w:rsidP="008240F0">
      <w:pPr>
        <w:spacing w:before="240" w:line="360" w:lineRule="auto"/>
        <w:jc w:val="both"/>
        <w:rPr>
          <w:rFonts w:ascii="Palatino Linotype" w:hAnsi="Palatino Linotype"/>
        </w:rPr>
      </w:pPr>
      <w:r w:rsidRPr="00AB1083">
        <w:rPr>
          <w:rFonts w:ascii="Palatino Linotype" w:hAnsi="Palatino Linotype" w:cs="Arial"/>
          <w:b/>
          <w:sz w:val="28"/>
        </w:rPr>
        <w:t>PRIMERO.</w:t>
      </w:r>
      <w:r w:rsidRPr="00AB1083">
        <w:rPr>
          <w:rFonts w:ascii="Palatino Linotype" w:hAnsi="Palatino Linotype" w:cs="Arial"/>
        </w:rPr>
        <w:t xml:space="preserve"> </w:t>
      </w:r>
      <w:r w:rsidRPr="00AB1083">
        <w:rPr>
          <w:rFonts w:ascii="Palatino Linotype" w:hAnsi="Palatino Linotype"/>
          <w:b/>
          <w:sz w:val="28"/>
          <w:szCs w:val="28"/>
        </w:rPr>
        <w:t>De la Solicitud de Información.</w:t>
      </w:r>
    </w:p>
    <w:p w14:paraId="7C68203D" w14:textId="31D9A3B8" w:rsidR="00413A91" w:rsidRPr="00AB1083" w:rsidRDefault="008D6D96" w:rsidP="008240F0">
      <w:pPr>
        <w:spacing w:line="360" w:lineRule="auto"/>
        <w:jc w:val="both"/>
        <w:rPr>
          <w:rFonts w:ascii="Palatino Linotype" w:hAnsi="Palatino Linotype" w:cs="Arial"/>
        </w:rPr>
      </w:pPr>
      <w:r w:rsidRPr="00AB1083">
        <w:rPr>
          <w:rFonts w:ascii="Palatino Linotype" w:hAnsi="Palatino Linotype" w:cs="Arial"/>
        </w:rPr>
        <w:t xml:space="preserve">Con fecha </w:t>
      </w:r>
      <w:r w:rsidR="00536CE4" w:rsidRPr="00AB1083">
        <w:rPr>
          <w:rFonts w:ascii="Palatino Linotype" w:hAnsi="Palatino Linotype" w:cs="Arial"/>
        </w:rPr>
        <w:t>treinta y uno de enero de dos mil veinticinco</w:t>
      </w:r>
      <w:r w:rsidRPr="00AB1083">
        <w:rPr>
          <w:rFonts w:ascii="Palatino Linotype" w:hAnsi="Palatino Linotype" w:cs="Arial"/>
        </w:rPr>
        <w:t xml:space="preserve">, </w:t>
      </w:r>
      <w:r w:rsidR="00397D6D" w:rsidRPr="00AB1083">
        <w:rPr>
          <w:rFonts w:ascii="Palatino Linotype" w:hAnsi="Palatino Linotype" w:cs="Arial"/>
          <w:b/>
        </w:rPr>
        <w:t>la</w:t>
      </w:r>
      <w:r w:rsidRPr="00AB1083">
        <w:rPr>
          <w:rFonts w:ascii="Palatino Linotype" w:hAnsi="Palatino Linotype" w:cs="Arial"/>
          <w:b/>
        </w:rPr>
        <w:t xml:space="preserve"> Recurrente</w:t>
      </w:r>
      <w:r w:rsidRPr="00AB1083">
        <w:rPr>
          <w:rFonts w:ascii="Palatino Linotype" w:hAnsi="Palatino Linotype" w:cs="Arial"/>
        </w:rPr>
        <w:t>, presentó a través del Sistema de Acceso a la Información Mexiquense (</w:t>
      </w:r>
      <w:r w:rsidRPr="00AB1083">
        <w:rPr>
          <w:rFonts w:ascii="Palatino Linotype" w:hAnsi="Palatino Linotype" w:cs="Arial"/>
          <w:b/>
        </w:rPr>
        <w:t>SAIMEX)</w:t>
      </w:r>
      <w:r w:rsidRPr="00AB1083">
        <w:rPr>
          <w:rFonts w:ascii="Palatino Linotype" w:hAnsi="Palatino Linotype" w:cs="Arial"/>
        </w:rPr>
        <w:t xml:space="preserve"> ante </w:t>
      </w:r>
      <w:r w:rsidRPr="00AB1083">
        <w:rPr>
          <w:rFonts w:ascii="Palatino Linotype" w:hAnsi="Palatino Linotype" w:cs="Arial"/>
          <w:b/>
        </w:rPr>
        <w:t>El Sujeto Obligado</w:t>
      </w:r>
      <w:r w:rsidRPr="00AB1083">
        <w:rPr>
          <w:rFonts w:ascii="Palatino Linotype" w:hAnsi="Palatino Linotype" w:cs="Arial"/>
        </w:rPr>
        <w:t>, solicitud de acceso a la información pública, registrada bajo el número de expediente</w:t>
      </w:r>
      <w:r w:rsidRPr="00AB1083">
        <w:rPr>
          <w:rFonts w:ascii="Palatino Linotype" w:hAnsi="Palatino Linotype" w:cs="Arial"/>
          <w:b/>
        </w:rPr>
        <w:t xml:space="preserve"> </w:t>
      </w:r>
      <w:r w:rsidR="00536CE4" w:rsidRPr="00AB1083">
        <w:rPr>
          <w:rFonts w:ascii="Palatino Linotype" w:hAnsi="Palatino Linotype" w:cs="Arial"/>
          <w:b/>
        </w:rPr>
        <w:t>01925/INFOEM/IP/RR/2025</w:t>
      </w:r>
      <w:r w:rsidRPr="00AB1083">
        <w:rPr>
          <w:rFonts w:ascii="Palatino Linotype" w:hAnsi="Palatino Linotype" w:cs="Arial"/>
          <w:lang w:eastAsia="es-MX"/>
        </w:rPr>
        <w:t>,</w:t>
      </w:r>
      <w:r w:rsidRPr="00AB1083">
        <w:rPr>
          <w:rFonts w:ascii="Palatino Linotype" w:hAnsi="Palatino Linotype" w:cs="Arial"/>
          <w:b/>
          <w:lang w:eastAsia="es-MX"/>
        </w:rPr>
        <w:t xml:space="preserve"> </w:t>
      </w:r>
      <w:r w:rsidRPr="00AB1083">
        <w:rPr>
          <w:rFonts w:ascii="Palatino Linotype" w:hAnsi="Palatino Linotype" w:cs="Arial"/>
        </w:rPr>
        <w:t>mediante la cual solicitó información en el tenor siguiente:</w:t>
      </w:r>
    </w:p>
    <w:p w14:paraId="07AEC1F9" w14:textId="2CF0741F" w:rsidR="008D6D96" w:rsidRPr="00AB1083" w:rsidRDefault="008D6D96" w:rsidP="00413A91">
      <w:pPr>
        <w:ind w:left="851" w:right="851"/>
        <w:jc w:val="both"/>
        <w:rPr>
          <w:rFonts w:ascii="Palatino Linotype" w:hAnsi="Palatino Linotype"/>
          <w:i/>
        </w:rPr>
      </w:pPr>
      <w:r w:rsidRPr="00AB1083">
        <w:rPr>
          <w:rFonts w:ascii="Palatino Linotype" w:hAnsi="Palatino Linotype"/>
          <w:i/>
        </w:rPr>
        <w:t>“</w:t>
      </w:r>
      <w:r w:rsidR="00536CE4" w:rsidRPr="00AB1083">
        <w:rPr>
          <w:rFonts w:ascii="Palatino Linotype" w:hAnsi="Palatino Linotype"/>
          <w:i/>
        </w:rPr>
        <w:t xml:space="preserve">Solicito nos haga llegar las quejas que tiene la servidora publica Marisol Bernal Gutiérrez de la subdirección de Formación Continua de la subsecretaria de Educación Básica de la Secretaria de Educación Ciencia Tecnología e innovación del Estado de México, por parte del órgano interno de control de esta misma secretaria desde el año 2015 hasta la fecha del día de </w:t>
      </w:r>
      <w:r w:rsidR="00536CE4" w:rsidRPr="00AB1083">
        <w:rPr>
          <w:rFonts w:ascii="Palatino Linotype" w:hAnsi="Palatino Linotype"/>
          <w:i/>
        </w:rPr>
        <w:lastRenderedPageBreak/>
        <w:t>hoy? ya que esta servidora publica tiene ya quejas en su contra. solicitamos nos digan cuales quejas son y el estatutos de dichas quejas?</w:t>
      </w:r>
      <w:r w:rsidRPr="00AB1083">
        <w:rPr>
          <w:rFonts w:ascii="Palatino Linotype" w:hAnsi="Palatino Linotype"/>
          <w:i/>
        </w:rPr>
        <w:t>”</w:t>
      </w:r>
      <w:r w:rsidRPr="00AB1083">
        <w:rPr>
          <w:rFonts w:ascii="Palatino Linotype" w:hAnsi="Palatino Linotype"/>
        </w:rPr>
        <w:t xml:space="preserve"> [Sic]</w:t>
      </w:r>
    </w:p>
    <w:p w14:paraId="430BD549" w14:textId="77777777" w:rsidR="00CD3C58" w:rsidRPr="00AB1083" w:rsidRDefault="00CD3C58" w:rsidP="008D6D96">
      <w:pPr>
        <w:spacing w:line="360" w:lineRule="auto"/>
        <w:ind w:right="851"/>
        <w:jc w:val="both"/>
        <w:rPr>
          <w:rFonts w:ascii="Palatino Linotype" w:hAnsi="Palatino Linotype"/>
        </w:rPr>
      </w:pPr>
    </w:p>
    <w:p w14:paraId="6FCAD520" w14:textId="71291DE4" w:rsidR="00413A91" w:rsidRPr="00AB1083" w:rsidRDefault="008D6D96" w:rsidP="006E57E3">
      <w:pPr>
        <w:spacing w:line="360" w:lineRule="auto"/>
        <w:ind w:right="851"/>
        <w:jc w:val="both"/>
        <w:rPr>
          <w:rFonts w:ascii="Palatino Linotype" w:hAnsi="Palatino Linotype"/>
        </w:rPr>
      </w:pPr>
      <w:r w:rsidRPr="00AB1083">
        <w:rPr>
          <w:rFonts w:ascii="Palatino Linotype" w:hAnsi="Palatino Linotype"/>
        </w:rPr>
        <w:t xml:space="preserve">Modalidad de entrega: A través del </w:t>
      </w:r>
      <w:r w:rsidRPr="00AB1083">
        <w:rPr>
          <w:rFonts w:ascii="Palatino Linotype" w:hAnsi="Palatino Linotype"/>
          <w:b/>
        </w:rPr>
        <w:t>SAIMEX</w:t>
      </w:r>
      <w:r w:rsidRPr="00AB1083">
        <w:rPr>
          <w:rFonts w:ascii="Palatino Linotype" w:hAnsi="Palatino Linotype"/>
        </w:rPr>
        <w:t>.</w:t>
      </w:r>
    </w:p>
    <w:p w14:paraId="52042B7F" w14:textId="77777777" w:rsidR="006E57E3" w:rsidRPr="00AB1083" w:rsidRDefault="006E57E3" w:rsidP="006E57E3">
      <w:pPr>
        <w:spacing w:line="360" w:lineRule="auto"/>
        <w:ind w:right="851"/>
        <w:jc w:val="both"/>
        <w:rPr>
          <w:rFonts w:ascii="Palatino Linotype" w:hAnsi="Palatino Linotype"/>
        </w:rPr>
      </w:pPr>
    </w:p>
    <w:p w14:paraId="095C8EBF" w14:textId="08E84FED" w:rsidR="008D6D96" w:rsidRPr="00AB1083" w:rsidRDefault="006E57E3" w:rsidP="008D6D96">
      <w:pPr>
        <w:spacing w:before="240" w:line="360" w:lineRule="auto"/>
        <w:jc w:val="both"/>
        <w:rPr>
          <w:rFonts w:ascii="Palatino Linotype" w:hAnsi="Palatino Linotype" w:cs="Arial"/>
          <w:b/>
          <w:sz w:val="28"/>
        </w:rPr>
      </w:pPr>
      <w:r w:rsidRPr="00AB1083">
        <w:rPr>
          <w:rFonts w:ascii="Palatino Linotype" w:hAnsi="Palatino Linotype" w:cs="Arial"/>
          <w:b/>
          <w:sz w:val="28"/>
        </w:rPr>
        <w:t>SEGUNDO</w:t>
      </w:r>
      <w:r w:rsidR="008D6D96" w:rsidRPr="00AB1083">
        <w:rPr>
          <w:rFonts w:ascii="Palatino Linotype" w:hAnsi="Palatino Linotype" w:cs="Arial"/>
          <w:b/>
          <w:sz w:val="28"/>
        </w:rPr>
        <w:t xml:space="preserve">. </w:t>
      </w:r>
      <w:r w:rsidR="008D6D96" w:rsidRPr="00AB1083">
        <w:rPr>
          <w:rFonts w:ascii="Palatino Linotype" w:hAnsi="Palatino Linotype" w:cs="Arial"/>
          <w:b/>
          <w:sz w:val="28"/>
          <w:szCs w:val="20"/>
        </w:rPr>
        <w:t>De la respuesta del Sujeto Obligado.</w:t>
      </w:r>
    </w:p>
    <w:p w14:paraId="3EDCEAF6" w14:textId="1B9A26E5" w:rsidR="008D6D96" w:rsidRPr="00AB1083" w:rsidRDefault="008D6D96" w:rsidP="008240F0">
      <w:pPr>
        <w:spacing w:line="360" w:lineRule="auto"/>
        <w:jc w:val="both"/>
        <w:rPr>
          <w:rFonts w:ascii="Palatino Linotype" w:hAnsi="Palatino Linotype" w:cs="Arial"/>
        </w:rPr>
      </w:pPr>
      <w:r w:rsidRPr="00AB1083">
        <w:rPr>
          <w:rFonts w:ascii="Palatino Linotype" w:hAnsi="Palatino Linotype" w:cs="Arial"/>
        </w:rPr>
        <w:t xml:space="preserve">En el expediente electrónico formado en el sistema </w:t>
      </w:r>
      <w:r w:rsidRPr="00AB1083">
        <w:rPr>
          <w:rFonts w:ascii="Palatino Linotype" w:hAnsi="Palatino Linotype" w:cs="Arial"/>
          <w:b/>
        </w:rPr>
        <w:t>SAIMEX</w:t>
      </w:r>
      <w:r w:rsidRPr="00AB1083">
        <w:rPr>
          <w:rFonts w:ascii="Palatino Linotype" w:hAnsi="Palatino Linotype" w:cs="Arial"/>
        </w:rPr>
        <w:t xml:space="preserve">, se aprecia </w:t>
      </w:r>
      <w:r w:rsidRPr="00AB1083">
        <w:rPr>
          <w:rFonts w:ascii="Palatino Linotype" w:hAnsi="Palatino Linotype" w:cs="Arial"/>
          <w:b/>
        </w:rPr>
        <w:t>El Sujeto Obligado</w:t>
      </w:r>
      <w:r w:rsidRPr="00AB1083">
        <w:rPr>
          <w:rFonts w:ascii="Palatino Linotype" w:hAnsi="Palatino Linotype" w:cs="Arial"/>
        </w:rPr>
        <w:t xml:space="preserve"> emitió su respuesta a la solicitud de información, en fecha </w:t>
      </w:r>
      <w:r w:rsidR="00536CE4" w:rsidRPr="00AB1083">
        <w:rPr>
          <w:rFonts w:ascii="Palatino Linotype" w:hAnsi="Palatino Linotype" w:cs="Arial"/>
        </w:rPr>
        <w:t>veinticuatro de febrero de dos mil veinticinco</w:t>
      </w:r>
      <w:r w:rsidRPr="00AB1083">
        <w:rPr>
          <w:rFonts w:ascii="Palatino Linotype" w:hAnsi="Palatino Linotype" w:cs="Arial"/>
        </w:rPr>
        <w:t>, en los términos siguientes:</w:t>
      </w:r>
    </w:p>
    <w:p w14:paraId="3D4FC966" w14:textId="77777777" w:rsidR="00413A91" w:rsidRPr="00AB1083" w:rsidRDefault="00413A91" w:rsidP="008D6D96">
      <w:pPr>
        <w:spacing w:before="240" w:line="360" w:lineRule="auto"/>
        <w:jc w:val="both"/>
        <w:rPr>
          <w:rFonts w:ascii="Palatino Linotype" w:hAnsi="Palatino Linotype" w:cs="Arial"/>
        </w:rPr>
      </w:pPr>
    </w:p>
    <w:p w14:paraId="0512A71E" w14:textId="77777777" w:rsidR="00536CE4" w:rsidRPr="00AB1083" w:rsidRDefault="008D6D96" w:rsidP="00536CE4">
      <w:pPr>
        <w:ind w:left="851" w:right="851"/>
        <w:jc w:val="right"/>
        <w:rPr>
          <w:rFonts w:ascii="Palatino Linotype" w:hAnsi="Palatino Linotype" w:cs="Arial"/>
          <w:i/>
        </w:rPr>
      </w:pPr>
      <w:r w:rsidRPr="00AB1083">
        <w:rPr>
          <w:rFonts w:ascii="Palatino Linotype" w:hAnsi="Palatino Linotype" w:cs="Arial"/>
          <w:i/>
        </w:rPr>
        <w:t xml:space="preserve"> “</w:t>
      </w:r>
      <w:r w:rsidR="00536CE4" w:rsidRPr="00AB1083">
        <w:rPr>
          <w:rFonts w:ascii="Palatino Linotype" w:hAnsi="Palatino Linotype" w:cs="Arial"/>
          <w:i/>
        </w:rPr>
        <w:t xml:space="preserve">Folio de la solicitud: </w:t>
      </w:r>
      <w:r w:rsidR="00536CE4" w:rsidRPr="00AB1083">
        <w:rPr>
          <w:rFonts w:ascii="Palatino Linotype" w:hAnsi="Palatino Linotype" w:cs="Arial"/>
          <w:b/>
          <w:bCs/>
          <w:i/>
          <w:u w:val="single"/>
        </w:rPr>
        <w:t>00154/SECTI/IP/2025</w:t>
      </w:r>
    </w:p>
    <w:p w14:paraId="40C5AC67" w14:textId="77777777" w:rsidR="00536CE4" w:rsidRPr="00AB1083" w:rsidRDefault="00536CE4" w:rsidP="00536CE4">
      <w:pPr>
        <w:ind w:left="851" w:right="851"/>
        <w:jc w:val="both"/>
        <w:rPr>
          <w:rFonts w:ascii="Palatino Linotype" w:hAnsi="Palatino Linotype" w:cs="Arial"/>
          <w:i/>
        </w:rPr>
      </w:pPr>
    </w:p>
    <w:p w14:paraId="37A1E5C4" w14:textId="6DE9E366" w:rsidR="00536CE4" w:rsidRPr="00AB1083" w:rsidRDefault="00536CE4" w:rsidP="00536CE4">
      <w:pPr>
        <w:ind w:left="851" w:right="851"/>
        <w:jc w:val="both"/>
        <w:rPr>
          <w:rFonts w:ascii="Palatino Linotype" w:hAnsi="Palatino Linotype" w:cs="Arial"/>
          <w:i/>
        </w:rPr>
      </w:pPr>
      <w:r w:rsidRPr="00AB1083">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4695D69" w14:textId="77777777" w:rsidR="00536CE4" w:rsidRPr="00AB1083" w:rsidRDefault="00536CE4" w:rsidP="00536CE4">
      <w:pPr>
        <w:ind w:left="851" w:right="851"/>
        <w:jc w:val="both"/>
        <w:rPr>
          <w:rFonts w:ascii="Palatino Linotype" w:hAnsi="Palatino Linotype" w:cs="Arial"/>
          <w:i/>
        </w:rPr>
      </w:pPr>
    </w:p>
    <w:p w14:paraId="58F86F10" w14:textId="77777777" w:rsidR="00536CE4" w:rsidRPr="00AB1083" w:rsidRDefault="00536CE4" w:rsidP="00536CE4">
      <w:pPr>
        <w:ind w:left="851" w:right="851"/>
        <w:jc w:val="both"/>
        <w:rPr>
          <w:rFonts w:ascii="Palatino Linotype" w:hAnsi="Palatino Linotype" w:cs="Arial"/>
          <w:i/>
        </w:rPr>
      </w:pPr>
      <w:r w:rsidRPr="00AB1083">
        <w:rPr>
          <w:rFonts w:ascii="Palatino Linotype" w:hAnsi="Palatino Linotype" w:cs="Arial"/>
          <w:i/>
        </w:rPr>
        <w:t>Con fundamento en los artículos 53 fracciones II, V y VI y 163 de la Ley de Transparencia y Acceso a la Información Pública del Estado de México y Municipios, en respuesta a su solicitud de información se adjunta el Acuerdo de respuesta de fecha veinticuatro de febrero de dos mil veinticinco.</w:t>
      </w:r>
    </w:p>
    <w:p w14:paraId="158041F2" w14:textId="77777777" w:rsidR="00536CE4" w:rsidRPr="00AB1083" w:rsidRDefault="00536CE4" w:rsidP="00536CE4">
      <w:pPr>
        <w:ind w:left="851" w:right="851"/>
        <w:jc w:val="both"/>
        <w:rPr>
          <w:rFonts w:ascii="Palatino Linotype" w:hAnsi="Palatino Linotype" w:cs="Arial"/>
          <w:i/>
        </w:rPr>
      </w:pPr>
    </w:p>
    <w:p w14:paraId="4DC99101" w14:textId="19315B17" w:rsidR="00536CE4" w:rsidRPr="00AB1083" w:rsidRDefault="00536CE4" w:rsidP="00536CE4">
      <w:pPr>
        <w:ind w:left="851" w:right="851"/>
        <w:jc w:val="both"/>
        <w:rPr>
          <w:rFonts w:ascii="Palatino Linotype" w:hAnsi="Palatino Linotype" w:cs="Arial"/>
          <w:i/>
        </w:rPr>
      </w:pPr>
      <w:r w:rsidRPr="00AB1083">
        <w:rPr>
          <w:rFonts w:ascii="Palatino Linotype" w:hAnsi="Palatino Linotype" w:cs="Arial"/>
          <w:i/>
        </w:rPr>
        <w:t>ATENTAMENTE</w:t>
      </w:r>
    </w:p>
    <w:p w14:paraId="37226462" w14:textId="48CCA52F" w:rsidR="008D6D96" w:rsidRPr="00AB1083" w:rsidRDefault="00536CE4" w:rsidP="00536CE4">
      <w:pPr>
        <w:ind w:left="851" w:right="851"/>
        <w:jc w:val="both"/>
        <w:rPr>
          <w:rFonts w:ascii="Palatino Linotype" w:hAnsi="Palatino Linotype" w:cs="Arial"/>
          <w:i/>
        </w:rPr>
      </w:pPr>
      <w:r w:rsidRPr="00AB1083">
        <w:rPr>
          <w:rFonts w:ascii="Palatino Linotype" w:hAnsi="Palatino Linotype" w:cs="Arial"/>
          <w:i/>
        </w:rPr>
        <w:t>Lic. Rodrigo Ulises Rojas Muñoz</w:t>
      </w:r>
      <w:r w:rsidR="008D6D96" w:rsidRPr="00AB1083">
        <w:rPr>
          <w:rFonts w:ascii="Palatino Linotype" w:hAnsi="Palatino Linotype" w:cs="Arial"/>
          <w:i/>
        </w:rPr>
        <w:t>”</w:t>
      </w:r>
    </w:p>
    <w:p w14:paraId="3D71D1C1" w14:textId="77777777" w:rsidR="008D6D96" w:rsidRPr="00AB1083" w:rsidRDefault="008D6D96" w:rsidP="009A00AB">
      <w:pPr>
        <w:ind w:left="851" w:right="851"/>
        <w:jc w:val="both"/>
        <w:rPr>
          <w:rFonts w:ascii="Palatino Linotype" w:hAnsi="Palatino Linotype" w:cs="Arial"/>
          <w:i/>
        </w:rPr>
      </w:pPr>
    </w:p>
    <w:p w14:paraId="1D09219D" w14:textId="4FB47ED6" w:rsidR="00FD1200" w:rsidRPr="00AB1083" w:rsidRDefault="009E16FA" w:rsidP="00CD3C58">
      <w:pPr>
        <w:spacing w:before="240" w:line="360" w:lineRule="auto"/>
        <w:jc w:val="both"/>
        <w:rPr>
          <w:rFonts w:ascii="Palatino Linotype" w:hAnsi="Palatino Linotype"/>
          <w:color w:val="000000"/>
        </w:rPr>
      </w:pPr>
      <w:r w:rsidRPr="00AB1083">
        <w:rPr>
          <w:rFonts w:ascii="Palatino Linotype" w:hAnsi="Palatino Linotype"/>
          <w:color w:val="000000"/>
        </w:rPr>
        <w:t>P</w:t>
      </w:r>
      <w:r w:rsidR="008D6D96" w:rsidRPr="00AB1083">
        <w:rPr>
          <w:rFonts w:ascii="Palatino Linotype" w:hAnsi="Palatino Linotype"/>
          <w:color w:val="000000"/>
        </w:rPr>
        <w:t>ara tal efecto</w:t>
      </w:r>
      <w:r w:rsidRPr="00AB1083">
        <w:rPr>
          <w:rFonts w:ascii="Palatino Linotype" w:hAnsi="Palatino Linotype"/>
          <w:color w:val="000000"/>
        </w:rPr>
        <w:t>, el Sujeto obligado adjuntó</w:t>
      </w:r>
      <w:r w:rsidR="008D6D96" w:rsidRPr="00AB1083">
        <w:rPr>
          <w:rFonts w:ascii="Palatino Linotype" w:hAnsi="Palatino Linotype"/>
          <w:color w:val="000000"/>
        </w:rPr>
        <w:t xml:space="preserve"> </w:t>
      </w:r>
      <w:bookmarkStart w:id="0" w:name="_Hlk188451875"/>
      <w:r w:rsidR="00CD3C58" w:rsidRPr="00AB1083">
        <w:rPr>
          <w:rFonts w:ascii="Palatino Linotype" w:hAnsi="Palatino Linotype"/>
          <w:color w:val="000000"/>
        </w:rPr>
        <w:t>los</w:t>
      </w:r>
      <w:r w:rsidR="008D6D96" w:rsidRPr="00AB1083">
        <w:rPr>
          <w:rFonts w:ascii="Palatino Linotype" w:hAnsi="Palatino Linotype"/>
          <w:color w:val="000000"/>
        </w:rPr>
        <w:t xml:space="preserve"> archivo</w:t>
      </w:r>
      <w:r w:rsidR="00CD3C58" w:rsidRPr="00AB1083">
        <w:rPr>
          <w:rFonts w:ascii="Palatino Linotype" w:hAnsi="Palatino Linotype"/>
          <w:color w:val="000000"/>
        </w:rPr>
        <w:t>s</w:t>
      </w:r>
      <w:r w:rsidR="008D6D96" w:rsidRPr="00AB1083">
        <w:rPr>
          <w:rFonts w:ascii="Palatino Linotype" w:hAnsi="Palatino Linotype"/>
          <w:color w:val="000000"/>
        </w:rPr>
        <w:t xml:space="preserve"> electrónico</w:t>
      </w:r>
      <w:r w:rsidR="00CD3C58" w:rsidRPr="00AB1083">
        <w:rPr>
          <w:rFonts w:ascii="Palatino Linotype" w:hAnsi="Palatino Linotype"/>
          <w:color w:val="000000"/>
        </w:rPr>
        <w:t>s</w:t>
      </w:r>
      <w:r w:rsidR="001B0A88" w:rsidRPr="00AB1083">
        <w:rPr>
          <w:rFonts w:ascii="Palatino Linotype" w:hAnsi="Palatino Linotype"/>
          <w:color w:val="000000"/>
        </w:rPr>
        <w:t xml:space="preserve"> denominado</w:t>
      </w:r>
      <w:r w:rsidR="00CD3C58" w:rsidRPr="00AB1083">
        <w:rPr>
          <w:rFonts w:ascii="Palatino Linotype" w:hAnsi="Palatino Linotype"/>
          <w:color w:val="000000"/>
        </w:rPr>
        <w:t>s</w:t>
      </w:r>
      <w:r w:rsidR="008D6D96" w:rsidRPr="00AB1083">
        <w:rPr>
          <w:rFonts w:ascii="Palatino Linotype" w:hAnsi="Palatino Linotype"/>
          <w:color w:val="000000"/>
        </w:rPr>
        <w:t xml:space="preserve"> “</w:t>
      </w:r>
      <w:r w:rsidR="00536CE4" w:rsidRPr="00AB1083">
        <w:rPr>
          <w:rFonts w:ascii="Palatino Linotype" w:hAnsi="Palatino Linotype"/>
          <w:b/>
          <w:i/>
          <w:color w:val="000000"/>
        </w:rPr>
        <w:t>RESPUESTA_UT_154.pdf</w:t>
      </w:r>
      <w:r w:rsidR="00413A91" w:rsidRPr="00AB1083">
        <w:rPr>
          <w:rFonts w:ascii="Palatino Linotype" w:hAnsi="Palatino Linotype"/>
          <w:color w:val="000000"/>
        </w:rPr>
        <w:t>”</w:t>
      </w:r>
      <w:r w:rsidR="00536CE4" w:rsidRPr="00AB1083">
        <w:rPr>
          <w:rFonts w:ascii="Palatino Linotype" w:hAnsi="Palatino Linotype"/>
          <w:color w:val="000000"/>
        </w:rPr>
        <w:t>, “</w:t>
      </w:r>
      <w:r w:rsidR="00536CE4" w:rsidRPr="00AB1083">
        <w:rPr>
          <w:rFonts w:ascii="Palatino Linotype" w:hAnsi="Palatino Linotype"/>
          <w:b/>
          <w:bCs/>
          <w:i/>
          <w:iCs/>
          <w:color w:val="000000"/>
        </w:rPr>
        <w:t>ACUERDO SOL 154.pdf</w:t>
      </w:r>
      <w:r w:rsidR="00536CE4" w:rsidRPr="00AB1083">
        <w:rPr>
          <w:rFonts w:ascii="Palatino Linotype" w:hAnsi="Palatino Linotype"/>
          <w:color w:val="000000"/>
        </w:rPr>
        <w:t>”</w:t>
      </w:r>
      <w:r w:rsidR="00CD3C58" w:rsidRPr="00AB1083">
        <w:rPr>
          <w:rFonts w:ascii="Palatino Linotype" w:hAnsi="Palatino Linotype"/>
          <w:color w:val="000000"/>
        </w:rPr>
        <w:t xml:space="preserve"> y “</w:t>
      </w:r>
      <w:r w:rsidR="00536CE4" w:rsidRPr="00AB1083">
        <w:rPr>
          <w:rFonts w:ascii="Palatino Linotype" w:hAnsi="Palatino Linotype"/>
          <w:b/>
          <w:bCs/>
          <w:i/>
          <w:iCs/>
          <w:color w:val="000000"/>
        </w:rPr>
        <w:t>SPH_UT_154_OIC.pdf</w:t>
      </w:r>
      <w:r w:rsidR="00CD3C58" w:rsidRPr="00AB1083">
        <w:rPr>
          <w:rFonts w:ascii="Palatino Linotype" w:hAnsi="Palatino Linotype"/>
          <w:color w:val="000000"/>
        </w:rPr>
        <w:t>”</w:t>
      </w:r>
      <w:r w:rsidR="008D6D96" w:rsidRPr="00AB1083">
        <w:rPr>
          <w:rFonts w:ascii="Palatino Linotype" w:hAnsi="Palatino Linotype"/>
          <w:color w:val="000000"/>
        </w:rPr>
        <w:t xml:space="preserve">; </w:t>
      </w:r>
      <w:r w:rsidR="001B0A88" w:rsidRPr="00AB1083">
        <w:rPr>
          <w:rFonts w:ascii="Palatino Linotype" w:hAnsi="Palatino Linotype"/>
          <w:color w:val="000000"/>
        </w:rPr>
        <w:t>mismo</w:t>
      </w:r>
      <w:r w:rsidR="00CD3C58" w:rsidRPr="00AB1083">
        <w:rPr>
          <w:rFonts w:ascii="Palatino Linotype" w:hAnsi="Palatino Linotype"/>
          <w:color w:val="000000"/>
        </w:rPr>
        <w:t>s</w:t>
      </w:r>
      <w:r w:rsidR="001B0A88" w:rsidRPr="00AB1083">
        <w:rPr>
          <w:rFonts w:ascii="Palatino Linotype" w:hAnsi="Palatino Linotype"/>
          <w:color w:val="000000"/>
        </w:rPr>
        <w:t xml:space="preserve"> que</w:t>
      </w:r>
      <w:r w:rsidR="008D6D96" w:rsidRPr="00AB1083">
        <w:rPr>
          <w:rFonts w:ascii="Palatino Linotype" w:hAnsi="Palatino Linotype"/>
          <w:color w:val="000000"/>
        </w:rPr>
        <w:t xml:space="preserve"> </w:t>
      </w:r>
      <w:bookmarkEnd w:id="0"/>
      <w:r w:rsidR="008D6D96" w:rsidRPr="00AB1083">
        <w:rPr>
          <w:rFonts w:ascii="Palatino Linotype" w:hAnsi="Palatino Linotype"/>
          <w:color w:val="000000"/>
        </w:rPr>
        <w:t>no se inserta</w:t>
      </w:r>
      <w:r w:rsidR="00CD3C58" w:rsidRPr="00AB1083">
        <w:rPr>
          <w:rFonts w:ascii="Palatino Linotype" w:hAnsi="Palatino Linotype"/>
          <w:color w:val="000000"/>
        </w:rPr>
        <w:t>n</w:t>
      </w:r>
      <w:r w:rsidR="008D6D96" w:rsidRPr="00AB1083">
        <w:rPr>
          <w:rFonts w:ascii="Palatino Linotype" w:hAnsi="Palatino Linotype"/>
          <w:color w:val="000000"/>
        </w:rPr>
        <w:t xml:space="preserve"> en el presente apartado por ser del conoc</w:t>
      </w:r>
      <w:r w:rsidR="00EB1E18" w:rsidRPr="00AB1083">
        <w:rPr>
          <w:rFonts w:ascii="Palatino Linotype" w:hAnsi="Palatino Linotype"/>
          <w:color w:val="000000"/>
        </w:rPr>
        <w:t xml:space="preserve">imiento de las </w:t>
      </w:r>
      <w:r w:rsidR="00EB1E18" w:rsidRPr="00AB1083">
        <w:rPr>
          <w:rFonts w:ascii="Palatino Linotype" w:hAnsi="Palatino Linotype"/>
          <w:color w:val="000000"/>
        </w:rPr>
        <w:lastRenderedPageBreak/>
        <w:t>partes;</w:t>
      </w:r>
      <w:r w:rsidR="008D6D96" w:rsidRPr="00AB1083">
        <w:rPr>
          <w:rFonts w:ascii="Palatino Linotype" w:hAnsi="Palatino Linotype"/>
          <w:color w:val="000000"/>
        </w:rPr>
        <w:t xml:space="preserve"> sin </w:t>
      </w:r>
      <w:r w:rsidR="00BE3B14" w:rsidRPr="00AB1083">
        <w:rPr>
          <w:rFonts w:ascii="Palatino Linotype" w:hAnsi="Palatino Linotype"/>
          <w:color w:val="000000"/>
        </w:rPr>
        <w:t>embargo,</w:t>
      </w:r>
      <w:r w:rsidR="008D6D96" w:rsidRPr="00AB1083">
        <w:rPr>
          <w:rFonts w:ascii="Palatino Linotype" w:hAnsi="Palatino Linotype"/>
          <w:color w:val="000000"/>
        </w:rPr>
        <w:t xml:space="preserve"> habrá de hacerse el análisis y estudio correspondiente en párrafos posteriores.</w:t>
      </w:r>
    </w:p>
    <w:p w14:paraId="359A80AC" w14:textId="77777777" w:rsidR="00EB1E18" w:rsidRPr="00AB1083" w:rsidRDefault="00EB1E18" w:rsidP="003D0754">
      <w:pPr>
        <w:pStyle w:val="Sinespaciado"/>
        <w:rPr>
          <w:lang w:val="es-ES_tradnl"/>
        </w:rPr>
      </w:pPr>
    </w:p>
    <w:p w14:paraId="30630136" w14:textId="77777777" w:rsidR="00F46230" w:rsidRPr="00AB1083" w:rsidRDefault="00F46230" w:rsidP="003D0754">
      <w:pPr>
        <w:pStyle w:val="Sinespaciado"/>
        <w:rPr>
          <w:lang w:val="es-ES_tradnl"/>
        </w:rPr>
      </w:pPr>
    </w:p>
    <w:p w14:paraId="2B85071E" w14:textId="0FA61A19" w:rsidR="00D34057" w:rsidRPr="00AB1083" w:rsidRDefault="006E57E3" w:rsidP="003D0754">
      <w:pPr>
        <w:spacing w:line="360" w:lineRule="auto"/>
        <w:jc w:val="both"/>
        <w:rPr>
          <w:rFonts w:ascii="Palatino Linotype" w:hAnsi="Palatino Linotype" w:cs="Arial"/>
          <w:b/>
          <w:sz w:val="28"/>
        </w:rPr>
      </w:pPr>
      <w:r w:rsidRPr="00AB1083">
        <w:rPr>
          <w:rFonts w:ascii="Palatino Linotype" w:hAnsi="Palatino Linotype" w:cs="Arial"/>
          <w:b/>
          <w:sz w:val="28"/>
        </w:rPr>
        <w:t>TERCERO</w:t>
      </w:r>
      <w:r w:rsidR="00D34057" w:rsidRPr="00AB1083">
        <w:rPr>
          <w:rFonts w:ascii="Palatino Linotype" w:hAnsi="Palatino Linotype" w:cs="Arial"/>
          <w:b/>
          <w:sz w:val="28"/>
        </w:rPr>
        <w:t xml:space="preserve">. </w:t>
      </w:r>
      <w:r w:rsidR="00D34057" w:rsidRPr="00AB1083">
        <w:rPr>
          <w:rFonts w:ascii="Palatino Linotype" w:hAnsi="Palatino Linotype"/>
          <w:b/>
          <w:sz w:val="28"/>
        </w:rPr>
        <w:t>Del recurso de revisión.</w:t>
      </w:r>
    </w:p>
    <w:p w14:paraId="296EDA60" w14:textId="19620A7E" w:rsidR="00BD28E3" w:rsidRPr="00AB1083" w:rsidRDefault="00D34057" w:rsidP="003D0754">
      <w:pPr>
        <w:spacing w:line="360" w:lineRule="auto"/>
        <w:jc w:val="both"/>
        <w:rPr>
          <w:rFonts w:ascii="Palatino Linotype" w:hAnsi="Palatino Linotype" w:cs="Arial"/>
        </w:rPr>
      </w:pPr>
      <w:r w:rsidRPr="00AB1083">
        <w:rPr>
          <w:rFonts w:ascii="Palatino Linotype" w:hAnsi="Palatino Linotype" w:cs="Arial"/>
        </w:rPr>
        <w:t xml:space="preserve">Inconforme con la respuesta del </w:t>
      </w:r>
      <w:r w:rsidR="003D002D" w:rsidRPr="00AB1083">
        <w:rPr>
          <w:rFonts w:ascii="Palatino Linotype" w:hAnsi="Palatino Linotype" w:cs="Arial"/>
          <w:b/>
        </w:rPr>
        <w:t>Sujeto Obligado</w:t>
      </w:r>
      <w:r w:rsidRPr="00AB1083">
        <w:rPr>
          <w:rFonts w:ascii="Palatino Linotype" w:hAnsi="Palatino Linotype" w:cs="Arial"/>
        </w:rPr>
        <w:t xml:space="preserve">, </w:t>
      </w:r>
      <w:r w:rsidR="00CD3C58" w:rsidRPr="00AB1083">
        <w:rPr>
          <w:rFonts w:ascii="Palatino Linotype" w:hAnsi="Palatino Linotype" w:cs="Arial"/>
          <w:b/>
        </w:rPr>
        <w:t>la</w:t>
      </w:r>
      <w:r w:rsidRPr="00AB1083">
        <w:rPr>
          <w:rFonts w:ascii="Palatino Linotype" w:hAnsi="Palatino Linotype" w:cs="Arial"/>
          <w:b/>
        </w:rPr>
        <w:t xml:space="preserve"> Recurrente </w:t>
      </w:r>
      <w:r w:rsidRPr="00AB1083">
        <w:rPr>
          <w:rFonts w:ascii="Palatino Linotype" w:hAnsi="Palatino Linotype" w:cs="Arial"/>
        </w:rPr>
        <w:t xml:space="preserve">interpuso el recurso de revisión, en fecha </w:t>
      </w:r>
      <w:r w:rsidR="00536CE4" w:rsidRPr="00AB1083">
        <w:rPr>
          <w:rFonts w:ascii="Palatino Linotype" w:hAnsi="Palatino Linotype" w:cs="Arial"/>
        </w:rPr>
        <w:t>veinticuatro de febrero</w:t>
      </w:r>
      <w:r w:rsidR="00CD3C58" w:rsidRPr="00AB1083">
        <w:rPr>
          <w:rFonts w:ascii="Palatino Linotype" w:hAnsi="Palatino Linotype" w:cs="Arial"/>
        </w:rPr>
        <w:t xml:space="preserve"> de dos mil veinticinco</w:t>
      </w:r>
      <w:r w:rsidRPr="00AB1083">
        <w:rPr>
          <w:rFonts w:ascii="Palatino Linotype" w:hAnsi="Palatino Linotype" w:cs="Arial"/>
        </w:rPr>
        <w:t xml:space="preserve">, </w:t>
      </w:r>
      <w:r w:rsidR="001B0A88" w:rsidRPr="00AB1083">
        <w:rPr>
          <w:rFonts w:ascii="Palatino Linotype" w:hAnsi="Palatino Linotype" w:cs="Arial"/>
        </w:rPr>
        <w:t>quedando</w:t>
      </w:r>
      <w:r w:rsidRPr="00AB1083">
        <w:rPr>
          <w:rFonts w:ascii="Palatino Linotype" w:hAnsi="Palatino Linotype" w:cs="Arial"/>
        </w:rPr>
        <w:t xml:space="preserve"> registrado</w:t>
      </w:r>
      <w:r w:rsidRPr="00AB1083">
        <w:rPr>
          <w:rFonts w:ascii="Palatino Linotype" w:hAnsi="Palatino Linotype" w:cs="Arial"/>
          <w:b/>
        </w:rPr>
        <w:t xml:space="preserve"> </w:t>
      </w:r>
      <w:r w:rsidRPr="00AB1083">
        <w:rPr>
          <w:rFonts w:ascii="Palatino Linotype" w:hAnsi="Palatino Linotype" w:cs="Arial"/>
        </w:rPr>
        <w:t>en el sistema electrónico con el expediente número</w:t>
      </w:r>
      <w:r w:rsidR="00706E31" w:rsidRPr="00AB1083">
        <w:rPr>
          <w:rFonts w:ascii="Palatino Linotype" w:hAnsi="Palatino Linotype" w:cs="Arial"/>
          <w:b/>
          <w:bCs/>
          <w:lang w:eastAsia="es-MX"/>
        </w:rPr>
        <w:t xml:space="preserve"> </w:t>
      </w:r>
      <w:r w:rsidR="00536CE4" w:rsidRPr="00AB1083">
        <w:rPr>
          <w:rFonts w:ascii="Palatino Linotype" w:hAnsi="Palatino Linotype" w:cs="Arial"/>
          <w:b/>
          <w:bCs/>
          <w:lang w:eastAsia="es-MX"/>
        </w:rPr>
        <w:t>01925/INFOEM/IP/RR/2025</w:t>
      </w:r>
      <w:r w:rsidRPr="00AB1083">
        <w:rPr>
          <w:rFonts w:ascii="Palatino Linotype" w:hAnsi="Palatino Linotype" w:cs="Arial"/>
        </w:rPr>
        <w:t>, en el cual arguye, las siguientes manifestaciones:</w:t>
      </w:r>
    </w:p>
    <w:p w14:paraId="1CBC4B80" w14:textId="77777777" w:rsidR="003708E1" w:rsidRPr="00AB1083" w:rsidRDefault="003708E1" w:rsidP="003D0754">
      <w:pPr>
        <w:pStyle w:val="Sinespaciado"/>
        <w:rPr>
          <w:lang w:val="es-ES_tradnl"/>
        </w:rPr>
      </w:pPr>
    </w:p>
    <w:p w14:paraId="7EA930EF" w14:textId="77777777" w:rsidR="00BD28E3" w:rsidRPr="00AB1083" w:rsidRDefault="00D34057" w:rsidP="00E91EE4">
      <w:pPr>
        <w:pStyle w:val="Prrafodelista"/>
        <w:numPr>
          <w:ilvl w:val="0"/>
          <w:numId w:val="3"/>
        </w:numPr>
        <w:spacing w:before="240" w:line="360" w:lineRule="auto"/>
        <w:jc w:val="both"/>
        <w:rPr>
          <w:rFonts w:ascii="Palatino Linotype" w:hAnsi="Palatino Linotype" w:cs="Arial"/>
          <w:b/>
        </w:rPr>
      </w:pPr>
      <w:r w:rsidRPr="00AB1083">
        <w:rPr>
          <w:rFonts w:ascii="Palatino Linotype" w:hAnsi="Palatino Linotype" w:cs="Arial"/>
          <w:b/>
        </w:rPr>
        <w:t>Acto Impugnado:</w:t>
      </w:r>
    </w:p>
    <w:p w14:paraId="3BC72CF2" w14:textId="17B9EBC6" w:rsidR="00D34057" w:rsidRPr="00AB1083" w:rsidRDefault="00BB0BEB" w:rsidP="007D7483">
      <w:pPr>
        <w:ind w:left="851" w:right="850"/>
        <w:jc w:val="both"/>
        <w:rPr>
          <w:rFonts w:ascii="Palatino Linotype" w:hAnsi="Palatino Linotype" w:cs="Arial"/>
          <w:i/>
        </w:rPr>
      </w:pPr>
      <w:r w:rsidRPr="00AB1083">
        <w:rPr>
          <w:rFonts w:ascii="Palatino Linotype" w:hAnsi="Palatino Linotype" w:cs="Arial"/>
          <w:i/>
        </w:rPr>
        <w:t>“</w:t>
      </w:r>
      <w:r w:rsidR="00536CE4" w:rsidRPr="00AB1083">
        <w:rPr>
          <w:rFonts w:ascii="Palatino Linotype" w:hAnsi="Palatino Linotype" w:cs="Arial"/>
          <w:i/>
        </w:rPr>
        <w:t>La respuesta Clasificacion</w:t>
      </w:r>
      <w:r w:rsidR="00CD3C58" w:rsidRPr="00AB1083">
        <w:rPr>
          <w:rFonts w:ascii="Palatino Linotype" w:hAnsi="Palatino Linotype" w:cs="Arial"/>
          <w:i/>
        </w:rPr>
        <w:t>.</w:t>
      </w:r>
      <w:r w:rsidR="00D34057" w:rsidRPr="00AB1083">
        <w:rPr>
          <w:rFonts w:ascii="Palatino Linotype" w:hAnsi="Palatino Linotype" w:cs="Arial"/>
          <w:i/>
        </w:rPr>
        <w:t>”</w:t>
      </w:r>
      <w:r w:rsidR="00CF70A0" w:rsidRPr="00AB1083">
        <w:rPr>
          <w:rFonts w:ascii="Palatino Linotype" w:hAnsi="Palatino Linotype" w:cs="Arial"/>
          <w:i/>
        </w:rPr>
        <w:t xml:space="preserve"> </w:t>
      </w:r>
      <w:r w:rsidR="00D34057" w:rsidRPr="00AB1083">
        <w:rPr>
          <w:rFonts w:ascii="Palatino Linotype" w:hAnsi="Palatino Linotype" w:cs="Arial"/>
          <w:i/>
        </w:rPr>
        <w:t>[sic]</w:t>
      </w:r>
    </w:p>
    <w:p w14:paraId="63141DF2" w14:textId="77777777" w:rsidR="00BD28E3" w:rsidRPr="00AB1083" w:rsidRDefault="00BD28E3" w:rsidP="003D0754">
      <w:pPr>
        <w:pStyle w:val="Sinespaciado"/>
        <w:rPr>
          <w:sz w:val="2"/>
          <w:lang w:val="es-ES_tradnl"/>
        </w:rPr>
      </w:pPr>
    </w:p>
    <w:p w14:paraId="15CDCB8C" w14:textId="77777777" w:rsidR="00D34057" w:rsidRPr="00AB1083" w:rsidRDefault="00D34057" w:rsidP="00E91EE4">
      <w:pPr>
        <w:pStyle w:val="Prrafodelista"/>
        <w:numPr>
          <w:ilvl w:val="0"/>
          <w:numId w:val="3"/>
        </w:numPr>
        <w:spacing w:before="240" w:line="360" w:lineRule="auto"/>
        <w:jc w:val="both"/>
        <w:rPr>
          <w:rFonts w:ascii="Palatino Linotype" w:hAnsi="Palatino Linotype" w:cs="Arial"/>
        </w:rPr>
      </w:pPr>
      <w:r w:rsidRPr="00AB1083">
        <w:rPr>
          <w:rFonts w:ascii="Palatino Linotype" w:hAnsi="Palatino Linotype" w:cs="Arial"/>
          <w:b/>
        </w:rPr>
        <w:t>Razones o Motivos de Inconformidad</w:t>
      </w:r>
      <w:r w:rsidRPr="00AB1083">
        <w:rPr>
          <w:rFonts w:ascii="Palatino Linotype" w:hAnsi="Palatino Linotype" w:cs="Arial"/>
        </w:rPr>
        <w:t xml:space="preserve">: </w:t>
      </w:r>
    </w:p>
    <w:p w14:paraId="505D7334" w14:textId="325F4BAA" w:rsidR="00E36016" w:rsidRPr="00AB1083" w:rsidRDefault="00BB0BEB" w:rsidP="001B0A88">
      <w:pPr>
        <w:ind w:left="851" w:right="850"/>
        <w:jc w:val="both"/>
        <w:rPr>
          <w:rFonts w:ascii="Palatino Linotype" w:hAnsi="Palatino Linotype" w:cs="Arial"/>
          <w:i/>
        </w:rPr>
      </w:pPr>
      <w:r w:rsidRPr="00AB1083">
        <w:rPr>
          <w:rFonts w:ascii="Palatino Linotype" w:hAnsi="Palatino Linotype" w:cs="Arial"/>
          <w:i/>
        </w:rPr>
        <w:t>“</w:t>
      </w:r>
      <w:r w:rsidR="00536CE4" w:rsidRPr="00AB1083">
        <w:rPr>
          <w:rFonts w:ascii="Palatino Linotype" w:hAnsi="Palatino Linotype" w:cs="Arial"/>
          <w:i/>
        </w:rPr>
        <w:t>"la respuesta no atiende lo solicitado"</w:t>
      </w:r>
      <w:r w:rsidR="00D34057" w:rsidRPr="00AB1083">
        <w:rPr>
          <w:rFonts w:ascii="Palatino Linotype" w:hAnsi="Palatino Linotype" w:cs="Arial"/>
          <w:i/>
        </w:rPr>
        <w:t>” [sic]</w:t>
      </w:r>
    </w:p>
    <w:p w14:paraId="78750FB9" w14:textId="77777777" w:rsidR="003708E1" w:rsidRPr="00AB1083" w:rsidRDefault="003708E1" w:rsidP="00E91EE4">
      <w:pPr>
        <w:spacing w:before="240" w:line="360" w:lineRule="auto"/>
        <w:ind w:right="851"/>
        <w:jc w:val="both"/>
        <w:rPr>
          <w:rFonts w:ascii="Palatino Linotype" w:hAnsi="Palatino Linotype"/>
          <w:color w:val="000000"/>
          <w:sz w:val="18"/>
        </w:rPr>
      </w:pPr>
    </w:p>
    <w:p w14:paraId="3DE918EE" w14:textId="30BC393C" w:rsidR="00D34057" w:rsidRPr="00AB1083" w:rsidRDefault="006E57E3" w:rsidP="003D0754">
      <w:pPr>
        <w:spacing w:line="360" w:lineRule="auto"/>
        <w:jc w:val="both"/>
        <w:rPr>
          <w:rFonts w:ascii="Palatino Linotype" w:hAnsi="Palatino Linotype" w:cs="Arial"/>
          <w:b/>
        </w:rPr>
      </w:pPr>
      <w:r w:rsidRPr="00AB1083">
        <w:rPr>
          <w:rFonts w:ascii="Palatino Linotype" w:hAnsi="Palatino Linotype" w:cs="Arial"/>
          <w:b/>
          <w:sz w:val="28"/>
        </w:rPr>
        <w:t>CUARTO</w:t>
      </w:r>
      <w:r w:rsidR="00D34057" w:rsidRPr="00AB1083">
        <w:rPr>
          <w:rFonts w:ascii="Palatino Linotype" w:hAnsi="Palatino Linotype" w:cs="Arial"/>
          <w:b/>
        </w:rPr>
        <w:t xml:space="preserve">. </w:t>
      </w:r>
      <w:r w:rsidR="00D34057" w:rsidRPr="00AB1083">
        <w:rPr>
          <w:rFonts w:ascii="Palatino Linotype" w:hAnsi="Palatino Linotype" w:cs="Arial"/>
          <w:b/>
          <w:sz w:val="28"/>
          <w:szCs w:val="28"/>
        </w:rPr>
        <w:t>Del turno del recurso de revisión.</w:t>
      </w:r>
    </w:p>
    <w:p w14:paraId="0A61B1E4" w14:textId="1DFCAE27" w:rsidR="001B0A88" w:rsidRPr="00AB1083" w:rsidRDefault="001B0A88" w:rsidP="001B0A88">
      <w:pPr>
        <w:spacing w:line="360" w:lineRule="auto"/>
        <w:jc w:val="both"/>
        <w:rPr>
          <w:rFonts w:ascii="Palatino Linotype" w:eastAsiaTheme="minorHAnsi" w:hAnsi="Palatino Linotype" w:cs="Arial"/>
          <w:lang w:eastAsia="en-US"/>
        </w:rPr>
      </w:pPr>
      <w:r w:rsidRPr="00AB1083">
        <w:rPr>
          <w:rFonts w:ascii="Palatino Linotype" w:eastAsiaTheme="minorHAnsi" w:hAnsi="Palatino Linotype" w:cs="Arial"/>
          <w:lang w:eastAsia="en-US"/>
        </w:rPr>
        <w:t xml:space="preserve">Medio de impugnación que le fue turnado al </w:t>
      </w:r>
      <w:r w:rsidRPr="00AB1083">
        <w:rPr>
          <w:rFonts w:ascii="Palatino Linotype" w:eastAsiaTheme="minorHAnsi" w:hAnsi="Palatino Linotype" w:cs="Arial"/>
          <w:b/>
          <w:bCs/>
          <w:lang w:eastAsia="en-US"/>
        </w:rPr>
        <w:t>Comisionado</w:t>
      </w:r>
      <w:r w:rsidR="009E16FA" w:rsidRPr="00AB1083">
        <w:rPr>
          <w:rFonts w:ascii="Palatino Linotype" w:eastAsiaTheme="minorHAnsi" w:hAnsi="Palatino Linotype" w:cs="Arial"/>
          <w:b/>
          <w:bCs/>
          <w:lang w:eastAsia="en-US"/>
        </w:rPr>
        <w:t xml:space="preserve"> Presidente</w:t>
      </w:r>
      <w:r w:rsidRPr="00AB1083">
        <w:rPr>
          <w:rFonts w:ascii="Palatino Linotype" w:eastAsiaTheme="minorHAnsi" w:hAnsi="Palatino Linotype" w:cs="Arial"/>
          <w:b/>
          <w:bCs/>
          <w:lang w:eastAsia="en-US"/>
        </w:rPr>
        <w:t xml:space="preserve"> José Martínez Vilchis</w:t>
      </w:r>
      <w:r w:rsidRPr="00AB1083">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536CE4" w:rsidRPr="00AB1083">
        <w:rPr>
          <w:rFonts w:ascii="Palatino Linotype" w:eastAsiaTheme="minorHAnsi" w:hAnsi="Palatino Linotype" w:cs="Arial"/>
          <w:lang w:eastAsia="en-US"/>
        </w:rPr>
        <w:t>veintisiete de febrero</w:t>
      </w:r>
      <w:r w:rsidR="00CD3C58" w:rsidRPr="00AB1083">
        <w:rPr>
          <w:rFonts w:ascii="Palatino Linotype" w:eastAsiaTheme="minorHAnsi" w:hAnsi="Palatino Linotype" w:cs="Arial"/>
          <w:lang w:eastAsia="en-US"/>
        </w:rPr>
        <w:t xml:space="preserve"> de dos mil veinticinco</w:t>
      </w:r>
      <w:r w:rsidRPr="00AB1083">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1E9D633E" w14:textId="77777777" w:rsidR="00536CE4" w:rsidRPr="00AB1083" w:rsidRDefault="00536CE4" w:rsidP="001B0A88">
      <w:pPr>
        <w:spacing w:line="360" w:lineRule="auto"/>
        <w:jc w:val="both"/>
        <w:rPr>
          <w:rFonts w:ascii="Palatino Linotype" w:eastAsiaTheme="minorHAnsi" w:hAnsi="Palatino Linotype" w:cs="Arial"/>
          <w:lang w:eastAsia="en-US"/>
        </w:rPr>
      </w:pPr>
    </w:p>
    <w:p w14:paraId="4788449D" w14:textId="77777777" w:rsidR="00C07D77" w:rsidRPr="00AB1083" w:rsidRDefault="00C07D77" w:rsidP="00E91EE4">
      <w:pPr>
        <w:spacing w:before="240" w:line="360" w:lineRule="auto"/>
        <w:jc w:val="both"/>
        <w:rPr>
          <w:rFonts w:ascii="Palatino Linotype" w:hAnsi="Palatino Linotype" w:cs="Arial"/>
          <w:sz w:val="6"/>
        </w:rPr>
      </w:pPr>
    </w:p>
    <w:p w14:paraId="51BD16D2" w14:textId="0160BDBD" w:rsidR="00D34057" w:rsidRPr="00AB1083" w:rsidRDefault="00420653" w:rsidP="003D0754">
      <w:pPr>
        <w:spacing w:line="360" w:lineRule="auto"/>
        <w:jc w:val="both"/>
        <w:rPr>
          <w:rFonts w:ascii="Palatino Linotype" w:hAnsi="Palatino Linotype" w:cs="Arial"/>
          <w:b/>
        </w:rPr>
      </w:pPr>
      <w:r w:rsidRPr="00AB1083">
        <w:rPr>
          <w:rFonts w:ascii="Palatino Linotype" w:hAnsi="Palatino Linotype" w:cs="Arial"/>
          <w:b/>
          <w:sz w:val="28"/>
        </w:rPr>
        <w:lastRenderedPageBreak/>
        <w:t>QUINTO</w:t>
      </w:r>
      <w:r w:rsidR="00D34057" w:rsidRPr="00AB1083">
        <w:rPr>
          <w:rFonts w:ascii="Palatino Linotype" w:hAnsi="Palatino Linotype" w:cs="Arial"/>
          <w:b/>
        </w:rPr>
        <w:t xml:space="preserve">. </w:t>
      </w:r>
      <w:r w:rsidR="00D34057" w:rsidRPr="00AB1083">
        <w:rPr>
          <w:rFonts w:ascii="Palatino Linotype" w:hAnsi="Palatino Linotype" w:cs="Arial"/>
          <w:b/>
          <w:sz w:val="28"/>
          <w:szCs w:val="28"/>
        </w:rPr>
        <w:t>De la etapa de instrucción.</w:t>
      </w:r>
    </w:p>
    <w:p w14:paraId="38FC63DF" w14:textId="57923A5E" w:rsidR="00D41CD6" w:rsidRPr="00AB1083" w:rsidRDefault="00536CE4" w:rsidP="00D10308">
      <w:pPr>
        <w:spacing w:line="360" w:lineRule="auto"/>
        <w:jc w:val="both"/>
        <w:rPr>
          <w:rFonts w:ascii="Palatino Linotype" w:eastAsiaTheme="minorHAnsi" w:hAnsi="Palatino Linotype" w:cstheme="minorBidi"/>
          <w:lang w:eastAsia="en-US"/>
        </w:rPr>
      </w:pPr>
      <w:r w:rsidRPr="00AB1083">
        <w:rPr>
          <w:rFonts w:ascii="Palatino Linotype" w:hAnsi="Palatino Linotype"/>
        </w:rPr>
        <w:t xml:space="preserve">Así, una vez abierta la etapa de instrucción, en el sumario se observa que </w:t>
      </w:r>
      <w:r w:rsidRPr="00AB1083">
        <w:rPr>
          <w:rFonts w:ascii="Palatino Linotype" w:hAnsi="Palatino Linotype"/>
          <w:b/>
          <w:bCs/>
        </w:rPr>
        <w:t>el Sujeto Obligado</w:t>
      </w:r>
      <w:r w:rsidRPr="00AB1083">
        <w:rPr>
          <w:rFonts w:ascii="Palatino Linotype" w:hAnsi="Palatino Linotype"/>
        </w:rPr>
        <w:t xml:space="preserve"> en fecha once de marzo de dos mil veinticinco, presentó su informe justificado, dicho Informe se puso a la vista de la </w:t>
      </w:r>
      <w:r w:rsidRPr="00AB1083">
        <w:rPr>
          <w:rFonts w:ascii="Palatino Linotype" w:hAnsi="Palatino Linotype"/>
          <w:b/>
          <w:bCs/>
        </w:rPr>
        <w:t>Recurrente</w:t>
      </w:r>
      <w:r w:rsidRPr="00AB1083">
        <w:rPr>
          <w:rFonts w:ascii="Palatino Linotype" w:hAnsi="Palatino Linotype"/>
        </w:rPr>
        <w:t xml:space="preserve"> mediante acuerdo de fecha nueve de abril de dos mil veinticinco, para que en un término de tres días la </w:t>
      </w:r>
      <w:r w:rsidRPr="00AB1083">
        <w:rPr>
          <w:rFonts w:ascii="Palatino Linotype" w:hAnsi="Palatino Linotype"/>
          <w:b/>
          <w:bCs/>
        </w:rPr>
        <w:t>Recurrente</w:t>
      </w:r>
      <w:r w:rsidRPr="00AB1083">
        <w:rPr>
          <w:rFonts w:ascii="Palatino Linotype" w:hAnsi="Palatino Linotype"/>
        </w:rPr>
        <w:t xml:space="preserve"> adujera manifestaciones; asimismo, se hace constar que la </w:t>
      </w:r>
      <w:r w:rsidRPr="00AB1083">
        <w:rPr>
          <w:rFonts w:ascii="Palatino Linotype" w:hAnsi="Palatino Linotype"/>
          <w:b/>
          <w:bCs/>
        </w:rPr>
        <w:t>Recurrente</w:t>
      </w:r>
      <w:r w:rsidRPr="00AB1083">
        <w:rPr>
          <w:rFonts w:ascii="Palatino Linotype" w:hAnsi="Palatino Linotype"/>
        </w:rPr>
        <w:t xml:space="preserve"> fue omisa en presentar sus manifestaciones respecto al informe justificado remitido por </w:t>
      </w:r>
      <w:r w:rsidRPr="00AB1083">
        <w:rPr>
          <w:rFonts w:ascii="Palatino Linotype" w:hAnsi="Palatino Linotype"/>
          <w:b/>
          <w:bCs/>
        </w:rPr>
        <w:t>el Sujeto Obligado</w:t>
      </w:r>
      <w:r w:rsidRPr="00AB1083">
        <w:rPr>
          <w:rFonts w:ascii="Palatino Linotype" w:hAnsi="Palatino Linotype"/>
        </w:rPr>
        <w:t>, finalmente se advierte de las constancias que integran el presente expediente, que no existe prueba alguna que deba desahogarse.</w:t>
      </w:r>
    </w:p>
    <w:p w14:paraId="46C594D1" w14:textId="77777777" w:rsidR="00D41CD6" w:rsidRPr="00AB1083" w:rsidRDefault="00D41CD6" w:rsidP="00D10308">
      <w:pPr>
        <w:spacing w:line="360" w:lineRule="auto"/>
        <w:jc w:val="both"/>
        <w:rPr>
          <w:rFonts w:ascii="Palatino Linotype" w:eastAsiaTheme="minorHAnsi" w:hAnsi="Palatino Linotype" w:cstheme="minorBidi"/>
          <w:lang w:eastAsia="en-US"/>
        </w:rPr>
      </w:pPr>
    </w:p>
    <w:p w14:paraId="3B1802D2" w14:textId="77777777" w:rsidR="00420653" w:rsidRPr="00AB1083" w:rsidRDefault="00420653" w:rsidP="00420653">
      <w:pPr>
        <w:tabs>
          <w:tab w:val="left" w:pos="3206"/>
        </w:tabs>
        <w:spacing w:line="360" w:lineRule="auto"/>
        <w:jc w:val="both"/>
        <w:rPr>
          <w:rFonts w:ascii="Palatino Linotype" w:eastAsiaTheme="minorHAnsi" w:hAnsi="Palatino Linotype" w:cs="Arial"/>
          <w:b/>
          <w:sz w:val="28"/>
          <w:lang w:eastAsia="en-US"/>
        </w:rPr>
      </w:pPr>
      <w:r w:rsidRPr="00AB1083">
        <w:rPr>
          <w:rFonts w:ascii="Palatino Linotype" w:eastAsiaTheme="minorHAnsi" w:hAnsi="Palatino Linotype" w:cs="Arial"/>
          <w:b/>
          <w:sz w:val="28"/>
          <w:lang w:eastAsia="en-US"/>
        </w:rPr>
        <w:t>SEXTO. Del cierre de instrucción.</w:t>
      </w:r>
      <w:r w:rsidRPr="00AB1083">
        <w:rPr>
          <w:rFonts w:ascii="Palatino Linotype" w:eastAsiaTheme="minorHAnsi" w:hAnsi="Palatino Linotype" w:cs="Arial"/>
          <w:b/>
          <w:sz w:val="28"/>
          <w:lang w:eastAsia="en-US"/>
        </w:rPr>
        <w:tab/>
      </w:r>
    </w:p>
    <w:p w14:paraId="2330F521" w14:textId="45C8AAF5" w:rsidR="00420653" w:rsidRPr="00AB1083" w:rsidRDefault="00420653" w:rsidP="00420653">
      <w:pPr>
        <w:spacing w:line="360" w:lineRule="auto"/>
        <w:jc w:val="both"/>
        <w:rPr>
          <w:rFonts w:ascii="Palatino Linotype" w:eastAsiaTheme="minorHAnsi" w:hAnsi="Palatino Linotype" w:cs="Arial"/>
          <w:lang w:eastAsia="en-US"/>
        </w:rPr>
      </w:pPr>
      <w:r w:rsidRPr="00AB1083">
        <w:rPr>
          <w:rFonts w:ascii="Palatino Linotype" w:eastAsiaTheme="minorHAnsi" w:hAnsi="Palatino Linotype" w:cs="Arial"/>
          <w:lang w:eastAsia="en-US"/>
        </w:rPr>
        <w:t xml:space="preserve">Así, una vez transcurrido el término legal, permitió decretarse el cierre de instrucción en fecha </w:t>
      </w:r>
      <w:r w:rsidR="00536CE4" w:rsidRPr="00AB1083">
        <w:rPr>
          <w:rFonts w:ascii="Palatino Linotype" w:eastAsiaTheme="minorHAnsi" w:hAnsi="Palatino Linotype" w:cs="Arial"/>
          <w:lang w:eastAsia="en-US"/>
        </w:rPr>
        <w:t>veinti</w:t>
      </w:r>
      <w:r w:rsidR="000315E6" w:rsidRPr="00AB1083">
        <w:rPr>
          <w:rFonts w:ascii="Palatino Linotype" w:eastAsiaTheme="minorHAnsi" w:hAnsi="Palatino Linotype" w:cs="Arial"/>
          <w:lang w:eastAsia="en-US"/>
        </w:rPr>
        <w:t>trés</w:t>
      </w:r>
      <w:r w:rsidR="00536CE4" w:rsidRPr="00AB1083">
        <w:rPr>
          <w:rFonts w:ascii="Palatino Linotype" w:eastAsiaTheme="minorHAnsi" w:hAnsi="Palatino Linotype" w:cs="Arial"/>
          <w:lang w:eastAsia="en-US"/>
        </w:rPr>
        <w:t xml:space="preserve"> de abril</w:t>
      </w:r>
      <w:r w:rsidR="00485512" w:rsidRPr="00AB1083">
        <w:rPr>
          <w:rFonts w:ascii="Palatino Linotype" w:eastAsiaTheme="minorHAnsi" w:hAnsi="Palatino Linotype" w:cs="Arial"/>
          <w:lang w:eastAsia="en-US"/>
        </w:rPr>
        <w:t xml:space="preserve"> de la presente anualidad</w:t>
      </w:r>
      <w:r w:rsidRPr="00AB1083">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1D395EAB" w14:textId="77777777" w:rsidR="000315E6" w:rsidRPr="00AB1083" w:rsidRDefault="000315E6" w:rsidP="00420653">
      <w:pPr>
        <w:spacing w:line="360" w:lineRule="auto"/>
        <w:jc w:val="both"/>
        <w:rPr>
          <w:rFonts w:ascii="Palatino Linotype" w:eastAsiaTheme="minorHAnsi" w:hAnsi="Palatino Linotype" w:cs="Arial"/>
          <w:lang w:eastAsia="en-US"/>
        </w:rPr>
      </w:pPr>
    </w:p>
    <w:p w14:paraId="27B26721" w14:textId="77777777" w:rsidR="000315E6" w:rsidRPr="00AB1083" w:rsidRDefault="000315E6" w:rsidP="000315E6">
      <w:pPr>
        <w:pBdr>
          <w:top w:val="nil"/>
          <w:left w:val="nil"/>
          <w:bottom w:val="nil"/>
          <w:right w:val="nil"/>
          <w:between w:val="nil"/>
        </w:pBdr>
        <w:spacing w:line="360" w:lineRule="auto"/>
        <w:contextualSpacing/>
        <w:jc w:val="both"/>
        <w:rPr>
          <w:rFonts w:ascii="Palatino Linotype" w:eastAsia="Calibri" w:hAnsi="Palatino Linotype" w:cs="Calibri"/>
          <w:b/>
          <w:sz w:val="26"/>
          <w:szCs w:val="26"/>
        </w:rPr>
      </w:pPr>
      <w:r w:rsidRPr="00AB1083">
        <w:rPr>
          <w:rFonts w:ascii="Palatino Linotype" w:eastAsia="Calibri" w:hAnsi="Palatino Linotype" w:cs="Calibri"/>
          <w:b/>
          <w:sz w:val="26"/>
          <w:szCs w:val="26"/>
        </w:rPr>
        <w:t>SÉPTIMO. De la ampliación del término para resolver.</w:t>
      </w:r>
    </w:p>
    <w:p w14:paraId="022B2141" w14:textId="7F806EAD" w:rsidR="000315E6" w:rsidRPr="00AB1083" w:rsidRDefault="000315E6" w:rsidP="000315E6">
      <w:pPr>
        <w:spacing w:line="360" w:lineRule="auto"/>
        <w:jc w:val="both"/>
        <w:rPr>
          <w:rFonts w:ascii="Palatino Linotype" w:eastAsiaTheme="minorHAnsi" w:hAnsi="Palatino Linotype" w:cs="Arial"/>
          <w:lang w:eastAsia="en-US"/>
        </w:rPr>
      </w:pPr>
      <w:r w:rsidRPr="00AB1083">
        <w:rPr>
          <w:rFonts w:ascii="Palatino Linotype" w:eastAsia="Calibri" w:hAnsi="Palatino Linotype" w:cs="Calibri"/>
        </w:rPr>
        <w:t>En fecha veintitrés de abril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00398E62" w14:textId="77777777" w:rsidR="00420653" w:rsidRPr="00AB1083" w:rsidRDefault="00420653" w:rsidP="00D10308">
      <w:pPr>
        <w:spacing w:line="360" w:lineRule="auto"/>
        <w:jc w:val="both"/>
        <w:rPr>
          <w:rFonts w:ascii="Palatino Linotype" w:hAnsi="Palatino Linotype" w:cs="Arial"/>
        </w:rPr>
      </w:pPr>
    </w:p>
    <w:p w14:paraId="6A11831A" w14:textId="77777777" w:rsidR="00B001FA" w:rsidRPr="00AB1083" w:rsidRDefault="00B001FA" w:rsidP="00B001FA">
      <w:pPr>
        <w:spacing w:line="360" w:lineRule="auto"/>
        <w:jc w:val="center"/>
        <w:rPr>
          <w:rFonts w:ascii="Palatino Linotype" w:eastAsia="Calibri" w:hAnsi="Palatino Linotype" w:cs="Arial"/>
          <w:b/>
          <w:sz w:val="28"/>
          <w:szCs w:val="22"/>
          <w:lang w:eastAsia="es-MX"/>
        </w:rPr>
      </w:pPr>
      <w:r w:rsidRPr="00AB1083">
        <w:rPr>
          <w:rFonts w:ascii="Palatino Linotype" w:eastAsia="Calibri" w:hAnsi="Palatino Linotype" w:cs="Arial"/>
          <w:b/>
          <w:sz w:val="28"/>
          <w:szCs w:val="22"/>
          <w:lang w:eastAsia="es-MX"/>
        </w:rPr>
        <w:lastRenderedPageBreak/>
        <w:t xml:space="preserve">C O N S I D E R A N D O </w:t>
      </w:r>
    </w:p>
    <w:p w14:paraId="3CDF7B39" w14:textId="77777777" w:rsidR="00B001FA" w:rsidRPr="00AB1083" w:rsidRDefault="00B001FA" w:rsidP="00B001FA">
      <w:pPr>
        <w:rPr>
          <w:rFonts w:ascii="Palatino Linotype" w:hAnsi="Palatino Linotype"/>
        </w:rPr>
      </w:pPr>
    </w:p>
    <w:p w14:paraId="6487206F" w14:textId="77777777" w:rsidR="00B001FA" w:rsidRPr="00AB1083" w:rsidRDefault="00B001FA" w:rsidP="00B001FA">
      <w:pPr>
        <w:spacing w:line="360" w:lineRule="auto"/>
        <w:jc w:val="both"/>
        <w:rPr>
          <w:rFonts w:ascii="Palatino Linotype" w:eastAsia="Calibri" w:hAnsi="Palatino Linotype" w:cs="Arial"/>
          <w:szCs w:val="22"/>
          <w:lang w:eastAsia="es-MX"/>
        </w:rPr>
      </w:pPr>
      <w:r w:rsidRPr="00AB1083">
        <w:rPr>
          <w:rFonts w:ascii="Palatino Linotype" w:eastAsia="Calibri" w:hAnsi="Palatino Linotype" w:cs="Arial"/>
          <w:b/>
          <w:sz w:val="28"/>
          <w:szCs w:val="22"/>
          <w:lang w:eastAsia="es-MX"/>
        </w:rPr>
        <w:t>PRIMERO.</w:t>
      </w:r>
      <w:r w:rsidRPr="00AB1083">
        <w:rPr>
          <w:rFonts w:ascii="Palatino Linotype" w:eastAsia="Calibri" w:hAnsi="Palatino Linotype" w:cs="Arial"/>
          <w:b/>
          <w:szCs w:val="22"/>
          <w:lang w:eastAsia="es-MX"/>
        </w:rPr>
        <w:t xml:space="preserve"> </w:t>
      </w:r>
      <w:r w:rsidRPr="00AB1083">
        <w:rPr>
          <w:rFonts w:ascii="Palatino Linotype" w:eastAsia="Calibri" w:hAnsi="Palatino Linotype" w:cs="Arial"/>
          <w:b/>
          <w:sz w:val="28"/>
          <w:szCs w:val="28"/>
          <w:lang w:eastAsia="es-MX"/>
        </w:rPr>
        <w:t>De la competencia</w:t>
      </w:r>
      <w:r w:rsidRPr="00AB1083">
        <w:rPr>
          <w:rFonts w:ascii="Palatino Linotype" w:eastAsia="Calibri" w:hAnsi="Palatino Linotype" w:cs="Arial"/>
          <w:sz w:val="28"/>
          <w:szCs w:val="28"/>
          <w:lang w:eastAsia="es-MX"/>
        </w:rPr>
        <w:t>.</w:t>
      </w:r>
    </w:p>
    <w:p w14:paraId="2EF41D4A" w14:textId="60C537CA" w:rsidR="00B001FA" w:rsidRPr="00AB1083" w:rsidRDefault="002E2813" w:rsidP="00B001FA">
      <w:pPr>
        <w:spacing w:line="360" w:lineRule="auto"/>
        <w:jc w:val="both"/>
        <w:rPr>
          <w:rFonts w:ascii="Palatino Linotype" w:hAnsi="Palatino Linotype"/>
        </w:rPr>
      </w:pPr>
      <w:r w:rsidRPr="00AB1083">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D41CD6" w:rsidRPr="00AB1083">
        <w:rPr>
          <w:rFonts w:ascii="Palatino Linotype" w:hAnsi="Palatino Linotype"/>
        </w:rPr>
        <w:t>.</w:t>
      </w:r>
    </w:p>
    <w:p w14:paraId="6DC94A69" w14:textId="77777777" w:rsidR="003708E1" w:rsidRPr="00AB1083" w:rsidRDefault="003708E1" w:rsidP="00E91EE4">
      <w:pPr>
        <w:spacing w:before="240" w:line="360" w:lineRule="auto"/>
        <w:jc w:val="both"/>
        <w:rPr>
          <w:rFonts w:ascii="Palatino Linotype" w:hAnsi="Palatino Linotype" w:cs="Arial"/>
        </w:rPr>
      </w:pPr>
    </w:p>
    <w:p w14:paraId="5E3884DF" w14:textId="77777777" w:rsidR="00D34057" w:rsidRPr="00AB1083" w:rsidRDefault="00D34057" w:rsidP="007B1512">
      <w:pPr>
        <w:pStyle w:val="Prrafodelista"/>
        <w:autoSpaceDE w:val="0"/>
        <w:autoSpaceDN w:val="0"/>
        <w:adjustRightInd w:val="0"/>
        <w:spacing w:line="360" w:lineRule="auto"/>
        <w:ind w:left="0"/>
        <w:jc w:val="both"/>
        <w:rPr>
          <w:rFonts w:ascii="Palatino Linotype" w:hAnsi="Palatino Linotype" w:cs="Arial"/>
          <w:b/>
        </w:rPr>
      </w:pPr>
      <w:r w:rsidRPr="00AB1083">
        <w:rPr>
          <w:rFonts w:ascii="Palatino Linotype" w:hAnsi="Palatino Linotype" w:cs="Arial"/>
          <w:b/>
          <w:sz w:val="28"/>
        </w:rPr>
        <w:t>SEGUNDO</w:t>
      </w:r>
      <w:r w:rsidRPr="00AB1083">
        <w:rPr>
          <w:rFonts w:ascii="Palatino Linotype" w:hAnsi="Palatino Linotype" w:cs="Arial"/>
          <w:b/>
        </w:rPr>
        <w:t xml:space="preserve">. </w:t>
      </w:r>
      <w:r w:rsidRPr="00AB1083">
        <w:rPr>
          <w:rFonts w:ascii="Palatino Linotype" w:hAnsi="Palatino Linotype" w:cs="Arial"/>
          <w:b/>
          <w:sz w:val="28"/>
          <w:szCs w:val="28"/>
        </w:rPr>
        <w:t>Sobre los alcances del recurso de revisión.</w:t>
      </w:r>
      <w:r w:rsidRPr="00AB1083">
        <w:rPr>
          <w:rFonts w:ascii="Palatino Linotype" w:hAnsi="Palatino Linotype" w:cs="Arial"/>
          <w:b/>
        </w:rPr>
        <w:t xml:space="preserve"> </w:t>
      </w:r>
    </w:p>
    <w:p w14:paraId="6F37CA29" w14:textId="7D22CDD8" w:rsidR="00D41CD6" w:rsidRPr="00AB1083" w:rsidRDefault="00D34057" w:rsidP="00D41CD6">
      <w:pPr>
        <w:pStyle w:val="Prrafodelista"/>
        <w:autoSpaceDE w:val="0"/>
        <w:autoSpaceDN w:val="0"/>
        <w:adjustRightInd w:val="0"/>
        <w:spacing w:line="360" w:lineRule="auto"/>
        <w:ind w:left="0"/>
        <w:jc w:val="both"/>
        <w:rPr>
          <w:rFonts w:ascii="Palatino Linotype" w:hAnsi="Palatino Linotype" w:cs="Arial"/>
        </w:rPr>
      </w:pPr>
      <w:r w:rsidRPr="00AB108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61C0705" w14:textId="2FCE6ACF" w:rsidR="00912A21" w:rsidRPr="00AB1083" w:rsidRDefault="00D41CD6" w:rsidP="00912A21">
      <w:pPr>
        <w:pStyle w:val="Prrafodelista"/>
        <w:autoSpaceDE w:val="0"/>
        <w:autoSpaceDN w:val="0"/>
        <w:adjustRightInd w:val="0"/>
        <w:spacing w:before="240" w:after="160" w:line="360" w:lineRule="auto"/>
        <w:ind w:left="0"/>
        <w:jc w:val="both"/>
        <w:rPr>
          <w:rFonts w:ascii="Palatino Linotype" w:hAnsi="Palatino Linotype" w:cs="Arial"/>
          <w:b/>
        </w:rPr>
      </w:pPr>
      <w:r w:rsidRPr="00AB1083">
        <w:rPr>
          <w:rFonts w:ascii="Palatino Linotype" w:hAnsi="Palatino Linotype" w:cs="Arial"/>
          <w:b/>
          <w:sz w:val="28"/>
        </w:rPr>
        <w:lastRenderedPageBreak/>
        <w:t>TERCERO</w:t>
      </w:r>
      <w:r w:rsidR="00912A21" w:rsidRPr="00AB1083">
        <w:rPr>
          <w:rFonts w:ascii="Palatino Linotype" w:hAnsi="Palatino Linotype" w:cs="Arial"/>
          <w:b/>
        </w:rPr>
        <w:t xml:space="preserve">. </w:t>
      </w:r>
      <w:r w:rsidR="00912A21" w:rsidRPr="00AB1083">
        <w:rPr>
          <w:rFonts w:ascii="Palatino Linotype" w:hAnsi="Palatino Linotype" w:cs="Arial"/>
          <w:b/>
          <w:sz w:val="28"/>
          <w:szCs w:val="28"/>
        </w:rPr>
        <w:t>De las causas de improcedencia.</w:t>
      </w:r>
    </w:p>
    <w:p w14:paraId="6C462DB8" w14:textId="77777777" w:rsidR="00912A21" w:rsidRPr="00AB1083" w:rsidRDefault="00912A21" w:rsidP="00912A21">
      <w:pPr>
        <w:pStyle w:val="Prrafodelista"/>
        <w:autoSpaceDE w:val="0"/>
        <w:autoSpaceDN w:val="0"/>
        <w:adjustRightInd w:val="0"/>
        <w:spacing w:line="360" w:lineRule="auto"/>
        <w:ind w:left="0"/>
        <w:jc w:val="both"/>
        <w:rPr>
          <w:rFonts w:ascii="Palatino Linotype" w:hAnsi="Palatino Linotype" w:cs="Arial"/>
        </w:rPr>
      </w:pPr>
      <w:r w:rsidRPr="00AB1083">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AB1083"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AB1083" w:rsidRDefault="00912A21" w:rsidP="00912A21">
      <w:pPr>
        <w:pStyle w:val="Prrafodelista"/>
        <w:autoSpaceDE w:val="0"/>
        <w:autoSpaceDN w:val="0"/>
        <w:adjustRightInd w:val="0"/>
        <w:spacing w:line="360" w:lineRule="auto"/>
        <w:ind w:left="0"/>
        <w:jc w:val="both"/>
        <w:rPr>
          <w:rFonts w:ascii="Palatino Linotype" w:hAnsi="Palatino Linotype" w:cs="Arial"/>
        </w:rPr>
      </w:pPr>
      <w:r w:rsidRPr="00AB1083">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B1083">
        <w:rPr>
          <w:rStyle w:val="Refdenotaalpie"/>
          <w:rFonts w:ascii="Palatino Linotype" w:hAnsi="Palatino Linotype" w:cs="Arial"/>
        </w:rPr>
        <w:footnoteReference w:id="1"/>
      </w:r>
      <w:r w:rsidRPr="00AB1083">
        <w:rPr>
          <w:rFonts w:ascii="Palatino Linotype" w:hAnsi="Palatino Linotype" w:cs="Arial"/>
        </w:rPr>
        <w:t>.</w:t>
      </w:r>
    </w:p>
    <w:p w14:paraId="65BBFB49" w14:textId="77777777" w:rsidR="00912A21" w:rsidRPr="00AB1083"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AB1083" w:rsidRDefault="00912A21" w:rsidP="000A5A65">
      <w:pPr>
        <w:pStyle w:val="Prrafodelista"/>
        <w:autoSpaceDE w:val="0"/>
        <w:autoSpaceDN w:val="0"/>
        <w:adjustRightInd w:val="0"/>
        <w:spacing w:line="360" w:lineRule="auto"/>
        <w:ind w:left="0"/>
        <w:jc w:val="both"/>
        <w:rPr>
          <w:rFonts w:ascii="Palatino Linotype" w:hAnsi="Palatino Linotype" w:cs="Arial"/>
        </w:rPr>
      </w:pPr>
      <w:r w:rsidRPr="00AB1083">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24DDA225" w14:textId="77777777" w:rsidR="000A5A65" w:rsidRPr="00AB1083" w:rsidRDefault="000A5A65" w:rsidP="000A5A65">
      <w:pPr>
        <w:pStyle w:val="Prrafodelista"/>
        <w:autoSpaceDE w:val="0"/>
        <w:autoSpaceDN w:val="0"/>
        <w:adjustRightInd w:val="0"/>
        <w:spacing w:line="360" w:lineRule="auto"/>
        <w:ind w:left="0"/>
        <w:jc w:val="both"/>
        <w:rPr>
          <w:rFonts w:ascii="Palatino Linotype" w:hAnsi="Palatino Linotype" w:cs="Arial"/>
        </w:rPr>
      </w:pPr>
    </w:p>
    <w:p w14:paraId="5B2CC6B5" w14:textId="68A2A623" w:rsidR="00912A21" w:rsidRPr="00AB1083" w:rsidRDefault="00D41CD6" w:rsidP="00912A21">
      <w:pPr>
        <w:pStyle w:val="Prrafodelista"/>
        <w:autoSpaceDE w:val="0"/>
        <w:autoSpaceDN w:val="0"/>
        <w:adjustRightInd w:val="0"/>
        <w:spacing w:before="240" w:after="160" w:line="360" w:lineRule="auto"/>
        <w:ind w:left="0"/>
        <w:jc w:val="both"/>
        <w:rPr>
          <w:rFonts w:ascii="Palatino Linotype" w:hAnsi="Palatino Linotype" w:cs="Arial"/>
          <w:sz w:val="28"/>
          <w:szCs w:val="28"/>
        </w:rPr>
      </w:pPr>
      <w:r w:rsidRPr="00AB1083">
        <w:rPr>
          <w:rFonts w:ascii="Palatino Linotype" w:hAnsi="Palatino Linotype" w:cs="Arial"/>
          <w:b/>
          <w:sz w:val="28"/>
        </w:rPr>
        <w:t>CUARTO</w:t>
      </w:r>
      <w:r w:rsidR="00912A21" w:rsidRPr="00AB1083">
        <w:rPr>
          <w:rFonts w:ascii="Palatino Linotype" w:hAnsi="Palatino Linotype" w:cs="Arial"/>
          <w:b/>
          <w:sz w:val="28"/>
          <w:szCs w:val="28"/>
        </w:rPr>
        <w:t>.</w:t>
      </w:r>
      <w:r w:rsidR="00912A21" w:rsidRPr="00AB1083">
        <w:rPr>
          <w:rFonts w:ascii="Palatino Linotype" w:hAnsi="Palatino Linotype" w:cs="Arial"/>
          <w:sz w:val="28"/>
          <w:szCs w:val="28"/>
        </w:rPr>
        <w:t xml:space="preserve"> </w:t>
      </w:r>
      <w:r w:rsidR="00912A21" w:rsidRPr="00AB1083">
        <w:rPr>
          <w:rFonts w:ascii="Palatino Linotype" w:hAnsi="Palatino Linotype" w:cs="Arial"/>
          <w:b/>
          <w:sz w:val="28"/>
        </w:rPr>
        <w:t>Estudio y resolución del asunto</w:t>
      </w:r>
      <w:r w:rsidR="00912A21" w:rsidRPr="00AB1083">
        <w:rPr>
          <w:rFonts w:ascii="Palatino Linotype" w:hAnsi="Palatino Linotype" w:cs="Arial"/>
          <w:b/>
        </w:rPr>
        <w:t>.</w:t>
      </w:r>
    </w:p>
    <w:p w14:paraId="5FD005DD" w14:textId="77777777" w:rsidR="00912A21" w:rsidRPr="00AB1083" w:rsidRDefault="00912A21" w:rsidP="00912A21">
      <w:pPr>
        <w:pStyle w:val="Prrafodelista"/>
        <w:autoSpaceDE w:val="0"/>
        <w:autoSpaceDN w:val="0"/>
        <w:adjustRightInd w:val="0"/>
        <w:spacing w:line="360" w:lineRule="auto"/>
        <w:ind w:left="0"/>
        <w:jc w:val="both"/>
        <w:rPr>
          <w:rFonts w:ascii="Palatino Linotype" w:hAnsi="Palatino Linotype" w:cs="Arial"/>
        </w:rPr>
      </w:pPr>
      <w:r w:rsidRPr="00AB1083">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E0EC0F" w14:textId="77777777" w:rsidR="007B1512" w:rsidRPr="00AB1083" w:rsidRDefault="007B1512" w:rsidP="009D7D7B">
      <w:pPr>
        <w:autoSpaceDE w:val="0"/>
        <w:autoSpaceDN w:val="0"/>
        <w:adjustRightInd w:val="0"/>
        <w:spacing w:line="360" w:lineRule="auto"/>
        <w:jc w:val="both"/>
        <w:rPr>
          <w:rFonts w:ascii="Palatino Linotype" w:hAnsi="Palatino Linotype" w:cs="Arial"/>
        </w:rPr>
      </w:pPr>
    </w:p>
    <w:p w14:paraId="27CCD24B" w14:textId="68CE594A" w:rsidR="009D7D7B" w:rsidRPr="00AB1083" w:rsidRDefault="009D7D7B" w:rsidP="009D7D7B">
      <w:pPr>
        <w:autoSpaceDE w:val="0"/>
        <w:autoSpaceDN w:val="0"/>
        <w:adjustRightInd w:val="0"/>
        <w:spacing w:line="360" w:lineRule="auto"/>
        <w:jc w:val="both"/>
        <w:rPr>
          <w:rFonts w:ascii="Palatino Linotype" w:hAnsi="Palatino Linotype" w:cs="Arial"/>
        </w:rPr>
      </w:pPr>
      <w:r w:rsidRPr="00AB1083">
        <w:rPr>
          <w:rFonts w:ascii="Palatino Linotype" w:hAnsi="Palatino Linotype" w:cs="Arial"/>
        </w:rPr>
        <w:lastRenderedPageBreak/>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7AC4EBA" w14:textId="77777777" w:rsidR="009D7D7B" w:rsidRPr="00AB1083" w:rsidRDefault="009D7D7B" w:rsidP="009D7D7B">
      <w:pPr>
        <w:autoSpaceDE w:val="0"/>
        <w:autoSpaceDN w:val="0"/>
        <w:adjustRightInd w:val="0"/>
        <w:spacing w:line="360" w:lineRule="auto"/>
        <w:jc w:val="both"/>
        <w:rPr>
          <w:rFonts w:ascii="Palatino Linotype" w:hAnsi="Palatino Linotype" w:cs="Arial"/>
        </w:rPr>
      </w:pPr>
    </w:p>
    <w:p w14:paraId="28551A5A" w14:textId="3F669FBC" w:rsidR="009D7D7B" w:rsidRPr="00AB1083" w:rsidRDefault="009D7D7B" w:rsidP="00AA0796">
      <w:pPr>
        <w:pStyle w:val="Prrafodelista"/>
        <w:autoSpaceDE w:val="0"/>
        <w:autoSpaceDN w:val="0"/>
        <w:adjustRightInd w:val="0"/>
        <w:spacing w:line="360" w:lineRule="auto"/>
        <w:ind w:left="0"/>
        <w:jc w:val="both"/>
        <w:rPr>
          <w:rFonts w:ascii="Palatino Linotype" w:hAnsi="Palatino Linotype" w:cs="Arial"/>
        </w:rPr>
      </w:pPr>
      <w:r w:rsidRPr="00AB1083">
        <w:rPr>
          <w:rFonts w:ascii="Palatino Linotype" w:hAnsi="Palatino Linotype" w:cs="Arial"/>
        </w:rPr>
        <w:t>Ya que el planteamiento del problema es de toral importancia, a efecto de determinar la intención o voluntad de</w:t>
      </w:r>
      <w:r w:rsidR="004B77DD" w:rsidRPr="00AB1083">
        <w:rPr>
          <w:rFonts w:ascii="Palatino Linotype" w:hAnsi="Palatino Linotype" w:cs="Arial"/>
        </w:rPr>
        <w:t xml:space="preserve"> la</w:t>
      </w:r>
      <w:r w:rsidRPr="00AB1083">
        <w:rPr>
          <w:rFonts w:ascii="Palatino Linotype" w:hAnsi="Palatino Linotype" w:cs="Arial"/>
        </w:rPr>
        <w:t xml:space="preserve"> </w:t>
      </w:r>
      <w:r w:rsidR="002D66D5" w:rsidRPr="00AB1083">
        <w:rPr>
          <w:rFonts w:ascii="Palatino Linotype" w:hAnsi="Palatino Linotype" w:cs="Arial"/>
        </w:rPr>
        <w:t>R</w:t>
      </w:r>
      <w:r w:rsidRPr="00AB1083">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41F72F69" w14:textId="77777777" w:rsidR="00AA0796" w:rsidRPr="00AB1083" w:rsidRDefault="00AA0796" w:rsidP="00AA0796">
      <w:pPr>
        <w:pStyle w:val="Prrafodelista"/>
        <w:autoSpaceDE w:val="0"/>
        <w:autoSpaceDN w:val="0"/>
        <w:adjustRightInd w:val="0"/>
        <w:spacing w:line="360" w:lineRule="auto"/>
        <w:ind w:left="0"/>
        <w:jc w:val="both"/>
        <w:rPr>
          <w:rFonts w:ascii="Palatino Linotype" w:hAnsi="Palatino Linotype" w:cs="Arial"/>
        </w:rPr>
      </w:pPr>
    </w:p>
    <w:p w14:paraId="63E0AE02" w14:textId="77777777" w:rsidR="00C57CB5" w:rsidRPr="00AB1083" w:rsidRDefault="00C57CB5" w:rsidP="00AA0796">
      <w:pPr>
        <w:pStyle w:val="Prrafodelista"/>
        <w:autoSpaceDE w:val="0"/>
        <w:autoSpaceDN w:val="0"/>
        <w:adjustRightInd w:val="0"/>
        <w:spacing w:line="360" w:lineRule="auto"/>
        <w:ind w:left="0"/>
        <w:jc w:val="both"/>
        <w:rPr>
          <w:rFonts w:ascii="Palatino Linotype" w:hAnsi="Palatino Linotype" w:cs="Arial"/>
        </w:rPr>
      </w:pPr>
      <w:r w:rsidRPr="00AB1083">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w:t>
      </w:r>
      <w:r w:rsidRPr="00AB1083">
        <w:rPr>
          <w:rFonts w:ascii="Palatino Linotype" w:hAnsi="Palatino Linotype" w:cs="Arial"/>
        </w:rPr>
        <w:lastRenderedPageBreak/>
        <w:t>Federal, Local y demás leyes aplicables en la materia, así como en los tratados internacionales en los que el Estado Mexicano sea parte, en concordancia con el párrafo tercero del artículo 1</w:t>
      </w:r>
      <w:r w:rsidR="007B1512" w:rsidRPr="00AB1083">
        <w:rPr>
          <w:rFonts w:ascii="Palatino Linotype" w:hAnsi="Palatino Linotype" w:cs="Arial"/>
        </w:rPr>
        <w:t>,</w:t>
      </w:r>
      <w:r w:rsidRPr="00AB1083">
        <w:rPr>
          <w:rFonts w:ascii="Palatino Linotype" w:hAnsi="Palatino Linotype" w:cs="Arial"/>
        </w:rPr>
        <w:t xml:space="preserve"> de la Constitución Federal y el diverso 8</w:t>
      </w:r>
      <w:r w:rsidR="007B1512" w:rsidRPr="00AB1083">
        <w:rPr>
          <w:rFonts w:ascii="Palatino Linotype" w:hAnsi="Palatino Linotype" w:cs="Arial"/>
        </w:rPr>
        <w:t>,</w:t>
      </w:r>
      <w:r w:rsidRPr="00AB1083">
        <w:rPr>
          <w:rFonts w:ascii="Palatino Linotype" w:hAnsi="Palatino Linotype" w:cs="Arial"/>
        </w:rPr>
        <w:t xml:space="preserve"> de la Ley de Transparencia local.</w:t>
      </w:r>
    </w:p>
    <w:p w14:paraId="1EBD54ED" w14:textId="77777777" w:rsidR="007B1512" w:rsidRPr="00AB1083" w:rsidRDefault="007B1512" w:rsidP="00E91EE4">
      <w:pPr>
        <w:tabs>
          <w:tab w:val="left" w:pos="709"/>
        </w:tabs>
        <w:spacing w:line="360" w:lineRule="auto"/>
        <w:jc w:val="both"/>
        <w:rPr>
          <w:rFonts w:ascii="Palatino Linotype" w:hAnsi="Palatino Linotype" w:cs="Arial"/>
          <w:sz w:val="10"/>
        </w:rPr>
      </w:pPr>
    </w:p>
    <w:p w14:paraId="55DEB2AB" w14:textId="534579C4" w:rsidR="009232E7" w:rsidRPr="00AB1083" w:rsidRDefault="006625C6" w:rsidP="006625C6">
      <w:pPr>
        <w:pStyle w:val="Prrafodelista"/>
        <w:autoSpaceDE w:val="0"/>
        <w:autoSpaceDN w:val="0"/>
        <w:adjustRightInd w:val="0"/>
        <w:spacing w:before="240" w:after="160" w:line="360" w:lineRule="auto"/>
        <w:ind w:left="0"/>
        <w:jc w:val="both"/>
        <w:rPr>
          <w:rFonts w:ascii="Palatino Linotype" w:hAnsi="Palatino Linotype" w:cs="Arial"/>
          <w:i/>
          <w:lang w:eastAsia="es-MX"/>
        </w:rPr>
      </w:pPr>
      <w:r w:rsidRPr="00AB1083">
        <w:rPr>
          <w:rFonts w:ascii="Palatino Linotype" w:hAnsi="Palatino Linotype" w:cs="Arial"/>
        </w:rPr>
        <w:t>Así, u</w:t>
      </w:r>
      <w:r w:rsidR="009232E7" w:rsidRPr="00AB1083">
        <w:rPr>
          <w:rFonts w:ascii="Palatino Linotype" w:hAnsi="Palatino Linotype"/>
        </w:rPr>
        <w:t>na vez analizada la solicitud de información, podemo</w:t>
      </w:r>
      <w:r w:rsidRPr="00AB1083">
        <w:rPr>
          <w:rFonts w:ascii="Palatino Linotype" w:hAnsi="Palatino Linotype"/>
        </w:rPr>
        <w:t xml:space="preserve">s determinar que objetivamente </w:t>
      </w:r>
      <w:r w:rsidR="00D41CD6" w:rsidRPr="00AB1083">
        <w:rPr>
          <w:rFonts w:ascii="Palatino Linotype" w:hAnsi="Palatino Linotype"/>
          <w:b/>
        </w:rPr>
        <w:t>la</w:t>
      </w:r>
      <w:r w:rsidR="009232E7" w:rsidRPr="00AB1083">
        <w:rPr>
          <w:rFonts w:ascii="Palatino Linotype" w:hAnsi="Palatino Linotype"/>
          <w:b/>
        </w:rPr>
        <w:t xml:space="preserve"> Recurrente</w:t>
      </w:r>
      <w:r w:rsidR="009232E7" w:rsidRPr="00AB1083">
        <w:rPr>
          <w:rFonts w:ascii="Palatino Linotype" w:hAnsi="Palatino Linotype"/>
        </w:rPr>
        <w:t xml:space="preserve"> </w:t>
      </w:r>
      <w:r w:rsidRPr="00AB1083">
        <w:rPr>
          <w:rFonts w:ascii="Palatino Linotype" w:hAnsi="Palatino Linotype"/>
        </w:rPr>
        <w:t>solicita</w:t>
      </w:r>
      <w:r w:rsidR="00D41CD6" w:rsidRPr="00AB1083">
        <w:rPr>
          <w:rFonts w:ascii="Palatino Linotype" w:hAnsi="Palatino Linotype"/>
        </w:rPr>
        <w:t>,</w:t>
      </w:r>
      <w:r w:rsidR="00D41CD6" w:rsidRPr="00AB1083">
        <w:t xml:space="preserve"> </w:t>
      </w:r>
      <w:r w:rsidR="00D41CD6" w:rsidRPr="00AB1083">
        <w:rPr>
          <w:rFonts w:ascii="Palatino Linotype" w:hAnsi="Palatino Linotype"/>
        </w:rPr>
        <w:t xml:space="preserve">de la </w:t>
      </w:r>
      <w:r w:rsidR="004B77DD" w:rsidRPr="00AB1083">
        <w:rPr>
          <w:rFonts w:ascii="Palatino Linotype" w:hAnsi="Palatino Linotype"/>
        </w:rPr>
        <w:t>servidora pública Marisol Bernal Gutiérrez</w:t>
      </w:r>
      <w:r w:rsidR="00D41CD6" w:rsidRPr="00AB1083">
        <w:rPr>
          <w:rFonts w:ascii="Palatino Linotype" w:hAnsi="Palatino Linotype"/>
        </w:rPr>
        <w:t>,</w:t>
      </w:r>
      <w:r w:rsidR="00CA28E7" w:rsidRPr="00AB1083">
        <w:rPr>
          <w:rFonts w:ascii="Palatino Linotype" w:hAnsi="Palatino Linotype"/>
        </w:rPr>
        <w:t xml:space="preserve"> el o los documentos en donde conste lo siguiente</w:t>
      </w:r>
      <w:r w:rsidR="00101D29" w:rsidRPr="00AB1083">
        <w:rPr>
          <w:rFonts w:ascii="Palatino Linotype" w:hAnsi="Palatino Linotype"/>
        </w:rPr>
        <w:t>:</w:t>
      </w:r>
      <w:r w:rsidR="00CA28E7" w:rsidRPr="00AB1083">
        <w:rPr>
          <w:rFonts w:ascii="Palatino Linotype" w:hAnsi="Palatino Linotype"/>
        </w:rPr>
        <w:t xml:space="preserve"> </w:t>
      </w:r>
    </w:p>
    <w:p w14:paraId="5B791C17" w14:textId="19F7CE38" w:rsidR="009232E7" w:rsidRPr="00AB1083" w:rsidRDefault="004B77DD" w:rsidP="00384B84">
      <w:pPr>
        <w:pStyle w:val="Prrafodelista"/>
        <w:numPr>
          <w:ilvl w:val="0"/>
          <w:numId w:val="17"/>
        </w:numPr>
        <w:spacing w:before="120" w:after="240"/>
        <w:ind w:left="714" w:hanging="357"/>
        <w:jc w:val="both"/>
        <w:rPr>
          <w:rFonts w:ascii="Palatino Linotype" w:hAnsi="Palatino Linotype"/>
          <w:i/>
          <w:iCs/>
        </w:rPr>
      </w:pPr>
      <w:r w:rsidRPr="00AB1083">
        <w:rPr>
          <w:rFonts w:ascii="Palatino Linotype" w:hAnsi="Palatino Linotype"/>
          <w:i/>
          <w:iCs/>
        </w:rPr>
        <w:t xml:space="preserve">Quejas registradas en el Órgano Interno de Control en el periodo que comprende del 01 de enero de 2015 al 31 de enero de 2025, </w:t>
      </w:r>
      <w:bookmarkStart w:id="1" w:name="_Hlk195106869"/>
      <w:r w:rsidRPr="00AB1083">
        <w:rPr>
          <w:rFonts w:ascii="Palatino Linotype" w:hAnsi="Palatino Linotype"/>
          <w:i/>
          <w:iCs/>
        </w:rPr>
        <w:t>así como el estado de las mismas</w:t>
      </w:r>
      <w:bookmarkEnd w:id="1"/>
      <w:r w:rsidRPr="00AB1083">
        <w:rPr>
          <w:rFonts w:ascii="Palatino Linotype" w:hAnsi="Palatino Linotype"/>
          <w:i/>
          <w:iCs/>
        </w:rPr>
        <w:t>.</w:t>
      </w:r>
    </w:p>
    <w:p w14:paraId="780F4504" w14:textId="77777777" w:rsidR="003837ED" w:rsidRPr="00AB1083" w:rsidRDefault="003837ED" w:rsidP="003837ED">
      <w:pPr>
        <w:spacing w:line="360" w:lineRule="auto"/>
        <w:ind w:left="357"/>
        <w:jc w:val="both"/>
        <w:rPr>
          <w:rFonts w:ascii="Palatino Linotype" w:hAnsi="Palatino Linotype"/>
        </w:rPr>
      </w:pPr>
    </w:p>
    <w:p w14:paraId="388D0269" w14:textId="73E6989A" w:rsidR="005E50F1" w:rsidRPr="00AB1083" w:rsidRDefault="000F5CBE" w:rsidP="00FF14FE">
      <w:pPr>
        <w:pStyle w:val="Prrafodelista"/>
        <w:spacing w:line="360" w:lineRule="auto"/>
        <w:ind w:left="0"/>
        <w:contextualSpacing/>
        <w:jc w:val="both"/>
        <w:rPr>
          <w:rFonts w:ascii="Palatino Linotype" w:hAnsi="Palatino Linotype"/>
          <w:color w:val="000000"/>
        </w:rPr>
      </w:pPr>
      <w:r w:rsidRPr="00AB1083">
        <w:rPr>
          <w:rFonts w:ascii="Palatino Linotype" w:hAnsi="Palatino Linotype"/>
          <w:color w:val="000000"/>
        </w:rPr>
        <w:t xml:space="preserve">Ahora bien, en respuesta a los requerimientos formulados por </w:t>
      </w:r>
      <w:r w:rsidR="003837ED" w:rsidRPr="00AB1083">
        <w:rPr>
          <w:rFonts w:ascii="Palatino Linotype" w:hAnsi="Palatino Linotype"/>
          <w:color w:val="000000"/>
        </w:rPr>
        <w:t>el</w:t>
      </w:r>
      <w:r w:rsidRPr="00AB1083">
        <w:rPr>
          <w:rFonts w:ascii="Palatino Linotype" w:hAnsi="Palatino Linotype"/>
          <w:color w:val="000000"/>
        </w:rPr>
        <w:t xml:space="preserve"> particular, el </w:t>
      </w:r>
      <w:r w:rsidR="0025394E" w:rsidRPr="00AB1083">
        <w:rPr>
          <w:rFonts w:ascii="Palatino Linotype" w:hAnsi="Palatino Linotype"/>
          <w:b/>
          <w:color w:val="000000"/>
        </w:rPr>
        <w:t>S</w:t>
      </w:r>
      <w:r w:rsidRPr="00AB1083">
        <w:rPr>
          <w:rFonts w:ascii="Palatino Linotype" w:hAnsi="Palatino Linotype"/>
          <w:b/>
          <w:color w:val="000000"/>
        </w:rPr>
        <w:t xml:space="preserve">ujeto </w:t>
      </w:r>
      <w:r w:rsidR="0025394E" w:rsidRPr="00AB1083">
        <w:rPr>
          <w:rFonts w:ascii="Palatino Linotype" w:hAnsi="Palatino Linotype"/>
          <w:b/>
          <w:color w:val="000000"/>
        </w:rPr>
        <w:t>O</w:t>
      </w:r>
      <w:r w:rsidRPr="00AB1083">
        <w:rPr>
          <w:rFonts w:ascii="Palatino Linotype" w:hAnsi="Palatino Linotype"/>
          <w:b/>
          <w:color w:val="000000"/>
        </w:rPr>
        <w:t xml:space="preserve">bligado </w:t>
      </w:r>
      <w:r w:rsidR="008F2868" w:rsidRPr="00AB1083">
        <w:rPr>
          <w:rFonts w:ascii="Palatino Linotype" w:hAnsi="Palatino Linotype"/>
          <w:bCs/>
          <w:color w:val="000000"/>
        </w:rPr>
        <w:t>turnó la solicitud a la</w:t>
      </w:r>
      <w:r w:rsidR="00382978" w:rsidRPr="00AB1083">
        <w:rPr>
          <w:rFonts w:ascii="Palatino Linotype" w:hAnsi="Palatino Linotype"/>
          <w:bCs/>
          <w:color w:val="000000"/>
        </w:rPr>
        <w:t>s</w:t>
      </w:r>
      <w:r w:rsidR="008F2868" w:rsidRPr="00AB1083">
        <w:rPr>
          <w:rFonts w:ascii="Palatino Linotype" w:hAnsi="Palatino Linotype"/>
          <w:bCs/>
          <w:color w:val="000000"/>
        </w:rPr>
        <w:t xml:space="preserve"> unidad</w:t>
      </w:r>
      <w:r w:rsidR="00382978" w:rsidRPr="00AB1083">
        <w:rPr>
          <w:rFonts w:ascii="Palatino Linotype" w:hAnsi="Palatino Linotype"/>
          <w:bCs/>
          <w:color w:val="000000"/>
        </w:rPr>
        <w:t>es</w:t>
      </w:r>
      <w:r w:rsidR="008F2868" w:rsidRPr="00AB1083">
        <w:rPr>
          <w:rFonts w:ascii="Palatino Linotype" w:hAnsi="Palatino Linotype"/>
          <w:bCs/>
          <w:color w:val="000000"/>
        </w:rPr>
        <w:t xml:space="preserve"> administrativa</w:t>
      </w:r>
      <w:r w:rsidR="00382978" w:rsidRPr="00AB1083">
        <w:rPr>
          <w:rFonts w:ascii="Palatino Linotype" w:hAnsi="Palatino Linotype"/>
          <w:bCs/>
          <w:color w:val="000000"/>
        </w:rPr>
        <w:t>s</w:t>
      </w:r>
      <w:r w:rsidR="008F2868" w:rsidRPr="00AB1083">
        <w:rPr>
          <w:rFonts w:ascii="Palatino Linotype" w:hAnsi="Palatino Linotype"/>
          <w:bCs/>
          <w:color w:val="000000"/>
        </w:rPr>
        <w:t xml:space="preserve"> que consideró competente</w:t>
      </w:r>
      <w:r w:rsidR="00382978" w:rsidRPr="00AB1083">
        <w:rPr>
          <w:rFonts w:ascii="Palatino Linotype" w:hAnsi="Palatino Linotype"/>
          <w:bCs/>
          <w:color w:val="000000"/>
        </w:rPr>
        <w:t>s</w:t>
      </w:r>
      <w:r w:rsidR="008F2868" w:rsidRPr="00AB1083">
        <w:rPr>
          <w:rFonts w:ascii="Palatino Linotype" w:hAnsi="Palatino Linotype"/>
          <w:bCs/>
          <w:color w:val="000000"/>
        </w:rPr>
        <w:t xml:space="preserve"> y emitió su respuesta</w:t>
      </w:r>
      <w:r w:rsidR="0025394E" w:rsidRPr="00AB1083">
        <w:rPr>
          <w:rFonts w:ascii="Palatino Linotype" w:hAnsi="Palatino Linotype"/>
          <w:bCs/>
          <w:color w:val="000000"/>
        </w:rPr>
        <w:t>,</w:t>
      </w:r>
      <w:r w:rsidR="008F2868" w:rsidRPr="00AB1083">
        <w:rPr>
          <w:rFonts w:ascii="Palatino Linotype" w:hAnsi="Palatino Linotype"/>
          <w:bCs/>
          <w:color w:val="000000"/>
        </w:rPr>
        <w:t xml:space="preserve"> remitiendo</w:t>
      </w:r>
      <w:r w:rsidR="0025394E" w:rsidRPr="00AB1083">
        <w:rPr>
          <w:rFonts w:ascii="Palatino Linotype" w:hAnsi="Palatino Linotype"/>
          <w:bCs/>
          <w:color w:val="000000"/>
        </w:rPr>
        <w:t xml:space="preserve"> para tal efecto</w:t>
      </w:r>
      <w:r w:rsidR="007D62E9" w:rsidRPr="00AB1083">
        <w:rPr>
          <w:rFonts w:ascii="Palatino Linotype" w:hAnsi="Palatino Linotype"/>
          <w:bCs/>
          <w:color w:val="000000"/>
        </w:rPr>
        <w:t xml:space="preserve"> </w:t>
      </w:r>
      <w:r w:rsidR="004B77DD" w:rsidRPr="00AB1083">
        <w:rPr>
          <w:rFonts w:ascii="Palatino Linotype" w:hAnsi="Palatino Linotype"/>
          <w:bCs/>
          <w:color w:val="000000"/>
        </w:rPr>
        <w:t>tres</w:t>
      </w:r>
      <w:r w:rsidR="00CA28E7" w:rsidRPr="00AB1083">
        <w:rPr>
          <w:rFonts w:ascii="Palatino Linotype" w:hAnsi="Palatino Linotype"/>
          <w:bCs/>
          <w:color w:val="000000"/>
        </w:rPr>
        <w:t xml:space="preserve"> </w:t>
      </w:r>
      <w:r w:rsidR="008F2868" w:rsidRPr="00AB1083">
        <w:rPr>
          <w:rFonts w:ascii="Palatino Linotype" w:hAnsi="Palatino Linotype"/>
          <w:bCs/>
          <w:color w:val="000000"/>
        </w:rPr>
        <w:t>archivo</w:t>
      </w:r>
      <w:r w:rsidR="003829ED" w:rsidRPr="00AB1083">
        <w:rPr>
          <w:rFonts w:ascii="Palatino Linotype" w:hAnsi="Palatino Linotype"/>
          <w:bCs/>
          <w:color w:val="000000"/>
        </w:rPr>
        <w:t>s</w:t>
      </w:r>
      <w:r w:rsidR="008F2868" w:rsidRPr="00AB1083">
        <w:rPr>
          <w:rFonts w:ascii="Palatino Linotype" w:hAnsi="Palatino Linotype"/>
          <w:bCs/>
          <w:color w:val="000000"/>
        </w:rPr>
        <w:t xml:space="preserve"> electrónico</w:t>
      </w:r>
      <w:r w:rsidR="003829ED" w:rsidRPr="00AB1083">
        <w:rPr>
          <w:rFonts w:ascii="Palatino Linotype" w:hAnsi="Palatino Linotype"/>
          <w:bCs/>
          <w:color w:val="000000"/>
        </w:rPr>
        <w:t>s</w:t>
      </w:r>
      <w:r w:rsidR="007D62E9" w:rsidRPr="00AB1083">
        <w:rPr>
          <w:rFonts w:ascii="Palatino Linotype" w:hAnsi="Palatino Linotype"/>
          <w:bCs/>
          <w:color w:val="000000"/>
        </w:rPr>
        <w:t>,</w:t>
      </w:r>
      <w:r w:rsidR="00382978" w:rsidRPr="00AB1083">
        <w:rPr>
          <w:rFonts w:ascii="Palatino Linotype" w:hAnsi="Palatino Linotype"/>
          <w:bCs/>
          <w:color w:val="000000"/>
        </w:rPr>
        <w:t xml:space="preserve"> </w:t>
      </w:r>
      <w:r w:rsidR="008F2868" w:rsidRPr="00AB1083">
        <w:rPr>
          <w:rFonts w:ascii="Palatino Linotype" w:hAnsi="Palatino Linotype"/>
          <w:bCs/>
          <w:color w:val="000000"/>
        </w:rPr>
        <w:t>de</w:t>
      </w:r>
      <w:r w:rsidR="003829ED" w:rsidRPr="00AB1083">
        <w:rPr>
          <w:rFonts w:ascii="Palatino Linotype" w:hAnsi="Palatino Linotype"/>
          <w:bCs/>
          <w:color w:val="000000"/>
        </w:rPr>
        <w:t xml:space="preserve"> los</w:t>
      </w:r>
      <w:r w:rsidR="008F2868" w:rsidRPr="00AB1083">
        <w:rPr>
          <w:rFonts w:ascii="Palatino Linotype" w:hAnsi="Palatino Linotype"/>
          <w:bCs/>
          <w:color w:val="000000"/>
        </w:rPr>
        <w:t xml:space="preserve"> cual</w:t>
      </w:r>
      <w:r w:rsidR="003829ED" w:rsidRPr="00AB1083">
        <w:rPr>
          <w:rFonts w:ascii="Palatino Linotype" w:hAnsi="Palatino Linotype"/>
          <w:bCs/>
          <w:color w:val="000000"/>
        </w:rPr>
        <w:t>es</w:t>
      </w:r>
      <w:r w:rsidR="008F2868" w:rsidRPr="00AB1083">
        <w:rPr>
          <w:rFonts w:ascii="Palatino Linotype" w:hAnsi="Palatino Linotype"/>
          <w:bCs/>
          <w:color w:val="000000"/>
        </w:rPr>
        <w:t xml:space="preserve"> se desprende la siguiente información</w:t>
      </w:r>
      <w:r w:rsidR="00286BF3" w:rsidRPr="00AB1083">
        <w:rPr>
          <w:rFonts w:ascii="Palatino Linotype" w:hAnsi="Palatino Linotype"/>
          <w:color w:val="000000"/>
        </w:rPr>
        <w:t>:</w:t>
      </w:r>
    </w:p>
    <w:p w14:paraId="1F9E885A" w14:textId="1FE1A210" w:rsidR="008F2868" w:rsidRPr="00AB1083" w:rsidRDefault="008F2868" w:rsidP="00FF14FE">
      <w:pPr>
        <w:pStyle w:val="Prrafodelista"/>
        <w:spacing w:line="360" w:lineRule="auto"/>
        <w:ind w:left="0"/>
        <w:contextualSpacing/>
        <w:jc w:val="both"/>
        <w:rPr>
          <w:rFonts w:ascii="Palatino Linotype" w:hAnsi="Palatino Linotype"/>
          <w:color w:val="000000"/>
        </w:rPr>
      </w:pPr>
    </w:p>
    <w:p w14:paraId="191E511E" w14:textId="243C8759" w:rsidR="00C665F7" w:rsidRPr="00AB1083" w:rsidRDefault="00760FCC" w:rsidP="002870F5">
      <w:pPr>
        <w:pStyle w:val="Prrafodelista"/>
        <w:numPr>
          <w:ilvl w:val="0"/>
          <w:numId w:val="18"/>
        </w:numPr>
        <w:spacing w:line="360" w:lineRule="auto"/>
        <w:contextualSpacing/>
        <w:jc w:val="both"/>
        <w:rPr>
          <w:rFonts w:ascii="Palatino Linotype" w:hAnsi="Palatino Linotype"/>
          <w:color w:val="000000"/>
        </w:rPr>
      </w:pPr>
      <w:r w:rsidRPr="00AB1083">
        <w:rPr>
          <w:rFonts w:ascii="Palatino Linotype" w:hAnsi="Palatino Linotype"/>
          <w:b/>
          <w:bCs/>
          <w:color w:val="000000"/>
        </w:rPr>
        <w:t>“</w:t>
      </w:r>
      <w:r w:rsidR="002870F5" w:rsidRPr="00AB1083">
        <w:rPr>
          <w:rFonts w:ascii="Palatino Linotype" w:hAnsi="Palatino Linotype"/>
          <w:b/>
          <w:bCs/>
          <w:color w:val="000000"/>
        </w:rPr>
        <w:t>RESPUESTA_UT_154.pdf</w:t>
      </w:r>
      <w:r w:rsidRPr="00AB1083">
        <w:rPr>
          <w:rFonts w:ascii="Palatino Linotype" w:hAnsi="Palatino Linotype"/>
          <w:b/>
          <w:bCs/>
          <w:color w:val="000000"/>
        </w:rPr>
        <w:t>”</w:t>
      </w:r>
      <w:r w:rsidR="008F2868" w:rsidRPr="00AB1083">
        <w:rPr>
          <w:rFonts w:ascii="Palatino Linotype" w:hAnsi="Palatino Linotype"/>
          <w:b/>
          <w:bCs/>
          <w:color w:val="000000"/>
        </w:rPr>
        <w:t>:</w:t>
      </w:r>
      <w:r w:rsidR="00382978" w:rsidRPr="00AB1083">
        <w:rPr>
          <w:rFonts w:ascii="Palatino Linotype" w:hAnsi="Palatino Linotype"/>
          <w:b/>
          <w:bCs/>
          <w:color w:val="000000"/>
        </w:rPr>
        <w:t xml:space="preserve"> </w:t>
      </w:r>
      <w:r w:rsidR="003829ED" w:rsidRPr="00AB1083">
        <w:rPr>
          <w:rFonts w:ascii="Palatino Linotype" w:hAnsi="Palatino Linotype"/>
          <w:color w:val="000000"/>
        </w:rPr>
        <w:t xml:space="preserve">Oficio número </w:t>
      </w:r>
      <w:r w:rsidR="002870F5" w:rsidRPr="00AB1083">
        <w:rPr>
          <w:rFonts w:ascii="Palatino Linotype" w:hAnsi="Palatino Linotype"/>
          <w:color w:val="000000"/>
        </w:rPr>
        <w:t>22800007010000S/0591/UT/2025</w:t>
      </w:r>
      <w:r w:rsidR="00D54867" w:rsidRPr="00AB1083">
        <w:rPr>
          <w:rFonts w:ascii="Palatino Linotype" w:hAnsi="Palatino Linotype"/>
          <w:color w:val="000000"/>
        </w:rPr>
        <w:t xml:space="preserve"> de fecha </w:t>
      </w:r>
      <w:r w:rsidR="002870F5" w:rsidRPr="00AB1083">
        <w:rPr>
          <w:rFonts w:ascii="Palatino Linotype" w:hAnsi="Palatino Linotype"/>
          <w:color w:val="000000"/>
        </w:rPr>
        <w:t>24 de enero de 2025</w:t>
      </w:r>
      <w:r w:rsidR="00D54867" w:rsidRPr="00AB1083">
        <w:rPr>
          <w:rFonts w:ascii="Palatino Linotype" w:hAnsi="Palatino Linotype"/>
          <w:color w:val="000000"/>
        </w:rPr>
        <w:t xml:space="preserve"> a través del cual,</w:t>
      </w:r>
      <w:r w:rsidR="002870F5" w:rsidRPr="00AB1083">
        <w:rPr>
          <w:rFonts w:ascii="Palatino Linotype" w:hAnsi="Palatino Linotype"/>
          <w:color w:val="000000"/>
        </w:rPr>
        <w:t xml:space="preserve"> el Titular de la Unidad de Transparencia comunica a la entonces solicitante de información que, después de una búsqueda exhaustiva y razonable en los archivos de las Unidades Administrativas competentes y toda vez que requiere información relacionada con "queja o denuncia", manifiesta que la información es confidencial ya que esta constituido por un pronunciamiento de existencia o inexistencia de información relacionada con denuncias o procedimientos en trámite o sin </w:t>
      </w:r>
      <w:r w:rsidR="002870F5" w:rsidRPr="00AB1083">
        <w:rPr>
          <w:rFonts w:ascii="Palatino Linotype" w:hAnsi="Palatino Linotype"/>
          <w:color w:val="000000"/>
        </w:rPr>
        <w:lastRenderedPageBreak/>
        <w:t xml:space="preserve">sanción, seguidos en contra de personas servidoras públicas, derivado de que </w:t>
      </w:r>
      <w:r w:rsidR="002275CA" w:rsidRPr="00AB1083">
        <w:rPr>
          <w:rFonts w:ascii="Palatino Linotype" w:hAnsi="Palatino Linotype"/>
          <w:color w:val="000000"/>
        </w:rPr>
        <w:t>está</w:t>
      </w:r>
      <w:r w:rsidR="002870F5" w:rsidRPr="00AB1083">
        <w:rPr>
          <w:rFonts w:ascii="Palatino Linotype" w:hAnsi="Palatino Linotype"/>
          <w:color w:val="000000"/>
        </w:rPr>
        <w:t xml:space="preserve"> relacionada directamente con la situación jurídica de una persona física identificada, cuya divulgación generaría una afectación al derecho a su privacidad, intimidad, honor, reputación y persecución de inocencia; por lo que a través del Comité de Transparencia de la Secretaria de Educación, Ciencia, Tecnología e Innovación en su "</w:t>
      </w:r>
      <w:r w:rsidR="002870F5" w:rsidRPr="00AB1083">
        <w:rPr>
          <w:rFonts w:ascii="Palatino Linotype" w:hAnsi="Palatino Linotype"/>
          <w:b/>
          <w:bCs/>
          <w:color w:val="000000"/>
        </w:rPr>
        <w:t>Quinta Sesión Extraordinaria</w:t>
      </w:r>
      <w:r w:rsidR="002870F5" w:rsidRPr="00AB1083">
        <w:rPr>
          <w:rFonts w:ascii="Palatino Linotype" w:hAnsi="Palatino Linotype"/>
          <w:color w:val="000000"/>
        </w:rPr>
        <w:t xml:space="preserve">", por unanimidad de votos, emitió el </w:t>
      </w:r>
      <w:r w:rsidR="002870F5" w:rsidRPr="00AB1083">
        <w:rPr>
          <w:rFonts w:ascii="Palatino Linotype" w:hAnsi="Palatino Linotype"/>
          <w:b/>
          <w:bCs/>
          <w:color w:val="000000"/>
        </w:rPr>
        <w:t>ACUERDO CTE/05/04/2025</w:t>
      </w:r>
      <w:r w:rsidR="002870F5" w:rsidRPr="00AB1083">
        <w:rPr>
          <w:rFonts w:ascii="Palatino Linotype" w:hAnsi="Palatino Linotype"/>
          <w:color w:val="000000"/>
        </w:rPr>
        <w:t xml:space="preserve">, de </w:t>
      </w:r>
      <w:r w:rsidR="002870F5" w:rsidRPr="00AB1083">
        <w:rPr>
          <w:rFonts w:ascii="Palatino Linotype" w:hAnsi="Palatino Linotype"/>
          <w:color w:val="000000"/>
          <w:u w:val="single"/>
        </w:rPr>
        <w:t>la Clasificación como confidencial del Pronunciamiento afirmativo o negativo de los datos personales contenidos en los documentos proporcionados para dar respuesta a la Solicitud de Información Pública con número de folio 00154/SECT1/IP/2025</w:t>
      </w:r>
      <w:r w:rsidR="002870F5" w:rsidRPr="00AB1083">
        <w:rPr>
          <w:rFonts w:ascii="Palatino Linotype" w:hAnsi="Palatino Linotype"/>
          <w:color w:val="000000"/>
        </w:rPr>
        <w:t xml:space="preserve">. </w:t>
      </w:r>
    </w:p>
    <w:p w14:paraId="1BC01AFA" w14:textId="77777777" w:rsidR="00C665F7" w:rsidRPr="00AB1083" w:rsidRDefault="00C665F7" w:rsidP="00C665F7">
      <w:pPr>
        <w:pStyle w:val="Prrafodelista"/>
        <w:spacing w:line="360" w:lineRule="auto"/>
        <w:ind w:left="720"/>
        <w:contextualSpacing/>
        <w:jc w:val="both"/>
        <w:rPr>
          <w:rFonts w:ascii="Palatino Linotype" w:hAnsi="Palatino Linotype"/>
          <w:color w:val="000000"/>
        </w:rPr>
      </w:pPr>
    </w:p>
    <w:p w14:paraId="5CD6A8C4" w14:textId="67B230E4" w:rsidR="000315E6" w:rsidRPr="00AB1083" w:rsidRDefault="00866437" w:rsidP="000315E6">
      <w:pPr>
        <w:pStyle w:val="Prrafodelista"/>
        <w:numPr>
          <w:ilvl w:val="0"/>
          <w:numId w:val="18"/>
        </w:numPr>
        <w:spacing w:before="120" w:after="120" w:line="360" w:lineRule="auto"/>
        <w:jc w:val="both"/>
        <w:rPr>
          <w:rFonts w:ascii="Palatino Linotype" w:hAnsi="Palatino Linotype" w:cs="Arial"/>
        </w:rPr>
      </w:pPr>
      <w:r w:rsidRPr="00AB1083">
        <w:rPr>
          <w:rFonts w:ascii="Palatino Linotype" w:hAnsi="Palatino Linotype" w:cs="Arial"/>
        </w:rPr>
        <w:t>“</w:t>
      </w:r>
      <w:r w:rsidR="00DB3449" w:rsidRPr="00AB1083">
        <w:rPr>
          <w:rFonts w:ascii="Palatino Linotype" w:hAnsi="Palatino Linotype" w:cs="Arial"/>
          <w:b/>
          <w:bCs/>
        </w:rPr>
        <w:t>ACUERDO SOL 154.pdf</w:t>
      </w:r>
      <w:r w:rsidRPr="00AB1083">
        <w:rPr>
          <w:rFonts w:ascii="Palatino Linotype" w:hAnsi="Palatino Linotype" w:cs="Arial"/>
        </w:rPr>
        <w:t xml:space="preserve">”: </w:t>
      </w:r>
      <w:r w:rsidR="00DB3449" w:rsidRPr="00AB1083">
        <w:rPr>
          <w:rFonts w:ascii="Palatino Linotype" w:hAnsi="Palatino Linotype" w:cs="Arial"/>
        </w:rPr>
        <w:t>ACUERDO CTE/05/04/2025, de la Clasificación como confidencial del Pronunciamiento afirmativo o negativo de los datos personales contenidos en los documentos proporcionados para dar respuesta a la Solicitud de Información Pública con número de folio 00154/SECT1/IP/2025 en los términos siguientes:</w:t>
      </w:r>
    </w:p>
    <w:p w14:paraId="1D4A1217" w14:textId="08AC80D2" w:rsidR="00DB3449" w:rsidRPr="00AB1083" w:rsidRDefault="00DB3449" w:rsidP="00DB3449">
      <w:pPr>
        <w:pStyle w:val="Prrafodelista"/>
        <w:jc w:val="center"/>
        <w:rPr>
          <w:rFonts w:ascii="Palatino Linotype" w:hAnsi="Palatino Linotype" w:cs="Arial"/>
        </w:rPr>
      </w:pPr>
      <w:r w:rsidRPr="00AB1083">
        <w:rPr>
          <w:rFonts w:ascii="Palatino Linotype" w:hAnsi="Palatino Linotype" w:cs="Arial"/>
          <w:noProof/>
          <w:lang w:val="es-MX" w:eastAsia="es-MX"/>
        </w:rPr>
        <w:drawing>
          <wp:inline distT="0" distB="0" distL="0" distR="0" wp14:anchorId="5C291FC6" wp14:editId="3E5B1ADD">
            <wp:extent cx="4149704" cy="2024742"/>
            <wp:effectExtent l="0" t="0" r="3810" b="0"/>
            <wp:docPr id="2239639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63986" name=""/>
                    <pic:cNvPicPr/>
                  </pic:nvPicPr>
                  <pic:blipFill rotWithShape="1">
                    <a:blip r:embed="rId8"/>
                    <a:srcRect b="39242"/>
                    <a:stretch/>
                  </pic:blipFill>
                  <pic:spPr bwMode="auto">
                    <a:xfrm>
                      <a:off x="0" y="0"/>
                      <a:ext cx="4190379" cy="2044589"/>
                    </a:xfrm>
                    <a:prstGeom prst="rect">
                      <a:avLst/>
                    </a:prstGeom>
                    <a:ln>
                      <a:noFill/>
                    </a:ln>
                    <a:extLst>
                      <a:ext uri="{53640926-AAD7-44D8-BBD7-CCE9431645EC}">
                        <a14:shadowObscured xmlns:a14="http://schemas.microsoft.com/office/drawing/2010/main"/>
                      </a:ext>
                    </a:extLst>
                  </pic:spPr>
                </pic:pic>
              </a:graphicData>
            </a:graphic>
          </wp:inline>
        </w:drawing>
      </w:r>
    </w:p>
    <w:p w14:paraId="0ED24023" w14:textId="77777777" w:rsidR="00DB3449" w:rsidRPr="00AB1083" w:rsidRDefault="00DB3449" w:rsidP="00DB3449">
      <w:pPr>
        <w:pStyle w:val="Prrafodelista"/>
        <w:jc w:val="center"/>
        <w:rPr>
          <w:rFonts w:ascii="Palatino Linotype" w:hAnsi="Palatino Linotype" w:cs="Arial"/>
        </w:rPr>
      </w:pPr>
    </w:p>
    <w:p w14:paraId="3020D4A1" w14:textId="0EE5DCDB" w:rsidR="00866437" w:rsidRPr="00AB1083" w:rsidRDefault="008A34CB" w:rsidP="00866437">
      <w:pPr>
        <w:pStyle w:val="Prrafodelista"/>
        <w:numPr>
          <w:ilvl w:val="0"/>
          <w:numId w:val="18"/>
        </w:numPr>
        <w:spacing w:before="120" w:after="120" w:line="360" w:lineRule="auto"/>
        <w:jc w:val="both"/>
        <w:rPr>
          <w:rFonts w:ascii="Palatino Linotype" w:hAnsi="Palatino Linotype" w:cs="Arial"/>
        </w:rPr>
      </w:pPr>
      <w:r w:rsidRPr="00AB1083">
        <w:rPr>
          <w:rFonts w:ascii="Palatino Linotype" w:hAnsi="Palatino Linotype" w:cs="Arial"/>
        </w:rPr>
        <w:lastRenderedPageBreak/>
        <w:t xml:space="preserve"> </w:t>
      </w:r>
      <w:r w:rsidR="00DB3449" w:rsidRPr="00AB1083">
        <w:rPr>
          <w:rFonts w:ascii="Palatino Linotype" w:hAnsi="Palatino Linotype" w:cs="Arial"/>
        </w:rPr>
        <w:t>“</w:t>
      </w:r>
      <w:r w:rsidR="00DB3449" w:rsidRPr="00AB1083">
        <w:rPr>
          <w:rFonts w:ascii="Palatino Linotype" w:hAnsi="Palatino Linotype" w:cs="Arial"/>
          <w:b/>
          <w:bCs/>
        </w:rPr>
        <w:t>SPH_UT_154_OIC.pdf</w:t>
      </w:r>
      <w:r w:rsidR="00DB3449" w:rsidRPr="00AB1083">
        <w:rPr>
          <w:rFonts w:ascii="Palatino Linotype" w:hAnsi="Palatino Linotype" w:cs="Arial"/>
        </w:rPr>
        <w:t xml:space="preserve">”: </w:t>
      </w:r>
      <w:r w:rsidR="00FB6038" w:rsidRPr="00AB1083">
        <w:rPr>
          <w:rFonts w:ascii="Palatino Linotype" w:hAnsi="Palatino Linotype" w:cs="Arial"/>
        </w:rPr>
        <w:t>Oficio número 22800002s/00594/2025, a través del cual, el Titular del Órgano Interno de Control comunica al Titular de la Unidad de Transparencia, que derivado de una revisión exhaustiva y minuciosa en los archivos de esa Unidad Administrativa, en particular del Área de Quejas, se informa que esa dependencia</w:t>
      </w:r>
      <w:r w:rsidR="00FB6038" w:rsidRPr="00AB1083">
        <w:rPr>
          <w:rFonts w:ascii="Palatino Linotype" w:hAnsi="Palatino Linotype" w:cs="Arial"/>
          <w:u w:val="single"/>
        </w:rPr>
        <w:t xml:space="preserve"> no puede pronunciarse en sentido afirmativo o negativo respecto a los expedientes en trámite por presuntas faltas administrativas graves y/o no graves en contra de la servidora pública mencionada</w:t>
      </w:r>
      <w:r w:rsidR="00FB6038" w:rsidRPr="00AB1083">
        <w:rPr>
          <w:rFonts w:ascii="Palatino Linotype" w:hAnsi="Palatino Linotype" w:cs="Arial"/>
        </w:rPr>
        <w:t xml:space="preserve">; ya que se trata de información confidencial al estar constituida por un pronunciamiento de existencia o inexistencia de información relacionada con denuncias o procedimientos en trámite o sin sanción seguidos en contra de un servidor público, lo que está relacionado directamente con la situación jurídica de una persona física y cuya divulgación provocaría una afectación al derecho de la privacidad, intimidad, honor, reputación y presunción de inocencia, por lo que solicita se convoque al Comité de Transparencia con la finalidad de sesionar y valorar la clasificación de información.  </w:t>
      </w:r>
    </w:p>
    <w:p w14:paraId="22656270" w14:textId="77777777" w:rsidR="00866437" w:rsidRPr="00AB1083" w:rsidRDefault="00866437" w:rsidP="005414FD">
      <w:pPr>
        <w:spacing w:before="120" w:after="120" w:line="360" w:lineRule="auto"/>
        <w:jc w:val="both"/>
        <w:rPr>
          <w:rFonts w:ascii="Palatino Linotype" w:hAnsi="Palatino Linotype" w:cs="Arial"/>
        </w:rPr>
      </w:pPr>
    </w:p>
    <w:p w14:paraId="2C69571A" w14:textId="3C48405E" w:rsidR="00A87485" w:rsidRPr="00AB1083" w:rsidRDefault="00BF390A" w:rsidP="000F381D">
      <w:pPr>
        <w:spacing w:line="360" w:lineRule="auto"/>
        <w:jc w:val="both"/>
        <w:rPr>
          <w:rFonts w:ascii="Palatino Linotype" w:hAnsi="Palatino Linotype" w:cs="Arial"/>
        </w:rPr>
      </w:pPr>
      <w:r w:rsidRPr="00AB1083">
        <w:rPr>
          <w:rFonts w:ascii="Palatino Linotype" w:hAnsi="Palatino Linotype" w:cs="Arial"/>
        </w:rPr>
        <w:t xml:space="preserve">Ante la respuesta emitida, el particular interpuso el presente recurso de revisión </w:t>
      </w:r>
      <w:r w:rsidR="00FE343A" w:rsidRPr="00AB1083">
        <w:rPr>
          <w:rFonts w:ascii="Palatino Linotype" w:hAnsi="Palatino Linotype" w:cs="Arial"/>
        </w:rPr>
        <w:t>manifestando</w:t>
      </w:r>
      <w:r w:rsidR="002D7107" w:rsidRPr="00AB1083">
        <w:rPr>
          <w:rFonts w:ascii="Palatino Linotype" w:hAnsi="Palatino Linotype" w:cs="Arial"/>
        </w:rPr>
        <w:t xml:space="preserve"> </w:t>
      </w:r>
      <w:r w:rsidR="00311AA7" w:rsidRPr="00AB1083">
        <w:rPr>
          <w:rFonts w:ascii="Palatino Linotype" w:hAnsi="Palatino Linotype" w:cs="Arial"/>
        </w:rPr>
        <w:t>como</w:t>
      </w:r>
      <w:r w:rsidR="008A34CB" w:rsidRPr="00AB1083">
        <w:rPr>
          <w:rFonts w:ascii="Palatino Linotype" w:hAnsi="Palatino Linotype" w:cs="Arial"/>
        </w:rPr>
        <w:t xml:space="preserve"> acto impugnado “</w:t>
      </w:r>
      <w:r w:rsidR="002275CA" w:rsidRPr="00AB1083">
        <w:rPr>
          <w:rFonts w:ascii="Palatino Linotype" w:hAnsi="Palatino Linotype" w:cs="Arial"/>
          <w:i/>
          <w:iCs/>
        </w:rPr>
        <w:t>La respuesta Clasificacion</w:t>
      </w:r>
      <w:r w:rsidR="008A34CB" w:rsidRPr="00AB1083">
        <w:rPr>
          <w:rFonts w:ascii="Palatino Linotype" w:hAnsi="Palatino Linotype" w:cs="Arial"/>
        </w:rPr>
        <w:t xml:space="preserve">” y como </w:t>
      </w:r>
      <w:r w:rsidR="00311AA7" w:rsidRPr="00AB1083">
        <w:rPr>
          <w:rFonts w:ascii="Palatino Linotype" w:hAnsi="Palatino Linotype" w:cs="Arial"/>
        </w:rPr>
        <w:t>razones o motivos de inconformidad que</w:t>
      </w:r>
      <w:r w:rsidR="00D13CBC" w:rsidRPr="00AB1083">
        <w:rPr>
          <w:rFonts w:ascii="Palatino Linotype" w:hAnsi="Palatino Linotype" w:cs="Arial"/>
        </w:rPr>
        <w:t>:</w:t>
      </w:r>
      <w:r w:rsidR="00311AA7" w:rsidRPr="00AB1083">
        <w:rPr>
          <w:rFonts w:ascii="Palatino Linotype" w:hAnsi="Palatino Linotype" w:cs="Arial"/>
        </w:rPr>
        <w:t xml:space="preserve"> “</w:t>
      </w:r>
      <w:r w:rsidR="002275CA" w:rsidRPr="00AB1083">
        <w:rPr>
          <w:rFonts w:ascii="Palatino Linotype" w:hAnsi="Palatino Linotype" w:cs="Arial"/>
          <w:i/>
          <w:iCs/>
          <w:u w:val="single"/>
        </w:rPr>
        <w:t>la respuesta no atiende lo solicitado</w:t>
      </w:r>
      <w:r w:rsidR="00311AA7" w:rsidRPr="00AB1083">
        <w:rPr>
          <w:rFonts w:ascii="Palatino Linotype" w:hAnsi="Palatino Linotype" w:cs="Arial"/>
        </w:rPr>
        <w:t>”.</w:t>
      </w:r>
      <w:r w:rsidR="00FB71F5" w:rsidRPr="00AB1083">
        <w:rPr>
          <w:rFonts w:ascii="Palatino Linotype" w:hAnsi="Palatino Linotype" w:cs="Arial"/>
        </w:rPr>
        <w:t xml:space="preserve"> (Sic)</w:t>
      </w:r>
    </w:p>
    <w:p w14:paraId="517E9F22" w14:textId="77777777" w:rsidR="007930EA" w:rsidRPr="00AB1083" w:rsidRDefault="007930EA" w:rsidP="000F381D">
      <w:pPr>
        <w:spacing w:line="360" w:lineRule="auto"/>
        <w:jc w:val="both"/>
        <w:rPr>
          <w:rFonts w:ascii="Palatino Linotype" w:hAnsi="Palatino Linotype" w:cs="Arial"/>
        </w:rPr>
      </w:pPr>
    </w:p>
    <w:p w14:paraId="274FCDBA" w14:textId="77777777" w:rsidR="00D03778" w:rsidRPr="00AB1083" w:rsidRDefault="007930EA" w:rsidP="00D03778">
      <w:pPr>
        <w:pStyle w:val="Sinespaciado"/>
        <w:spacing w:line="360" w:lineRule="auto"/>
        <w:jc w:val="both"/>
        <w:rPr>
          <w:rFonts w:ascii="Palatino Linotype" w:hAnsi="Palatino Linotype"/>
          <w:lang w:val="es-ES_tradnl"/>
        </w:rPr>
      </w:pPr>
      <w:r w:rsidRPr="00AB1083">
        <w:rPr>
          <w:rFonts w:ascii="Palatino Linotype" w:hAnsi="Palatino Linotype"/>
          <w:lang w:val="es-ES_tradnl"/>
        </w:rPr>
        <w:t xml:space="preserve">Posteriormente, el Sujeto Obligado rindió su informe justificado en la etapa procesal oportuna, remitiendo para tal efecto </w:t>
      </w:r>
      <w:r w:rsidR="00D03778" w:rsidRPr="00AB1083">
        <w:rPr>
          <w:rFonts w:ascii="Palatino Linotype" w:hAnsi="Palatino Linotype"/>
          <w:lang w:val="es-ES_tradnl"/>
        </w:rPr>
        <w:t>el</w:t>
      </w:r>
      <w:r w:rsidRPr="00AB1083">
        <w:rPr>
          <w:rFonts w:ascii="Palatino Linotype" w:hAnsi="Palatino Linotype"/>
          <w:lang w:val="es-ES_tradnl"/>
        </w:rPr>
        <w:t xml:space="preserve"> archivo electrónico </w:t>
      </w:r>
      <w:r w:rsidR="00D03778" w:rsidRPr="00AB1083">
        <w:rPr>
          <w:rFonts w:ascii="Palatino Linotype" w:hAnsi="Palatino Linotype"/>
          <w:lang w:val="es-ES_tradnl"/>
        </w:rPr>
        <w:t xml:space="preserve">del que </w:t>
      </w:r>
      <w:r w:rsidRPr="00AB1083">
        <w:rPr>
          <w:rFonts w:ascii="Palatino Linotype" w:hAnsi="Palatino Linotype"/>
          <w:lang w:val="es-ES_tradnl"/>
        </w:rPr>
        <w:t>se detalla su contenido enseguida:</w:t>
      </w:r>
      <w:r w:rsidR="00D03778" w:rsidRPr="00AB1083">
        <w:rPr>
          <w:lang w:val="es-ES_tradnl"/>
        </w:rPr>
        <w:t xml:space="preserve"> </w:t>
      </w:r>
    </w:p>
    <w:p w14:paraId="35A02FF6" w14:textId="6A2E4196" w:rsidR="007930EA" w:rsidRPr="00AB1083" w:rsidRDefault="00D03778" w:rsidP="00B01799">
      <w:pPr>
        <w:pStyle w:val="Sinespaciado"/>
        <w:numPr>
          <w:ilvl w:val="0"/>
          <w:numId w:val="18"/>
        </w:numPr>
        <w:spacing w:before="120" w:after="120" w:line="360" w:lineRule="auto"/>
        <w:jc w:val="both"/>
        <w:rPr>
          <w:rFonts w:ascii="Palatino Linotype" w:hAnsi="Palatino Linotype" w:cs="Arial"/>
          <w:lang w:val="es-ES_tradnl"/>
        </w:rPr>
      </w:pPr>
      <w:r w:rsidRPr="00AB1083">
        <w:rPr>
          <w:rFonts w:ascii="Palatino Linotype" w:hAnsi="Palatino Linotype"/>
          <w:b/>
          <w:bCs/>
          <w:lang w:val="es-ES_tradnl"/>
        </w:rPr>
        <w:lastRenderedPageBreak/>
        <w:t>INFORME JUSTIFICADO_UT_154.pdf</w:t>
      </w:r>
      <w:r w:rsidR="007930EA" w:rsidRPr="00AB1083">
        <w:rPr>
          <w:rFonts w:ascii="Palatino Linotype" w:hAnsi="Palatino Linotype"/>
          <w:b/>
          <w:bCs/>
          <w:lang w:val="es-ES_tradnl"/>
        </w:rPr>
        <w:t xml:space="preserve">: </w:t>
      </w:r>
      <w:r w:rsidR="007930EA" w:rsidRPr="00AB1083">
        <w:rPr>
          <w:rFonts w:ascii="Palatino Linotype" w:hAnsi="Palatino Linotype"/>
          <w:lang w:val="es-ES_tradnl"/>
        </w:rPr>
        <w:t xml:space="preserve">Oficio número </w:t>
      </w:r>
      <w:r w:rsidRPr="00AB1083">
        <w:rPr>
          <w:rFonts w:ascii="Palatino Linotype" w:hAnsi="Palatino Linotype"/>
          <w:lang w:val="es-ES_tradnl"/>
        </w:rPr>
        <w:t>22800007010000S/0761/UT/2025</w:t>
      </w:r>
      <w:r w:rsidR="007930EA" w:rsidRPr="00AB1083">
        <w:rPr>
          <w:rFonts w:ascii="Palatino Linotype" w:hAnsi="Palatino Linotype"/>
          <w:lang w:val="es-ES_tradnl"/>
        </w:rPr>
        <w:t>, a través del cual, el Titular de la Unidad de Transparencia comunica a este Instituto que,</w:t>
      </w:r>
      <w:r w:rsidRPr="00AB1083">
        <w:rPr>
          <w:rFonts w:ascii="Palatino Linotype" w:hAnsi="Palatino Linotype"/>
          <w:lang w:val="es-ES_tradnl"/>
        </w:rPr>
        <w:t xml:space="preserve"> se ratifica la respuesta proporcionada, ya que se remitió el Acuerdo CTE/05/04/2025 en el que se confirmó la Clasificación como confidencial del Pronunciamiento de la inexistencia o inexistencia de la información, por lo que solicita sea determinada la improcedencia y sobreseimiento del presente medio de impugnación en términos de los artículos 191 fracción III y IV; y 192 fracciones IV y V de la Ley de Transparencia local. </w:t>
      </w:r>
    </w:p>
    <w:p w14:paraId="1A514BD0" w14:textId="7197F127" w:rsidR="001E6776" w:rsidRPr="00AB1083" w:rsidRDefault="001E6776" w:rsidP="00FB71F5">
      <w:pPr>
        <w:tabs>
          <w:tab w:val="left" w:pos="709"/>
        </w:tabs>
        <w:spacing w:line="360" w:lineRule="auto"/>
        <w:ind w:right="51"/>
        <w:rPr>
          <w:rFonts w:ascii="Palatino Linotype" w:hAnsi="Palatino Linotype" w:cs="Arial"/>
        </w:rPr>
      </w:pPr>
    </w:p>
    <w:p w14:paraId="7C0C39CC" w14:textId="6573D3DA" w:rsidR="00303385" w:rsidRPr="00AB1083" w:rsidRDefault="00303385" w:rsidP="0062301B">
      <w:pPr>
        <w:tabs>
          <w:tab w:val="left" w:pos="709"/>
        </w:tabs>
        <w:spacing w:line="360" w:lineRule="auto"/>
        <w:ind w:right="51"/>
        <w:jc w:val="both"/>
        <w:rPr>
          <w:rFonts w:ascii="Palatino Linotype" w:hAnsi="Palatino Linotype" w:cs="Arial"/>
        </w:rPr>
      </w:pPr>
      <w:r w:rsidRPr="00AB1083">
        <w:rPr>
          <w:rFonts w:ascii="Palatino Linotype" w:hAnsi="Palatino Linotype" w:cs="Arial"/>
        </w:rPr>
        <w:t xml:space="preserve">Bajo las premisas anteriores, se concluye que en la especie será motivo de análisis si efectivamente, la respuesta otorgada por parte del </w:t>
      </w:r>
      <w:r w:rsidRPr="00AB1083">
        <w:rPr>
          <w:rFonts w:ascii="Palatino Linotype" w:hAnsi="Palatino Linotype" w:cs="Arial"/>
          <w:b/>
        </w:rPr>
        <w:t>Sujeto Obligado</w:t>
      </w:r>
      <w:r w:rsidRPr="00AB1083">
        <w:rPr>
          <w:rFonts w:ascii="Palatino Linotype" w:hAnsi="Palatino Linotype" w:cs="Arial"/>
        </w:rPr>
        <w:t xml:space="preserve"> satisface los requisitos establecidos por la Ley de la materia.</w:t>
      </w:r>
    </w:p>
    <w:p w14:paraId="3F4E905F" w14:textId="77777777" w:rsidR="0062301B" w:rsidRPr="00AB1083" w:rsidRDefault="0062301B" w:rsidP="0062301B">
      <w:pPr>
        <w:tabs>
          <w:tab w:val="left" w:pos="709"/>
        </w:tabs>
        <w:spacing w:line="360" w:lineRule="auto"/>
        <w:ind w:right="51"/>
        <w:jc w:val="both"/>
        <w:rPr>
          <w:rFonts w:ascii="Palatino Linotype" w:hAnsi="Palatino Linotype" w:cs="Arial"/>
        </w:rPr>
      </w:pPr>
    </w:p>
    <w:p w14:paraId="571DB8BD" w14:textId="2ECEAF03" w:rsidR="00303385" w:rsidRPr="00AB1083" w:rsidRDefault="00303385" w:rsidP="0001177F">
      <w:pPr>
        <w:autoSpaceDE w:val="0"/>
        <w:autoSpaceDN w:val="0"/>
        <w:adjustRightInd w:val="0"/>
        <w:spacing w:line="360" w:lineRule="auto"/>
        <w:jc w:val="both"/>
        <w:rPr>
          <w:rFonts w:ascii="Palatino Linotype" w:hAnsi="Palatino Linotype" w:cs="Arial"/>
          <w:color w:val="000000"/>
        </w:rPr>
      </w:pPr>
      <w:r w:rsidRPr="00AB1083">
        <w:rPr>
          <w:rFonts w:ascii="Palatino Linotype" w:hAnsi="Palatino Linotype"/>
        </w:rPr>
        <w:t>Señalado lo anterior</w:t>
      </w:r>
      <w:r w:rsidRPr="00AB1083">
        <w:rPr>
          <w:rFonts w:ascii="Palatino Linotype" w:hAnsi="Palatino Linotype" w:cs="Arial"/>
          <w:color w:val="000000"/>
        </w:rPr>
        <w:t>,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2A45077F" w14:textId="77777777" w:rsidR="00303385" w:rsidRPr="00AB1083" w:rsidRDefault="00303385" w:rsidP="00303385">
      <w:pPr>
        <w:spacing w:after="240"/>
        <w:ind w:left="851" w:right="851"/>
        <w:jc w:val="both"/>
        <w:rPr>
          <w:rFonts w:ascii="Palatino Linotype" w:hAnsi="Palatino Linotype" w:cs="Arial"/>
          <w:bCs/>
          <w:i/>
        </w:rPr>
      </w:pPr>
      <w:r w:rsidRPr="00AB1083">
        <w:rPr>
          <w:rFonts w:ascii="Palatino Linotype" w:hAnsi="Palatino Linotype" w:cs="Arial"/>
          <w:bCs/>
          <w:i/>
        </w:rPr>
        <w:lastRenderedPageBreak/>
        <w:t>“</w:t>
      </w:r>
      <w:r w:rsidRPr="00AB1083">
        <w:rPr>
          <w:rFonts w:ascii="Palatino Linotype" w:hAnsi="Palatino Linotype" w:cs="Arial"/>
          <w:b/>
          <w:bCs/>
          <w:i/>
        </w:rPr>
        <w:t>Artículo 6</w:t>
      </w:r>
    </w:p>
    <w:p w14:paraId="353D6F00" w14:textId="77777777" w:rsidR="00303385" w:rsidRPr="00AB1083" w:rsidRDefault="00303385" w:rsidP="00303385">
      <w:pPr>
        <w:ind w:left="851" w:right="851"/>
        <w:jc w:val="both"/>
        <w:rPr>
          <w:rFonts w:ascii="Palatino Linotype" w:hAnsi="Palatino Linotype" w:cs="Arial"/>
          <w:bCs/>
          <w:i/>
        </w:rPr>
      </w:pPr>
      <w:r w:rsidRPr="00AB1083">
        <w:rPr>
          <w:rFonts w:ascii="Palatino Linotype" w:hAnsi="Palatino Linotype" w:cs="Arial"/>
          <w:bCs/>
          <w:i/>
        </w:rPr>
        <w:t>…</w:t>
      </w:r>
    </w:p>
    <w:p w14:paraId="10D82101" w14:textId="77777777" w:rsidR="00303385" w:rsidRPr="00AB1083" w:rsidRDefault="00303385" w:rsidP="00303385">
      <w:pPr>
        <w:ind w:left="851" w:right="851"/>
        <w:jc w:val="both"/>
        <w:rPr>
          <w:rFonts w:ascii="Palatino Linotype" w:hAnsi="Palatino Linotype" w:cs="Arial"/>
          <w:bCs/>
          <w:i/>
        </w:rPr>
      </w:pPr>
      <w:r w:rsidRPr="00AB1083">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AB1083" w:rsidRDefault="00303385" w:rsidP="00303385">
      <w:pPr>
        <w:ind w:left="851" w:right="851"/>
        <w:jc w:val="both"/>
        <w:rPr>
          <w:rFonts w:ascii="Palatino Linotype" w:hAnsi="Palatino Linotype" w:cs="Arial"/>
          <w:bCs/>
          <w:i/>
        </w:rPr>
      </w:pPr>
    </w:p>
    <w:p w14:paraId="409E21F5" w14:textId="77777777" w:rsidR="00303385" w:rsidRPr="00AB1083" w:rsidRDefault="00303385" w:rsidP="00303385">
      <w:pPr>
        <w:tabs>
          <w:tab w:val="left" w:pos="709"/>
        </w:tabs>
        <w:ind w:left="851" w:right="851"/>
        <w:jc w:val="both"/>
        <w:rPr>
          <w:rFonts w:ascii="Palatino Linotype" w:hAnsi="Palatino Linotype" w:cs="Arial"/>
          <w:bCs/>
          <w:i/>
        </w:rPr>
      </w:pPr>
      <w:r w:rsidRPr="00AB1083">
        <w:rPr>
          <w:rFonts w:ascii="Palatino Linotype" w:hAnsi="Palatino Linotype" w:cs="Arial"/>
          <w:bCs/>
          <w:i/>
        </w:rPr>
        <w:t xml:space="preserve">I. </w:t>
      </w:r>
      <w:r w:rsidRPr="00AB1083">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8993C4" w14:textId="77777777" w:rsidR="00303385" w:rsidRPr="00AB1083" w:rsidRDefault="00303385" w:rsidP="00303385">
      <w:pPr>
        <w:tabs>
          <w:tab w:val="left" w:pos="709"/>
        </w:tabs>
        <w:spacing w:line="480" w:lineRule="auto"/>
        <w:jc w:val="both"/>
        <w:rPr>
          <w:rFonts w:ascii="Palatino Linotype" w:hAnsi="Palatino Linotype" w:cs="Arial"/>
        </w:rPr>
      </w:pPr>
    </w:p>
    <w:p w14:paraId="71F67EEC" w14:textId="77777777" w:rsidR="00303385" w:rsidRPr="00AB1083" w:rsidRDefault="00303385" w:rsidP="00303385">
      <w:pPr>
        <w:tabs>
          <w:tab w:val="left" w:pos="709"/>
        </w:tabs>
        <w:spacing w:line="360" w:lineRule="auto"/>
        <w:jc w:val="both"/>
        <w:rPr>
          <w:rFonts w:ascii="Palatino Linotype" w:hAnsi="Palatino Linotype" w:cs="Arial"/>
        </w:rPr>
      </w:pPr>
      <w:r w:rsidRPr="00AB1083">
        <w:rPr>
          <w:rFonts w:ascii="Palatino Linotype" w:hAnsi="Palatino Linotype" w:cs="Arial"/>
        </w:rPr>
        <w:t xml:space="preserve">Ahora bien, en atención a lo dispuesto por los artículos 3, fracción XI y 12 </w:t>
      </w:r>
      <w:r w:rsidRPr="00AB1083">
        <w:rPr>
          <w:rFonts w:ascii="Palatino Linotype" w:hAnsi="Palatino Linotype" w:cs="Arial"/>
          <w:bCs/>
        </w:rPr>
        <w:t>de la Ley de Transparencia y Acceso a la Información Pública del Estado de México y Municipios</w:t>
      </w:r>
      <w:r w:rsidRPr="00AB1083">
        <w:rPr>
          <w:rFonts w:ascii="Palatino Linotype" w:hAnsi="Palatino Linotype" w:cs="Arial"/>
        </w:rPr>
        <w:t>, los cuales son del tenor literal siguiente:</w:t>
      </w:r>
    </w:p>
    <w:p w14:paraId="187010D5" w14:textId="77777777" w:rsidR="00303385" w:rsidRPr="00AB1083" w:rsidRDefault="00303385" w:rsidP="00303385">
      <w:pPr>
        <w:tabs>
          <w:tab w:val="left" w:pos="709"/>
        </w:tabs>
        <w:spacing w:line="360" w:lineRule="auto"/>
        <w:jc w:val="both"/>
        <w:rPr>
          <w:rFonts w:ascii="Palatino Linotype" w:hAnsi="Palatino Linotype" w:cs="Arial"/>
        </w:rPr>
      </w:pPr>
    </w:p>
    <w:p w14:paraId="1E4280D7" w14:textId="77777777" w:rsidR="00303385" w:rsidRPr="00AB1083" w:rsidRDefault="00303385" w:rsidP="00303385">
      <w:pPr>
        <w:ind w:left="851" w:right="851"/>
        <w:jc w:val="both"/>
        <w:rPr>
          <w:rFonts w:ascii="Palatino Linotype" w:hAnsi="Palatino Linotype" w:cs="Arial"/>
          <w:i/>
        </w:rPr>
      </w:pPr>
      <w:r w:rsidRPr="00AB1083">
        <w:rPr>
          <w:rFonts w:ascii="Palatino Linotype" w:hAnsi="Palatino Linotype" w:cs="Arial"/>
          <w:b/>
          <w:bCs/>
          <w:i/>
        </w:rPr>
        <w:t xml:space="preserve">“Artículo 3.- </w:t>
      </w:r>
      <w:r w:rsidRPr="00AB1083">
        <w:rPr>
          <w:rFonts w:ascii="Palatino Linotype" w:hAnsi="Palatino Linotype" w:cs="Arial"/>
          <w:i/>
        </w:rPr>
        <w:t>Para los efectos de la presente Ley se entenderá por:</w:t>
      </w:r>
    </w:p>
    <w:p w14:paraId="78557A30" w14:textId="77777777" w:rsidR="00303385" w:rsidRPr="00AB1083" w:rsidRDefault="00303385" w:rsidP="00303385">
      <w:pPr>
        <w:ind w:left="851" w:right="851"/>
        <w:jc w:val="both"/>
        <w:rPr>
          <w:rFonts w:ascii="Palatino Linotype" w:hAnsi="Palatino Linotype" w:cs="Arial"/>
          <w:i/>
        </w:rPr>
      </w:pPr>
      <w:r w:rsidRPr="00AB1083">
        <w:rPr>
          <w:rFonts w:ascii="Palatino Linotype" w:hAnsi="Palatino Linotype" w:cs="Arial"/>
          <w:i/>
        </w:rPr>
        <w:t>…</w:t>
      </w:r>
    </w:p>
    <w:p w14:paraId="023D8B96" w14:textId="77777777" w:rsidR="00303385" w:rsidRPr="00AB1083" w:rsidRDefault="00303385" w:rsidP="00303385">
      <w:pPr>
        <w:ind w:left="851" w:right="851"/>
        <w:jc w:val="both"/>
        <w:rPr>
          <w:rFonts w:ascii="Palatino Linotype" w:hAnsi="Palatino Linotype" w:cs="Arial"/>
          <w:i/>
        </w:rPr>
      </w:pPr>
      <w:r w:rsidRPr="00AB1083">
        <w:rPr>
          <w:rFonts w:ascii="Palatino Linotype" w:hAnsi="Palatino Linotype" w:cs="Arial"/>
          <w:b/>
          <w:i/>
        </w:rPr>
        <w:t>XI.</w:t>
      </w:r>
      <w:r w:rsidRPr="00AB1083">
        <w:rPr>
          <w:rFonts w:ascii="Palatino Linotype" w:hAnsi="Palatino Linotype" w:cs="Arial"/>
          <w:i/>
        </w:rPr>
        <w:t xml:space="preserve"> </w:t>
      </w:r>
      <w:r w:rsidRPr="00AB1083">
        <w:rPr>
          <w:rFonts w:ascii="Palatino Linotype" w:hAnsi="Palatino Linotype" w:cs="Arial"/>
          <w:b/>
          <w:i/>
        </w:rPr>
        <w:t>Documento:</w:t>
      </w:r>
      <w:r w:rsidRPr="00AB1083">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AB1083">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AB1083">
        <w:rPr>
          <w:rFonts w:ascii="Palatino Linotype" w:hAnsi="Palatino Linotype" w:cs="Arial"/>
          <w:i/>
        </w:rPr>
        <w:t xml:space="preserve"> </w:t>
      </w:r>
      <w:r w:rsidRPr="00AB1083">
        <w:rPr>
          <w:rFonts w:ascii="Palatino Linotype" w:hAnsi="Palatino Linotype" w:cs="Arial"/>
          <w:i/>
        </w:rPr>
        <w:lastRenderedPageBreak/>
        <w:t>Los documentos podrán estar en cualquier medio, sea escrito, impreso, sonoro, visual, electrónico, informático u holográfico;</w:t>
      </w:r>
    </w:p>
    <w:p w14:paraId="0E20AE9F" w14:textId="77777777" w:rsidR="00303385" w:rsidRPr="00AB1083" w:rsidRDefault="00303385" w:rsidP="00303385">
      <w:pPr>
        <w:ind w:left="851" w:right="851"/>
        <w:jc w:val="both"/>
        <w:rPr>
          <w:rFonts w:ascii="Palatino Linotype" w:hAnsi="Palatino Linotype" w:cs="Arial"/>
          <w:i/>
        </w:rPr>
      </w:pPr>
    </w:p>
    <w:p w14:paraId="16D7B4ED" w14:textId="77777777" w:rsidR="00303385" w:rsidRPr="00AB1083" w:rsidRDefault="00303385" w:rsidP="00303385">
      <w:pPr>
        <w:autoSpaceDE w:val="0"/>
        <w:autoSpaceDN w:val="0"/>
        <w:adjustRightInd w:val="0"/>
        <w:ind w:left="851" w:right="851"/>
        <w:jc w:val="both"/>
        <w:rPr>
          <w:rFonts w:ascii="Palatino Linotype" w:hAnsi="Palatino Linotype" w:cs="Arial"/>
          <w:bCs/>
          <w:i/>
        </w:rPr>
      </w:pPr>
      <w:r w:rsidRPr="00AB1083">
        <w:rPr>
          <w:rFonts w:ascii="Palatino Linotype" w:hAnsi="Palatino Linotype" w:cs="Arial"/>
          <w:b/>
          <w:bCs/>
          <w:i/>
        </w:rPr>
        <w:t>Artículo 4.</w:t>
      </w:r>
      <w:r w:rsidRPr="00AB1083">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AB1083" w:rsidRDefault="00303385" w:rsidP="00303385">
      <w:pPr>
        <w:autoSpaceDE w:val="0"/>
        <w:autoSpaceDN w:val="0"/>
        <w:adjustRightInd w:val="0"/>
        <w:ind w:left="851" w:right="851"/>
        <w:jc w:val="both"/>
        <w:rPr>
          <w:rFonts w:ascii="Palatino Linotype" w:hAnsi="Palatino Linotype" w:cs="Arial"/>
          <w:bCs/>
          <w:i/>
        </w:rPr>
      </w:pPr>
      <w:r w:rsidRPr="00AB1083">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AB1083">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AB1083" w:rsidRDefault="00303385" w:rsidP="00303385">
      <w:pPr>
        <w:autoSpaceDE w:val="0"/>
        <w:autoSpaceDN w:val="0"/>
        <w:adjustRightInd w:val="0"/>
        <w:ind w:left="851" w:right="851"/>
        <w:jc w:val="both"/>
        <w:rPr>
          <w:rFonts w:ascii="Palatino Linotype" w:hAnsi="Palatino Linotype" w:cs="Arial"/>
          <w:bCs/>
          <w:i/>
        </w:rPr>
      </w:pPr>
      <w:r w:rsidRPr="00AB1083">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AB1083" w:rsidRDefault="00303385" w:rsidP="00303385">
      <w:pPr>
        <w:ind w:left="851" w:right="851"/>
        <w:jc w:val="both"/>
        <w:rPr>
          <w:rFonts w:ascii="Palatino Linotype" w:hAnsi="Palatino Linotype" w:cs="Arial"/>
          <w:i/>
        </w:rPr>
      </w:pPr>
    </w:p>
    <w:p w14:paraId="268304A9" w14:textId="77777777" w:rsidR="00303385" w:rsidRPr="00AB1083" w:rsidRDefault="00303385" w:rsidP="00303385">
      <w:pPr>
        <w:ind w:left="851" w:right="851"/>
        <w:jc w:val="both"/>
        <w:rPr>
          <w:rFonts w:ascii="Palatino Linotype" w:hAnsi="Palatino Linotype" w:cs="Arial"/>
          <w:i/>
        </w:rPr>
      </w:pPr>
      <w:r w:rsidRPr="00AB1083">
        <w:rPr>
          <w:rFonts w:ascii="Palatino Linotype" w:hAnsi="Palatino Linotype" w:cs="Arial"/>
          <w:b/>
          <w:i/>
        </w:rPr>
        <w:t>Artículo 12.</w:t>
      </w:r>
      <w:r w:rsidRPr="00AB1083">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AB1083" w:rsidRDefault="00303385" w:rsidP="00303385">
      <w:pPr>
        <w:ind w:left="851" w:right="851"/>
        <w:jc w:val="both"/>
        <w:rPr>
          <w:rFonts w:ascii="Palatino Linotype" w:hAnsi="Palatino Linotype" w:cs="Arial"/>
          <w:i/>
        </w:rPr>
      </w:pPr>
    </w:p>
    <w:p w14:paraId="15464E8A" w14:textId="77777777" w:rsidR="00303385" w:rsidRPr="00AB1083" w:rsidRDefault="00303385" w:rsidP="00303385">
      <w:pPr>
        <w:ind w:left="851" w:right="851"/>
        <w:jc w:val="both"/>
        <w:rPr>
          <w:rFonts w:ascii="Palatino Linotype" w:hAnsi="Palatino Linotype" w:cs="Arial"/>
          <w:i/>
          <w:u w:val="single"/>
        </w:rPr>
      </w:pPr>
      <w:r w:rsidRPr="00AB1083">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B1083">
        <w:rPr>
          <w:rFonts w:ascii="Palatino Linotype" w:hAnsi="Palatino Linotype" w:cs="Arial"/>
          <w:i/>
        </w:rPr>
        <w:t>.”</w:t>
      </w:r>
    </w:p>
    <w:p w14:paraId="453FD2BC" w14:textId="77777777" w:rsidR="00303385" w:rsidRPr="00AB1083" w:rsidRDefault="00303385" w:rsidP="00303385">
      <w:pPr>
        <w:ind w:left="851" w:right="851"/>
        <w:jc w:val="right"/>
        <w:rPr>
          <w:rFonts w:ascii="Palatino Linotype" w:hAnsi="Palatino Linotype" w:cs="Arial"/>
        </w:rPr>
      </w:pPr>
    </w:p>
    <w:p w14:paraId="3C843E87" w14:textId="77777777" w:rsidR="00303385" w:rsidRPr="00AB1083" w:rsidRDefault="00303385" w:rsidP="00303385">
      <w:pPr>
        <w:ind w:left="851" w:right="851"/>
        <w:jc w:val="right"/>
        <w:rPr>
          <w:rFonts w:ascii="Palatino Linotype" w:hAnsi="Palatino Linotype" w:cs="Arial"/>
        </w:rPr>
      </w:pPr>
      <w:r w:rsidRPr="00AB1083">
        <w:rPr>
          <w:rFonts w:ascii="Palatino Linotype" w:hAnsi="Palatino Linotype" w:cs="Arial"/>
        </w:rPr>
        <w:t>[Énfasis añadido]</w:t>
      </w:r>
    </w:p>
    <w:p w14:paraId="385F9EC7" w14:textId="77777777" w:rsidR="00303385" w:rsidRPr="00AB1083" w:rsidRDefault="00303385" w:rsidP="00303385">
      <w:pPr>
        <w:ind w:left="851" w:right="851"/>
        <w:jc w:val="right"/>
        <w:rPr>
          <w:rFonts w:ascii="Palatino Linotype" w:hAnsi="Palatino Linotype" w:cs="Arial"/>
        </w:rPr>
      </w:pPr>
    </w:p>
    <w:p w14:paraId="6A9B2013" w14:textId="60CE5729" w:rsidR="00303385" w:rsidRPr="00AB1083" w:rsidRDefault="00303385" w:rsidP="00303385">
      <w:pPr>
        <w:spacing w:line="360" w:lineRule="auto"/>
        <w:jc w:val="both"/>
        <w:rPr>
          <w:rFonts w:ascii="Palatino Linotype" w:hAnsi="Palatino Linotype" w:cs="Arial"/>
        </w:rPr>
      </w:pPr>
      <w:r w:rsidRPr="00AB1083">
        <w:rPr>
          <w:rFonts w:ascii="Palatino Linotype" w:hAnsi="Palatino Linotype" w:cs="Arial"/>
        </w:rPr>
        <w:t xml:space="preserve">De la interpretación a los preceptos citados, se desprende que es información pública la contenida en los documentos que los Sujetos Obligados generen, administren o se </w:t>
      </w:r>
      <w:r w:rsidRPr="00AB1083">
        <w:rPr>
          <w:rFonts w:ascii="Palatino Linotype" w:hAnsi="Palatino Linotype" w:cs="Arial"/>
        </w:rPr>
        <w:lastRenderedPageBreak/>
        <w:t>encuentre en su posesión en el ejercicio de sus atribuciones y que toda la información generada, obtenida, adquirida, transformada, administrada o en posesión de los sujetos obligados es pública y accesible de manera permanente a cualquier persona.</w:t>
      </w:r>
    </w:p>
    <w:p w14:paraId="22994298" w14:textId="77777777" w:rsidR="00EB01B9" w:rsidRPr="00AB1083" w:rsidRDefault="00EB01B9" w:rsidP="00EB01B9">
      <w:pPr>
        <w:spacing w:line="360" w:lineRule="auto"/>
        <w:jc w:val="both"/>
        <w:rPr>
          <w:rFonts w:ascii="Palatino Linotype" w:eastAsia="Calibri" w:hAnsi="Palatino Linotype"/>
          <w:lang w:eastAsia="es-MX"/>
        </w:rPr>
      </w:pPr>
    </w:p>
    <w:p w14:paraId="79651D53" w14:textId="329DA953" w:rsidR="00D76D75" w:rsidRPr="00AB1083" w:rsidRDefault="002275CA" w:rsidP="00E24CB5">
      <w:pPr>
        <w:spacing w:line="360" w:lineRule="auto"/>
        <w:jc w:val="both"/>
        <w:rPr>
          <w:rFonts w:ascii="Palatino Linotype" w:hAnsi="Palatino Linotype" w:cs="Arial"/>
          <w:i/>
          <w:sz w:val="22"/>
          <w:szCs w:val="22"/>
          <w:lang w:eastAsia="en-US"/>
        </w:rPr>
      </w:pPr>
      <w:r w:rsidRPr="00AB1083">
        <w:rPr>
          <w:rFonts w:ascii="Palatino Linotype" w:hAnsi="Palatino Linotype" w:cs="Arial"/>
          <w:szCs w:val="22"/>
          <w:lang w:eastAsia="en-US"/>
        </w:rPr>
        <w:t>Es esta tesitura, toda vez que el particular requiere el acceso a los documentos en donde consten las quejas registradas en el Órgano Interno de Control interpuestas en contra de la servidora pública referida en la solicitud en el periodo que comprende del 01 de enero de 2015 al 31 de enero de 2025 así como el estado de las mismas</w:t>
      </w:r>
      <w:r w:rsidR="00D76D75" w:rsidRPr="00AB1083">
        <w:rPr>
          <w:rFonts w:ascii="Palatino Linotype" w:hAnsi="Palatino Linotype"/>
          <w:lang w:eastAsia="es-MX"/>
        </w:rPr>
        <w:t>, resulta oportun</w:t>
      </w:r>
      <w:r w:rsidR="00D76D75" w:rsidRPr="00AB1083">
        <w:rPr>
          <w:rFonts w:ascii="Palatino Linotype" w:hAnsi="Palatino Linotype"/>
        </w:rPr>
        <w:t>o señalar que la información solicitada</w:t>
      </w:r>
      <w:r w:rsidRPr="00AB1083">
        <w:rPr>
          <w:rFonts w:ascii="Palatino Linotype" w:hAnsi="Palatino Linotype"/>
        </w:rPr>
        <w:t xml:space="preserve"> para el caso de que dichos documentos formen parte de expedientes iniciados por presunta responsabilidad administrativa que se relacionen con faltas no graves</w:t>
      </w:r>
      <w:r w:rsidR="00940B2D" w:rsidRPr="00AB1083">
        <w:rPr>
          <w:rFonts w:ascii="Palatino Linotype" w:hAnsi="Palatino Linotype"/>
        </w:rPr>
        <w:t xml:space="preserve"> concluidos y en trámite</w:t>
      </w:r>
      <w:r w:rsidR="00D76D75" w:rsidRPr="00AB1083">
        <w:rPr>
          <w:rFonts w:ascii="Palatino Linotype" w:hAnsi="Palatino Linotype"/>
        </w:rPr>
        <w:t xml:space="preserve"> no es susceptible de ser entregada, ya que es considerada como información clasificable como confidencial</w:t>
      </w:r>
      <w:r w:rsidR="00E24CB5" w:rsidRPr="00AB1083">
        <w:rPr>
          <w:rFonts w:ascii="Palatino Linotype" w:hAnsi="Palatino Linotype"/>
        </w:rPr>
        <w:t>.</w:t>
      </w:r>
    </w:p>
    <w:p w14:paraId="3722F562" w14:textId="77777777" w:rsidR="00D76D75" w:rsidRPr="00AB1083" w:rsidRDefault="00D76D75" w:rsidP="00D76D75">
      <w:pPr>
        <w:tabs>
          <w:tab w:val="left" w:pos="709"/>
        </w:tabs>
        <w:spacing w:line="360" w:lineRule="auto"/>
        <w:jc w:val="both"/>
        <w:rPr>
          <w:rFonts w:ascii="Palatino Linotype" w:hAnsi="Palatino Linotype"/>
          <w:b/>
          <w:szCs w:val="22"/>
          <w:lang w:eastAsia="en-US"/>
        </w:rPr>
      </w:pPr>
    </w:p>
    <w:p w14:paraId="532C90BC" w14:textId="77777777" w:rsidR="00D76D75" w:rsidRPr="00AB1083" w:rsidRDefault="00D76D75" w:rsidP="00D76D75">
      <w:pPr>
        <w:tabs>
          <w:tab w:val="left" w:pos="709"/>
        </w:tabs>
        <w:spacing w:line="360" w:lineRule="auto"/>
        <w:jc w:val="both"/>
        <w:rPr>
          <w:rFonts w:ascii="Palatino Linotype" w:hAnsi="Palatino Linotype"/>
          <w:szCs w:val="22"/>
          <w:lang w:eastAsia="en-US"/>
        </w:rPr>
      </w:pPr>
      <w:r w:rsidRPr="00AB1083">
        <w:rPr>
          <w:rFonts w:ascii="Palatino Linotype" w:hAnsi="Palatino Linotype"/>
          <w:szCs w:val="22"/>
          <w:lang w:eastAsia="en-US"/>
        </w:rPr>
        <w:t>Se precisa lo anterior, atendiendo a que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6FB957DB" w14:textId="77777777" w:rsidR="00D76D75" w:rsidRPr="00AB1083" w:rsidRDefault="00D76D75" w:rsidP="00D76D75">
      <w:pPr>
        <w:tabs>
          <w:tab w:val="left" w:pos="709"/>
        </w:tabs>
        <w:spacing w:line="360" w:lineRule="auto"/>
        <w:jc w:val="both"/>
        <w:rPr>
          <w:rFonts w:ascii="Palatino Linotype" w:hAnsi="Palatino Linotype"/>
          <w:szCs w:val="22"/>
          <w:lang w:eastAsia="en-US"/>
        </w:rPr>
      </w:pPr>
    </w:p>
    <w:p w14:paraId="346C6B6A" w14:textId="77777777" w:rsidR="00D76D75" w:rsidRPr="00AB1083" w:rsidRDefault="00D76D75" w:rsidP="00D76D75">
      <w:pPr>
        <w:tabs>
          <w:tab w:val="left" w:pos="709"/>
        </w:tabs>
        <w:spacing w:line="360" w:lineRule="auto"/>
        <w:ind w:left="567" w:right="567"/>
        <w:jc w:val="center"/>
        <w:rPr>
          <w:rFonts w:ascii="Palatino Linotype" w:hAnsi="Palatino Linotype"/>
          <w:b/>
          <w:i/>
          <w:sz w:val="22"/>
          <w:szCs w:val="22"/>
          <w:lang w:eastAsia="en-US"/>
        </w:rPr>
      </w:pPr>
      <w:r w:rsidRPr="00AB1083">
        <w:rPr>
          <w:rFonts w:ascii="Palatino Linotype" w:hAnsi="Palatino Linotype"/>
          <w:b/>
          <w:i/>
          <w:sz w:val="22"/>
          <w:szCs w:val="22"/>
          <w:lang w:eastAsia="en-US"/>
        </w:rPr>
        <w:t>Ley General del Sistema Nacional Anticorrupción</w:t>
      </w:r>
    </w:p>
    <w:p w14:paraId="3E6188EA" w14:textId="77777777" w:rsidR="00D76D75" w:rsidRPr="00AB1083" w:rsidRDefault="00D76D75" w:rsidP="00D76D75">
      <w:pPr>
        <w:tabs>
          <w:tab w:val="left" w:pos="709"/>
        </w:tabs>
        <w:spacing w:line="360" w:lineRule="auto"/>
        <w:ind w:left="567" w:right="567"/>
        <w:jc w:val="both"/>
        <w:rPr>
          <w:rFonts w:ascii="Palatino Linotype" w:hAnsi="Palatino Linotype"/>
          <w:b/>
          <w:i/>
          <w:sz w:val="22"/>
          <w:szCs w:val="22"/>
          <w:lang w:eastAsia="en-US"/>
        </w:rPr>
      </w:pPr>
      <w:r w:rsidRPr="00AB1083">
        <w:rPr>
          <w:rFonts w:ascii="Palatino Linotype" w:hAnsi="Palatino Linotype"/>
          <w:b/>
          <w:i/>
          <w:sz w:val="22"/>
          <w:szCs w:val="22"/>
          <w:lang w:eastAsia="en-US"/>
        </w:rPr>
        <w:t>“53…</w:t>
      </w:r>
    </w:p>
    <w:p w14:paraId="3ECE56D2" w14:textId="77777777" w:rsidR="00D76D75" w:rsidRPr="00AB1083" w:rsidRDefault="00D76D75" w:rsidP="00D76D75">
      <w:pPr>
        <w:tabs>
          <w:tab w:val="left" w:pos="709"/>
        </w:tabs>
        <w:spacing w:line="360" w:lineRule="auto"/>
        <w:ind w:left="567" w:right="567"/>
        <w:jc w:val="both"/>
        <w:rPr>
          <w:rFonts w:ascii="Palatino Linotype" w:hAnsi="Palatino Linotype"/>
          <w:b/>
          <w:i/>
          <w:sz w:val="22"/>
          <w:szCs w:val="22"/>
          <w:lang w:eastAsia="en-US"/>
        </w:rPr>
      </w:pPr>
      <w:r w:rsidRPr="00AB1083">
        <w:rPr>
          <w:rFonts w:ascii="Palatino Linotype" w:hAnsi="Palatino Linotype"/>
          <w:i/>
          <w:sz w:val="22"/>
          <w:szCs w:val="22"/>
          <w:lang w:eastAsia="en-US"/>
        </w:rPr>
        <w:lastRenderedPageBreak/>
        <w:t>Los registros de las sanciones relativas a responsabilidades administrativas no graves, quedarán registradas para efectos de eventual reincidencia, pero no serán públicas</w:t>
      </w:r>
      <w:r w:rsidRPr="00AB1083">
        <w:rPr>
          <w:rFonts w:ascii="Palatino Linotype" w:hAnsi="Palatino Linotype"/>
          <w:b/>
          <w:i/>
          <w:sz w:val="22"/>
          <w:szCs w:val="22"/>
          <w:lang w:eastAsia="en-US"/>
        </w:rPr>
        <w:t xml:space="preserve">...” </w:t>
      </w:r>
    </w:p>
    <w:p w14:paraId="0CE579A7" w14:textId="77777777" w:rsidR="00D76D75" w:rsidRPr="00AB1083" w:rsidRDefault="00D76D75" w:rsidP="00D76D75">
      <w:pPr>
        <w:tabs>
          <w:tab w:val="left" w:pos="709"/>
        </w:tabs>
        <w:spacing w:line="360" w:lineRule="auto"/>
        <w:ind w:left="567" w:right="567"/>
        <w:jc w:val="both"/>
        <w:rPr>
          <w:rFonts w:ascii="Palatino Linotype" w:hAnsi="Palatino Linotype"/>
          <w:b/>
          <w:i/>
          <w:sz w:val="22"/>
          <w:szCs w:val="22"/>
          <w:lang w:eastAsia="en-US"/>
        </w:rPr>
      </w:pPr>
    </w:p>
    <w:p w14:paraId="5A78BA75" w14:textId="77777777" w:rsidR="00D76D75" w:rsidRPr="00AB1083" w:rsidRDefault="00D76D75" w:rsidP="00D76D75">
      <w:pPr>
        <w:tabs>
          <w:tab w:val="left" w:pos="709"/>
        </w:tabs>
        <w:spacing w:line="360" w:lineRule="auto"/>
        <w:ind w:left="567" w:right="567"/>
        <w:jc w:val="both"/>
        <w:rPr>
          <w:rFonts w:ascii="Palatino Linotype" w:hAnsi="Palatino Linotype"/>
          <w:b/>
          <w:i/>
          <w:sz w:val="22"/>
          <w:szCs w:val="22"/>
          <w:lang w:eastAsia="en-US"/>
        </w:rPr>
      </w:pPr>
    </w:p>
    <w:p w14:paraId="6495FC95" w14:textId="77777777" w:rsidR="00D76D75" w:rsidRPr="00AB1083" w:rsidRDefault="00D76D75" w:rsidP="00D76D75">
      <w:pPr>
        <w:tabs>
          <w:tab w:val="left" w:pos="709"/>
        </w:tabs>
        <w:spacing w:line="360" w:lineRule="auto"/>
        <w:ind w:left="567" w:right="567"/>
        <w:jc w:val="center"/>
        <w:rPr>
          <w:rFonts w:ascii="Palatino Linotype" w:hAnsi="Palatino Linotype"/>
          <w:b/>
          <w:i/>
          <w:sz w:val="22"/>
          <w:szCs w:val="22"/>
          <w:lang w:eastAsia="en-US"/>
        </w:rPr>
      </w:pPr>
      <w:r w:rsidRPr="00AB1083">
        <w:rPr>
          <w:rFonts w:ascii="Palatino Linotype" w:hAnsi="Palatino Linotype"/>
          <w:b/>
          <w:i/>
          <w:sz w:val="22"/>
          <w:szCs w:val="22"/>
          <w:lang w:eastAsia="en-US"/>
        </w:rPr>
        <w:t>Ley del Sistema Anticorrupción del Estado de México</w:t>
      </w:r>
    </w:p>
    <w:p w14:paraId="6907D76A" w14:textId="77777777" w:rsidR="00D76D75" w:rsidRPr="00AB1083" w:rsidRDefault="00D76D75" w:rsidP="00D76D75">
      <w:pPr>
        <w:tabs>
          <w:tab w:val="left" w:pos="709"/>
        </w:tabs>
        <w:spacing w:line="360" w:lineRule="auto"/>
        <w:ind w:left="567" w:right="567"/>
        <w:jc w:val="both"/>
        <w:rPr>
          <w:rFonts w:ascii="Palatino Linotype" w:hAnsi="Palatino Linotype"/>
          <w:b/>
          <w:i/>
          <w:sz w:val="22"/>
          <w:szCs w:val="22"/>
          <w:lang w:eastAsia="en-US"/>
        </w:rPr>
      </w:pPr>
      <w:r w:rsidRPr="00AB1083">
        <w:rPr>
          <w:rFonts w:ascii="Palatino Linotype" w:hAnsi="Palatino Linotype"/>
          <w:b/>
          <w:i/>
          <w:sz w:val="22"/>
          <w:szCs w:val="22"/>
          <w:lang w:eastAsia="en-US"/>
        </w:rPr>
        <w:t>“53…</w:t>
      </w:r>
    </w:p>
    <w:p w14:paraId="6CDFDDF0" w14:textId="77777777" w:rsidR="00D76D75" w:rsidRPr="00AB1083" w:rsidRDefault="00D76D75" w:rsidP="00D76D75">
      <w:pPr>
        <w:tabs>
          <w:tab w:val="left" w:pos="709"/>
        </w:tabs>
        <w:spacing w:line="360" w:lineRule="auto"/>
        <w:ind w:left="567" w:right="567"/>
        <w:jc w:val="both"/>
        <w:rPr>
          <w:rFonts w:ascii="Palatino Linotype" w:hAnsi="Palatino Linotype"/>
          <w:sz w:val="22"/>
          <w:szCs w:val="22"/>
          <w:lang w:eastAsia="en-US"/>
        </w:rPr>
      </w:pPr>
      <w:r w:rsidRPr="00AB1083">
        <w:rPr>
          <w:rFonts w:ascii="Palatino Linotype" w:hAnsi="Palatino Linotype"/>
          <w:sz w:val="22"/>
          <w:szCs w:val="22"/>
          <w:lang w:eastAsia="en-US"/>
        </w:rPr>
        <w:t>Los registros de las sanciones relativas a responsabilidades administrativas no graves, quedarán registradas para efectos de eventual reincidencia, pero no serán públicas…”</w:t>
      </w:r>
    </w:p>
    <w:p w14:paraId="6352379F" w14:textId="77777777" w:rsidR="00D76D75" w:rsidRPr="00AB1083" w:rsidRDefault="00D76D75" w:rsidP="00D76D75">
      <w:pPr>
        <w:tabs>
          <w:tab w:val="left" w:pos="709"/>
        </w:tabs>
        <w:spacing w:line="360" w:lineRule="auto"/>
        <w:ind w:left="567" w:right="567"/>
        <w:jc w:val="both"/>
        <w:rPr>
          <w:rFonts w:ascii="Palatino Linotype" w:hAnsi="Palatino Linotype"/>
          <w:sz w:val="22"/>
          <w:szCs w:val="22"/>
          <w:lang w:eastAsia="en-US"/>
        </w:rPr>
      </w:pPr>
    </w:p>
    <w:p w14:paraId="642CBD47" w14:textId="77777777" w:rsidR="00D76D75" w:rsidRPr="00AB1083" w:rsidRDefault="00D76D75" w:rsidP="00D76D75">
      <w:pPr>
        <w:tabs>
          <w:tab w:val="left" w:pos="709"/>
        </w:tabs>
        <w:spacing w:line="360" w:lineRule="auto"/>
        <w:ind w:left="567" w:right="567"/>
        <w:jc w:val="center"/>
        <w:rPr>
          <w:rFonts w:ascii="Palatino Linotype" w:hAnsi="Palatino Linotype"/>
          <w:b/>
          <w:i/>
          <w:sz w:val="22"/>
          <w:szCs w:val="22"/>
          <w:lang w:eastAsia="en-US"/>
        </w:rPr>
      </w:pPr>
      <w:r w:rsidRPr="00AB1083">
        <w:rPr>
          <w:rFonts w:ascii="Palatino Linotype" w:hAnsi="Palatino Linotype"/>
          <w:b/>
          <w:i/>
          <w:sz w:val="22"/>
          <w:szCs w:val="22"/>
          <w:lang w:eastAsia="en-US"/>
        </w:rPr>
        <w:t>Ley General de Responsabilidades Administrativas</w:t>
      </w:r>
    </w:p>
    <w:p w14:paraId="236649ED" w14:textId="77777777" w:rsidR="00D76D75" w:rsidRPr="00AB1083" w:rsidRDefault="00D76D75" w:rsidP="00D76D75">
      <w:pPr>
        <w:tabs>
          <w:tab w:val="left" w:pos="709"/>
        </w:tabs>
        <w:spacing w:line="360" w:lineRule="auto"/>
        <w:ind w:left="567" w:right="567"/>
        <w:jc w:val="both"/>
        <w:rPr>
          <w:rFonts w:ascii="Palatino Linotype" w:hAnsi="Palatino Linotype"/>
          <w:b/>
          <w:i/>
          <w:sz w:val="22"/>
          <w:szCs w:val="22"/>
          <w:lang w:eastAsia="en-US"/>
        </w:rPr>
      </w:pPr>
      <w:r w:rsidRPr="00AB1083">
        <w:rPr>
          <w:rFonts w:ascii="Palatino Linotype" w:hAnsi="Palatino Linotype"/>
          <w:b/>
          <w:i/>
          <w:sz w:val="22"/>
          <w:szCs w:val="22"/>
          <w:lang w:eastAsia="en-US"/>
        </w:rPr>
        <w:t>“27…</w:t>
      </w:r>
    </w:p>
    <w:p w14:paraId="262EC99D" w14:textId="77777777" w:rsidR="00D76D75" w:rsidRPr="00AB1083" w:rsidRDefault="00D76D75" w:rsidP="00D76D75">
      <w:pPr>
        <w:tabs>
          <w:tab w:val="left" w:pos="709"/>
        </w:tabs>
        <w:spacing w:line="360" w:lineRule="auto"/>
        <w:ind w:left="567" w:right="567"/>
        <w:jc w:val="both"/>
        <w:rPr>
          <w:rFonts w:ascii="Palatino Linotype" w:hAnsi="Palatino Linotype"/>
          <w:i/>
          <w:sz w:val="22"/>
          <w:szCs w:val="22"/>
          <w:lang w:eastAsia="en-US"/>
        </w:rPr>
      </w:pPr>
      <w:r w:rsidRPr="00AB1083">
        <w:rPr>
          <w:rFonts w:ascii="Palatino Linotype" w:hAnsi="Palatino Linotype"/>
          <w:i/>
          <w:sz w:val="22"/>
          <w:szCs w:val="22"/>
          <w:lang w:eastAsia="en-US"/>
        </w:rPr>
        <w:t>así como la anotación de aquellas abstenciones que hayan realizado las autoridades investigadoras o el Tribunal, en términos de los artículos 77 y 80 de esta Ley”.</w:t>
      </w:r>
    </w:p>
    <w:p w14:paraId="6BF94E92" w14:textId="77777777" w:rsidR="00D76D75" w:rsidRPr="00AB1083" w:rsidRDefault="00D76D75" w:rsidP="00D76D75">
      <w:pPr>
        <w:tabs>
          <w:tab w:val="left" w:pos="709"/>
        </w:tabs>
        <w:spacing w:line="360" w:lineRule="auto"/>
        <w:ind w:right="567"/>
        <w:jc w:val="both"/>
        <w:rPr>
          <w:rFonts w:ascii="Palatino Linotype" w:hAnsi="Palatino Linotype"/>
          <w:szCs w:val="22"/>
          <w:lang w:eastAsia="en-US"/>
        </w:rPr>
      </w:pPr>
    </w:p>
    <w:p w14:paraId="56481C44" w14:textId="77777777" w:rsidR="00D76D75" w:rsidRPr="00AB1083" w:rsidRDefault="00D76D75" w:rsidP="00D76D75">
      <w:pPr>
        <w:tabs>
          <w:tab w:val="left" w:pos="709"/>
        </w:tabs>
        <w:spacing w:line="360" w:lineRule="auto"/>
        <w:jc w:val="both"/>
        <w:rPr>
          <w:rFonts w:ascii="Palatino Linotype" w:hAnsi="Palatino Linotype"/>
          <w:szCs w:val="22"/>
          <w:lang w:eastAsia="en-US"/>
        </w:rPr>
      </w:pPr>
      <w:r w:rsidRPr="00AB1083">
        <w:rPr>
          <w:rFonts w:ascii="Palatino Linotype" w:hAnsi="Palatino Linotype"/>
          <w:szCs w:val="22"/>
          <w:lang w:eastAsia="en-US"/>
        </w:rPr>
        <w:t xml:space="preserve">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las denuncias o quejas que integran expedientes que contienen procedimientos de responsabilidad administrativa originados por motivo de faltas administrativas no graves, en las que se haya determinado imponer alguna sanción, por determinación de la ley las mismas </w:t>
      </w:r>
      <w:r w:rsidRPr="00AB1083">
        <w:rPr>
          <w:rFonts w:ascii="Palatino Linotype" w:hAnsi="Palatino Linotype"/>
          <w:b/>
          <w:bCs/>
          <w:szCs w:val="22"/>
          <w:lang w:eastAsia="en-US"/>
        </w:rPr>
        <w:t>no son consideradas públicas</w:t>
      </w:r>
      <w:r w:rsidRPr="00AB1083">
        <w:rPr>
          <w:rFonts w:ascii="Palatino Linotype" w:hAnsi="Palatino Linotype"/>
          <w:szCs w:val="22"/>
          <w:lang w:eastAsia="en-US"/>
        </w:rPr>
        <w:t>.</w:t>
      </w:r>
    </w:p>
    <w:p w14:paraId="277145D4" w14:textId="77777777" w:rsidR="00D76D75" w:rsidRPr="00AB1083" w:rsidRDefault="00D76D75" w:rsidP="00D76D75">
      <w:pPr>
        <w:tabs>
          <w:tab w:val="left" w:pos="709"/>
        </w:tabs>
        <w:spacing w:line="360" w:lineRule="auto"/>
        <w:jc w:val="both"/>
        <w:rPr>
          <w:rFonts w:ascii="Palatino Linotype" w:hAnsi="Palatino Linotype"/>
          <w:szCs w:val="22"/>
          <w:lang w:eastAsia="en-US"/>
        </w:rPr>
      </w:pPr>
    </w:p>
    <w:p w14:paraId="3F90A9C9" w14:textId="77777777" w:rsidR="00D76D75" w:rsidRPr="00AB1083" w:rsidRDefault="00D76D75" w:rsidP="00D76D75">
      <w:pPr>
        <w:tabs>
          <w:tab w:val="left" w:pos="709"/>
        </w:tabs>
        <w:spacing w:line="360" w:lineRule="auto"/>
        <w:jc w:val="both"/>
        <w:rPr>
          <w:rFonts w:ascii="Palatino Linotype" w:hAnsi="Palatino Linotype"/>
          <w:szCs w:val="22"/>
          <w:lang w:eastAsia="en-US"/>
        </w:rPr>
      </w:pPr>
      <w:r w:rsidRPr="00AB1083">
        <w:rPr>
          <w:rFonts w:ascii="Palatino Linotype" w:hAnsi="Palatino Linotype"/>
          <w:szCs w:val="22"/>
          <w:lang w:eastAsia="en-US"/>
        </w:rPr>
        <w:lastRenderedPageBreak/>
        <w:t xml:space="preserve">Correlativo a lo anterior, con fundamento en el artículo 27, párrafo cuarto, segundo supuesto de la Ley General de Responsabilidades Administrativas, se determina que </w:t>
      </w:r>
      <w:r w:rsidRPr="00AB1083">
        <w:rPr>
          <w:rFonts w:ascii="Palatino Linotype" w:hAnsi="Palatino Linotype"/>
          <w:b/>
          <w:bCs/>
          <w:szCs w:val="22"/>
          <w:u w:val="single"/>
          <w:lang w:eastAsia="en-US"/>
        </w:rPr>
        <w:t>los expedientes que contienen abstenciones derivadas de investigaciones o procedimientos de responsabilidad administrativa originados por faltas administrativas no graves, no se harán públicas</w:t>
      </w:r>
      <w:r w:rsidRPr="00AB1083">
        <w:rPr>
          <w:rFonts w:ascii="Palatino Linotype" w:hAnsi="Palatino Linotype"/>
          <w:szCs w:val="22"/>
          <w:lang w:eastAsia="en-US"/>
        </w:rPr>
        <w:t>.</w:t>
      </w:r>
    </w:p>
    <w:p w14:paraId="2BCE60B5" w14:textId="77777777" w:rsidR="00D76D75" w:rsidRPr="00AB1083" w:rsidRDefault="00D76D75" w:rsidP="00D76D75">
      <w:pPr>
        <w:tabs>
          <w:tab w:val="left" w:pos="709"/>
        </w:tabs>
        <w:spacing w:line="360" w:lineRule="auto"/>
        <w:jc w:val="both"/>
        <w:rPr>
          <w:rFonts w:ascii="Palatino Linotype" w:hAnsi="Palatino Linotype"/>
          <w:szCs w:val="22"/>
          <w:lang w:eastAsia="en-US"/>
        </w:rPr>
      </w:pPr>
    </w:p>
    <w:p w14:paraId="2760CDAE" w14:textId="599945A4" w:rsidR="00D76D75" w:rsidRPr="00AB1083" w:rsidRDefault="00D76D75" w:rsidP="00D76D75">
      <w:pPr>
        <w:tabs>
          <w:tab w:val="left" w:pos="709"/>
        </w:tabs>
        <w:spacing w:line="360" w:lineRule="auto"/>
        <w:jc w:val="both"/>
        <w:rPr>
          <w:rFonts w:ascii="Palatino Linotype" w:hAnsi="Palatino Linotype"/>
          <w:szCs w:val="22"/>
          <w:lang w:eastAsia="en-US"/>
        </w:rPr>
      </w:pPr>
      <w:r w:rsidRPr="00AB1083">
        <w:rPr>
          <w:rFonts w:ascii="Palatino Linotype" w:hAnsi="Palatino Linotype"/>
          <w:szCs w:val="22"/>
          <w:lang w:eastAsia="en-US"/>
        </w:rPr>
        <w:t xml:space="preserve">Acotado lo anterior, se destaca que, si bien es cierto para el caso de las quejas, denuncias y sugerencias que formen parte de procedimientos de </w:t>
      </w:r>
      <w:r w:rsidRPr="00AB1083">
        <w:rPr>
          <w:rFonts w:ascii="Palatino Linotype" w:hAnsi="Palatino Linotype"/>
          <w:b/>
          <w:szCs w:val="22"/>
          <w:u w:val="single"/>
          <w:lang w:eastAsia="en-US"/>
        </w:rPr>
        <w:t>sanciones graves absolutorias, concluidos</w:t>
      </w:r>
      <w:r w:rsidRPr="00AB1083">
        <w:rPr>
          <w:rFonts w:ascii="Palatino Linotype" w:hAnsi="Palatino Linotype"/>
          <w:szCs w:val="22"/>
          <w:lang w:eastAsia="en-US"/>
        </w:rPr>
        <w:t xml:space="preserve">, procederá a su acceso en </w:t>
      </w:r>
      <w:r w:rsidRPr="00AB1083">
        <w:rPr>
          <w:rFonts w:ascii="Palatino Linotype" w:hAnsi="Palatino Linotype"/>
          <w:i/>
          <w:szCs w:val="22"/>
          <w:lang w:eastAsia="en-US"/>
        </w:rPr>
        <w:t>versión pública</w:t>
      </w:r>
      <w:r w:rsidRPr="00AB1083">
        <w:rPr>
          <w:rFonts w:ascii="Palatino Linotype" w:hAnsi="Palatino Linotype"/>
          <w:szCs w:val="22"/>
          <w:lang w:eastAsia="en-US"/>
        </w:rPr>
        <w:t xml:space="preserve">, </w:t>
      </w:r>
      <w:r w:rsidRPr="00AB1083">
        <w:rPr>
          <w:rFonts w:ascii="Palatino Linotype" w:hAnsi="Palatino Linotype"/>
          <w:b/>
          <w:szCs w:val="22"/>
          <w:u w:val="single"/>
          <w:lang w:eastAsia="en-US"/>
        </w:rPr>
        <w:t>protegiendo el nombre, cargo y área de adscripción de los Servidores Públicos absuelto</w:t>
      </w:r>
      <w:r w:rsidRPr="00AB1083">
        <w:rPr>
          <w:rFonts w:ascii="Palatino Linotype" w:hAnsi="Palatino Linotype"/>
          <w:szCs w:val="22"/>
          <w:lang w:eastAsia="en-US"/>
        </w:rPr>
        <w:t xml:space="preserve">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 También lo es que, en el presente caso, se proporcionó el nombre de</w:t>
      </w:r>
      <w:r w:rsidR="00AC6F35" w:rsidRPr="00AB1083">
        <w:rPr>
          <w:rFonts w:ascii="Palatino Linotype" w:hAnsi="Palatino Linotype"/>
          <w:szCs w:val="22"/>
          <w:lang w:eastAsia="en-US"/>
        </w:rPr>
        <w:t xml:space="preserve"> la</w:t>
      </w:r>
      <w:r w:rsidRPr="00AB1083">
        <w:rPr>
          <w:rFonts w:ascii="Palatino Linotype" w:hAnsi="Palatino Linotype"/>
          <w:szCs w:val="22"/>
          <w:lang w:eastAsia="en-US"/>
        </w:rPr>
        <w:t xml:space="preserve"> servidor</w:t>
      </w:r>
      <w:r w:rsidR="00AC6F35" w:rsidRPr="00AB1083">
        <w:rPr>
          <w:rFonts w:ascii="Palatino Linotype" w:hAnsi="Palatino Linotype"/>
          <w:szCs w:val="22"/>
          <w:lang w:eastAsia="en-US"/>
        </w:rPr>
        <w:t>a</w:t>
      </w:r>
      <w:r w:rsidRPr="00AB1083">
        <w:rPr>
          <w:rFonts w:ascii="Palatino Linotype" w:hAnsi="Palatino Linotype"/>
          <w:szCs w:val="22"/>
          <w:lang w:eastAsia="en-US"/>
        </w:rPr>
        <w:t xml:space="preserve"> públic</w:t>
      </w:r>
      <w:r w:rsidR="00AC6F35" w:rsidRPr="00AB1083">
        <w:rPr>
          <w:rFonts w:ascii="Palatino Linotype" w:hAnsi="Palatino Linotype"/>
          <w:szCs w:val="22"/>
          <w:lang w:eastAsia="en-US"/>
        </w:rPr>
        <w:t>a</w:t>
      </w:r>
      <w:r w:rsidRPr="00AB1083">
        <w:rPr>
          <w:rFonts w:ascii="Palatino Linotype" w:hAnsi="Palatino Linotype"/>
          <w:szCs w:val="22"/>
          <w:lang w:eastAsia="en-US"/>
        </w:rPr>
        <w:t xml:space="preserve"> de</w:t>
      </w:r>
      <w:r w:rsidR="00940B2D" w:rsidRPr="00AB1083">
        <w:rPr>
          <w:rFonts w:ascii="Palatino Linotype" w:hAnsi="Palatino Linotype"/>
          <w:szCs w:val="22"/>
          <w:lang w:eastAsia="en-US"/>
        </w:rPr>
        <w:t xml:space="preserve"> la</w:t>
      </w:r>
      <w:r w:rsidRPr="00AB1083">
        <w:rPr>
          <w:rFonts w:ascii="Palatino Linotype" w:hAnsi="Palatino Linotype"/>
          <w:szCs w:val="22"/>
          <w:lang w:eastAsia="en-US"/>
        </w:rPr>
        <w:t xml:space="preserve"> que se requería la información y por lo tanto no e</w:t>
      </w:r>
      <w:r w:rsidR="00AC6F35" w:rsidRPr="00AB1083">
        <w:rPr>
          <w:rFonts w:ascii="Palatino Linotype" w:hAnsi="Palatino Linotype"/>
          <w:szCs w:val="22"/>
          <w:lang w:eastAsia="en-US"/>
        </w:rPr>
        <w:t>s</w:t>
      </w:r>
      <w:r w:rsidRPr="00AB1083">
        <w:rPr>
          <w:rFonts w:ascii="Palatino Linotype" w:hAnsi="Palatino Linotype"/>
          <w:szCs w:val="22"/>
          <w:lang w:eastAsia="en-US"/>
        </w:rPr>
        <w:t xml:space="preserve"> susceptible de entregar información alguna, sino únicamente </w:t>
      </w:r>
      <w:r w:rsidRPr="00AB1083">
        <w:rPr>
          <w:rFonts w:ascii="Palatino Linotype" w:hAnsi="Palatino Linotype"/>
          <w:b/>
          <w:bCs/>
          <w:szCs w:val="22"/>
          <w:u w:val="single"/>
          <w:lang w:eastAsia="en-US"/>
        </w:rPr>
        <w:t>la clasificación del pronunciamiento en sentido afirmativo o negativo, sobre la existencia de a</w:t>
      </w:r>
      <w:r w:rsidR="00AC6F35" w:rsidRPr="00AB1083">
        <w:rPr>
          <w:rFonts w:ascii="Palatino Linotype" w:hAnsi="Palatino Linotype"/>
          <w:b/>
          <w:bCs/>
          <w:szCs w:val="22"/>
          <w:u w:val="single"/>
          <w:lang w:eastAsia="en-US"/>
        </w:rPr>
        <w:t>lgún</w:t>
      </w:r>
      <w:r w:rsidRPr="00AB1083">
        <w:rPr>
          <w:rFonts w:ascii="Palatino Linotype" w:hAnsi="Palatino Linotype"/>
          <w:b/>
          <w:bCs/>
          <w:szCs w:val="22"/>
          <w:u w:val="single"/>
          <w:lang w:eastAsia="en-US"/>
        </w:rPr>
        <w:t xml:space="preserve"> </w:t>
      </w:r>
      <w:r w:rsidR="00AC6F35" w:rsidRPr="00AB1083">
        <w:rPr>
          <w:rFonts w:ascii="Palatino Linotype" w:hAnsi="Palatino Linotype"/>
          <w:b/>
          <w:bCs/>
          <w:szCs w:val="22"/>
          <w:u w:val="single"/>
          <w:lang w:eastAsia="en-US"/>
        </w:rPr>
        <w:t>procedimiento de responsabilidad administrativa por falta no grave</w:t>
      </w:r>
      <w:r w:rsidRPr="00AB1083">
        <w:rPr>
          <w:rFonts w:ascii="Palatino Linotype" w:hAnsi="Palatino Linotype"/>
          <w:b/>
          <w:bCs/>
          <w:szCs w:val="22"/>
          <w:u w:val="single"/>
          <w:lang w:eastAsia="en-US"/>
        </w:rPr>
        <w:t xml:space="preserve"> en contra de la persona referida en la solicitud de información</w:t>
      </w:r>
      <w:r w:rsidRPr="00AB1083">
        <w:rPr>
          <w:rFonts w:ascii="Palatino Linotype" w:hAnsi="Palatino Linotype"/>
          <w:szCs w:val="22"/>
          <w:lang w:eastAsia="en-US"/>
        </w:rPr>
        <w:t>, de conformidad con los artículos 49, fracción II, 132, fracción II, 143, fracción I, y 149 de la Ley de Transparencia y Acceso a la Información Pública del Estado de México y Municipios.</w:t>
      </w:r>
    </w:p>
    <w:p w14:paraId="47BF6274" w14:textId="77777777" w:rsidR="00D76D75" w:rsidRPr="00AB1083" w:rsidRDefault="00D76D75" w:rsidP="00D76D75">
      <w:pPr>
        <w:tabs>
          <w:tab w:val="left" w:pos="709"/>
        </w:tabs>
        <w:spacing w:line="360" w:lineRule="auto"/>
        <w:jc w:val="both"/>
        <w:rPr>
          <w:rFonts w:ascii="Palatino Linotype" w:hAnsi="Palatino Linotype"/>
          <w:szCs w:val="22"/>
          <w:lang w:eastAsia="en-US"/>
        </w:rPr>
      </w:pPr>
    </w:p>
    <w:p w14:paraId="1430D89B" w14:textId="77777777" w:rsidR="00D76D75" w:rsidRPr="00AB1083" w:rsidRDefault="00D76D75" w:rsidP="00D76D75">
      <w:pPr>
        <w:tabs>
          <w:tab w:val="left" w:pos="709"/>
        </w:tabs>
        <w:spacing w:line="360" w:lineRule="auto"/>
        <w:jc w:val="both"/>
        <w:rPr>
          <w:rFonts w:ascii="Palatino Linotype" w:hAnsi="Palatino Linotype"/>
          <w:szCs w:val="22"/>
          <w:lang w:eastAsia="en-US"/>
        </w:rPr>
      </w:pPr>
      <w:r w:rsidRPr="00AB1083">
        <w:rPr>
          <w:rFonts w:ascii="Palatino Linotype" w:hAnsi="Palatino Linotype"/>
          <w:szCs w:val="22"/>
          <w:lang w:eastAsia="en-US"/>
        </w:rPr>
        <w:lastRenderedPageBreak/>
        <w:t xml:space="preserve">Bajo este contexto, se considera que en el supuesto de que la información se encuentre en alguno de los supuestos antes establecidos, el </w:t>
      </w:r>
      <w:r w:rsidRPr="00AB1083">
        <w:rPr>
          <w:rFonts w:ascii="Palatino Linotype" w:hAnsi="Palatino Linotype"/>
          <w:b/>
          <w:szCs w:val="22"/>
          <w:lang w:eastAsia="en-US"/>
        </w:rPr>
        <w:t>Sujeto Obligado</w:t>
      </w:r>
      <w:r w:rsidRPr="00AB1083">
        <w:rPr>
          <w:rFonts w:ascii="Palatino Linotype" w:hAnsi="Palatino Linotype"/>
          <w:szCs w:val="22"/>
          <w:lang w:eastAsia="en-US"/>
        </w:rPr>
        <w:t xml:space="preserve"> deberá clasificar la información, emitiendo en su caso el acuerdo correspondiente</w:t>
      </w:r>
      <w:r w:rsidRPr="00AB1083">
        <w:rPr>
          <w:rFonts w:ascii="Palatino Linotype" w:hAnsi="Palatino Linotype"/>
          <w:b/>
          <w:szCs w:val="22"/>
          <w:lang w:eastAsia="en-US"/>
        </w:rPr>
        <w:t xml:space="preserve">, </w:t>
      </w:r>
      <w:r w:rsidRPr="00AB1083">
        <w:rPr>
          <w:rFonts w:ascii="Palatino Linotype" w:hAnsi="Palatino Linotype"/>
          <w:szCs w:val="22"/>
          <w:lang w:eastAsia="en-US"/>
        </w:rPr>
        <w:t>tomando en consideración que, de proporcionar el nombre de los servidores públicos relacionados al procedimiento de responsabilidades administrativas por faltas no graves, podría afectar su honor, buen nombre y su imagen.</w:t>
      </w:r>
    </w:p>
    <w:p w14:paraId="30F26B55" w14:textId="77777777" w:rsidR="00D76D75" w:rsidRPr="00AB1083" w:rsidRDefault="00D76D75" w:rsidP="00D76D75">
      <w:pPr>
        <w:tabs>
          <w:tab w:val="left" w:pos="709"/>
        </w:tabs>
        <w:spacing w:line="360" w:lineRule="auto"/>
        <w:jc w:val="both"/>
        <w:rPr>
          <w:rFonts w:ascii="Palatino Linotype" w:hAnsi="Palatino Linotype"/>
          <w:szCs w:val="22"/>
          <w:lang w:eastAsia="en-US"/>
        </w:rPr>
      </w:pPr>
    </w:p>
    <w:p w14:paraId="5F0C581F"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Al respecto, se destaca que los sujetos obligados deben ser responsables de los datos personales y, en relación con éstos, deberán cumplir, con las obligaciones establecidas en las leyes de la materia y en la Ley General de Transparencia y Acceso a la Información Pública.</w:t>
      </w:r>
    </w:p>
    <w:p w14:paraId="779D7899" w14:textId="77777777" w:rsidR="00D76D75" w:rsidRPr="00AB1083" w:rsidRDefault="00D76D75" w:rsidP="00D76D75">
      <w:pPr>
        <w:spacing w:line="360" w:lineRule="auto"/>
        <w:jc w:val="both"/>
        <w:rPr>
          <w:rFonts w:ascii="Palatino Linotype" w:hAnsi="Palatino Linotype" w:cs="Tahoma"/>
          <w:b/>
          <w:bCs/>
          <w:iCs/>
        </w:rPr>
      </w:pPr>
    </w:p>
    <w:p w14:paraId="6F286F87"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7D4B883F" w14:textId="77777777" w:rsidR="00D76D75" w:rsidRPr="00AB1083" w:rsidRDefault="00D76D75" w:rsidP="00D76D75">
      <w:pPr>
        <w:spacing w:line="360" w:lineRule="auto"/>
        <w:jc w:val="both"/>
        <w:rPr>
          <w:rFonts w:ascii="Palatino Linotype" w:hAnsi="Palatino Linotype" w:cs="Tahoma"/>
          <w:bCs/>
          <w:iCs/>
        </w:rPr>
      </w:pPr>
    </w:p>
    <w:p w14:paraId="55B6E2FB" w14:textId="77777777" w:rsidR="00D76D75" w:rsidRPr="00AB1083" w:rsidRDefault="00D76D75" w:rsidP="00D76D75">
      <w:pPr>
        <w:numPr>
          <w:ilvl w:val="0"/>
          <w:numId w:val="44"/>
        </w:numPr>
        <w:spacing w:after="160" w:line="360" w:lineRule="auto"/>
        <w:jc w:val="both"/>
        <w:rPr>
          <w:rFonts w:ascii="Palatino Linotype" w:hAnsi="Palatino Linotype" w:cs="Tahoma"/>
          <w:bCs/>
          <w:iCs/>
          <w:sz w:val="22"/>
        </w:rPr>
      </w:pPr>
      <w:r w:rsidRPr="00AB1083">
        <w:rPr>
          <w:rFonts w:ascii="Palatino Linotype" w:hAnsi="Palatino Linotype" w:cs="Tahoma"/>
          <w:bCs/>
          <w:iCs/>
          <w:sz w:val="22"/>
        </w:rPr>
        <w:t xml:space="preserve">Se trate de datos personales, esto es, información concerniente a una persona física y que ésta sea identificada o identificable o bien, sea aquella que refiera aspectos de la vida privada o íntima de las personas. </w:t>
      </w:r>
    </w:p>
    <w:p w14:paraId="642E8808" w14:textId="77777777" w:rsidR="00D76D75" w:rsidRPr="00AB1083" w:rsidRDefault="00D76D75" w:rsidP="00D76D75">
      <w:pPr>
        <w:spacing w:line="360" w:lineRule="auto"/>
        <w:jc w:val="both"/>
        <w:rPr>
          <w:rFonts w:ascii="Palatino Linotype" w:hAnsi="Palatino Linotype" w:cs="Tahoma"/>
          <w:bCs/>
          <w:iCs/>
          <w:sz w:val="22"/>
        </w:rPr>
      </w:pPr>
    </w:p>
    <w:p w14:paraId="6825745E" w14:textId="77777777" w:rsidR="00D76D75" w:rsidRPr="00AB1083" w:rsidRDefault="00D76D75" w:rsidP="00D76D75">
      <w:pPr>
        <w:numPr>
          <w:ilvl w:val="0"/>
          <w:numId w:val="44"/>
        </w:numPr>
        <w:spacing w:after="160" w:line="360" w:lineRule="auto"/>
        <w:jc w:val="both"/>
        <w:rPr>
          <w:rFonts w:ascii="Palatino Linotype" w:hAnsi="Palatino Linotype" w:cs="Tahoma"/>
          <w:bCs/>
          <w:iCs/>
          <w:sz w:val="22"/>
        </w:rPr>
      </w:pPr>
      <w:r w:rsidRPr="00AB1083">
        <w:rPr>
          <w:rFonts w:ascii="Palatino Linotype" w:hAnsi="Palatino Linotype" w:cs="Tahoma"/>
          <w:bCs/>
          <w:iCs/>
          <w:sz w:val="22"/>
        </w:rPr>
        <w:t xml:space="preserve">Para la difusión de los datos, se requiera el consentimiento del titular. </w:t>
      </w:r>
    </w:p>
    <w:p w14:paraId="7FEE35B4" w14:textId="77777777" w:rsidR="00D76D75" w:rsidRPr="00AB1083" w:rsidRDefault="00D76D75" w:rsidP="00D76D75">
      <w:pPr>
        <w:spacing w:line="360" w:lineRule="auto"/>
        <w:jc w:val="both"/>
        <w:rPr>
          <w:rFonts w:ascii="Palatino Linotype" w:hAnsi="Palatino Linotype" w:cs="Tahoma"/>
          <w:bCs/>
          <w:iCs/>
        </w:rPr>
      </w:pPr>
    </w:p>
    <w:p w14:paraId="708F2862"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AB1083">
        <w:rPr>
          <w:rFonts w:ascii="Palatino Linotype" w:hAnsi="Palatino Linotype" w:cs="Tahoma"/>
          <w:b/>
          <w:iCs/>
        </w:rPr>
        <w:t>datos personales corresponden a la información concerniente a una persona física identificada o identificable</w:t>
      </w:r>
      <w:r w:rsidRPr="00AB1083">
        <w:rPr>
          <w:rFonts w:ascii="Palatino Linotype" w:hAnsi="Palatino Linotype" w:cs="Tahoma"/>
          <w:bCs/>
          <w:iCs/>
        </w:rPr>
        <w:t>.</w:t>
      </w:r>
    </w:p>
    <w:p w14:paraId="3F0D2A51" w14:textId="77777777" w:rsidR="00D76D75" w:rsidRPr="00AB1083" w:rsidRDefault="00D76D75" w:rsidP="00D76D75">
      <w:pPr>
        <w:spacing w:line="360" w:lineRule="auto"/>
        <w:jc w:val="both"/>
        <w:rPr>
          <w:rFonts w:ascii="Palatino Linotype" w:hAnsi="Palatino Linotype" w:cs="Tahoma"/>
          <w:bCs/>
          <w:iCs/>
        </w:rPr>
      </w:pPr>
    </w:p>
    <w:p w14:paraId="771D42DC"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 xml:space="preserve">Por otra parte, la definición de un dato personal, en palabras de Davara, Isabel; Barco, Gregorio, Barco; y Cervantes, Alexis (2019), en el </w:t>
      </w:r>
      <w:r w:rsidRPr="00AB1083">
        <w:rPr>
          <w:rFonts w:ascii="Palatino Linotype" w:hAnsi="Palatino Linotype" w:cs="Tahoma"/>
          <w:bCs/>
          <w:iCs/>
          <w:sz w:val="22"/>
        </w:rPr>
        <w:t>“</w:t>
      </w:r>
      <w:r w:rsidRPr="00AB1083">
        <w:rPr>
          <w:rFonts w:ascii="Palatino Linotype" w:hAnsi="Palatino Linotype" w:cs="Tahoma"/>
          <w:bCs/>
          <w:i/>
          <w:iCs/>
          <w:sz w:val="22"/>
        </w:rPr>
        <w:t>Diccionario de Protección de Datos Personales Conceptos Fundamentales”</w:t>
      </w:r>
      <w:r w:rsidRPr="00AB1083">
        <w:rPr>
          <w:rFonts w:ascii="Palatino Linotype" w:hAnsi="Palatino Linotype" w:cs="Tahoma"/>
          <w:bCs/>
          <w:iCs/>
        </w:rPr>
        <w:t xml:space="preserve"> (p. 211), consta de cuatro elementos, a saber: a) que se refiera a cualquier tipo de información, b) que concierna a una persona, c) que se refiera a una persona física y d) que toda esta información lo haga identificada o identificable. </w:t>
      </w:r>
    </w:p>
    <w:p w14:paraId="389ADF2B" w14:textId="77777777" w:rsidR="00D76D75" w:rsidRPr="00AB1083" w:rsidRDefault="00D76D75" w:rsidP="00D76D75">
      <w:pPr>
        <w:spacing w:line="360" w:lineRule="auto"/>
        <w:jc w:val="both"/>
        <w:rPr>
          <w:rFonts w:ascii="Palatino Linotype" w:hAnsi="Palatino Linotype" w:cs="Tahoma"/>
          <w:bCs/>
          <w:iCs/>
        </w:rPr>
      </w:pPr>
    </w:p>
    <w:p w14:paraId="2870482B" w14:textId="719259F7" w:rsidR="00D76D75" w:rsidRPr="00AB1083" w:rsidRDefault="00D76D75" w:rsidP="00D76D75">
      <w:pPr>
        <w:spacing w:line="360" w:lineRule="auto"/>
        <w:jc w:val="both"/>
        <w:rPr>
          <w:rFonts w:ascii="Palatino Linotype" w:hAnsi="Palatino Linotype" w:cs="Tahoma"/>
          <w:color w:val="000000"/>
          <w:lang w:eastAsia="en-US"/>
        </w:rPr>
      </w:pPr>
      <w:r w:rsidRPr="00AB1083">
        <w:rPr>
          <w:rFonts w:ascii="Palatino Linotype" w:hAnsi="Palatino Linotype" w:cs="Tahoma"/>
          <w:color w:val="000000"/>
          <w:lang w:eastAsia="en-US"/>
        </w:rPr>
        <w:t xml:space="preserve">Así, se puede desprender que la información que dé cuenta respecto a que </w:t>
      </w:r>
      <w:r w:rsidR="00AC6F35" w:rsidRPr="00AB1083">
        <w:rPr>
          <w:rFonts w:ascii="Palatino Linotype" w:hAnsi="Palatino Linotype" w:cs="Tahoma"/>
          <w:color w:val="000000"/>
          <w:lang w:eastAsia="en-US"/>
        </w:rPr>
        <w:t xml:space="preserve">a </w:t>
      </w:r>
      <w:r w:rsidRPr="00AB1083">
        <w:rPr>
          <w:rFonts w:ascii="Palatino Linotype" w:hAnsi="Palatino Linotype" w:cs="Tahoma"/>
          <w:color w:val="000000"/>
          <w:lang w:eastAsia="en-US"/>
        </w:rPr>
        <w:t xml:space="preserve">una persona </w:t>
      </w:r>
      <w:r w:rsidR="00AC6F35" w:rsidRPr="00AB1083">
        <w:rPr>
          <w:rFonts w:ascii="Palatino Linotype" w:hAnsi="Palatino Linotype" w:cs="Tahoma"/>
          <w:color w:val="000000"/>
          <w:lang w:eastAsia="en-US"/>
        </w:rPr>
        <w:t>se haya iniciado</w:t>
      </w:r>
      <w:r w:rsidRPr="00AB1083">
        <w:rPr>
          <w:rFonts w:ascii="Palatino Linotype" w:hAnsi="Palatino Linotype" w:cs="Tahoma"/>
          <w:color w:val="000000"/>
          <w:lang w:eastAsia="en-US"/>
        </w:rPr>
        <w:t xml:space="preserve"> un procedimiento administrativo seguido en forma de juicio o jurisdiccional, en cualquier materia, corresponde a un dato personal que afecta su esfera privada.</w:t>
      </w:r>
    </w:p>
    <w:p w14:paraId="768D6166" w14:textId="77777777" w:rsidR="00D76D75" w:rsidRPr="00AB1083" w:rsidRDefault="00D76D75" w:rsidP="00D76D75">
      <w:pPr>
        <w:spacing w:line="360" w:lineRule="auto"/>
        <w:jc w:val="both"/>
        <w:rPr>
          <w:rFonts w:ascii="Palatino Linotype" w:hAnsi="Palatino Linotype" w:cs="Tahoma"/>
          <w:color w:val="000000"/>
          <w:lang w:eastAsia="en-US"/>
        </w:rPr>
      </w:pPr>
    </w:p>
    <w:p w14:paraId="28DE86B5"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 xml:space="preserve">Al respecto, el segundo párrafo del artículo 17, de la Constitución Política de los Estados Unidos Mexicanos dispone que, toda persona tiene derecho a que se le administre justicia por tribunales que estarán expeditos para impartirla en los plazos y términos que fijen las leyes, emitiendo sus resoluciones de manera pronta, completa e imparcial. </w:t>
      </w:r>
    </w:p>
    <w:p w14:paraId="7BE2A2F2" w14:textId="77777777" w:rsidR="00D76D75" w:rsidRPr="00AB1083" w:rsidRDefault="00D76D75" w:rsidP="00D76D75">
      <w:pPr>
        <w:spacing w:line="360" w:lineRule="auto"/>
        <w:jc w:val="both"/>
        <w:rPr>
          <w:rFonts w:ascii="Palatino Linotype" w:hAnsi="Palatino Linotype" w:cs="Tahoma"/>
          <w:bCs/>
          <w:iCs/>
        </w:rPr>
      </w:pPr>
    </w:p>
    <w:p w14:paraId="40920BE9" w14:textId="77777777" w:rsidR="00D76D75" w:rsidRPr="00AB1083" w:rsidRDefault="00D76D75" w:rsidP="00D76D75">
      <w:pPr>
        <w:spacing w:line="360" w:lineRule="auto"/>
        <w:jc w:val="both"/>
        <w:rPr>
          <w:rFonts w:ascii="Palatino Linotype" w:hAnsi="Palatino Linotype"/>
          <w:bCs/>
          <w:color w:val="000000"/>
          <w:lang w:eastAsia="en-US"/>
        </w:rPr>
      </w:pPr>
      <w:r w:rsidRPr="00AB1083">
        <w:rPr>
          <w:rFonts w:ascii="Palatino Linotype" w:hAnsi="Palatino Linotype" w:cs="Tahoma"/>
          <w:bCs/>
          <w:iCs/>
        </w:rPr>
        <w:t>Además</w:t>
      </w:r>
      <w:r w:rsidRPr="00AB1083">
        <w:rPr>
          <w:rFonts w:ascii="Palatino Linotype" w:hAnsi="Palatino Linotype"/>
          <w:color w:val="000000"/>
          <w:lang w:eastAsia="en-US"/>
        </w:rPr>
        <w:t xml:space="preserve">, es oportuno traer el estudio la Tesis: I.9o.C.27 K, Novena Época, con número de registro 182261, del </w:t>
      </w:r>
      <w:r w:rsidRPr="00AB1083">
        <w:rPr>
          <w:rFonts w:ascii="Palatino Linotype" w:hAnsi="Palatino Linotype" w:cs="Tahoma"/>
          <w:bCs/>
          <w:iCs/>
        </w:rPr>
        <w:t xml:space="preserve">Noveno Tribunal Colegiado en Materia Civil del Primer Circuito, en la cual se dispone que a diferencia de los actos administrativos que </w:t>
      </w:r>
      <w:r w:rsidRPr="00AB1083">
        <w:rPr>
          <w:rFonts w:ascii="Palatino Linotype" w:hAnsi="Palatino Linotype"/>
          <w:color w:val="000000"/>
          <w:lang w:eastAsia="en-US"/>
        </w:rPr>
        <w:t xml:space="preserve">son dictados en forma unilateral por la autoridad y no siempre se tramitan mediante un procedimiento, los actos en el ámbito </w:t>
      </w:r>
      <w:r w:rsidRPr="00AB1083">
        <w:rPr>
          <w:rFonts w:ascii="Palatino Linotype" w:hAnsi="Palatino Linotype" w:cs="Tahoma"/>
          <w:bCs/>
          <w:iCs/>
        </w:rPr>
        <w:t xml:space="preserve">jurisdiccional la autoridad es sólo mediadora en la controversia suscitada entre los particulares, y el procedimiento se lleva a cabo a través de una serie de </w:t>
      </w:r>
      <w:r w:rsidRPr="00AB1083">
        <w:rPr>
          <w:rFonts w:ascii="Palatino Linotype" w:hAnsi="Palatino Linotype" w:cs="Tahoma"/>
          <w:b/>
          <w:iCs/>
        </w:rPr>
        <w:t xml:space="preserve">actos concatenados que son provocados por las propias partes en el proceso, </w:t>
      </w:r>
      <w:r w:rsidRPr="00AB1083">
        <w:rPr>
          <w:rFonts w:ascii="Palatino Linotype" w:hAnsi="Palatino Linotype" w:cs="Tahoma"/>
          <w:bCs/>
          <w:iCs/>
        </w:rPr>
        <w:t>tal como se muestra a continuación:</w:t>
      </w:r>
    </w:p>
    <w:p w14:paraId="3DDFB5FF" w14:textId="77777777" w:rsidR="00D76D75" w:rsidRPr="00AB1083" w:rsidRDefault="00D76D75" w:rsidP="00D76D75">
      <w:pPr>
        <w:spacing w:line="360" w:lineRule="auto"/>
        <w:ind w:left="567" w:right="567"/>
        <w:jc w:val="both"/>
        <w:rPr>
          <w:rFonts w:ascii="Palatino Linotype" w:hAnsi="Palatino Linotype" w:cs="Tahoma"/>
          <w:b/>
          <w:bCs/>
          <w:i/>
        </w:rPr>
      </w:pPr>
    </w:p>
    <w:p w14:paraId="4A55D4FF" w14:textId="77777777" w:rsidR="00D76D75" w:rsidRPr="00AB1083" w:rsidRDefault="00D76D75" w:rsidP="00D76D75">
      <w:pPr>
        <w:spacing w:line="276" w:lineRule="auto"/>
        <w:ind w:left="567" w:right="567"/>
        <w:jc w:val="both"/>
        <w:rPr>
          <w:rFonts w:ascii="Palatino Linotype" w:hAnsi="Palatino Linotype" w:cs="Tahoma"/>
          <w:bCs/>
          <w:i/>
          <w:sz w:val="22"/>
        </w:rPr>
      </w:pPr>
      <w:r w:rsidRPr="00AB1083">
        <w:rPr>
          <w:rFonts w:ascii="Palatino Linotype" w:hAnsi="Palatino Linotype" w:cs="Tahoma"/>
          <w:b/>
          <w:bCs/>
          <w:i/>
          <w:sz w:val="22"/>
        </w:rPr>
        <w:t xml:space="preserve">“ACTOS ADMINISTRATIVOS Y JURISDICCIONALES. SUS DIFERENCIAS. </w:t>
      </w:r>
      <w:r w:rsidRPr="00AB1083">
        <w:rPr>
          <w:rFonts w:ascii="Palatino Linotype" w:hAnsi="Palatino Linotype" w:cs="Tahoma"/>
          <w:bCs/>
          <w:i/>
          <w:sz w:val="22"/>
        </w:rPr>
        <w:t xml:space="preserve">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debe acatarla o combatirla a través del juicio de nulidad o del recurso que prevea la ley que rige a ese acto. En cambio, </w:t>
      </w:r>
      <w:r w:rsidRPr="00AB1083">
        <w:rPr>
          <w:rFonts w:ascii="Palatino Linotype" w:hAnsi="Palatino Linotype" w:cs="Tahoma"/>
          <w:b/>
          <w:i/>
          <w:sz w:val="22"/>
        </w:rPr>
        <w:t>en el ámbito jurisdiccional la autoridad es sólo mediadora en la controversia suscitada entre los particulares, y el procedimiento se lleva a cabo a través de una serie de actos concatenados que son provocados por las propias partes en el proceso</w:t>
      </w:r>
      <w:r w:rsidRPr="00AB1083">
        <w:rPr>
          <w:rFonts w:ascii="Palatino Linotype" w:hAnsi="Palatino Linotype" w:cs="Tahoma"/>
          <w:bCs/>
          <w:i/>
          <w:sz w:val="22"/>
        </w:rPr>
        <w:t>, es decir, un procedimiento jurisdiccional inicia con la presentación 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demanda no se lleve a cabo el emplazamiento, en virtud de que el actor desista de la acción o de la instancia; asimismo, el ofrecimiento de pruebas no implica necesariamente su admisión y desahogo, porque las partes podrían desistir del ofrecimiento o no realizar los actos necesarios para su desahogo.</w:t>
      </w:r>
    </w:p>
    <w:p w14:paraId="59D920EA" w14:textId="77777777" w:rsidR="00D76D75" w:rsidRPr="00AB1083" w:rsidRDefault="00D76D75" w:rsidP="00D76D75">
      <w:pPr>
        <w:spacing w:line="360" w:lineRule="auto"/>
        <w:jc w:val="both"/>
        <w:rPr>
          <w:rFonts w:ascii="Palatino Linotype" w:hAnsi="Palatino Linotype" w:cs="Tahoma"/>
          <w:bCs/>
          <w:iCs/>
        </w:rPr>
      </w:pPr>
    </w:p>
    <w:p w14:paraId="79D08885"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Conforme a lo anterior, a</w:t>
      </w:r>
      <w:r w:rsidRPr="00AB1083">
        <w:rPr>
          <w:rFonts w:ascii="Palatino Linotype" w:hAnsi="Palatino Linotype" w:cs="Tahoma"/>
          <w:iCs/>
          <w:color w:val="000000"/>
          <w:lang w:eastAsia="en-US"/>
        </w:rPr>
        <w:t xml:space="preserve">l identificar a las partes, la parte Recurrente pretende acceder a información de índole privada, pues la información de su interés se refiere a la vida íntima de particulares, de tal suerte que, </w:t>
      </w:r>
      <w:r w:rsidRPr="00AB1083">
        <w:rPr>
          <w:rFonts w:ascii="Palatino Linotype" w:hAnsi="Palatino Linotype" w:cs="Tahoma"/>
          <w:bCs/>
          <w:iCs/>
        </w:rPr>
        <w:t>pronunciarse sobre la existencia de procedimientos en donde las personas señaladas sean parte, daría cuenta de que son actores o demandados (homólogos) en un procedimiento, lo cual únicamente refiere a la esfera privada e íntima de estos.</w:t>
      </w:r>
    </w:p>
    <w:p w14:paraId="50125C83" w14:textId="77777777" w:rsidR="00D76D75" w:rsidRPr="00AB1083" w:rsidRDefault="00D76D75" w:rsidP="00D76D75">
      <w:pPr>
        <w:spacing w:line="360" w:lineRule="auto"/>
        <w:jc w:val="both"/>
        <w:rPr>
          <w:rFonts w:ascii="Palatino Linotype" w:hAnsi="Palatino Linotype" w:cs="Tahoma"/>
          <w:bCs/>
          <w:iCs/>
        </w:rPr>
      </w:pPr>
    </w:p>
    <w:p w14:paraId="6B73F3B7" w14:textId="77777777" w:rsidR="00D76D75" w:rsidRPr="00AB1083" w:rsidRDefault="00D76D75" w:rsidP="00D76D75">
      <w:pPr>
        <w:spacing w:after="160" w:line="360" w:lineRule="auto"/>
        <w:ind w:right="-28"/>
        <w:contextualSpacing/>
        <w:jc w:val="both"/>
        <w:rPr>
          <w:rFonts w:ascii="Palatino Linotype" w:hAnsi="Palatino Linotype" w:cs="Tahoma"/>
          <w:bCs/>
          <w:color w:val="000000"/>
          <w:lang w:eastAsia="en-US"/>
        </w:rPr>
      </w:pPr>
      <w:r w:rsidRPr="00AB1083">
        <w:rPr>
          <w:rFonts w:ascii="Palatino Linotype" w:hAnsi="Palatino Linotype" w:cs="Tahoma"/>
          <w:bCs/>
          <w:color w:val="000000"/>
          <w:lang w:eastAsia="en-US"/>
        </w:rPr>
        <w:t>Sobre el tema, el artículo 12 de la Declaración Universal de los Derechos Humanos</w:t>
      </w:r>
      <w:r w:rsidRPr="00AB1083">
        <w:rPr>
          <w:rFonts w:ascii="Palatino Linotype" w:hAnsi="Palatino Linotype" w:cs="Tahoma"/>
          <w:bCs/>
          <w:i/>
          <w:color w:val="000000"/>
          <w:lang w:eastAsia="en-US"/>
        </w:rPr>
        <w:t xml:space="preserve"> </w:t>
      </w:r>
      <w:r w:rsidRPr="00AB1083">
        <w:rPr>
          <w:rFonts w:ascii="Palatino Linotype" w:hAnsi="Palatino Linotype" w:cs="Tahoma"/>
          <w:bCs/>
          <w:color w:val="000000"/>
          <w:lang w:eastAsia="en-US"/>
        </w:rPr>
        <w:t xml:space="preserve">prevé que nadie será objeto de injerencias arbitrarias </w:t>
      </w:r>
      <w:r w:rsidRPr="00AB1083">
        <w:rPr>
          <w:rFonts w:ascii="Palatino Linotype" w:hAnsi="Palatino Linotype" w:cs="Tahoma"/>
          <w:b/>
          <w:bCs/>
          <w:color w:val="000000"/>
          <w:lang w:eastAsia="en-US"/>
        </w:rPr>
        <w:t>en su vida privada, su familia, su domicilio o su correspondencia</w:t>
      </w:r>
      <w:r w:rsidRPr="00AB1083">
        <w:rPr>
          <w:rFonts w:ascii="Palatino Linotype" w:hAnsi="Palatino Linotype" w:cs="Tahoma"/>
          <w:bCs/>
          <w:color w:val="000000"/>
          <w:lang w:eastAsia="en-US"/>
        </w:rPr>
        <w:t>, ni de ataques a su honra o a su reputación. Toda persona tiene derecho a la protección de la ley contra tales injerencias o ataques.</w:t>
      </w:r>
    </w:p>
    <w:p w14:paraId="5A59A36C" w14:textId="77777777" w:rsidR="00D76D75" w:rsidRPr="00AB1083" w:rsidRDefault="00D76D75" w:rsidP="00D76D75">
      <w:pPr>
        <w:spacing w:line="360" w:lineRule="auto"/>
        <w:jc w:val="both"/>
        <w:rPr>
          <w:rFonts w:ascii="Palatino Linotype" w:hAnsi="Palatino Linotype" w:cs="Tahoma"/>
          <w:bCs/>
          <w:iCs/>
        </w:rPr>
      </w:pPr>
    </w:p>
    <w:p w14:paraId="3BDF4E76"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00D1D1BF" w14:textId="77777777" w:rsidR="00D76D75" w:rsidRPr="00AB1083" w:rsidRDefault="00D76D75" w:rsidP="00D76D75">
      <w:pPr>
        <w:spacing w:line="360" w:lineRule="auto"/>
        <w:jc w:val="both"/>
        <w:rPr>
          <w:rFonts w:ascii="Palatino Linotype" w:hAnsi="Palatino Linotype" w:cs="Tahoma"/>
          <w:bCs/>
          <w:iCs/>
        </w:rPr>
      </w:pPr>
    </w:p>
    <w:p w14:paraId="0C684DCD"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187D7AE8" w14:textId="77777777" w:rsidR="00D76D75" w:rsidRPr="00AB1083" w:rsidRDefault="00D76D75" w:rsidP="00D76D75">
      <w:pPr>
        <w:spacing w:line="360" w:lineRule="auto"/>
        <w:jc w:val="both"/>
        <w:rPr>
          <w:rFonts w:ascii="Palatino Linotype" w:hAnsi="Palatino Linotype" w:cs="Tahoma"/>
          <w:bCs/>
          <w:iCs/>
        </w:rPr>
      </w:pPr>
    </w:p>
    <w:p w14:paraId="20E0D58F"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Abona a lo anterior,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6C6DA4C7" w14:textId="77777777" w:rsidR="00D76D75" w:rsidRPr="00AB1083" w:rsidRDefault="00D76D75" w:rsidP="00D76D75">
      <w:pPr>
        <w:spacing w:line="360" w:lineRule="auto"/>
        <w:jc w:val="both"/>
        <w:rPr>
          <w:rFonts w:ascii="Palatino Linotype" w:hAnsi="Palatino Linotype" w:cs="Tahoma"/>
          <w:bCs/>
          <w:iCs/>
        </w:rPr>
      </w:pPr>
    </w:p>
    <w:p w14:paraId="455755F9" w14:textId="77777777" w:rsidR="00D76D75" w:rsidRPr="00AB1083" w:rsidRDefault="00D76D75" w:rsidP="00D76D75">
      <w:pPr>
        <w:spacing w:line="276" w:lineRule="auto"/>
        <w:ind w:left="567" w:right="567"/>
        <w:jc w:val="both"/>
        <w:rPr>
          <w:rFonts w:ascii="Palatino Linotype" w:hAnsi="Palatino Linotype" w:cs="Tahoma"/>
          <w:bCs/>
          <w:i/>
          <w:iCs/>
          <w:sz w:val="22"/>
        </w:rPr>
      </w:pPr>
      <w:r w:rsidRPr="00AB1083">
        <w:rPr>
          <w:rFonts w:ascii="Palatino Linotype" w:hAnsi="Palatino Linotype" w:cs="Tahoma"/>
          <w:bCs/>
          <w:i/>
          <w:iCs/>
          <w:sz w:val="22"/>
        </w:rPr>
        <w:t>“</w:t>
      </w:r>
      <w:r w:rsidRPr="00AB1083">
        <w:rPr>
          <w:rFonts w:ascii="Palatino Linotype" w:hAnsi="Palatino Linotype" w:cs="Tahoma"/>
          <w:b/>
          <w:bCs/>
          <w:i/>
          <w:iCs/>
          <w:sz w:val="22"/>
        </w:rPr>
        <w:t xml:space="preserve">DERECHO A LA VIDA PRIVADA. SU CONTENIDO GENERAL Y LA IMPORTANCIA DE NO DESCONTEXTUALIZAR LAS REFERENCIAS A LA MISMA. </w:t>
      </w:r>
      <w:r w:rsidRPr="00AB1083">
        <w:rPr>
          <w:rFonts w:ascii="Palatino Linotype" w:hAnsi="Palatino Linotype" w:cs="Tahoma"/>
          <w:bCs/>
          <w:i/>
          <w:iCs/>
          <w:sz w:val="22"/>
        </w:rPr>
        <w:t xml:space="preserve">La Suprema Corte de Justicia de la Nación se ha referido en varias tesis a los </w:t>
      </w:r>
      <w:r w:rsidRPr="00AB1083">
        <w:rPr>
          <w:rFonts w:ascii="Palatino Linotype" w:hAnsi="Palatino Linotype" w:cs="Tahoma"/>
          <w:bCs/>
          <w:i/>
          <w:iCs/>
          <w:sz w:val="22"/>
          <w:u w:val="single"/>
        </w:rPr>
        <w:t>rasgos característicos de la noción de lo ‘privado’</w:t>
      </w:r>
      <w:r w:rsidRPr="00AB1083">
        <w:rPr>
          <w:rFonts w:ascii="Palatino Linotype" w:hAnsi="Palatino Linotype" w:cs="Tahoma"/>
          <w:bCs/>
          <w:i/>
          <w:iCs/>
          <w:sz w:val="22"/>
        </w:rPr>
        <w:t xml:space="preserve">. Así, lo ha relacionado con: lo que no constituye vida pública; </w:t>
      </w:r>
      <w:r w:rsidRPr="00AB1083">
        <w:rPr>
          <w:rFonts w:ascii="Palatino Linotype" w:hAnsi="Palatino Linotype" w:cs="Tahoma"/>
          <w:bCs/>
          <w:i/>
          <w:iCs/>
          <w:sz w:val="22"/>
          <w:u w:val="single"/>
        </w:rPr>
        <w:t>el ámbito reservado frente a la acción y el conocimiento de los demás</w:t>
      </w:r>
      <w:r w:rsidRPr="00AB1083">
        <w:rPr>
          <w:rFonts w:ascii="Palatino Linotype" w:hAnsi="Palatino Linotype" w:cs="Tahoma"/>
          <w:bCs/>
          <w:i/>
          <w:iCs/>
          <w:sz w:val="22"/>
        </w:rPr>
        <w:t xml:space="preserve">;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AB1083">
        <w:rPr>
          <w:rFonts w:ascii="Palatino Linotype" w:hAnsi="Palatino Linotype" w:cs="Tahoma"/>
          <w:b/>
          <w:bCs/>
          <w:i/>
          <w:iCs/>
          <w:sz w:val="22"/>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AB1083">
        <w:rPr>
          <w:rFonts w:ascii="Palatino Linotype" w:hAnsi="Palatino Linotype" w:cs="Tahoma"/>
          <w:bCs/>
          <w:i/>
          <w:iCs/>
          <w:sz w:val="22"/>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AB1083">
        <w:rPr>
          <w:rFonts w:ascii="Palatino Linotype" w:hAnsi="Palatino Linotype" w:cs="Tahoma"/>
          <w:b/>
          <w:bCs/>
          <w:i/>
          <w:iCs/>
          <w:sz w:val="22"/>
        </w:rPr>
        <w:t>En un sentido amplio, entonces, la protección constitucional de la vida privada implica poder conducir parte de la vida de uno protegido de la mirada y las injerencias de los demás</w:t>
      </w:r>
      <w:r w:rsidRPr="00AB1083">
        <w:rPr>
          <w:rFonts w:ascii="Palatino Linotype" w:hAnsi="Palatino Linotype" w:cs="Tahoma"/>
          <w:bCs/>
          <w:i/>
          <w:iCs/>
          <w:sz w:val="22"/>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428A1470" w14:textId="77777777" w:rsidR="00D76D75" w:rsidRPr="00AB1083" w:rsidRDefault="00D76D75" w:rsidP="00D76D75">
      <w:pPr>
        <w:spacing w:line="360" w:lineRule="auto"/>
        <w:jc w:val="both"/>
        <w:rPr>
          <w:rFonts w:ascii="Palatino Linotype" w:hAnsi="Palatino Linotype" w:cs="Tahoma"/>
          <w:bCs/>
          <w:iCs/>
        </w:rPr>
      </w:pPr>
    </w:p>
    <w:p w14:paraId="463EE481" w14:textId="77777777" w:rsidR="00D76D75" w:rsidRPr="00AB1083" w:rsidRDefault="00D76D75" w:rsidP="00D76D75">
      <w:pPr>
        <w:spacing w:line="360" w:lineRule="auto"/>
        <w:jc w:val="both"/>
        <w:rPr>
          <w:rFonts w:ascii="Palatino Linotype" w:hAnsi="Palatino Linotype" w:cs="Tahoma"/>
          <w:b/>
          <w:bCs/>
          <w:iCs/>
        </w:rPr>
      </w:pPr>
      <w:r w:rsidRPr="00AB1083">
        <w:rPr>
          <w:rFonts w:ascii="Palatino Linotype" w:hAnsi="Palatino Linotype" w:cs="Tahoma"/>
          <w:bCs/>
          <w:iCs/>
        </w:rPr>
        <w:t xml:space="preserve">De conformidad con lo señalado, se colige que </w:t>
      </w:r>
      <w:r w:rsidRPr="00AB1083">
        <w:rPr>
          <w:rFonts w:ascii="Palatino Linotype" w:hAnsi="Palatino Linotype" w:cs="Tahoma"/>
          <w:b/>
          <w:bCs/>
          <w:iCs/>
        </w:rPr>
        <w:t>las actividades que realicen los particulares, dentro del ámbito privado, o dentro de la esfera particular, es información que debe protegerse, como lo es, la información relacionada con una relación jurídica procesal entre particulares.</w:t>
      </w:r>
    </w:p>
    <w:p w14:paraId="75D0FE34" w14:textId="77777777" w:rsidR="00D76D75" w:rsidRPr="00AB1083" w:rsidRDefault="00D76D75" w:rsidP="00D76D75">
      <w:pPr>
        <w:spacing w:line="360" w:lineRule="auto"/>
        <w:jc w:val="both"/>
        <w:rPr>
          <w:rFonts w:ascii="Palatino Linotype" w:hAnsi="Palatino Linotype" w:cs="Tahoma"/>
          <w:b/>
          <w:bCs/>
          <w:iCs/>
        </w:rPr>
      </w:pPr>
    </w:p>
    <w:p w14:paraId="51DDDCC4" w14:textId="48A4BCBB"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 xml:space="preserve">En el presente caso, señalar </w:t>
      </w:r>
      <w:r w:rsidR="00D608E1" w:rsidRPr="00AB1083">
        <w:rPr>
          <w:rFonts w:ascii="Palatino Linotype" w:hAnsi="Palatino Linotype" w:cs="Tahoma"/>
          <w:bCs/>
          <w:iCs/>
        </w:rPr>
        <w:t>si se</w:t>
      </w:r>
      <w:r w:rsidR="00940B2D" w:rsidRPr="00AB1083">
        <w:rPr>
          <w:rFonts w:ascii="Palatino Linotype" w:hAnsi="Palatino Linotype" w:cs="Tahoma"/>
          <w:bCs/>
          <w:iCs/>
        </w:rPr>
        <w:t xml:space="preserve"> cuenta con quejas con las que se ha</w:t>
      </w:r>
      <w:r w:rsidR="00D608E1" w:rsidRPr="00AB1083">
        <w:rPr>
          <w:rFonts w:ascii="Palatino Linotype" w:hAnsi="Palatino Linotype" w:cs="Tahoma"/>
          <w:bCs/>
          <w:iCs/>
        </w:rPr>
        <w:t xml:space="preserve">  iniciado o se inició algún procedimiento administrativo en contra de la C. </w:t>
      </w:r>
      <w:r w:rsidR="00940B2D" w:rsidRPr="00AB1083">
        <w:rPr>
          <w:rFonts w:ascii="Palatino Linotype" w:hAnsi="Palatino Linotype" w:cs="Tahoma"/>
          <w:bCs/>
          <w:iCs/>
        </w:rPr>
        <w:t>Marisol Bernal Gutiérrez</w:t>
      </w:r>
      <w:r w:rsidRPr="00AB1083">
        <w:rPr>
          <w:rFonts w:ascii="Palatino Linotype" w:hAnsi="Palatino Linotype" w:cs="Tahoma"/>
          <w:bCs/>
          <w:iCs/>
        </w:rPr>
        <w:t xml:space="preserve">, </w:t>
      </w:r>
      <w:r w:rsidR="00D608E1" w:rsidRPr="00AB1083">
        <w:rPr>
          <w:rFonts w:ascii="Palatino Linotype" w:hAnsi="Palatino Linotype" w:cs="Tahoma"/>
          <w:bCs/>
          <w:iCs/>
        </w:rPr>
        <w:t>consiste en</w:t>
      </w:r>
      <w:r w:rsidRPr="00AB1083">
        <w:rPr>
          <w:rFonts w:ascii="Palatino Linotype" w:hAnsi="Palatino Linotype" w:cs="Tahoma"/>
          <w:bCs/>
          <w:iCs/>
        </w:rPr>
        <w:t xml:space="preserve"> </w:t>
      </w:r>
      <w:r w:rsidRPr="00AB1083">
        <w:rPr>
          <w:rFonts w:ascii="Palatino Linotype" w:hAnsi="Palatino Linotype" w:cs="Tahoma"/>
          <w:b/>
          <w:bCs/>
          <w:iCs/>
          <w:u w:val="single"/>
        </w:rPr>
        <w:t>el precisar si existe o no un procedimiento seguido en forma de juicio en donde la persona señalada en la solicitud de información sea la denunciada</w:t>
      </w:r>
      <w:r w:rsidR="00D608E1" w:rsidRPr="00AB1083">
        <w:rPr>
          <w:rFonts w:ascii="Palatino Linotype" w:hAnsi="Palatino Linotype" w:cs="Tahoma"/>
          <w:b/>
          <w:bCs/>
          <w:iCs/>
          <w:u w:val="single"/>
        </w:rPr>
        <w:t xml:space="preserve">, </w:t>
      </w:r>
      <w:r w:rsidR="00D608E1" w:rsidRPr="00AB1083">
        <w:rPr>
          <w:rFonts w:ascii="Palatino Linotype" w:hAnsi="Palatino Linotype" w:cs="Tahoma"/>
          <w:iCs/>
        </w:rPr>
        <w:t>por lo que</w:t>
      </w:r>
      <w:r w:rsidRPr="00AB1083">
        <w:rPr>
          <w:rFonts w:ascii="Palatino Linotype" w:hAnsi="Palatino Linotype" w:cs="Tahoma"/>
          <w:bCs/>
          <w:iCs/>
        </w:rPr>
        <w:t xml:space="preserve"> iría en contra del derecho a la vida privada, pues daría a conocer que a dicha persona se le inicio un juicio en contra, lo cual ocasionaría una percepción negativa de esta y daría a conocer la decisión personal de defenderse en dicho procedimiento jurisdiccional. </w:t>
      </w:r>
    </w:p>
    <w:p w14:paraId="0C199DF1" w14:textId="77777777" w:rsidR="00D608E1" w:rsidRPr="00AB1083" w:rsidRDefault="00D608E1" w:rsidP="00D76D75">
      <w:pPr>
        <w:spacing w:line="360" w:lineRule="auto"/>
        <w:jc w:val="both"/>
        <w:rPr>
          <w:rFonts w:ascii="Palatino Linotype" w:hAnsi="Palatino Linotype" w:cs="Tahoma"/>
          <w:bCs/>
          <w:iCs/>
        </w:rPr>
      </w:pPr>
    </w:p>
    <w:p w14:paraId="476B292A"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7517018D" w14:textId="77777777" w:rsidR="00D76D75" w:rsidRPr="00AB1083" w:rsidRDefault="00D76D75" w:rsidP="00D76D75">
      <w:pPr>
        <w:spacing w:line="360" w:lineRule="auto"/>
        <w:jc w:val="both"/>
        <w:rPr>
          <w:rFonts w:ascii="Palatino Linotype" w:hAnsi="Palatino Linotype" w:cs="Tahoma"/>
          <w:b/>
          <w:bCs/>
          <w:iCs/>
        </w:rPr>
      </w:pPr>
    </w:p>
    <w:p w14:paraId="0EA38180" w14:textId="77777777" w:rsidR="00D76D75" w:rsidRPr="00AB1083" w:rsidRDefault="00D76D75" w:rsidP="00D76D75">
      <w:pPr>
        <w:spacing w:line="276" w:lineRule="auto"/>
        <w:ind w:left="567" w:right="567"/>
        <w:jc w:val="both"/>
        <w:rPr>
          <w:rFonts w:ascii="Palatino Linotype" w:hAnsi="Palatino Linotype" w:cs="Tahoma"/>
          <w:bCs/>
          <w:i/>
          <w:iCs/>
          <w:sz w:val="22"/>
        </w:rPr>
      </w:pPr>
      <w:r w:rsidRPr="00AB1083">
        <w:rPr>
          <w:rFonts w:ascii="Palatino Linotype" w:hAnsi="Palatino Linotype" w:cs="Tahoma"/>
          <w:b/>
          <w:bCs/>
          <w:i/>
          <w:iCs/>
          <w:sz w:val="22"/>
        </w:rPr>
        <w:t xml:space="preserve">“DERECHO A LA PRIVACIDAD O INTIMIDAD. ESTÁ PROTEGIDO POR EL ARTÍCULO 16, PRIMER PÁRRAFO, DE LA CONSTITUCIÓN POLÍTICA DE LOS ESTADOS UNIDOS MEXICANOS. </w:t>
      </w:r>
      <w:r w:rsidRPr="00AB1083">
        <w:rPr>
          <w:rFonts w:ascii="Palatino Linotype" w:hAnsi="Palatino Linotype" w:cs="Tahoma"/>
          <w:bCs/>
          <w:i/>
          <w:iCs/>
          <w:sz w:val="22"/>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31ABC7F8" w14:textId="77777777" w:rsidR="00D76D75" w:rsidRPr="00AB1083" w:rsidRDefault="00D76D75" w:rsidP="00D76D75">
      <w:pPr>
        <w:spacing w:line="360" w:lineRule="auto"/>
        <w:jc w:val="both"/>
        <w:rPr>
          <w:rFonts w:ascii="Palatino Linotype" w:hAnsi="Palatino Linotype" w:cs="Tahoma"/>
          <w:bCs/>
          <w:iCs/>
        </w:rPr>
      </w:pPr>
    </w:p>
    <w:p w14:paraId="26233EFA"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3133B40B" w14:textId="77777777" w:rsidR="00D76D75" w:rsidRPr="00AB1083" w:rsidRDefault="00D76D75" w:rsidP="00D76D75">
      <w:pPr>
        <w:spacing w:line="360" w:lineRule="auto"/>
        <w:jc w:val="both"/>
        <w:rPr>
          <w:rFonts w:ascii="Palatino Linotype" w:hAnsi="Palatino Linotype" w:cs="Tahoma"/>
          <w:bCs/>
          <w:iCs/>
        </w:rPr>
      </w:pPr>
    </w:p>
    <w:p w14:paraId="278EDED1" w14:textId="77777777"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2F06C315" w14:textId="77777777" w:rsidR="00D76D75" w:rsidRPr="00AB1083" w:rsidRDefault="00D76D75" w:rsidP="00D76D75">
      <w:pPr>
        <w:spacing w:line="360" w:lineRule="auto"/>
        <w:jc w:val="both"/>
        <w:rPr>
          <w:rFonts w:ascii="Palatino Linotype" w:hAnsi="Palatino Linotype" w:cs="Tahoma"/>
          <w:bCs/>
          <w:iCs/>
        </w:rPr>
      </w:pPr>
    </w:p>
    <w:p w14:paraId="3176B739" w14:textId="08873A82" w:rsidR="00D76D75" w:rsidRPr="00AB1083" w:rsidRDefault="00D76D75" w:rsidP="00D76D75">
      <w:pPr>
        <w:spacing w:line="360" w:lineRule="auto"/>
        <w:jc w:val="both"/>
        <w:rPr>
          <w:rFonts w:ascii="Palatino Linotype" w:hAnsi="Palatino Linotype" w:cs="Tahoma"/>
          <w:b/>
          <w:bCs/>
          <w:iCs/>
        </w:rPr>
      </w:pPr>
      <w:r w:rsidRPr="00AB1083">
        <w:rPr>
          <w:rFonts w:ascii="Palatino Linotype" w:hAnsi="Palatino Linotype" w:cs="Tahoma"/>
          <w:bCs/>
          <w:iCs/>
        </w:rPr>
        <w:t>Por lo tanto, se considera que pronunciarse sobre la existencia o no</w:t>
      </w:r>
      <w:r w:rsidR="00940B2D" w:rsidRPr="00AB1083">
        <w:rPr>
          <w:rFonts w:ascii="Palatino Linotype" w:hAnsi="Palatino Linotype" w:cs="Tahoma"/>
          <w:bCs/>
          <w:iCs/>
        </w:rPr>
        <w:t xml:space="preserve"> de quejas interpuestas que formen parte</w:t>
      </w:r>
      <w:r w:rsidRPr="00AB1083">
        <w:rPr>
          <w:rFonts w:ascii="Palatino Linotype" w:hAnsi="Palatino Linotype" w:cs="Tahoma"/>
          <w:bCs/>
          <w:iCs/>
        </w:rPr>
        <w:t xml:space="preserve"> de procedimientos </w:t>
      </w:r>
      <w:r w:rsidR="00D608E1" w:rsidRPr="00AB1083">
        <w:rPr>
          <w:rFonts w:ascii="Palatino Linotype" w:hAnsi="Palatino Linotype" w:cs="Tahoma"/>
          <w:bCs/>
          <w:iCs/>
        </w:rPr>
        <w:t xml:space="preserve">administrativos </w:t>
      </w:r>
      <w:r w:rsidRPr="00AB1083">
        <w:rPr>
          <w:rFonts w:ascii="Palatino Linotype" w:hAnsi="Palatino Linotype" w:cs="Tahoma"/>
          <w:bCs/>
          <w:iCs/>
        </w:rPr>
        <w:t>iniciados en donde la parte actora, contraparte, testigo u algún otro participante sea la persona referida en la solicitud de información, implicaría revelar un aspecto de la vida privada que vincula a las personas de la que se requiere información con procedimientos jurisdiccionales,</w:t>
      </w:r>
      <w:r w:rsidRPr="00AB1083">
        <w:rPr>
          <w:rFonts w:ascii="Palatino Linotype" w:hAnsi="Palatino Linotype" w:cs="Tahoma"/>
          <w:b/>
          <w:bCs/>
          <w:iCs/>
        </w:rPr>
        <w:t xml:space="preserve"> </w:t>
      </w:r>
      <w:r w:rsidRPr="00AB1083">
        <w:rPr>
          <w:rFonts w:ascii="Palatino Linotype" w:hAnsi="Palatino Linotype" w:cs="Tahoma"/>
          <w:bCs/>
          <w:iCs/>
        </w:rPr>
        <w:t>es decir,</w:t>
      </w:r>
      <w:r w:rsidRPr="00AB1083">
        <w:rPr>
          <w:rFonts w:ascii="Palatino Linotype" w:hAnsi="Palatino Linotype" w:cs="Tahoma"/>
          <w:b/>
          <w:bCs/>
          <w:iCs/>
        </w:rPr>
        <w:t xml:space="preserve"> reflejaría una situación jurídica concreta de cada uno de los particulares identificados, al dar cuenta de la decisión personal de iniciar un procedimiento o defenderse de este, lo cual afecta su intimidad.</w:t>
      </w:r>
    </w:p>
    <w:p w14:paraId="325FE132" w14:textId="77777777" w:rsidR="00D76D75" w:rsidRPr="00AB1083" w:rsidRDefault="00D76D75" w:rsidP="00D76D75">
      <w:pPr>
        <w:spacing w:line="360" w:lineRule="auto"/>
        <w:jc w:val="both"/>
        <w:rPr>
          <w:rFonts w:ascii="Palatino Linotype" w:hAnsi="Palatino Linotype" w:cs="Tahoma"/>
          <w:bCs/>
          <w:iCs/>
        </w:rPr>
      </w:pPr>
    </w:p>
    <w:p w14:paraId="234F0CB0" w14:textId="2C0B971F" w:rsidR="00D76D75" w:rsidRPr="00AB1083" w:rsidRDefault="00D76D75" w:rsidP="00D76D75">
      <w:pPr>
        <w:spacing w:line="360" w:lineRule="auto"/>
        <w:jc w:val="both"/>
        <w:rPr>
          <w:rFonts w:ascii="Palatino Linotype" w:hAnsi="Palatino Linotype" w:cs="Tahoma"/>
          <w:bCs/>
          <w:iCs/>
        </w:rPr>
      </w:pPr>
      <w:r w:rsidRPr="00AB1083">
        <w:rPr>
          <w:rFonts w:ascii="Palatino Linotype" w:hAnsi="Palatino Linotype" w:cs="Tahoma"/>
          <w:bCs/>
          <w:iCs/>
        </w:rPr>
        <w:t>Lo anterior, toda vez que dar a conocer la existencia de que se haya iniciado un procedimiento, en donde se haga identificable a los participantes, constituye información confidencial que afecta su esfera privada, dado que vulneraría la protección de su intimidad, al tratarse de información que da cuenta de situaciones concretas en ejercicio de sus derechos que hacen evidente la posición jurídica en la cual se han colocado por decisión propia.</w:t>
      </w:r>
    </w:p>
    <w:p w14:paraId="2AA68764" w14:textId="77777777" w:rsidR="00D76D75" w:rsidRPr="00AB1083" w:rsidRDefault="00D76D75" w:rsidP="00D76D75">
      <w:pPr>
        <w:spacing w:line="360" w:lineRule="auto"/>
        <w:jc w:val="both"/>
        <w:rPr>
          <w:rFonts w:ascii="Palatino Linotype" w:hAnsi="Palatino Linotype" w:cs="Tahoma"/>
          <w:bCs/>
          <w:iCs/>
        </w:rPr>
      </w:pPr>
    </w:p>
    <w:p w14:paraId="53CFC797" w14:textId="1C6AC0B6" w:rsidR="00D608E1" w:rsidRPr="00AB1083" w:rsidRDefault="00D76D75" w:rsidP="00393311">
      <w:pPr>
        <w:autoSpaceDE w:val="0"/>
        <w:autoSpaceDN w:val="0"/>
        <w:adjustRightInd w:val="0"/>
        <w:spacing w:line="360" w:lineRule="auto"/>
        <w:jc w:val="both"/>
        <w:rPr>
          <w:rFonts w:ascii="Palatino Linotype" w:hAnsi="Palatino Linotype" w:cs="Tahoma"/>
          <w:bCs/>
          <w:iCs/>
        </w:rPr>
      </w:pPr>
      <w:r w:rsidRPr="00AB1083">
        <w:rPr>
          <w:rFonts w:ascii="Palatino Linotype" w:hAnsi="Palatino Linotype" w:cs="Tahoma"/>
          <w:bCs/>
          <w:iCs/>
        </w:rPr>
        <w:t xml:space="preserve">Razón por la cual, se considera que el Sujeto Obligado </w:t>
      </w:r>
      <w:r w:rsidR="00940B2D" w:rsidRPr="00AB1083">
        <w:rPr>
          <w:rFonts w:ascii="Palatino Linotype" w:hAnsi="Palatino Linotype" w:cs="Tahoma"/>
          <w:bCs/>
          <w:iCs/>
        </w:rPr>
        <w:t>atendió parcialmente la solicitud de información al pretender</w:t>
      </w:r>
      <w:r w:rsidRPr="00AB1083">
        <w:rPr>
          <w:rFonts w:ascii="Palatino Linotype" w:hAnsi="Palatino Linotype" w:cs="Tahoma"/>
          <w:bCs/>
          <w:iCs/>
        </w:rPr>
        <w:t xml:space="preserve"> clasificar el pronunciamiento sobre la información requerida, en términos de lo previsto en el artículo 143, fracción I, de la Ley de Transparencia y Acceso a la Información Pública del Estado de México y Municipios</w:t>
      </w:r>
      <w:r w:rsidR="00940B2D" w:rsidRPr="00AB1083">
        <w:rPr>
          <w:rFonts w:ascii="Palatino Linotype" w:hAnsi="Palatino Linotype" w:cs="Tahoma"/>
          <w:bCs/>
          <w:iCs/>
        </w:rPr>
        <w:t xml:space="preserve">; lo anterior, en virtud de que, si bien es cierto el Sujeto Obligado remitió </w:t>
      </w:r>
      <w:r w:rsidR="00BE55FC" w:rsidRPr="00AB1083">
        <w:rPr>
          <w:rFonts w:ascii="Palatino Linotype" w:hAnsi="Palatino Linotype" w:cs="Tahoma"/>
          <w:bCs/>
          <w:iCs/>
        </w:rPr>
        <w:t xml:space="preserve">un documento que consiste en </w:t>
      </w:r>
      <w:r w:rsidR="00940B2D" w:rsidRPr="00AB1083">
        <w:rPr>
          <w:rFonts w:ascii="Palatino Linotype" w:hAnsi="Palatino Linotype" w:cs="Tahoma"/>
          <w:bCs/>
          <w:iCs/>
        </w:rPr>
        <w:t xml:space="preserve">el ACUERDO CTE/05/04/2025, de la Clasificación como confidencial del Pronunciamiento afirmativo o negativo de los datos personales contenidos en los documentos proporcionados para dar respuesta a la Solicitud de Información Pública con número de folio 00154/SECT1/IP/2025, también lo es que fue omiso en entregar </w:t>
      </w:r>
      <w:r w:rsidR="00393311" w:rsidRPr="00AB1083">
        <w:rPr>
          <w:rFonts w:ascii="Palatino Linotype" w:hAnsi="Palatino Linotype" w:cs="Tahoma"/>
          <w:bCs/>
          <w:iCs/>
        </w:rPr>
        <w:t xml:space="preserve">el </w:t>
      </w:r>
      <w:r w:rsidR="00BE55FC" w:rsidRPr="00AB1083">
        <w:rPr>
          <w:rFonts w:ascii="Palatino Linotype" w:hAnsi="Palatino Linotype" w:cs="Tahoma"/>
          <w:bCs/>
          <w:iCs/>
          <w:u w:val="single"/>
        </w:rPr>
        <w:t>Acta del Comité de Transparencia</w:t>
      </w:r>
      <w:r w:rsidR="00393311" w:rsidRPr="00AB1083">
        <w:rPr>
          <w:rFonts w:ascii="Palatino Linotype" w:hAnsi="Palatino Linotype" w:cs="Tahoma"/>
          <w:bCs/>
          <w:iCs/>
          <w:u w:val="single"/>
        </w:rPr>
        <w:t xml:space="preserve"> en donde de manera fundada y motivada, confirme la clasificación del pronunciamiento en sentido afirmativo o negativo, sobre la existencia de quejas que formen parte de algún procedimiento administrativo iniciado por faltas no graves o</w:t>
      </w:r>
      <w:r w:rsidR="00393311" w:rsidRPr="00AB1083">
        <w:rPr>
          <w:u w:val="single"/>
        </w:rPr>
        <w:t xml:space="preserve"> </w:t>
      </w:r>
      <w:r w:rsidR="00393311" w:rsidRPr="00AB1083">
        <w:rPr>
          <w:rFonts w:ascii="Palatino Linotype" w:hAnsi="Palatino Linotype" w:cs="Tahoma"/>
          <w:bCs/>
          <w:iCs/>
          <w:u w:val="single"/>
        </w:rPr>
        <w:t>de procedimientos de sanciones graves absolutorias concluidos en contra de la persona referida en la solicitud de información</w:t>
      </w:r>
      <w:r w:rsidR="00393311" w:rsidRPr="00AB1083">
        <w:rPr>
          <w:rFonts w:ascii="Palatino Linotype" w:hAnsi="Palatino Linotype" w:cs="Tahoma"/>
          <w:bCs/>
          <w:iCs/>
        </w:rPr>
        <w:t xml:space="preserve">. </w:t>
      </w:r>
    </w:p>
    <w:p w14:paraId="72659CA5" w14:textId="77777777" w:rsidR="00393311" w:rsidRPr="00AB1083" w:rsidRDefault="00393311" w:rsidP="00393311">
      <w:pPr>
        <w:autoSpaceDE w:val="0"/>
        <w:autoSpaceDN w:val="0"/>
        <w:adjustRightInd w:val="0"/>
        <w:spacing w:line="360" w:lineRule="auto"/>
        <w:jc w:val="both"/>
        <w:rPr>
          <w:rFonts w:ascii="Palatino Linotype" w:hAnsi="Palatino Linotype" w:cs="Tahoma"/>
          <w:bCs/>
          <w:iCs/>
        </w:rPr>
      </w:pPr>
    </w:p>
    <w:p w14:paraId="19ED000D" w14:textId="77777777" w:rsidR="00D608E1" w:rsidRPr="00AB1083" w:rsidRDefault="00D608E1" w:rsidP="00393311">
      <w:pPr>
        <w:spacing w:line="360" w:lineRule="auto"/>
        <w:jc w:val="both"/>
        <w:rPr>
          <w:rFonts w:ascii="Palatino Linotype" w:hAnsi="Palatino Linotype" w:cs="Tahoma"/>
          <w:bCs/>
          <w:iCs/>
        </w:rPr>
      </w:pPr>
      <w:r w:rsidRPr="00AB1083">
        <w:rPr>
          <w:rFonts w:ascii="Palatino Linotype" w:hAnsi="Palatino Linotype" w:cs="Tahoma"/>
          <w:bCs/>
          <w:iCs/>
        </w:rPr>
        <w:t>Para lo cual 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3427C0E0" w14:textId="77777777" w:rsidR="00D608E1" w:rsidRPr="00AB1083" w:rsidRDefault="00D608E1" w:rsidP="00D608E1">
      <w:pPr>
        <w:spacing w:line="360" w:lineRule="auto"/>
        <w:jc w:val="both"/>
        <w:rPr>
          <w:rFonts w:ascii="Palatino Linotype" w:hAnsi="Palatino Linotype" w:cs="Tahoma"/>
          <w:bCs/>
          <w:iCs/>
        </w:rPr>
      </w:pPr>
    </w:p>
    <w:p w14:paraId="741F1628" w14:textId="77777777" w:rsidR="00D608E1" w:rsidRPr="00AB1083" w:rsidRDefault="00D608E1" w:rsidP="00D608E1">
      <w:pPr>
        <w:numPr>
          <w:ilvl w:val="0"/>
          <w:numId w:val="45"/>
        </w:numPr>
        <w:spacing w:after="160" w:line="276" w:lineRule="auto"/>
        <w:jc w:val="both"/>
        <w:rPr>
          <w:rFonts w:ascii="Palatino Linotype" w:hAnsi="Palatino Linotype" w:cs="Tahoma"/>
          <w:bCs/>
          <w:iCs/>
          <w:szCs w:val="28"/>
        </w:rPr>
      </w:pPr>
      <w:r w:rsidRPr="00AB1083">
        <w:rPr>
          <w:rFonts w:ascii="Palatino Linotype" w:hAnsi="Palatino Linotype" w:cs="Tahoma"/>
          <w:bCs/>
          <w:iCs/>
          <w:szCs w:val="28"/>
        </w:rPr>
        <w:t>Confirmar la clasificación;</w:t>
      </w:r>
    </w:p>
    <w:p w14:paraId="67A1F2FE" w14:textId="77777777" w:rsidR="00D608E1" w:rsidRPr="00AB1083" w:rsidRDefault="00D608E1" w:rsidP="00D608E1">
      <w:pPr>
        <w:numPr>
          <w:ilvl w:val="0"/>
          <w:numId w:val="45"/>
        </w:numPr>
        <w:spacing w:after="160" w:line="276" w:lineRule="auto"/>
        <w:jc w:val="both"/>
        <w:rPr>
          <w:rFonts w:ascii="Palatino Linotype" w:hAnsi="Palatino Linotype" w:cs="Tahoma"/>
          <w:bCs/>
          <w:iCs/>
          <w:szCs w:val="28"/>
        </w:rPr>
      </w:pPr>
      <w:r w:rsidRPr="00AB1083">
        <w:rPr>
          <w:rFonts w:ascii="Palatino Linotype" w:hAnsi="Palatino Linotype" w:cs="Tahoma"/>
          <w:bCs/>
          <w:iCs/>
          <w:szCs w:val="28"/>
        </w:rPr>
        <w:t>Modificar la clasificación y, otorgar total o parcialmente el acceso a la información, o</w:t>
      </w:r>
    </w:p>
    <w:p w14:paraId="4AF3DADB" w14:textId="77777777" w:rsidR="00D608E1" w:rsidRPr="00AB1083" w:rsidRDefault="00D608E1" w:rsidP="00D608E1">
      <w:pPr>
        <w:numPr>
          <w:ilvl w:val="0"/>
          <w:numId w:val="45"/>
        </w:numPr>
        <w:spacing w:after="160" w:line="276" w:lineRule="auto"/>
        <w:jc w:val="both"/>
        <w:rPr>
          <w:rFonts w:ascii="Palatino Linotype" w:hAnsi="Palatino Linotype" w:cs="Tahoma"/>
          <w:bCs/>
          <w:iCs/>
          <w:szCs w:val="28"/>
        </w:rPr>
      </w:pPr>
      <w:r w:rsidRPr="00AB1083">
        <w:rPr>
          <w:rFonts w:ascii="Palatino Linotype" w:hAnsi="Palatino Linotype" w:cs="Tahoma"/>
          <w:bCs/>
          <w:iCs/>
          <w:szCs w:val="28"/>
        </w:rPr>
        <w:t>Revocar la clasificación y conceder el acceso a la información.</w:t>
      </w:r>
    </w:p>
    <w:p w14:paraId="081FE292" w14:textId="77777777" w:rsidR="00D608E1" w:rsidRPr="00AB1083" w:rsidRDefault="00D608E1" w:rsidP="00D608E1">
      <w:pPr>
        <w:spacing w:line="360" w:lineRule="auto"/>
        <w:jc w:val="both"/>
        <w:rPr>
          <w:rFonts w:ascii="Palatino Linotype" w:hAnsi="Palatino Linotype" w:cs="Tahoma"/>
          <w:bCs/>
          <w:iCs/>
        </w:rPr>
      </w:pPr>
    </w:p>
    <w:p w14:paraId="4A43BACE" w14:textId="77777777" w:rsidR="00D608E1" w:rsidRPr="00AB1083" w:rsidRDefault="00D608E1" w:rsidP="00D608E1">
      <w:pPr>
        <w:spacing w:line="360" w:lineRule="auto"/>
        <w:jc w:val="both"/>
        <w:rPr>
          <w:rFonts w:ascii="Palatino Linotype" w:hAnsi="Palatino Linotype" w:cs="Tahoma"/>
          <w:bCs/>
          <w:iCs/>
        </w:rPr>
      </w:pPr>
      <w:r w:rsidRPr="00AB1083">
        <w:rPr>
          <w:rFonts w:ascii="Palatino Linotype" w:hAnsi="Palatino Linotype" w:cs="Tahoma"/>
          <w:bCs/>
          <w:iCs/>
        </w:rPr>
        <w:t xml:space="preserve">Para motivar la confirmación de la clasificación de la información, se deberán señalar las razones, motivos o circunstancias especiales que llevaron al </w:t>
      </w:r>
      <w:r w:rsidRPr="00AB1083">
        <w:rPr>
          <w:rFonts w:ascii="Palatino Linotype" w:hAnsi="Palatino Linotype" w:cs="Tahoma"/>
          <w:b/>
          <w:bCs/>
          <w:iCs/>
        </w:rPr>
        <w:t>Sujeto Obligado</w:t>
      </w:r>
      <w:r w:rsidRPr="00AB1083">
        <w:rPr>
          <w:rFonts w:ascii="Palatino Linotype" w:hAnsi="Palatino Linotype" w:cs="Tahoma"/>
          <w:bCs/>
          <w:iCs/>
        </w:rPr>
        <w:t xml:space="preserve"> a concluir que el caso particular se ajusta al supuesto previsto por la norma legal invocada como fundamento, lo que en el presente caso sucedió. </w:t>
      </w:r>
    </w:p>
    <w:p w14:paraId="23623A6B" w14:textId="77777777" w:rsidR="00D608E1" w:rsidRPr="00AB1083" w:rsidRDefault="00D608E1" w:rsidP="00D608E1">
      <w:pPr>
        <w:spacing w:line="360" w:lineRule="auto"/>
        <w:jc w:val="both"/>
        <w:rPr>
          <w:rFonts w:ascii="Palatino Linotype" w:hAnsi="Palatino Linotype" w:cs="Tahoma"/>
          <w:bCs/>
          <w:iCs/>
        </w:rPr>
      </w:pPr>
    </w:p>
    <w:p w14:paraId="01D6F3FF" w14:textId="7B8E148C" w:rsidR="00D608E1" w:rsidRPr="00AB1083" w:rsidRDefault="00D608E1" w:rsidP="00D608E1">
      <w:pPr>
        <w:spacing w:line="360" w:lineRule="auto"/>
        <w:jc w:val="both"/>
        <w:rPr>
          <w:rFonts w:ascii="Palatino Linotype" w:hAnsi="Palatino Linotype" w:cs="Tahoma"/>
          <w:b/>
          <w:bCs/>
          <w:iCs/>
        </w:rPr>
      </w:pPr>
      <w:r w:rsidRPr="00AB1083">
        <w:rPr>
          <w:rFonts w:ascii="Palatino Linotype" w:hAnsi="Palatino Linotype" w:cs="Tahoma"/>
          <w:bCs/>
          <w:iCs/>
        </w:rPr>
        <w:t xml:space="preserve">Dicho lo anterior, se considera que, para atender el requerimiento de información, el </w:t>
      </w:r>
      <w:r w:rsidRPr="00AB1083">
        <w:rPr>
          <w:rFonts w:ascii="Palatino Linotype" w:hAnsi="Palatino Linotype" w:cs="Tahoma"/>
          <w:b/>
          <w:bCs/>
          <w:iCs/>
        </w:rPr>
        <w:t>Sujeto Obligado</w:t>
      </w:r>
      <w:r w:rsidRPr="00AB1083">
        <w:rPr>
          <w:rFonts w:ascii="Palatino Linotype" w:hAnsi="Palatino Linotype" w:cs="Tahoma"/>
          <w:bCs/>
          <w:iCs/>
        </w:rPr>
        <w:t xml:space="preserve"> deberá seguir el procedimiento establecido en el artículo 168 de la Ley de Transparencia y Acceso a la Información Pública del Estado de México y Municipios y, proporcionar el </w:t>
      </w:r>
      <w:r w:rsidRPr="00AB1083">
        <w:rPr>
          <w:rFonts w:ascii="Palatino Linotype" w:hAnsi="Palatino Linotype" w:cs="Tahoma"/>
          <w:b/>
          <w:bCs/>
          <w:iCs/>
        </w:rPr>
        <w:t xml:space="preserve">Acuerdo emitido por el Comité de Transparencia, donde confirme la clasificación del pronunciamiento en sentido afirmativo o negativo </w:t>
      </w:r>
      <w:r w:rsidR="00393311" w:rsidRPr="00AB1083">
        <w:rPr>
          <w:rFonts w:ascii="Palatino Linotype" w:hAnsi="Palatino Linotype" w:cs="Tahoma"/>
          <w:b/>
          <w:bCs/>
          <w:iCs/>
        </w:rPr>
        <w:t>sobre la existencia de quejas que formen parte de algún procedimiento administrativo iniciado por faltas no graves o de procedimientos de sanciones graves absolutorias concluidos en contra de la persona referida en la solicitud de información</w:t>
      </w:r>
      <w:r w:rsidRPr="00AB1083">
        <w:rPr>
          <w:rFonts w:ascii="Palatino Linotype" w:hAnsi="Palatino Linotype" w:cs="Tahoma"/>
          <w:b/>
          <w:bCs/>
          <w:iCs/>
        </w:rPr>
        <w:t xml:space="preserve">. </w:t>
      </w:r>
    </w:p>
    <w:p w14:paraId="2316EDA8" w14:textId="77777777" w:rsidR="00BE5492" w:rsidRPr="00AB1083" w:rsidRDefault="00BE5492" w:rsidP="00BE5492">
      <w:pPr>
        <w:autoSpaceDE w:val="0"/>
        <w:autoSpaceDN w:val="0"/>
        <w:adjustRightInd w:val="0"/>
        <w:spacing w:line="360" w:lineRule="auto"/>
        <w:jc w:val="both"/>
        <w:rPr>
          <w:rFonts w:ascii="Palatino Linotype" w:hAnsi="Palatino Linotype" w:cs="Arial"/>
          <w:lang w:eastAsia="en-US"/>
        </w:rPr>
      </w:pPr>
    </w:p>
    <w:p w14:paraId="41A803D9" w14:textId="77777777" w:rsidR="00BE5492" w:rsidRPr="00AB1083" w:rsidRDefault="00BE5492" w:rsidP="00BE5492">
      <w:pPr>
        <w:autoSpaceDE w:val="0"/>
        <w:autoSpaceDN w:val="0"/>
        <w:adjustRightInd w:val="0"/>
        <w:spacing w:line="360" w:lineRule="auto"/>
        <w:jc w:val="both"/>
        <w:rPr>
          <w:rFonts w:ascii="Palatino Linotype" w:hAnsi="Palatino Linotype" w:cs="Arial"/>
          <w:lang w:eastAsia="en-US"/>
        </w:rPr>
      </w:pPr>
      <w:r w:rsidRPr="00AB1083">
        <w:rPr>
          <w:rFonts w:ascii="Palatino Linotype" w:hAnsi="Palatino Linotype" w:cs="Arial"/>
          <w:lang w:eastAsia="en-US"/>
        </w:rPr>
        <w:t>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5A8700D" w14:textId="77777777" w:rsidR="00BE5492" w:rsidRPr="00AB1083" w:rsidRDefault="00BE5492" w:rsidP="00BE5492"/>
    <w:p w14:paraId="09DF82DC" w14:textId="77777777" w:rsidR="00BE5492" w:rsidRPr="00AB1083" w:rsidRDefault="00BE5492" w:rsidP="00BE5492">
      <w:pPr>
        <w:ind w:left="851" w:right="851"/>
        <w:contextualSpacing/>
        <w:jc w:val="both"/>
        <w:rPr>
          <w:rFonts w:ascii="Palatino Linotype" w:hAnsi="Palatino Linotype"/>
          <w:i/>
          <w:sz w:val="22"/>
          <w:lang w:eastAsia="en-US"/>
        </w:rPr>
      </w:pPr>
      <w:r w:rsidRPr="00AB1083">
        <w:rPr>
          <w:rFonts w:ascii="Palatino Linotype" w:hAnsi="Palatino Linotype"/>
          <w:b/>
          <w:i/>
          <w:sz w:val="22"/>
          <w:lang w:eastAsia="en-US"/>
        </w:rPr>
        <w:t>“Artículo 49.</w:t>
      </w:r>
      <w:r w:rsidRPr="00AB1083">
        <w:rPr>
          <w:rFonts w:ascii="Palatino Linotype" w:hAnsi="Palatino Linotype"/>
          <w:i/>
          <w:sz w:val="22"/>
          <w:lang w:eastAsia="en-US"/>
        </w:rPr>
        <w:t xml:space="preserve"> </w:t>
      </w:r>
      <w:r w:rsidRPr="00AB1083">
        <w:rPr>
          <w:rFonts w:ascii="Palatino Linotype" w:hAnsi="Palatino Linotype"/>
          <w:b/>
          <w:i/>
          <w:sz w:val="22"/>
          <w:lang w:eastAsia="en-US"/>
        </w:rPr>
        <w:t>Los Comités de Transparencia</w:t>
      </w:r>
      <w:r w:rsidRPr="00AB1083">
        <w:rPr>
          <w:rFonts w:ascii="Palatino Linotype" w:hAnsi="Palatino Linotype"/>
          <w:i/>
          <w:sz w:val="22"/>
          <w:lang w:eastAsia="en-US"/>
        </w:rPr>
        <w:t xml:space="preserve"> tendrán las siguientes atribuciones:</w:t>
      </w:r>
    </w:p>
    <w:p w14:paraId="5EABE71F" w14:textId="77777777" w:rsidR="00BE5492" w:rsidRPr="00AB1083" w:rsidRDefault="00BE5492" w:rsidP="00BE5492">
      <w:pPr>
        <w:ind w:left="851" w:right="851"/>
        <w:contextualSpacing/>
        <w:jc w:val="both"/>
        <w:rPr>
          <w:rFonts w:ascii="Palatino Linotype" w:hAnsi="Palatino Linotype"/>
          <w:b/>
          <w:i/>
          <w:sz w:val="22"/>
          <w:lang w:eastAsia="en-US"/>
        </w:rPr>
      </w:pPr>
      <w:r w:rsidRPr="00AB1083">
        <w:rPr>
          <w:rFonts w:ascii="Palatino Linotype" w:hAnsi="Palatino Linotype"/>
          <w:b/>
          <w:i/>
          <w:sz w:val="22"/>
          <w:lang w:eastAsia="en-US"/>
        </w:rPr>
        <w:t>(…)</w:t>
      </w:r>
    </w:p>
    <w:p w14:paraId="03CE68C2" w14:textId="77777777" w:rsidR="00BE5492" w:rsidRPr="00AB1083" w:rsidRDefault="00BE5492" w:rsidP="00BE5492">
      <w:pPr>
        <w:ind w:left="851" w:right="851"/>
        <w:contextualSpacing/>
        <w:jc w:val="both"/>
        <w:rPr>
          <w:rFonts w:ascii="Palatino Linotype" w:hAnsi="Palatino Linotype"/>
          <w:i/>
          <w:sz w:val="22"/>
          <w:lang w:eastAsia="en-US"/>
        </w:rPr>
      </w:pPr>
      <w:r w:rsidRPr="00AB1083">
        <w:rPr>
          <w:rFonts w:ascii="Palatino Linotype" w:hAnsi="Palatino Linotype"/>
          <w:b/>
          <w:i/>
          <w:sz w:val="22"/>
          <w:lang w:eastAsia="en-US"/>
        </w:rPr>
        <w:t>VIII. Aprobar, modificar o revocar la clasificación de la información</w:t>
      </w:r>
      <w:r w:rsidRPr="00AB1083">
        <w:rPr>
          <w:rFonts w:ascii="Palatino Linotype" w:hAnsi="Palatino Linotype"/>
          <w:i/>
          <w:sz w:val="22"/>
          <w:lang w:eastAsia="en-US"/>
        </w:rPr>
        <w:t>…”</w:t>
      </w:r>
    </w:p>
    <w:p w14:paraId="20957B72" w14:textId="77777777" w:rsidR="00BE5492" w:rsidRPr="00AB1083" w:rsidRDefault="00BE5492" w:rsidP="00BE5492">
      <w:pPr>
        <w:ind w:left="851" w:right="851"/>
        <w:contextualSpacing/>
        <w:jc w:val="both"/>
        <w:rPr>
          <w:rFonts w:ascii="Palatino Linotype" w:hAnsi="Palatino Linotype"/>
          <w:i/>
          <w:sz w:val="22"/>
          <w:lang w:eastAsia="en-US"/>
        </w:rPr>
      </w:pPr>
      <w:r w:rsidRPr="00AB1083">
        <w:rPr>
          <w:rFonts w:ascii="Palatino Linotype" w:hAnsi="Palatino Linotype"/>
          <w:i/>
          <w:sz w:val="22"/>
          <w:lang w:eastAsia="en-US"/>
        </w:rPr>
        <w:t>(…)</w:t>
      </w:r>
    </w:p>
    <w:p w14:paraId="21AD9B42" w14:textId="77777777" w:rsidR="00BE5492" w:rsidRPr="00AB1083" w:rsidRDefault="00BE5492" w:rsidP="00BE5492">
      <w:pPr>
        <w:ind w:left="851" w:right="851"/>
        <w:contextualSpacing/>
        <w:jc w:val="both"/>
        <w:rPr>
          <w:rFonts w:ascii="Palatino Linotype" w:hAnsi="Palatino Linotype"/>
          <w:i/>
          <w:sz w:val="22"/>
          <w:lang w:eastAsia="en-US"/>
        </w:rPr>
      </w:pPr>
      <w:r w:rsidRPr="00AB1083">
        <w:rPr>
          <w:rFonts w:ascii="Palatino Linotype" w:hAnsi="Palatino Linotype"/>
          <w:i/>
          <w:sz w:val="22"/>
          <w:lang w:eastAsia="en-US"/>
        </w:rPr>
        <w:t>“</w:t>
      </w:r>
      <w:r w:rsidRPr="00AB1083">
        <w:rPr>
          <w:rFonts w:ascii="Palatino Linotype" w:hAnsi="Palatino Linotype"/>
          <w:b/>
          <w:i/>
          <w:sz w:val="22"/>
          <w:lang w:eastAsia="en-US"/>
        </w:rPr>
        <w:t>Artículo 53.</w:t>
      </w:r>
      <w:r w:rsidRPr="00AB1083">
        <w:rPr>
          <w:rFonts w:ascii="Palatino Linotype" w:hAnsi="Palatino Linotype"/>
          <w:i/>
          <w:sz w:val="22"/>
          <w:lang w:eastAsia="en-US"/>
        </w:rPr>
        <w:t xml:space="preserve"> Las </w:t>
      </w:r>
      <w:r w:rsidRPr="00AB1083">
        <w:rPr>
          <w:rFonts w:ascii="Palatino Linotype" w:hAnsi="Palatino Linotype"/>
          <w:b/>
          <w:i/>
          <w:sz w:val="22"/>
          <w:lang w:eastAsia="en-US"/>
        </w:rPr>
        <w:t>Unidades de Transparencia</w:t>
      </w:r>
      <w:r w:rsidRPr="00AB1083">
        <w:rPr>
          <w:rFonts w:ascii="Palatino Linotype" w:hAnsi="Palatino Linotype"/>
          <w:i/>
          <w:sz w:val="22"/>
          <w:lang w:eastAsia="en-US"/>
        </w:rPr>
        <w:t xml:space="preserve"> tendrán las siguientes </w:t>
      </w:r>
      <w:r w:rsidRPr="00AB1083">
        <w:rPr>
          <w:rFonts w:ascii="Palatino Linotype" w:hAnsi="Palatino Linotype"/>
          <w:b/>
          <w:i/>
          <w:sz w:val="22"/>
          <w:lang w:eastAsia="en-US"/>
        </w:rPr>
        <w:t>funciones</w:t>
      </w:r>
      <w:r w:rsidRPr="00AB1083">
        <w:rPr>
          <w:rFonts w:ascii="Palatino Linotype" w:hAnsi="Palatino Linotype"/>
          <w:i/>
          <w:sz w:val="22"/>
          <w:lang w:eastAsia="en-US"/>
        </w:rPr>
        <w:t>:</w:t>
      </w:r>
    </w:p>
    <w:p w14:paraId="1C29FA76" w14:textId="77777777" w:rsidR="00BE5492" w:rsidRPr="00AB1083" w:rsidRDefault="00BE5492" w:rsidP="00BE5492">
      <w:pPr>
        <w:tabs>
          <w:tab w:val="left" w:pos="3280"/>
        </w:tabs>
        <w:ind w:left="851" w:right="851"/>
        <w:contextualSpacing/>
        <w:jc w:val="both"/>
        <w:rPr>
          <w:rFonts w:ascii="Palatino Linotype" w:hAnsi="Palatino Linotype"/>
          <w:i/>
          <w:sz w:val="22"/>
          <w:lang w:eastAsia="en-US"/>
        </w:rPr>
      </w:pPr>
      <w:r w:rsidRPr="00AB1083">
        <w:rPr>
          <w:rFonts w:ascii="Palatino Linotype" w:hAnsi="Palatino Linotype"/>
          <w:i/>
          <w:sz w:val="22"/>
          <w:lang w:eastAsia="en-US"/>
        </w:rPr>
        <w:t>(…)</w:t>
      </w:r>
      <w:r w:rsidRPr="00AB1083">
        <w:rPr>
          <w:rFonts w:ascii="Palatino Linotype" w:hAnsi="Palatino Linotype"/>
          <w:i/>
          <w:sz w:val="22"/>
          <w:lang w:eastAsia="en-US"/>
        </w:rPr>
        <w:tab/>
      </w:r>
    </w:p>
    <w:p w14:paraId="117A3F49" w14:textId="77777777" w:rsidR="00BE5492" w:rsidRPr="00AB1083" w:rsidRDefault="00BE5492" w:rsidP="00BE5492">
      <w:pPr>
        <w:ind w:left="851" w:right="851"/>
        <w:contextualSpacing/>
        <w:jc w:val="both"/>
        <w:rPr>
          <w:rFonts w:ascii="Palatino Linotype" w:hAnsi="Palatino Linotype"/>
          <w:b/>
          <w:i/>
          <w:sz w:val="22"/>
          <w:lang w:eastAsia="en-US"/>
        </w:rPr>
      </w:pPr>
      <w:r w:rsidRPr="00AB1083">
        <w:rPr>
          <w:rFonts w:ascii="Palatino Linotype" w:hAnsi="Palatino Linotype"/>
          <w:b/>
          <w:i/>
          <w:sz w:val="22"/>
          <w:lang w:eastAsia="en-US"/>
        </w:rPr>
        <w:t>X. Presentar ante el Comité, el proyecto de clasificación de información;</w:t>
      </w:r>
    </w:p>
    <w:p w14:paraId="19DA92C3" w14:textId="77777777" w:rsidR="00BE5492" w:rsidRPr="00AB1083" w:rsidRDefault="00BE5492" w:rsidP="00BE5492">
      <w:pPr>
        <w:ind w:left="851" w:right="851"/>
        <w:contextualSpacing/>
        <w:jc w:val="both"/>
        <w:rPr>
          <w:rFonts w:ascii="Palatino Linotype" w:hAnsi="Palatino Linotype"/>
          <w:i/>
          <w:sz w:val="22"/>
          <w:lang w:eastAsia="en-US"/>
        </w:rPr>
      </w:pPr>
      <w:r w:rsidRPr="00AB1083">
        <w:rPr>
          <w:rFonts w:ascii="Palatino Linotype" w:hAnsi="Palatino Linotype"/>
          <w:i/>
          <w:sz w:val="22"/>
          <w:lang w:eastAsia="en-US"/>
        </w:rPr>
        <w:t xml:space="preserve">(…)” </w:t>
      </w:r>
    </w:p>
    <w:p w14:paraId="713D0200" w14:textId="77777777" w:rsidR="00BE5492" w:rsidRPr="00AB1083" w:rsidRDefault="00BE5492" w:rsidP="00BE5492">
      <w:pPr>
        <w:ind w:left="851" w:right="851"/>
        <w:contextualSpacing/>
        <w:jc w:val="both"/>
        <w:rPr>
          <w:rFonts w:ascii="Palatino Linotype" w:hAnsi="Palatino Linotype"/>
          <w:b/>
          <w:i/>
          <w:sz w:val="22"/>
          <w:lang w:eastAsia="en-US"/>
        </w:rPr>
      </w:pPr>
    </w:p>
    <w:p w14:paraId="4C82BEEC" w14:textId="77777777" w:rsidR="00BE5492" w:rsidRPr="00AB1083" w:rsidRDefault="00BE5492" w:rsidP="00BE5492">
      <w:pPr>
        <w:ind w:left="851" w:right="851"/>
        <w:contextualSpacing/>
        <w:jc w:val="both"/>
        <w:rPr>
          <w:rFonts w:ascii="Palatino Linotype" w:hAnsi="Palatino Linotype"/>
          <w:i/>
          <w:sz w:val="22"/>
          <w:lang w:eastAsia="en-US"/>
        </w:rPr>
      </w:pPr>
      <w:r w:rsidRPr="00AB1083">
        <w:rPr>
          <w:rFonts w:ascii="Palatino Linotype" w:hAnsi="Palatino Linotype"/>
          <w:b/>
          <w:i/>
          <w:sz w:val="22"/>
          <w:lang w:eastAsia="en-US"/>
        </w:rPr>
        <w:t>“Artículo 59.</w:t>
      </w:r>
      <w:r w:rsidRPr="00AB1083">
        <w:rPr>
          <w:rFonts w:ascii="Palatino Linotype" w:hAnsi="Palatino Linotype"/>
          <w:i/>
          <w:sz w:val="22"/>
          <w:lang w:eastAsia="en-US"/>
        </w:rPr>
        <w:t xml:space="preserve"> Los </w:t>
      </w:r>
      <w:r w:rsidRPr="00AB1083">
        <w:rPr>
          <w:rFonts w:ascii="Palatino Linotype" w:hAnsi="Palatino Linotype"/>
          <w:b/>
          <w:i/>
          <w:sz w:val="22"/>
          <w:lang w:eastAsia="en-US"/>
        </w:rPr>
        <w:t>servidores públicos habilitados</w:t>
      </w:r>
      <w:r w:rsidRPr="00AB1083">
        <w:rPr>
          <w:rFonts w:ascii="Palatino Linotype" w:hAnsi="Palatino Linotype"/>
          <w:i/>
          <w:sz w:val="22"/>
          <w:lang w:eastAsia="en-US"/>
        </w:rPr>
        <w:t xml:space="preserve"> tendrán las </w:t>
      </w:r>
      <w:r w:rsidRPr="00AB1083">
        <w:rPr>
          <w:rFonts w:ascii="Palatino Linotype" w:hAnsi="Palatino Linotype"/>
          <w:b/>
          <w:i/>
          <w:sz w:val="22"/>
          <w:lang w:eastAsia="en-US"/>
        </w:rPr>
        <w:t>funciones</w:t>
      </w:r>
      <w:r w:rsidRPr="00AB1083">
        <w:rPr>
          <w:rFonts w:ascii="Palatino Linotype" w:hAnsi="Palatino Linotype"/>
          <w:i/>
          <w:sz w:val="22"/>
          <w:lang w:eastAsia="en-US"/>
        </w:rPr>
        <w:t xml:space="preserve"> siguientes:</w:t>
      </w:r>
    </w:p>
    <w:p w14:paraId="4EE34690" w14:textId="77777777" w:rsidR="00BE5492" w:rsidRPr="00AB1083" w:rsidRDefault="00BE5492" w:rsidP="00BE5492">
      <w:pPr>
        <w:ind w:left="851" w:right="851"/>
        <w:contextualSpacing/>
        <w:jc w:val="both"/>
        <w:rPr>
          <w:rFonts w:ascii="Palatino Linotype" w:hAnsi="Palatino Linotype"/>
          <w:b/>
          <w:i/>
          <w:sz w:val="22"/>
          <w:lang w:eastAsia="en-US"/>
        </w:rPr>
      </w:pPr>
      <w:r w:rsidRPr="00AB1083">
        <w:rPr>
          <w:rFonts w:ascii="Palatino Linotype" w:hAnsi="Palatino Linotype"/>
          <w:b/>
          <w:i/>
          <w:sz w:val="22"/>
          <w:lang w:eastAsia="en-US"/>
        </w:rPr>
        <w:t>(…)</w:t>
      </w:r>
    </w:p>
    <w:p w14:paraId="0016F28F" w14:textId="77777777" w:rsidR="00BE5492" w:rsidRPr="00AB1083" w:rsidRDefault="00BE5492" w:rsidP="00BE5492">
      <w:pPr>
        <w:ind w:left="851" w:right="851"/>
        <w:contextualSpacing/>
        <w:jc w:val="both"/>
        <w:rPr>
          <w:rFonts w:ascii="Palatino Linotype" w:hAnsi="Palatino Linotype"/>
          <w:i/>
          <w:sz w:val="22"/>
          <w:lang w:eastAsia="en-US"/>
        </w:rPr>
      </w:pPr>
      <w:r w:rsidRPr="00AB1083">
        <w:rPr>
          <w:rFonts w:ascii="Palatino Linotype" w:hAnsi="Palatino Linotype"/>
          <w:b/>
          <w:i/>
          <w:sz w:val="22"/>
          <w:lang w:eastAsia="en-US"/>
        </w:rPr>
        <w:t>V. Integrar y presentar al responsable de la Unidad de Transparencia la propuesta de clasificación de información</w:t>
      </w:r>
      <w:r w:rsidRPr="00AB1083">
        <w:rPr>
          <w:rFonts w:ascii="Palatino Linotype" w:hAnsi="Palatino Linotype"/>
          <w:i/>
          <w:sz w:val="22"/>
          <w:lang w:eastAsia="en-US"/>
        </w:rPr>
        <w:t>, la cual tendrá los fundamentos y argumentos en que se basa dicha propuesta;</w:t>
      </w:r>
    </w:p>
    <w:p w14:paraId="0B640F2D" w14:textId="77777777" w:rsidR="00BE5492" w:rsidRPr="00AB1083" w:rsidRDefault="00BE5492" w:rsidP="00BE5492">
      <w:pPr>
        <w:ind w:left="851" w:right="851"/>
        <w:contextualSpacing/>
        <w:jc w:val="both"/>
        <w:rPr>
          <w:rFonts w:ascii="Palatino Linotype" w:hAnsi="Palatino Linotype"/>
          <w:i/>
          <w:sz w:val="22"/>
          <w:lang w:eastAsia="en-US"/>
        </w:rPr>
      </w:pPr>
      <w:r w:rsidRPr="00AB1083">
        <w:rPr>
          <w:rFonts w:ascii="Palatino Linotype" w:hAnsi="Palatino Linotype"/>
          <w:i/>
          <w:sz w:val="22"/>
          <w:lang w:eastAsia="en-US"/>
        </w:rPr>
        <w:t>(…)”</w:t>
      </w:r>
    </w:p>
    <w:p w14:paraId="18A6DFCF" w14:textId="77777777" w:rsidR="00BE5492" w:rsidRPr="00AB1083" w:rsidRDefault="00BE5492" w:rsidP="00BE5492">
      <w:pPr>
        <w:ind w:left="851" w:right="851"/>
        <w:contextualSpacing/>
        <w:jc w:val="both"/>
        <w:rPr>
          <w:rFonts w:ascii="Palatino Linotype" w:hAnsi="Palatino Linotype"/>
          <w:i/>
          <w:sz w:val="22"/>
          <w:lang w:eastAsia="en-US"/>
        </w:rPr>
      </w:pPr>
    </w:p>
    <w:p w14:paraId="54E4BAA5" w14:textId="77777777" w:rsidR="00BE5492" w:rsidRPr="00AB1083" w:rsidRDefault="00BE5492" w:rsidP="00BE5492">
      <w:pPr>
        <w:ind w:left="851" w:right="851"/>
        <w:contextualSpacing/>
        <w:jc w:val="right"/>
        <w:rPr>
          <w:rFonts w:ascii="Palatino Linotype" w:hAnsi="Palatino Linotype"/>
          <w:i/>
          <w:sz w:val="18"/>
          <w:lang w:eastAsia="en-US"/>
        </w:rPr>
      </w:pPr>
      <w:r w:rsidRPr="00AB1083">
        <w:rPr>
          <w:rFonts w:ascii="Palatino Linotype" w:hAnsi="Palatino Linotype"/>
          <w:i/>
          <w:sz w:val="18"/>
          <w:lang w:eastAsia="en-US"/>
        </w:rPr>
        <w:t>Énfasis añadido.</w:t>
      </w:r>
    </w:p>
    <w:p w14:paraId="65D9274C" w14:textId="77777777" w:rsidR="00BE5492" w:rsidRPr="00AB1083" w:rsidRDefault="00BE5492" w:rsidP="00BE5492">
      <w:pPr>
        <w:spacing w:line="259" w:lineRule="auto"/>
        <w:ind w:left="992" w:right="1043"/>
        <w:contextualSpacing/>
        <w:jc w:val="both"/>
        <w:rPr>
          <w:rFonts w:ascii="Palatino Linotype" w:hAnsi="Palatino Linotype"/>
          <w:i/>
          <w:lang w:eastAsia="en-US"/>
        </w:rPr>
      </w:pPr>
    </w:p>
    <w:p w14:paraId="56C570B0" w14:textId="77777777" w:rsidR="00BE5492" w:rsidRPr="00AB1083" w:rsidRDefault="00BE5492" w:rsidP="00BE5492">
      <w:pPr>
        <w:spacing w:line="360" w:lineRule="auto"/>
        <w:jc w:val="both"/>
        <w:rPr>
          <w:rFonts w:ascii="Palatino Linotype" w:hAnsi="Palatino Linotype" w:cs="Arial"/>
          <w:lang w:eastAsia="en-US"/>
        </w:rPr>
      </w:pPr>
      <w:r w:rsidRPr="00AB1083">
        <w:rPr>
          <w:rFonts w:ascii="Palatino Linotype" w:hAnsi="Palatino Linotype" w:cs="Arial"/>
          <w:lang w:eastAsia="en-US"/>
        </w:rPr>
        <w:t>Denotándose de dichos ordenamientos jurídicos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F810739" w14:textId="77777777" w:rsidR="00BE5492" w:rsidRPr="00AB1083" w:rsidRDefault="00BE5492" w:rsidP="00BE5492">
      <w:pPr>
        <w:spacing w:line="360" w:lineRule="auto"/>
        <w:jc w:val="both"/>
        <w:rPr>
          <w:rFonts w:ascii="Palatino Linotype" w:hAnsi="Palatino Linotype" w:cs="Arial"/>
          <w:lang w:eastAsia="en-US"/>
        </w:rPr>
      </w:pPr>
    </w:p>
    <w:p w14:paraId="43FEF624" w14:textId="77777777" w:rsidR="00BE5492" w:rsidRPr="00AB1083" w:rsidRDefault="00BE5492" w:rsidP="00BE5492">
      <w:pPr>
        <w:spacing w:line="360" w:lineRule="auto"/>
        <w:jc w:val="both"/>
        <w:rPr>
          <w:rFonts w:ascii="Palatino Linotype" w:hAnsi="Palatino Linotype" w:cs="Arial"/>
          <w:lang w:eastAsia="en-US"/>
        </w:rPr>
      </w:pPr>
      <w:r w:rsidRPr="00AB1083">
        <w:rPr>
          <w:rFonts w:ascii="Palatino Linotype" w:hAnsi="Palatino Linotype" w:cs="Arial"/>
          <w:lang w:eastAsia="en-US"/>
        </w:rPr>
        <w:t>Para lo cual a su vez en el caso de información de carácter confidencial se debe atender a lo que señala el artículo 149, de la Ley de Transparencia Local vigente, cuyo contenido es de la literalidad siguiente:</w:t>
      </w:r>
    </w:p>
    <w:p w14:paraId="2735943A" w14:textId="77777777" w:rsidR="00BE5492" w:rsidRPr="00AB1083" w:rsidRDefault="00BE5492" w:rsidP="00BE5492">
      <w:pPr>
        <w:spacing w:after="160" w:line="259" w:lineRule="auto"/>
        <w:rPr>
          <w:rFonts w:asciiTheme="minorHAnsi" w:hAnsiTheme="minorHAnsi"/>
          <w:sz w:val="22"/>
          <w:szCs w:val="22"/>
          <w:lang w:eastAsia="en-US"/>
        </w:rPr>
      </w:pPr>
    </w:p>
    <w:p w14:paraId="4D84440B" w14:textId="77777777" w:rsidR="00BE5492" w:rsidRPr="00AB1083" w:rsidRDefault="00BE5492" w:rsidP="00BE5492">
      <w:pPr>
        <w:spacing w:line="259" w:lineRule="auto"/>
        <w:ind w:left="851" w:right="851"/>
        <w:jc w:val="both"/>
        <w:rPr>
          <w:rFonts w:ascii="Palatino Linotype" w:hAnsi="Palatino Linotype"/>
          <w:i/>
          <w:sz w:val="22"/>
          <w:lang w:eastAsia="en-US"/>
        </w:rPr>
      </w:pPr>
      <w:r w:rsidRPr="00AB1083">
        <w:rPr>
          <w:rFonts w:ascii="Palatino Linotype" w:hAnsi="Palatino Linotype"/>
          <w:i/>
          <w:sz w:val="22"/>
          <w:lang w:eastAsia="en-US"/>
        </w:rPr>
        <w:t>“</w:t>
      </w:r>
      <w:r w:rsidRPr="00AB1083">
        <w:rPr>
          <w:rFonts w:ascii="Palatino Linotype" w:hAnsi="Palatino Linotype"/>
          <w:b/>
          <w:i/>
          <w:sz w:val="22"/>
          <w:lang w:eastAsia="en-US"/>
        </w:rPr>
        <w:t>Artículo 149.</w:t>
      </w:r>
      <w:r w:rsidRPr="00AB1083">
        <w:rPr>
          <w:rFonts w:ascii="Palatino Linotype" w:hAnsi="Palatino Linotype"/>
          <w:i/>
          <w:sz w:val="22"/>
          <w:lang w:eastAsia="en-US"/>
        </w:rPr>
        <w:t xml:space="preserve"> El </w:t>
      </w:r>
      <w:r w:rsidRPr="00AB1083">
        <w:rPr>
          <w:rFonts w:ascii="Palatino Linotype" w:hAnsi="Palatino Linotype"/>
          <w:b/>
          <w:i/>
          <w:sz w:val="22"/>
          <w:lang w:eastAsia="en-US"/>
        </w:rPr>
        <w:t>acuerdo que clasifique la información como confidencial</w:t>
      </w:r>
      <w:r w:rsidRPr="00AB1083">
        <w:rPr>
          <w:rFonts w:ascii="Palatino Linotype" w:hAnsi="Palatino Linotype"/>
          <w:i/>
          <w:sz w:val="22"/>
          <w:lang w:eastAsia="en-US"/>
        </w:rPr>
        <w:t xml:space="preserve"> deberá contener un razonamiento lógico en el que demuestre que la información se encuentra en alguna o algunas de las hipótesis previstas en la presente Ley.”</w:t>
      </w:r>
    </w:p>
    <w:p w14:paraId="66334511" w14:textId="77777777" w:rsidR="00BE5492" w:rsidRPr="00AB1083" w:rsidRDefault="00BE5492" w:rsidP="00BE5492">
      <w:pPr>
        <w:spacing w:line="259" w:lineRule="auto"/>
        <w:ind w:left="851" w:right="851"/>
        <w:jc w:val="both"/>
        <w:rPr>
          <w:rFonts w:ascii="Palatino Linotype" w:hAnsi="Palatino Linotype" w:cs="Arial"/>
          <w:i/>
          <w:sz w:val="22"/>
          <w:lang w:eastAsia="en-US"/>
        </w:rPr>
      </w:pPr>
    </w:p>
    <w:p w14:paraId="57ED8CAB" w14:textId="77777777" w:rsidR="00BE5492" w:rsidRPr="00AB1083" w:rsidRDefault="00BE5492" w:rsidP="00BE5492"/>
    <w:p w14:paraId="4F3A60C0" w14:textId="77777777" w:rsidR="00BE5492" w:rsidRPr="00AB1083" w:rsidRDefault="00BE5492" w:rsidP="00BE5492">
      <w:pPr>
        <w:spacing w:line="360" w:lineRule="auto"/>
        <w:jc w:val="both"/>
        <w:rPr>
          <w:rFonts w:ascii="Palatino Linotype" w:hAnsi="Palatino Linotype" w:cs="Arial"/>
          <w:lang w:eastAsia="es-CO"/>
        </w:rPr>
      </w:pPr>
      <w:r w:rsidRPr="00AB1083">
        <w:rPr>
          <w:rFonts w:ascii="Palatino Linotype" w:hAnsi="Palatino Linotype" w:cs="Arial"/>
          <w:lang w:eastAsia="es-CO"/>
        </w:rPr>
        <w:t>Es decir, el Sujeto Obligado a través de su Comité de Transparencia, deberá elaborar acuerdo que contenga un razonamiento lógico con el que se demuestre que la información que se clasifica como confidencial, encuadra en alguna de las hipótesis que contempla la Ley de la Materia en su artículo 143; ya que de lo contrario se estaría violentando el derecho de acceso a la información de la solicitante.</w:t>
      </w:r>
    </w:p>
    <w:p w14:paraId="0D9E7D6B" w14:textId="77777777" w:rsidR="00BE5492" w:rsidRPr="00AB1083" w:rsidRDefault="00BE5492" w:rsidP="00BE5492">
      <w:pPr>
        <w:autoSpaceDE w:val="0"/>
        <w:autoSpaceDN w:val="0"/>
        <w:adjustRightInd w:val="0"/>
        <w:spacing w:line="360" w:lineRule="auto"/>
        <w:contextualSpacing/>
        <w:jc w:val="both"/>
        <w:rPr>
          <w:rFonts w:ascii="Palatino Linotype" w:hAnsi="Palatino Linotype" w:cs="Arial"/>
          <w:lang w:eastAsia="en-US"/>
        </w:rPr>
      </w:pPr>
    </w:p>
    <w:p w14:paraId="143E3948" w14:textId="77777777" w:rsidR="00BE5492" w:rsidRPr="00AB1083" w:rsidRDefault="00BE5492" w:rsidP="00BE5492">
      <w:pPr>
        <w:autoSpaceDE w:val="0"/>
        <w:autoSpaceDN w:val="0"/>
        <w:adjustRightInd w:val="0"/>
        <w:spacing w:line="360" w:lineRule="auto"/>
        <w:contextualSpacing/>
        <w:jc w:val="both"/>
        <w:rPr>
          <w:rFonts w:ascii="Palatino Linotype" w:hAnsi="Palatino Linotype" w:cs="Arial"/>
          <w:lang w:eastAsia="en-US"/>
        </w:rPr>
      </w:pPr>
      <w:r w:rsidRPr="00AB1083">
        <w:rPr>
          <w:rFonts w:ascii="Palatino Linotype" w:hAnsi="Palatino Linotype" w:cs="Arial"/>
          <w:lang w:eastAsia="en-US"/>
        </w:rPr>
        <w:t xml:space="preserve">Asimismo, se destaca que el acuerdo de clasificación que elabore el Sujeto Obligado debe cumplir con las formalidades exigidas en la Ley; </w:t>
      </w:r>
      <w:r w:rsidRPr="00AB1083">
        <w:rPr>
          <w:rFonts w:ascii="Palatino Linotype" w:hAnsi="Palatino Linotype"/>
          <w:lang w:eastAsia="en-US"/>
        </w:rPr>
        <w:t xml:space="preserve">es decir, resulta necesario que el Comité de Transparencia del Sujeto Obligado emita el Acuerdo de Clasificación correspondiente debidamente fundado y motivado, el cual deberá cumplir cabalmente con las formalidades previstas en el artículo 137, de la Ley de Transparencia y Acceso a la Información Pública del Estado de México y Municipios, ya expuesto; así como con los numerales aplicables de los </w:t>
      </w:r>
      <w:r w:rsidRPr="00AB1083">
        <w:rPr>
          <w:rFonts w:ascii="Palatino Linotype" w:hAnsi="Palatino Linotype"/>
          <w:b/>
          <w:lang w:eastAsia="en-US"/>
        </w:rPr>
        <w:t>LINEAMIENTOS GENERALES EN MATERIA DE CLASIFICACIÓN Y DESCLASIFICACIÓN DE LA INFORMACIÓN, ASÍ COMO PARA LA ELABORACIÓN DE VERSIONES PÚBLICAS</w:t>
      </w:r>
      <w:r w:rsidRPr="00AB1083">
        <w:rPr>
          <w:rFonts w:ascii="Palatino Linotype" w:hAnsi="Palatino Linotype"/>
          <w:lang w:eastAsia="en-US"/>
        </w:rPr>
        <w:t xml:space="preserve">, publicados en el Diario Oficial de la Federación en fecha quince de abril del año dos mil dieciséis, mediante Acuerdo del Consejo Nacional del Sistema Nacional de Transparencia, Acceso a la Información Pública y Protección de Datos Personales, </w:t>
      </w:r>
      <w:r w:rsidRPr="00AB1083">
        <w:rPr>
          <w:rFonts w:ascii="Palatino Linotype" w:hAnsi="Palatino Linotype" w:cs="Arial"/>
          <w:lang w:eastAsia="en-US"/>
        </w:rPr>
        <w:t>que literalmente expresan:</w:t>
      </w:r>
    </w:p>
    <w:p w14:paraId="3228369B" w14:textId="77777777" w:rsidR="00BE5492" w:rsidRPr="00AB1083" w:rsidRDefault="00BE5492" w:rsidP="00BE5492"/>
    <w:p w14:paraId="4BC39BAB" w14:textId="77777777" w:rsidR="00BE5492" w:rsidRPr="00AB1083" w:rsidRDefault="00BE5492" w:rsidP="00BE5492">
      <w:pPr>
        <w:ind w:left="851" w:right="851"/>
        <w:contextualSpacing/>
        <w:jc w:val="both"/>
        <w:rPr>
          <w:rFonts w:ascii="Palatino Linotype" w:hAnsi="Palatino Linotype" w:cs="Arial"/>
          <w:b/>
          <w:i/>
          <w:sz w:val="22"/>
          <w:szCs w:val="22"/>
          <w:lang w:eastAsia="en-US"/>
        </w:rPr>
      </w:pPr>
      <w:r w:rsidRPr="00AB1083">
        <w:rPr>
          <w:rFonts w:ascii="Palatino Linotype" w:hAnsi="Palatino Linotype" w:cs="Arial"/>
          <w:b/>
          <w:i/>
          <w:sz w:val="22"/>
          <w:szCs w:val="22"/>
          <w:lang w:eastAsia="es-MX"/>
        </w:rPr>
        <w:t xml:space="preserve">Lineamientos Generales en materia de Clasificación y Desclasificación de la </w:t>
      </w:r>
      <w:r w:rsidRPr="00AB1083">
        <w:rPr>
          <w:rFonts w:ascii="Palatino Linotype" w:hAnsi="Palatino Linotype" w:cs="Arial"/>
          <w:b/>
          <w:i/>
          <w:sz w:val="22"/>
          <w:szCs w:val="22"/>
          <w:lang w:eastAsia="en-US"/>
        </w:rPr>
        <w:t>Información, así como para la elaboración de Versiones Públicas</w:t>
      </w:r>
    </w:p>
    <w:p w14:paraId="2A37D447" w14:textId="77777777" w:rsidR="00BE5492" w:rsidRPr="00AB1083" w:rsidRDefault="00BE5492" w:rsidP="00BE5492">
      <w:pPr>
        <w:ind w:left="851" w:right="851"/>
        <w:contextualSpacing/>
        <w:jc w:val="both"/>
        <w:rPr>
          <w:rFonts w:ascii="Palatino Linotype" w:hAnsi="Palatino Linotype" w:cs="Arial"/>
          <w:i/>
          <w:sz w:val="22"/>
          <w:szCs w:val="22"/>
          <w:lang w:eastAsia="es-MX"/>
        </w:rPr>
      </w:pPr>
    </w:p>
    <w:p w14:paraId="3AD76383" w14:textId="77777777" w:rsidR="00BE5492" w:rsidRPr="00AB1083" w:rsidRDefault="00BE5492" w:rsidP="00BE5492">
      <w:pPr>
        <w:ind w:left="851" w:right="851"/>
        <w:contextualSpacing/>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w:t>
      </w:r>
      <w:r w:rsidRPr="00AB1083">
        <w:rPr>
          <w:rFonts w:ascii="Palatino Linotype" w:hAnsi="Palatino Linotype" w:cs="Arial"/>
          <w:b/>
          <w:i/>
          <w:sz w:val="22"/>
          <w:szCs w:val="22"/>
          <w:lang w:eastAsia="es-MX"/>
        </w:rPr>
        <w:t>Segundo.-</w:t>
      </w:r>
      <w:r w:rsidRPr="00AB1083">
        <w:rPr>
          <w:rFonts w:ascii="Palatino Linotype" w:hAnsi="Palatino Linotype" w:cs="Arial"/>
          <w:i/>
          <w:sz w:val="22"/>
          <w:szCs w:val="22"/>
          <w:lang w:eastAsia="es-MX"/>
        </w:rPr>
        <w:t xml:space="preserve"> Para efectos de los </w:t>
      </w:r>
      <w:r w:rsidRPr="00AB1083">
        <w:rPr>
          <w:rFonts w:ascii="Palatino Linotype" w:hAnsi="Palatino Linotype" w:cs="Arial"/>
          <w:i/>
          <w:sz w:val="22"/>
          <w:szCs w:val="22"/>
          <w:lang w:eastAsia="en-US"/>
        </w:rPr>
        <w:t>presentes</w:t>
      </w:r>
      <w:r w:rsidRPr="00AB1083">
        <w:rPr>
          <w:rFonts w:ascii="Palatino Linotype" w:hAnsi="Palatino Linotype" w:cs="Arial"/>
          <w:i/>
          <w:sz w:val="22"/>
          <w:szCs w:val="22"/>
          <w:lang w:eastAsia="es-MX"/>
        </w:rPr>
        <w:t xml:space="preserve"> Lineamientos Generales, se entenderá por:</w:t>
      </w:r>
    </w:p>
    <w:p w14:paraId="74116982"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p>
    <w:p w14:paraId="5B09A705"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XVIII.</w:t>
      </w:r>
      <w:r w:rsidRPr="00AB1083">
        <w:rPr>
          <w:rFonts w:ascii="Palatino Linotype" w:hAnsi="Palatino Linotype" w:cs="Arial"/>
          <w:i/>
          <w:sz w:val="22"/>
          <w:szCs w:val="22"/>
          <w:lang w:eastAsia="es-MX"/>
        </w:rPr>
        <w:t xml:space="preserve"> </w:t>
      </w:r>
      <w:r w:rsidRPr="00AB1083">
        <w:rPr>
          <w:rFonts w:ascii="Palatino Linotype" w:hAnsi="Palatino Linotype" w:cs="Arial"/>
          <w:b/>
          <w:i/>
          <w:sz w:val="22"/>
          <w:szCs w:val="22"/>
          <w:lang w:eastAsia="es-MX"/>
        </w:rPr>
        <w:t>Versión pública:</w:t>
      </w:r>
      <w:r w:rsidRPr="00AB1083">
        <w:rPr>
          <w:rFonts w:ascii="Palatino Linotype" w:hAnsi="Palatino Linotype" w:cs="Arial"/>
          <w:i/>
          <w:sz w:val="22"/>
          <w:szCs w:val="22"/>
          <w:lang w:eastAsia="es-MX"/>
        </w:rPr>
        <w:t xml:space="preserve"> El </w:t>
      </w:r>
      <w:r w:rsidRPr="00AB1083">
        <w:rPr>
          <w:rFonts w:ascii="Palatino Linotype" w:hAnsi="Palatino Linotype" w:cs="Arial"/>
          <w:bCs/>
          <w:i/>
          <w:noProof/>
          <w:sz w:val="22"/>
          <w:szCs w:val="22"/>
          <w:lang w:eastAsia="en-US"/>
        </w:rPr>
        <w:t>documento</w:t>
      </w:r>
      <w:r w:rsidRPr="00AB1083">
        <w:rPr>
          <w:rFonts w:ascii="Palatino Linotype" w:hAnsi="Palatino Linotype" w:cs="Arial"/>
          <w:i/>
          <w:sz w:val="22"/>
          <w:szCs w:val="22"/>
          <w:lang w:eastAsia="es-MX"/>
        </w:rPr>
        <w:t xml:space="preserve"> a partir del que se otorga acceso a la información, en el que se testan partes o secciones clasificadas, indicando el contenido de éstas de manera genérica, </w:t>
      </w:r>
      <w:r w:rsidRPr="00AB1083">
        <w:rPr>
          <w:rFonts w:ascii="Palatino Linotype" w:hAnsi="Palatino Linotype" w:cs="Arial"/>
          <w:b/>
          <w:i/>
          <w:sz w:val="22"/>
          <w:szCs w:val="22"/>
          <w:u w:val="single"/>
          <w:lang w:eastAsia="es-MX"/>
        </w:rPr>
        <w:t>fundando y motivando la</w:t>
      </w:r>
      <w:r w:rsidRPr="00AB1083">
        <w:rPr>
          <w:rFonts w:ascii="Palatino Linotype" w:hAnsi="Palatino Linotype" w:cs="Arial"/>
          <w:i/>
          <w:sz w:val="22"/>
          <w:szCs w:val="22"/>
          <w:lang w:eastAsia="es-MX"/>
        </w:rPr>
        <w:t xml:space="preserve"> reserva o </w:t>
      </w:r>
      <w:r w:rsidRPr="00AB1083">
        <w:rPr>
          <w:rFonts w:ascii="Palatino Linotype" w:hAnsi="Palatino Linotype" w:cs="Arial"/>
          <w:b/>
          <w:i/>
          <w:sz w:val="22"/>
          <w:szCs w:val="22"/>
          <w:u w:val="single"/>
          <w:lang w:eastAsia="es-MX"/>
        </w:rPr>
        <w:t>confidencialidad</w:t>
      </w:r>
      <w:r w:rsidRPr="00AB1083">
        <w:rPr>
          <w:rFonts w:ascii="Palatino Linotype" w:hAnsi="Palatino Linotype" w:cs="Arial"/>
          <w:i/>
          <w:sz w:val="22"/>
          <w:szCs w:val="22"/>
          <w:lang w:eastAsia="es-MX"/>
        </w:rPr>
        <w:t xml:space="preserve">, a través de la resolución que para tal efecto emita el </w:t>
      </w:r>
      <w:r w:rsidRPr="00AB1083">
        <w:rPr>
          <w:rFonts w:ascii="Palatino Linotype" w:hAnsi="Palatino Linotype" w:cs="Arial"/>
          <w:bCs/>
          <w:i/>
          <w:noProof/>
          <w:sz w:val="22"/>
          <w:szCs w:val="22"/>
          <w:lang w:eastAsia="en-US"/>
        </w:rPr>
        <w:t>Comité</w:t>
      </w:r>
      <w:r w:rsidRPr="00AB1083">
        <w:rPr>
          <w:rFonts w:ascii="Palatino Linotype" w:hAnsi="Palatino Linotype" w:cs="Arial"/>
          <w:i/>
          <w:sz w:val="22"/>
          <w:szCs w:val="22"/>
          <w:lang w:eastAsia="es-MX"/>
        </w:rPr>
        <w:t xml:space="preserve"> de Transparencia.</w:t>
      </w:r>
    </w:p>
    <w:p w14:paraId="1C596254"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p>
    <w:p w14:paraId="2C1DFF7E"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r w:rsidRPr="00AB1083">
        <w:rPr>
          <w:rFonts w:ascii="Palatino Linotype" w:hAnsi="Palatino Linotype" w:cs="Arial"/>
          <w:b/>
          <w:i/>
          <w:sz w:val="22"/>
          <w:szCs w:val="22"/>
          <w:lang w:eastAsia="es-MX"/>
        </w:rPr>
        <w:t>Cuarto. Para clasificar la información como reservada o confidencial, de manera total</w:t>
      </w:r>
      <w:r w:rsidRPr="00AB1083">
        <w:rPr>
          <w:rFonts w:ascii="Palatino Linotype" w:hAnsi="Palatino Linotype" w:cs="Arial"/>
          <w:i/>
          <w:sz w:val="22"/>
          <w:szCs w:val="22"/>
          <w:lang w:eastAsia="es-MX"/>
        </w:rPr>
        <w:t xml:space="preserve"> o parcial, </w:t>
      </w:r>
      <w:r w:rsidRPr="00AB1083">
        <w:rPr>
          <w:rFonts w:ascii="Palatino Linotype" w:hAnsi="Palatino Linotype" w:cs="Arial"/>
          <w:b/>
          <w:i/>
          <w:sz w:val="22"/>
          <w:szCs w:val="22"/>
          <w:lang w:eastAsia="es-MX"/>
        </w:rPr>
        <w:t xml:space="preserve">el titular del </w:t>
      </w:r>
      <w:r w:rsidRPr="00AB1083">
        <w:rPr>
          <w:rFonts w:ascii="Palatino Linotype" w:hAnsi="Palatino Linotype" w:cs="Arial"/>
          <w:b/>
          <w:bCs/>
          <w:i/>
          <w:noProof/>
          <w:sz w:val="22"/>
          <w:szCs w:val="22"/>
          <w:lang w:eastAsia="en-US"/>
        </w:rPr>
        <w:t>área</w:t>
      </w:r>
      <w:r w:rsidRPr="00AB1083">
        <w:rPr>
          <w:rFonts w:ascii="Palatino Linotype" w:hAnsi="Palatino Linotype" w:cs="Arial"/>
          <w:b/>
          <w:i/>
          <w:sz w:val="22"/>
          <w:szCs w:val="22"/>
          <w:lang w:eastAsia="es-MX"/>
        </w:rPr>
        <w:t xml:space="preserve"> del sujeto </w:t>
      </w:r>
      <w:r w:rsidRPr="00AB1083">
        <w:rPr>
          <w:rFonts w:ascii="Palatino Linotype" w:hAnsi="Palatino Linotype" w:cs="Arial"/>
          <w:b/>
          <w:i/>
          <w:sz w:val="22"/>
          <w:szCs w:val="22"/>
          <w:lang w:eastAsia="en-US"/>
        </w:rPr>
        <w:t>obligado</w:t>
      </w:r>
      <w:r w:rsidRPr="00AB1083">
        <w:rPr>
          <w:rFonts w:ascii="Palatino Linotype" w:hAnsi="Palatino Linotype" w:cs="Arial"/>
          <w:b/>
          <w:i/>
          <w:sz w:val="22"/>
          <w:szCs w:val="22"/>
          <w:lang w:eastAsia="es-MX"/>
        </w:rPr>
        <w:t xml:space="preserve">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5DF497C"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p>
    <w:p w14:paraId="3212E32E"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 xml:space="preserve">Los sujetos obligados deberán aplicar, de manera estricta, las excepciones al derecho de acceso a la </w:t>
      </w:r>
      <w:r w:rsidRPr="00AB1083">
        <w:rPr>
          <w:rFonts w:ascii="Palatino Linotype" w:hAnsi="Palatino Linotype" w:cs="Arial"/>
          <w:bCs/>
          <w:i/>
          <w:noProof/>
          <w:sz w:val="22"/>
          <w:szCs w:val="22"/>
          <w:lang w:eastAsia="en-US"/>
        </w:rPr>
        <w:t>información</w:t>
      </w:r>
      <w:r w:rsidRPr="00AB1083">
        <w:rPr>
          <w:rFonts w:ascii="Palatino Linotype" w:hAnsi="Palatino Linotype" w:cs="Arial"/>
          <w:i/>
          <w:sz w:val="22"/>
          <w:szCs w:val="22"/>
          <w:lang w:eastAsia="es-MX"/>
        </w:rPr>
        <w:t xml:space="preserve"> y sólo </w:t>
      </w:r>
      <w:r w:rsidRPr="00AB1083">
        <w:rPr>
          <w:rFonts w:ascii="Palatino Linotype" w:hAnsi="Palatino Linotype" w:cs="Arial"/>
          <w:i/>
          <w:sz w:val="22"/>
          <w:szCs w:val="22"/>
          <w:lang w:eastAsia="en-US"/>
        </w:rPr>
        <w:t>podrán</w:t>
      </w:r>
      <w:r w:rsidRPr="00AB1083">
        <w:rPr>
          <w:rFonts w:ascii="Palatino Linotype" w:hAnsi="Palatino Linotype" w:cs="Arial"/>
          <w:i/>
          <w:sz w:val="22"/>
          <w:szCs w:val="22"/>
          <w:lang w:eastAsia="es-MX"/>
        </w:rPr>
        <w:t xml:space="preserve"> invocarlas cuando acrediten su procedencia.</w:t>
      </w:r>
    </w:p>
    <w:p w14:paraId="19A219FB"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p>
    <w:p w14:paraId="7ACB637C"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Quinto.</w:t>
      </w:r>
      <w:r w:rsidRPr="00AB1083">
        <w:rPr>
          <w:rFonts w:ascii="Palatino Linotype" w:hAnsi="Palatino Linotype" w:cs="Arial"/>
          <w:i/>
          <w:sz w:val="22"/>
          <w:szCs w:val="22"/>
          <w:lang w:eastAsia="es-MX"/>
        </w:rPr>
        <w:t xml:space="preserve"> La carga de la prueba para justificar toda negativa de acceso a la información, por actualizarse cualquiera de los supuestos de clasificación previstos en la Ley General, la Ley Federal y leyes estatales, </w:t>
      </w:r>
      <w:r w:rsidRPr="00AB1083">
        <w:rPr>
          <w:rFonts w:ascii="Palatino Linotype" w:hAnsi="Palatino Linotype" w:cs="Arial"/>
          <w:i/>
          <w:sz w:val="22"/>
          <w:szCs w:val="22"/>
          <w:lang w:eastAsia="en-US"/>
        </w:rPr>
        <w:t>corresponderá</w:t>
      </w:r>
      <w:r w:rsidRPr="00AB1083">
        <w:rPr>
          <w:rFonts w:ascii="Palatino Linotype" w:hAnsi="Palatino Linotype" w:cs="Arial"/>
          <w:i/>
          <w:sz w:val="22"/>
          <w:szCs w:val="22"/>
          <w:lang w:eastAsia="es-MX"/>
        </w:rPr>
        <w:t xml:space="preserve">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7B479D1"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p>
    <w:p w14:paraId="11B224D0"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Sexto.</w:t>
      </w:r>
      <w:r w:rsidRPr="00AB1083">
        <w:rPr>
          <w:rFonts w:ascii="Palatino Linotype" w:hAnsi="Palatino Linotype" w:cs="Arial"/>
          <w:i/>
          <w:sz w:val="22"/>
          <w:szCs w:val="22"/>
          <w:lang w:eastAsia="es-MX"/>
        </w:rPr>
        <w:t xml:space="preserve"> Los sujetos obligados no podrán emitir acuerdos de carácter general ni particular que clasifiquen </w:t>
      </w:r>
      <w:r w:rsidRPr="00AB1083">
        <w:rPr>
          <w:rFonts w:ascii="Palatino Linotype" w:hAnsi="Palatino Linotype" w:cs="Arial"/>
          <w:bCs/>
          <w:i/>
          <w:noProof/>
          <w:sz w:val="22"/>
          <w:szCs w:val="22"/>
          <w:lang w:eastAsia="en-US"/>
        </w:rPr>
        <w:t>documentos</w:t>
      </w:r>
      <w:r w:rsidRPr="00AB1083">
        <w:rPr>
          <w:rFonts w:ascii="Palatino Linotype" w:hAnsi="Palatino Linotype" w:cs="Arial"/>
          <w:i/>
          <w:sz w:val="22"/>
          <w:szCs w:val="22"/>
          <w:lang w:eastAsia="es-MX"/>
        </w:rPr>
        <w:t xml:space="preserve"> o expedientes como reservados, ni clasificar documentos antes de que se genere la información o cuando éstos no obren en sus archivos.</w:t>
      </w:r>
    </w:p>
    <w:p w14:paraId="7A3B09E3" w14:textId="77777777" w:rsidR="00BE5492" w:rsidRPr="00AB1083" w:rsidRDefault="00BE5492" w:rsidP="00BE5492">
      <w:pPr>
        <w:ind w:left="851" w:right="851"/>
        <w:contextualSpacing/>
        <w:jc w:val="both"/>
        <w:rPr>
          <w:rFonts w:ascii="Palatino Linotype" w:hAnsi="Palatino Linotype" w:cs="Arial"/>
          <w:i/>
          <w:sz w:val="22"/>
          <w:szCs w:val="22"/>
          <w:lang w:eastAsia="es-MX"/>
        </w:rPr>
      </w:pPr>
    </w:p>
    <w:p w14:paraId="45F750DC" w14:textId="77777777" w:rsidR="00BE5492" w:rsidRPr="00AB1083" w:rsidRDefault="00BE5492" w:rsidP="00BE5492">
      <w:pPr>
        <w:ind w:left="851" w:right="851"/>
        <w:contextualSpacing/>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 xml:space="preserve">La clasificación de </w:t>
      </w:r>
      <w:r w:rsidRPr="00AB1083">
        <w:rPr>
          <w:rFonts w:ascii="Palatino Linotype" w:hAnsi="Palatino Linotype" w:cs="Arial"/>
          <w:i/>
          <w:sz w:val="22"/>
          <w:szCs w:val="22"/>
          <w:lang w:eastAsia="en-US"/>
        </w:rPr>
        <w:t>información</w:t>
      </w:r>
      <w:r w:rsidRPr="00AB1083">
        <w:rPr>
          <w:rFonts w:ascii="Palatino Linotype" w:hAnsi="Palatino Linotype" w:cs="Arial"/>
          <w:i/>
          <w:sz w:val="22"/>
          <w:szCs w:val="22"/>
          <w:lang w:eastAsia="es-MX"/>
        </w:rPr>
        <w:t xml:space="preserve"> se realizará conforme a un análisis caso por caso, mediante la aplicación </w:t>
      </w:r>
      <w:r w:rsidRPr="00AB1083">
        <w:rPr>
          <w:rFonts w:ascii="Palatino Linotype" w:hAnsi="Palatino Linotype" w:cs="Arial"/>
          <w:bCs/>
          <w:i/>
          <w:noProof/>
          <w:sz w:val="22"/>
          <w:szCs w:val="22"/>
          <w:lang w:eastAsia="en-US"/>
        </w:rPr>
        <w:t>de</w:t>
      </w:r>
      <w:r w:rsidRPr="00AB1083">
        <w:rPr>
          <w:rFonts w:ascii="Palatino Linotype" w:hAnsi="Palatino Linotype" w:cs="Arial"/>
          <w:i/>
          <w:sz w:val="22"/>
          <w:szCs w:val="22"/>
          <w:lang w:eastAsia="es-MX"/>
        </w:rPr>
        <w:t xml:space="preserve"> la prueba de daño y de interés público.</w:t>
      </w:r>
    </w:p>
    <w:p w14:paraId="3BE5EA74"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p>
    <w:p w14:paraId="7E603882"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Séptimo.</w:t>
      </w:r>
      <w:r w:rsidRPr="00AB1083">
        <w:rPr>
          <w:rFonts w:ascii="Palatino Linotype" w:hAnsi="Palatino Linotype" w:cs="Arial"/>
          <w:i/>
          <w:sz w:val="22"/>
          <w:szCs w:val="22"/>
          <w:lang w:eastAsia="es-MX"/>
        </w:rPr>
        <w:t xml:space="preserve"> La clasificación </w:t>
      </w:r>
      <w:r w:rsidRPr="00AB1083">
        <w:rPr>
          <w:rFonts w:ascii="Palatino Linotype" w:hAnsi="Palatino Linotype" w:cs="Arial"/>
          <w:bCs/>
          <w:i/>
          <w:noProof/>
          <w:sz w:val="22"/>
          <w:szCs w:val="22"/>
          <w:lang w:eastAsia="en-US"/>
        </w:rPr>
        <w:t>de</w:t>
      </w:r>
      <w:r w:rsidRPr="00AB1083">
        <w:rPr>
          <w:rFonts w:ascii="Palatino Linotype" w:hAnsi="Palatino Linotype" w:cs="Arial"/>
          <w:i/>
          <w:sz w:val="22"/>
          <w:szCs w:val="22"/>
          <w:lang w:eastAsia="es-MX"/>
        </w:rPr>
        <w:t xml:space="preserve"> la </w:t>
      </w:r>
      <w:r w:rsidRPr="00AB1083">
        <w:rPr>
          <w:rFonts w:ascii="Palatino Linotype" w:hAnsi="Palatino Linotype" w:cs="Arial"/>
          <w:i/>
          <w:sz w:val="22"/>
          <w:szCs w:val="22"/>
          <w:lang w:eastAsia="en-US"/>
        </w:rPr>
        <w:t>información</w:t>
      </w:r>
      <w:r w:rsidRPr="00AB1083">
        <w:rPr>
          <w:rFonts w:ascii="Palatino Linotype" w:hAnsi="Palatino Linotype" w:cs="Arial"/>
          <w:i/>
          <w:sz w:val="22"/>
          <w:szCs w:val="22"/>
          <w:lang w:eastAsia="es-MX"/>
        </w:rPr>
        <w:t xml:space="preserve"> se llevará a cabo en el momento en que:</w:t>
      </w:r>
    </w:p>
    <w:p w14:paraId="4C64C14C"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I.</w:t>
      </w:r>
      <w:r w:rsidRPr="00AB1083">
        <w:rPr>
          <w:rFonts w:ascii="Palatino Linotype" w:hAnsi="Palatino Linotype" w:cs="Arial"/>
          <w:i/>
          <w:sz w:val="22"/>
          <w:szCs w:val="22"/>
          <w:lang w:eastAsia="es-MX"/>
        </w:rPr>
        <w:t xml:space="preserve"> Se reciba una solicitud de acceso a la información;</w:t>
      </w:r>
    </w:p>
    <w:p w14:paraId="50585401"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II.</w:t>
      </w:r>
      <w:r w:rsidRPr="00AB1083">
        <w:rPr>
          <w:rFonts w:ascii="Palatino Linotype" w:hAnsi="Palatino Linotype" w:cs="Arial"/>
          <w:i/>
          <w:sz w:val="22"/>
          <w:szCs w:val="22"/>
          <w:lang w:eastAsia="es-MX"/>
        </w:rPr>
        <w:t xml:space="preserve"> Se determine </w:t>
      </w:r>
      <w:r w:rsidRPr="00AB1083">
        <w:rPr>
          <w:rFonts w:ascii="Palatino Linotype" w:hAnsi="Palatino Linotype" w:cs="Arial"/>
          <w:bCs/>
          <w:i/>
          <w:noProof/>
          <w:sz w:val="22"/>
          <w:szCs w:val="22"/>
          <w:lang w:eastAsia="en-US"/>
        </w:rPr>
        <w:t>mediante</w:t>
      </w:r>
      <w:r w:rsidRPr="00AB1083">
        <w:rPr>
          <w:rFonts w:ascii="Palatino Linotype" w:hAnsi="Palatino Linotype" w:cs="Arial"/>
          <w:i/>
          <w:sz w:val="22"/>
          <w:szCs w:val="22"/>
          <w:lang w:eastAsia="es-MX"/>
        </w:rPr>
        <w:t xml:space="preserve"> resolución de autoridad competente, o</w:t>
      </w:r>
    </w:p>
    <w:p w14:paraId="679B8A92"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III.</w:t>
      </w:r>
      <w:r w:rsidRPr="00AB1083">
        <w:rPr>
          <w:rFonts w:ascii="Palatino Linotype" w:hAnsi="Palatino Linotype" w:cs="Arial"/>
          <w:i/>
          <w:sz w:val="22"/>
          <w:szCs w:val="22"/>
          <w:lang w:eastAsia="es-MX"/>
        </w:rPr>
        <w:t xml:space="preserve"> Se generen </w:t>
      </w:r>
      <w:r w:rsidRPr="00AB1083">
        <w:rPr>
          <w:rFonts w:ascii="Palatino Linotype" w:hAnsi="Palatino Linotype" w:cs="Arial"/>
          <w:bCs/>
          <w:i/>
          <w:noProof/>
          <w:sz w:val="22"/>
          <w:szCs w:val="22"/>
          <w:lang w:eastAsia="en-US"/>
        </w:rPr>
        <w:t>versiones</w:t>
      </w:r>
      <w:r w:rsidRPr="00AB1083">
        <w:rPr>
          <w:rFonts w:ascii="Palatino Linotype" w:hAnsi="Palatino Linotype" w:cs="Arial"/>
          <w:i/>
          <w:sz w:val="22"/>
          <w:szCs w:val="22"/>
          <w:lang w:eastAsia="es-MX"/>
        </w:rPr>
        <w:t xml:space="preserve"> públicas para dar cumplimiento a las obligaciones de transparencia previstas en la Ley General, la Ley Federal y las correspondientes de las entidades federativas.</w:t>
      </w:r>
    </w:p>
    <w:p w14:paraId="551FE592"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p>
    <w:p w14:paraId="43B6E669"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 xml:space="preserve">Los titulares de las áreas deberán revisar la clasificación al momento de la recepción de una solicitud de </w:t>
      </w:r>
      <w:r w:rsidRPr="00AB1083">
        <w:rPr>
          <w:rFonts w:ascii="Palatino Linotype" w:hAnsi="Palatino Linotype" w:cs="Arial"/>
          <w:bCs/>
          <w:i/>
          <w:noProof/>
          <w:sz w:val="22"/>
          <w:szCs w:val="22"/>
          <w:lang w:eastAsia="en-US"/>
        </w:rPr>
        <w:t>acceso</w:t>
      </w:r>
      <w:r w:rsidRPr="00AB1083">
        <w:rPr>
          <w:rFonts w:ascii="Palatino Linotype" w:hAnsi="Palatino Linotype" w:cs="Arial"/>
          <w:i/>
          <w:sz w:val="22"/>
          <w:szCs w:val="22"/>
          <w:lang w:eastAsia="es-MX"/>
        </w:rPr>
        <w:t xml:space="preserve"> a la información, para verificar si encuadra en una causal de reserva o de confidencialidad.</w:t>
      </w:r>
    </w:p>
    <w:p w14:paraId="5AB211D9"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p>
    <w:p w14:paraId="7C63AB83"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Octavo.</w:t>
      </w:r>
      <w:r w:rsidRPr="00AB1083">
        <w:rPr>
          <w:rFonts w:ascii="Palatino Linotype" w:hAnsi="Palatino Linotype" w:cs="Arial"/>
          <w:i/>
          <w:sz w:val="22"/>
          <w:szCs w:val="22"/>
          <w:lang w:eastAsia="es-MX"/>
        </w:rPr>
        <w:t xml:space="preserve"> Para fundar la clasificación de la información se debe señalar el artículo, fracción, inciso, párrafo o numeral de la ley o tratado internacional suscrito por el Estado mexicano que </w:t>
      </w:r>
      <w:r w:rsidRPr="00AB1083">
        <w:rPr>
          <w:rFonts w:ascii="Palatino Linotype" w:hAnsi="Palatino Linotype" w:cs="Arial"/>
          <w:bCs/>
          <w:i/>
          <w:noProof/>
          <w:sz w:val="22"/>
          <w:szCs w:val="22"/>
          <w:lang w:eastAsia="en-US"/>
        </w:rPr>
        <w:t>expresamente</w:t>
      </w:r>
      <w:r w:rsidRPr="00AB1083">
        <w:rPr>
          <w:rFonts w:ascii="Palatino Linotype" w:hAnsi="Palatino Linotype" w:cs="Arial"/>
          <w:i/>
          <w:sz w:val="22"/>
          <w:szCs w:val="22"/>
          <w:lang w:eastAsia="es-MX"/>
        </w:rPr>
        <w:t xml:space="preserve"> le otorga el carácter de reservada o confidencial.</w:t>
      </w:r>
    </w:p>
    <w:p w14:paraId="16B7C032"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p>
    <w:p w14:paraId="2254FE88"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Cs/>
          <w:i/>
          <w:noProof/>
          <w:sz w:val="22"/>
          <w:szCs w:val="22"/>
          <w:lang w:eastAsia="en-US"/>
        </w:rPr>
      </w:pPr>
      <w:r w:rsidRPr="00AB1083">
        <w:rPr>
          <w:rFonts w:ascii="Palatino Linotype" w:hAnsi="Palatino Linotype" w:cs="Arial"/>
          <w:i/>
          <w:sz w:val="22"/>
          <w:szCs w:val="22"/>
          <w:lang w:eastAsia="es-MX"/>
        </w:rPr>
        <w:t xml:space="preserve">Para </w:t>
      </w:r>
      <w:r w:rsidRPr="00AB1083">
        <w:rPr>
          <w:rFonts w:ascii="Palatino Linotype" w:hAnsi="Palatino Linotype" w:cs="Arial"/>
          <w:bCs/>
          <w:i/>
          <w:noProof/>
          <w:sz w:val="22"/>
          <w:szCs w:val="22"/>
          <w:lang w:eastAsia="en-US"/>
        </w:rPr>
        <w:t xml:space="preserve">motivar la clasificación se deberán señalar las razones o circunstancias especiales que lo </w:t>
      </w:r>
      <w:r w:rsidRPr="00AB1083">
        <w:rPr>
          <w:rFonts w:ascii="Palatino Linotype" w:hAnsi="Palatino Linotype" w:cs="Arial"/>
          <w:i/>
          <w:sz w:val="22"/>
          <w:szCs w:val="22"/>
          <w:lang w:eastAsia="es-MX"/>
        </w:rPr>
        <w:t>llevaron</w:t>
      </w:r>
      <w:r w:rsidRPr="00AB1083">
        <w:rPr>
          <w:rFonts w:ascii="Palatino Linotype" w:hAnsi="Palatino Linotype" w:cs="Arial"/>
          <w:bCs/>
          <w:i/>
          <w:noProof/>
          <w:sz w:val="22"/>
          <w:szCs w:val="22"/>
          <w:lang w:eastAsia="en-US"/>
        </w:rPr>
        <w:t xml:space="preserve"> a concluir que el caso particular se ajusta al supuesto previsto por la norma legal invocada como fundamento.</w:t>
      </w:r>
    </w:p>
    <w:p w14:paraId="31B55C02"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Cs/>
          <w:i/>
          <w:noProof/>
          <w:sz w:val="22"/>
          <w:szCs w:val="22"/>
          <w:lang w:eastAsia="en-US"/>
        </w:rPr>
      </w:pPr>
    </w:p>
    <w:p w14:paraId="15977FD6"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Cs/>
          <w:i/>
          <w:noProof/>
          <w:sz w:val="22"/>
          <w:szCs w:val="22"/>
          <w:lang w:eastAsia="en-US"/>
        </w:rPr>
      </w:pPr>
      <w:r w:rsidRPr="00AB1083">
        <w:rPr>
          <w:rFonts w:ascii="Palatino Linotype" w:hAnsi="Palatino Linotype" w:cs="Arial"/>
          <w:bCs/>
          <w:i/>
          <w:noProof/>
          <w:sz w:val="22"/>
          <w:szCs w:val="22"/>
          <w:lang w:eastAsia="en-US"/>
        </w:rPr>
        <w:t xml:space="preserve">En caso de referirse a información reservada, la motivación de la clasificación también deberá comprender las circunstancias que justifican el establecimiento de determinado plazo </w:t>
      </w:r>
      <w:r w:rsidRPr="00AB1083">
        <w:rPr>
          <w:rFonts w:ascii="Palatino Linotype" w:hAnsi="Palatino Linotype" w:cs="Arial"/>
          <w:i/>
          <w:sz w:val="22"/>
          <w:szCs w:val="22"/>
          <w:lang w:eastAsia="es-MX"/>
        </w:rPr>
        <w:t>de</w:t>
      </w:r>
      <w:r w:rsidRPr="00AB1083">
        <w:rPr>
          <w:rFonts w:ascii="Palatino Linotype" w:hAnsi="Palatino Linotype" w:cs="Arial"/>
          <w:bCs/>
          <w:i/>
          <w:noProof/>
          <w:sz w:val="22"/>
          <w:szCs w:val="22"/>
          <w:lang w:eastAsia="en-US"/>
        </w:rPr>
        <w:t xml:space="preserve"> </w:t>
      </w:r>
      <w:r w:rsidRPr="00AB1083">
        <w:rPr>
          <w:rFonts w:ascii="Palatino Linotype" w:hAnsi="Palatino Linotype" w:cs="Arial"/>
          <w:i/>
          <w:sz w:val="22"/>
          <w:szCs w:val="22"/>
          <w:lang w:eastAsia="es-MX"/>
        </w:rPr>
        <w:t>reserva</w:t>
      </w:r>
      <w:r w:rsidRPr="00AB1083">
        <w:rPr>
          <w:rFonts w:ascii="Palatino Linotype" w:hAnsi="Palatino Linotype" w:cs="Arial"/>
          <w:bCs/>
          <w:i/>
          <w:noProof/>
          <w:sz w:val="22"/>
          <w:szCs w:val="22"/>
          <w:lang w:eastAsia="en-US"/>
        </w:rPr>
        <w:t>.</w:t>
      </w:r>
    </w:p>
    <w:p w14:paraId="700FF6AD"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p>
    <w:p w14:paraId="2F77450F"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Cs/>
          <w:i/>
          <w:noProof/>
          <w:sz w:val="22"/>
          <w:szCs w:val="22"/>
          <w:lang w:eastAsia="en-US"/>
        </w:rPr>
      </w:pPr>
      <w:r w:rsidRPr="00AB1083">
        <w:rPr>
          <w:rFonts w:ascii="Palatino Linotype" w:hAnsi="Palatino Linotype" w:cs="Arial"/>
          <w:i/>
          <w:sz w:val="22"/>
          <w:szCs w:val="22"/>
          <w:lang w:eastAsia="es-MX"/>
        </w:rPr>
        <w:t>Tratándose</w:t>
      </w:r>
      <w:r w:rsidRPr="00AB1083">
        <w:rPr>
          <w:rFonts w:ascii="Palatino Linotype" w:hAnsi="Palatino Linotype" w:cs="Arial"/>
          <w:bCs/>
          <w:i/>
          <w:noProof/>
          <w:sz w:val="22"/>
          <w:szCs w:val="22"/>
          <w:lang w:eastAsia="en-US"/>
        </w:rPr>
        <w:t xml:space="preserve"> de información clasificada como confidencial respecto de la cual se haya </w:t>
      </w:r>
      <w:r w:rsidRPr="00AB1083">
        <w:rPr>
          <w:rFonts w:ascii="Palatino Linotype" w:hAnsi="Palatino Linotype" w:cs="Arial"/>
          <w:i/>
          <w:sz w:val="22"/>
          <w:szCs w:val="22"/>
          <w:lang w:eastAsia="es-MX"/>
        </w:rPr>
        <w:t>determinado</w:t>
      </w:r>
      <w:r w:rsidRPr="00AB1083">
        <w:rPr>
          <w:rFonts w:ascii="Palatino Linotype" w:hAnsi="Palatino Linotype" w:cs="Arial"/>
          <w:bCs/>
          <w:i/>
          <w:noProof/>
          <w:sz w:val="22"/>
          <w:szCs w:val="22"/>
          <w:lang w:eastAsia="en-US"/>
        </w:rPr>
        <w:t xml:space="preserve"> </w:t>
      </w:r>
      <w:r w:rsidRPr="00AB1083">
        <w:rPr>
          <w:rFonts w:ascii="Palatino Linotype" w:hAnsi="Palatino Linotype" w:cs="Arial"/>
          <w:i/>
          <w:sz w:val="22"/>
          <w:szCs w:val="22"/>
          <w:lang w:eastAsia="es-MX"/>
        </w:rPr>
        <w:t>su</w:t>
      </w:r>
      <w:r w:rsidRPr="00AB1083">
        <w:rPr>
          <w:rFonts w:ascii="Palatino Linotype" w:hAnsi="Palatino Linotype" w:cs="Arial"/>
          <w:bCs/>
          <w:i/>
          <w:noProof/>
          <w:sz w:val="22"/>
          <w:szCs w:val="22"/>
          <w:lang w:eastAsia="en-US"/>
        </w:rPr>
        <w:t xml:space="preserve"> conservación permanente por tener valor histórico, ésta conservará tal carácter de conformidad con la normativa aplicable en materia de archivos.</w:t>
      </w:r>
    </w:p>
    <w:p w14:paraId="0DA10DD2"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Cs/>
          <w:i/>
          <w:noProof/>
          <w:sz w:val="22"/>
          <w:szCs w:val="22"/>
          <w:lang w:eastAsia="en-US"/>
        </w:rPr>
      </w:pPr>
    </w:p>
    <w:p w14:paraId="769BDBB2"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Cs/>
          <w:i/>
          <w:noProof/>
          <w:sz w:val="22"/>
          <w:szCs w:val="22"/>
          <w:lang w:eastAsia="en-US"/>
        </w:rPr>
        <w:t>Los documentos contenidos</w:t>
      </w:r>
      <w:r w:rsidRPr="00AB1083">
        <w:rPr>
          <w:rFonts w:ascii="Palatino Linotype" w:hAnsi="Palatino Linotype" w:cs="Arial"/>
          <w:i/>
          <w:sz w:val="22"/>
          <w:szCs w:val="22"/>
          <w:lang w:eastAsia="es-MX"/>
        </w:rPr>
        <w:t xml:space="preserve"> en los archivos históricos y los identificados como históricos confidenciales no serán susceptibles de clasificación como reservados.</w:t>
      </w:r>
    </w:p>
    <w:p w14:paraId="54483486"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p>
    <w:p w14:paraId="7113D211"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Noveno.</w:t>
      </w:r>
      <w:r w:rsidRPr="00AB1083">
        <w:rPr>
          <w:rFonts w:ascii="Palatino Linotype" w:hAnsi="Palatino Linotype" w:cs="Arial"/>
          <w:i/>
          <w:sz w:val="22"/>
          <w:szCs w:val="22"/>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06ECAC4"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p>
    <w:p w14:paraId="55658CF4"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Décimo.</w:t>
      </w:r>
      <w:r w:rsidRPr="00AB1083">
        <w:rPr>
          <w:rFonts w:ascii="Palatino Linotype" w:hAnsi="Palatino Linotype" w:cs="Arial"/>
          <w:i/>
          <w:sz w:val="22"/>
          <w:szCs w:val="22"/>
          <w:lang w:eastAsia="es-MX"/>
        </w:rPr>
        <w:t xml:space="preserve"> Los titulares de las áreas, deberán tener conocimiento y llevar un registro del personal que, por la naturaleza de sus atribuciones, tenga acceso a los </w:t>
      </w:r>
      <w:r w:rsidRPr="00AB1083">
        <w:rPr>
          <w:rFonts w:ascii="Palatino Linotype" w:hAnsi="Palatino Linotype" w:cs="Arial"/>
          <w:i/>
          <w:sz w:val="22"/>
          <w:szCs w:val="22"/>
          <w:lang w:eastAsia="en-US"/>
        </w:rPr>
        <w:t>documentos</w:t>
      </w:r>
      <w:r w:rsidRPr="00AB1083">
        <w:rPr>
          <w:rFonts w:ascii="Palatino Linotype" w:hAnsi="Palatino Linotype" w:cs="Arial"/>
          <w:i/>
          <w:sz w:val="22"/>
          <w:szCs w:val="22"/>
          <w:lang w:eastAsia="es-MX"/>
        </w:rPr>
        <w:t xml:space="preserve">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33DD5EFB"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p>
    <w:p w14:paraId="4E91A411"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 xml:space="preserve">En ausencia de los titulares de las áreas, la información será clasificada o desclasificada por la persona que lo supla, en términos de la normativa </w:t>
      </w:r>
      <w:r w:rsidRPr="00AB1083">
        <w:rPr>
          <w:rFonts w:ascii="Palatino Linotype" w:hAnsi="Palatino Linotype" w:cs="Arial"/>
          <w:i/>
          <w:sz w:val="22"/>
          <w:szCs w:val="22"/>
          <w:lang w:eastAsia="en-US"/>
        </w:rPr>
        <w:t>que</w:t>
      </w:r>
      <w:r w:rsidRPr="00AB1083">
        <w:rPr>
          <w:rFonts w:ascii="Palatino Linotype" w:hAnsi="Palatino Linotype" w:cs="Arial"/>
          <w:i/>
          <w:sz w:val="22"/>
          <w:szCs w:val="22"/>
          <w:lang w:eastAsia="es-MX"/>
        </w:rPr>
        <w:t xml:space="preserve"> rija la actuación del sujeto obligado.</w:t>
      </w:r>
    </w:p>
    <w:p w14:paraId="444FF4B2"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b/>
          <w:i/>
          <w:sz w:val="22"/>
          <w:szCs w:val="22"/>
          <w:lang w:eastAsia="es-MX"/>
        </w:rPr>
      </w:pPr>
    </w:p>
    <w:p w14:paraId="4A6B264F"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Décimo primero.</w:t>
      </w:r>
      <w:r w:rsidRPr="00AB1083">
        <w:rPr>
          <w:rFonts w:ascii="Palatino Linotype" w:hAnsi="Palatino Linotype" w:cs="Arial"/>
          <w:i/>
          <w:sz w:val="22"/>
          <w:szCs w:val="22"/>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BA96FC8"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w:t>
      </w:r>
    </w:p>
    <w:p w14:paraId="7E31FF47" w14:textId="77777777" w:rsidR="00BE5492" w:rsidRPr="00AB1083" w:rsidRDefault="00BE5492" w:rsidP="00BE5492">
      <w:pPr>
        <w:autoSpaceDE w:val="0"/>
        <w:autoSpaceDN w:val="0"/>
        <w:adjustRightInd w:val="0"/>
        <w:ind w:left="851" w:right="851"/>
        <w:contextualSpacing/>
        <w:jc w:val="both"/>
        <w:rPr>
          <w:rFonts w:ascii="Palatino Linotype" w:hAnsi="Palatino Linotype" w:cs="Arial"/>
          <w:i/>
          <w:sz w:val="22"/>
          <w:szCs w:val="22"/>
          <w:lang w:eastAsia="es-MX"/>
        </w:rPr>
      </w:pPr>
    </w:p>
    <w:p w14:paraId="5F1B4CC3" w14:textId="77777777" w:rsidR="00BE5492" w:rsidRPr="00AB1083" w:rsidRDefault="00BE5492" w:rsidP="00BE5492">
      <w:pPr>
        <w:ind w:left="851" w:right="851"/>
        <w:contextualSpacing/>
        <w:jc w:val="center"/>
        <w:rPr>
          <w:rFonts w:ascii="Palatino Linotype" w:hAnsi="Palatino Linotype" w:cs="Arial"/>
          <w:b/>
          <w:i/>
          <w:sz w:val="22"/>
          <w:szCs w:val="22"/>
          <w:lang w:eastAsia="es-MX"/>
        </w:rPr>
      </w:pPr>
      <w:r w:rsidRPr="00AB1083">
        <w:rPr>
          <w:rFonts w:ascii="Palatino Linotype" w:hAnsi="Palatino Linotype" w:cs="Arial"/>
          <w:b/>
          <w:i/>
          <w:sz w:val="22"/>
          <w:szCs w:val="22"/>
          <w:lang w:eastAsia="es-MX"/>
        </w:rPr>
        <w:t>CAPÍTULO VIII</w:t>
      </w:r>
    </w:p>
    <w:p w14:paraId="355CCC5A" w14:textId="77777777" w:rsidR="00BE5492" w:rsidRPr="00AB1083" w:rsidRDefault="00BE5492" w:rsidP="00BE5492">
      <w:pPr>
        <w:ind w:left="851" w:right="851"/>
        <w:contextualSpacing/>
        <w:jc w:val="center"/>
        <w:rPr>
          <w:rFonts w:ascii="Palatino Linotype" w:hAnsi="Palatino Linotype" w:cs="Arial"/>
          <w:b/>
          <w:i/>
          <w:sz w:val="22"/>
          <w:szCs w:val="22"/>
          <w:lang w:eastAsia="es-MX"/>
        </w:rPr>
      </w:pPr>
      <w:r w:rsidRPr="00AB1083">
        <w:rPr>
          <w:rFonts w:ascii="Palatino Linotype" w:hAnsi="Palatino Linotype" w:cs="Arial"/>
          <w:b/>
          <w:i/>
          <w:sz w:val="22"/>
          <w:szCs w:val="22"/>
          <w:lang w:eastAsia="es-MX"/>
        </w:rPr>
        <w:t>DE LA LEYENDA DE CLASIFICACIÓN</w:t>
      </w:r>
    </w:p>
    <w:p w14:paraId="441867AB" w14:textId="77777777" w:rsidR="00BE5492" w:rsidRPr="00AB1083" w:rsidRDefault="00BE5492" w:rsidP="00BE5492">
      <w:pPr>
        <w:ind w:left="851" w:right="851"/>
        <w:contextualSpacing/>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 xml:space="preserve">Quincuagésimo. </w:t>
      </w:r>
      <w:r w:rsidRPr="00AB1083">
        <w:rPr>
          <w:rFonts w:ascii="Palatino Linotype" w:hAnsi="Palatino Linotype" w:cs="Arial"/>
          <w:b/>
          <w:i/>
          <w:sz w:val="22"/>
          <w:szCs w:val="22"/>
          <w:u w:val="single"/>
          <w:lang w:eastAsia="es-MX"/>
        </w:rPr>
        <w:t>Los titulares de las áreas de los sujetos obligados podrán utilizar los formatos contenidos en el presente Capítulo como modelo</w:t>
      </w:r>
      <w:r w:rsidRPr="00AB1083">
        <w:rPr>
          <w:rFonts w:ascii="Palatino Linotype" w:hAnsi="Palatino Linotype" w:cs="Arial"/>
          <w:i/>
          <w:sz w:val="22"/>
          <w:szCs w:val="22"/>
          <w:lang w:eastAsia="es-MX"/>
        </w:rPr>
        <w:t xml:space="preserve"> para señalar la clasificación de documentos o expedientes, sin perjuicio de que establezcan los propios.</w:t>
      </w:r>
    </w:p>
    <w:p w14:paraId="774DF631" w14:textId="77777777" w:rsidR="00BE5492" w:rsidRPr="00AB1083" w:rsidRDefault="00BE5492" w:rsidP="00BE5492">
      <w:pPr>
        <w:ind w:left="851" w:right="851"/>
        <w:contextualSpacing/>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w:t>
      </w:r>
    </w:p>
    <w:p w14:paraId="04EAA54C" w14:textId="77777777" w:rsidR="00BE5492" w:rsidRPr="00AB1083" w:rsidRDefault="00BE5492" w:rsidP="00BE5492">
      <w:pPr>
        <w:ind w:left="851" w:right="851"/>
        <w:jc w:val="both"/>
        <w:rPr>
          <w:rFonts w:ascii="Palatino Linotype" w:hAnsi="Palatino Linotype" w:cs="Arial"/>
          <w:i/>
          <w:sz w:val="22"/>
          <w:szCs w:val="22"/>
          <w:lang w:eastAsia="es-MX"/>
        </w:rPr>
      </w:pPr>
      <w:r w:rsidRPr="00AB1083">
        <w:rPr>
          <w:rFonts w:ascii="Palatino Linotype" w:hAnsi="Palatino Linotype" w:cs="Arial"/>
          <w:b/>
          <w:i/>
          <w:sz w:val="22"/>
          <w:szCs w:val="22"/>
          <w:lang w:eastAsia="es-MX"/>
        </w:rPr>
        <w:t xml:space="preserve">Quincuagésimo tercero. </w:t>
      </w:r>
      <w:r w:rsidRPr="00AB1083">
        <w:rPr>
          <w:rFonts w:ascii="Palatino Linotype" w:hAnsi="Palatino Linotype" w:cs="Arial"/>
          <w:b/>
          <w:i/>
          <w:sz w:val="22"/>
          <w:szCs w:val="22"/>
          <w:u w:val="single"/>
          <w:lang w:eastAsia="es-MX"/>
        </w:rPr>
        <w:t>El formato para señalar la clasificación parcial de un documento</w:t>
      </w:r>
      <w:r w:rsidRPr="00AB1083">
        <w:rPr>
          <w:rFonts w:ascii="Palatino Linotype" w:hAnsi="Palatino Linotype" w:cs="Arial"/>
          <w:i/>
          <w:sz w:val="22"/>
          <w:szCs w:val="22"/>
          <w:lang w:eastAsia="es-MX"/>
        </w:rPr>
        <w:t>, es el siguiente:</w:t>
      </w:r>
    </w:p>
    <w:p w14:paraId="38D412E0" w14:textId="77777777" w:rsidR="00BE5492" w:rsidRPr="00AB1083" w:rsidRDefault="00BE5492" w:rsidP="00BE5492">
      <w:pPr>
        <w:ind w:left="851" w:right="851"/>
        <w:jc w:val="both"/>
        <w:rPr>
          <w:rFonts w:ascii="Palatino Linotype" w:hAnsi="Palatino Linotype" w:cs="Arial"/>
          <w:i/>
          <w:sz w:val="22"/>
          <w:szCs w:val="22"/>
          <w:lang w:eastAsia="es-MX"/>
        </w:rPr>
      </w:pPr>
    </w:p>
    <w:tbl>
      <w:tblPr>
        <w:tblStyle w:val="Tablaconcuadrcula2"/>
        <w:tblW w:w="0" w:type="auto"/>
        <w:jc w:val="center"/>
        <w:tblLook w:val="04A0" w:firstRow="1" w:lastRow="0" w:firstColumn="1" w:lastColumn="0" w:noHBand="0" w:noVBand="1"/>
      </w:tblPr>
      <w:tblGrid>
        <w:gridCol w:w="1129"/>
        <w:gridCol w:w="1990"/>
        <w:gridCol w:w="4531"/>
      </w:tblGrid>
      <w:tr w:rsidR="00BE5492" w:rsidRPr="00AB1083" w14:paraId="2CE8E7CC" w14:textId="77777777" w:rsidTr="007D3A99">
        <w:trPr>
          <w:jc w:val="center"/>
        </w:trPr>
        <w:tc>
          <w:tcPr>
            <w:tcW w:w="1129" w:type="dxa"/>
            <w:tcBorders>
              <w:top w:val="nil"/>
              <w:left w:val="nil"/>
            </w:tcBorders>
            <w:vAlign w:val="center"/>
          </w:tcPr>
          <w:p w14:paraId="3AE4F30B" w14:textId="77777777" w:rsidR="00BE5492" w:rsidRPr="00AB1083" w:rsidRDefault="00BE5492" w:rsidP="00BE5492">
            <w:pPr>
              <w:jc w:val="center"/>
              <w:rPr>
                <w:rFonts w:ascii="Palatino Linotype" w:hAnsi="Palatino Linotype" w:cs="Arial"/>
                <w:i/>
                <w:sz w:val="22"/>
                <w:szCs w:val="22"/>
                <w:lang w:eastAsia="es-MX"/>
              </w:rPr>
            </w:pPr>
          </w:p>
        </w:tc>
        <w:tc>
          <w:tcPr>
            <w:tcW w:w="1990" w:type="dxa"/>
            <w:shd w:val="clear" w:color="auto" w:fill="D9D9D9" w:themeFill="background1" w:themeFillShade="D9"/>
            <w:vAlign w:val="center"/>
          </w:tcPr>
          <w:p w14:paraId="7C4CB466" w14:textId="77777777" w:rsidR="00BE5492" w:rsidRPr="00AB1083" w:rsidRDefault="00BE5492" w:rsidP="00BE5492">
            <w:pPr>
              <w:jc w:val="center"/>
              <w:rPr>
                <w:rFonts w:ascii="Palatino Linotype" w:hAnsi="Palatino Linotype"/>
                <w:b/>
                <w:i/>
                <w:sz w:val="22"/>
                <w:szCs w:val="22"/>
                <w:lang w:eastAsia="en-US"/>
              </w:rPr>
            </w:pPr>
            <w:r w:rsidRPr="00AB1083">
              <w:rPr>
                <w:rFonts w:ascii="Palatino Linotype" w:hAnsi="Palatino Linotype"/>
                <w:b/>
                <w:i/>
                <w:sz w:val="22"/>
                <w:szCs w:val="22"/>
                <w:lang w:eastAsia="en-US"/>
              </w:rPr>
              <w:t>Concepto</w:t>
            </w:r>
          </w:p>
        </w:tc>
        <w:tc>
          <w:tcPr>
            <w:tcW w:w="4531" w:type="dxa"/>
            <w:shd w:val="clear" w:color="auto" w:fill="D9D9D9" w:themeFill="background1" w:themeFillShade="D9"/>
            <w:vAlign w:val="center"/>
          </w:tcPr>
          <w:p w14:paraId="25B1B13B" w14:textId="77777777" w:rsidR="00BE5492" w:rsidRPr="00AB1083" w:rsidRDefault="00BE5492" w:rsidP="00BE5492">
            <w:pPr>
              <w:jc w:val="center"/>
              <w:rPr>
                <w:rFonts w:ascii="Palatino Linotype" w:hAnsi="Palatino Linotype"/>
                <w:b/>
                <w:i/>
                <w:sz w:val="22"/>
                <w:szCs w:val="22"/>
                <w:lang w:eastAsia="en-US"/>
              </w:rPr>
            </w:pPr>
            <w:r w:rsidRPr="00AB1083">
              <w:rPr>
                <w:rFonts w:ascii="Palatino Linotype" w:hAnsi="Palatino Linotype"/>
                <w:b/>
                <w:i/>
                <w:sz w:val="22"/>
                <w:szCs w:val="22"/>
                <w:lang w:eastAsia="en-US"/>
              </w:rPr>
              <w:t>Dónde:</w:t>
            </w:r>
          </w:p>
        </w:tc>
      </w:tr>
      <w:tr w:rsidR="00BE5492" w:rsidRPr="00AB1083" w14:paraId="40208D18" w14:textId="77777777" w:rsidTr="007D3A99">
        <w:trPr>
          <w:jc w:val="center"/>
        </w:trPr>
        <w:tc>
          <w:tcPr>
            <w:tcW w:w="1129" w:type="dxa"/>
            <w:vMerge w:val="restart"/>
            <w:vAlign w:val="center"/>
          </w:tcPr>
          <w:p w14:paraId="7E113BE5" w14:textId="77777777" w:rsidR="00BE5492" w:rsidRPr="00AB1083" w:rsidRDefault="00BE5492" w:rsidP="00BE5492">
            <w:pPr>
              <w:jc w:val="center"/>
              <w:rPr>
                <w:rFonts w:ascii="Palatino Linotype" w:hAnsi="Palatino Linotype" w:cs="Arial"/>
                <w:b/>
                <w:i/>
                <w:sz w:val="22"/>
                <w:szCs w:val="22"/>
                <w:lang w:eastAsia="es-MX"/>
              </w:rPr>
            </w:pPr>
            <w:r w:rsidRPr="00AB1083">
              <w:rPr>
                <w:rFonts w:ascii="Palatino Linotype" w:hAnsi="Palatino Linotype" w:cs="Arial"/>
                <w:b/>
                <w:i/>
                <w:sz w:val="22"/>
                <w:szCs w:val="22"/>
                <w:lang w:eastAsia="es-MX"/>
              </w:rPr>
              <w:t>Sello oficial o logotipo del sujeto obligado</w:t>
            </w:r>
          </w:p>
        </w:tc>
        <w:tc>
          <w:tcPr>
            <w:tcW w:w="1990" w:type="dxa"/>
            <w:vAlign w:val="center"/>
          </w:tcPr>
          <w:p w14:paraId="7633C8A2"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Fecha de clasificación</w:t>
            </w:r>
          </w:p>
        </w:tc>
        <w:tc>
          <w:tcPr>
            <w:tcW w:w="4531" w:type="dxa"/>
            <w:vAlign w:val="center"/>
          </w:tcPr>
          <w:p w14:paraId="3BA4E637"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Se anotará la fecha en la que el Comité de Transparencia confirmó la clasificación del documento, en su caso.</w:t>
            </w:r>
          </w:p>
        </w:tc>
      </w:tr>
      <w:tr w:rsidR="00BE5492" w:rsidRPr="00AB1083" w14:paraId="659D8D86" w14:textId="77777777" w:rsidTr="007D3A99">
        <w:trPr>
          <w:jc w:val="center"/>
        </w:trPr>
        <w:tc>
          <w:tcPr>
            <w:tcW w:w="1129" w:type="dxa"/>
            <w:vMerge/>
            <w:vAlign w:val="center"/>
          </w:tcPr>
          <w:p w14:paraId="3BD1A5A4"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74CC48D6"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Área</w:t>
            </w:r>
          </w:p>
        </w:tc>
        <w:tc>
          <w:tcPr>
            <w:tcW w:w="4531" w:type="dxa"/>
            <w:vAlign w:val="center"/>
          </w:tcPr>
          <w:p w14:paraId="5C1325CA"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Se señalará el nombre del área del cual es titular quien clasifica.</w:t>
            </w:r>
          </w:p>
        </w:tc>
      </w:tr>
      <w:tr w:rsidR="00BE5492" w:rsidRPr="00AB1083" w14:paraId="07FFB2F4" w14:textId="77777777" w:rsidTr="007D3A99">
        <w:trPr>
          <w:jc w:val="center"/>
        </w:trPr>
        <w:tc>
          <w:tcPr>
            <w:tcW w:w="1129" w:type="dxa"/>
            <w:vMerge/>
            <w:vAlign w:val="center"/>
          </w:tcPr>
          <w:p w14:paraId="684B3108"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27A4FA91"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Información reservada</w:t>
            </w:r>
          </w:p>
        </w:tc>
        <w:tc>
          <w:tcPr>
            <w:tcW w:w="4531" w:type="dxa"/>
            <w:vAlign w:val="center"/>
          </w:tcPr>
          <w:p w14:paraId="7F2D4D69"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BE5492" w:rsidRPr="00AB1083" w14:paraId="68E54F7E" w14:textId="77777777" w:rsidTr="007D3A99">
        <w:trPr>
          <w:jc w:val="center"/>
        </w:trPr>
        <w:tc>
          <w:tcPr>
            <w:tcW w:w="1129" w:type="dxa"/>
            <w:vMerge/>
            <w:vAlign w:val="center"/>
          </w:tcPr>
          <w:p w14:paraId="7780ED37"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28194820"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Periodo de reserva</w:t>
            </w:r>
          </w:p>
        </w:tc>
        <w:tc>
          <w:tcPr>
            <w:tcW w:w="4531" w:type="dxa"/>
            <w:vAlign w:val="center"/>
          </w:tcPr>
          <w:p w14:paraId="6CF0B1E3"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Se anotará el número de años o meses por los que se mantendrá el documento o las partes del mismo como reservado.</w:t>
            </w:r>
          </w:p>
        </w:tc>
      </w:tr>
      <w:tr w:rsidR="00BE5492" w:rsidRPr="00AB1083" w14:paraId="60A80302" w14:textId="77777777" w:rsidTr="007D3A99">
        <w:trPr>
          <w:jc w:val="center"/>
        </w:trPr>
        <w:tc>
          <w:tcPr>
            <w:tcW w:w="1129" w:type="dxa"/>
            <w:vMerge/>
            <w:vAlign w:val="center"/>
          </w:tcPr>
          <w:p w14:paraId="402782B2"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46CDAC0C"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Fundamento legal</w:t>
            </w:r>
          </w:p>
        </w:tc>
        <w:tc>
          <w:tcPr>
            <w:tcW w:w="4531" w:type="dxa"/>
            <w:vAlign w:val="center"/>
          </w:tcPr>
          <w:p w14:paraId="5B4E29D7"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Se señalará el nombre del ordenamiento, el o los artículos, fracción(es), párrafo(s) con base en los cuales se sustente la reserva.</w:t>
            </w:r>
          </w:p>
        </w:tc>
      </w:tr>
      <w:tr w:rsidR="00BE5492" w:rsidRPr="00AB1083" w14:paraId="5037BAAD" w14:textId="77777777" w:rsidTr="007D3A99">
        <w:trPr>
          <w:jc w:val="center"/>
        </w:trPr>
        <w:tc>
          <w:tcPr>
            <w:tcW w:w="1129" w:type="dxa"/>
            <w:vMerge/>
            <w:vAlign w:val="center"/>
          </w:tcPr>
          <w:p w14:paraId="28883EC4"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0DDCB348"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Ampliación del periodo de reserva</w:t>
            </w:r>
          </w:p>
        </w:tc>
        <w:tc>
          <w:tcPr>
            <w:tcW w:w="4531" w:type="dxa"/>
            <w:vAlign w:val="center"/>
          </w:tcPr>
          <w:p w14:paraId="66D68EF8"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En caso de haber solicitado la ampliación del periodo de reserva originalmente establecido, se deberá anotar el número de años o meses por los que se amplía la reserva.</w:t>
            </w:r>
          </w:p>
        </w:tc>
      </w:tr>
      <w:tr w:rsidR="00BE5492" w:rsidRPr="00AB1083" w14:paraId="6A97C811" w14:textId="77777777" w:rsidTr="007D3A99">
        <w:trPr>
          <w:jc w:val="center"/>
        </w:trPr>
        <w:tc>
          <w:tcPr>
            <w:tcW w:w="1129" w:type="dxa"/>
            <w:vMerge/>
            <w:vAlign w:val="center"/>
          </w:tcPr>
          <w:p w14:paraId="05015EFC"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20A59EC0"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Confidencial</w:t>
            </w:r>
          </w:p>
        </w:tc>
        <w:tc>
          <w:tcPr>
            <w:tcW w:w="4531" w:type="dxa"/>
            <w:vAlign w:val="center"/>
          </w:tcPr>
          <w:p w14:paraId="0CC7DDE1"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 xml:space="preserve">Se indicarán, en su caso, las partes o páginas del documento que se clasifica como confidencial. </w:t>
            </w:r>
            <w:r w:rsidRPr="00AB1083">
              <w:rPr>
                <w:rFonts w:ascii="Palatino Linotype" w:hAnsi="Palatino Linotype" w:cs="Arial"/>
                <w:b/>
                <w:i/>
                <w:sz w:val="22"/>
                <w:szCs w:val="22"/>
                <w:lang w:eastAsia="es-MX"/>
              </w:rPr>
              <w:t>Si el documento fuera confidencial en su totalidad, se anotarán todas las páginas que lo conforman</w:t>
            </w:r>
            <w:r w:rsidRPr="00AB1083">
              <w:rPr>
                <w:rFonts w:ascii="Palatino Linotype" w:hAnsi="Palatino Linotype" w:cs="Arial"/>
                <w:i/>
                <w:sz w:val="22"/>
                <w:szCs w:val="22"/>
                <w:lang w:eastAsia="es-MX"/>
              </w:rPr>
              <w:t>. Si el documento no contiene información confidencial, se tachará este apartado.</w:t>
            </w:r>
          </w:p>
        </w:tc>
      </w:tr>
      <w:tr w:rsidR="00BE5492" w:rsidRPr="00AB1083" w14:paraId="568F8162" w14:textId="77777777" w:rsidTr="007D3A99">
        <w:trPr>
          <w:jc w:val="center"/>
        </w:trPr>
        <w:tc>
          <w:tcPr>
            <w:tcW w:w="1129" w:type="dxa"/>
            <w:vMerge/>
            <w:vAlign w:val="center"/>
          </w:tcPr>
          <w:p w14:paraId="5BE33161"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35EA4416"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Fundamento legal</w:t>
            </w:r>
          </w:p>
        </w:tc>
        <w:tc>
          <w:tcPr>
            <w:tcW w:w="4531" w:type="dxa"/>
            <w:vAlign w:val="center"/>
          </w:tcPr>
          <w:p w14:paraId="7742BE68"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Se señalará el nombre del ordenamiento, el o los artículos, fracción(es), párrafo(s) con base en los cuales se sustente la confidencialidad.</w:t>
            </w:r>
          </w:p>
        </w:tc>
      </w:tr>
      <w:tr w:rsidR="00BE5492" w:rsidRPr="00AB1083" w14:paraId="7FCA636F" w14:textId="77777777" w:rsidTr="007D3A99">
        <w:trPr>
          <w:jc w:val="center"/>
        </w:trPr>
        <w:tc>
          <w:tcPr>
            <w:tcW w:w="1129" w:type="dxa"/>
            <w:vMerge/>
            <w:vAlign w:val="center"/>
          </w:tcPr>
          <w:p w14:paraId="5A637221"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341E3A8D"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Rúbrica del titular del área</w:t>
            </w:r>
          </w:p>
        </w:tc>
        <w:tc>
          <w:tcPr>
            <w:tcW w:w="4531" w:type="dxa"/>
            <w:vAlign w:val="center"/>
          </w:tcPr>
          <w:p w14:paraId="06B8EF8B"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Rúbrica autógrafa de quien clasifica.</w:t>
            </w:r>
          </w:p>
        </w:tc>
      </w:tr>
      <w:tr w:rsidR="00BE5492" w:rsidRPr="00AB1083" w14:paraId="6E083DB8" w14:textId="77777777" w:rsidTr="007D3A99">
        <w:trPr>
          <w:jc w:val="center"/>
        </w:trPr>
        <w:tc>
          <w:tcPr>
            <w:tcW w:w="1129" w:type="dxa"/>
            <w:vMerge/>
            <w:vAlign w:val="center"/>
          </w:tcPr>
          <w:p w14:paraId="1255A585"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7ABB8D18"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Fecha de desclasificación</w:t>
            </w:r>
          </w:p>
        </w:tc>
        <w:tc>
          <w:tcPr>
            <w:tcW w:w="4531" w:type="dxa"/>
            <w:vAlign w:val="center"/>
          </w:tcPr>
          <w:p w14:paraId="0820D140"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Se anotará la fecha en que se desclasifica el documento.</w:t>
            </w:r>
          </w:p>
        </w:tc>
      </w:tr>
      <w:tr w:rsidR="00BE5492" w:rsidRPr="00AB1083" w14:paraId="7685C4FF" w14:textId="77777777" w:rsidTr="007D3A99">
        <w:trPr>
          <w:jc w:val="center"/>
        </w:trPr>
        <w:tc>
          <w:tcPr>
            <w:tcW w:w="1129" w:type="dxa"/>
            <w:vMerge/>
            <w:vAlign w:val="center"/>
          </w:tcPr>
          <w:p w14:paraId="4D34A1E5" w14:textId="77777777" w:rsidR="00BE5492" w:rsidRPr="00AB1083" w:rsidRDefault="00BE5492" w:rsidP="00BE5492">
            <w:pPr>
              <w:jc w:val="center"/>
              <w:rPr>
                <w:rFonts w:ascii="Palatino Linotype" w:hAnsi="Palatino Linotype" w:cs="Arial"/>
                <w:i/>
                <w:sz w:val="22"/>
                <w:szCs w:val="22"/>
                <w:lang w:eastAsia="es-MX"/>
              </w:rPr>
            </w:pPr>
          </w:p>
        </w:tc>
        <w:tc>
          <w:tcPr>
            <w:tcW w:w="1990" w:type="dxa"/>
            <w:vAlign w:val="center"/>
          </w:tcPr>
          <w:p w14:paraId="7733B750" w14:textId="77777777" w:rsidR="00BE5492" w:rsidRPr="00AB1083" w:rsidRDefault="00BE5492" w:rsidP="00BE5492">
            <w:pPr>
              <w:jc w:val="center"/>
              <w:rPr>
                <w:rFonts w:ascii="Palatino Linotype" w:hAnsi="Palatino Linotype" w:cs="Arial"/>
                <w:i/>
                <w:sz w:val="22"/>
                <w:szCs w:val="22"/>
                <w:lang w:eastAsia="es-MX"/>
              </w:rPr>
            </w:pPr>
            <w:r w:rsidRPr="00AB1083">
              <w:rPr>
                <w:rFonts w:ascii="Palatino Linotype" w:hAnsi="Palatino Linotype" w:cs="Arial"/>
                <w:i/>
                <w:sz w:val="22"/>
                <w:szCs w:val="22"/>
                <w:lang w:eastAsia="es-MX"/>
              </w:rPr>
              <w:t>Rúbrica y cargo del servidor público</w:t>
            </w:r>
          </w:p>
        </w:tc>
        <w:tc>
          <w:tcPr>
            <w:tcW w:w="4531" w:type="dxa"/>
            <w:vAlign w:val="center"/>
          </w:tcPr>
          <w:p w14:paraId="160C7233" w14:textId="77777777" w:rsidR="00BE5492" w:rsidRPr="00AB1083" w:rsidRDefault="00BE5492" w:rsidP="00BE5492">
            <w:pPr>
              <w:jc w:val="both"/>
              <w:rPr>
                <w:rFonts w:ascii="Palatino Linotype" w:hAnsi="Palatino Linotype" w:cs="Arial"/>
                <w:i/>
                <w:sz w:val="22"/>
                <w:szCs w:val="22"/>
                <w:lang w:eastAsia="es-MX"/>
              </w:rPr>
            </w:pPr>
            <w:r w:rsidRPr="00AB1083">
              <w:rPr>
                <w:rFonts w:ascii="Palatino Linotype" w:hAnsi="Palatino Linotype" w:cs="Arial"/>
                <w:i/>
                <w:sz w:val="22"/>
                <w:szCs w:val="22"/>
                <w:lang w:eastAsia="es-MX"/>
              </w:rPr>
              <w:t>Rúbrica autógrafa de quien desclasifica.</w:t>
            </w:r>
          </w:p>
        </w:tc>
      </w:tr>
    </w:tbl>
    <w:p w14:paraId="04E36CDE" w14:textId="77777777" w:rsidR="00BE5492" w:rsidRPr="00AB1083" w:rsidRDefault="00BE5492" w:rsidP="00BE5492">
      <w:pPr>
        <w:autoSpaceDE w:val="0"/>
        <w:autoSpaceDN w:val="0"/>
        <w:adjustRightInd w:val="0"/>
        <w:spacing w:line="360" w:lineRule="auto"/>
        <w:ind w:right="51"/>
        <w:contextualSpacing/>
        <w:jc w:val="both"/>
        <w:rPr>
          <w:rFonts w:ascii="Palatino Linotype" w:hAnsi="Palatino Linotype" w:cs="Arial"/>
          <w:lang w:eastAsia="en-US"/>
        </w:rPr>
      </w:pPr>
    </w:p>
    <w:p w14:paraId="23D42870" w14:textId="77777777" w:rsidR="00BE5492" w:rsidRPr="00AB1083" w:rsidRDefault="00BE5492" w:rsidP="00BE5492">
      <w:pPr>
        <w:autoSpaceDE w:val="0"/>
        <w:autoSpaceDN w:val="0"/>
        <w:adjustRightInd w:val="0"/>
        <w:spacing w:line="360" w:lineRule="auto"/>
        <w:contextualSpacing/>
        <w:jc w:val="both"/>
        <w:rPr>
          <w:rFonts w:ascii="Palatino Linotype" w:hAnsi="Palatino Linotype" w:cs="Arial"/>
          <w:lang w:eastAsia="en-US"/>
        </w:rPr>
      </w:pPr>
      <w:r w:rsidRPr="00AB1083">
        <w:rPr>
          <w:rFonts w:ascii="Palatino Linotype" w:hAnsi="Palatino Linotype" w:cs="Arial"/>
          <w:lang w:eastAsia="en-US"/>
        </w:rPr>
        <w:t>Efectivamente, cuando se clasifica información como confidencial es importante someterlo al Comité de Transparencia, quien debe confirmar, modificar o revocar la clasificación</w:t>
      </w:r>
      <w:r w:rsidRPr="00AB1083">
        <w:rPr>
          <w:rFonts w:ascii="Palatino Linotype" w:hAnsi="Palatino Linotype"/>
          <w:lang w:eastAsia="es-MX"/>
        </w:rPr>
        <w:t xml:space="preserve">, por lo que el acuerdo respectivo, deberá hacerse del conocimiento del </w:t>
      </w:r>
      <w:r w:rsidRPr="00AB1083">
        <w:rPr>
          <w:rFonts w:ascii="Palatino Linotype" w:hAnsi="Palatino Linotype"/>
          <w:bCs/>
          <w:lang w:eastAsia="es-MX"/>
        </w:rPr>
        <w:t>Recurrente</w:t>
      </w:r>
      <w:r w:rsidRPr="00AB1083">
        <w:rPr>
          <w:rFonts w:ascii="Palatino Linotype" w:hAnsi="Palatino Linotype"/>
          <w:lang w:eastAsia="es-MX"/>
        </w:rPr>
        <w:t>.</w:t>
      </w:r>
    </w:p>
    <w:p w14:paraId="1D201579" w14:textId="77777777" w:rsidR="00BE5492" w:rsidRPr="00AB1083" w:rsidRDefault="00BE5492" w:rsidP="00BE5492">
      <w:pPr>
        <w:spacing w:line="360" w:lineRule="auto"/>
        <w:jc w:val="both"/>
        <w:rPr>
          <w:rFonts w:ascii="Palatino Linotype" w:hAnsi="Palatino Linotype" w:cs="Arial"/>
          <w:lang w:eastAsia="es-CO"/>
        </w:rPr>
      </w:pPr>
    </w:p>
    <w:p w14:paraId="72E4930D" w14:textId="77777777" w:rsidR="00BE5492" w:rsidRPr="00AB1083" w:rsidRDefault="00BE5492" w:rsidP="00BE5492">
      <w:pPr>
        <w:spacing w:line="360" w:lineRule="auto"/>
        <w:jc w:val="both"/>
        <w:rPr>
          <w:rFonts w:ascii="Palatino Linotype" w:hAnsi="Palatino Linotype" w:cs="Arial"/>
          <w:lang w:eastAsia="es-CO"/>
        </w:rPr>
      </w:pPr>
      <w:r w:rsidRPr="00AB1083">
        <w:rPr>
          <w:rFonts w:ascii="Palatino Linotype" w:hAnsi="Palatino Linotype" w:cs="Arial"/>
          <w:lang w:eastAsia="es-CO"/>
        </w:rPr>
        <w:t>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se ponga en riesgo la vida o integridad de una persona.</w:t>
      </w:r>
    </w:p>
    <w:p w14:paraId="45EA6098" w14:textId="77777777" w:rsidR="00BE5492" w:rsidRPr="00AB1083" w:rsidRDefault="00BE5492" w:rsidP="00BE5492">
      <w:pPr>
        <w:spacing w:line="360" w:lineRule="auto"/>
        <w:jc w:val="both"/>
        <w:rPr>
          <w:rFonts w:ascii="Palatino Linotype" w:hAnsi="Palatino Linotype" w:cs="Arial"/>
          <w:lang w:eastAsia="es-CO"/>
        </w:rPr>
      </w:pPr>
    </w:p>
    <w:p w14:paraId="4B887F42" w14:textId="77777777" w:rsidR="00BE5492" w:rsidRPr="00AB1083" w:rsidRDefault="00BE5492" w:rsidP="00BE5492">
      <w:pPr>
        <w:autoSpaceDE w:val="0"/>
        <w:autoSpaceDN w:val="0"/>
        <w:adjustRightInd w:val="0"/>
        <w:spacing w:line="360" w:lineRule="auto"/>
        <w:jc w:val="both"/>
        <w:rPr>
          <w:rFonts w:ascii="Palatino Linotype" w:hAnsi="Palatino Linotype" w:cs="Arial"/>
          <w:lang w:eastAsia="en-US"/>
        </w:rPr>
      </w:pPr>
      <w:r w:rsidRPr="00AB1083">
        <w:rPr>
          <w:rFonts w:ascii="Palatino Linotype" w:hAnsi="Palatino Linotype" w:cs="Arial"/>
          <w:lang w:eastAsia="en-US"/>
        </w:rPr>
        <w:t xml:space="preserve">Sirven de sustento a lo anterior, las tesis jurisprudenciales </w:t>
      </w:r>
      <w:r w:rsidRPr="00AB1083">
        <w:rPr>
          <w:rFonts w:ascii="Palatino Linotype" w:hAnsi="Palatino Linotype" w:cs="Arial"/>
          <w:i/>
          <w:lang w:eastAsia="en-US"/>
        </w:rPr>
        <w:t xml:space="preserve">P. LX/2000 </w:t>
      </w:r>
      <w:r w:rsidRPr="00AB1083">
        <w:rPr>
          <w:rFonts w:ascii="Palatino Linotype" w:hAnsi="Palatino Linotype" w:cs="Arial"/>
          <w:lang w:eastAsia="en-US"/>
        </w:rPr>
        <w:t xml:space="preserve">y </w:t>
      </w:r>
      <w:r w:rsidRPr="00AB1083">
        <w:rPr>
          <w:rFonts w:ascii="Palatino Linotype" w:hAnsi="Palatino Linotype" w:cs="Tahoma"/>
          <w:bCs/>
          <w:i/>
          <w:color w:val="444444"/>
          <w:lang w:eastAsia="en-US"/>
        </w:rPr>
        <w:t>2a. XLIII/2008</w:t>
      </w:r>
      <w:r w:rsidRPr="00AB1083">
        <w:rPr>
          <w:rFonts w:ascii="Tahoma" w:hAnsi="Tahoma" w:cs="Tahoma"/>
          <w:b/>
          <w:bCs/>
          <w:color w:val="444444"/>
          <w:lang w:eastAsia="en-US"/>
        </w:rPr>
        <w:t xml:space="preserve"> </w:t>
      </w:r>
      <w:r w:rsidRPr="00AB1083">
        <w:rPr>
          <w:rFonts w:ascii="Palatino Linotype" w:hAnsi="Palatino Linotype" w:cs="Arial"/>
          <w:lang w:eastAsia="en-US"/>
        </w:rPr>
        <w:t>emitidas por el Peno y la Segunda Sala de la Suprema Corte de Justicia de la Nación, respectivamente, que son del tenor literal siguiente:</w:t>
      </w:r>
    </w:p>
    <w:p w14:paraId="4E86F139" w14:textId="77777777" w:rsidR="00BE5492" w:rsidRPr="00AB1083" w:rsidRDefault="00BE5492" w:rsidP="00BE5492">
      <w:pPr>
        <w:autoSpaceDE w:val="0"/>
        <w:autoSpaceDN w:val="0"/>
        <w:adjustRightInd w:val="0"/>
        <w:spacing w:line="360" w:lineRule="auto"/>
        <w:jc w:val="both"/>
        <w:rPr>
          <w:rFonts w:ascii="Palatino Linotype" w:hAnsi="Palatino Linotype" w:cs="Arial"/>
          <w:lang w:eastAsia="en-US"/>
        </w:rPr>
      </w:pPr>
    </w:p>
    <w:p w14:paraId="29E10747" w14:textId="77777777" w:rsidR="00BE5492" w:rsidRPr="00AB1083" w:rsidRDefault="00BE5492" w:rsidP="00BE5492">
      <w:pPr>
        <w:ind w:left="567" w:right="616"/>
        <w:jc w:val="both"/>
        <w:rPr>
          <w:rFonts w:ascii="Palatino Linotype" w:hAnsi="Palatino Linotype" w:cs="Calibri"/>
          <w:i/>
          <w:color w:val="000000"/>
          <w:sz w:val="22"/>
          <w:lang w:eastAsia="en-US"/>
        </w:rPr>
      </w:pPr>
      <w:r w:rsidRPr="00AB1083">
        <w:rPr>
          <w:rFonts w:ascii="Palatino Linotype" w:hAnsi="Palatino Linotype" w:cs="Calibri"/>
          <w:b/>
          <w:bCs/>
          <w:i/>
          <w:color w:val="000000"/>
          <w:sz w:val="22"/>
          <w:lang w:eastAsia="en-US"/>
        </w:rPr>
        <w:t xml:space="preserve">“DERECHO A LA INFORMACIÓN. SU EJERCICIO SE ENCUENTRA LIMITADO TANTO POR LOS INTERESES NACIONALES Y DE LA SOCIEDAD, COMO POR LOS DERECHOS DE TERCEROS. </w:t>
      </w:r>
      <w:r w:rsidRPr="00AB1083">
        <w:rPr>
          <w:rFonts w:ascii="Palatino Linotype" w:hAnsi="Palatino Linotype" w:cs="Calibri"/>
          <w:i/>
          <w:color w:val="000000"/>
          <w:sz w:val="22"/>
          <w:lang w:eastAsia="en-US"/>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AB1083">
        <w:rPr>
          <w:rFonts w:ascii="Palatino Linotype" w:hAnsi="Palatino Linotype" w:cs="Calibri"/>
          <w:b/>
          <w:i/>
          <w:color w:val="000000"/>
          <w:sz w:val="22"/>
          <w:lang w:eastAsia="en-US"/>
        </w:rPr>
        <w:t>restringen el acceso a la información en esta materia, en razón de que su conocimiento público puede generar daños a los intereses nacionales y, por el otro, sancionan la inobservancia de esa reserva</w:t>
      </w:r>
      <w:r w:rsidRPr="00AB1083">
        <w:rPr>
          <w:rFonts w:ascii="Palatino Linotype" w:hAnsi="Palatino Linotype" w:cs="Calibri"/>
          <w:i/>
          <w:color w:val="000000"/>
          <w:sz w:val="22"/>
          <w:lang w:eastAsia="en-US"/>
        </w:rPr>
        <w:t xml:space="preserve">; por lo que hace al interés social, se cuenta con normas que tienden a proteger la averiguación de los delitos, la salud y la moral públicas, </w:t>
      </w:r>
      <w:r w:rsidRPr="00AB1083">
        <w:rPr>
          <w:rFonts w:ascii="Palatino Linotype" w:hAnsi="Palatino Linotype" w:cs="Calibri"/>
          <w:b/>
          <w:i/>
          <w:color w:val="000000"/>
          <w:sz w:val="22"/>
          <w:lang w:eastAsia="en-US"/>
        </w:rPr>
        <w:t>mientras que por lo que respecta a la protección de la persona existen normas que protegen el derecho a la vida o a la privacidad de los gobernados</w:t>
      </w:r>
      <w:r w:rsidRPr="00AB1083">
        <w:rPr>
          <w:rFonts w:ascii="Palatino Linotype" w:hAnsi="Palatino Linotype" w:cs="Calibri"/>
          <w:i/>
          <w:color w:val="000000"/>
          <w:sz w:val="22"/>
          <w:lang w:eastAsia="en-US"/>
        </w:rPr>
        <w:t>.”</w:t>
      </w:r>
    </w:p>
    <w:p w14:paraId="38E0F407" w14:textId="77777777" w:rsidR="00BE5492" w:rsidRPr="00AB1083" w:rsidRDefault="00BE5492" w:rsidP="00BE5492">
      <w:pPr>
        <w:ind w:left="567" w:right="616"/>
        <w:jc w:val="both"/>
        <w:rPr>
          <w:rFonts w:ascii="Palatino Linotype" w:hAnsi="Palatino Linotype" w:cs="Calibri"/>
          <w:i/>
          <w:color w:val="000000"/>
          <w:sz w:val="22"/>
          <w:lang w:eastAsia="en-US"/>
        </w:rPr>
      </w:pPr>
    </w:p>
    <w:p w14:paraId="3BD90D72" w14:textId="6074BC6F" w:rsidR="00BE5492" w:rsidRPr="00AB1083" w:rsidRDefault="00BE5492" w:rsidP="00837C24">
      <w:pPr>
        <w:ind w:left="567" w:right="616"/>
        <w:jc w:val="both"/>
        <w:rPr>
          <w:rFonts w:ascii="Palatino Linotype" w:hAnsi="Palatino Linotype" w:cs="Arial"/>
          <w:i/>
          <w:sz w:val="22"/>
          <w:lang w:eastAsia="en-US"/>
        </w:rPr>
      </w:pPr>
      <w:r w:rsidRPr="00AB1083">
        <w:rPr>
          <w:rFonts w:ascii="Palatino Linotype" w:hAnsi="Palatino Linotype" w:cs="Arial"/>
          <w:b/>
          <w:i/>
          <w:sz w:val="22"/>
          <w:lang w:eastAsia="en-US"/>
        </w:rPr>
        <w:t xml:space="preserve">“TRANSPARENCIA Y ACCESO A LA INFORMACIÓN PÚBLICA GUBERNAMENTAL. EL ARTÍCULO 14, FRACCIÓN I, DE LA LEY FEDERAL RELATIVA, NO VIOLA LA GARANTÍA DE ACCESO A LA INFORMACIÓN. </w:t>
      </w:r>
      <w:r w:rsidRPr="00AB1083">
        <w:rPr>
          <w:rFonts w:ascii="Palatino Linotype" w:hAnsi="Palatino Linotype" w:cs="Arial"/>
          <w:i/>
          <w:sz w:val="22"/>
          <w:lang w:eastAsia="en-US"/>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AB1083">
        <w:rPr>
          <w:rFonts w:ascii="Palatino Linotype" w:hAnsi="Palatino Linotype" w:cs="Arial"/>
          <w:b/>
          <w:i/>
          <w:sz w:val="22"/>
          <w:lang w:eastAsia="en-US"/>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AB1083">
        <w:rPr>
          <w:rFonts w:ascii="Palatino Linotype" w:hAnsi="Palatino Linotype" w:cs="Arial"/>
          <w:i/>
          <w:sz w:val="22"/>
          <w:lang w:eastAsia="en-US"/>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0CE6F4F3" w14:textId="77777777" w:rsidR="00C156B4" w:rsidRPr="00AB1083" w:rsidRDefault="00C156B4" w:rsidP="00C156B4">
      <w:pPr>
        <w:spacing w:line="360" w:lineRule="auto"/>
        <w:rPr>
          <w:rFonts w:ascii="Palatino Linotype" w:hAnsi="Palatino Linotype"/>
        </w:rPr>
      </w:pPr>
    </w:p>
    <w:p w14:paraId="0593AE88" w14:textId="3199BDD0" w:rsidR="00ED660D" w:rsidRPr="00AB1083" w:rsidRDefault="00ED660D" w:rsidP="00ED660D">
      <w:pPr>
        <w:spacing w:line="360" w:lineRule="auto"/>
        <w:jc w:val="both"/>
        <w:rPr>
          <w:rFonts w:ascii="Palatino Linotype" w:hAnsi="Palatino Linotype"/>
        </w:rPr>
      </w:pPr>
      <w:r w:rsidRPr="00AB1083">
        <w:rPr>
          <w:rFonts w:ascii="Palatino Linotype" w:hAnsi="Palatino Linotype"/>
        </w:rPr>
        <w:t xml:space="preserve">De tal forma que este Instituto estima que el Sujeto Obligado incumplió lo establecido en la Ley de la Materia, por lo cual es procedente modificar la respuesta a la solicitud del particular y ordenar la entrega de la información </w:t>
      </w:r>
      <w:r w:rsidR="00F949ED" w:rsidRPr="00AB1083">
        <w:rPr>
          <w:rFonts w:ascii="Palatino Linotype" w:hAnsi="Palatino Linotype"/>
        </w:rPr>
        <w:t>precisada con anterioridad</w:t>
      </w:r>
      <w:r w:rsidRPr="00AB1083">
        <w:rPr>
          <w:rFonts w:ascii="Palatino Linotype" w:hAnsi="Palatino Linotype"/>
        </w:rPr>
        <w:t>.</w:t>
      </w:r>
    </w:p>
    <w:p w14:paraId="62CC02BF" w14:textId="77777777" w:rsidR="00F279FD" w:rsidRPr="00AB1083" w:rsidRDefault="00F279FD" w:rsidP="00ED660D">
      <w:pPr>
        <w:spacing w:line="360" w:lineRule="auto"/>
        <w:jc w:val="both"/>
        <w:rPr>
          <w:rFonts w:ascii="Palatino Linotype" w:hAnsi="Palatino Linotype"/>
        </w:rPr>
      </w:pPr>
    </w:p>
    <w:p w14:paraId="31A123C4" w14:textId="592E059A" w:rsidR="00221008" w:rsidRPr="00AB1083" w:rsidRDefault="00F279FD" w:rsidP="00221008">
      <w:pPr>
        <w:spacing w:line="360" w:lineRule="auto"/>
        <w:jc w:val="both"/>
        <w:rPr>
          <w:rFonts w:ascii="Palatino Linotype" w:hAnsi="Palatino Linotype"/>
        </w:rPr>
      </w:pPr>
      <w:r w:rsidRPr="00AB1083">
        <w:rPr>
          <w:rFonts w:ascii="Palatino Linotype" w:hAnsi="Palatino Linotype"/>
        </w:rPr>
        <w:t>Por otra parte,</w:t>
      </w:r>
      <w:r w:rsidR="00E90E9F" w:rsidRPr="00AB1083">
        <w:rPr>
          <w:rFonts w:ascii="Palatino Linotype" w:hAnsi="Palatino Linotype"/>
        </w:rPr>
        <w:t xml:space="preserve"> </w:t>
      </w:r>
      <w:r w:rsidR="00221008" w:rsidRPr="00AB1083">
        <w:rPr>
          <w:rFonts w:ascii="Palatino Linotype" w:hAnsi="Palatino Linotype" w:cs="Calibri"/>
          <w:szCs w:val="22"/>
          <w:lang w:eastAsia="es-MX"/>
        </w:rPr>
        <w:t>se debe recordar que la Ley de Transparencia estatal también establece un límite a la clasificación de la información las cuales están establecidas en el artículo 142 de la Ley en cita, en el que se establece lo siguiente:</w:t>
      </w:r>
    </w:p>
    <w:p w14:paraId="0DE5DF56" w14:textId="77777777" w:rsidR="00221008" w:rsidRPr="00AB1083" w:rsidRDefault="00221008" w:rsidP="00221008">
      <w:pPr>
        <w:spacing w:line="360" w:lineRule="auto"/>
        <w:jc w:val="both"/>
        <w:rPr>
          <w:rFonts w:ascii="Palatino Linotype" w:hAnsi="Palatino Linotype" w:cs="Calibri"/>
          <w:szCs w:val="22"/>
          <w:lang w:eastAsia="es-MX"/>
        </w:rPr>
      </w:pPr>
    </w:p>
    <w:p w14:paraId="46B5A482" w14:textId="77777777" w:rsidR="00221008" w:rsidRPr="00AB1083" w:rsidRDefault="00221008" w:rsidP="00221008">
      <w:pPr>
        <w:ind w:left="567" w:right="567"/>
        <w:contextualSpacing/>
        <w:jc w:val="both"/>
        <w:rPr>
          <w:rFonts w:ascii="Palatino Linotype" w:hAnsi="Palatino Linotype" w:cs="Palatino Linotype"/>
          <w:i/>
          <w:color w:val="000000"/>
          <w:sz w:val="22"/>
          <w:lang w:eastAsia="es-MX"/>
        </w:rPr>
      </w:pPr>
      <w:r w:rsidRPr="00AB1083">
        <w:rPr>
          <w:rFonts w:ascii="Palatino Linotype" w:hAnsi="Palatino Linotype" w:cs="Palatino Linotype"/>
          <w:b/>
          <w:bCs/>
          <w:i/>
          <w:color w:val="000000"/>
          <w:sz w:val="22"/>
          <w:lang w:eastAsia="es-MX"/>
        </w:rPr>
        <w:t>Artículo 142.</w:t>
      </w:r>
      <w:r w:rsidRPr="00AB1083">
        <w:rPr>
          <w:rFonts w:ascii="Palatino Linotype" w:hAnsi="Palatino Linotype" w:cs="Palatino Linotype"/>
          <w:i/>
          <w:color w:val="000000"/>
          <w:sz w:val="22"/>
          <w:lang w:eastAsia="es-MX"/>
        </w:rPr>
        <w:t xml:space="preserve"> Bajo ninguna circunstancia podrá invocarse el carácter de reservado cuando:</w:t>
      </w:r>
    </w:p>
    <w:p w14:paraId="4174E6E5" w14:textId="77777777" w:rsidR="00221008" w:rsidRPr="00AB1083" w:rsidRDefault="00221008" w:rsidP="00221008">
      <w:pPr>
        <w:ind w:left="567" w:right="567"/>
        <w:contextualSpacing/>
        <w:jc w:val="both"/>
        <w:rPr>
          <w:rFonts w:ascii="Palatino Linotype" w:hAnsi="Palatino Linotype" w:cs="Palatino Linotype"/>
          <w:i/>
          <w:color w:val="000000"/>
          <w:sz w:val="22"/>
          <w:lang w:eastAsia="es-MX"/>
        </w:rPr>
      </w:pPr>
    </w:p>
    <w:p w14:paraId="3CCAA699" w14:textId="77777777" w:rsidR="00221008" w:rsidRPr="00AB1083" w:rsidRDefault="00221008" w:rsidP="00221008">
      <w:pPr>
        <w:ind w:left="567" w:right="567"/>
        <w:contextualSpacing/>
        <w:jc w:val="both"/>
        <w:rPr>
          <w:rFonts w:ascii="Palatino Linotype" w:hAnsi="Palatino Linotype" w:cs="Palatino Linotype"/>
          <w:i/>
          <w:color w:val="000000"/>
          <w:sz w:val="22"/>
          <w:lang w:eastAsia="es-MX"/>
        </w:rPr>
      </w:pPr>
      <w:r w:rsidRPr="00AB1083">
        <w:rPr>
          <w:rFonts w:ascii="Palatino Linotype" w:hAnsi="Palatino Linotype" w:cs="Palatino Linotype"/>
          <w:b/>
          <w:bCs/>
          <w:i/>
          <w:color w:val="000000"/>
          <w:sz w:val="22"/>
          <w:lang w:eastAsia="es-MX"/>
        </w:rPr>
        <w:t>I.</w:t>
      </w:r>
      <w:r w:rsidRPr="00AB1083">
        <w:rPr>
          <w:rFonts w:ascii="Palatino Linotype" w:hAnsi="Palatino Linotype" w:cs="Palatino Linotype"/>
          <w:i/>
          <w:color w:val="000000"/>
          <w:sz w:val="22"/>
          <w:lang w:eastAsia="es-MX"/>
        </w:rPr>
        <w:tab/>
        <w:t>Se trate de violaciones graves de derechos humanos, calificada así por autoridad competente;</w:t>
      </w:r>
    </w:p>
    <w:p w14:paraId="45661964" w14:textId="77777777" w:rsidR="00221008" w:rsidRPr="00AB1083" w:rsidRDefault="00221008" w:rsidP="00221008">
      <w:pPr>
        <w:ind w:left="567" w:right="567"/>
        <w:contextualSpacing/>
        <w:jc w:val="both"/>
        <w:rPr>
          <w:rFonts w:ascii="Palatino Linotype" w:hAnsi="Palatino Linotype" w:cs="Palatino Linotype"/>
          <w:i/>
          <w:color w:val="000000"/>
          <w:sz w:val="22"/>
          <w:lang w:eastAsia="es-MX"/>
        </w:rPr>
      </w:pPr>
      <w:r w:rsidRPr="00AB1083">
        <w:rPr>
          <w:rFonts w:ascii="Palatino Linotype" w:hAnsi="Palatino Linotype" w:cs="Palatino Linotype"/>
          <w:b/>
          <w:bCs/>
          <w:i/>
          <w:color w:val="000000"/>
          <w:sz w:val="22"/>
          <w:lang w:eastAsia="es-MX"/>
        </w:rPr>
        <w:t>II.</w:t>
      </w:r>
      <w:r w:rsidRPr="00AB1083">
        <w:rPr>
          <w:rFonts w:ascii="Palatino Linotype" w:hAnsi="Palatino Linotype" w:cs="Palatino Linotype"/>
          <w:i/>
          <w:color w:val="000000"/>
          <w:sz w:val="22"/>
          <w:lang w:eastAsia="es-MX"/>
        </w:rPr>
        <w:tab/>
        <w:t>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78E8FB0C" w14:textId="77777777" w:rsidR="00221008" w:rsidRPr="00AB1083" w:rsidRDefault="00221008" w:rsidP="00221008">
      <w:pPr>
        <w:ind w:left="567" w:right="567"/>
        <w:contextualSpacing/>
        <w:jc w:val="both"/>
        <w:rPr>
          <w:rFonts w:ascii="Palatino Linotype" w:hAnsi="Palatino Linotype" w:cs="Palatino Linotype"/>
          <w:i/>
          <w:color w:val="000000"/>
          <w:sz w:val="22"/>
          <w:lang w:eastAsia="es-MX"/>
        </w:rPr>
      </w:pPr>
      <w:r w:rsidRPr="00AB1083">
        <w:rPr>
          <w:rFonts w:ascii="Palatino Linotype" w:hAnsi="Palatino Linotype" w:cs="Palatino Linotype"/>
          <w:b/>
          <w:bCs/>
          <w:i/>
          <w:color w:val="000000"/>
          <w:sz w:val="22"/>
          <w:lang w:eastAsia="es-MX"/>
        </w:rPr>
        <w:t>III.</w:t>
      </w:r>
      <w:r w:rsidRPr="00AB1083">
        <w:rPr>
          <w:rFonts w:ascii="Palatino Linotype" w:hAnsi="Palatino Linotype" w:cs="Palatino Linotype"/>
          <w:i/>
          <w:color w:val="000000"/>
          <w:sz w:val="22"/>
          <w:lang w:eastAsia="es-MX"/>
        </w:rPr>
        <w:tab/>
        <w:t>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1CF406E1" w14:textId="77777777" w:rsidR="00221008" w:rsidRPr="00AB1083" w:rsidRDefault="00221008" w:rsidP="00221008">
      <w:pPr>
        <w:ind w:left="567" w:right="567"/>
        <w:contextualSpacing/>
        <w:jc w:val="both"/>
        <w:rPr>
          <w:rFonts w:ascii="Palatino Linotype" w:hAnsi="Palatino Linotype" w:cs="Palatino Linotype"/>
          <w:i/>
          <w:color w:val="000000"/>
          <w:sz w:val="22"/>
          <w:lang w:eastAsia="es-MX"/>
        </w:rPr>
      </w:pPr>
      <w:r w:rsidRPr="00AB1083">
        <w:rPr>
          <w:rFonts w:ascii="Palatino Linotype" w:hAnsi="Palatino Linotype" w:cs="Palatino Linotype"/>
          <w:b/>
          <w:bCs/>
          <w:i/>
          <w:color w:val="000000"/>
          <w:sz w:val="22"/>
          <w:lang w:eastAsia="es-MX"/>
        </w:rPr>
        <w:t>IV.</w:t>
      </w:r>
      <w:r w:rsidRPr="00AB1083">
        <w:rPr>
          <w:rFonts w:ascii="Palatino Linotype" w:hAnsi="Palatino Linotype" w:cs="Palatino Linotype"/>
          <w:i/>
          <w:color w:val="000000"/>
          <w:sz w:val="22"/>
          <w:lang w:eastAsia="es-MX"/>
        </w:rPr>
        <w:tab/>
        <w:t>Se trate de información relacionada con actos de corrupción de conformidad con las disposiciones jurídicas aplicables.</w:t>
      </w:r>
    </w:p>
    <w:p w14:paraId="58B8A19B" w14:textId="77777777" w:rsidR="00221008" w:rsidRPr="00AB1083" w:rsidRDefault="00221008" w:rsidP="00221008">
      <w:pPr>
        <w:spacing w:line="360" w:lineRule="auto"/>
        <w:jc w:val="both"/>
        <w:rPr>
          <w:rFonts w:ascii="Palatino Linotype" w:hAnsi="Palatino Linotype" w:cs="Calibri"/>
          <w:szCs w:val="22"/>
          <w:lang w:eastAsia="es-MX"/>
        </w:rPr>
      </w:pPr>
    </w:p>
    <w:p w14:paraId="3E1C962B" w14:textId="66577A78" w:rsidR="00221008" w:rsidRPr="00AB1083" w:rsidRDefault="00221008" w:rsidP="00221008">
      <w:pPr>
        <w:spacing w:line="360" w:lineRule="auto"/>
        <w:jc w:val="both"/>
        <w:rPr>
          <w:rFonts w:ascii="Palatino Linotype" w:hAnsi="Palatino Linotype" w:cs="Calibri"/>
          <w:szCs w:val="22"/>
          <w:lang w:eastAsia="es-MX"/>
        </w:rPr>
      </w:pPr>
      <w:r w:rsidRPr="00AB1083">
        <w:rPr>
          <w:rFonts w:ascii="Palatino Linotype" w:hAnsi="Palatino Linotype" w:cs="Calibri"/>
          <w:szCs w:val="22"/>
          <w:lang w:eastAsia="es-MX"/>
        </w:rPr>
        <w:t>En ese orden de ideas, si bien es cierto que al clasificar el pronunciamiento el Sujeto Obligado garantiza la presunción de inocencia de</w:t>
      </w:r>
      <w:r w:rsidR="00062758" w:rsidRPr="00AB1083">
        <w:rPr>
          <w:rFonts w:ascii="Palatino Linotype" w:hAnsi="Palatino Linotype" w:cs="Calibri"/>
          <w:szCs w:val="22"/>
          <w:lang w:eastAsia="es-MX"/>
        </w:rPr>
        <w:t xml:space="preserve"> la servidora pública</w:t>
      </w:r>
      <w:r w:rsidRPr="00AB1083">
        <w:rPr>
          <w:rFonts w:ascii="Palatino Linotype" w:hAnsi="Palatino Linotype" w:cs="Calibri"/>
          <w:szCs w:val="22"/>
          <w:lang w:eastAsia="es-MX"/>
        </w:rPr>
        <w:t xml:space="preserve">, también lo es que con la respuesta este Instituto no tiene certeza de la existencia o no procedimientos que se encuentran en trámite y que se relacionen con actos de corrupción, delitos de lesa humanidad o posibles violaciones graves a derechos humanos que son las hipótesis por las cuales no opera la reserva de la información. </w:t>
      </w:r>
    </w:p>
    <w:p w14:paraId="05E1030E" w14:textId="77777777" w:rsidR="00062758" w:rsidRPr="00AB1083" w:rsidRDefault="00062758" w:rsidP="00221008">
      <w:pPr>
        <w:spacing w:line="360" w:lineRule="auto"/>
        <w:jc w:val="both"/>
        <w:rPr>
          <w:rFonts w:ascii="Palatino Linotype" w:hAnsi="Palatino Linotype" w:cs="Calibri"/>
          <w:szCs w:val="22"/>
          <w:lang w:eastAsia="es-MX"/>
        </w:rPr>
      </w:pPr>
    </w:p>
    <w:p w14:paraId="32C1AF86" w14:textId="3458C2E5" w:rsidR="00062758" w:rsidRPr="00AB1083" w:rsidRDefault="00062758" w:rsidP="00062758">
      <w:pPr>
        <w:tabs>
          <w:tab w:val="left" w:pos="709"/>
        </w:tabs>
        <w:spacing w:line="360" w:lineRule="auto"/>
        <w:jc w:val="both"/>
        <w:rPr>
          <w:rFonts w:ascii="Palatino Linotype" w:eastAsiaTheme="minorHAnsi" w:hAnsi="Palatino Linotype" w:cstheme="minorBidi"/>
          <w:lang w:eastAsia="en-US"/>
        </w:rPr>
      </w:pPr>
      <w:r w:rsidRPr="00AB1083">
        <w:rPr>
          <w:rFonts w:ascii="Palatino Linotype" w:hAnsi="Palatino Linotype" w:cs="Calibri"/>
          <w:szCs w:val="22"/>
          <w:lang w:eastAsia="es-MX"/>
        </w:rPr>
        <w:t>Lo anterior</w:t>
      </w:r>
      <w:r w:rsidRPr="00AB1083">
        <w:rPr>
          <w:rFonts w:ascii="Palatino Linotype" w:eastAsiaTheme="minorHAnsi" w:hAnsi="Palatino Linotype" w:cstheme="minorBidi"/>
          <w:lang w:eastAsia="en-US"/>
        </w:rPr>
        <w:t>,</w:t>
      </w:r>
      <w:r w:rsidRPr="00AB1083">
        <w:rPr>
          <w:rFonts w:ascii="Palatino Linotype" w:eastAsiaTheme="minorHAnsi" w:hAnsi="Palatino Linotype" w:cstheme="minorBidi"/>
          <w:b/>
          <w:lang w:eastAsia="en-US"/>
        </w:rPr>
        <w:t xml:space="preserve"> </w:t>
      </w:r>
      <w:r w:rsidRPr="00AB1083">
        <w:rPr>
          <w:rFonts w:ascii="Palatino Linotype" w:eastAsiaTheme="minorHAnsi" w:hAnsi="Palatino Linotype" w:cstheme="minorBidi"/>
          <w:lang w:eastAsia="en-US"/>
        </w:rPr>
        <w:t>con</w:t>
      </w:r>
      <w:r w:rsidRPr="00AB1083">
        <w:rPr>
          <w:rFonts w:ascii="Palatino Linotype" w:eastAsiaTheme="minorHAnsi" w:hAnsi="Palatino Linotype" w:cstheme="minorBidi"/>
          <w:b/>
          <w:lang w:eastAsia="en-US"/>
        </w:rPr>
        <w:t xml:space="preserve"> </w:t>
      </w:r>
      <w:r w:rsidRPr="00AB1083">
        <w:rPr>
          <w:rFonts w:ascii="Palatino Linotype" w:eastAsiaTheme="minorHAnsi" w:hAnsi="Palatino Linotype" w:cstheme="minorBidi"/>
          <w:lang w:eastAsia="en-US"/>
        </w:rPr>
        <w:t>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el artículo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administrativas definitivas, especificando la causa de sanción, disposiciones legales que son del tenor literal siguiente:</w:t>
      </w:r>
    </w:p>
    <w:p w14:paraId="4B77712F" w14:textId="77777777" w:rsidR="00062758" w:rsidRPr="00AB1083" w:rsidRDefault="00062758" w:rsidP="00062758">
      <w:pPr>
        <w:tabs>
          <w:tab w:val="left" w:pos="709"/>
        </w:tabs>
        <w:spacing w:line="360" w:lineRule="auto"/>
        <w:jc w:val="both"/>
        <w:rPr>
          <w:rFonts w:ascii="Palatino Linotype" w:eastAsiaTheme="minorHAnsi" w:hAnsi="Palatino Linotype" w:cstheme="minorBidi"/>
          <w:lang w:eastAsia="en-US"/>
        </w:rPr>
      </w:pPr>
    </w:p>
    <w:p w14:paraId="67ECE639" w14:textId="77777777" w:rsidR="000315E6" w:rsidRPr="00AB1083" w:rsidRDefault="000315E6" w:rsidP="00062758">
      <w:pPr>
        <w:tabs>
          <w:tab w:val="left" w:pos="709"/>
        </w:tabs>
        <w:spacing w:line="360" w:lineRule="auto"/>
        <w:jc w:val="both"/>
        <w:rPr>
          <w:rFonts w:ascii="Palatino Linotype" w:eastAsiaTheme="minorHAnsi" w:hAnsi="Palatino Linotype" w:cstheme="minorBidi"/>
          <w:lang w:eastAsia="en-US"/>
        </w:rPr>
      </w:pPr>
    </w:p>
    <w:p w14:paraId="403DF92E" w14:textId="77777777" w:rsidR="00062758" w:rsidRPr="00AB1083" w:rsidRDefault="00062758" w:rsidP="00062758">
      <w:pPr>
        <w:tabs>
          <w:tab w:val="left" w:pos="709"/>
        </w:tabs>
        <w:ind w:left="567" w:right="567"/>
        <w:jc w:val="center"/>
        <w:rPr>
          <w:rFonts w:ascii="Palatino Linotype" w:eastAsiaTheme="minorHAnsi" w:hAnsi="Palatino Linotype" w:cstheme="minorBidi"/>
          <w:b/>
          <w:i/>
          <w:sz w:val="22"/>
          <w:szCs w:val="22"/>
          <w:lang w:eastAsia="en-US"/>
        </w:rPr>
      </w:pPr>
      <w:r w:rsidRPr="00AB1083">
        <w:rPr>
          <w:rFonts w:ascii="Palatino Linotype" w:eastAsiaTheme="minorHAnsi" w:hAnsi="Palatino Linotype" w:cstheme="minorBidi"/>
          <w:b/>
          <w:i/>
          <w:sz w:val="22"/>
          <w:szCs w:val="22"/>
          <w:lang w:eastAsia="en-US"/>
        </w:rPr>
        <w:t>Ley General del Sistema Nacional Anticorrupción.</w:t>
      </w:r>
    </w:p>
    <w:p w14:paraId="248D4323" w14:textId="77777777" w:rsidR="00062758" w:rsidRPr="00AB1083" w:rsidRDefault="00062758" w:rsidP="00062758">
      <w:pPr>
        <w:tabs>
          <w:tab w:val="left" w:pos="709"/>
        </w:tabs>
        <w:ind w:left="567" w:right="567"/>
        <w:jc w:val="both"/>
        <w:rPr>
          <w:rFonts w:ascii="Palatino Linotype" w:eastAsiaTheme="minorHAnsi" w:hAnsi="Palatino Linotype" w:cstheme="minorBidi"/>
          <w:i/>
          <w:sz w:val="22"/>
          <w:szCs w:val="22"/>
          <w:lang w:eastAsia="en-US"/>
        </w:rPr>
      </w:pPr>
      <w:r w:rsidRPr="00AB1083">
        <w:rPr>
          <w:rFonts w:ascii="Palatino Linotype" w:eastAsiaTheme="minorHAnsi" w:hAnsi="Palatino Linotype" w:cstheme="minorBidi"/>
          <w:b/>
          <w:i/>
          <w:sz w:val="22"/>
          <w:szCs w:val="22"/>
          <w:lang w:eastAsia="en-US"/>
        </w:rPr>
        <w:t>“Artículo 53.</w:t>
      </w:r>
      <w:r w:rsidRPr="00AB1083">
        <w:rPr>
          <w:rFonts w:ascii="Palatino Linotype" w:eastAsiaTheme="minorHAnsi" w:hAnsi="Palatino Linotype" w:cstheme="minorBidi"/>
          <w:i/>
          <w:sz w:val="22"/>
          <w:szCs w:val="22"/>
          <w:lang w:eastAsia="en-US"/>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5A555EFE" w14:textId="77777777" w:rsidR="00062758" w:rsidRPr="00AB1083" w:rsidRDefault="00062758" w:rsidP="00062758">
      <w:pPr>
        <w:tabs>
          <w:tab w:val="left" w:pos="709"/>
        </w:tabs>
        <w:spacing w:line="360" w:lineRule="auto"/>
        <w:jc w:val="both"/>
        <w:rPr>
          <w:rFonts w:ascii="Palatino Linotype" w:eastAsiaTheme="minorHAnsi" w:hAnsi="Palatino Linotype" w:cstheme="minorBidi"/>
          <w:lang w:eastAsia="en-US"/>
        </w:rPr>
      </w:pPr>
    </w:p>
    <w:p w14:paraId="182A28D7" w14:textId="77777777" w:rsidR="00062758" w:rsidRPr="00AB1083" w:rsidRDefault="00062758" w:rsidP="00062758">
      <w:pPr>
        <w:tabs>
          <w:tab w:val="left" w:pos="709"/>
        </w:tabs>
        <w:ind w:left="567" w:right="567"/>
        <w:jc w:val="center"/>
        <w:rPr>
          <w:rFonts w:ascii="Palatino Linotype" w:eastAsiaTheme="minorHAnsi" w:hAnsi="Palatino Linotype" w:cstheme="minorBidi"/>
          <w:b/>
          <w:i/>
          <w:sz w:val="22"/>
          <w:szCs w:val="22"/>
          <w:lang w:eastAsia="en-US"/>
        </w:rPr>
      </w:pPr>
      <w:r w:rsidRPr="00AB1083">
        <w:rPr>
          <w:rFonts w:ascii="Palatino Linotype" w:eastAsiaTheme="minorHAnsi" w:hAnsi="Palatino Linotype" w:cstheme="minorBidi"/>
          <w:b/>
          <w:i/>
          <w:sz w:val="22"/>
          <w:szCs w:val="22"/>
          <w:lang w:eastAsia="en-US"/>
        </w:rPr>
        <w:t>Ley General de Responsabilidades Administrativas.</w:t>
      </w:r>
    </w:p>
    <w:p w14:paraId="246D8F88" w14:textId="77777777" w:rsidR="00062758" w:rsidRPr="00AB1083" w:rsidRDefault="00062758" w:rsidP="00062758">
      <w:pPr>
        <w:tabs>
          <w:tab w:val="left" w:pos="709"/>
        </w:tabs>
        <w:ind w:left="567" w:right="567"/>
        <w:jc w:val="both"/>
        <w:rPr>
          <w:rFonts w:ascii="Palatino Linotype" w:eastAsiaTheme="minorHAnsi" w:hAnsi="Palatino Linotype" w:cstheme="minorBidi"/>
          <w:b/>
          <w:i/>
          <w:sz w:val="22"/>
          <w:szCs w:val="22"/>
          <w:lang w:eastAsia="en-US"/>
        </w:rPr>
      </w:pPr>
      <w:r w:rsidRPr="00AB1083">
        <w:rPr>
          <w:rFonts w:ascii="Palatino Linotype" w:eastAsiaTheme="minorHAnsi" w:hAnsi="Palatino Linotype" w:cstheme="minorBidi"/>
          <w:b/>
          <w:i/>
          <w:sz w:val="22"/>
          <w:szCs w:val="22"/>
          <w:lang w:eastAsia="en-US"/>
        </w:rPr>
        <w:t>“27…</w:t>
      </w:r>
    </w:p>
    <w:p w14:paraId="1A281C91" w14:textId="77777777" w:rsidR="00062758" w:rsidRPr="00AB1083" w:rsidRDefault="00062758" w:rsidP="00062758">
      <w:pPr>
        <w:tabs>
          <w:tab w:val="left" w:pos="709"/>
        </w:tabs>
        <w:ind w:left="567" w:right="567"/>
        <w:jc w:val="both"/>
        <w:rPr>
          <w:rFonts w:ascii="Palatino Linotype" w:eastAsiaTheme="minorHAnsi" w:hAnsi="Palatino Linotype" w:cstheme="minorBidi"/>
          <w:i/>
          <w:sz w:val="22"/>
          <w:szCs w:val="22"/>
          <w:lang w:eastAsia="en-US"/>
        </w:rPr>
      </w:pPr>
      <w:r w:rsidRPr="00AB1083">
        <w:rPr>
          <w:rFonts w:ascii="Palatino Linotype" w:eastAsiaTheme="minorHAnsi" w:hAnsi="Palatino Linotype" w:cstheme="minorBidi"/>
          <w:i/>
          <w:sz w:val="22"/>
          <w:szCs w:val="22"/>
          <w:lang w:eastAsia="en-US"/>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0FDC9715" w14:textId="77777777" w:rsidR="00062758" w:rsidRPr="00AB1083" w:rsidRDefault="00062758" w:rsidP="00062758">
      <w:pPr>
        <w:tabs>
          <w:tab w:val="left" w:pos="709"/>
        </w:tabs>
        <w:ind w:left="567" w:right="567"/>
        <w:jc w:val="both"/>
        <w:rPr>
          <w:rFonts w:ascii="Palatino Linotype" w:eastAsiaTheme="minorHAnsi" w:hAnsi="Palatino Linotype" w:cstheme="minorBidi"/>
          <w:i/>
          <w:sz w:val="28"/>
          <w:lang w:eastAsia="en-US"/>
        </w:rPr>
      </w:pPr>
    </w:p>
    <w:p w14:paraId="1C9CC125" w14:textId="77777777" w:rsidR="00062758" w:rsidRPr="00AB1083" w:rsidRDefault="00062758" w:rsidP="00062758">
      <w:pPr>
        <w:tabs>
          <w:tab w:val="left" w:pos="709"/>
        </w:tabs>
        <w:ind w:left="567" w:right="567"/>
        <w:jc w:val="center"/>
        <w:rPr>
          <w:rFonts w:ascii="Palatino Linotype" w:eastAsiaTheme="minorHAnsi" w:hAnsi="Palatino Linotype" w:cstheme="minorBidi"/>
          <w:b/>
          <w:i/>
          <w:lang w:eastAsia="en-US"/>
        </w:rPr>
      </w:pPr>
      <w:r w:rsidRPr="00AB1083">
        <w:rPr>
          <w:rFonts w:ascii="Palatino Linotype" w:eastAsiaTheme="minorHAnsi" w:hAnsi="Palatino Linotype" w:cstheme="minorBidi"/>
          <w:b/>
          <w:i/>
          <w:lang w:eastAsia="en-US"/>
        </w:rPr>
        <w:t>Ley del Sistema Anticorrupción del Estado de México</w:t>
      </w:r>
    </w:p>
    <w:p w14:paraId="44AA6AFA" w14:textId="77777777" w:rsidR="00062758" w:rsidRPr="00AB1083" w:rsidRDefault="00062758" w:rsidP="00062758">
      <w:pPr>
        <w:tabs>
          <w:tab w:val="left" w:pos="709"/>
        </w:tabs>
        <w:ind w:left="567" w:right="567"/>
        <w:jc w:val="both"/>
        <w:rPr>
          <w:rFonts w:ascii="Palatino Linotype" w:eastAsiaTheme="minorHAnsi" w:hAnsi="Palatino Linotype" w:cstheme="minorBidi"/>
          <w:b/>
          <w:i/>
          <w:sz w:val="22"/>
          <w:szCs w:val="22"/>
          <w:lang w:eastAsia="en-US"/>
        </w:rPr>
      </w:pPr>
      <w:r w:rsidRPr="00AB1083">
        <w:rPr>
          <w:rFonts w:ascii="Palatino Linotype" w:eastAsiaTheme="minorHAnsi" w:hAnsi="Palatino Linotype" w:cstheme="minorBidi"/>
          <w:b/>
          <w:i/>
          <w:sz w:val="22"/>
          <w:szCs w:val="22"/>
          <w:lang w:eastAsia="en-US"/>
        </w:rPr>
        <w:t xml:space="preserve">“Artículo 53. </w:t>
      </w:r>
      <w:r w:rsidRPr="00AB1083">
        <w:rPr>
          <w:rFonts w:ascii="Palatino Linotype" w:eastAsiaTheme="minorHAnsi" w:hAnsi="Palatino Linotype" w:cstheme="minorBidi"/>
          <w:i/>
          <w:sz w:val="22"/>
          <w:szCs w:val="22"/>
          <w:lang w:eastAsia="en-US"/>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AB1083">
        <w:rPr>
          <w:rFonts w:ascii="Palatino Linotype" w:eastAsiaTheme="minorHAnsi" w:hAnsi="Palatino Linotype" w:cstheme="minorBidi"/>
          <w:b/>
          <w:i/>
          <w:sz w:val="22"/>
          <w:szCs w:val="22"/>
          <w:lang w:eastAsia="en-US"/>
        </w:rPr>
        <w:t>”.</w:t>
      </w:r>
    </w:p>
    <w:p w14:paraId="58D6DE0C" w14:textId="77777777" w:rsidR="00062758" w:rsidRPr="00AB1083" w:rsidRDefault="00062758" w:rsidP="00062758">
      <w:pPr>
        <w:tabs>
          <w:tab w:val="left" w:pos="709"/>
        </w:tabs>
        <w:ind w:left="567" w:right="567"/>
        <w:jc w:val="both"/>
        <w:rPr>
          <w:rFonts w:ascii="Palatino Linotype" w:eastAsiaTheme="minorHAnsi" w:hAnsi="Palatino Linotype" w:cstheme="minorBidi"/>
          <w:b/>
          <w:i/>
          <w:sz w:val="22"/>
          <w:szCs w:val="22"/>
          <w:lang w:eastAsia="en-US"/>
        </w:rPr>
      </w:pPr>
    </w:p>
    <w:p w14:paraId="1616023B" w14:textId="77777777" w:rsidR="00062758" w:rsidRPr="00AB1083" w:rsidRDefault="00062758" w:rsidP="00062758">
      <w:pPr>
        <w:tabs>
          <w:tab w:val="left" w:pos="709"/>
        </w:tabs>
        <w:ind w:left="567" w:right="567"/>
        <w:jc w:val="both"/>
        <w:rPr>
          <w:rFonts w:ascii="Palatino Linotype" w:eastAsiaTheme="minorHAnsi" w:hAnsi="Palatino Linotype" w:cstheme="minorBidi"/>
          <w:i/>
          <w:sz w:val="22"/>
          <w:szCs w:val="22"/>
          <w:lang w:eastAsia="en-US"/>
        </w:rPr>
      </w:pPr>
    </w:p>
    <w:p w14:paraId="656048A7" w14:textId="77777777" w:rsidR="00062758" w:rsidRPr="00AB1083" w:rsidRDefault="00062758" w:rsidP="00062758">
      <w:pPr>
        <w:tabs>
          <w:tab w:val="left" w:pos="709"/>
        </w:tabs>
        <w:ind w:left="567" w:right="567"/>
        <w:jc w:val="center"/>
        <w:rPr>
          <w:rFonts w:ascii="Palatino Linotype" w:eastAsiaTheme="minorHAnsi" w:hAnsi="Palatino Linotype" w:cstheme="minorBidi"/>
          <w:b/>
          <w:i/>
          <w:sz w:val="22"/>
          <w:szCs w:val="22"/>
          <w:lang w:eastAsia="en-US"/>
        </w:rPr>
      </w:pPr>
      <w:r w:rsidRPr="00AB1083">
        <w:rPr>
          <w:rFonts w:ascii="Palatino Linotype" w:eastAsiaTheme="minorHAnsi" w:hAnsi="Palatino Linotype" w:cstheme="minorBidi"/>
          <w:b/>
          <w:i/>
          <w:sz w:val="22"/>
          <w:szCs w:val="22"/>
          <w:lang w:eastAsia="en-US"/>
        </w:rPr>
        <w:t>Ley de Transparencia y Acceso a la Información Pública del Estado de México y Municipios.</w:t>
      </w:r>
    </w:p>
    <w:p w14:paraId="39D029DA" w14:textId="77777777" w:rsidR="00062758" w:rsidRPr="00AB1083" w:rsidRDefault="00062758" w:rsidP="00062758">
      <w:pPr>
        <w:tabs>
          <w:tab w:val="left" w:pos="709"/>
        </w:tabs>
        <w:ind w:left="567" w:right="567"/>
        <w:jc w:val="both"/>
        <w:rPr>
          <w:rFonts w:ascii="Palatino Linotype" w:eastAsiaTheme="minorHAnsi" w:hAnsi="Palatino Linotype" w:cstheme="minorBidi"/>
          <w:i/>
          <w:sz w:val="22"/>
          <w:szCs w:val="22"/>
          <w:lang w:eastAsia="en-US"/>
        </w:rPr>
      </w:pPr>
      <w:r w:rsidRPr="00AB1083">
        <w:rPr>
          <w:rFonts w:ascii="Palatino Linotype" w:eastAsiaTheme="minorHAnsi" w:hAnsi="Palatino Linotype" w:cstheme="minorBidi"/>
          <w:b/>
          <w:i/>
          <w:sz w:val="22"/>
          <w:szCs w:val="22"/>
          <w:lang w:eastAsia="en-US"/>
        </w:rPr>
        <w:t>Artículo 92.</w:t>
      </w:r>
      <w:r w:rsidRPr="00AB1083">
        <w:rPr>
          <w:rFonts w:ascii="Palatino Linotype" w:eastAsiaTheme="minorHAnsi" w:hAnsi="Palatino Linotype" w:cstheme="minorBidi"/>
          <w:i/>
          <w:sz w:val="22"/>
          <w:szCs w:val="22"/>
          <w:lang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1E25B5A" w14:textId="77777777" w:rsidR="00062758" w:rsidRPr="00AB1083" w:rsidRDefault="00062758" w:rsidP="00062758">
      <w:pPr>
        <w:tabs>
          <w:tab w:val="left" w:pos="709"/>
        </w:tabs>
        <w:ind w:left="567" w:right="567"/>
        <w:jc w:val="both"/>
        <w:rPr>
          <w:rFonts w:ascii="Palatino Linotype" w:eastAsiaTheme="minorHAnsi" w:hAnsi="Palatino Linotype" w:cstheme="minorBidi"/>
          <w:b/>
          <w:i/>
          <w:sz w:val="22"/>
          <w:szCs w:val="22"/>
          <w:lang w:eastAsia="en-US"/>
        </w:rPr>
      </w:pPr>
      <w:r w:rsidRPr="00AB1083">
        <w:rPr>
          <w:rFonts w:ascii="Palatino Linotype" w:eastAsiaTheme="minorHAnsi" w:hAnsi="Palatino Linotype" w:cstheme="minorBidi"/>
          <w:b/>
          <w:i/>
          <w:sz w:val="22"/>
          <w:szCs w:val="22"/>
          <w:lang w:eastAsia="en-US"/>
        </w:rPr>
        <w:t>…</w:t>
      </w:r>
    </w:p>
    <w:p w14:paraId="63D7464A" w14:textId="77777777" w:rsidR="00062758" w:rsidRPr="00AB1083" w:rsidRDefault="00062758" w:rsidP="00062758">
      <w:pPr>
        <w:tabs>
          <w:tab w:val="left" w:pos="709"/>
        </w:tabs>
        <w:ind w:left="567" w:right="567"/>
        <w:jc w:val="both"/>
        <w:rPr>
          <w:rFonts w:ascii="Palatino Linotype" w:eastAsiaTheme="minorHAnsi" w:hAnsi="Palatino Linotype" w:cstheme="minorBidi"/>
          <w:i/>
          <w:sz w:val="22"/>
          <w:szCs w:val="22"/>
          <w:lang w:eastAsia="en-US"/>
        </w:rPr>
      </w:pPr>
      <w:r w:rsidRPr="00AB1083">
        <w:rPr>
          <w:rFonts w:ascii="Palatino Linotype" w:eastAsiaTheme="minorHAnsi" w:hAnsi="Palatino Linotype" w:cstheme="minorBidi"/>
          <w:b/>
          <w:i/>
          <w:sz w:val="22"/>
          <w:szCs w:val="22"/>
          <w:lang w:eastAsia="en-US"/>
        </w:rPr>
        <w:t>XXII.</w:t>
      </w:r>
      <w:r w:rsidRPr="00AB1083">
        <w:rPr>
          <w:rFonts w:ascii="Palatino Linotype" w:eastAsiaTheme="minorHAnsi" w:hAnsi="Palatino Linotype" w:cstheme="minorBidi"/>
          <w:i/>
          <w:sz w:val="22"/>
          <w:szCs w:val="22"/>
          <w:lang w:eastAsia="en-US"/>
        </w:rPr>
        <w:t xml:space="preserve"> El listado de Servidores Públicos con sanciones administrativas definitivas, especificando la causa de sanción y la disposición;</w:t>
      </w:r>
    </w:p>
    <w:p w14:paraId="54B0605F" w14:textId="77777777" w:rsidR="00062758" w:rsidRPr="00AB1083" w:rsidRDefault="00062758" w:rsidP="00062758">
      <w:pPr>
        <w:tabs>
          <w:tab w:val="left" w:pos="709"/>
        </w:tabs>
        <w:ind w:left="567" w:right="567"/>
        <w:jc w:val="both"/>
        <w:rPr>
          <w:rFonts w:ascii="Palatino Linotype" w:eastAsiaTheme="minorHAnsi" w:hAnsi="Palatino Linotype" w:cstheme="minorBidi"/>
          <w:i/>
          <w:sz w:val="22"/>
          <w:szCs w:val="22"/>
          <w:lang w:eastAsia="en-US"/>
        </w:rPr>
      </w:pPr>
    </w:p>
    <w:p w14:paraId="0D6E050A" w14:textId="77777777" w:rsidR="00062758" w:rsidRPr="00AB1083" w:rsidRDefault="00062758" w:rsidP="00062758">
      <w:pPr>
        <w:tabs>
          <w:tab w:val="left" w:pos="709"/>
        </w:tabs>
        <w:ind w:left="567" w:right="567"/>
        <w:jc w:val="both"/>
        <w:rPr>
          <w:rFonts w:ascii="Palatino Linotype" w:eastAsiaTheme="minorHAnsi" w:hAnsi="Palatino Linotype" w:cstheme="minorBidi"/>
          <w:i/>
          <w:sz w:val="22"/>
          <w:szCs w:val="22"/>
          <w:lang w:eastAsia="en-US"/>
        </w:rPr>
      </w:pPr>
    </w:p>
    <w:p w14:paraId="50C41305" w14:textId="77777777" w:rsidR="00062758" w:rsidRPr="00AB1083" w:rsidRDefault="00062758" w:rsidP="00062758">
      <w:pPr>
        <w:tabs>
          <w:tab w:val="left" w:pos="709"/>
        </w:tabs>
        <w:ind w:left="567" w:right="567"/>
        <w:jc w:val="both"/>
        <w:rPr>
          <w:rFonts w:ascii="Palatino Linotype" w:eastAsiaTheme="minorHAnsi" w:hAnsi="Palatino Linotype" w:cstheme="minorBidi"/>
          <w:i/>
          <w:sz w:val="22"/>
          <w:szCs w:val="22"/>
          <w:lang w:eastAsia="en-US"/>
        </w:rPr>
      </w:pPr>
    </w:p>
    <w:p w14:paraId="5F7BFDBA" w14:textId="2290BE5B" w:rsidR="00062758" w:rsidRPr="00AB1083" w:rsidRDefault="00062758" w:rsidP="00062758">
      <w:pPr>
        <w:tabs>
          <w:tab w:val="left" w:pos="709"/>
        </w:tabs>
        <w:spacing w:line="360" w:lineRule="auto"/>
        <w:jc w:val="both"/>
        <w:rPr>
          <w:rFonts w:ascii="Palatino Linotype" w:eastAsiaTheme="minorHAnsi" w:hAnsi="Palatino Linotype" w:cstheme="minorBidi"/>
          <w:lang w:eastAsia="en-US"/>
        </w:rPr>
      </w:pPr>
      <w:r w:rsidRPr="00AB1083">
        <w:rPr>
          <w:rFonts w:ascii="Palatino Linotype" w:eastAsiaTheme="minorHAnsi" w:hAnsi="Palatino Linotype" w:cstheme="minorBidi"/>
          <w:lang w:eastAsia="en-US"/>
        </w:rPr>
        <w:t>En tal sentido, en el supuesto de que las quejas que formen parte de expedientes formados con motivo de procedimientos administrativo</w:t>
      </w:r>
      <w:r w:rsidRPr="00AB1083">
        <w:rPr>
          <w:rFonts w:ascii="Palatino Linotype" w:eastAsiaTheme="minorHAnsi" w:hAnsi="Palatino Linotype" w:cs="Arial"/>
          <w:b/>
          <w:lang w:eastAsia="en-US"/>
        </w:rPr>
        <w:t>s</w:t>
      </w:r>
      <w:r w:rsidRPr="00AB1083">
        <w:rPr>
          <w:rFonts w:ascii="Palatino Linotype" w:eastAsiaTheme="minorHAnsi" w:hAnsi="Palatino Linotype" w:cstheme="minorBidi"/>
          <w:lang w:eastAsia="en-US"/>
        </w:rPr>
        <w:t xml:space="preserve"> se ajusten a las hipótesis establecidos en los artículos de referencia, es decir que en los expedientes en referencia </w:t>
      </w:r>
      <w:r w:rsidRPr="00AB1083">
        <w:rPr>
          <w:rFonts w:ascii="Palatino Linotype" w:eastAsiaTheme="minorHAnsi" w:hAnsi="Palatino Linotype" w:cstheme="minorBidi"/>
          <w:b/>
          <w:lang w:eastAsia="en-US"/>
        </w:rPr>
        <w:t>contengan resolución con sanción  por responsabilidad administrativa por motivo de una faltas administrativas graves, y la misma hayan causado estado,</w:t>
      </w:r>
      <w:r w:rsidRPr="00AB1083">
        <w:rPr>
          <w:rFonts w:ascii="Palatino Linotype" w:eastAsiaTheme="minorHAnsi" w:hAnsi="Palatino Linotype" w:cstheme="minorBidi"/>
          <w:lang w:eastAsia="en-US"/>
        </w:rPr>
        <w:t xml:space="preserve"> </w:t>
      </w:r>
      <w:r w:rsidRPr="00AB1083">
        <w:rPr>
          <w:rFonts w:ascii="Palatino Linotype" w:eastAsiaTheme="minorHAnsi" w:hAnsi="Palatino Linotype" w:cstheme="minorBidi"/>
          <w:b/>
          <w:lang w:eastAsia="en-US"/>
        </w:rPr>
        <w:t xml:space="preserve">debe ser considerado como información pública, </w:t>
      </w:r>
      <w:r w:rsidRPr="00AB1083">
        <w:rPr>
          <w:rFonts w:ascii="Palatino Linotype" w:eastAsiaTheme="minorHAnsi" w:hAnsi="Palatino Linotype" w:cstheme="minorBidi"/>
          <w:lang w:eastAsia="en-US"/>
        </w:rPr>
        <w:t>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derivado de la solicitudes de acceso de referencia, siempre que dichas sanciones se encuentren firmes.</w:t>
      </w:r>
    </w:p>
    <w:p w14:paraId="69B9C7CF" w14:textId="77777777" w:rsidR="00221008" w:rsidRPr="00AB1083" w:rsidRDefault="00221008" w:rsidP="00221008">
      <w:pPr>
        <w:spacing w:line="360" w:lineRule="auto"/>
        <w:jc w:val="both"/>
        <w:rPr>
          <w:rFonts w:ascii="Palatino Linotype" w:hAnsi="Palatino Linotype" w:cs="Calibri"/>
          <w:szCs w:val="22"/>
          <w:lang w:eastAsia="es-MX"/>
        </w:rPr>
      </w:pPr>
    </w:p>
    <w:p w14:paraId="17334863" w14:textId="3ED242CA" w:rsidR="00221008" w:rsidRPr="00AB1083" w:rsidRDefault="00221008" w:rsidP="00221008">
      <w:pPr>
        <w:tabs>
          <w:tab w:val="left" w:pos="709"/>
        </w:tabs>
        <w:spacing w:line="360" w:lineRule="auto"/>
        <w:jc w:val="both"/>
        <w:rPr>
          <w:rFonts w:ascii="Palatino Linotype" w:hAnsi="Palatino Linotype" w:cs="Calibri"/>
          <w:szCs w:val="22"/>
          <w:lang w:eastAsia="es-MX"/>
        </w:rPr>
      </w:pPr>
      <w:r w:rsidRPr="00AB1083">
        <w:rPr>
          <w:rFonts w:ascii="Palatino Linotype" w:hAnsi="Palatino Linotype" w:cs="Calibri"/>
          <w:szCs w:val="22"/>
          <w:lang w:eastAsia="es-MX"/>
        </w:rPr>
        <w:t xml:space="preserve">Consecuentemente, es que, de ser el caso, el </w:t>
      </w:r>
      <w:r w:rsidRPr="00AB1083">
        <w:rPr>
          <w:rFonts w:ascii="Palatino Linotype" w:hAnsi="Palatino Linotype" w:cs="Calibri"/>
          <w:b/>
          <w:szCs w:val="22"/>
          <w:lang w:eastAsia="es-MX"/>
        </w:rPr>
        <w:t>Sujeto Obligado</w:t>
      </w:r>
      <w:r w:rsidRPr="00AB1083">
        <w:rPr>
          <w:rFonts w:ascii="Palatino Linotype" w:hAnsi="Palatino Linotype" w:cs="Calibri"/>
          <w:szCs w:val="22"/>
          <w:lang w:eastAsia="es-MX"/>
        </w:rPr>
        <w:t xml:space="preserve"> deberá hacer entrega de las quejas o denuncias que formen parte de los expedientes iniciados por presunta responsabilidad administrativa que se relacionen con actos de corrupción, delitos de lesa humanidad o posibles violaciones graves a derechos humanos, instaurados en contra de la servidora pública referida en la solicitud de información</w:t>
      </w:r>
      <w:r w:rsidR="00062758" w:rsidRPr="00AB1083">
        <w:rPr>
          <w:rFonts w:ascii="Palatino Linotype" w:hAnsi="Palatino Linotype" w:cs="Calibri"/>
          <w:szCs w:val="22"/>
          <w:lang w:eastAsia="es-MX"/>
        </w:rPr>
        <w:t xml:space="preserve"> </w:t>
      </w:r>
      <w:r w:rsidRPr="00AB1083">
        <w:rPr>
          <w:rFonts w:ascii="Palatino Linotype" w:hAnsi="Palatino Linotype" w:cs="Calibri"/>
          <w:szCs w:val="22"/>
          <w:lang w:eastAsia="es-MX"/>
        </w:rPr>
        <w:t xml:space="preserve">número </w:t>
      </w:r>
      <w:r w:rsidR="00062758" w:rsidRPr="00AB1083">
        <w:rPr>
          <w:rFonts w:ascii="Palatino Linotype" w:hAnsi="Palatino Linotype" w:cs="Calibri"/>
          <w:b/>
          <w:szCs w:val="22"/>
          <w:lang w:eastAsia="es-MX"/>
        </w:rPr>
        <w:t>00154/SECTI/IP/2025</w:t>
      </w:r>
      <w:r w:rsidRPr="00AB1083">
        <w:rPr>
          <w:rFonts w:ascii="Palatino Linotype" w:hAnsi="Palatino Linotype" w:cs="Calibri"/>
          <w:szCs w:val="22"/>
          <w:lang w:eastAsia="es-MX"/>
        </w:rPr>
        <w:t xml:space="preserve">, </w:t>
      </w:r>
      <w:r w:rsidRPr="00AB1083">
        <w:rPr>
          <w:rFonts w:ascii="Palatino Linotype" w:hAnsi="Palatino Linotype"/>
          <w:szCs w:val="22"/>
          <w:lang w:eastAsia="en-US"/>
        </w:rPr>
        <w:t>en versión pública de ser procedente en la que se eliminen en su caso datos de terceros,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256CBEEE" w14:textId="77777777" w:rsidR="00221008" w:rsidRPr="00AB1083" w:rsidRDefault="00221008" w:rsidP="00221008">
      <w:pPr>
        <w:tabs>
          <w:tab w:val="left" w:pos="709"/>
        </w:tabs>
        <w:spacing w:line="360" w:lineRule="auto"/>
        <w:jc w:val="both"/>
        <w:rPr>
          <w:rFonts w:ascii="Palatino Linotype" w:hAnsi="Palatino Linotype"/>
          <w:szCs w:val="22"/>
          <w:lang w:eastAsia="en-US"/>
        </w:rPr>
      </w:pPr>
    </w:p>
    <w:p w14:paraId="57E57671" w14:textId="140D81B3" w:rsidR="00221008" w:rsidRPr="00AB1083" w:rsidRDefault="00221008" w:rsidP="00221008">
      <w:pPr>
        <w:tabs>
          <w:tab w:val="left" w:pos="709"/>
        </w:tabs>
        <w:spacing w:line="360" w:lineRule="auto"/>
        <w:jc w:val="both"/>
        <w:rPr>
          <w:rFonts w:ascii="Palatino Linotype" w:hAnsi="Palatino Linotype"/>
          <w:szCs w:val="22"/>
          <w:lang w:eastAsia="en-US"/>
        </w:rPr>
      </w:pPr>
      <w:r w:rsidRPr="00AB1083">
        <w:rPr>
          <w:rFonts w:ascii="Palatino Linotype" w:hAnsi="Palatino Linotype"/>
          <w:szCs w:val="22"/>
          <w:lang w:eastAsia="en-US"/>
        </w:rPr>
        <w:t>Empero, en el supuesto de que no exista dicha información por no haberse generado, bastará con que así lo haga del conocimiento de</w:t>
      </w:r>
      <w:r w:rsidR="00062758" w:rsidRPr="00AB1083">
        <w:rPr>
          <w:rFonts w:ascii="Palatino Linotype" w:hAnsi="Palatino Linotype"/>
          <w:szCs w:val="22"/>
          <w:lang w:eastAsia="en-US"/>
        </w:rPr>
        <w:t xml:space="preserve"> la</w:t>
      </w:r>
      <w:r w:rsidRPr="00AB1083">
        <w:rPr>
          <w:rFonts w:ascii="Palatino Linotype" w:hAnsi="Palatino Linotype"/>
          <w:szCs w:val="22"/>
          <w:lang w:eastAsia="en-US"/>
        </w:rPr>
        <w:t xml:space="preserve"> </w:t>
      </w:r>
      <w:r w:rsidRPr="00AB1083">
        <w:rPr>
          <w:rFonts w:ascii="Palatino Linotype" w:hAnsi="Palatino Linotype"/>
          <w:b/>
          <w:szCs w:val="22"/>
          <w:lang w:eastAsia="en-US"/>
        </w:rPr>
        <w:t>Recurrente</w:t>
      </w:r>
      <w:r w:rsidRPr="00AB1083">
        <w:rPr>
          <w:rFonts w:ascii="Palatino Linotype" w:hAnsi="Palatino Linotype"/>
          <w:szCs w:val="22"/>
          <w:lang w:eastAsia="en-US"/>
        </w:rPr>
        <w:t xml:space="preserve"> en términos del segundo párrafo del artículo 19 de la Ley de Transparencia local.</w:t>
      </w:r>
    </w:p>
    <w:p w14:paraId="39680131" w14:textId="77777777" w:rsidR="000315E6" w:rsidRPr="00AB1083" w:rsidRDefault="000315E6" w:rsidP="00221008">
      <w:pPr>
        <w:tabs>
          <w:tab w:val="left" w:pos="709"/>
        </w:tabs>
        <w:spacing w:line="360" w:lineRule="auto"/>
        <w:jc w:val="both"/>
        <w:rPr>
          <w:rFonts w:ascii="Palatino Linotype" w:hAnsi="Palatino Linotype"/>
          <w:szCs w:val="22"/>
          <w:lang w:eastAsia="en-US"/>
        </w:rPr>
      </w:pPr>
    </w:p>
    <w:p w14:paraId="28CC6279" w14:textId="77777777" w:rsidR="000E7652" w:rsidRPr="00AB1083" w:rsidRDefault="000E7652" w:rsidP="000E7652">
      <w:pPr>
        <w:numPr>
          <w:ilvl w:val="0"/>
          <w:numId w:val="46"/>
        </w:numPr>
        <w:tabs>
          <w:tab w:val="left" w:pos="709"/>
        </w:tabs>
        <w:spacing w:line="360" w:lineRule="auto"/>
        <w:jc w:val="both"/>
        <w:rPr>
          <w:rFonts w:ascii="Palatino Linotype" w:hAnsi="Palatino Linotype" w:cs="Palatino Linotype"/>
          <w:b/>
          <w:i/>
          <w:sz w:val="28"/>
          <w:szCs w:val="22"/>
          <w:lang w:eastAsia="es-MX"/>
        </w:rPr>
      </w:pPr>
      <w:r w:rsidRPr="00AB1083">
        <w:rPr>
          <w:rFonts w:ascii="Palatino Linotype" w:hAnsi="Palatino Linotype" w:cs="Palatino Linotype"/>
          <w:b/>
          <w:i/>
          <w:sz w:val="28"/>
          <w:szCs w:val="22"/>
          <w:lang w:eastAsia="es-MX"/>
        </w:rPr>
        <w:t xml:space="preserve">DE LA VERSIÓN PÚBLICA. </w:t>
      </w:r>
    </w:p>
    <w:p w14:paraId="43EA93B3" w14:textId="77777777" w:rsidR="000E7652" w:rsidRPr="00AB1083" w:rsidRDefault="000E7652" w:rsidP="000E7652">
      <w:pPr>
        <w:tabs>
          <w:tab w:val="left" w:pos="709"/>
        </w:tabs>
        <w:spacing w:line="360" w:lineRule="auto"/>
        <w:jc w:val="both"/>
        <w:rPr>
          <w:rFonts w:ascii="Palatino Linotype" w:hAnsi="Palatino Linotype" w:cs="Palatino Linotype"/>
          <w:szCs w:val="22"/>
          <w:lang w:eastAsia="es-MX"/>
        </w:rPr>
      </w:pPr>
      <w:r w:rsidRPr="00AB1083">
        <w:rPr>
          <w:rFonts w:ascii="Palatino Linotype" w:hAnsi="Palatino Linotype" w:cs="Palatino Linotype"/>
          <w:szCs w:val="22"/>
          <w:lang w:eastAsia="es-MX"/>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AB1083">
        <w:rPr>
          <w:rFonts w:ascii="Palatino Linotype" w:hAnsi="Palatino Linotype" w:cs="Palatino Linotype"/>
          <w:b/>
          <w:szCs w:val="22"/>
          <w:lang w:eastAsia="es-MX"/>
        </w:rPr>
        <w:t>Sujeto Obligado</w:t>
      </w:r>
      <w:r w:rsidRPr="00AB1083">
        <w:rPr>
          <w:rFonts w:ascii="Palatino Linotype" w:hAnsi="Palatino Linotype" w:cs="Palatino Linotype"/>
          <w:szCs w:val="22"/>
          <w:lang w:eastAsia="es-MX"/>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19310868" w14:textId="77777777" w:rsidR="000E7652" w:rsidRPr="00AB1083" w:rsidRDefault="000E7652" w:rsidP="000E7652">
      <w:pPr>
        <w:tabs>
          <w:tab w:val="left" w:pos="709"/>
        </w:tabs>
        <w:spacing w:line="360" w:lineRule="auto"/>
        <w:jc w:val="both"/>
        <w:rPr>
          <w:rFonts w:ascii="Palatino Linotype" w:hAnsi="Palatino Linotype" w:cs="Palatino Linotype"/>
          <w:sz w:val="22"/>
          <w:szCs w:val="22"/>
          <w:lang w:eastAsia="es-MX"/>
        </w:rPr>
      </w:pPr>
    </w:p>
    <w:p w14:paraId="091C311C"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i/>
          <w:sz w:val="22"/>
          <w:szCs w:val="22"/>
          <w:lang w:eastAsia="es-MX"/>
        </w:rPr>
        <w:t>“</w:t>
      </w:r>
      <w:r w:rsidRPr="00AB1083">
        <w:rPr>
          <w:rFonts w:ascii="Palatino Linotype" w:hAnsi="Palatino Linotype" w:cs="Palatino Linotype"/>
          <w:b/>
          <w:i/>
          <w:sz w:val="22"/>
          <w:szCs w:val="22"/>
          <w:lang w:eastAsia="es-MX"/>
        </w:rPr>
        <w:t>Artículo 3.</w:t>
      </w:r>
      <w:r w:rsidRPr="00AB1083">
        <w:rPr>
          <w:rFonts w:ascii="Palatino Linotype" w:hAnsi="Palatino Linotype" w:cs="Palatino Linotype"/>
          <w:i/>
          <w:sz w:val="22"/>
          <w:szCs w:val="22"/>
          <w:lang w:eastAsia="es-MX"/>
        </w:rPr>
        <w:t xml:space="preserve"> Para los efectos de la presente Ley se entenderá por:…</w:t>
      </w:r>
    </w:p>
    <w:p w14:paraId="1994C2E9"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XX.</w:t>
      </w:r>
      <w:r w:rsidRPr="00AB1083">
        <w:rPr>
          <w:rFonts w:ascii="Palatino Linotype" w:hAnsi="Palatino Linotype" w:cs="Palatino Linotype"/>
          <w:i/>
          <w:sz w:val="22"/>
          <w:szCs w:val="22"/>
          <w:lang w:eastAsia="es-MX"/>
        </w:rPr>
        <w:t xml:space="preserve"> Información clasificada: Aquella considerada por la presente Ley como reservada o confidencial; </w:t>
      </w:r>
    </w:p>
    <w:p w14:paraId="7B061FE9"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p>
    <w:p w14:paraId="3503217C"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XXI.</w:t>
      </w:r>
      <w:r w:rsidRPr="00AB1083">
        <w:rPr>
          <w:rFonts w:ascii="Palatino Linotype" w:hAnsi="Palatino Linotype" w:cs="Palatino Linotype"/>
          <w:i/>
          <w:sz w:val="22"/>
          <w:szCs w:val="22"/>
          <w:lang w:eastAsia="es-MX"/>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42864FE"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i/>
          <w:sz w:val="22"/>
          <w:szCs w:val="22"/>
          <w:lang w:eastAsia="es-MX"/>
        </w:rPr>
        <w:t>…</w:t>
      </w:r>
    </w:p>
    <w:p w14:paraId="2CB74109"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XXXIV</w:t>
      </w:r>
      <w:r w:rsidRPr="00AB1083">
        <w:rPr>
          <w:rFonts w:ascii="Palatino Linotype" w:hAnsi="Palatino Linotype" w:cs="Palatino Linotype"/>
          <w:i/>
          <w:sz w:val="22"/>
          <w:szCs w:val="22"/>
          <w:lang w:eastAsia="es-MX"/>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0D46CB2B"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i/>
          <w:sz w:val="22"/>
          <w:szCs w:val="22"/>
          <w:lang w:eastAsia="es-MX"/>
        </w:rPr>
        <w:t>…</w:t>
      </w:r>
    </w:p>
    <w:p w14:paraId="6FECDC60"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XLV.</w:t>
      </w:r>
      <w:r w:rsidRPr="00AB1083">
        <w:rPr>
          <w:rFonts w:ascii="Palatino Linotype" w:hAnsi="Palatino Linotype" w:cs="Palatino Linotype"/>
          <w:i/>
          <w:sz w:val="22"/>
          <w:szCs w:val="22"/>
          <w:lang w:eastAsia="es-MX"/>
        </w:rPr>
        <w:t xml:space="preserve"> Versión pública: Documento en el que se elimine, suprime o borra la información clasificada como reservada o confidencial para permitir su acceso</w:t>
      </w:r>
    </w:p>
    <w:p w14:paraId="6CCF5212"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p>
    <w:p w14:paraId="688C7ED6"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Artículo 91.</w:t>
      </w:r>
      <w:r w:rsidRPr="00AB1083">
        <w:rPr>
          <w:rFonts w:ascii="Palatino Linotype" w:hAnsi="Palatino Linotype" w:cs="Palatino Linotype"/>
          <w:i/>
          <w:sz w:val="22"/>
          <w:szCs w:val="22"/>
          <w:lang w:eastAsia="es-MX"/>
        </w:rPr>
        <w:t xml:space="preserve"> El acceso a la información pública será restringido excepcionalmente, cuando ésta sea clasificada como reservada o confidencial.</w:t>
      </w:r>
    </w:p>
    <w:p w14:paraId="70EAD325"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Artículo 122.</w:t>
      </w:r>
      <w:r w:rsidRPr="00AB1083">
        <w:rPr>
          <w:rFonts w:ascii="Palatino Linotype" w:hAnsi="Palatino Linotype" w:cs="Palatino Linotype"/>
          <w:i/>
          <w:sz w:val="22"/>
          <w:szCs w:val="22"/>
          <w:lang w:eastAsia="es-MX"/>
        </w:rPr>
        <w:t xml:space="preserve"> La clasificación es el proceso mediante el cual el sujeto obligado determina que la información en su poder actualiza alguno de los supuestos de reserva o confidencialidad, de conformidad con lo dispuesto en el presente título.</w:t>
      </w:r>
    </w:p>
    <w:p w14:paraId="7BB338DC"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p>
    <w:p w14:paraId="25994B08"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i/>
          <w:sz w:val="22"/>
          <w:szCs w:val="22"/>
          <w:lang w:eastAsia="es-MX"/>
        </w:rPr>
        <w:t>Los supuestos de reserva o confidencialidad previstos en las leyes deberán ser acordes con las bases, principios y disposiciones establecidos en la Ley General y, en ningún caso, podrán contravenirla.</w:t>
      </w:r>
    </w:p>
    <w:p w14:paraId="04E0362B"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p>
    <w:p w14:paraId="288AD54E"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i/>
          <w:sz w:val="22"/>
          <w:szCs w:val="22"/>
          <w:lang w:eastAsia="es-MX"/>
        </w:rPr>
        <w:t>Los titulares de las áreas de los sujetos obligados serán los responsables de clasificar la información, de conformidad con lo dispuesto en la presente Ley y demás disposiciones jurídicas aplicables</w:t>
      </w:r>
    </w:p>
    <w:p w14:paraId="7125E853"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p>
    <w:p w14:paraId="564EB3EF"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Artículo 135.</w:t>
      </w:r>
      <w:r w:rsidRPr="00AB1083">
        <w:rPr>
          <w:rFonts w:ascii="Palatino Linotype" w:hAnsi="Palatino Linotype" w:cs="Palatino Linotype"/>
          <w:i/>
          <w:sz w:val="22"/>
          <w:szCs w:val="22"/>
          <w:lang w:eastAsia="es-MX"/>
        </w:rPr>
        <w:t xml:space="preserve"> Los lineamientos generales que se emitan al respecto en materia de clasificación de la información reservada y confidencial y, para la elaboración de versiones públicas, serán de observancia obligatoria para los sujetos obligados.</w:t>
      </w:r>
    </w:p>
    <w:p w14:paraId="2459B45D"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p>
    <w:p w14:paraId="206913C7"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r w:rsidRPr="00AB1083">
        <w:rPr>
          <w:rFonts w:ascii="Palatino Linotype" w:hAnsi="Palatino Linotype" w:cs="Palatino Linotype"/>
          <w:b/>
          <w:i/>
          <w:sz w:val="22"/>
          <w:szCs w:val="22"/>
          <w:lang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A287169"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p>
    <w:p w14:paraId="7C93CB37"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Artículo 143</w:t>
      </w:r>
      <w:r w:rsidRPr="00AB1083">
        <w:rPr>
          <w:rFonts w:ascii="Palatino Linotype" w:hAnsi="Palatino Linotype" w:cs="Palatino Linotype"/>
          <w:i/>
          <w:sz w:val="22"/>
          <w:szCs w:val="22"/>
          <w:lang w:eastAsia="es-MX"/>
        </w:rPr>
        <w:t>. Para los efectos de esta Ley se considera información confidencial, la clasificada como tal, de manera permanente, por su naturaleza, cuando:</w:t>
      </w:r>
    </w:p>
    <w:p w14:paraId="4CE809C5" w14:textId="77777777" w:rsidR="000E7652" w:rsidRPr="00AB1083" w:rsidRDefault="000E7652" w:rsidP="000E7652">
      <w:pPr>
        <w:tabs>
          <w:tab w:val="left" w:pos="709"/>
        </w:tabs>
        <w:spacing w:after="240"/>
        <w:ind w:left="567" w:right="567"/>
        <w:jc w:val="both"/>
        <w:rPr>
          <w:rFonts w:ascii="Palatino Linotype" w:hAnsi="Palatino Linotype" w:cs="Palatino Linotype"/>
          <w:b/>
          <w:i/>
          <w:sz w:val="22"/>
          <w:szCs w:val="22"/>
          <w:lang w:eastAsia="es-MX"/>
        </w:rPr>
      </w:pPr>
      <w:r w:rsidRPr="00AB1083">
        <w:rPr>
          <w:rFonts w:ascii="Palatino Linotype" w:hAnsi="Palatino Linotype" w:cs="Palatino Linotype"/>
          <w:b/>
          <w:i/>
          <w:sz w:val="22"/>
          <w:szCs w:val="22"/>
          <w:lang w:eastAsia="es-MX"/>
        </w:rPr>
        <w:t xml:space="preserve">I. Se refiera a la información privada y los datos personales concernientes a una persona física o jurídica colectiva identificada o identificable; </w:t>
      </w:r>
    </w:p>
    <w:p w14:paraId="7CCBB017"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II.</w:t>
      </w:r>
      <w:r w:rsidRPr="00AB1083">
        <w:rPr>
          <w:rFonts w:ascii="Palatino Linotype" w:hAnsi="Palatino Linotype" w:cs="Palatino Linotype"/>
          <w:i/>
          <w:sz w:val="22"/>
          <w:szCs w:val="22"/>
          <w:lang w:eastAsia="es-MX"/>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2D2F6748"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III.</w:t>
      </w:r>
      <w:r w:rsidRPr="00AB1083">
        <w:rPr>
          <w:rFonts w:ascii="Palatino Linotype" w:hAnsi="Palatino Linotype" w:cs="Palatino Linotype"/>
          <w:i/>
          <w:sz w:val="22"/>
          <w:szCs w:val="22"/>
          <w:lang w:eastAsia="es-MX"/>
        </w:rPr>
        <w:t xml:space="preserve"> La que presenten los particulares a los sujetos obligados, de conformidad con lo dispuesto por las leyes o los tratados internacionales.</w:t>
      </w:r>
    </w:p>
    <w:p w14:paraId="0E99F1A0"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i/>
          <w:sz w:val="22"/>
          <w:szCs w:val="22"/>
          <w:lang w:eastAsia="es-MX"/>
        </w:rPr>
        <w:t>La información confidencial no estará sujeta a temporalidad alguna y sólo podrán tener acceso a ella los titulares de la misma, sus representantes y los servidores públicos facultados para ello.</w:t>
      </w:r>
    </w:p>
    <w:p w14:paraId="42D75101"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i/>
          <w:sz w:val="22"/>
          <w:szCs w:val="22"/>
          <w:lang w:eastAsia="es-MX"/>
        </w:rPr>
        <w:t>No se considerará confidencial la información que se encuentre en los registros públicos o en fuentes de acceso público, ni tampoco la que sea considerada por la presente ley como información pública.</w:t>
      </w:r>
    </w:p>
    <w:p w14:paraId="594B70F3"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p>
    <w:p w14:paraId="3E38EF19"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r w:rsidRPr="00AB1083">
        <w:rPr>
          <w:rFonts w:ascii="Palatino Linotype" w:hAnsi="Palatino Linotype" w:cs="Palatino Linotype"/>
          <w:b/>
          <w:i/>
          <w:sz w:val="22"/>
          <w:szCs w:val="22"/>
          <w:lang w:eastAsia="es-MX"/>
        </w:rPr>
        <w:t>Artículo 147. Para que los sujetos obligados puedan permitir el acceso a información confidencial requieren obtener el consentimiento de los particulares titulares de la información.</w:t>
      </w:r>
    </w:p>
    <w:p w14:paraId="29395D3D"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p>
    <w:p w14:paraId="18BAA7C2"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Artículo 148.</w:t>
      </w:r>
      <w:r w:rsidRPr="00AB1083">
        <w:rPr>
          <w:rFonts w:ascii="Palatino Linotype" w:hAnsi="Palatino Linotype" w:cs="Palatino Linotype"/>
          <w:i/>
          <w:sz w:val="22"/>
          <w:szCs w:val="22"/>
          <w:lang w:eastAsia="es-MX"/>
        </w:rPr>
        <w:t xml:space="preserve"> No se requerirá el consentimiento del titular de la información confidencial cuando:</w:t>
      </w:r>
    </w:p>
    <w:p w14:paraId="4BC2729A"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I.</w:t>
      </w:r>
      <w:r w:rsidRPr="00AB1083">
        <w:rPr>
          <w:rFonts w:ascii="Palatino Linotype" w:hAnsi="Palatino Linotype" w:cs="Palatino Linotype"/>
          <w:i/>
          <w:sz w:val="22"/>
          <w:szCs w:val="22"/>
          <w:lang w:eastAsia="es-MX"/>
        </w:rPr>
        <w:t xml:space="preserve"> La información se encuentre en registros públicos o fuentes de acceso público;</w:t>
      </w:r>
    </w:p>
    <w:p w14:paraId="7DB34F77"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II.</w:t>
      </w:r>
      <w:r w:rsidRPr="00AB1083">
        <w:rPr>
          <w:rFonts w:ascii="Palatino Linotype" w:hAnsi="Palatino Linotype" w:cs="Palatino Linotype"/>
          <w:i/>
          <w:sz w:val="22"/>
          <w:szCs w:val="22"/>
          <w:lang w:eastAsia="es-MX"/>
        </w:rPr>
        <w:t xml:space="preserve"> Por Ley tenga el carácter de pública;</w:t>
      </w:r>
    </w:p>
    <w:p w14:paraId="62FC7A0B"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III</w:t>
      </w:r>
      <w:r w:rsidRPr="00AB1083">
        <w:rPr>
          <w:rFonts w:ascii="Palatino Linotype" w:hAnsi="Palatino Linotype" w:cs="Palatino Linotype"/>
          <w:i/>
          <w:sz w:val="22"/>
          <w:szCs w:val="22"/>
          <w:lang w:eastAsia="es-MX"/>
        </w:rPr>
        <w:t>. Exista una orden judicial;</w:t>
      </w:r>
    </w:p>
    <w:p w14:paraId="0AE2F4E8"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IV.</w:t>
      </w:r>
      <w:r w:rsidRPr="00AB1083">
        <w:rPr>
          <w:rFonts w:ascii="Palatino Linotype" w:hAnsi="Palatino Linotype" w:cs="Palatino Linotype"/>
          <w:i/>
          <w:sz w:val="22"/>
          <w:szCs w:val="22"/>
          <w:lang w:eastAsia="es-MX"/>
        </w:rPr>
        <w:t xml:space="preserve"> Por razones de seguridad pública, o para proteger los derechos de terceros, se requiera su publicación; o</w:t>
      </w:r>
    </w:p>
    <w:p w14:paraId="3FDA13E4" w14:textId="77777777" w:rsidR="000E7652" w:rsidRPr="00AB1083" w:rsidRDefault="000E7652" w:rsidP="000E7652">
      <w:pPr>
        <w:tabs>
          <w:tab w:val="left" w:pos="709"/>
        </w:tabs>
        <w:spacing w:after="240"/>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V.</w:t>
      </w:r>
      <w:r w:rsidRPr="00AB1083">
        <w:rPr>
          <w:rFonts w:ascii="Palatino Linotype" w:hAnsi="Palatino Linotype" w:cs="Palatino Linotype"/>
          <w:i/>
          <w:sz w:val="22"/>
          <w:szCs w:val="22"/>
          <w:lang w:eastAsia="es-MX"/>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2C39E0BB"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p>
    <w:p w14:paraId="436F23AD"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i/>
          <w:sz w:val="22"/>
          <w:szCs w:val="22"/>
          <w:lang w:eastAsia="es-MX"/>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19B8711A" w14:textId="77777777" w:rsidR="000E7652" w:rsidRPr="00AB1083" w:rsidRDefault="000E7652" w:rsidP="000E7652">
      <w:pPr>
        <w:tabs>
          <w:tab w:val="left" w:pos="709"/>
        </w:tabs>
        <w:ind w:left="567" w:right="567"/>
        <w:jc w:val="both"/>
        <w:rPr>
          <w:rFonts w:ascii="Palatino Linotype" w:hAnsi="Palatino Linotype" w:cs="Palatino Linotype"/>
          <w:b/>
          <w:i/>
          <w:sz w:val="22"/>
          <w:szCs w:val="22"/>
          <w:lang w:eastAsia="es-MX"/>
        </w:rPr>
      </w:pPr>
    </w:p>
    <w:p w14:paraId="53D7B056" w14:textId="77777777" w:rsidR="000E7652" w:rsidRPr="00AB1083" w:rsidRDefault="000E7652" w:rsidP="000E7652">
      <w:pPr>
        <w:tabs>
          <w:tab w:val="left" w:pos="709"/>
        </w:tabs>
        <w:ind w:left="567" w:right="567"/>
        <w:jc w:val="both"/>
        <w:rPr>
          <w:rFonts w:ascii="Palatino Linotype" w:hAnsi="Palatino Linotype" w:cs="Palatino Linotype"/>
          <w:i/>
          <w:sz w:val="22"/>
          <w:szCs w:val="22"/>
          <w:lang w:eastAsia="es-MX"/>
        </w:rPr>
      </w:pPr>
      <w:r w:rsidRPr="00AB1083">
        <w:rPr>
          <w:rFonts w:ascii="Palatino Linotype" w:hAnsi="Palatino Linotype" w:cs="Palatino Linotype"/>
          <w:b/>
          <w:i/>
          <w:sz w:val="22"/>
          <w:szCs w:val="22"/>
          <w:lang w:eastAsia="es-MX"/>
        </w:rPr>
        <w:t>Artículo 149.</w:t>
      </w:r>
      <w:r w:rsidRPr="00AB1083">
        <w:rPr>
          <w:rFonts w:ascii="Palatino Linotype" w:hAnsi="Palatino Linotype" w:cs="Palatino Linotype"/>
          <w:i/>
          <w:sz w:val="22"/>
          <w:szCs w:val="22"/>
          <w:lang w:eastAsia="es-MX"/>
        </w:rPr>
        <w:t xml:space="preserve"> El acuerdo que clasifique la información como confidencial deberá contener un razonamiento lógico en el que demuestre que la información se encuentra en alguna o algunas de las hipótesis previstas en la presente Ley.” (Sic)</w:t>
      </w:r>
    </w:p>
    <w:p w14:paraId="1494AE6F" w14:textId="77777777" w:rsidR="000E7652" w:rsidRPr="00AB1083" w:rsidRDefault="000E7652" w:rsidP="000E7652">
      <w:pPr>
        <w:spacing w:line="360" w:lineRule="auto"/>
        <w:ind w:right="49"/>
        <w:jc w:val="both"/>
        <w:rPr>
          <w:rFonts w:ascii="Palatino Linotype" w:hAnsi="Palatino Linotype" w:cs="Palatino Linotype"/>
          <w:sz w:val="22"/>
          <w:szCs w:val="22"/>
          <w:lang w:eastAsia="es-MX"/>
        </w:rPr>
      </w:pPr>
    </w:p>
    <w:p w14:paraId="26F48DFA" w14:textId="77777777" w:rsidR="000E7652" w:rsidRPr="00AB1083" w:rsidRDefault="000E7652" w:rsidP="000E7652">
      <w:pPr>
        <w:spacing w:line="360" w:lineRule="auto"/>
        <w:jc w:val="both"/>
        <w:rPr>
          <w:rFonts w:ascii="Palatino Linotype" w:hAnsi="Palatino Linotype" w:cs="Palatino Linotype"/>
          <w:szCs w:val="22"/>
          <w:lang w:eastAsia="es-MX"/>
        </w:rPr>
      </w:pPr>
      <w:r w:rsidRPr="00AB1083">
        <w:rPr>
          <w:rFonts w:ascii="Palatino Linotype" w:hAnsi="Palatino Linotype" w:cs="Palatino Linotype"/>
          <w:szCs w:val="22"/>
          <w:lang w:eastAsia="es-MX"/>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771C34E7" w14:textId="77777777" w:rsidR="000E7652" w:rsidRPr="00AB1083" w:rsidRDefault="000E7652" w:rsidP="000E7652">
      <w:pPr>
        <w:spacing w:line="360" w:lineRule="auto"/>
        <w:jc w:val="both"/>
        <w:rPr>
          <w:rFonts w:ascii="Palatino Linotype" w:hAnsi="Palatino Linotype" w:cs="Palatino Linotype"/>
          <w:szCs w:val="22"/>
          <w:lang w:eastAsia="es-MX"/>
        </w:rPr>
      </w:pPr>
    </w:p>
    <w:p w14:paraId="0EF76566" w14:textId="1DD10792" w:rsidR="000E7652" w:rsidRPr="00AB1083" w:rsidRDefault="000E7652" w:rsidP="000E7652">
      <w:pPr>
        <w:spacing w:line="360" w:lineRule="auto"/>
        <w:jc w:val="both"/>
        <w:rPr>
          <w:rFonts w:ascii="Palatino Linotype" w:hAnsi="Palatino Linotype" w:cs="Palatino Linotype"/>
          <w:szCs w:val="22"/>
          <w:lang w:eastAsia="es-MX"/>
        </w:rPr>
      </w:pPr>
      <w:r w:rsidRPr="00AB1083">
        <w:rPr>
          <w:rFonts w:ascii="Palatino Linotype" w:hAnsi="Palatino Linotype" w:cs="Palatino Linotype"/>
          <w:szCs w:val="22"/>
          <w:lang w:eastAsia="es-MX"/>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4AEC42B8" w14:textId="77777777" w:rsidR="000E7652" w:rsidRPr="00AB1083" w:rsidRDefault="000E7652" w:rsidP="000E7652">
      <w:pPr>
        <w:spacing w:line="360" w:lineRule="auto"/>
        <w:jc w:val="both"/>
        <w:rPr>
          <w:rFonts w:ascii="Palatino Linotype" w:hAnsi="Palatino Linotype" w:cs="Palatino Linotype"/>
          <w:szCs w:val="22"/>
          <w:lang w:eastAsia="es-MX"/>
        </w:rPr>
      </w:pPr>
    </w:p>
    <w:p w14:paraId="760425A9" w14:textId="38F3D819" w:rsidR="000E7652" w:rsidRPr="00AB1083" w:rsidRDefault="000E7652" w:rsidP="000E7652">
      <w:pPr>
        <w:shd w:val="clear" w:color="auto" w:fill="FFFFFF"/>
        <w:spacing w:line="360" w:lineRule="auto"/>
        <w:ind w:right="51"/>
        <w:jc w:val="both"/>
        <w:rPr>
          <w:rFonts w:ascii="Palatino Linotype" w:hAnsi="Palatino Linotype" w:cs="Palatino Linotype"/>
          <w:szCs w:val="22"/>
          <w:lang w:eastAsia="es-MX"/>
        </w:rPr>
      </w:pPr>
      <w:r w:rsidRPr="00AB1083">
        <w:rPr>
          <w:rFonts w:ascii="Palatino Linotype" w:hAnsi="Palatino Linotype" w:cs="Palatino Linotype"/>
          <w:szCs w:val="22"/>
          <w:lang w:eastAsia="es-MX"/>
        </w:rPr>
        <w:t xml:space="preserve">Por lo tanto, la entrega de documentos en su versión pública debe acompañarse necesariamente del Acuerdo del Comité de Transparencia que la sustente, en el que se expongan los fundamentos y razonamientos que llevaron al </w:t>
      </w:r>
      <w:r w:rsidRPr="00AB1083">
        <w:rPr>
          <w:rFonts w:ascii="Palatino Linotype" w:hAnsi="Palatino Linotype" w:cs="Palatino Linotype"/>
          <w:b/>
          <w:szCs w:val="22"/>
          <w:lang w:eastAsia="es-MX"/>
        </w:rPr>
        <w:t>Sujeto Obligado</w:t>
      </w:r>
      <w:r w:rsidRPr="00AB1083">
        <w:rPr>
          <w:rFonts w:ascii="Palatino Linotype" w:hAnsi="Palatino Linotype" w:cs="Palatino Linotype"/>
          <w:szCs w:val="22"/>
          <w:lang w:eastAsia="es-MX"/>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w:t>
      </w:r>
      <w:r w:rsidRPr="00AB1083">
        <w:rPr>
          <w:rFonts w:ascii="Palatino Linotype" w:hAnsi="Palatino Linotype" w:cs="Palatino Linotype"/>
          <w:b/>
          <w:szCs w:val="22"/>
          <w:lang w:eastAsia="es-MX"/>
        </w:rPr>
        <w:t>Recurrente</w:t>
      </w:r>
      <w:r w:rsidRPr="00AB1083">
        <w:rPr>
          <w:rFonts w:ascii="Palatino Linotype" w:hAnsi="Palatino Linotype" w:cs="Palatino Linotype"/>
          <w:szCs w:val="22"/>
          <w:lang w:eastAsia="es-MX"/>
        </w:rPr>
        <w:t>.</w:t>
      </w:r>
    </w:p>
    <w:p w14:paraId="4D26FA3C" w14:textId="77777777" w:rsidR="000E7652" w:rsidRPr="00AB1083" w:rsidRDefault="000E7652" w:rsidP="000E7652">
      <w:pPr>
        <w:shd w:val="clear" w:color="auto" w:fill="FFFFFF"/>
        <w:spacing w:line="360" w:lineRule="auto"/>
        <w:ind w:right="51"/>
        <w:jc w:val="both"/>
        <w:rPr>
          <w:rFonts w:ascii="Palatino Linotype" w:hAnsi="Palatino Linotype" w:cs="Palatino Linotype"/>
          <w:szCs w:val="22"/>
          <w:lang w:eastAsia="es-MX"/>
        </w:rPr>
      </w:pPr>
    </w:p>
    <w:p w14:paraId="1825A9C6" w14:textId="77777777" w:rsidR="000E7652" w:rsidRPr="00AB1083" w:rsidRDefault="000E7652" w:rsidP="000E7652">
      <w:pPr>
        <w:spacing w:line="360" w:lineRule="auto"/>
        <w:jc w:val="both"/>
        <w:rPr>
          <w:rFonts w:ascii="Palatino Linotype" w:hAnsi="Palatino Linotype" w:cs="Palatino Linotype"/>
          <w:szCs w:val="22"/>
          <w:lang w:eastAsia="es-MX"/>
        </w:rPr>
      </w:pPr>
      <w:r w:rsidRPr="00AB1083">
        <w:rPr>
          <w:rFonts w:ascii="Palatino Linotype" w:hAnsi="Palatino Linotype" w:cs="Palatino Linotype"/>
          <w:szCs w:val="22"/>
          <w:lang w:eastAsia="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2C2B0A4F" w14:textId="77777777" w:rsidR="000E7652" w:rsidRPr="00AB1083" w:rsidRDefault="000E7652" w:rsidP="00837C24">
      <w:pPr>
        <w:spacing w:line="360" w:lineRule="auto"/>
        <w:jc w:val="both"/>
        <w:rPr>
          <w:rFonts w:ascii="Palatino Linotype" w:hAnsi="Palatino Linotype" w:cs="Arial"/>
        </w:rPr>
      </w:pPr>
    </w:p>
    <w:p w14:paraId="45F34BC9" w14:textId="3D54084D" w:rsidR="00235026" w:rsidRPr="00AB1083" w:rsidRDefault="000A5A65" w:rsidP="00375668">
      <w:pPr>
        <w:spacing w:line="360" w:lineRule="auto"/>
        <w:jc w:val="both"/>
        <w:rPr>
          <w:rFonts w:ascii="Palatino Linotype" w:eastAsia="Calibri" w:hAnsi="Palatino Linotype"/>
        </w:rPr>
      </w:pPr>
      <w:r w:rsidRPr="00AB1083">
        <w:rPr>
          <w:rFonts w:ascii="Palatino Linotype" w:eastAsia="Calibri" w:hAnsi="Palatino Linotype" w:cs="Arial"/>
          <w:lang w:eastAsia="es-MX"/>
        </w:rPr>
        <w:t>Final</w:t>
      </w:r>
      <w:r w:rsidRPr="00AB1083">
        <w:rPr>
          <w:rFonts w:ascii="Palatino Linotype" w:eastAsia="Calibri" w:hAnsi="Palatino Linotype"/>
        </w:rPr>
        <w:t>mente,</w:t>
      </w:r>
      <w:r w:rsidR="00B57B32" w:rsidRPr="00AB1083">
        <w:rPr>
          <w:rFonts w:ascii="Palatino Linotype" w:eastAsia="Calibri" w:hAnsi="Palatino Linotype"/>
        </w:rPr>
        <w:t xml:space="preserve"> y en mérito de lo expuesto en líneas anteriores, resultan fundados los motivos de inconformidad vertidos por </w:t>
      </w:r>
      <w:r w:rsidR="000E7652" w:rsidRPr="00AB1083">
        <w:rPr>
          <w:rFonts w:ascii="Palatino Linotype" w:eastAsia="Calibri" w:hAnsi="Palatino Linotype"/>
          <w:b/>
          <w:bCs/>
        </w:rPr>
        <w:t>la</w:t>
      </w:r>
      <w:r w:rsidR="00B57B32" w:rsidRPr="00AB1083">
        <w:rPr>
          <w:rFonts w:ascii="Palatino Linotype" w:eastAsia="Calibri" w:hAnsi="Palatino Linotype"/>
        </w:rPr>
        <w:t xml:space="preserve"> </w:t>
      </w:r>
      <w:r w:rsidR="00B57B32" w:rsidRPr="00AB1083">
        <w:rPr>
          <w:rFonts w:ascii="Palatino Linotype" w:eastAsia="Calibri" w:hAnsi="Palatino Linotype"/>
          <w:b/>
        </w:rPr>
        <w:t>Recurrente</w:t>
      </w:r>
      <w:r w:rsidR="00B57B32" w:rsidRPr="00AB1083">
        <w:rPr>
          <w:rFonts w:ascii="Palatino Linotype" w:eastAsia="Calibri" w:hAnsi="Palatino Linotype"/>
        </w:rPr>
        <w:t xml:space="preserve">, por ello con fundamento en el artículo 186 fracción III de la Ley de Transparencia y Acceso a la Información Pública del Estado de México y Municipios, se </w:t>
      </w:r>
      <w:r w:rsidR="00B57B32" w:rsidRPr="00AB1083">
        <w:rPr>
          <w:rFonts w:ascii="Palatino Linotype" w:eastAsia="Calibri" w:hAnsi="Palatino Linotype"/>
          <w:b/>
        </w:rPr>
        <w:t xml:space="preserve">MODIFICA </w:t>
      </w:r>
      <w:r w:rsidR="00B57B32" w:rsidRPr="00AB1083">
        <w:rPr>
          <w:rFonts w:ascii="Palatino Linotype" w:eastAsia="Calibri" w:hAnsi="Palatino Linotype"/>
        </w:rPr>
        <w:t xml:space="preserve">la respuesta a la solicitud de información </w:t>
      </w:r>
      <w:r w:rsidR="000E7652" w:rsidRPr="00AB1083">
        <w:rPr>
          <w:rFonts w:ascii="Palatino Linotype" w:eastAsia="Calibri" w:hAnsi="Palatino Linotype" w:cs="Arial"/>
          <w:b/>
        </w:rPr>
        <w:t>00154/SECTI/IP/2025</w:t>
      </w:r>
      <w:r w:rsidR="00B57B32" w:rsidRPr="00AB1083">
        <w:rPr>
          <w:rFonts w:ascii="Palatino Linotype" w:eastAsia="Calibri" w:hAnsi="Palatino Linotype" w:cs="Arial"/>
          <w:b/>
        </w:rPr>
        <w:t xml:space="preserve">, </w:t>
      </w:r>
      <w:r w:rsidR="00B57B32" w:rsidRPr="00AB1083">
        <w:rPr>
          <w:rFonts w:ascii="Palatino Linotype" w:eastAsia="Calibri" w:hAnsi="Palatino Linotype"/>
        </w:rPr>
        <w:t>que ha sido materia del presente fallo.</w:t>
      </w:r>
    </w:p>
    <w:p w14:paraId="38717532" w14:textId="77777777" w:rsidR="000E7652" w:rsidRPr="00AB1083" w:rsidRDefault="000E7652" w:rsidP="00375668">
      <w:pPr>
        <w:spacing w:line="360" w:lineRule="auto"/>
        <w:jc w:val="both"/>
        <w:rPr>
          <w:rFonts w:ascii="Palatino Linotype" w:eastAsia="Calibri" w:hAnsi="Palatino Linotype"/>
        </w:rPr>
      </w:pPr>
    </w:p>
    <w:p w14:paraId="3BDEE55C" w14:textId="51602705" w:rsidR="006A2320" w:rsidRPr="00AB1083" w:rsidRDefault="00B57B32" w:rsidP="00C812E3">
      <w:pPr>
        <w:spacing w:after="120" w:line="360" w:lineRule="auto"/>
        <w:jc w:val="both"/>
        <w:rPr>
          <w:rFonts w:ascii="Palatino Linotype" w:eastAsia="Calibri" w:hAnsi="Palatino Linotype"/>
        </w:rPr>
      </w:pPr>
      <w:r w:rsidRPr="00AB1083">
        <w:rPr>
          <w:rFonts w:ascii="Palatino Linotype" w:eastAsia="Calibri" w:hAnsi="Palatino Linotype"/>
        </w:rPr>
        <w:t xml:space="preserve">Por lo antes expuesto y fundado. </w:t>
      </w:r>
    </w:p>
    <w:p w14:paraId="5858379A" w14:textId="77777777" w:rsidR="00235026" w:rsidRPr="00AB1083" w:rsidRDefault="00235026" w:rsidP="00837C24">
      <w:pPr>
        <w:spacing w:line="360" w:lineRule="auto"/>
        <w:rPr>
          <w:rFonts w:ascii="Palatino Linotype" w:eastAsia="Calibri" w:hAnsi="Palatino Linotype"/>
          <w:b/>
          <w:sz w:val="28"/>
        </w:rPr>
      </w:pPr>
    </w:p>
    <w:p w14:paraId="538D4592" w14:textId="21AF2CD9" w:rsidR="006A2320" w:rsidRPr="00AB1083" w:rsidRDefault="006A2320" w:rsidP="006A2320">
      <w:pPr>
        <w:spacing w:line="360" w:lineRule="auto"/>
        <w:jc w:val="center"/>
        <w:rPr>
          <w:rFonts w:ascii="Palatino Linotype" w:eastAsia="Calibri" w:hAnsi="Palatino Linotype"/>
          <w:b/>
          <w:sz w:val="28"/>
        </w:rPr>
      </w:pPr>
      <w:r w:rsidRPr="00AB1083">
        <w:rPr>
          <w:rFonts w:ascii="Palatino Linotype" w:eastAsia="Calibri" w:hAnsi="Palatino Linotype"/>
          <w:b/>
          <w:sz w:val="28"/>
        </w:rPr>
        <w:t>S E   R E S U E L V E</w:t>
      </w:r>
    </w:p>
    <w:p w14:paraId="6DB2E341" w14:textId="77777777" w:rsidR="006A2320" w:rsidRPr="00AB1083" w:rsidRDefault="006A2320" w:rsidP="006A2320">
      <w:pPr>
        <w:spacing w:line="360" w:lineRule="auto"/>
        <w:jc w:val="center"/>
        <w:rPr>
          <w:rFonts w:ascii="Palatino Linotype" w:eastAsia="Calibri" w:hAnsi="Palatino Linotype"/>
          <w:b/>
        </w:rPr>
      </w:pPr>
    </w:p>
    <w:p w14:paraId="79A03E86" w14:textId="47FCAAF8" w:rsidR="00B57B32" w:rsidRPr="00AB1083" w:rsidRDefault="006A2320" w:rsidP="00B57B32">
      <w:pPr>
        <w:autoSpaceDE w:val="0"/>
        <w:autoSpaceDN w:val="0"/>
        <w:adjustRightInd w:val="0"/>
        <w:spacing w:line="360" w:lineRule="auto"/>
        <w:ind w:right="49"/>
        <w:jc w:val="both"/>
        <w:rPr>
          <w:rFonts w:ascii="Palatino Linotype" w:eastAsia="Calibri" w:hAnsi="Palatino Linotype" w:cs="Arial"/>
        </w:rPr>
      </w:pPr>
      <w:r w:rsidRPr="00AB1083">
        <w:rPr>
          <w:rFonts w:ascii="Palatino Linotype" w:eastAsia="Calibri" w:hAnsi="Palatino Linotype" w:cs="Arial"/>
          <w:b/>
          <w:sz w:val="28"/>
        </w:rPr>
        <w:t>PRIMERO</w:t>
      </w:r>
      <w:r w:rsidRPr="00AB1083">
        <w:rPr>
          <w:rFonts w:ascii="Palatino Linotype" w:eastAsia="Calibri" w:hAnsi="Palatino Linotype" w:cs="Arial"/>
          <w:b/>
        </w:rPr>
        <w:t xml:space="preserve">. </w:t>
      </w:r>
      <w:r w:rsidR="00B57B32" w:rsidRPr="00AB1083">
        <w:rPr>
          <w:rFonts w:ascii="Palatino Linotype" w:eastAsia="Calibri" w:hAnsi="Palatino Linotype" w:cs="Arial"/>
        </w:rPr>
        <w:t>Se</w:t>
      </w:r>
      <w:r w:rsidR="00B57B32" w:rsidRPr="00AB1083">
        <w:rPr>
          <w:rFonts w:ascii="Palatino Linotype" w:eastAsia="Calibri" w:hAnsi="Palatino Linotype" w:cs="Arial"/>
          <w:b/>
        </w:rPr>
        <w:t xml:space="preserve"> MODIFICA </w:t>
      </w:r>
      <w:r w:rsidR="00B57B32" w:rsidRPr="00AB1083">
        <w:rPr>
          <w:rFonts w:ascii="Palatino Linotype" w:eastAsia="Calibri" w:hAnsi="Palatino Linotype" w:cs="Arial"/>
        </w:rPr>
        <w:t xml:space="preserve">la respuesta entregada por </w:t>
      </w:r>
      <w:r w:rsidR="00B57B32" w:rsidRPr="00AB1083">
        <w:rPr>
          <w:rFonts w:ascii="Palatino Linotype" w:eastAsia="Calibri" w:hAnsi="Palatino Linotype" w:cs="Arial"/>
          <w:b/>
          <w:bCs/>
        </w:rPr>
        <w:t>El</w:t>
      </w:r>
      <w:r w:rsidR="00B57B32" w:rsidRPr="00AB1083">
        <w:rPr>
          <w:rFonts w:ascii="Palatino Linotype" w:eastAsia="Calibri" w:hAnsi="Palatino Linotype" w:cs="Arial"/>
        </w:rPr>
        <w:t xml:space="preserve"> </w:t>
      </w:r>
      <w:r w:rsidR="00B57B32" w:rsidRPr="00AB1083">
        <w:rPr>
          <w:rFonts w:ascii="Palatino Linotype" w:eastAsia="Calibri" w:hAnsi="Palatino Linotype" w:cs="Arial"/>
          <w:b/>
        </w:rPr>
        <w:t>Sujeto Obligado</w:t>
      </w:r>
      <w:r w:rsidR="00B57B32" w:rsidRPr="00AB1083">
        <w:rPr>
          <w:rFonts w:ascii="Palatino Linotype" w:eastAsia="Calibri" w:hAnsi="Palatino Linotype" w:cs="Arial"/>
        </w:rPr>
        <w:t>,</w:t>
      </w:r>
      <w:r w:rsidR="00B57B32" w:rsidRPr="00AB1083">
        <w:rPr>
          <w:rFonts w:ascii="Palatino Linotype" w:hAnsi="Palatino Linotype" w:cs="Arial"/>
        </w:rPr>
        <w:t xml:space="preserve"> a la solicitud de información número </w:t>
      </w:r>
      <w:r w:rsidR="000E7652" w:rsidRPr="00AB1083">
        <w:rPr>
          <w:rFonts w:ascii="Palatino Linotype" w:hAnsi="Palatino Linotype" w:cs="Arial"/>
          <w:b/>
        </w:rPr>
        <w:t>00154/SECTI/IP/2025</w:t>
      </w:r>
      <w:r w:rsidR="00B57B32" w:rsidRPr="00AB1083">
        <w:rPr>
          <w:rFonts w:ascii="Palatino Linotype" w:hAnsi="Palatino Linotype" w:cs="Arial"/>
          <w:b/>
        </w:rPr>
        <w:t>,</w:t>
      </w:r>
      <w:r w:rsidR="00B57B32" w:rsidRPr="00AB1083">
        <w:rPr>
          <w:rFonts w:ascii="Palatino Linotype" w:eastAsia="Calibri" w:hAnsi="Palatino Linotype" w:cs="Arial"/>
        </w:rPr>
        <w:t xml:space="preserve"> por resultar parcialmente fundados los motivos de inconformidad que arguye el Recurrente, en términos del Considerando </w:t>
      </w:r>
      <w:r w:rsidR="00452DB7" w:rsidRPr="00AB1083">
        <w:rPr>
          <w:rFonts w:ascii="Palatino Linotype" w:eastAsia="Calibri" w:hAnsi="Palatino Linotype" w:cs="Arial"/>
          <w:b/>
        </w:rPr>
        <w:t>CUARTO</w:t>
      </w:r>
      <w:r w:rsidR="00B001FA" w:rsidRPr="00AB1083">
        <w:rPr>
          <w:rFonts w:ascii="Palatino Linotype" w:eastAsia="Calibri" w:hAnsi="Palatino Linotype" w:cs="Arial"/>
          <w:b/>
        </w:rPr>
        <w:t xml:space="preserve"> </w:t>
      </w:r>
      <w:r w:rsidR="00B57B32" w:rsidRPr="00AB1083">
        <w:rPr>
          <w:rFonts w:ascii="Palatino Linotype" w:eastAsia="Calibri" w:hAnsi="Palatino Linotype" w:cs="Arial"/>
        </w:rPr>
        <w:t>de la presente resolución.</w:t>
      </w:r>
    </w:p>
    <w:p w14:paraId="5F6BCB92" w14:textId="138B987D" w:rsidR="006A2320" w:rsidRPr="00AB1083" w:rsidRDefault="006A2320" w:rsidP="006A2320">
      <w:pPr>
        <w:tabs>
          <w:tab w:val="left" w:pos="8647"/>
        </w:tabs>
        <w:spacing w:line="360" w:lineRule="auto"/>
        <w:jc w:val="both"/>
        <w:rPr>
          <w:rFonts w:ascii="Palatino Linotype" w:eastAsia="Calibri" w:hAnsi="Palatino Linotype" w:cs="Arial"/>
        </w:rPr>
      </w:pPr>
    </w:p>
    <w:p w14:paraId="4DA2050A" w14:textId="6766C47D" w:rsidR="00B57B32" w:rsidRPr="00AB1083" w:rsidRDefault="00B57B32" w:rsidP="00B57B32">
      <w:pPr>
        <w:pStyle w:val="Sinespaciado"/>
        <w:spacing w:line="360" w:lineRule="auto"/>
        <w:jc w:val="both"/>
        <w:rPr>
          <w:rFonts w:ascii="Palatino Linotype" w:hAnsi="Palatino Linotype"/>
          <w:lang w:val="es-ES_tradnl"/>
        </w:rPr>
      </w:pPr>
      <w:r w:rsidRPr="00AB1083">
        <w:rPr>
          <w:rFonts w:ascii="Palatino Linotype" w:eastAsia="Calibri" w:hAnsi="Palatino Linotype" w:cs="Arial"/>
          <w:b/>
          <w:sz w:val="28"/>
          <w:szCs w:val="28"/>
          <w:lang w:val="es-ES_tradnl"/>
        </w:rPr>
        <w:t>SEGUNDO.</w:t>
      </w:r>
      <w:r w:rsidRPr="00AB1083">
        <w:rPr>
          <w:rFonts w:ascii="Palatino Linotype" w:eastAsia="Calibri" w:hAnsi="Palatino Linotype" w:cs="Arial"/>
          <w:lang w:val="es-ES_tradnl"/>
        </w:rPr>
        <w:t xml:space="preserve"> Se </w:t>
      </w:r>
      <w:r w:rsidRPr="00AB1083">
        <w:rPr>
          <w:rFonts w:ascii="Palatino Linotype" w:eastAsia="Calibri" w:hAnsi="Palatino Linotype" w:cs="Arial"/>
          <w:b/>
          <w:lang w:val="es-ES_tradnl"/>
        </w:rPr>
        <w:t xml:space="preserve">ORDENA </w:t>
      </w:r>
      <w:r w:rsidRPr="00AB1083">
        <w:rPr>
          <w:rFonts w:ascii="Palatino Linotype" w:eastAsia="Calibri" w:hAnsi="Palatino Linotype" w:cs="Arial"/>
          <w:lang w:val="es-ES_tradnl"/>
        </w:rPr>
        <w:t xml:space="preserve">al </w:t>
      </w:r>
      <w:r w:rsidRPr="00AB1083">
        <w:rPr>
          <w:rFonts w:ascii="Palatino Linotype" w:eastAsia="Calibri" w:hAnsi="Palatino Linotype" w:cs="Arial"/>
          <w:b/>
          <w:lang w:val="es-ES_tradnl"/>
        </w:rPr>
        <w:t xml:space="preserve">Sujeto Obligado </w:t>
      </w:r>
      <w:r w:rsidRPr="00AB1083">
        <w:rPr>
          <w:rFonts w:ascii="Palatino Linotype" w:eastAsia="Calibri" w:hAnsi="Palatino Linotype" w:cs="Arial"/>
          <w:lang w:val="es-ES_tradnl"/>
        </w:rPr>
        <w:t>h</w:t>
      </w:r>
      <w:r w:rsidR="00A40A50" w:rsidRPr="00AB1083">
        <w:rPr>
          <w:rFonts w:ascii="Palatino Linotype" w:eastAsia="Calibri" w:hAnsi="Palatino Linotype" w:cs="Arial"/>
          <w:lang w:val="es-ES_tradnl"/>
        </w:rPr>
        <w:t>aga entrega a</w:t>
      </w:r>
      <w:r w:rsidR="00BE7F12" w:rsidRPr="00AB1083">
        <w:rPr>
          <w:rFonts w:ascii="Palatino Linotype" w:eastAsia="Calibri" w:hAnsi="Palatino Linotype" w:cs="Arial"/>
          <w:lang w:val="es-ES_tradnl"/>
        </w:rPr>
        <w:t xml:space="preserve"> la</w:t>
      </w:r>
      <w:r w:rsidR="00FE5B53" w:rsidRPr="00AB1083">
        <w:rPr>
          <w:rFonts w:ascii="Palatino Linotype" w:eastAsia="Calibri" w:hAnsi="Palatino Linotype" w:cs="Arial"/>
          <w:lang w:val="es-ES_tradnl"/>
        </w:rPr>
        <w:t xml:space="preserve"> </w:t>
      </w:r>
      <w:r w:rsidRPr="00AB1083">
        <w:rPr>
          <w:rFonts w:ascii="Palatino Linotype" w:eastAsia="Calibri" w:hAnsi="Palatino Linotype" w:cs="Arial"/>
          <w:b/>
          <w:lang w:val="es-ES_tradnl"/>
        </w:rPr>
        <w:t xml:space="preserve">Recurrente, </w:t>
      </w:r>
      <w:r w:rsidRPr="00AB1083">
        <w:rPr>
          <w:rFonts w:ascii="Palatino Linotype" w:eastAsia="Calibri" w:hAnsi="Palatino Linotype" w:cs="Arial"/>
          <w:lang w:val="es-ES_tradnl"/>
        </w:rPr>
        <w:t>a través del</w:t>
      </w:r>
      <w:r w:rsidR="00690103" w:rsidRPr="00AB1083">
        <w:rPr>
          <w:rFonts w:ascii="Palatino Linotype" w:eastAsia="Calibri" w:hAnsi="Palatino Linotype" w:cs="Arial"/>
          <w:lang w:val="es-ES_tradnl"/>
        </w:rPr>
        <w:t xml:space="preserve"> Sistema de Acceso a la Información Mexiquense (</w:t>
      </w:r>
      <w:r w:rsidRPr="00AB1083">
        <w:rPr>
          <w:rFonts w:ascii="Palatino Linotype" w:eastAsia="Calibri" w:hAnsi="Palatino Linotype" w:cs="Arial"/>
          <w:lang w:val="es-ES_tradnl"/>
        </w:rPr>
        <w:t>SAIMEX</w:t>
      </w:r>
      <w:r w:rsidR="00690103" w:rsidRPr="00AB1083">
        <w:rPr>
          <w:rFonts w:ascii="Palatino Linotype" w:eastAsia="Calibri" w:hAnsi="Palatino Linotype" w:cs="Arial"/>
          <w:lang w:val="es-ES_tradnl"/>
        </w:rPr>
        <w:t>)</w:t>
      </w:r>
      <w:r w:rsidRPr="00AB1083">
        <w:rPr>
          <w:rFonts w:ascii="Palatino Linotype" w:hAnsi="Palatino Linotype"/>
          <w:lang w:val="es-ES_tradnl"/>
        </w:rPr>
        <w:t xml:space="preserve">, en términos del </w:t>
      </w:r>
      <w:r w:rsidRPr="00AB1083">
        <w:rPr>
          <w:rFonts w:ascii="Palatino Linotype" w:hAnsi="Palatino Linotype"/>
          <w:bCs/>
          <w:lang w:val="es-ES_tradnl"/>
        </w:rPr>
        <w:t>Considerando</w:t>
      </w:r>
      <w:r w:rsidRPr="00AB1083">
        <w:rPr>
          <w:rFonts w:ascii="Palatino Linotype" w:hAnsi="Palatino Linotype"/>
          <w:b/>
          <w:lang w:val="es-ES_tradnl"/>
        </w:rPr>
        <w:t xml:space="preserve"> </w:t>
      </w:r>
      <w:r w:rsidR="00BE7F12" w:rsidRPr="00AB1083">
        <w:rPr>
          <w:rFonts w:ascii="Palatino Linotype" w:hAnsi="Palatino Linotype"/>
          <w:b/>
          <w:lang w:val="es-ES_tradnl"/>
        </w:rPr>
        <w:t>CUARTO</w:t>
      </w:r>
      <w:r w:rsidRPr="00AB1083">
        <w:rPr>
          <w:rFonts w:ascii="Palatino Linotype" w:hAnsi="Palatino Linotype"/>
          <w:lang w:val="es-ES_tradnl"/>
        </w:rPr>
        <w:t xml:space="preserve"> de la presente resolución</w:t>
      </w:r>
      <w:r w:rsidR="00837C24" w:rsidRPr="00AB1083">
        <w:rPr>
          <w:rFonts w:ascii="Palatino Linotype" w:hAnsi="Palatino Linotype"/>
          <w:lang w:val="es-ES_tradnl"/>
        </w:rPr>
        <w:t xml:space="preserve">, </w:t>
      </w:r>
      <w:r w:rsidRPr="00AB1083">
        <w:rPr>
          <w:rFonts w:ascii="Palatino Linotype" w:hAnsi="Palatino Linotype"/>
          <w:lang w:val="es-ES_tradnl"/>
        </w:rPr>
        <w:t>de</w:t>
      </w:r>
      <w:r w:rsidR="00931EDE" w:rsidRPr="00AB1083">
        <w:rPr>
          <w:rFonts w:ascii="Palatino Linotype" w:hAnsi="Palatino Linotype"/>
          <w:lang w:val="es-ES_tradnl"/>
        </w:rPr>
        <w:t xml:space="preserve"> </w:t>
      </w:r>
      <w:r w:rsidRPr="00AB1083">
        <w:rPr>
          <w:rFonts w:ascii="Palatino Linotype" w:hAnsi="Palatino Linotype"/>
          <w:lang w:val="es-ES_tradnl"/>
        </w:rPr>
        <w:t xml:space="preserve">lo siguiente: </w:t>
      </w:r>
    </w:p>
    <w:p w14:paraId="0CBECD0B" w14:textId="77777777" w:rsidR="00235026" w:rsidRPr="00AB1083" w:rsidRDefault="00235026" w:rsidP="00931EDE">
      <w:pPr>
        <w:autoSpaceDE w:val="0"/>
        <w:autoSpaceDN w:val="0"/>
        <w:adjustRightInd w:val="0"/>
        <w:spacing w:line="360" w:lineRule="auto"/>
        <w:jc w:val="both"/>
        <w:rPr>
          <w:rFonts w:ascii="Palatino Linotype" w:eastAsia="Calibri" w:hAnsi="Palatino Linotype" w:cs="Arial"/>
          <w:i/>
          <w:lang w:eastAsia="es-MX"/>
        </w:rPr>
      </w:pPr>
    </w:p>
    <w:p w14:paraId="797D7E8B" w14:textId="23F1CC28" w:rsidR="009E48CB" w:rsidRPr="00AB1083" w:rsidRDefault="00BE7F12" w:rsidP="00F279FD">
      <w:pPr>
        <w:pStyle w:val="Prrafodelista"/>
        <w:numPr>
          <w:ilvl w:val="0"/>
          <w:numId w:val="28"/>
        </w:numPr>
        <w:ind w:left="714" w:right="567" w:hanging="357"/>
        <w:jc w:val="both"/>
        <w:rPr>
          <w:rFonts w:ascii="Palatino Linotype" w:eastAsia="Calibri" w:hAnsi="Palatino Linotype" w:cs="Arial"/>
          <w:i/>
          <w:lang w:eastAsia="es-MX"/>
        </w:rPr>
      </w:pPr>
      <w:r w:rsidRPr="00AB1083">
        <w:rPr>
          <w:rFonts w:ascii="Palatino Linotype" w:eastAsia="Calibri" w:hAnsi="Palatino Linotype" w:cs="Arial"/>
          <w:i/>
          <w:lang w:eastAsia="es-MX"/>
        </w:rPr>
        <w:t xml:space="preserve">El Acuerdo emitido por el Comité de Transparencia, en donde de manera fundada y motivada, confirme la clasificación del pronunciamiento en sentido afirmativo o negativo, </w:t>
      </w:r>
      <w:r w:rsidR="000E7652" w:rsidRPr="00AB1083">
        <w:rPr>
          <w:rFonts w:ascii="Palatino Linotype" w:eastAsia="Calibri" w:hAnsi="Palatino Linotype" w:cs="Arial"/>
          <w:i/>
          <w:lang w:eastAsia="es-MX"/>
        </w:rPr>
        <w:t>sobre la existencia de quejas</w:t>
      </w:r>
      <w:r w:rsidR="000E7652" w:rsidRPr="00AB1083">
        <w:t xml:space="preserve"> </w:t>
      </w:r>
      <w:r w:rsidR="000E7652" w:rsidRPr="00AB1083">
        <w:rPr>
          <w:rFonts w:ascii="Palatino Linotype" w:eastAsia="Calibri" w:hAnsi="Palatino Linotype" w:cs="Arial"/>
          <w:i/>
          <w:lang w:eastAsia="es-MX"/>
        </w:rPr>
        <w:t>interpuestas en el Órgano Interno de Control en el periodo que comprende del 01 de enero de 2015 al 31 de enero de 2025, que formen parte de algún procedimiento administrativo</w:t>
      </w:r>
      <w:r w:rsidR="00A21E77" w:rsidRPr="00AB1083">
        <w:rPr>
          <w:rFonts w:ascii="Palatino Linotype" w:eastAsia="Calibri" w:hAnsi="Palatino Linotype" w:cs="Arial"/>
          <w:i/>
          <w:lang w:eastAsia="es-MX"/>
        </w:rPr>
        <w:t xml:space="preserve"> en trámite</w:t>
      </w:r>
      <w:r w:rsidR="000E7652" w:rsidRPr="00AB1083">
        <w:rPr>
          <w:rFonts w:ascii="Palatino Linotype" w:eastAsia="Calibri" w:hAnsi="Palatino Linotype" w:cs="Arial"/>
          <w:i/>
          <w:lang w:eastAsia="es-MX"/>
        </w:rPr>
        <w:t xml:space="preserve"> por faltas</w:t>
      </w:r>
      <w:r w:rsidR="00A21E77" w:rsidRPr="00AB1083">
        <w:rPr>
          <w:rFonts w:ascii="Palatino Linotype" w:eastAsia="Calibri" w:hAnsi="Palatino Linotype" w:cs="Arial"/>
          <w:i/>
          <w:lang w:eastAsia="es-MX"/>
        </w:rPr>
        <w:t xml:space="preserve"> graves y</w:t>
      </w:r>
      <w:r w:rsidR="000E7652" w:rsidRPr="00AB1083">
        <w:rPr>
          <w:rFonts w:ascii="Palatino Linotype" w:eastAsia="Calibri" w:hAnsi="Palatino Linotype" w:cs="Arial"/>
          <w:i/>
          <w:lang w:eastAsia="es-MX"/>
        </w:rPr>
        <w:t xml:space="preserve"> no graves y/o de procedimientos </w:t>
      </w:r>
      <w:r w:rsidR="00A21E77" w:rsidRPr="00AB1083">
        <w:rPr>
          <w:rFonts w:ascii="Palatino Linotype" w:eastAsia="Calibri" w:hAnsi="Palatino Linotype" w:cs="Arial"/>
          <w:i/>
          <w:lang w:eastAsia="es-MX"/>
        </w:rPr>
        <w:t>concluidos por faltas administrativas</w:t>
      </w:r>
      <w:r w:rsidR="000E7652" w:rsidRPr="00AB1083">
        <w:rPr>
          <w:rFonts w:ascii="Palatino Linotype" w:eastAsia="Calibri" w:hAnsi="Palatino Linotype" w:cs="Arial"/>
          <w:i/>
          <w:lang w:eastAsia="es-MX"/>
        </w:rPr>
        <w:t xml:space="preserve"> graves</w:t>
      </w:r>
      <w:r w:rsidR="00A21E77" w:rsidRPr="00AB1083">
        <w:rPr>
          <w:rFonts w:ascii="Palatino Linotype" w:eastAsia="Calibri" w:hAnsi="Palatino Linotype" w:cs="Arial"/>
          <w:i/>
          <w:lang w:eastAsia="es-MX"/>
        </w:rPr>
        <w:t xml:space="preserve"> y no graves absolutorias, o condenatorios de sanciones no graves </w:t>
      </w:r>
      <w:r w:rsidR="000E7652" w:rsidRPr="00AB1083">
        <w:rPr>
          <w:rFonts w:ascii="Palatino Linotype" w:eastAsia="Calibri" w:hAnsi="Palatino Linotype" w:cs="Arial"/>
          <w:i/>
          <w:lang w:eastAsia="es-MX"/>
        </w:rPr>
        <w:t>en contra de la persona referida en la solicitud de información número 00154/SECTI/IP/2025</w:t>
      </w:r>
      <w:r w:rsidRPr="00AB1083">
        <w:rPr>
          <w:rFonts w:ascii="Palatino Linotype" w:eastAsia="Calibri" w:hAnsi="Palatino Linotype" w:cs="Arial"/>
          <w:i/>
          <w:lang w:eastAsia="es-MX"/>
        </w:rPr>
        <w:t>, de conformidad con los artículos 49, fracción II, 132, fracción II, 143, fracción I, y 149 de la Ley de Transparencia y Acceso a la Información Pública del Estado de México y Municipios</w:t>
      </w:r>
      <w:r w:rsidR="009E48CB" w:rsidRPr="00AB1083">
        <w:rPr>
          <w:rFonts w:ascii="Palatino Linotype" w:eastAsia="Calibri" w:hAnsi="Palatino Linotype" w:cs="Arial"/>
          <w:i/>
          <w:lang w:eastAsia="es-MX"/>
        </w:rPr>
        <w:t>.</w:t>
      </w:r>
    </w:p>
    <w:p w14:paraId="50FB53B5" w14:textId="023DF5E3" w:rsidR="000E7652" w:rsidRPr="00AB1083" w:rsidRDefault="000E7652" w:rsidP="000E7652">
      <w:pPr>
        <w:pStyle w:val="Prrafodelista"/>
        <w:ind w:left="714" w:right="567"/>
        <w:jc w:val="both"/>
        <w:rPr>
          <w:rFonts w:ascii="Palatino Linotype" w:eastAsia="Calibri" w:hAnsi="Palatino Linotype" w:cs="Arial"/>
          <w:i/>
          <w:lang w:eastAsia="es-MX"/>
        </w:rPr>
      </w:pPr>
    </w:p>
    <w:p w14:paraId="6B51B1B7" w14:textId="237FD509" w:rsidR="000E7652" w:rsidRPr="00AB1083" w:rsidRDefault="00D876E2" w:rsidP="00F279FD">
      <w:pPr>
        <w:pStyle w:val="Prrafodelista"/>
        <w:numPr>
          <w:ilvl w:val="0"/>
          <w:numId w:val="28"/>
        </w:numPr>
        <w:ind w:left="714" w:right="567" w:hanging="357"/>
        <w:jc w:val="both"/>
        <w:rPr>
          <w:rFonts w:ascii="Palatino Linotype" w:eastAsia="Calibri" w:hAnsi="Palatino Linotype" w:cs="Arial"/>
          <w:i/>
          <w:lang w:eastAsia="es-MX"/>
        </w:rPr>
      </w:pPr>
      <w:r w:rsidRPr="00AB1083">
        <w:rPr>
          <w:rFonts w:ascii="Palatino Linotype" w:eastAsia="Calibri" w:hAnsi="Palatino Linotype" w:cs="Arial"/>
          <w:i/>
          <w:lang w:eastAsia="es-MX"/>
        </w:rPr>
        <w:t>Documentos en donde consten l</w:t>
      </w:r>
      <w:r w:rsidR="000E7652" w:rsidRPr="00AB1083">
        <w:rPr>
          <w:rFonts w:ascii="Palatino Linotype" w:eastAsia="Calibri" w:hAnsi="Palatino Linotype" w:cs="Arial"/>
          <w:i/>
          <w:lang w:eastAsia="es-MX"/>
        </w:rPr>
        <w:t>as quejas interpuestas en el Órgano Interno de Control en el periodo que comprende del 01 de enero de 2015 al 31 de enero de 2025 que formen parte de los expedientes iniciados por presunta responsabilidad administrativa</w:t>
      </w:r>
      <w:r w:rsidR="00D12897" w:rsidRPr="00AB1083">
        <w:rPr>
          <w:rFonts w:ascii="Palatino Linotype" w:eastAsia="Calibri" w:hAnsi="Palatino Linotype" w:cs="Arial"/>
          <w:i/>
          <w:lang w:eastAsia="es-MX"/>
        </w:rPr>
        <w:t xml:space="preserve"> en trámite</w:t>
      </w:r>
      <w:r w:rsidR="000E7652" w:rsidRPr="00AB1083">
        <w:rPr>
          <w:rFonts w:ascii="Palatino Linotype" w:eastAsia="Calibri" w:hAnsi="Palatino Linotype" w:cs="Arial"/>
          <w:i/>
          <w:lang w:eastAsia="es-MX"/>
        </w:rPr>
        <w:t xml:space="preserve"> que se relacionen con actos de corrupción o posibles violaciones graves a derechos humanos,</w:t>
      </w:r>
      <w:r w:rsidR="00A21E77" w:rsidRPr="00AB1083">
        <w:rPr>
          <w:rFonts w:ascii="Palatino Linotype" w:eastAsia="Calibri" w:hAnsi="Palatino Linotype" w:cs="Arial"/>
          <w:i/>
          <w:lang w:eastAsia="es-MX"/>
        </w:rPr>
        <w:t xml:space="preserve"> así como los concluidos condenatorios graves,</w:t>
      </w:r>
      <w:r w:rsidR="000E7652" w:rsidRPr="00AB1083">
        <w:rPr>
          <w:rFonts w:ascii="Palatino Linotype" w:eastAsia="Calibri" w:hAnsi="Palatino Linotype" w:cs="Arial"/>
          <w:i/>
          <w:lang w:eastAsia="es-MX"/>
        </w:rPr>
        <w:t xml:space="preserve"> instaurados en contra de la servidora pública referida en la solicitud de información número 00154/SECTI/IP/2025</w:t>
      </w:r>
      <w:r w:rsidRPr="00AB1083">
        <w:rPr>
          <w:rFonts w:ascii="Palatino Linotype" w:eastAsia="Calibri" w:hAnsi="Palatino Linotype" w:cs="Arial"/>
          <w:i/>
          <w:lang w:eastAsia="es-MX"/>
        </w:rPr>
        <w:t>,</w:t>
      </w:r>
      <w:r w:rsidRPr="00AB1083">
        <w:t xml:space="preserve"> </w:t>
      </w:r>
      <w:r w:rsidRPr="00AB1083">
        <w:rPr>
          <w:rFonts w:ascii="Palatino Linotype" w:eastAsia="Calibri" w:hAnsi="Palatino Linotype" w:cs="Arial"/>
          <w:i/>
          <w:lang w:eastAsia="es-MX"/>
        </w:rPr>
        <w:t xml:space="preserve">así como el estado de las mismas dentro del procedimiento. </w:t>
      </w:r>
    </w:p>
    <w:p w14:paraId="4461939C" w14:textId="77777777" w:rsidR="00BE7F12" w:rsidRPr="00AB1083" w:rsidRDefault="00BE7F12" w:rsidP="00B57B32">
      <w:pPr>
        <w:autoSpaceDE w:val="0"/>
        <w:autoSpaceDN w:val="0"/>
        <w:adjustRightInd w:val="0"/>
        <w:spacing w:line="360" w:lineRule="auto"/>
        <w:ind w:right="49"/>
        <w:jc w:val="both"/>
        <w:rPr>
          <w:rFonts w:ascii="Palatino Linotype" w:eastAsia="Calibri" w:hAnsi="Palatino Linotype" w:cs="Arial"/>
          <w:b/>
          <w:sz w:val="28"/>
          <w:szCs w:val="28"/>
        </w:rPr>
      </w:pPr>
    </w:p>
    <w:p w14:paraId="7532A353" w14:textId="2EF936AA" w:rsidR="000E7652" w:rsidRPr="00AB1083" w:rsidRDefault="000E7652" w:rsidP="000E7652">
      <w:pPr>
        <w:ind w:left="360" w:right="567"/>
        <w:jc w:val="both"/>
        <w:rPr>
          <w:rFonts w:ascii="Palatino Linotype" w:hAnsi="Palatino Linotype"/>
          <w:i/>
          <w:sz w:val="22"/>
        </w:rPr>
      </w:pPr>
      <w:r w:rsidRPr="00AB1083">
        <w:rPr>
          <w:rFonts w:ascii="Palatino Linotype" w:hAnsi="Palatino Linotype"/>
          <w:i/>
          <w:sz w:val="22"/>
        </w:rPr>
        <w:t>Como sustento de la versión pública que se ordena su entrega</w:t>
      </w:r>
      <w:r w:rsidR="00D876E2" w:rsidRPr="00AB1083">
        <w:rPr>
          <w:rFonts w:ascii="Palatino Linotype" w:hAnsi="Palatino Linotype"/>
          <w:i/>
          <w:sz w:val="22"/>
        </w:rPr>
        <w:t xml:space="preserve"> en el numeral 2) del presente Resolutivo</w:t>
      </w:r>
      <w:r w:rsidRPr="00AB1083">
        <w:rPr>
          <w:rFonts w:ascii="Palatino Linotype" w:hAnsi="Palatino Linotype"/>
          <w:i/>
          <w:sz w:val="22"/>
        </w:rPr>
        <w:t xml:space="preserve">,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AB1083">
        <w:rPr>
          <w:rFonts w:ascii="Palatino Linotype" w:hAnsi="Palatino Linotype"/>
          <w:b/>
          <w:i/>
          <w:sz w:val="22"/>
        </w:rPr>
        <w:t>Recurrente</w:t>
      </w:r>
      <w:r w:rsidRPr="00AB1083">
        <w:rPr>
          <w:rFonts w:ascii="Palatino Linotype" w:hAnsi="Palatino Linotype"/>
          <w:i/>
          <w:sz w:val="22"/>
        </w:rPr>
        <w:t>.</w:t>
      </w:r>
    </w:p>
    <w:p w14:paraId="32B0A6AE" w14:textId="77777777" w:rsidR="000E7652" w:rsidRPr="00AB1083" w:rsidRDefault="000E7652" w:rsidP="000E7652">
      <w:pPr>
        <w:ind w:left="360" w:right="567"/>
        <w:jc w:val="both"/>
        <w:rPr>
          <w:rFonts w:ascii="Palatino Linotype" w:hAnsi="Palatino Linotype"/>
          <w:i/>
          <w:sz w:val="22"/>
        </w:rPr>
      </w:pPr>
    </w:p>
    <w:p w14:paraId="66D0F9D0" w14:textId="4F9B8A33" w:rsidR="000E7652" w:rsidRPr="00AB1083" w:rsidRDefault="000E7652" w:rsidP="00D876E2">
      <w:pPr>
        <w:ind w:left="360" w:right="567"/>
        <w:jc w:val="both"/>
        <w:rPr>
          <w:rFonts w:ascii="Palatino Linotype" w:hAnsi="Palatino Linotype"/>
          <w:i/>
          <w:sz w:val="22"/>
        </w:rPr>
      </w:pPr>
      <w:r w:rsidRPr="00AB1083">
        <w:rPr>
          <w:rFonts w:ascii="Palatino Linotype" w:hAnsi="Palatino Linotype"/>
          <w:i/>
          <w:sz w:val="22"/>
        </w:rPr>
        <w:t xml:space="preserve">Para el caso de que el Sujeto Obligado no cuente con la información que se ordena su entrega en el </w:t>
      </w:r>
      <w:r w:rsidRPr="00AB1083">
        <w:rPr>
          <w:rFonts w:ascii="Palatino Linotype" w:hAnsi="Palatino Linotype"/>
          <w:b/>
          <w:bCs/>
          <w:i/>
          <w:sz w:val="22"/>
        </w:rPr>
        <w:t xml:space="preserve">numeral 2) del </w:t>
      </w:r>
      <w:r w:rsidR="00D876E2" w:rsidRPr="00AB1083">
        <w:rPr>
          <w:rFonts w:ascii="Palatino Linotype" w:hAnsi="Palatino Linotype"/>
          <w:b/>
          <w:bCs/>
          <w:i/>
          <w:sz w:val="22"/>
        </w:rPr>
        <w:t xml:space="preserve">presente </w:t>
      </w:r>
      <w:r w:rsidRPr="00AB1083">
        <w:rPr>
          <w:rFonts w:ascii="Palatino Linotype" w:hAnsi="Palatino Linotype"/>
          <w:b/>
          <w:bCs/>
          <w:i/>
          <w:sz w:val="22"/>
        </w:rPr>
        <w:t>Resolutivo</w:t>
      </w:r>
      <w:r w:rsidRPr="00AB1083">
        <w:rPr>
          <w:rFonts w:ascii="Palatino Linotype" w:hAnsi="Palatino Linotype"/>
          <w:i/>
          <w:sz w:val="22"/>
        </w:rPr>
        <w:t>, bastará con que lo haga del conocimiento de la parte Recurrente al momento de dar cumplimiento a la presente resolución.</w:t>
      </w:r>
    </w:p>
    <w:p w14:paraId="5101D691" w14:textId="77777777" w:rsidR="000E7652" w:rsidRPr="00AB1083" w:rsidRDefault="000E7652" w:rsidP="00B57B32">
      <w:pPr>
        <w:autoSpaceDE w:val="0"/>
        <w:autoSpaceDN w:val="0"/>
        <w:adjustRightInd w:val="0"/>
        <w:spacing w:line="360" w:lineRule="auto"/>
        <w:ind w:right="49"/>
        <w:jc w:val="both"/>
        <w:rPr>
          <w:rFonts w:ascii="Palatino Linotype" w:eastAsia="Calibri" w:hAnsi="Palatino Linotype" w:cs="Arial"/>
          <w:b/>
          <w:sz w:val="28"/>
          <w:szCs w:val="28"/>
        </w:rPr>
      </w:pPr>
    </w:p>
    <w:p w14:paraId="5793924E" w14:textId="5E2D656F" w:rsidR="00B57B32" w:rsidRPr="00AB1083" w:rsidRDefault="00B57B32" w:rsidP="00B57B32">
      <w:pPr>
        <w:autoSpaceDE w:val="0"/>
        <w:autoSpaceDN w:val="0"/>
        <w:adjustRightInd w:val="0"/>
        <w:spacing w:line="360" w:lineRule="auto"/>
        <w:ind w:right="49"/>
        <w:jc w:val="both"/>
        <w:rPr>
          <w:rFonts w:ascii="Palatino Linotype" w:eastAsia="Calibri" w:hAnsi="Palatino Linotype" w:cs="Arial"/>
        </w:rPr>
      </w:pPr>
      <w:r w:rsidRPr="00AB1083">
        <w:rPr>
          <w:rFonts w:ascii="Palatino Linotype" w:eastAsia="Calibri" w:hAnsi="Palatino Linotype" w:cs="Arial"/>
          <w:b/>
          <w:sz w:val="28"/>
          <w:szCs w:val="28"/>
        </w:rPr>
        <w:t>TERCERO.</w:t>
      </w:r>
      <w:r w:rsidRPr="00AB1083">
        <w:rPr>
          <w:rFonts w:ascii="Palatino Linotype" w:eastAsia="Calibri" w:hAnsi="Palatino Linotype" w:cs="Arial"/>
          <w:b/>
        </w:rPr>
        <w:t xml:space="preserve"> </w:t>
      </w:r>
      <w:r w:rsidR="00A40A50" w:rsidRPr="00AB1083">
        <w:rPr>
          <w:rFonts w:ascii="Palatino Linotype" w:eastAsia="Calibri" w:hAnsi="Palatino Linotype" w:cs="Arial"/>
          <w:b/>
        </w:rPr>
        <w:t>Notifíquese</w:t>
      </w:r>
      <w:r w:rsidR="00A40A50" w:rsidRPr="00AB1083">
        <w:rPr>
          <w:rFonts w:ascii="Palatino Linotype" w:eastAsia="Calibri" w:hAnsi="Palatino Linotype" w:cs="Arial"/>
        </w:rPr>
        <w:t xml:space="preserve"> la presente resolución al Titular de la Unidad de Transparencia del Sujeto Obligado</w:t>
      </w:r>
      <w:r w:rsidR="00BE7F12" w:rsidRPr="00AB1083">
        <w:t xml:space="preserve"> </w:t>
      </w:r>
      <w:r w:rsidR="00BE7F12" w:rsidRPr="00AB1083">
        <w:rPr>
          <w:rFonts w:ascii="Palatino Linotype" w:eastAsia="Calibri" w:hAnsi="Palatino Linotype" w:cs="Arial"/>
        </w:rPr>
        <w:t xml:space="preserve">a través del Sistema de Acceso a la Información Mexiquense </w:t>
      </w:r>
      <w:r w:rsidR="00BE7F12" w:rsidRPr="00AB1083">
        <w:rPr>
          <w:rFonts w:ascii="Palatino Linotype" w:eastAsia="Calibri" w:hAnsi="Palatino Linotype" w:cs="Arial"/>
          <w:b/>
          <w:bCs/>
        </w:rPr>
        <w:t>(SAIMEX)</w:t>
      </w:r>
      <w:r w:rsidR="00A40A50" w:rsidRPr="00AB1083">
        <w:rPr>
          <w:rFonts w:ascii="Palatino Linotype" w:eastAsia="Calibri" w:hAnsi="Palatino Linotype" w:cs="Aria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6197DB" w14:textId="710B7BD4" w:rsidR="00970E3E" w:rsidRPr="00AB1083" w:rsidRDefault="00970E3E" w:rsidP="00B57B32">
      <w:pPr>
        <w:autoSpaceDE w:val="0"/>
        <w:autoSpaceDN w:val="0"/>
        <w:adjustRightInd w:val="0"/>
        <w:spacing w:line="360" w:lineRule="auto"/>
        <w:ind w:right="49"/>
        <w:jc w:val="both"/>
        <w:rPr>
          <w:rFonts w:ascii="Palatino Linotype" w:eastAsia="Calibri" w:hAnsi="Palatino Linotype" w:cs="Arial"/>
        </w:rPr>
      </w:pPr>
    </w:p>
    <w:p w14:paraId="216C0E74" w14:textId="77777777" w:rsidR="00970E3E" w:rsidRPr="00AB1083" w:rsidRDefault="00970E3E" w:rsidP="00970E3E">
      <w:pPr>
        <w:autoSpaceDE w:val="0"/>
        <w:autoSpaceDN w:val="0"/>
        <w:adjustRightInd w:val="0"/>
        <w:spacing w:before="240" w:line="360" w:lineRule="auto"/>
        <w:jc w:val="both"/>
        <w:rPr>
          <w:rFonts w:ascii="Palatino Linotype" w:eastAsia="Calibri" w:hAnsi="Palatino Linotype" w:cs="Arial"/>
        </w:rPr>
      </w:pPr>
      <w:r w:rsidRPr="00AB1083">
        <w:rPr>
          <w:rFonts w:ascii="Palatino Linotype" w:eastAsia="Calibri" w:hAnsi="Palatino Linotype" w:cs="Arial"/>
          <w:b/>
          <w:sz w:val="28"/>
        </w:rPr>
        <w:t>CUARTO</w:t>
      </w:r>
      <w:r w:rsidRPr="00AB1083">
        <w:rPr>
          <w:rFonts w:ascii="Palatino Linotype" w:eastAsia="Calibri" w:hAnsi="Palatino Linotype" w:cs="Arial"/>
          <w:b/>
        </w:rPr>
        <w:t xml:space="preserve">. </w:t>
      </w:r>
      <w:r w:rsidRPr="00AB1083">
        <w:rPr>
          <w:rFonts w:ascii="Palatino Linotype" w:eastAsia="Calibri" w:hAnsi="Palatino Linotype" w:cs="Arial"/>
        </w:rPr>
        <w:t xml:space="preserve">De conformidad con el artículo 198, de la Ley de Transparencia y Acceso a la Información Pública del Estado de México y Municipios, de considerarlo procedente, el </w:t>
      </w:r>
      <w:r w:rsidRPr="00AB1083">
        <w:rPr>
          <w:rFonts w:ascii="Palatino Linotype" w:eastAsia="Calibri" w:hAnsi="Palatino Linotype" w:cs="Arial"/>
          <w:b/>
        </w:rPr>
        <w:t>Sujeto Obligado</w:t>
      </w:r>
      <w:r w:rsidRPr="00AB1083">
        <w:rPr>
          <w:rFonts w:ascii="Palatino Linotype" w:eastAsia="Calibri" w:hAnsi="Palatino Linotype" w:cs="Arial"/>
        </w:rPr>
        <w:t xml:space="preserve"> de manera fundada y motivada, podrá solicitar una ampliación de plazo para el cumplimiento de la presente resolución.</w:t>
      </w:r>
    </w:p>
    <w:p w14:paraId="53609260" w14:textId="77777777" w:rsidR="00B57B32" w:rsidRPr="00AB1083" w:rsidRDefault="00B57B32" w:rsidP="00B57B32">
      <w:pPr>
        <w:pStyle w:val="Sinespaciado"/>
        <w:spacing w:line="360" w:lineRule="auto"/>
        <w:jc w:val="both"/>
        <w:rPr>
          <w:rFonts w:ascii="Palatino Linotype" w:eastAsia="Calibri" w:hAnsi="Palatino Linotype" w:cs="Arial"/>
          <w:b/>
          <w:sz w:val="28"/>
          <w:szCs w:val="28"/>
          <w:lang w:val="es-ES_tradnl" w:eastAsia="en-US"/>
        </w:rPr>
      </w:pPr>
    </w:p>
    <w:p w14:paraId="27ADB086" w14:textId="77777777" w:rsidR="00D876E2" w:rsidRPr="00AB1083" w:rsidRDefault="00D876E2" w:rsidP="00D876E2">
      <w:pPr>
        <w:spacing w:line="360" w:lineRule="auto"/>
        <w:contextualSpacing/>
        <w:jc w:val="both"/>
        <w:rPr>
          <w:rFonts w:ascii="Palatino Linotype" w:eastAsia="Palatino Linotype" w:hAnsi="Palatino Linotype" w:cs="Palatino Linotype"/>
          <w:color w:val="000000"/>
          <w:lang w:eastAsia="es-MX"/>
        </w:rPr>
      </w:pPr>
      <w:r w:rsidRPr="00AB1083">
        <w:rPr>
          <w:rFonts w:ascii="Palatino Linotype" w:eastAsia="Palatino Linotype" w:hAnsi="Palatino Linotype" w:cs="Palatino Linotype"/>
          <w:b/>
          <w:color w:val="000000"/>
          <w:sz w:val="28"/>
          <w:szCs w:val="28"/>
          <w:lang w:eastAsia="es-MX"/>
        </w:rPr>
        <w:t>QUINTO.</w:t>
      </w:r>
      <w:r w:rsidRPr="00AB1083">
        <w:rPr>
          <w:rFonts w:ascii="Palatino Linotype" w:eastAsia="Palatino Linotype" w:hAnsi="Palatino Linotype" w:cs="Palatino Linotype"/>
          <w:b/>
          <w:color w:val="000000"/>
          <w:lang w:eastAsia="es-MX"/>
        </w:rPr>
        <w:t xml:space="preserve"> Notifíquese </w:t>
      </w:r>
      <w:r w:rsidRPr="00AB1083">
        <w:rPr>
          <w:rFonts w:ascii="Palatino Linotype" w:eastAsia="Palatino Linotype" w:hAnsi="Palatino Linotype" w:cs="Palatino Linotype"/>
          <w:color w:val="000000"/>
          <w:lang w:eastAsia="es-MX"/>
        </w:rPr>
        <w:t>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D59C617" w14:textId="77777777" w:rsidR="00D876E2" w:rsidRPr="00AB1083" w:rsidRDefault="00D876E2" w:rsidP="00D876E2">
      <w:pPr>
        <w:spacing w:line="360" w:lineRule="auto"/>
        <w:contextualSpacing/>
        <w:jc w:val="both"/>
        <w:rPr>
          <w:rFonts w:ascii="Palatino Linotype" w:eastAsia="Palatino Linotype" w:hAnsi="Palatino Linotype" w:cs="Palatino Linotype"/>
          <w:sz w:val="32"/>
          <w:lang w:eastAsia="es-MX"/>
        </w:rPr>
      </w:pPr>
    </w:p>
    <w:p w14:paraId="08115027" w14:textId="40F25B06" w:rsidR="00D876E2" w:rsidRPr="00AB1083" w:rsidRDefault="00D876E2" w:rsidP="00D876E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eastAsia="es-MX"/>
        </w:rPr>
      </w:pPr>
      <w:r w:rsidRPr="00AB1083">
        <w:rPr>
          <w:rFonts w:ascii="Palatino Linotype" w:eastAsia="Palatino Linotype" w:hAnsi="Palatino Linotype" w:cs="Palatino Linotype"/>
          <w:color w:val="000000"/>
          <w:lang w:eastAsia="es-MX"/>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64B32" w:rsidRPr="00AB1083">
        <w:rPr>
          <w:rFonts w:ascii="Palatino Linotype" w:eastAsia="Palatino Linotype" w:hAnsi="Palatino Linotype" w:cs="Palatino Linotype"/>
          <w:color w:val="000000"/>
          <w:lang w:eastAsia="es-MX"/>
        </w:rPr>
        <w:t xml:space="preserve"> (</w:t>
      </w:r>
      <w:r w:rsidR="00EE33DB" w:rsidRPr="00AB1083">
        <w:rPr>
          <w:rFonts w:ascii="Palatino Linotype" w:eastAsia="Palatino Linotype" w:hAnsi="Palatino Linotype" w:cs="Palatino Linotype"/>
          <w:color w:val="000000"/>
          <w:lang w:eastAsia="es-MX"/>
        </w:rPr>
        <w:t xml:space="preserve">EMITIENDO </w:t>
      </w:r>
      <w:r w:rsidR="00864B32" w:rsidRPr="00AB1083">
        <w:rPr>
          <w:rFonts w:ascii="Palatino Linotype" w:eastAsia="Palatino Linotype" w:hAnsi="Palatino Linotype" w:cs="Palatino Linotype"/>
          <w:color w:val="000000"/>
          <w:lang w:eastAsia="es-MX"/>
        </w:rPr>
        <w:t>VOTO PARTICULAR)</w:t>
      </w:r>
      <w:r w:rsidRPr="00AB1083">
        <w:rPr>
          <w:rFonts w:ascii="Palatino Linotype" w:eastAsia="Palatino Linotype" w:hAnsi="Palatino Linotype" w:cs="Palatino Linotype"/>
          <w:color w:val="000000"/>
          <w:lang w:eastAsia="es-MX"/>
        </w:rPr>
        <w:t>, SHARON CRISTINA MORALES MARTÍNEZ, LUIS GUSTAVO PARRA NORIEGA</w:t>
      </w:r>
      <w:r w:rsidR="00864B32" w:rsidRPr="00AB1083">
        <w:rPr>
          <w:rFonts w:ascii="Palatino Linotype" w:eastAsia="Palatino Linotype" w:hAnsi="Palatino Linotype" w:cs="Palatino Linotype"/>
          <w:color w:val="000000"/>
          <w:lang w:eastAsia="es-MX"/>
        </w:rPr>
        <w:t xml:space="preserve"> (</w:t>
      </w:r>
      <w:r w:rsidR="00EE33DB" w:rsidRPr="00AB1083">
        <w:rPr>
          <w:rFonts w:ascii="Palatino Linotype" w:eastAsia="Palatino Linotype" w:hAnsi="Palatino Linotype" w:cs="Palatino Linotype"/>
          <w:color w:val="000000"/>
          <w:lang w:eastAsia="es-MX"/>
        </w:rPr>
        <w:t>EMITIENDO -</w:t>
      </w:r>
      <w:r w:rsidR="00864B32" w:rsidRPr="00AB1083">
        <w:rPr>
          <w:rFonts w:ascii="Palatino Linotype" w:eastAsia="Palatino Linotype" w:hAnsi="Palatino Linotype" w:cs="Palatino Linotype"/>
          <w:color w:val="000000"/>
          <w:lang w:eastAsia="es-MX"/>
        </w:rPr>
        <w:t>VOTO PARTICULAR)</w:t>
      </w:r>
      <w:r w:rsidRPr="00AB1083">
        <w:rPr>
          <w:rFonts w:ascii="Palatino Linotype" w:eastAsia="Palatino Linotype" w:hAnsi="Palatino Linotype" w:cs="Palatino Linotype"/>
          <w:color w:val="000000"/>
          <w:lang w:eastAsia="es-MX"/>
        </w:rPr>
        <w:t xml:space="preserve"> Y GUADALUPE RAMÍREZ PEÑA, EN LA DÉCIMA QUINTA SESIÓN ORDINARIA CELEBRADA EL TREINTA DE ABRIL DE DOS MIL VEINTICINCO, ANTE EL SECRETARIO TÉCNICO DEL PLENO, ALEXIS TAPIA RAMÍREZ.--------------------------------------------------------------------------------------------------------------------------------------------------------------------------------------------------------------------------------------------------------------------------------------------------------------------------------------------------------------------------------------------------------------------------------------------</w:t>
      </w:r>
      <w:r w:rsidR="00A535C0" w:rsidRPr="00AB1083">
        <w:rPr>
          <w:rFonts w:ascii="Palatino Linotype" w:eastAsia="Palatino Linotype" w:hAnsi="Palatino Linotype" w:cs="Palatino Linotype"/>
          <w:color w:val="000000"/>
          <w:lang w:eastAsia="es-MX"/>
        </w:rPr>
        <w:t>-------------------------------------------------------------------------------------------------------------------------------------------------------------------------------------------------------------------------------------------------------------------------------------------------------------------------------------------------------------------------------------------------------------------------------------------------------------------</w:t>
      </w:r>
    </w:p>
    <w:p w14:paraId="1B3C9BF2" w14:textId="77777777" w:rsidR="00D876E2" w:rsidRPr="00A21E77" w:rsidRDefault="00D876E2" w:rsidP="00D876E2">
      <w:pPr>
        <w:pBdr>
          <w:top w:val="nil"/>
          <w:left w:val="nil"/>
          <w:bottom w:val="nil"/>
          <w:right w:val="nil"/>
          <w:between w:val="nil"/>
        </w:pBdr>
        <w:contextualSpacing/>
        <w:jc w:val="both"/>
        <w:rPr>
          <w:rFonts w:ascii="Palatino Linotype" w:eastAsia="Palatino Linotype" w:hAnsi="Palatino Linotype" w:cs="Palatino Linotype"/>
          <w:color w:val="000000"/>
          <w:sz w:val="20"/>
          <w:szCs w:val="20"/>
          <w:lang w:eastAsia="es-MX"/>
        </w:rPr>
      </w:pPr>
      <w:r w:rsidRPr="00AB1083">
        <w:rPr>
          <w:rFonts w:ascii="Palatino Linotype" w:eastAsia="Palatino Linotype" w:hAnsi="Palatino Linotype" w:cs="Palatino Linotype"/>
          <w:color w:val="000000"/>
          <w:sz w:val="20"/>
          <w:szCs w:val="20"/>
          <w:lang w:eastAsia="es-MX"/>
        </w:rPr>
        <w:t>JMV/CCR/EJDG</w:t>
      </w:r>
      <w:bookmarkStart w:id="2" w:name="_GoBack"/>
      <w:bookmarkEnd w:id="2"/>
    </w:p>
    <w:p w14:paraId="7F375A18" w14:textId="77777777" w:rsidR="00D876E2" w:rsidRPr="00A21E77" w:rsidRDefault="00D876E2" w:rsidP="00D876E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0"/>
          <w:szCs w:val="20"/>
          <w:lang w:eastAsia="es-MX"/>
        </w:rPr>
      </w:pPr>
    </w:p>
    <w:p w14:paraId="7BE48393" w14:textId="77777777" w:rsidR="00C812E3" w:rsidRPr="00A21E77" w:rsidRDefault="00C812E3" w:rsidP="00D876E2">
      <w:pPr>
        <w:spacing w:line="360" w:lineRule="auto"/>
        <w:jc w:val="both"/>
        <w:rPr>
          <w:sz w:val="20"/>
        </w:rPr>
      </w:pPr>
    </w:p>
    <w:sectPr w:rsidR="00C812E3" w:rsidRPr="00A21E77" w:rsidSect="00564DB2">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FCCD1" w14:textId="77777777" w:rsidR="00602281" w:rsidRDefault="00602281" w:rsidP="00D34057">
      <w:r>
        <w:separator/>
      </w:r>
    </w:p>
  </w:endnote>
  <w:endnote w:type="continuationSeparator" w:id="0">
    <w:p w14:paraId="11EEDEE9" w14:textId="77777777" w:rsidR="00602281" w:rsidRDefault="00602281"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7777777" w:rsidR="00602281" w:rsidRPr="000B69FA" w:rsidRDefault="00602281"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B1083">
      <w:rPr>
        <w:rFonts w:ascii="Palatino Linotype" w:hAnsi="Palatino Linotype"/>
        <w:bCs/>
        <w:noProof/>
        <w:sz w:val="20"/>
      </w:rPr>
      <w:t>17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B1083">
      <w:rPr>
        <w:rFonts w:ascii="Palatino Linotype" w:hAnsi="Palatino Linotype"/>
        <w:bCs/>
        <w:noProof/>
        <w:sz w:val="20"/>
      </w:rPr>
      <w:t>17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77777777" w:rsidR="00602281" w:rsidRPr="008171C2" w:rsidRDefault="00602281"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AB1083">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AB1083">
      <w:rPr>
        <w:rFonts w:ascii="Palatino Linotype" w:hAnsi="Palatino Linotype"/>
        <w:b/>
        <w:bCs/>
        <w:noProof/>
        <w:sz w:val="20"/>
      </w:rPr>
      <w:t>18</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03AA3" w14:textId="77777777" w:rsidR="00602281" w:rsidRDefault="00602281" w:rsidP="00D34057">
      <w:r>
        <w:separator/>
      </w:r>
    </w:p>
  </w:footnote>
  <w:footnote w:type="continuationSeparator" w:id="0">
    <w:p w14:paraId="599FD2F4" w14:textId="77777777" w:rsidR="00602281" w:rsidRDefault="00602281" w:rsidP="00D34057">
      <w:r>
        <w:continuationSeparator/>
      </w:r>
    </w:p>
  </w:footnote>
  <w:footnote w:id="1">
    <w:p w14:paraId="4A7DCFA5" w14:textId="77777777" w:rsidR="00602281" w:rsidRPr="00EE06B0" w:rsidRDefault="00602281"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602281" w:rsidRPr="00EE06B0" w:rsidRDefault="00602281"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602281" w:rsidRDefault="00AB1083">
    <w:pPr>
      <w:pStyle w:val="Encabezado"/>
    </w:pPr>
    <w:r>
      <w:rPr>
        <w:noProof/>
      </w:rPr>
      <w:pict w14:anchorId="2EC6C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4"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602281" w14:paraId="3EBBCCA0" w14:textId="77777777" w:rsidTr="00E31501">
      <w:trPr>
        <w:trHeight w:val="227"/>
      </w:trPr>
      <w:tc>
        <w:tcPr>
          <w:tcW w:w="5529" w:type="dxa"/>
          <w:hideMark/>
        </w:tcPr>
        <w:p w14:paraId="5F4AF24B"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5DBD6E4A" w:rsidR="00602281" w:rsidRDefault="00536CE4" w:rsidP="00564DB2">
          <w:pPr>
            <w:spacing w:after="120" w:line="256" w:lineRule="auto"/>
            <w:ind w:left="-486" w:right="214" w:firstLine="1585"/>
            <w:jc w:val="right"/>
            <w:rPr>
              <w:rFonts w:ascii="Palatino Linotype" w:hAnsi="Palatino Linotype" w:cs="Arial"/>
              <w:szCs w:val="20"/>
            </w:rPr>
          </w:pPr>
          <w:r w:rsidRPr="00536CE4">
            <w:rPr>
              <w:rFonts w:ascii="Palatino Linotype" w:hAnsi="Palatino Linotype" w:cs="Arial"/>
              <w:bCs/>
              <w:lang w:eastAsia="es-MX"/>
            </w:rPr>
            <w:t>01925/INFOEM/IP/RR/2025</w:t>
          </w:r>
        </w:p>
      </w:tc>
    </w:tr>
    <w:tr w:rsidR="00602281" w14:paraId="05B82912" w14:textId="77777777" w:rsidTr="00E31501">
      <w:trPr>
        <w:trHeight w:val="242"/>
      </w:trPr>
      <w:tc>
        <w:tcPr>
          <w:tcW w:w="5529" w:type="dxa"/>
          <w:hideMark/>
        </w:tcPr>
        <w:p w14:paraId="45A5E639"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3FDB8212" w:rsidR="00602281" w:rsidRDefault="00536CE4" w:rsidP="00E31501">
          <w:pPr>
            <w:spacing w:line="256" w:lineRule="auto"/>
            <w:ind w:left="-72" w:right="214" w:firstLine="284"/>
            <w:jc w:val="right"/>
            <w:rPr>
              <w:rFonts w:ascii="Palatino Linotype" w:hAnsi="Palatino Linotype" w:cs="Arial"/>
              <w:szCs w:val="20"/>
            </w:rPr>
          </w:pPr>
          <w:r w:rsidRPr="00536CE4">
            <w:rPr>
              <w:rFonts w:ascii="Palatino Linotype" w:hAnsi="Palatino Linotype" w:cs="Arial"/>
              <w:szCs w:val="20"/>
            </w:rPr>
            <w:t>Secretaría de Educación, Ciencia, Tecnología e Innovación</w:t>
          </w:r>
        </w:p>
      </w:tc>
    </w:tr>
    <w:tr w:rsidR="00602281" w14:paraId="4AC99349" w14:textId="77777777" w:rsidTr="00E31501">
      <w:trPr>
        <w:trHeight w:val="342"/>
      </w:trPr>
      <w:tc>
        <w:tcPr>
          <w:tcW w:w="5529" w:type="dxa"/>
          <w:hideMark/>
        </w:tcPr>
        <w:p w14:paraId="050C3A62" w14:textId="2269D921"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12886D6" w14:textId="2F7A3DA2"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602281" w:rsidRDefault="006022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602281" w14:paraId="393A0417" w14:textId="77777777" w:rsidTr="00564DB2">
      <w:trPr>
        <w:trHeight w:val="227"/>
      </w:trPr>
      <w:tc>
        <w:tcPr>
          <w:tcW w:w="5529" w:type="dxa"/>
          <w:hideMark/>
        </w:tcPr>
        <w:p w14:paraId="1D809BCF" w14:textId="294A4220"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2B25034B" w:rsidR="00602281" w:rsidRPr="00B4142F" w:rsidRDefault="00536CE4" w:rsidP="004558D1">
          <w:pPr>
            <w:spacing w:after="120" w:line="256" w:lineRule="auto"/>
            <w:ind w:left="-486" w:right="214" w:firstLine="1408"/>
            <w:jc w:val="right"/>
            <w:rPr>
              <w:rFonts w:ascii="Palatino Linotype" w:hAnsi="Palatino Linotype" w:cs="Arial"/>
              <w:szCs w:val="20"/>
            </w:rPr>
          </w:pPr>
          <w:r w:rsidRPr="00536CE4">
            <w:rPr>
              <w:rFonts w:ascii="Palatino Linotype" w:hAnsi="Palatino Linotype" w:cs="Arial"/>
              <w:bCs/>
              <w:lang w:eastAsia="es-MX"/>
            </w:rPr>
            <w:t>01925/INFOEM/IP/RR/2025</w:t>
          </w:r>
        </w:p>
      </w:tc>
    </w:tr>
    <w:tr w:rsidR="00602281" w14:paraId="3CBA8370" w14:textId="77777777" w:rsidTr="00564DB2">
      <w:trPr>
        <w:trHeight w:val="196"/>
      </w:trPr>
      <w:tc>
        <w:tcPr>
          <w:tcW w:w="5529" w:type="dxa"/>
          <w:hideMark/>
        </w:tcPr>
        <w:p w14:paraId="01BBAC1E" w14:textId="77777777" w:rsidR="00602281" w:rsidRDefault="00602281"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04641D99" w:rsidR="00602281" w:rsidRPr="00F06FED" w:rsidRDefault="00FC5543" w:rsidP="00564DB2">
          <w:pPr>
            <w:spacing w:after="120" w:line="256" w:lineRule="auto"/>
            <w:ind w:left="-486" w:right="214" w:firstLine="567"/>
            <w:jc w:val="right"/>
            <w:rPr>
              <w:rFonts w:ascii="Palatino Linotype" w:hAnsi="Palatino Linotype" w:cs="Arial"/>
            </w:rPr>
          </w:pPr>
          <w:r>
            <w:rPr>
              <w:rFonts w:ascii="Palatino Linotype" w:hAnsi="Palatino Linotype" w:cs="Arial"/>
            </w:rPr>
            <w:t>XXXXXXXXXXXXXXXXXXXXXXXX</w:t>
          </w:r>
        </w:p>
      </w:tc>
    </w:tr>
    <w:tr w:rsidR="00602281" w14:paraId="3016720F" w14:textId="77777777" w:rsidTr="00564DB2">
      <w:trPr>
        <w:trHeight w:val="242"/>
      </w:trPr>
      <w:tc>
        <w:tcPr>
          <w:tcW w:w="5529" w:type="dxa"/>
          <w:hideMark/>
        </w:tcPr>
        <w:p w14:paraId="5A512D3D" w14:textId="77777777" w:rsidR="00602281" w:rsidRDefault="00602281" w:rsidP="008171C2">
          <w:pPr>
            <w:spacing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480BF835" w:rsidR="00602281" w:rsidRDefault="00536CE4" w:rsidP="008171C2">
          <w:pPr>
            <w:spacing w:line="256" w:lineRule="auto"/>
            <w:ind w:left="-495" w:right="214" w:firstLine="567"/>
            <w:jc w:val="right"/>
            <w:rPr>
              <w:rFonts w:ascii="Palatino Linotype" w:hAnsi="Palatino Linotype" w:cs="Arial"/>
              <w:szCs w:val="20"/>
            </w:rPr>
          </w:pPr>
          <w:r w:rsidRPr="00536CE4">
            <w:rPr>
              <w:rFonts w:ascii="Palatino Linotype" w:hAnsi="Palatino Linotype" w:cs="Arial"/>
              <w:szCs w:val="20"/>
            </w:rPr>
            <w:t>Secretaría de Educación, Ciencia, Tecnología e Innovación</w:t>
          </w:r>
        </w:p>
      </w:tc>
    </w:tr>
    <w:tr w:rsidR="00602281" w14:paraId="1DA38D4E" w14:textId="77777777" w:rsidTr="00564DB2">
      <w:trPr>
        <w:trHeight w:val="342"/>
      </w:trPr>
      <w:tc>
        <w:tcPr>
          <w:tcW w:w="5529" w:type="dxa"/>
          <w:hideMark/>
        </w:tcPr>
        <w:p w14:paraId="68227E44" w14:textId="493ED142" w:rsidR="00602281" w:rsidRDefault="00602281"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E52E839" w14:textId="05C6E02C" w:rsidR="00602281" w:rsidRDefault="00602281"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602281" w:rsidRPr="00FF74F5" w:rsidRDefault="00AB1083">
    <w:pPr>
      <w:pStyle w:val="Encabezado"/>
      <w:rPr>
        <w:sz w:val="2"/>
      </w:rPr>
    </w:pPr>
    <w:r>
      <w:rPr>
        <w:rFonts w:ascii="Palatino Linotype" w:hAnsi="Palatino Linotype" w:cs="Arial"/>
        <w:b/>
        <w:noProof/>
        <w:szCs w:val="20"/>
      </w:rPr>
      <w:pict w14:anchorId="75BEA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8433"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E1D49"/>
    <w:multiLevelType w:val="multilevel"/>
    <w:tmpl w:val="1DEE77F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0F50269D"/>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5728F2"/>
    <w:multiLevelType w:val="multilevel"/>
    <w:tmpl w:val="BD72329E"/>
    <w:lvl w:ilvl="0">
      <w:start w:val="1"/>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787912"/>
    <w:multiLevelType w:val="hybridMultilevel"/>
    <w:tmpl w:val="8374931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B05448"/>
    <w:multiLevelType w:val="hybridMultilevel"/>
    <w:tmpl w:val="F4CA8170"/>
    <w:lvl w:ilvl="0" w:tplc="7974F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D96EC0"/>
    <w:multiLevelType w:val="hybridMultilevel"/>
    <w:tmpl w:val="67C68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B1400"/>
    <w:multiLevelType w:val="hybridMultilevel"/>
    <w:tmpl w:val="FFFFFFFF"/>
    <w:lvl w:ilvl="0" w:tplc="7480C6B8">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3496DAC"/>
    <w:multiLevelType w:val="hybridMultilevel"/>
    <w:tmpl w:val="47BC8C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5740CF2"/>
    <w:multiLevelType w:val="hybridMultilevel"/>
    <w:tmpl w:val="0E227470"/>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282014DE"/>
    <w:multiLevelType w:val="hybridMultilevel"/>
    <w:tmpl w:val="685C0FA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C6F6414"/>
    <w:multiLevelType w:val="hybridMultilevel"/>
    <w:tmpl w:val="DFCE78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8673F3"/>
    <w:multiLevelType w:val="hybridMultilevel"/>
    <w:tmpl w:val="C9E62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D546C6"/>
    <w:multiLevelType w:val="hybridMultilevel"/>
    <w:tmpl w:val="A55647BA"/>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1339A3"/>
    <w:multiLevelType w:val="hybridMultilevel"/>
    <w:tmpl w:val="FFFFFFFF"/>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21" w15:restartNumberingAfterBreak="0">
    <w:nsid w:val="34845BA1"/>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981988"/>
    <w:multiLevelType w:val="hybridMultilevel"/>
    <w:tmpl w:val="513849C0"/>
    <w:lvl w:ilvl="0" w:tplc="37F2C516">
      <w:start w:val="1"/>
      <w:numFmt w:val="decimal"/>
      <w:lvlText w:val="%1."/>
      <w:lvlJc w:val="left"/>
      <w:pPr>
        <w:ind w:left="720" w:hanging="360"/>
      </w:pPr>
      <w:rPr>
        <w:rFonts w:eastAsia="Times New Roman" w:hint="default"/>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4" w15:restartNumberingAfterBreak="0">
    <w:nsid w:val="397D42FB"/>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D832FD"/>
    <w:multiLevelType w:val="hybridMultilevel"/>
    <w:tmpl w:val="FFFFFFFF"/>
    <w:lvl w:ilvl="0" w:tplc="CD4088FE">
      <w:numFmt w:val="bullet"/>
      <w:lvlText w:val=""/>
      <w:lvlJc w:val="left"/>
      <w:pPr>
        <w:ind w:left="720" w:hanging="360"/>
      </w:pPr>
      <w:rPr>
        <w:rFonts w:ascii="Symbol" w:eastAsia="Times New Roman" w:hAnsi="Symbol" w:hint="default"/>
        <w:i w:val="0"/>
        <w:sz w:val="24"/>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166C83"/>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1F3AFD"/>
    <w:multiLevelType w:val="hybridMultilevel"/>
    <w:tmpl w:val="9D14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CD0962"/>
    <w:multiLevelType w:val="hybridMultilevel"/>
    <w:tmpl w:val="BCBCF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AE5205"/>
    <w:multiLevelType w:val="hybridMultilevel"/>
    <w:tmpl w:val="DDD285DC"/>
    <w:lvl w:ilvl="0" w:tplc="FD88E084">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3" w15:restartNumberingAfterBreak="0">
    <w:nsid w:val="58CD7220"/>
    <w:multiLevelType w:val="hybridMultilevel"/>
    <w:tmpl w:val="FFFFFFFF"/>
    <w:lvl w:ilvl="0" w:tplc="71AC5834">
      <w:start w:val="1"/>
      <w:numFmt w:val="upperRoman"/>
      <w:lvlText w:val="%1."/>
      <w:lvlJc w:val="left"/>
      <w:pPr>
        <w:ind w:left="1287" w:hanging="720"/>
      </w:pPr>
      <w:rPr>
        <w:rFonts w:cs="Times New Roman" w:hint="default"/>
        <w:b/>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34"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C63E13"/>
    <w:multiLevelType w:val="hybridMultilevel"/>
    <w:tmpl w:val="E354ACDA"/>
    <w:lvl w:ilvl="0" w:tplc="54BC04D6">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688B6535"/>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0B010D"/>
    <w:multiLevelType w:val="hybridMultilevel"/>
    <w:tmpl w:val="A504F266"/>
    <w:lvl w:ilvl="0" w:tplc="8D74404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1E356FE"/>
    <w:multiLevelType w:val="hybridMultilevel"/>
    <w:tmpl w:val="747C32C8"/>
    <w:lvl w:ilvl="0" w:tplc="080A0017">
      <w:start w:val="1"/>
      <w:numFmt w:val="lowerLetter"/>
      <w:lvlText w:val="%1)"/>
      <w:lvlJc w:val="left"/>
      <w:pPr>
        <w:ind w:left="9008" w:hanging="360"/>
      </w:pPr>
      <w:rPr>
        <w:rFonts w:hint="default"/>
      </w:rPr>
    </w:lvl>
    <w:lvl w:ilvl="1" w:tplc="080A0019">
      <w:start w:val="1"/>
      <w:numFmt w:val="lowerLetter"/>
      <w:lvlText w:val="%2."/>
      <w:lvlJc w:val="left"/>
      <w:pPr>
        <w:ind w:left="9728" w:hanging="360"/>
      </w:pPr>
    </w:lvl>
    <w:lvl w:ilvl="2" w:tplc="080A001B" w:tentative="1">
      <w:start w:val="1"/>
      <w:numFmt w:val="lowerRoman"/>
      <w:lvlText w:val="%3."/>
      <w:lvlJc w:val="right"/>
      <w:pPr>
        <w:ind w:left="10448" w:hanging="180"/>
      </w:pPr>
    </w:lvl>
    <w:lvl w:ilvl="3" w:tplc="080A000F" w:tentative="1">
      <w:start w:val="1"/>
      <w:numFmt w:val="decimal"/>
      <w:lvlText w:val="%4."/>
      <w:lvlJc w:val="left"/>
      <w:pPr>
        <w:ind w:left="11168" w:hanging="360"/>
      </w:pPr>
    </w:lvl>
    <w:lvl w:ilvl="4" w:tplc="080A0019" w:tentative="1">
      <w:start w:val="1"/>
      <w:numFmt w:val="lowerLetter"/>
      <w:lvlText w:val="%5."/>
      <w:lvlJc w:val="left"/>
      <w:pPr>
        <w:ind w:left="11888" w:hanging="360"/>
      </w:pPr>
    </w:lvl>
    <w:lvl w:ilvl="5" w:tplc="080A001B" w:tentative="1">
      <w:start w:val="1"/>
      <w:numFmt w:val="lowerRoman"/>
      <w:lvlText w:val="%6."/>
      <w:lvlJc w:val="right"/>
      <w:pPr>
        <w:ind w:left="12608" w:hanging="180"/>
      </w:pPr>
    </w:lvl>
    <w:lvl w:ilvl="6" w:tplc="080A000F" w:tentative="1">
      <w:start w:val="1"/>
      <w:numFmt w:val="decimal"/>
      <w:lvlText w:val="%7."/>
      <w:lvlJc w:val="left"/>
      <w:pPr>
        <w:ind w:left="13328" w:hanging="360"/>
      </w:pPr>
    </w:lvl>
    <w:lvl w:ilvl="7" w:tplc="080A0019" w:tentative="1">
      <w:start w:val="1"/>
      <w:numFmt w:val="lowerLetter"/>
      <w:lvlText w:val="%8."/>
      <w:lvlJc w:val="left"/>
      <w:pPr>
        <w:ind w:left="14048" w:hanging="360"/>
      </w:pPr>
    </w:lvl>
    <w:lvl w:ilvl="8" w:tplc="080A001B" w:tentative="1">
      <w:start w:val="1"/>
      <w:numFmt w:val="lowerRoman"/>
      <w:lvlText w:val="%9."/>
      <w:lvlJc w:val="right"/>
      <w:pPr>
        <w:ind w:left="14768" w:hanging="180"/>
      </w:pPr>
    </w:lvl>
  </w:abstractNum>
  <w:abstractNum w:abstractNumId="40" w15:restartNumberingAfterBreak="0">
    <w:nsid w:val="782C7473"/>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46339D"/>
    <w:multiLevelType w:val="hybridMultilevel"/>
    <w:tmpl w:val="FFFFFFFF"/>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15181F"/>
    <w:multiLevelType w:val="hybridMultilevel"/>
    <w:tmpl w:val="494EA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2C0417"/>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D64883"/>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9"/>
  </w:num>
  <w:num w:numId="2">
    <w:abstractNumId w:val="8"/>
  </w:num>
  <w:num w:numId="3">
    <w:abstractNumId w:val="31"/>
  </w:num>
  <w:num w:numId="4">
    <w:abstractNumId w:val="30"/>
  </w:num>
  <w:num w:numId="5">
    <w:abstractNumId w:val="44"/>
  </w:num>
  <w:num w:numId="6">
    <w:abstractNumId w:val="32"/>
  </w:num>
  <w:num w:numId="7">
    <w:abstractNumId w:val="24"/>
  </w:num>
  <w:num w:numId="8">
    <w:abstractNumId w:val="36"/>
  </w:num>
  <w:num w:numId="9">
    <w:abstractNumId w:val="23"/>
  </w:num>
  <w:num w:numId="10">
    <w:abstractNumId w:val="20"/>
  </w:num>
  <w:num w:numId="11">
    <w:abstractNumId w:val="0"/>
  </w:num>
  <w:num w:numId="12">
    <w:abstractNumId w:val="18"/>
  </w:num>
  <w:num w:numId="13">
    <w:abstractNumId w:val="13"/>
  </w:num>
  <w:num w:numId="14">
    <w:abstractNumId w:val="17"/>
  </w:num>
  <w:num w:numId="15">
    <w:abstractNumId w:val="42"/>
  </w:num>
  <w:num w:numId="16">
    <w:abstractNumId w:val="35"/>
  </w:num>
  <w:num w:numId="17">
    <w:abstractNumId w:val="6"/>
  </w:num>
  <w:num w:numId="18">
    <w:abstractNumId w:val="16"/>
  </w:num>
  <w:num w:numId="19">
    <w:abstractNumId w:val="7"/>
  </w:num>
  <w:num w:numId="20">
    <w:abstractNumId w:val="2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1"/>
  </w:num>
  <w:num w:numId="25">
    <w:abstractNumId w:val="2"/>
  </w:num>
  <w:num w:numId="26">
    <w:abstractNumId w:val="28"/>
  </w:num>
  <w:num w:numId="27">
    <w:abstractNumId w:val="43"/>
  </w:num>
  <w:num w:numId="28">
    <w:abstractNumId w:val="4"/>
  </w:num>
  <w:num w:numId="29">
    <w:abstractNumId w:val="3"/>
  </w:num>
  <w:num w:numId="30">
    <w:abstractNumId w:val="29"/>
  </w:num>
  <w:num w:numId="31">
    <w:abstractNumId w:val="34"/>
  </w:num>
  <w:num w:numId="32">
    <w:abstractNumId w:val="9"/>
  </w:num>
  <w:num w:numId="33">
    <w:abstractNumId w:val="14"/>
  </w:num>
  <w:num w:numId="34">
    <w:abstractNumId w:val="45"/>
  </w:num>
  <w:num w:numId="35">
    <w:abstractNumId w:val="21"/>
  </w:num>
  <w:num w:numId="36">
    <w:abstractNumId w:val="22"/>
  </w:num>
  <w:num w:numId="37">
    <w:abstractNumId w:val="37"/>
  </w:num>
  <w:num w:numId="38">
    <w:abstractNumId w:val="41"/>
  </w:num>
  <w:num w:numId="39">
    <w:abstractNumId w:val="11"/>
  </w:num>
  <w:num w:numId="40">
    <w:abstractNumId w:val="33"/>
  </w:num>
  <w:num w:numId="41">
    <w:abstractNumId w:val="40"/>
  </w:num>
  <w:num w:numId="42">
    <w:abstractNumId w:val="27"/>
  </w:num>
  <w:num w:numId="43">
    <w:abstractNumId w:val="38"/>
  </w:num>
  <w:num w:numId="44">
    <w:abstractNumId w:val="26"/>
    <w:lvlOverride w:ilvl="0">
      <w:startOverride w:val="1"/>
    </w:lvlOverride>
    <w:lvlOverride w:ilvl="1"/>
    <w:lvlOverride w:ilvl="2"/>
    <w:lvlOverride w:ilvl="3"/>
    <w:lvlOverride w:ilvl="4"/>
    <w:lvlOverride w:ilvl="5"/>
    <w:lvlOverride w:ilvl="6"/>
    <w:lvlOverride w:ilvl="7"/>
    <w:lvlOverride w:ilvl="8"/>
  </w:num>
  <w:num w:numId="45">
    <w:abstractNumId w:val="10"/>
  </w:num>
  <w:num w:numId="46">
    <w:abstractNumId w:val="1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ES_tradnl" w:vendorID="64" w:dllVersion="131078" w:nlCheck="1" w:checkStyle="1"/>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1177F"/>
    <w:rsid w:val="00013A05"/>
    <w:rsid w:val="00016BB6"/>
    <w:rsid w:val="00017B86"/>
    <w:rsid w:val="000207D9"/>
    <w:rsid w:val="00020B6A"/>
    <w:rsid w:val="00023B33"/>
    <w:rsid w:val="00026EB1"/>
    <w:rsid w:val="000315E6"/>
    <w:rsid w:val="00036AC1"/>
    <w:rsid w:val="00041A17"/>
    <w:rsid w:val="00042B17"/>
    <w:rsid w:val="00050780"/>
    <w:rsid w:val="0005458E"/>
    <w:rsid w:val="00055AB9"/>
    <w:rsid w:val="00062758"/>
    <w:rsid w:val="00071C47"/>
    <w:rsid w:val="00075085"/>
    <w:rsid w:val="00080B3C"/>
    <w:rsid w:val="00085636"/>
    <w:rsid w:val="000A118A"/>
    <w:rsid w:val="000A1613"/>
    <w:rsid w:val="000A3A64"/>
    <w:rsid w:val="000A5A65"/>
    <w:rsid w:val="000B1582"/>
    <w:rsid w:val="000B3B42"/>
    <w:rsid w:val="000C26FD"/>
    <w:rsid w:val="000C7DA1"/>
    <w:rsid w:val="000D006F"/>
    <w:rsid w:val="000D1944"/>
    <w:rsid w:val="000D4CB2"/>
    <w:rsid w:val="000D6553"/>
    <w:rsid w:val="000D6FBA"/>
    <w:rsid w:val="000E269D"/>
    <w:rsid w:val="000E4660"/>
    <w:rsid w:val="000E7652"/>
    <w:rsid w:val="000E7C06"/>
    <w:rsid w:val="000F12A4"/>
    <w:rsid w:val="000F381D"/>
    <w:rsid w:val="000F3DE8"/>
    <w:rsid w:val="000F43D7"/>
    <w:rsid w:val="000F5CBE"/>
    <w:rsid w:val="000F68BF"/>
    <w:rsid w:val="000F6CA6"/>
    <w:rsid w:val="00101D29"/>
    <w:rsid w:val="00117E65"/>
    <w:rsid w:val="00120096"/>
    <w:rsid w:val="00121164"/>
    <w:rsid w:val="0012374B"/>
    <w:rsid w:val="00123ECE"/>
    <w:rsid w:val="00126D67"/>
    <w:rsid w:val="00135F23"/>
    <w:rsid w:val="00137368"/>
    <w:rsid w:val="00140DDF"/>
    <w:rsid w:val="00141116"/>
    <w:rsid w:val="00141623"/>
    <w:rsid w:val="00143708"/>
    <w:rsid w:val="00143843"/>
    <w:rsid w:val="00147EC5"/>
    <w:rsid w:val="00152971"/>
    <w:rsid w:val="00153E99"/>
    <w:rsid w:val="001545AD"/>
    <w:rsid w:val="00154E6B"/>
    <w:rsid w:val="00155F3D"/>
    <w:rsid w:val="001615BA"/>
    <w:rsid w:val="001679F1"/>
    <w:rsid w:val="001705F4"/>
    <w:rsid w:val="0017228A"/>
    <w:rsid w:val="00174621"/>
    <w:rsid w:val="00181245"/>
    <w:rsid w:val="00185161"/>
    <w:rsid w:val="00194E28"/>
    <w:rsid w:val="001A7973"/>
    <w:rsid w:val="001B0678"/>
    <w:rsid w:val="001B0A88"/>
    <w:rsid w:val="001B7694"/>
    <w:rsid w:val="001C0E3D"/>
    <w:rsid w:val="001C2774"/>
    <w:rsid w:val="001D40B1"/>
    <w:rsid w:val="001D5D8A"/>
    <w:rsid w:val="001D6B18"/>
    <w:rsid w:val="001E6776"/>
    <w:rsid w:val="001E7A89"/>
    <w:rsid w:val="001F5826"/>
    <w:rsid w:val="001F5E61"/>
    <w:rsid w:val="00203D52"/>
    <w:rsid w:val="00215429"/>
    <w:rsid w:val="002206D5"/>
    <w:rsid w:val="00221008"/>
    <w:rsid w:val="00226E72"/>
    <w:rsid w:val="002275CA"/>
    <w:rsid w:val="00234D61"/>
    <w:rsid w:val="00235026"/>
    <w:rsid w:val="002379F2"/>
    <w:rsid w:val="002468A3"/>
    <w:rsid w:val="0025394E"/>
    <w:rsid w:val="0025795D"/>
    <w:rsid w:val="00260159"/>
    <w:rsid w:val="00267078"/>
    <w:rsid w:val="00272D2A"/>
    <w:rsid w:val="00280E23"/>
    <w:rsid w:val="00281EC0"/>
    <w:rsid w:val="0028416A"/>
    <w:rsid w:val="00286BF3"/>
    <w:rsid w:val="002870F5"/>
    <w:rsid w:val="002924A4"/>
    <w:rsid w:val="0029299A"/>
    <w:rsid w:val="00293EFD"/>
    <w:rsid w:val="002A6EFB"/>
    <w:rsid w:val="002A7856"/>
    <w:rsid w:val="002B1BB7"/>
    <w:rsid w:val="002B2253"/>
    <w:rsid w:val="002B2B95"/>
    <w:rsid w:val="002B6397"/>
    <w:rsid w:val="002D0A06"/>
    <w:rsid w:val="002D1630"/>
    <w:rsid w:val="002D2D32"/>
    <w:rsid w:val="002D310B"/>
    <w:rsid w:val="002D66D5"/>
    <w:rsid w:val="002D7107"/>
    <w:rsid w:val="002D794C"/>
    <w:rsid w:val="002E2813"/>
    <w:rsid w:val="002E2DFB"/>
    <w:rsid w:val="002F33A9"/>
    <w:rsid w:val="002F5CA8"/>
    <w:rsid w:val="002F62E0"/>
    <w:rsid w:val="002F7BA4"/>
    <w:rsid w:val="00302D2F"/>
    <w:rsid w:val="00303385"/>
    <w:rsid w:val="00306441"/>
    <w:rsid w:val="003073EB"/>
    <w:rsid w:val="00311AA7"/>
    <w:rsid w:val="00322DC7"/>
    <w:rsid w:val="003242C7"/>
    <w:rsid w:val="00327882"/>
    <w:rsid w:val="00332991"/>
    <w:rsid w:val="00344F6E"/>
    <w:rsid w:val="0034562A"/>
    <w:rsid w:val="00346625"/>
    <w:rsid w:val="00354DDE"/>
    <w:rsid w:val="003559E1"/>
    <w:rsid w:val="00360BBA"/>
    <w:rsid w:val="00362E23"/>
    <w:rsid w:val="00362F28"/>
    <w:rsid w:val="003708E1"/>
    <w:rsid w:val="0037492E"/>
    <w:rsid w:val="00374A7C"/>
    <w:rsid w:val="00375668"/>
    <w:rsid w:val="003756A5"/>
    <w:rsid w:val="00382978"/>
    <w:rsid w:val="003829ED"/>
    <w:rsid w:val="003837ED"/>
    <w:rsid w:val="00384B84"/>
    <w:rsid w:val="00386844"/>
    <w:rsid w:val="00393311"/>
    <w:rsid w:val="003957E5"/>
    <w:rsid w:val="00397D6D"/>
    <w:rsid w:val="003A1A28"/>
    <w:rsid w:val="003A1E18"/>
    <w:rsid w:val="003A5AE4"/>
    <w:rsid w:val="003A738D"/>
    <w:rsid w:val="003B38F1"/>
    <w:rsid w:val="003B3DD4"/>
    <w:rsid w:val="003B57A0"/>
    <w:rsid w:val="003B6A9D"/>
    <w:rsid w:val="003C0538"/>
    <w:rsid w:val="003C310B"/>
    <w:rsid w:val="003C49D6"/>
    <w:rsid w:val="003D002D"/>
    <w:rsid w:val="003D0754"/>
    <w:rsid w:val="003D627C"/>
    <w:rsid w:val="003F3CC8"/>
    <w:rsid w:val="003F66C2"/>
    <w:rsid w:val="00413A91"/>
    <w:rsid w:val="0041558F"/>
    <w:rsid w:val="00416CE7"/>
    <w:rsid w:val="004204BB"/>
    <w:rsid w:val="0042060D"/>
    <w:rsid w:val="00420653"/>
    <w:rsid w:val="00420D92"/>
    <w:rsid w:val="004302BF"/>
    <w:rsid w:val="004308D7"/>
    <w:rsid w:val="00431689"/>
    <w:rsid w:val="0044308F"/>
    <w:rsid w:val="0044703B"/>
    <w:rsid w:val="00450A1F"/>
    <w:rsid w:val="00452DB7"/>
    <w:rsid w:val="004558D1"/>
    <w:rsid w:val="00457A19"/>
    <w:rsid w:val="00460121"/>
    <w:rsid w:val="00466F89"/>
    <w:rsid w:val="00467861"/>
    <w:rsid w:val="0047284D"/>
    <w:rsid w:val="00472ADD"/>
    <w:rsid w:val="00473A6A"/>
    <w:rsid w:val="00475335"/>
    <w:rsid w:val="00477598"/>
    <w:rsid w:val="004779D6"/>
    <w:rsid w:val="004805B8"/>
    <w:rsid w:val="00480FEA"/>
    <w:rsid w:val="004838E7"/>
    <w:rsid w:val="00483A5E"/>
    <w:rsid w:val="00485512"/>
    <w:rsid w:val="00490AAB"/>
    <w:rsid w:val="0049317C"/>
    <w:rsid w:val="00496F7A"/>
    <w:rsid w:val="004A2087"/>
    <w:rsid w:val="004A2EA2"/>
    <w:rsid w:val="004B2123"/>
    <w:rsid w:val="004B3A7C"/>
    <w:rsid w:val="004B6925"/>
    <w:rsid w:val="004B6B78"/>
    <w:rsid w:val="004B77DD"/>
    <w:rsid w:val="004C191E"/>
    <w:rsid w:val="004D498F"/>
    <w:rsid w:val="004D55BA"/>
    <w:rsid w:val="004F3954"/>
    <w:rsid w:val="004F4591"/>
    <w:rsid w:val="004F643D"/>
    <w:rsid w:val="004F77EA"/>
    <w:rsid w:val="005035F7"/>
    <w:rsid w:val="0050427F"/>
    <w:rsid w:val="00511DDC"/>
    <w:rsid w:val="005151C4"/>
    <w:rsid w:val="00517C9B"/>
    <w:rsid w:val="005219ED"/>
    <w:rsid w:val="00525C26"/>
    <w:rsid w:val="0053007F"/>
    <w:rsid w:val="0053680F"/>
    <w:rsid w:val="00536CE4"/>
    <w:rsid w:val="005414FD"/>
    <w:rsid w:val="00544ADD"/>
    <w:rsid w:val="00550EED"/>
    <w:rsid w:val="0055683A"/>
    <w:rsid w:val="00557B3B"/>
    <w:rsid w:val="00564DB2"/>
    <w:rsid w:val="005665BE"/>
    <w:rsid w:val="00570073"/>
    <w:rsid w:val="005733EB"/>
    <w:rsid w:val="00573B4F"/>
    <w:rsid w:val="00574BF4"/>
    <w:rsid w:val="00584204"/>
    <w:rsid w:val="00584DD9"/>
    <w:rsid w:val="00585BF1"/>
    <w:rsid w:val="00594FEE"/>
    <w:rsid w:val="005A14A4"/>
    <w:rsid w:val="005A5363"/>
    <w:rsid w:val="005B0651"/>
    <w:rsid w:val="005B201D"/>
    <w:rsid w:val="005B50F3"/>
    <w:rsid w:val="005B5976"/>
    <w:rsid w:val="005B7C1F"/>
    <w:rsid w:val="005C3D98"/>
    <w:rsid w:val="005D56E3"/>
    <w:rsid w:val="005E161C"/>
    <w:rsid w:val="005E50F1"/>
    <w:rsid w:val="005F26E5"/>
    <w:rsid w:val="005F40AC"/>
    <w:rsid w:val="005F4AAF"/>
    <w:rsid w:val="006002BC"/>
    <w:rsid w:val="006004A4"/>
    <w:rsid w:val="00601482"/>
    <w:rsid w:val="00602281"/>
    <w:rsid w:val="006054E7"/>
    <w:rsid w:val="0061250D"/>
    <w:rsid w:val="00620A1D"/>
    <w:rsid w:val="00622C8D"/>
    <w:rsid w:val="0062301B"/>
    <w:rsid w:val="00627C77"/>
    <w:rsid w:val="006301EC"/>
    <w:rsid w:val="00630FBE"/>
    <w:rsid w:val="006315A3"/>
    <w:rsid w:val="0063296E"/>
    <w:rsid w:val="00633AB9"/>
    <w:rsid w:val="00640746"/>
    <w:rsid w:val="0064291D"/>
    <w:rsid w:val="00646183"/>
    <w:rsid w:val="00646421"/>
    <w:rsid w:val="00646635"/>
    <w:rsid w:val="00654C45"/>
    <w:rsid w:val="00655854"/>
    <w:rsid w:val="00656B46"/>
    <w:rsid w:val="00657121"/>
    <w:rsid w:val="00657723"/>
    <w:rsid w:val="006625C6"/>
    <w:rsid w:val="00662B52"/>
    <w:rsid w:val="00666716"/>
    <w:rsid w:val="00666B5B"/>
    <w:rsid w:val="00674D6A"/>
    <w:rsid w:val="00677673"/>
    <w:rsid w:val="0067790D"/>
    <w:rsid w:val="006802F0"/>
    <w:rsid w:val="00684998"/>
    <w:rsid w:val="00690103"/>
    <w:rsid w:val="006A2320"/>
    <w:rsid w:val="006A66EE"/>
    <w:rsid w:val="006C2453"/>
    <w:rsid w:val="006C6233"/>
    <w:rsid w:val="006D566D"/>
    <w:rsid w:val="006E1298"/>
    <w:rsid w:val="006E1560"/>
    <w:rsid w:val="006E57E3"/>
    <w:rsid w:val="006F51D3"/>
    <w:rsid w:val="006F612C"/>
    <w:rsid w:val="007017C7"/>
    <w:rsid w:val="0070231E"/>
    <w:rsid w:val="00702C79"/>
    <w:rsid w:val="00703D66"/>
    <w:rsid w:val="00706E31"/>
    <w:rsid w:val="00713523"/>
    <w:rsid w:val="00722BF3"/>
    <w:rsid w:val="00725027"/>
    <w:rsid w:val="007250E5"/>
    <w:rsid w:val="00725339"/>
    <w:rsid w:val="0073045F"/>
    <w:rsid w:val="00730A9F"/>
    <w:rsid w:val="00731A7E"/>
    <w:rsid w:val="0073583C"/>
    <w:rsid w:val="007358E0"/>
    <w:rsid w:val="00742B13"/>
    <w:rsid w:val="007476C5"/>
    <w:rsid w:val="00751C25"/>
    <w:rsid w:val="0075245B"/>
    <w:rsid w:val="00755A9B"/>
    <w:rsid w:val="00760AA9"/>
    <w:rsid w:val="00760FCC"/>
    <w:rsid w:val="0076744D"/>
    <w:rsid w:val="0076759C"/>
    <w:rsid w:val="0078004C"/>
    <w:rsid w:val="00783FD2"/>
    <w:rsid w:val="007930EA"/>
    <w:rsid w:val="00793527"/>
    <w:rsid w:val="007B1512"/>
    <w:rsid w:val="007B3FB8"/>
    <w:rsid w:val="007C07B0"/>
    <w:rsid w:val="007C4C2E"/>
    <w:rsid w:val="007D0A9E"/>
    <w:rsid w:val="007D62E9"/>
    <w:rsid w:val="007D7483"/>
    <w:rsid w:val="007E04C8"/>
    <w:rsid w:val="007E1970"/>
    <w:rsid w:val="007F2A5E"/>
    <w:rsid w:val="00803FC8"/>
    <w:rsid w:val="008058B1"/>
    <w:rsid w:val="00805DE1"/>
    <w:rsid w:val="00806692"/>
    <w:rsid w:val="008067B5"/>
    <w:rsid w:val="0080743D"/>
    <w:rsid w:val="008105DD"/>
    <w:rsid w:val="00812043"/>
    <w:rsid w:val="00814E5E"/>
    <w:rsid w:val="0081573E"/>
    <w:rsid w:val="00816560"/>
    <w:rsid w:val="00817084"/>
    <w:rsid w:val="008171C2"/>
    <w:rsid w:val="00820DE3"/>
    <w:rsid w:val="008240F0"/>
    <w:rsid w:val="00827428"/>
    <w:rsid w:val="00827C8B"/>
    <w:rsid w:val="00837C24"/>
    <w:rsid w:val="0084007F"/>
    <w:rsid w:val="00841CCD"/>
    <w:rsid w:val="0084347C"/>
    <w:rsid w:val="00847043"/>
    <w:rsid w:val="00854BDF"/>
    <w:rsid w:val="00855E9B"/>
    <w:rsid w:val="00864B32"/>
    <w:rsid w:val="00866437"/>
    <w:rsid w:val="00871E5C"/>
    <w:rsid w:val="008740B7"/>
    <w:rsid w:val="008746A2"/>
    <w:rsid w:val="0087697C"/>
    <w:rsid w:val="00877448"/>
    <w:rsid w:val="008819F0"/>
    <w:rsid w:val="00881E67"/>
    <w:rsid w:val="008852D8"/>
    <w:rsid w:val="008A1CC9"/>
    <w:rsid w:val="008A34CB"/>
    <w:rsid w:val="008A38A0"/>
    <w:rsid w:val="008A42CC"/>
    <w:rsid w:val="008B2EF8"/>
    <w:rsid w:val="008B3F08"/>
    <w:rsid w:val="008B5C47"/>
    <w:rsid w:val="008C01C7"/>
    <w:rsid w:val="008C4D8F"/>
    <w:rsid w:val="008C5F81"/>
    <w:rsid w:val="008D6D96"/>
    <w:rsid w:val="008D78E7"/>
    <w:rsid w:val="008D7CE1"/>
    <w:rsid w:val="008E40A8"/>
    <w:rsid w:val="008E4504"/>
    <w:rsid w:val="008E5AAE"/>
    <w:rsid w:val="008E5D5B"/>
    <w:rsid w:val="008E69DD"/>
    <w:rsid w:val="008F2868"/>
    <w:rsid w:val="008F4C6F"/>
    <w:rsid w:val="00902C13"/>
    <w:rsid w:val="00904DC7"/>
    <w:rsid w:val="009050DE"/>
    <w:rsid w:val="009079FD"/>
    <w:rsid w:val="009126FE"/>
    <w:rsid w:val="00912A21"/>
    <w:rsid w:val="00913744"/>
    <w:rsid w:val="0091562A"/>
    <w:rsid w:val="00916EEF"/>
    <w:rsid w:val="00917CAA"/>
    <w:rsid w:val="009232E7"/>
    <w:rsid w:val="00925243"/>
    <w:rsid w:val="00926051"/>
    <w:rsid w:val="00926265"/>
    <w:rsid w:val="00927DCF"/>
    <w:rsid w:val="00931EDE"/>
    <w:rsid w:val="00940A28"/>
    <w:rsid w:val="00940B2D"/>
    <w:rsid w:val="009440E4"/>
    <w:rsid w:val="00950959"/>
    <w:rsid w:val="00951B8F"/>
    <w:rsid w:val="0095372B"/>
    <w:rsid w:val="00960B80"/>
    <w:rsid w:val="00970E3E"/>
    <w:rsid w:val="00972636"/>
    <w:rsid w:val="00984999"/>
    <w:rsid w:val="00993420"/>
    <w:rsid w:val="00993A72"/>
    <w:rsid w:val="00995F88"/>
    <w:rsid w:val="00996492"/>
    <w:rsid w:val="009A00AB"/>
    <w:rsid w:val="009A3EDE"/>
    <w:rsid w:val="009A58C5"/>
    <w:rsid w:val="009A5F05"/>
    <w:rsid w:val="009A7554"/>
    <w:rsid w:val="009A7CA4"/>
    <w:rsid w:val="009B26E5"/>
    <w:rsid w:val="009C304A"/>
    <w:rsid w:val="009C3C39"/>
    <w:rsid w:val="009C717B"/>
    <w:rsid w:val="009D1003"/>
    <w:rsid w:val="009D5B53"/>
    <w:rsid w:val="009D62BD"/>
    <w:rsid w:val="009D7D7B"/>
    <w:rsid w:val="009E16FA"/>
    <w:rsid w:val="009E48CB"/>
    <w:rsid w:val="009E6C93"/>
    <w:rsid w:val="009E71C1"/>
    <w:rsid w:val="009F42F3"/>
    <w:rsid w:val="009F46A9"/>
    <w:rsid w:val="009F47DC"/>
    <w:rsid w:val="009F74E7"/>
    <w:rsid w:val="00A01730"/>
    <w:rsid w:val="00A01C97"/>
    <w:rsid w:val="00A05764"/>
    <w:rsid w:val="00A10127"/>
    <w:rsid w:val="00A134B2"/>
    <w:rsid w:val="00A1684F"/>
    <w:rsid w:val="00A17DC9"/>
    <w:rsid w:val="00A21E77"/>
    <w:rsid w:val="00A35B6F"/>
    <w:rsid w:val="00A36A37"/>
    <w:rsid w:val="00A37185"/>
    <w:rsid w:val="00A40A50"/>
    <w:rsid w:val="00A41464"/>
    <w:rsid w:val="00A45E2B"/>
    <w:rsid w:val="00A47E40"/>
    <w:rsid w:val="00A535C0"/>
    <w:rsid w:val="00A54243"/>
    <w:rsid w:val="00A56017"/>
    <w:rsid w:val="00A56F06"/>
    <w:rsid w:val="00A573AC"/>
    <w:rsid w:val="00A57715"/>
    <w:rsid w:val="00A618C1"/>
    <w:rsid w:val="00A63145"/>
    <w:rsid w:val="00A7407A"/>
    <w:rsid w:val="00A74EA8"/>
    <w:rsid w:val="00A76C35"/>
    <w:rsid w:val="00A8418B"/>
    <w:rsid w:val="00A864B6"/>
    <w:rsid w:val="00A87485"/>
    <w:rsid w:val="00A93170"/>
    <w:rsid w:val="00AA0796"/>
    <w:rsid w:val="00AA2D91"/>
    <w:rsid w:val="00AA4F99"/>
    <w:rsid w:val="00AA75CA"/>
    <w:rsid w:val="00AB0F1D"/>
    <w:rsid w:val="00AB1083"/>
    <w:rsid w:val="00AB1B2E"/>
    <w:rsid w:val="00AB2C4C"/>
    <w:rsid w:val="00AB76DF"/>
    <w:rsid w:val="00AC1823"/>
    <w:rsid w:val="00AC2CF0"/>
    <w:rsid w:val="00AC39A8"/>
    <w:rsid w:val="00AC3F77"/>
    <w:rsid w:val="00AC4340"/>
    <w:rsid w:val="00AC49A7"/>
    <w:rsid w:val="00AC6F35"/>
    <w:rsid w:val="00AD7B53"/>
    <w:rsid w:val="00AE758D"/>
    <w:rsid w:val="00AF04BF"/>
    <w:rsid w:val="00AF0E75"/>
    <w:rsid w:val="00AF1B80"/>
    <w:rsid w:val="00B001FA"/>
    <w:rsid w:val="00B0487B"/>
    <w:rsid w:val="00B12105"/>
    <w:rsid w:val="00B1411B"/>
    <w:rsid w:val="00B21190"/>
    <w:rsid w:val="00B235E2"/>
    <w:rsid w:val="00B32668"/>
    <w:rsid w:val="00B35972"/>
    <w:rsid w:val="00B42E2D"/>
    <w:rsid w:val="00B453B2"/>
    <w:rsid w:val="00B468C8"/>
    <w:rsid w:val="00B506F8"/>
    <w:rsid w:val="00B53702"/>
    <w:rsid w:val="00B57B32"/>
    <w:rsid w:val="00B61E37"/>
    <w:rsid w:val="00B66344"/>
    <w:rsid w:val="00B72016"/>
    <w:rsid w:val="00B727AB"/>
    <w:rsid w:val="00B75B02"/>
    <w:rsid w:val="00B8254C"/>
    <w:rsid w:val="00B9730E"/>
    <w:rsid w:val="00BA06F7"/>
    <w:rsid w:val="00BB0BEB"/>
    <w:rsid w:val="00BB4154"/>
    <w:rsid w:val="00BB7570"/>
    <w:rsid w:val="00BB796F"/>
    <w:rsid w:val="00BC0497"/>
    <w:rsid w:val="00BC73E3"/>
    <w:rsid w:val="00BD28E3"/>
    <w:rsid w:val="00BD6588"/>
    <w:rsid w:val="00BE3B14"/>
    <w:rsid w:val="00BE5492"/>
    <w:rsid w:val="00BE55FC"/>
    <w:rsid w:val="00BE7F12"/>
    <w:rsid w:val="00BF390A"/>
    <w:rsid w:val="00C0530C"/>
    <w:rsid w:val="00C06C9A"/>
    <w:rsid w:val="00C07D77"/>
    <w:rsid w:val="00C156B4"/>
    <w:rsid w:val="00C15DBB"/>
    <w:rsid w:val="00C20508"/>
    <w:rsid w:val="00C31842"/>
    <w:rsid w:val="00C33E94"/>
    <w:rsid w:val="00C34327"/>
    <w:rsid w:val="00C35BEB"/>
    <w:rsid w:val="00C40FE4"/>
    <w:rsid w:val="00C42B99"/>
    <w:rsid w:val="00C42C80"/>
    <w:rsid w:val="00C44875"/>
    <w:rsid w:val="00C45D7E"/>
    <w:rsid w:val="00C531E1"/>
    <w:rsid w:val="00C561E0"/>
    <w:rsid w:val="00C57CB5"/>
    <w:rsid w:val="00C61705"/>
    <w:rsid w:val="00C6304A"/>
    <w:rsid w:val="00C665F7"/>
    <w:rsid w:val="00C6788F"/>
    <w:rsid w:val="00C72309"/>
    <w:rsid w:val="00C72426"/>
    <w:rsid w:val="00C7308D"/>
    <w:rsid w:val="00C77741"/>
    <w:rsid w:val="00C80D14"/>
    <w:rsid w:val="00C812E3"/>
    <w:rsid w:val="00C81700"/>
    <w:rsid w:val="00C82261"/>
    <w:rsid w:val="00C848BA"/>
    <w:rsid w:val="00C90E54"/>
    <w:rsid w:val="00C92FAC"/>
    <w:rsid w:val="00C93295"/>
    <w:rsid w:val="00C94B65"/>
    <w:rsid w:val="00CA261F"/>
    <w:rsid w:val="00CA28E7"/>
    <w:rsid w:val="00CA2B5E"/>
    <w:rsid w:val="00CA2C47"/>
    <w:rsid w:val="00CA48B9"/>
    <w:rsid w:val="00CA550D"/>
    <w:rsid w:val="00CB09F1"/>
    <w:rsid w:val="00CB1908"/>
    <w:rsid w:val="00CB7DC4"/>
    <w:rsid w:val="00CC416B"/>
    <w:rsid w:val="00CC5DBE"/>
    <w:rsid w:val="00CC6F3C"/>
    <w:rsid w:val="00CC78D6"/>
    <w:rsid w:val="00CD0423"/>
    <w:rsid w:val="00CD3C58"/>
    <w:rsid w:val="00CD51C8"/>
    <w:rsid w:val="00CE02B6"/>
    <w:rsid w:val="00CE4919"/>
    <w:rsid w:val="00CE7764"/>
    <w:rsid w:val="00CF0A39"/>
    <w:rsid w:val="00CF70A0"/>
    <w:rsid w:val="00D03778"/>
    <w:rsid w:val="00D0788F"/>
    <w:rsid w:val="00D10308"/>
    <w:rsid w:val="00D106BD"/>
    <w:rsid w:val="00D12897"/>
    <w:rsid w:val="00D13CBC"/>
    <w:rsid w:val="00D20C1D"/>
    <w:rsid w:val="00D25134"/>
    <w:rsid w:val="00D27E5B"/>
    <w:rsid w:val="00D34057"/>
    <w:rsid w:val="00D36682"/>
    <w:rsid w:val="00D41CD6"/>
    <w:rsid w:val="00D536F1"/>
    <w:rsid w:val="00D53DDC"/>
    <w:rsid w:val="00D54867"/>
    <w:rsid w:val="00D608E1"/>
    <w:rsid w:val="00D623CE"/>
    <w:rsid w:val="00D64AF1"/>
    <w:rsid w:val="00D67A0D"/>
    <w:rsid w:val="00D67BEC"/>
    <w:rsid w:val="00D74B7C"/>
    <w:rsid w:val="00D76D75"/>
    <w:rsid w:val="00D800F2"/>
    <w:rsid w:val="00D876E2"/>
    <w:rsid w:val="00D91EA2"/>
    <w:rsid w:val="00D93767"/>
    <w:rsid w:val="00D95458"/>
    <w:rsid w:val="00D96EF8"/>
    <w:rsid w:val="00DA323F"/>
    <w:rsid w:val="00DA3735"/>
    <w:rsid w:val="00DA43AD"/>
    <w:rsid w:val="00DB3449"/>
    <w:rsid w:val="00DB37B7"/>
    <w:rsid w:val="00DB545E"/>
    <w:rsid w:val="00DC3E21"/>
    <w:rsid w:val="00DD0A45"/>
    <w:rsid w:val="00DD13E2"/>
    <w:rsid w:val="00DD40D9"/>
    <w:rsid w:val="00DD438A"/>
    <w:rsid w:val="00DD6010"/>
    <w:rsid w:val="00DD6BEF"/>
    <w:rsid w:val="00DD7C88"/>
    <w:rsid w:val="00DE2F9E"/>
    <w:rsid w:val="00DE64F1"/>
    <w:rsid w:val="00E017CE"/>
    <w:rsid w:val="00E024BE"/>
    <w:rsid w:val="00E02FE0"/>
    <w:rsid w:val="00E127E6"/>
    <w:rsid w:val="00E131A8"/>
    <w:rsid w:val="00E13A3A"/>
    <w:rsid w:val="00E1560D"/>
    <w:rsid w:val="00E16F0F"/>
    <w:rsid w:val="00E1740E"/>
    <w:rsid w:val="00E213F7"/>
    <w:rsid w:val="00E24CB5"/>
    <w:rsid w:val="00E2616D"/>
    <w:rsid w:val="00E26437"/>
    <w:rsid w:val="00E26B04"/>
    <w:rsid w:val="00E27B09"/>
    <w:rsid w:val="00E30EC1"/>
    <w:rsid w:val="00E31501"/>
    <w:rsid w:val="00E3262B"/>
    <w:rsid w:val="00E348D7"/>
    <w:rsid w:val="00E36016"/>
    <w:rsid w:val="00E41748"/>
    <w:rsid w:val="00E43997"/>
    <w:rsid w:val="00E44452"/>
    <w:rsid w:val="00E45777"/>
    <w:rsid w:val="00E50522"/>
    <w:rsid w:val="00E53540"/>
    <w:rsid w:val="00E53C06"/>
    <w:rsid w:val="00E607F9"/>
    <w:rsid w:val="00E746BE"/>
    <w:rsid w:val="00E76D2F"/>
    <w:rsid w:val="00E82F11"/>
    <w:rsid w:val="00E85D1D"/>
    <w:rsid w:val="00E90E9F"/>
    <w:rsid w:val="00E91313"/>
    <w:rsid w:val="00E91EE4"/>
    <w:rsid w:val="00E9595C"/>
    <w:rsid w:val="00EA3EE4"/>
    <w:rsid w:val="00EA53C7"/>
    <w:rsid w:val="00EB01B9"/>
    <w:rsid w:val="00EB0517"/>
    <w:rsid w:val="00EB1E18"/>
    <w:rsid w:val="00EB5A3A"/>
    <w:rsid w:val="00EC61B4"/>
    <w:rsid w:val="00ED224E"/>
    <w:rsid w:val="00ED27AB"/>
    <w:rsid w:val="00ED33BB"/>
    <w:rsid w:val="00ED5CA3"/>
    <w:rsid w:val="00ED660D"/>
    <w:rsid w:val="00ED6C96"/>
    <w:rsid w:val="00EE28F3"/>
    <w:rsid w:val="00EE33DB"/>
    <w:rsid w:val="00F004AA"/>
    <w:rsid w:val="00F06299"/>
    <w:rsid w:val="00F1065A"/>
    <w:rsid w:val="00F11AD3"/>
    <w:rsid w:val="00F13387"/>
    <w:rsid w:val="00F1345B"/>
    <w:rsid w:val="00F16EF8"/>
    <w:rsid w:val="00F21527"/>
    <w:rsid w:val="00F279FD"/>
    <w:rsid w:val="00F3632E"/>
    <w:rsid w:val="00F457C8"/>
    <w:rsid w:val="00F46230"/>
    <w:rsid w:val="00F50059"/>
    <w:rsid w:val="00F52E34"/>
    <w:rsid w:val="00F57746"/>
    <w:rsid w:val="00F735E8"/>
    <w:rsid w:val="00F74CE6"/>
    <w:rsid w:val="00F805FD"/>
    <w:rsid w:val="00F912B7"/>
    <w:rsid w:val="00F91528"/>
    <w:rsid w:val="00F91555"/>
    <w:rsid w:val="00F949ED"/>
    <w:rsid w:val="00F96E94"/>
    <w:rsid w:val="00FA4896"/>
    <w:rsid w:val="00FA4B78"/>
    <w:rsid w:val="00FA751D"/>
    <w:rsid w:val="00FB1297"/>
    <w:rsid w:val="00FB3270"/>
    <w:rsid w:val="00FB438D"/>
    <w:rsid w:val="00FB6038"/>
    <w:rsid w:val="00FB71F5"/>
    <w:rsid w:val="00FC28CC"/>
    <w:rsid w:val="00FC3BBC"/>
    <w:rsid w:val="00FC5543"/>
    <w:rsid w:val="00FD1200"/>
    <w:rsid w:val="00FE14DD"/>
    <w:rsid w:val="00FE23C7"/>
    <w:rsid w:val="00FE343A"/>
    <w:rsid w:val="00FE459F"/>
    <w:rsid w:val="00FE5B53"/>
    <w:rsid w:val="00FF14FE"/>
    <w:rsid w:val="00FF6CD8"/>
    <w:rsid w:val="00FF723B"/>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65"/>
    <w:pPr>
      <w:spacing w:after="0" w:line="240" w:lineRule="auto"/>
    </w:pPr>
    <w:rPr>
      <w:rFonts w:ascii="Times New Roman" w:eastAsia="Times New Roman" w:hAnsi="Times New Roman" w:cs="Times New Roman"/>
      <w:sz w:val="24"/>
      <w:szCs w:val="24"/>
      <w:lang w:val="es-ES_tradnl" w:eastAsia="es-ES"/>
    </w:rPr>
  </w:style>
  <w:style w:type="paragraph" w:styleId="Ttulo3">
    <w:name w:val="heading 3"/>
    <w:basedOn w:val="Normal"/>
    <w:link w:val="Ttulo3Car"/>
    <w:uiPriority w:val="9"/>
    <w:qFormat/>
    <w:rsid w:val="00D34057"/>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D3405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62E23"/>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character" w:customStyle="1" w:styleId="UnresolvedMention">
    <w:name w:val="Unresolved Mention"/>
    <w:basedOn w:val="Fuentedeprrafopredeter"/>
    <w:uiPriority w:val="99"/>
    <w:semiHidden/>
    <w:unhideWhenUsed/>
    <w:rsid w:val="00C665F7"/>
    <w:rPr>
      <w:color w:val="605E5C"/>
      <w:shd w:val="clear" w:color="auto" w:fill="E1DFDD"/>
    </w:rPr>
  </w:style>
  <w:style w:type="paragraph" w:customStyle="1" w:styleId="Citas">
    <w:name w:val="Citas"/>
    <w:basedOn w:val="Normal"/>
    <w:qFormat/>
    <w:rsid w:val="00702C7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702C79"/>
    <w:pPr>
      <w:spacing w:before="240" w:after="160" w:line="360" w:lineRule="auto"/>
      <w:ind w:left="851" w:right="851"/>
      <w:jc w:val="both"/>
    </w:pPr>
    <w:rPr>
      <w:rFonts w:ascii="Palatino Linotype" w:hAnsi="Palatino Linotype"/>
      <w:i/>
      <w:sz w:val="22"/>
      <w:lang w:val="es-MX" w:eastAsia="en-US"/>
    </w:rPr>
  </w:style>
  <w:style w:type="table" w:customStyle="1" w:styleId="Tablaconcuadrcula2">
    <w:name w:val="Tabla con cuadrícula2"/>
    <w:basedOn w:val="Tablanormal"/>
    <w:next w:val="Tablaconcuadrcula"/>
    <w:uiPriority w:val="59"/>
    <w:rsid w:val="00BE549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37C2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971328765">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57AA7-EBB9-4AC1-B826-5A354BE6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18</Pages>
  <Words>12224</Words>
  <Characters>67233</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26</cp:revision>
  <cp:lastPrinted>2018-04-05T14:31:00Z</cp:lastPrinted>
  <dcterms:created xsi:type="dcterms:W3CDTF">2025-04-09T20:27:00Z</dcterms:created>
  <dcterms:modified xsi:type="dcterms:W3CDTF">2025-06-13T17:29:00Z</dcterms:modified>
</cp:coreProperties>
</file>