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6B7" w:rsidRPr="009A201A" w:rsidRDefault="00133D0B">
      <w:pPr>
        <w:spacing w:line="360" w:lineRule="auto"/>
        <w:ind w:right="49" w:hanging="22"/>
        <w:jc w:val="both"/>
        <w:rPr>
          <w:rFonts w:ascii="Palatino Linotype" w:eastAsia="Palatino Linotype" w:hAnsi="Palatino Linotype" w:cs="Palatino Linotype"/>
          <w:sz w:val="22"/>
          <w:szCs w:val="22"/>
        </w:rPr>
      </w:pPr>
      <w:bookmarkStart w:id="0" w:name="_GoBack"/>
      <w:bookmarkEnd w:id="0"/>
      <w:r w:rsidRPr="009A201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9A201A">
        <w:rPr>
          <w:rFonts w:ascii="Palatino Linotype" w:eastAsia="Palatino Linotype" w:hAnsi="Palatino Linotype" w:cs="Palatino Linotype"/>
          <w:b/>
          <w:bCs/>
          <w:sz w:val="22"/>
          <w:szCs w:val="22"/>
        </w:rPr>
        <w:t>tres de diciembre</w:t>
      </w:r>
      <w:r w:rsidRPr="009A201A">
        <w:rPr>
          <w:rFonts w:ascii="Palatino Linotype" w:eastAsia="Palatino Linotype" w:hAnsi="Palatino Linotype" w:cs="Palatino Linotype"/>
          <w:sz w:val="22"/>
          <w:szCs w:val="22"/>
        </w:rPr>
        <w:t xml:space="preserve"> </w:t>
      </w:r>
      <w:r w:rsidRPr="009A201A">
        <w:rPr>
          <w:rFonts w:ascii="Palatino Linotype" w:eastAsia="Palatino Linotype" w:hAnsi="Palatino Linotype" w:cs="Palatino Linotype"/>
          <w:b/>
          <w:bCs/>
          <w:sz w:val="22"/>
          <w:szCs w:val="22"/>
        </w:rPr>
        <w:t xml:space="preserve">de dos mil veinticinco. </w:t>
      </w:r>
    </w:p>
    <w:p w:rsidR="000806B7" w:rsidRPr="009A201A" w:rsidRDefault="000806B7">
      <w:pPr>
        <w:spacing w:line="360" w:lineRule="auto"/>
        <w:ind w:right="49"/>
        <w:jc w:val="both"/>
        <w:rPr>
          <w:rFonts w:ascii="Palatino Linotype" w:eastAsia="Palatino Linotype" w:hAnsi="Palatino Linotype" w:cs="Palatino Linotype"/>
          <w:sz w:val="22"/>
          <w:szCs w:val="22"/>
        </w:rPr>
      </w:pPr>
    </w:p>
    <w:p w:rsidR="000806B7" w:rsidRPr="009A201A" w:rsidRDefault="00133D0B">
      <w:pPr>
        <w:spacing w:line="360" w:lineRule="auto"/>
        <w:ind w:right="49"/>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sz w:val="22"/>
          <w:szCs w:val="22"/>
        </w:rPr>
        <w:t xml:space="preserve">VISTO </w:t>
      </w:r>
      <w:r w:rsidRPr="009A201A">
        <w:rPr>
          <w:rFonts w:ascii="Palatino Linotype" w:eastAsia="Palatino Linotype" w:hAnsi="Palatino Linotype" w:cs="Palatino Linotype"/>
          <w:sz w:val="22"/>
          <w:szCs w:val="22"/>
        </w:rPr>
        <w:t xml:space="preserve">el expediente relativo al recurso de revisión </w:t>
      </w:r>
      <w:r w:rsidRPr="009A201A">
        <w:rPr>
          <w:rFonts w:ascii="Palatino Linotype" w:eastAsia="Palatino Linotype" w:hAnsi="Palatino Linotype" w:cs="Palatino Linotype"/>
          <w:b/>
          <w:bCs/>
          <w:sz w:val="22"/>
          <w:szCs w:val="22"/>
        </w:rPr>
        <w:t xml:space="preserve">10994/INFOEM/IP/RR/2025, </w:t>
      </w:r>
      <w:r w:rsidRPr="009A201A">
        <w:rPr>
          <w:rFonts w:ascii="Palatino Linotype" w:eastAsia="Palatino Linotype" w:hAnsi="Palatino Linotype" w:cs="Palatino Linotype"/>
          <w:sz w:val="22"/>
          <w:szCs w:val="22"/>
        </w:rPr>
        <w:t xml:space="preserve">interpuesto por </w:t>
      </w:r>
      <w:r w:rsidRPr="009A201A">
        <w:rPr>
          <w:rFonts w:ascii="Palatino Linotype" w:eastAsia="Palatino Linotype" w:hAnsi="Palatino Linotype" w:cs="Palatino Linotype"/>
          <w:b/>
          <w:bCs/>
          <w:sz w:val="22"/>
          <w:szCs w:val="22"/>
        </w:rPr>
        <w:t>un Usuario que no proporcionó su nombre</w:t>
      </w:r>
      <w:r w:rsidRPr="009A201A">
        <w:rPr>
          <w:rFonts w:ascii="Palatino Linotype" w:eastAsia="Palatino Linotype" w:hAnsi="Palatino Linotype" w:cs="Palatino Linotype"/>
          <w:sz w:val="22"/>
          <w:szCs w:val="22"/>
        </w:rPr>
        <w:t xml:space="preserve">, en lo sucesivo la parte </w:t>
      </w:r>
      <w:r w:rsidRPr="009A201A">
        <w:rPr>
          <w:rFonts w:ascii="Palatino Linotype" w:eastAsia="Palatino Linotype" w:hAnsi="Palatino Linotype" w:cs="Palatino Linotype"/>
          <w:b/>
          <w:bCs/>
          <w:sz w:val="22"/>
          <w:szCs w:val="22"/>
        </w:rPr>
        <w:t>Recurrente</w:t>
      </w:r>
      <w:r w:rsidRPr="009A201A">
        <w:rPr>
          <w:rFonts w:ascii="Palatino Linotype" w:eastAsia="Palatino Linotype" w:hAnsi="Palatino Linotype" w:cs="Palatino Linotype"/>
          <w:sz w:val="22"/>
          <w:szCs w:val="22"/>
        </w:rPr>
        <w:t xml:space="preserve">, en contra de la respuesta a la solicitud de información por parte del </w:t>
      </w:r>
      <w:r w:rsidRPr="009A201A">
        <w:rPr>
          <w:rFonts w:ascii="Palatino Linotype" w:eastAsia="Palatino Linotype" w:hAnsi="Palatino Linotype" w:cs="Palatino Linotype"/>
          <w:b/>
          <w:bCs/>
          <w:sz w:val="22"/>
          <w:szCs w:val="22"/>
        </w:rPr>
        <w:t>Ayuntamiento de Toluca</w:t>
      </w:r>
      <w:r w:rsidRPr="009A201A">
        <w:rPr>
          <w:rFonts w:ascii="Palatino Linotype" w:eastAsia="Palatino Linotype" w:hAnsi="Palatino Linotype" w:cs="Palatino Linotype"/>
          <w:sz w:val="22"/>
          <w:szCs w:val="22"/>
        </w:rPr>
        <w:t xml:space="preserve">, en lo sucesivo el </w:t>
      </w:r>
      <w:r w:rsidRPr="009A201A">
        <w:rPr>
          <w:rFonts w:ascii="Palatino Linotype" w:eastAsia="Palatino Linotype" w:hAnsi="Palatino Linotype" w:cs="Palatino Linotype"/>
          <w:b/>
          <w:bCs/>
          <w:sz w:val="22"/>
          <w:szCs w:val="22"/>
        </w:rPr>
        <w:t xml:space="preserve">Sujeto Obligado; </w:t>
      </w:r>
      <w:r w:rsidRPr="009A201A">
        <w:rPr>
          <w:rFonts w:ascii="Palatino Linotype" w:eastAsia="Palatino Linotype" w:hAnsi="Palatino Linotype" w:cs="Palatino Linotype"/>
          <w:sz w:val="22"/>
          <w:szCs w:val="22"/>
        </w:rPr>
        <w:t>se procede a dictar la presente resolución, con base en lo siguiente.</w:t>
      </w:r>
    </w:p>
    <w:p w:rsidR="000806B7" w:rsidRPr="009A201A" w:rsidRDefault="000806B7">
      <w:pPr>
        <w:spacing w:line="360" w:lineRule="auto"/>
        <w:ind w:right="49"/>
        <w:jc w:val="both"/>
        <w:rPr>
          <w:rFonts w:ascii="Palatino Linotype" w:eastAsia="Palatino Linotype" w:hAnsi="Palatino Linotype" w:cs="Palatino Linotype"/>
          <w:sz w:val="22"/>
          <w:szCs w:val="22"/>
        </w:rPr>
      </w:pPr>
    </w:p>
    <w:p w:rsidR="000806B7" w:rsidRPr="009A201A" w:rsidRDefault="00133D0B">
      <w:pPr>
        <w:spacing w:line="360" w:lineRule="auto"/>
        <w:ind w:right="49"/>
        <w:jc w:val="center"/>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b/>
          <w:bCs/>
          <w:sz w:val="22"/>
          <w:szCs w:val="22"/>
        </w:rPr>
        <w:t>I.</w:t>
      </w:r>
      <w:r w:rsidRPr="009A201A">
        <w:rPr>
          <w:rFonts w:ascii="Palatino Linotype" w:eastAsia="Palatino Linotype" w:hAnsi="Palatino Linotype" w:cs="Palatino Linotype"/>
          <w:b/>
          <w:bCs/>
          <w:sz w:val="22"/>
          <w:szCs w:val="22"/>
        </w:rPr>
        <w:tab/>
        <w:t>A N T E C E D E N T E S</w:t>
      </w:r>
    </w:p>
    <w:p w:rsidR="000806B7" w:rsidRPr="009A201A" w:rsidRDefault="000806B7">
      <w:pPr>
        <w:spacing w:line="360" w:lineRule="auto"/>
        <w:ind w:right="49"/>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sz w:val="22"/>
          <w:szCs w:val="22"/>
        </w:rPr>
        <w:t>1.</w:t>
      </w:r>
      <w:r w:rsidRPr="009A201A">
        <w:rPr>
          <w:rFonts w:ascii="Palatino Linotype" w:eastAsia="Palatino Linotype" w:hAnsi="Palatino Linotype" w:cs="Palatino Linotype"/>
          <w:sz w:val="22"/>
          <w:szCs w:val="22"/>
        </w:rPr>
        <w:t xml:space="preserve"> </w:t>
      </w:r>
      <w:r w:rsidRPr="009A201A">
        <w:rPr>
          <w:rFonts w:ascii="Palatino Linotype" w:eastAsia="Palatino Linotype" w:hAnsi="Palatino Linotype" w:cs="Palatino Linotype"/>
          <w:b/>
          <w:bCs/>
          <w:sz w:val="22"/>
          <w:szCs w:val="22"/>
        </w:rPr>
        <w:t>Solicitud de Acceso a la Información. El tres de septiembre de dos mil veinticinco</w:t>
      </w:r>
      <w:r w:rsidRPr="009A201A">
        <w:rPr>
          <w:rFonts w:ascii="Palatino Linotype" w:eastAsia="Palatino Linotype" w:hAnsi="Palatino Linotype" w:cs="Palatino Linotype"/>
          <w:sz w:val="22"/>
          <w:szCs w:val="22"/>
        </w:rPr>
        <w:t xml:space="preserve">, </w:t>
      </w:r>
      <w:r w:rsidRPr="009A201A">
        <w:rPr>
          <w:rFonts w:ascii="Palatino Linotype" w:eastAsia="Palatino Linotype" w:hAnsi="Palatino Linotype" w:cs="Palatino Linotype"/>
          <w:b/>
          <w:bCs/>
          <w:sz w:val="22"/>
          <w:szCs w:val="22"/>
        </w:rPr>
        <w:t>LA PARTE</w:t>
      </w:r>
      <w:r w:rsidRPr="009A201A">
        <w:rPr>
          <w:rFonts w:ascii="Palatino Linotype" w:eastAsia="Palatino Linotype" w:hAnsi="Palatino Linotype" w:cs="Palatino Linotype"/>
          <w:sz w:val="22"/>
          <w:szCs w:val="22"/>
        </w:rPr>
        <w:t xml:space="preserve"> </w:t>
      </w:r>
      <w:r w:rsidRPr="009A201A">
        <w:rPr>
          <w:rFonts w:ascii="Palatino Linotype" w:eastAsia="Palatino Linotype" w:hAnsi="Palatino Linotype" w:cs="Palatino Linotype"/>
          <w:b/>
          <w:bCs/>
          <w:sz w:val="22"/>
          <w:szCs w:val="22"/>
        </w:rPr>
        <w:t>RECURRENTE</w:t>
      </w:r>
      <w:r w:rsidRPr="009A201A">
        <w:rPr>
          <w:rFonts w:ascii="Palatino Linotype" w:eastAsia="Palatino Linotype" w:hAnsi="Palatino Linotype" w:cs="Palatino Linotype"/>
          <w:sz w:val="22"/>
          <w:szCs w:val="22"/>
        </w:rPr>
        <w:t xml:space="preserve"> formuló solicitud de acceso a información pública a través del </w:t>
      </w:r>
      <w:r w:rsidRPr="009A201A">
        <w:rPr>
          <w:rFonts w:ascii="Palatino Linotype" w:eastAsia="Palatino Linotype" w:hAnsi="Palatino Linotype" w:cs="Palatino Linotype"/>
          <w:b/>
          <w:bCs/>
          <w:sz w:val="22"/>
          <w:szCs w:val="22"/>
        </w:rPr>
        <w:t>SAIMEX</w:t>
      </w:r>
      <w:r w:rsidRPr="009A201A">
        <w:rPr>
          <w:rFonts w:ascii="Palatino Linotype" w:eastAsia="Palatino Linotype" w:hAnsi="Palatino Linotype" w:cs="Palatino Linotype"/>
          <w:sz w:val="22"/>
          <w:szCs w:val="22"/>
        </w:rPr>
        <w:t xml:space="preserve">, en la que requirió lo siguiente: </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numPr>
          <w:ilvl w:val="0"/>
          <w:numId w:val="10"/>
        </w:num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bookmarkStart w:id="1" w:name="_heading=h.3znysh7" w:colFirst="0" w:colLast="0"/>
      <w:bookmarkEnd w:id="1"/>
      <w:r w:rsidRPr="009A201A">
        <w:rPr>
          <w:rFonts w:ascii="Palatino Linotype" w:eastAsia="Palatino Linotype" w:hAnsi="Palatino Linotype" w:cs="Palatino Linotype"/>
          <w:b/>
          <w:bCs/>
          <w:sz w:val="22"/>
          <w:szCs w:val="22"/>
        </w:rPr>
        <w:t>04468/TOLUCA/IP/2025</w:t>
      </w:r>
    </w:p>
    <w:p w:rsidR="000806B7" w:rsidRPr="009A201A" w:rsidRDefault="00133D0B">
      <w:pPr>
        <w:spacing w:line="276" w:lineRule="auto"/>
        <w:ind w:left="567" w:right="843"/>
        <w:jc w:val="both"/>
        <w:rPr>
          <w:rFonts w:ascii="Palatino Linotype" w:eastAsia="Palatino Linotype" w:hAnsi="Palatino Linotype" w:cs="Palatino Linotype"/>
          <w:b/>
          <w:bCs/>
          <w:i/>
          <w:iCs/>
          <w:sz w:val="22"/>
          <w:szCs w:val="22"/>
        </w:rPr>
      </w:pPr>
      <w:r w:rsidRPr="009A201A">
        <w:rPr>
          <w:rFonts w:ascii="Palatino Linotype" w:eastAsia="Palatino Linotype" w:hAnsi="Palatino Linotype" w:cs="Palatino Linotype"/>
          <w:i/>
          <w:iCs/>
          <w:sz w:val="22"/>
          <w:szCs w:val="22"/>
        </w:rPr>
        <w:t>"Quiero en versión pública los justificantes de entrada y salida de Andrea Alejandra Sánchez Váldez y Roberto Daniel Sánchez Arias de todo el tiempo que han prestado sus servicios para el ayuntamiento, quienes son hija y papá, y laboran en la misma unidad administrativa del ayuntamiento de Toluca, también su último recibo de pago</w:t>
      </w:r>
      <w:r w:rsidRPr="009A201A">
        <w:rPr>
          <w:rFonts w:ascii="Palatino Linotype" w:eastAsia="Palatino Linotype" w:hAnsi="Palatino Linotype" w:cs="Palatino Linotype"/>
          <w:b/>
          <w:bCs/>
          <w:i/>
          <w:iCs/>
          <w:sz w:val="22"/>
          <w:szCs w:val="22"/>
        </w:rPr>
        <w:t>” (Sic.)</w:t>
      </w:r>
    </w:p>
    <w:p w:rsidR="000806B7" w:rsidRPr="009A201A" w:rsidRDefault="000806B7">
      <w:pPr>
        <w:spacing w:line="360" w:lineRule="auto"/>
        <w:ind w:left="567" w:right="843"/>
        <w:jc w:val="both"/>
        <w:rPr>
          <w:rFonts w:ascii="Palatino Linotype" w:eastAsia="Palatino Linotype" w:hAnsi="Palatino Linotype" w:cs="Palatino Linotype"/>
          <w:i/>
          <w:iCs/>
          <w:sz w:val="22"/>
          <w:szCs w:val="22"/>
        </w:rPr>
      </w:pPr>
    </w:p>
    <w:p w:rsidR="000806B7" w:rsidRPr="009A201A" w:rsidRDefault="00133D0B">
      <w:pPr>
        <w:spacing w:line="360" w:lineRule="auto"/>
        <w:ind w:right="49"/>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sz w:val="22"/>
          <w:szCs w:val="22"/>
        </w:rPr>
        <w:t>Modalidad elegida para la entrega de la información:</w:t>
      </w:r>
      <w:r w:rsidRPr="009A201A">
        <w:rPr>
          <w:rFonts w:ascii="Palatino Linotype" w:eastAsia="Palatino Linotype" w:hAnsi="Palatino Linotype" w:cs="Palatino Linotype"/>
          <w:sz w:val="22"/>
          <w:szCs w:val="22"/>
        </w:rPr>
        <w:t xml:space="preserve"> a través del Sistema de Acceso a la Información Mexiquense (SAIMEX).</w:t>
      </w:r>
    </w:p>
    <w:p w:rsidR="000806B7" w:rsidRPr="009A201A" w:rsidRDefault="000806B7">
      <w:pPr>
        <w:widowControl w:val="0"/>
        <w:spacing w:line="360" w:lineRule="auto"/>
        <w:jc w:val="both"/>
        <w:rPr>
          <w:rFonts w:ascii="Palatino Linotype" w:eastAsia="Palatino Linotype" w:hAnsi="Palatino Linotype" w:cs="Palatino Linotype"/>
          <w:b/>
          <w:bCs/>
          <w:sz w:val="22"/>
          <w:szCs w:val="22"/>
        </w:rPr>
      </w:pPr>
    </w:p>
    <w:p w:rsidR="000806B7" w:rsidRPr="009A201A" w:rsidRDefault="00133D0B">
      <w:pPr>
        <w:widowControl w:val="0"/>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sz w:val="22"/>
          <w:szCs w:val="22"/>
        </w:rPr>
        <w:t>2. Respuesta.</w:t>
      </w:r>
      <w:r w:rsidRPr="009A201A">
        <w:rPr>
          <w:rFonts w:ascii="Palatino Linotype" w:eastAsia="Palatino Linotype" w:hAnsi="Palatino Linotype" w:cs="Palatino Linotype"/>
          <w:sz w:val="22"/>
          <w:szCs w:val="22"/>
        </w:rPr>
        <w:t xml:space="preserve"> El </w:t>
      </w:r>
      <w:r w:rsidRPr="009A201A">
        <w:rPr>
          <w:rFonts w:ascii="Palatino Linotype" w:eastAsia="Palatino Linotype" w:hAnsi="Palatino Linotype" w:cs="Palatino Linotype"/>
          <w:b/>
          <w:bCs/>
          <w:sz w:val="22"/>
          <w:szCs w:val="22"/>
        </w:rPr>
        <w:t>veintitrés</w:t>
      </w:r>
      <w:r w:rsidRPr="009A201A">
        <w:rPr>
          <w:rFonts w:ascii="Palatino Linotype" w:eastAsia="Palatino Linotype" w:hAnsi="Palatino Linotype" w:cs="Palatino Linotype"/>
          <w:sz w:val="22"/>
          <w:szCs w:val="22"/>
        </w:rPr>
        <w:t xml:space="preserve"> </w:t>
      </w:r>
      <w:r w:rsidRPr="009A201A">
        <w:rPr>
          <w:rFonts w:ascii="Palatino Linotype" w:eastAsia="Palatino Linotype" w:hAnsi="Palatino Linotype" w:cs="Palatino Linotype"/>
          <w:b/>
          <w:bCs/>
          <w:sz w:val="22"/>
          <w:szCs w:val="22"/>
        </w:rPr>
        <w:t>de septiembre de dos mil veinticinco</w:t>
      </w:r>
      <w:r w:rsidRPr="009A201A">
        <w:rPr>
          <w:rFonts w:ascii="Palatino Linotype" w:eastAsia="Palatino Linotype" w:hAnsi="Palatino Linotype" w:cs="Palatino Linotype"/>
          <w:sz w:val="22"/>
          <w:szCs w:val="22"/>
        </w:rPr>
        <w:t xml:space="preserve">, el Sujeto Obligado dio </w:t>
      </w:r>
      <w:r w:rsidRPr="009A201A">
        <w:rPr>
          <w:rFonts w:ascii="Palatino Linotype" w:eastAsia="Palatino Linotype" w:hAnsi="Palatino Linotype" w:cs="Palatino Linotype"/>
          <w:sz w:val="22"/>
          <w:szCs w:val="22"/>
        </w:rPr>
        <w:lastRenderedPageBreak/>
        <w:t>respuesta a la solicitud en los siguientes términos:</w:t>
      </w:r>
    </w:p>
    <w:p w:rsidR="000806B7" w:rsidRPr="009A201A" w:rsidRDefault="000806B7">
      <w:pPr>
        <w:widowControl w:val="0"/>
        <w:spacing w:line="360" w:lineRule="auto"/>
        <w:jc w:val="both"/>
        <w:rPr>
          <w:rFonts w:ascii="Palatino Linotype" w:eastAsia="Palatino Linotype" w:hAnsi="Palatino Linotype" w:cs="Palatino Linotype"/>
          <w:sz w:val="22"/>
          <w:szCs w:val="22"/>
        </w:rPr>
      </w:pPr>
    </w:p>
    <w:p w:rsidR="000806B7" w:rsidRPr="009A201A" w:rsidRDefault="00133D0B">
      <w:pPr>
        <w:widowControl w:val="0"/>
        <w:spacing w:line="360" w:lineRule="auto"/>
        <w:ind w:left="567" w:right="843"/>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806B7" w:rsidRPr="009A201A" w:rsidRDefault="00133D0B">
      <w:pPr>
        <w:widowControl w:val="0"/>
        <w:spacing w:line="360" w:lineRule="auto"/>
        <w:ind w:left="567" w:right="843"/>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En atención a la solicitud con folio 04468/TOLUCA/IP/2025, me permito adjuntar al presente la respuesta correspondiente, Sin más por el momento, reciba un saludo.</w:t>
      </w:r>
    </w:p>
    <w:p w:rsidR="000806B7" w:rsidRPr="009A201A" w:rsidRDefault="00133D0B">
      <w:pPr>
        <w:widowControl w:val="0"/>
        <w:spacing w:line="360" w:lineRule="auto"/>
        <w:ind w:left="567" w:right="843"/>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ATENTAMENTE</w:t>
      </w:r>
    </w:p>
    <w:p w:rsidR="000806B7" w:rsidRPr="009A201A" w:rsidRDefault="00133D0B">
      <w:pPr>
        <w:widowControl w:val="0"/>
        <w:spacing w:line="360" w:lineRule="auto"/>
        <w:ind w:left="567" w:right="843"/>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Dr. Nahum Miguel Mendoza Morales”</w:t>
      </w:r>
    </w:p>
    <w:p w:rsidR="000806B7" w:rsidRPr="009A201A" w:rsidRDefault="000806B7">
      <w:pPr>
        <w:widowControl w:val="0"/>
        <w:spacing w:line="360" w:lineRule="auto"/>
        <w:ind w:left="567" w:right="843"/>
        <w:jc w:val="both"/>
        <w:rPr>
          <w:rFonts w:ascii="Palatino Linotype" w:eastAsia="Palatino Linotype" w:hAnsi="Palatino Linotype" w:cs="Palatino Linotype"/>
          <w:i/>
          <w:iCs/>
          <w:sz w:val="22"/>
          <w:szCs w:val="22"/>
        </w:rPr>
      </w:pPr>
    </w:p>
    <w:p w:rsidR="000806B7" w:rsidRPr="009A201A" w:rsidRDefault="00133D0B">
      <w:pPr>
        <w:widowControl w:val="0"/>
        <w:spacing w:line="360" w:lineRule="auto"/>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sz w:val="22"/>
          <w:szCs w:val="22"/>
        </w:rPr>
        <w:t>El Sujeto Obligado adjuntó los siguientes documentos electrónicos</w:t>
      </w:r>
      <w:r w:rsidRPr="009A201A">
        <w:rPr>
          <w:rFonts w:ascii="Palatino Linotype" w:eastAsia="Palatino Linotype" w:hAnsi="Palatino Linotype" w:cs="Palatino Linotype"/>
          <w:b/>
          <w:bCs/>
          <w:sz w:val="22"/>
          <w:szCs w:val="22"/>
        </w:rPr>
        <w:t>:</w:t>
      </w:r>
    </w:p>
    <w:p w:rsidR="000806B7" w:rsidRPr="009A201A" w:rsidRDefault="000806B7">
      <w:pPr>
        <w:widowControl w:val="0"/>
        <w:spacing w:line="360" w:lineRule="auto"/>
        <w:jc w:val="both"/>
        <w:rPr>
          <w:rFonts w:ascii="Palatino Linotype" w:eastAsia="Palatino Linotype" w:hAnsi="Palatino Linotype" w:cs="Palatino Linotype"/>
          <w:b/>
          <w:bCs/>
          <w:sz w:val="22"/>
          <w:szCs w:val="22"/>
        </w:rPr>
      </w:pPr>
    </w:p>
    <w:p w:rsidR="000806B7" w:rsidRPr="009A201A" w:rsidRDefault="00133D0B">
      <w:pPr>
        <w:widowControl w:val="0"/>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sz w:val="22"/>
          <w:szCs w:val="22"/>
        </w:rPr>
        <w:t>NOTIF.CIUDADANO S. 4468.pdf</w:t>
      </w:r>
      <w:r w:rsidRPr="009A201A">
        <w:rPr>
          <w:rFonts w:ascii="Palatino Linotype" w:eastAsia="Palatino Linotype" w:hAnsi="Palatino Linotype" w:cs="Palatino Linotype"/>
          <w:sz w:val="22"/>
          <w:szCs w:val="22"/>
        </w:rPr>
        <w:t>: Contiene los siguientes documentos:</w:t>
      </w:r>
    </w:p>
    <w:p w:rsidR="000806B7" w:rsidRPr="009A201A" w:rsidRDefault="00133D0B">
      <w:pPr>
        <w:widowControl w:val="0"/>
        <w:numPr>
          <w:ilvl w:val="0"/>
          <w:numId w:val="3"/>
        </w:numPr>
        <w:pBdr>
          <w:top w:val="nil"/>
          <w:left w:val="nil"/>
          <w:bottom w:val="nil"/>
          <w:right w:val="nil"/>
          <w:between w:val="nil"/>
        </w:pBdr>
        <w:spacing w:line="360" w:lineRule="auto"/>
        <w:ind w:left="993"/>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Oficio suscrito por la Directora General de Administración mediante el cual refiere que se adjunta la respuesta de la Dirección de Recursos Humanos;</w:t>
      </w:r>
    </w:p>
    <w:p w:rsidR="000806B7" w:rsidRPr="009A201A" w:rsidRDefault="000806B7">
      <w:pPr>
        <w:widowControl w:val="0"/>
        <w:pBdr>
          <w:top w:val="nil"/>
          <w:left w:val="nil"/>
          <w:bottom w:val="nil"/>
          <w:right w:val="nil"/>
          <w:between w:val="nil"/>
        </w:pBdr>
        <w:spacing w:line="360" w:lineRule="auto"/>
        <w:ind w:left="993"/>
        <w:jc w:val="both"/>
        <w:rPr>
          <w:rFonts w:ascii="Palatino Linotype" w:eastAsia="Palatino Linotype" w:hAnsi="Palatino Linotype" w:cs="Palatino Linotype"/>
          <w:sz w:val="22"/>
          <w:szCs w:val="22"/>
        </w:rPr>
      </w:pPr>
    </w:p>
    <w:p w:rsidR="000806B7" w:rsidRPr="009A201A" w:rsidRDefault="00133D0B">
      <w:pPr>
        <w:widowControl w:val="0"/>
        <w:numPr>
          <w:ilvl w:val="0"/>
          <w:numId w:val="3"/>
        </w:numPr>
        <w:pBdr>
          <w:top w:val="nil"/>
          <w:left w:val="nil"/>
          <w:bottom w:val="nil"/>
          <w:right w:val="nil"/>
          <w:between w:val="nil"/>
        </w:pBdr>
        <w:spacing w:line="360" w:lineRule="auto"/>
        <w:ind w:left="993"/>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Oficio suscrito por la Directora de Recursos Humanos mediante el cual refiere que sus requerimientos no configuran un derecho de acceso a la información pública. Por lo que corresponde al recibo de pago puede localizarse en la dirección electrónica siguiente:</w:t>
      </w:r>
    </w:p>
    <w:p w:rsidR="000806B7" w:rsidRPr="009A201A" w:rsidRDefault="000806B7">
      <w:pPr>
        <w:pBdr>
          <w:top w:val="nil"/>
          <w:left w:val="nil"/>
          <w:bottom w:val="nil"/>
          <w:right w:val="nil"/>
          <w:between w:val="nil"/>
        </w:pBdr>
        <w:ind w:left="720"/>
        <w:rPr>
          <w:rFonts w:ascii="Palatino Linotype" w:eastAsia="Palatino Linotype" w:hAnsi="Palatino Linotype" w:cs="Palatino Linotype"/>
          <w:sz w:val="22"/>
          <w:szCs w:val="22"/>
        </w:rPr>
      </w:pPr>
    </w:p>
    <w:p w:rsidR="000806B7" w:rsidRPr="009A201A" w:rsidRDefault="00133D0B">
      <w:pPr>
        <w:widowControl w:val="0"/>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9A201A">
        <w:rPr>
          <w:rFonts w:ascii="Palatino Linotype" w:eastAsia="Palatino Linotype" w:hAnsi="Palatino Linotype" w:cs="Palatino Linotype"/>
          <w:noProof/>
          <w:sz w:val="22"/>
          <w:szCs w:val="22"/>
        </w:rPr>
        <w:drawing>
          <wp:inline distT="0" distB="0" distL="0" distR="0">
            <wp:extent cx="3943900" cy="314369"/>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43900" cy="314369"/>
                    </a:xfrm>
                    <a:prstGeom prst="rect">
                      <a:avLst/>
                    </a:prstGeom>
                    <a:ln/>
                  </pic:spPr>
                </pic:pic>
              </a:graphicData>
            </a:graphic>
          </wp:inline>
        </w:drawing>
      </w:r>
    </w:p>
    <w:p w:rsidR="000806B7" w:rsidRPr="009A201A" w:rsidRDefault="000806B7">
      <w:pPr>
        <w:pBdr>
          <w:top w:val="nil"/>
          <w:left w:val="nil"/>
          <w:bottom w:val="nil"/>
          <w:right w:val="nil"/>
          <w:between w:val="nil"/>
        </w:pBdr>
        <w:ind w:left="720"/>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sz w:val="22"/>
          <w:szCs w:val="22"/>
        </w:rPr>
        <w:lastRenderedPageBreak/>
        <w:t xml:space="preserve">3. Del Recurso de Revisión. </w:t>
      </w:r>
      <w:r w:rsidRPr="009A201A">
        <w:rPr>
          <w:rFonts w:ascii="Palatino Linotype" w:eastAsia="Palatino Linotype" w:hAnsi="Palatino Linotype" w:cs="Palatino Linotype"/>
          <w:sz w:val="22"/>
          <w:szCs w:val="22"/>
        </w:rPr>
        <w:t>Inconforme con la respuesta del</w:t>
      </w:r>
      <w:r w:rsidRPr="009A201A">
        <w:rPr>
          <w:rFonts w:ascii="Palatino Linotype" w:eastAsia="Palatino Linotype" w:hAnsi="Palatino Linotype" w:cs="Palatino Linotype"/>
          <w:b/>
          <w:bCs/>
          <w:sz w:val="22"/>
          <w:szCs w:val="22"/>
        </w:rPr>
        <w:t xml:space="preserve"> SUJETO OBLIGADO, </w:t>
      </w:r>
      <w:r w:rsidRPr="009A201A">
        <w:rPr>
          <w:rFonts w:ascii="Palatino Linotype" w:eastAsia="Palatino Linotype" w:hAnsi="Palatino Linotype" w:cs="Palatino Linotype"/>
          <w:sz w:val="22"/>
          <w:szCs w:val="22"/>
        </w:rPr>
        <w:t xml:space="preserve">el </w:t>
      </w:r>
      <w:r w:rsidRPr="009A201A">
        <w:rPr>
          <w:rFonts w:ascii="Palatino Linotype" w:eastAsia="Palatino Linotype" w:hAnsi="Palatino Linotype" w:cs="Palatino Linotype"/>
          <w:b/>
          <w:bCs/>
          <w:sz w:val="22"/>
          <w:szCs w:val="22"/>
        </w:rPr>
        <w:t>veinticuatro</w:t>
      </w:r>
      <w:r w:rsidRPr="009A201A">
        <w:rPr>
          <w:rFonts w:ascii="Palatino Linotype" w:eastAsia="Palatino Linotype" w:hAnsi="Palatino Linotype" w:cs="Palatino Linotype"/>
          <w:sz w:val="22"/>
          <w:szCs w:val="22"/>
        </w:rPr>
        <w:t xml:space="preserve"> d</w:t>
      </w:r>
      <w:r w:rsidRPr="009A201A">
        <w:rPr>
          <w:rFonts w:ascii="Palatino Linotype" w:eastAsia="Palatino Linotype" w:hAnsi="Palatino Linotype" w:cs="Palatino Linotype"/>
          <w:b/>
          <w:bCs/>
          <w:sz w:val="22"/>
          <w:szCs w:val="22"/>
        </w:rPr>
        <w:t xml:space="preserve">e septiembre de dos mil veinticinco, LA PARTE RECURRENTE </w:t>
      </w:r>
      <w:r w:rsidRPr="009A201A">
        <w:rPr>
          <w:rFonts w:ascii="Palatino Linotype" w:eastAsia="Palatino Linotype" w:hAnsi="Palatino Linotype" w:cs="Palatino Linotype"/>
          <w:sz w:val="22"/>
          <w:szCs w:val="22"/>
        </w:rPr>
        <w:t xml:space="preserve">interpuso el recurso de revisión, mediante el cual y manifestó lo siguiente: </w:t>
      </w:r>
    </w:p>
    <w:p w:rsidR="000806B7" w:rsidRPr="009A201A" w:rsidRDefault="00133D0B">
      <w:pPr>
        <w:numPr>
          <w:ilvl w:val="0"/>
          <w:numId w:val="1"/>
        </w:numPr>
        <w:pBdr>
          <w:top w:val="nil"/>
          <w:left w:val="nil"/>
          <w:bottom w:val="nil"/>
          <w:right w:val="nil"/>
          <w:between w:val="nil"/>
        </w:pBdr>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rPr>
        <w:t>Acto Impugnado:</w:t>
      </w:r>
      <w:r w:rsidRPr="009A201A">
        <w:rPr>
          <w:rFonts w:ascii="Palatino Linotype" w:eastAsia="Palatino Linotype" w:hAnsi="Palatino Linotype" w:cs="Palatino Linotype"/>
          <w:i/>
          <w:iCs/>
          <w:sz w:val="22"/>
          <w:szCs w:val="22"/>
        </w:rPr>
        <w:t xml:space="preserve"> “La respuesta noreste conforme a derecho” (Sic.)</w:t>
      </w:r>
    </w:p>
    <w:p w:rsidR="000806B7" w:rsidRPr="009A201A" w:rsidRDefault="000806B7">
      <w:pPr>
        <w:pBdr>
          <w:top w:val="nil"/>
          <w:left w:val="nil"/>
          <w:bottom w:val="nil"/>
          <w:right w:val="nil"/>
          <w:between w:val="nil"/>
        </w:pBdr>
        <w:spacing w:line="276" w:lineRule="auto"/>
        <w:ind w:left="720" w:right="560"/>
        <w:jc w:val="both"/>
        <w:rPr>
          <w:rFonts w:ascii="Palatino Linotype" w:eastAsia="Palatino Linotype" w:hAnsi="Palatino Linotype" w:cs="Palatino Linotype"/>
          <w:i/>
          <w:iCs/>
          <w:sz w:val="22"/>
          <w:szCs w:val="22"/>
        </w:rPr>
      </w:pPr>
    </w:p>
    <w:p w:rsidR="000806B7" w:rsidRPr="009A201A" w:rsidRDefault="00133D0B">
      <w:pPr>
        <w:numPr>
          <w:ilvl w:val="0"/>
          <w:numId w:val="1"/>
        </w:numPr>
        <w:pBdr>
          <w:top w:val="nil"/>
          <w:left w:val="nil"/>
          <w:bottom w:val="nil"/>
          <w:right w:val="nil"/>
          <w:between w:val="nil"/>
        </w:pBdr>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rPr>
        <w:t>Motivo de inconformidad:</w:t>
      </w:r>
      <w:r w:rsidRPr="009A201A">
        <w:rPr>
          <w:rFonts w:ascii="Palatino Linotype" w:eastAsia="Palatino Linotype" w:hAnsi="Palatino Linotype" w:cs="Palatino Linotype"/>
          <w:i/>
          <w:iCs/>
          <w:sz w:val="22"/>
          <w:szCs w:val="22"/>
        </w:rPr>
        <w:t xml:space="preserve"> “Viola mis garantías, en particular el artículo 1o de la carta magna” (Sic.)</w:t>
      </w:r>
    </w:p>
    <w:p w:rsidR="000806B7" w:rsidRPr="009A201A" w:rsidRDefault="000806B7">
      <w:pPr>
        <w:pBdr>
          <w:top w:val="nil"/>
          <w:left w:val="nil"/>
          <w:bottom w:val="nil"/>
          <w:right w:val="nil"/>
          <w:between w:val="nil"/>
        </w:pBdr>
        <w:ind w:left="720"/>
        <w:rPr>
          <w:rFonts w:ascii="Palatino Linotype" w:eastAsia="Palatino Linotype" w:hAnsi="Palatino Linotype" w:cs="Palatino Linotype"/>
          <w:i/>
          <w:iCs/>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sz w:val="22"/>
          <w:szCs w:val="22"/>
        </w:rPr>
        <w:t xml:space="preserve">4. Turno. </w:t>
      </w:r>
      <w:r w:rsidRPr="009A201A">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9A201A">
        <w:rPr>
          <w:rFonts w:ascii="Palatino Linotype" w:eastAsia="Palatino Linotype" w:hAnsi="Palatino Linotype" w:cs="Palatino Linotype"/>
          <w:b/>
          <w:bCs/>
          <w:sz w:val="22"/>
          <w:szCs w:val="22"/>
        </w:rPr>
        <w:t>10994/INFOEM/IP/RR/2025</w:t>
      </w:r>
      <w:r w:rsidRPr="009A201A">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9A201A">
        <w:rPr>
          <w:rFonts w:ascii="Palatino Linotype" w:eastAsia="Palatino Linotype" w:hAnsi="Palatino Linotype" w:cs="Palatino Linotype"/>
          <w:b/>
          <w:bCs/>
          <w:sz w:val="22"/>
          <w:szCs w:val="22"/>
        </w:rPr>
        <w:t>Guadalupe Ramírez Peña</w:t>
      </w:r>
      <w:r w:rsidRPr="009A201A">
        <w:rPr>
          <w:rFonts w:ascii="Palatino Linotype" w:eastAsia="Palatino Linotype" w:hAnsi="Palatino Linotype" w:cs="Palatino Linotype"/>
          <w:sz w:val="22"/>
          <w:szCs w:val="22"/>
        </w:rPr>
        <w:t>, para su análisis, estudio, elaboración del proyecto y presentación ante el Pleno de este Instituto.</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b/>
          <w:bCs/>
          <w:sz w:val="22"/>
          <w:szCs w:val="22"/>
        </w:rPr>
        <w:t xml:space="preserve">5. Admisión. </w:t>
      </w:r>
      <w:r w:rsidRPr="009A201A">
        <w:rPr>
          <w:rFonts w:ascii="Palatino Linotype" w:eastAsia="Palatino Linotype" w:hAnsi="Palatino Linotype" w:cs="Palatino Linotype"/>
          <w:sz w:val="22"/>
          <w:szCs w:val="22"/>
        </w:rPr>
        <w:t xml:space="preserve">El </w:t>
      </w:r>
      <w:r w:rsidRPr="009A201A">
        <w:rPr>
          <w:rFonts w:ascii="Palatino Linotype" w:eastAsia="Palatino Linotype" w:hAnsi="Palatino Linotype" w:cs="Palatino Linotype"/>
          <w:b/>
          <w:bCs/>
          <w:sz w:val="22"/>
          <w:szCs w:val="22"/>
        </w:rPr>
        <w:t>veintinueve de septiembre de dos mil veinticinco</w:t>
      </w:r>
      <w:r w:rsidRPr="009A201A">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9A201A">
        <w:rPr>
          <w:rFonts w:ascii="Palatino Linotype" w:eastAsia="Palatino Linotype" w:hAnsi="Palatino Linotype" w:cs="Palatino Linotype"/>
          <w:b/>
          <w:bCs/>
          <w:sz w:val="22"/>
          <w:szCs w:val="22"/>
        </w:rPr>
        <w:t xml:space="preserve">. </w:t>
      </w:r>
    </w:p>
    <w:p w:rsidR="000806B7" w:rsidRPr="009A201A" w:rsidRDefault="000806B7">
      <w:pPr>
        <w:spacing w:line="360" w:lineRule="auto"/>
        <w:jc w:val="both"/>
        <w:rPr>
          <w:rFonts w:ascii="Palatino Linotype" w:eastAsia="Palatino Linotype" w:hAnsi="Palatino Linotype" w:cs="Palatino Linotype"/>
          <w:b/>
          <w:bCs/>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sz w:val="22"/>
          <w:szCs w:val="22"/>
        </w:rPr>
        <w:t>6. Manifestaciones.</w:t>
      </w:r>
      <w:r w:rsidRPr="009A201A">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Pr="009A201A">
        <w:rPr>
          <w:rFonts w:ascii="Palatino Linotype" w:eastAsia="Palatino Linotype" w:hAnsi="Palatino Linotype" w:cs="Palatino Linotype"/>
          <w:b/>
          <w:bCs/>
          <w:sz w:val="22"/>
          <w:szCs w:val="22"/>
        </w:rPr>
        <w:t>ocho de octubre de dos mil veinticinco,</w:t>
      </w:r>
      <w:r w:rsidRPr="009A201A">
        <w:rPr>
          <w:rFonts w:ascii="Palatino Linotype" w:eastAsia="Palatino Linotype" w:hAnsi="Palatino Linotype" w:cs="Palatino Linotype"/>
          <w:sz w:val="22"/>
          <w:szCs w:val="22"/>
        </w:rPr>
        <w:t xml:space="preserve"> a través de los documentos electrónicos denominados </w:t>
      </w:r>
      <w:r w:rsidRPr="009A201A">
        <w:rPr>
          <w:rFonts w:ascii="Palatino Linotype" w:eastAsia="Palatino Linotype" w:hAnsi="Palatino Linotype" w:cs="Palatino Linotype"/>
          <w:b/>
          <w:bCs/>
          <w:i/>
          <w:iCs/>
          <w:sz w:val="22"/>
          <w:szCs w:val="22"/>
        </w:rPr>
        <w:t xml:space="preserve">ANEXO 10994-2025.pdf; y Ratificación 10994.pdf, </w:t>
      </w:r>
      <w:r w:rsidRPr="009A201A">
        <w:rPr>
          <w:rFonts w:ascii="Palatino Linotype" w:eastAsia="Palatino Linotype" w:hAnsi="Palatino Linotype" w:cs="Palatino Linotype"/>
          <w:sz w:val="22"/>
          <w:szCs w:val="22"/>
        </w:rPr>
        <w:t xml:space="preserve">mediante los cuales ratifica la respuesta inicial. El contenido del documento electrónico se puso a disposición del Recurrente el </w:t>
      </w:r>
      <w:r w:rsidRPr="009A201A">
        <w:rPr>
          <w:rFonts w:ascii="Palatino Linotype" w:eastAsia="Palatino Linotype" w:hAnsi="Palatino Linotype" w:cs="Palatino Linotype"/>
          <w:b/>
          <w:bCs/>
          <w:sz w:val="22"/>
          <w:szCs w:val="22"/>
        </w:rPr>
        <w:t>veinte</w:t>
      </w:r>
      <w:r w:rsidRPr="009A201A">
        <w:rPr>
          <w:rFonts w:ascii="Palatino Linotype" w:eastAsia="Palatino Linotype" w:hAnsi="Palatino Linotype" w:cs="Palatino Linotype"/>
          <w:sz w:val="22"/>
          <w:szCs w:val="22"/>
        </w:rPr>
        <w:t xml:space="preserve"> </w:t>
      </w:r>
      <w:r w:rsidRPr="009A201A">
        <w:rPr>
          <w:rFonts w:ascii="Palatino Linotype" w:eastAsia="Palatino Linotype" w:hAnsi="Palatino Linotype" w:cs="Palatino Linotype"/>
          <w:b/>
          <w:bCs/>
          <w:sz w:val="22"/>
          <w:szCs w:val="22"/>
        </w:rPr>
        <w:t>de noviembre de dos mil veinticinco, a través del acuerdo notificado el veinticuatro de noviembre de dos mil veinticinco.</w:t>
      </w:r>
    </w:p>
    <w:p w:rsidR="000806B7" w:rsidRPr="009A201A" w:rsidRDefault="000806B7">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rsidR="00133D0B"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sz w:val="22"/>
          <w:szCs w:val="22"/>
        </w:rPr>
        <w:t>7. Ampliación de plazo. El veinte de noviembre de dos mil veinticinco</w:t>
      </w:r>
      <w:r w:rsidRPr="009A201A">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 </w:t>
      </w: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sz w:val="22"/>
          <w:szCs w:val="22"/>
        </w:rPr>
        <w:t>8. Cierre de instrucción</w:t>
      </w:r>
      <w:r w:rsidRPr="009A201A">
        <w:rPr>
          <w:rFonts w:ascii="Palatino Linotype" w:eastAsia="Palatino Linotype" w:hAnsi="Palatino Linotype" w:cs="Palatino Linotype"/>
          <w:sz w:val="22"/>
          <w:szCs w:val="22"/>
        </w:rPr>
        <w:t xml:space="preserve">. En fecha </w:t>
      </w:r>
      <w:r w:rsidRPr="009A201A">
        <w:rPr>
          <w:rFonts w:ascii="Palatino Linotype" w:eastAsia="Palatino Linotype" w:hAnsi="Palatino Linotype" w:cs="Palatino Linotype"/>
          <w:b/>
          <w:bCs/>
          <w:sz w:val="22"/>
          <w:szCs w:val="22"/>
        </w:rPr>
        <w:t>dos de diciembre de dos mil veinticinco</w:t>
      </w:r>
      <w:r w:rsidRPr="009A201A">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rsidR="000806B7" w:rsidRPr="009A201A" w:rsidRDefault="000806B7">
      <w:pPr>
        <w:spacing w:line="360" w:lineRule="auto"/>
        <w:ind w:right="49"/>
        <w:jc w:val="both"/>
        <w:rPr>
          <w:rFonts w:ascii="Palatino Linotype" w:eastAsia="Palatino Linotype" w:hAnsi="Palatino Linotype" w:cs="Palatino Linotype"/>
          <w:sz w:val="22"/>
          <w:szCs w:val="22"/>
        </w:rPr>
      </w:pPr>
    </w:p>
    <w:p w:rsidR="000806B7" w:rsidRPr="009A201A" w:rsidRDefault="00133D0B">
      <w:pPr>
        <w:spacing w:line="360" w:lineRule="auto"/>
        <w:ind w:right="49"/>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Debido a que fue debidamente sustanciado </w:t>
      </w:r>
      <w:r w:rsidRPr="009A201A">
        <w:rPr>
          <w:rFonts w:ascii="Palatino Linotype" w:eastAsia="Palatino Linotype" w:hAnsi="Palatino Linotype" w:cs="Palatino Linotype"/>
          <w:sz w:val="22"/>
          <w:szCs w:val="22"/>
        </w:rPr>
        <w:tab/>
        <w:t xml:space="preserve">el expediente electrónico y no existe diligencia pendiente de desahogo, se emite la Resolución que conforme a Derecho proceda, de acuerdo con los siguientes: </w:t>
      </w:r>
    </w:p>
    <w:p w:rsidR="000806B7" w:rsidRPr="009A201A" w:rsidRDefault="000806B7">
      <w:pPr>
        <w:spacing w:line="360" w:lineRule="auto"/>
        <w:ind w:right="49"/>
        <w:jc w:val="both"/>
        <w:rPr>
          <w:rFonts w:ascii="Palatino Linotype" w:eastAsia="Palatino Linotype" w:hAnsi="Palatino Linotype" w:cs="Palatino Linotype"/>
          <w:sz w:val="22"/>
          <w:szCs w:val="22"/>
        </w:rPr>
      </w:pPr>
    </w:p>
    <w:p w:rsidR="000806B7" w:rsidRPr="009A201A" w:rsidRDefault="00133D0B">
      <w:pPr>
        <w:spacing w:line="360" w:lineRule="auto"/>
        <w:ind w:right="49"/>
        <w:jc w:val="center"/>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b/>
          <w:bCs/>
          <w:sz w:val="22"/>
          <w:szCs w:val="22"/>
        </w:rPr>
        <w:t>II.</w:t>
      </w:r>
      <w:r w:rsidRPr="009A201A">
        <w:rPr>
          <w:rFonts w:ascii="Palatino Linotype" w:eastAsia="Palatino Linotype" w:hAnsi="Palatino Linotype" w:cs="Palatino Linotype"/>
          <w:b/>
          <w:bCs/>
          <w:sz w:val="22"/>
          <w:szCs w:val="22"/>
        </w:rPr>
        <w:tab/>
        <w:t>C O N S I D E R A N D O:</w:t>
      </w:r>
    </w:p>
    <w:p w:rsidR="000806B7" w:rsidRPr="009A201A" w:rsidRDefault="000806B7">
      <w:pPr>
        <w:spacing w:line="360" w:lineRule="auto"/>
        <w:ind w:right="49"/>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sz w:val="22"/>
          <w:szCs w:val="22"/>
        </w:rPr>
        <w:t>Primero. Competencia.</w:t>
      </w:r>
      <w:r w:rsidRPr="009A201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806B7" w:rsidRPr="009A201A" w:rsidRDefault="00133D0B">
      <w:pPr>
        <w:spacing w:before="240" w:after="240"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sz w:val="22"/>
          <w:szCs w:val="22"/>
        </w:rPr>
        <w:t xml:space="preserve">Segundo. Oportunidad y Procedibilidad del Recurso de Revisión. </w:t>
      </w:r>
      <w:r w:rsidRPr="009A201A">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806B7" w:rsidRPr="009A201A" w:rsidRDefault="00133D0B">
      <w:pPr>
        <w:spacing w:before="240" w:after="240"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rsidR="000806B7" w:rsidRPr="009A201A" w:rsidRDefault="00133D0B">
      <w:pPr>
        <w:spacing w:line="360" w:lineRule="auto"/>
        <w:ind w:left="851" w:right="900"/>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rPr>
        <w:t xml:space="preserve">“Artículo 178. </w:t>
      </w:r>
      <w:r w:rsidRPr="009A201A">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806B7" w:rsidRPr="009A201A" w:rsidRDefault="00133D0B">
      <w:pPr>
        <w:spacing w:before="240" w:after="240" w:line="360" w:lineRule="auto"/>
        <w:ind w:right="49"/>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9A201A">
        <w:rPr>
          <w:rFonts w:ascii="Palatino Linotype" w:eastAsia="Palatino Linotype" w:hAnsi="Palatino Linotype" w:cs="Palatino Linotype"/>
          <w:b/>
          <w:bCs/>
          <w:sz w:val="22"/>
          <w:szCs w:val="22"/>
        </w:rPr>
        <w:t>SUJETO OBLIGADO</w:t>
      </w:r>
      <w:r w:rsidRPr="009A201A">
        <w:rPr>
          <w:rFonts w:ascii="Palatino Linotype" w:eastAsia="Palatino Linotype" w:hAnsi="Palatino Linotype" w:cs="Palatino Linotype"/>
          <w:sz w:val="22"/>
          <w:szCs w:val="22"/>
        </w:rPr>
        <w:t xml:space="preserve"> remitió la respuesta a la solicitud de información el día </w:t>
      </w:r>
      <w:r w:rsidRPr="009A201A">
        <w:rPr>
          <w:rFonts w:ascii="Palatino Linotype" w:eastAsia="Palatino Linotype" w:hAnsi="Palatino Linotype" w:cs="Palatino Linotype"/>
          <w:b/>
          <w:bCs/>
          <w:sz w:val="22"/>
          <w:szCs w:val="22"/>
        </w:rPr>
        <w:t xml:space="preserve">veintitrés de septiembre de dos mil veinticinco, </w:t>
      </w:r>
      <w:r w:rsidRPr="009A201A">
        <w:rPr>
          <w:rFonts w:ascii="Palatino Linotype" w:eastAsia="Palatino Linotype" w:hAnsi="Palatino Linotype" w:cs="Palatino Linotype"/>
          <w:sz w:val="22"/>
          <w:szCs w:val="22"/>
        </w:rPr>
        <w:t xml:space="preserve">mientras que el recurso de revisión interpuesto por la parte </w:t>
      </w:r>
      <w:r w:rsidRPr="009A201A">
        <w:rPr>
          <w:rFonts w:ascii="Palatino Linotype" w:eastAsia="Palatino Linotype" w:hAnsi="Palatino Linotype" w:cs="Palatino Linotype"/>
          <w:b/>
          <w:bCs/>
          <w:sz w:val="22"/>
          <w:szCs w:val="22"/>
        </w:rPr>
        <w:t>RECURRENTE</w:t>
      </w:r>
      <w:r w:rsidRPr="009A201A">
        <w:rPr>
          <w:rFonts w:ascii="Palatino Linotype" w:eastAsia="Palatino Linotype" w:hAnsi="Palatino Linotype" w:cs="Palatino Linotype"/>
          <w:sz w:val="22"/>
          <w:szCs w:val="22"/>
        </w:rPr>
        <w:t xml:space="preserve">, se tuvo por presentado el </w:t>
      </w:r>
      <w:r w:rsidRPr="009A201A">
        <w:rPr>
          <w:rFonts w:ascii="Palatino Linotype" w:eastAsia="Palatino Linotype" w:hAnsi="Palatino Linotype" w:cs="Palatino Linotype"/>
          <w:b/>
          <w:bCs/>
          <w:sz w:val="22"/>
          <w:szCs w:val="22"/>
        </w:rPr>
        <w:t>veinticuatro de septiembre del año dos mil veinticinco</w:t>
      </w:r>
      <w:r w:rsidRPr="009A201A">
        <w:rPr>
          <w:rFonts w:ascii="Palatino Linotype" w:eastAsia="Palatino Linotype" w:hAnsi="Palatino Linotype" w:cs="Palatino Linotype"/>
          <w:sz w:val="22"/>
          <w:szCs w:val="22"/>
        </w:rPr>
        <w:t xml:space="preserve">; esto es, al </w:t>
      </w:r>
      <w:r w:rsidRPr="009A201A">
        <w:rPr>
          <w:rFonts w:ascii="Palatino Linotype" w:eastAsia="Palatino Linotype" w:hAnsi="Palatino Linotype" w:cs="Palatino Linotype"/>
          <w:b/>
          <w:bCs/>
          <w:sz w:val="22"/>
          <w:szCs w:val="22"/>
        </w:rPr>
        <w:t xml:space="preserve">primer día hábil </w:t>
      </w:r>
      <w:r w:rsidRPr="009A201A">
        <w:rPr>
          <w:rFonts w:ascii="Palatino Linotype" w:eastAsia="Palatino Linotype" w:hAnsi="Palatino Linotype" w:cs="Palatino Linotype"/>
          <w:sz w:val="22"/>
          <w:szCs w:val="22"/>
        </w:rPr>
        <w:t>siguiente al que se tuvo conocimiento de la respuesta respectivamente.</w:t>
      </w:r>
    </w:p>
    <w:p w:rsidR="000806B7" w:rsidRPr="009A201A" w:rsidRDefault="00133D0B">
      <w:pPr>
        <w:spacing w:before="240" w:after="240" w:line="360" w:lineRule="auto"/>
        <w:ind w:right="49"/>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806B7" w:rsidRPr="009A201A" w:rsidRDefault="00133D0B">
      <w:pPr>
        <w:ind w:left="426" w:right="701"/>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sz w:val="22"/>
          <w:szCs w:val="22"/>
        </w:rPr>
        <w:br/>
      </w:r>
      <w:r w:rsidRPr="009A201A">
        <w:rPr>
          <w:rFonts w:ascii="Palatino Linotype" w:eastAsia="Palatino Linotype" w:hAnsi="Palatino Linotype" w:cs="Palatino Linotype"/>
          <w:b/>
          <w:bCs/>
          <w:i/>
          <w:iCs/>
          <w:sz w:val="22"/>
          <w:szCs w:val="22"/>
        </w:rPr>
        <w:t xml:space="preserve">"Las solicitudes anónimas, </w:t>
      </w:r>
      <w:r w:rsidRPr="009A201A">
        <w:rPr>
          <w:rFonts w:ascii="Palatino Linotype" w:eastAsia="Palatino Linotype" w:hAnsi="Palatino Linotype" w:cs="Palatino Linotype"/>
          <w:i/>
          <w:iCs/>
          <w:sz w:val="22"/>
          <w:szCs w:val="22"/>
        </w:rPr>
        <w:t>con nombre incompleto o seudónimo </w:t>
      </w:r>
      <w:r w:rsidRPr="009A201A">
        <w:rPr>
          <w:rFonts w:ascii="Palatino Linotype" w:eastAsia="Palatino Linotype" w:hAnsi="Palatino Linotype" w:cs="Palatino Linotype"/>
          <w:b/>
          <w:bCs/>
          <w:i/>
          <w:iCs/>
          <w:sz w:val="22"/>
          <w:szCs w:val="22"/>
        </w:rPr>
        <w:t>serán procedentes para su trámite por parte del sujeto obligado ante quien se presente.</w:t>
      </w:r>
      <w:r w:rsidRPr="009A201A">
        <w:rPr>
          <w:rFonts w:ascii="Palatino Linotype" w:eastAsia="Palatino Linotype" w:hAnsi="Palatino Linotype" w:cs="Palatino Linotype"/>
          <w:i/>
          <w:iCs/>
          <w:sz w:val="22"/>
          <w:szCs w:val="22"/>
        </w:rPr>
        <w:t xml:space="preserve"> No podrá requerirse información adicional con motivo del nombre proporcionado por el solicitante."</w:t>
      </w:r>
    </w:p>
    <w:p w:rsidR="000806B7" w:rsidRPr="009A201A" w:rsidRDefault="00133D0B">
      <w:pPr>
        <w:spacing w:before="240" w:after="240"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rsidR="000806B7" w:rsidRPr="009A201A" w:rsidRDefault="00133D0B">
      <w:pPr>
        <w:spacing w:line="360" w:lineRule="auto"/>
        <w:ind w:left="851" w:right="1041"/>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w:t>
      </w:r>
      <w:r w:rsidRPr="009A201A">
        <w:rPr>
          <w:rFonts w:ascii="Palatino Linotype" w:eastAsia="Palatino Linotype" w:hAnsi="Palatino Linotype" w:cs="Palatino Linotype"/>
          <w:b/>
          <w:bCs/>
          <w:i/>
          <w:iCs/>
          <w:sz w:val="22"/>
          <w:szCs w:val="22"/>
        </w:rPr>
        <w:t xml:space="preserve">Artículo 179. </w:t>
      </w:r>
      <w:r w:rsidRPr="009A201A">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rsidR="000806B7" w:rsidRPr="009A201A" w:rsidRDefault="00133D0B">
      <w:pPr>
        <w:spacing w:line="360" w:lineRule="auto"/>
        <w:ind w:left="851" w:right="1041"/>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I. La negativa de la información solicitada</w:t>
      </w:r>
    </w:p>
    <w:p w:rsidR="000806B7" w:rsidRPr="009A201A" w:rsidRDefault="00133D0B">
      <w:pPr>
        <w:spacing w:line="360" w:lineRule="auto"/>
        <w:ind w:left="851" w:right="1041"/>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w:t>
      </w:r>
    </w:p>
    <w:p w:rsidR="000806B7" w:rsidRPr="009A201A" w:rsidRDefault="00133D0B">
      <w:pPr>
        <w:spacing w:before="240" w:after="240"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sz w:val="22"/>
          <w:szCs w:val="22"/>
        </w:rPr>
        <w:t xml:space="preserve">Tercero. Materia de la revisión. </w:t>
      </w:r>
      <w:r w:rsidRPr="009A201A">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9A201A">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9A201A">
        <w:rPr>
          <w:rFonts w:ascii="Palatino Linotype" w:eastAsia="Palatino Linotype" w:hAnsi="Palatino Linotype" w:cs="Palatino Linotype"/>
          <w:sz w:val="22"/>
          <w:szCs w:val="22"/>
        </w:rPr>
        <w:t xml:space="preserve">de la parte </w:t>
      </w:r>
      <w:r w:rsidRPr="009A201A">
        <w:rPr>
          <w:rFonts w:ascii="Palatino Linotype" w:eastAsia="Palatino Linotype" w:hAnsi="Palatino Linotype" w:cs="Palatino Linotype"/>
          <w:b/>
          <w:bCs/>
          <w:sz w:val="22"/>
          <w:szCs w:val="22"/>
        </w:rPr>
        <w:t>Recurrente</w:t>
      </w:r>
      <w:r w:rsidRPr="009A201A">
        <w:rPr>
          <w:rFonts w:ascii="Palatino Linotype" w:eastAsia="Palatino Linotype" w:hAnsi="Palatino Linotype" w:cs="Palatino Linotype"/>
          <w:sz w:val="22"/>
          <w:szCs w:val="22"/>
        </w:rPr>
        <w:t>, o en su defecto, en caso de ser procedente, ordenar la entrega de información.</w:t>
      </w: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sz w:val="22"/>
          <w:szCs w:val="22"/>
        </w:rPr>
        <w:t xml:space="preserve">Cuarto. Estudio del asunto. </w:t>
      </w:r>
      <w:r w:rsidRPr="009A201A">
        <w:rPr>
          <w:rFonts w:ascii="Palatino Linotype" w:eastAsia="Palatino Linotype" w:hAnsi="Palatino Linotype" w:cs="Palatino Linotype"/>
          <w:sz w:val="22"/>
          <w:szCs w:val="22"/>
        </w:rPr>
        <w:t xml:space="preserve">En principio, es conveniente analizar si la respuesta del </w:t>
      </w:r>
      <w:r w:rsidRPr="009A201A">
        <w:rPr>
          <w:rFonts w:ascii="Palatino Linotype" w:eastAsia="Palatino Linotype" w:hAnsi="Palatino Linotype" w:cs="Palatino Linotype"/>
          <w:b/>
          <w:bCs/>
          <w:sz w:val="22"/>
          <w:szCs w:val="22"/>
        </w:rPr>
        <w:t>SUJETO OBLIGADO</w:t>
      </w:r>
      <w:r w:rsidRPr="009A201A">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276" w:lineRule="auto"/>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w:t>
      </w:r>
      <w:r w:rsidRPr="009A201A">
        <w:rPr>
          <w:rFonts w:ascii="Palatino Linotype" w:eastAsia="Palatino Linotype" w:hAnsi="Palatino Linotype" w:cs="Palatino Linotype"/>
          <w:b/>
          <w:bCs/>
          <w:i/>
          <w:iCs/>
          <w:sz w:val="22"/>
          <w:szCs w:val="22"/>
        </w:rPr>
        <w:t>Artículo 4</w:t>
      </w:r>
      <w:r w:rsidRPr="009A201A">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806B7" w:rsidRPr="009A201A" w:rsidRDefault="00133D0B">
      <w:pPr>
        <w:spacing w:line="276" w:lineRule="auto"/>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9A201A">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806B7" w:rsidRPr="009A201A" w:rsidRDefault="00133D0B">
      <w:pPr>
        <w:spacing w:line="276" w:lineRule="auto"/>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9A201A">
        <w:rPr>
          <w:rFonts w:ascii="Palatino Linotype" w:eastAsia="Palatino Linotype" w:hAnsi="Palatino Linotype" w:cs="Palatino Linotype"/>
          <w:i/>
          <w:iCs/>
          <w:sz w:val="22"/>
          <w:szCs w:val="22"/>
        </w:rPr>
        <w:t>.”</w:t>
      </w:r>
    </w:p>
    <w:p w:rsidR="000806B7" w:rsidRPr="009A201A" w:rsidRDefault="000806B7">
      <w:pPr>
        <w:spacing w:line="276" w:lineRule="auto"/>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276" w:lineRule="auto"/>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rPr>
        <w:t>“Artículo 12.-</w:t>
      </w:r>
      <w:r w:rsidRPr="009A201A">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rsidR="000806B7" w:rsidRPr="009A201A" w:rsidRDefault="000806B7">
      <w:pPr>
        <w:spacing w:line="276" w:lineRule="auto"/>
        <w:ind w:left="567" w:right="616"/>
        <w:jc w:val="both"/>
        <w:rPr>
          <w:rFonts w:ascii="Palatino Linotype" w:eastAsia="Palatino Linotype" w:hAnsi="Palatino Linotype" w:cs="Palatino Linotype"/>
          <w:i/>
          <w:iCs/>
          <w:sz w:val="22"/>
          <w:szCs w:val="22"/>
        </w:rPr>
      </w:pPr>
    </w:p>
    <w:p w:rsidR="000806B7" w:rsidRPr="009A201A" w:rsidRDefault="00133D0B">
      <w:pPr>
        <w:spacing w:line="276" w:lineRule="auto"/>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9A201A">
        <w:rPr>
          <w:rFonts w:ascii="Palatino Linotype" w:eastAsia="Palatino Linotype" w:hAnsi="Palatino Linotype" w:cs="Palatino Linotype"/>
          <w:i/>
          <w:iCs/>
          <w:sz w:val="22"/>
          <w:szCs w:val="22"/>
        </w:rPr>
        <w:t xml:space="preserve">. </w:t>
      </w:r>
      <w:r w:rsidRPr="009A201A">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rsidR="000806B7" w:rsidRPr="009A201A" w:rsidRDefault="000806B7">
      <w:pPr>
        <w:spacing w:line="360" w:lineRule="auto"/>
        <w:ind w:right="-93"/>
        <w:jc w:val="both"/>
        <w:rPr>
          <w:rFonts w:ascii="Palatino Linotype" w:eastAsia="Palatino Linotype" w:hAnsi="Palatino Linotype" w:cs="Palatino Linotype"/>
          <w:sz w:val="22"/>
          <w:szCs w:val="22"/>
        </w:rPr>
      </w:pPr>
    </w:p>
    <w:p w:rsidR="000806B7" w:rsidRPr="009A201A" w:rsidRDefault="00133D0B">
      <w:pPr>
        <w:spacing w:line="360" w:lineRule="auto"/>
        <w:ind w:right="-93"/>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806B7" w:rsidRPr="009A201A" w:rsidRDefault="000806B7">
      <w:pPr>
        <w:spacing w:line="360" w:lineRule="auto"/>
        <w:ind w:right="-93"/>
        <w:jc w:val="both"/>
        <w:rPr>
          <w:rFonts w:ascii="Palatino Linotype" w:eastAsia="Palatino Linotype" w:hAnsi="Palatino Linotype" w:cs="Palatino Linotype"/>
          <w:sz w:val="22"/>
          <w:szCs w:val="22"/>
        </w:rPr>
      </w:pPr>
    </w:p>
    <w:p w:rsidR="000806B7" w:rsidRPr="009A201A" w:rsidRDefault="00133D0B">
      <w:pPr>
        <w:spacing w:line="360" w:lineRule="auto"/>
        <w:ind w:right="-93"/>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9A201A">
        <w:rPr>
          <w:rFonts w:ascii="Palatino Linotype" w:eastAsia="Palatino Linotype" w:hAnsi="Palatino Linotype" w:cs="Palatino Linotype"/>
          <w:b/>
          <w:bCs/>
          <w:sz w:val="22"/>
          <w:szCs w:val="22"/>
        </w:rPr>
        <w:t xml:space="preserve"> </w:t>
      </w:r>
    </w:p>
    <w:p w:rsidR="000806B7" w:rsidRPr="009A201A" w:rsidRDefault="000806B7">
      <w:pPr>
        <w:spacing w:line="360" w:lineRule="auto"/>
        <w:jc w:val="both"/>
        <w:rPr>
          <w:rFonts w:ascii="Palatino Linotype" w:eastAsia="Palatino Linotype" w:hAnsi="Palatino Linotype" w:cs="Palatino Linotype"/>
          <w:b/>
          <w:bCs/>
          <w:sz w:val="22"/>
          <w:szCs w:val="22"/>
        </w:rPr>
      </w:pP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w:t>
      </w:r>
      <w:r w:rsidRPr="009A201A">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9A201A">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806B7" w:rsidRPr="009A201A" w:rsidRDefault="000806B7">
      <w:pPr>
        <w:spacing w:line="360" w:lineRule="auto"/>
        <w:ind w:right="-93"/>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ind w:right="49"/>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806B7" w:rsidRPr="009A201A" w:rsidRDefault="000806B7">
      <w:pPr>
        <w:spacing w:line="360" w:lineRule="auto"/>
        <w:ind w:right="49"/>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806B7" w:rsidRPr="009A201A" w:rsidRDefault="000806B7">
      <w:pPr>
        <w:spacing w:line="360" w:lineRule="auto"/>
        <w:ind w:left="567" w:right="616"/>
        <w:jc w:val="both"/>
        <w:rPr>
          <w:rFonts w:ascii="Palatino Linotype" w:eastAsia="Palatino Linotype" w:hAnsi="Palatino Linotype" w:cs="Palatino Linotype"/>
          <w:i/>
          <w:iCs/>
          <w:sz w:val="22"/>
          <w:szCs w:val="22"/>
        </w:rPr>
      </w:pP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w:t>
      </w:r>
      <w:r w:rsidRPr="009A201A">
        <w:rPr>
          <w:rFonts w:ascii="Palatino Linotype" w:eastAsia="Palatino Linotype" w:hAnsi="Palatino Linotype" w:cs="Palatino Linotype"/>
          <w:b/>
          <w:bCs/>
          <w:i/>
          <w:iCs/>
          <w:sz w:val="22"/>
          <w:szCs w:val="22"/>
        </w:rPr>
        <w:t xml:space="preserve">Artículo 3. </w:t>
      </w:r>
      <w:r w:rsidRPr="009A201A">
        <w:rPr>
          <w:rFonts w:ascii="Palatino Linotype" w:eastAsia="Palatino Linotype" w:hAnsi="Palatino Linotype" w:cs="Palatino Linotype"/>
          <w:i/>
          <w:iCs/>
          <w:sz w:val="22"/>
          <w:szCs w:val="22"/>
        </w:rPr>
        <w:t>Para los efectos de la presente Ley se entenderá por:</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rPr>
        <w:t>XI. Documento:</w:t>
      </w:r>
      <w:r w:rsidRPr="009A201A">
        <w:rPr>
          <w:rFonts w:ascii="Palatino Linotype" w:eastAsia="Palatino Linotype" w:hAnsi="Palatino Linotype" w:cs="Palatino Linotype"/>
          <w:i/>
          <w:iCs/>
          <w:sz w:val="22"/>
          <w:szCs w:val="22"/>
        </w:rPr>
        <w:t xml:space="preserve"> Los expedientes, reportes, estudios, actas</w:t>
      </w:r>
      <w:r w:rsidRPr="009A201A">
        <w:rPr>
          <w:rFonts w:ascii="Palatino Linotype" w:eastAsia="Palatino Linotype" w:hAnsi="Palatino Linotype" w:cs="Palatino Linotype"/>
          <w:b/>
          <w:bCs/>
          <w:i/>
          <w:iCs/>
          <w:sz w:val="22"/>
          <w:szCs w:val="22"/>
        </w:rPr>
        <w:t>,</w:t>
      </w:r>
      <w:r w:rsidRPr="009A201A">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806B7" w:rsidRPr="009A201A" w:rsidRDefault="000806B7">
      <w:pPr>
        <w:spacing w:line="360" w:lineRule="auto"/>
        <w:ind w:left="851" w:right="899"/>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ind w:left="567" w:right="616"/>
        <w:jc w:val="both"/>
        <w:rPr>
          <w:rFonts w:ascii="Palatino Linotype" w:eastAsia="Palatino Linotype" w:hAnsi="Palatino Linotype" w:cs="Palatino Linotype"/>
          <w:b/>
          <w:bCs/>
          <w:i/>
          <w:iCs/>
          <w:sz w:val="22"/>
          <w:szCs w:val="22"/>
        </w:rPr>
      </w:pPr>
      <w:r w:rsidRPr="009A201A">
        <w:rPr>
          <w:rFonts w:ascii="Palatino Linotype" w:eastAsia="Palatino Linotype" w:hAnsi="Palatino Linotype" w:cs="Palatino Linotype"/>
          <w:b/>
          <w:bCs/>
          <w:sz w:val="22"/>
          <w:szCs w:val="22"/>
        </w:rPr>
        <w:t>“</w:t>
      </w:r>
      <w:r w:rsidRPr="009A201A">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9A201A">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En consecuencia el acceso a la información se refiere a que se cumplan cualquiera de los siguientes tres supuestos:</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rsidR="000806B7" w:rsidRPr="009A201A" w:rsidRDefault="00133D0B">
      <w:pPr>
        <w:ind w:left="567" w:right="616"/>
        <w:jc w:val="both"/>
        <w:rPr>
          <w:rFonts w:ascii="Palatino Linotype" w:eastAsia="Palatino Linotype" w:hAnsi="Palatino Linotype" w:cs="Palatino Linotype"/>
          <w:b/>
          <w:bCs/>
          <w:i/>
          <w:iCs/>
          <w:sz w:val="22"/>
          <w:szCs w:val="22"/>
        </w:rPr>
      </w:pPr>
      <w:r w:rsidRPr="009A201A">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rsidR="000806B7" w:rsidRPr="009A201A" w:rsidRDefault="00133D0B">
      <w:pPr>
        <w:ind w:left="567" w:right="616"/>
        <w:jc w:val="both"/>
        <w:rPr>
          <w:rFonts w:ascii="Palatino Linotype" w:eastAsia="Palatino Linotype" w:hAnsi="Palatino Linotype" w:cs="Palatino Linotype"/>
          <w:b/>
          <w:bCs/>
          <w:i/>
          <w:iCs/>
          <w:sz w:val="22"/>
          <w:szCs w:val="22"/>
        </w:rPr>
      </w:pPr>
      <w:r w:rsidRPr="009A201A">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rsidR="000806B7" w:rsidRPr="009A201A" w:rsidRDefault="000806B7">
      <w:pPr>
        <w:tabs>
          <w:tab w:val="left" w:pos="8647"/>
        </w:tabs>
        <w:spacing w:line="360" w:lineRule="auto"/>
        <w:jc w:val="both"/>
        <w:rPr>
          <w:rFonts w:ascii="Palatino Linotype" w:eastAsia="Palatino Linotype" w:hAnsi="Palatino Linotype" w:cs="Palatino Linotype"/>
          <w:b/>
          <w:bCs/>
          <w:sz w:val="22"/>
          <w:szCs w:val="22"/>
        </w:rPr>
      </w:pPr>
    </w:p>
    <w:p w:rsidR="000806B7" w:rsidRPr="009A201A" w:rsidRDefault="00133D0B">
      <w:pPr>
        <w:spacing w:after="240"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Del análisis de la solicitud de información motivo del recurso de revisión que ahora se resuelve, se tiene que el Recurrente solicitó al Ayuntamiento de Toluca, lo siguiente:</w:t>
      </w:r>
    </w:p>
    <w:p w:rsidR="000806B7" w:rsidRPr="009A201A" w:rsidRDefault="00133D0B">
      <w:pPr>
        <w:numPr>
          <w:ilvl w:val="0"/>
          <w:numId w:val="13"/>
        </w:numPr>
        <w:pBdr>
          <w:top w:val="nil"/>
          <w:left w:val="nil"/>
          <w:bottom w:val="nil"/>
          <w:right w:val="nil"/>
          <w:between w:val="nil"/>
        </w:pBdr>
        <w:spacing w:line="360" w:lineRule="auto"/>
        <w:ind w:left="567"/>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b/>
          <w:bCs/>
          <w:sz w:val="22"/>
          <w:szCs w:val="22"/>
        </w:rPr>
        <w:t>De los Servidores Públicos referidos en la solicitud:</w:t>
      </w:r>
    </w:p>
    <w:p w:rsidR="000806B7" w:rsidRPr="009A201A" w:rsidRDefault="00133D0B">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b/>
          <w:bCs/>
          <w:sz w:val="22"/>
          <w:szCs w:val="22"/>
        </w:rPr>
        <w:t>Justificantes de entrada y salida desde que causaron alta al tres de septiembre de dos mil veinticinco;</w:t>
      </w:r>
    </w:p>
    <w:p w:rsidR="000806B7" w:rsidRPr="009A201A" w:rsidRDefault="00133D0B">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b/>
          <w:bCs/>
          <w:sz w:val="22"/>
          <w:szCs w:val="22"/>
        </w:rPr>
        <w:t>Recibo de pago de la segunda quincena del mes de agosto de dos mil veinticinco.</w:t>
      </w:r>
    </w:p>
    <w:p w:rsidR="000806B7" w:rsidRPr="009A201A" w:rsidRDefault="000806B7">
      <w:pPr>
        <w:jc w:val="both"/>
        <w:rPr>
          <w:rFonts w:ascii="Palatino Linotype" w:eastAsia="Palatino Linotype" w:hAnsi="Palatino Linotype" w:cs="Palatino Linotype"/>
          <w:sz w:val="22"/>
          <w:szCs w:val="22"/>
        </w:rPr>
      </w:pPr>
    </w:p>
    <w:p w:rsidR="000806B7" w:rsidRPr="009A201A" w:rsidRDefault="000806B7">
      <w:pPr>
        <w:jc w:val="both"/>
        <w:rPr>
          <w:rFonts w:ascii="Palatino Linotype" w:eastAsia="Palatino Linotype" w:hAnsi="Palatino Linotype" w:cs="Palatino Linotype"/>
          <w:sz w:val="22"/>
          <w:szCs w:val="22"/>
        </w:rPr>
      </w:pPr>
    </w:p>
    <w:p w:rsidR="000806B7" w:rsidRPr="009A201A" w:rsidRDefault="00133D0B">
      <w:pPr>
        <w:spacing w:after="240"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De las constancias que obran en el expediente electrónico del SAIMEX, se advierte que, quien dio respuesta a la solicitud es la Dirección de Recursos Humanos, que de acuerdo al Código Reglamentario del Ayuntamiento de Toluca tiene las siguientes atribuciones:</w:t>
      </w:r>
    </w:p>
    <w:p w:rsidR="000806B7" w:rsidRPr="009A201A" w:rsidRDefault="00133D0B">
      <w:pPr>
        <w:spacing w:after="240"/>
        <w:ind w:left="567" w:right="843"/>
        <w:jc w:val="center"/>
        <w:rPr>
          <w:rFonts w:ascii="Palatino Linotype" w:eastAsia="Palatino Linotype" w:hAnsi="Palatino Linotype" w:cs="Palatino Linotype"/>
          <w:b/>
          <w:bCs/>
          <w:i/>
          <w:iCs/>
          <w:sz w:val="22"/>
          <w:szCs w:val="22"/>
        </w:rPr>
      </w:pPr>
      <w:r w:rsidRPr="009A201A">
        <w:rPr>
          <w:rFonts w:ascii="Palatino Linotype" w:eastAsia="Palatino Linotype" w:hAnsi="Palatino Linotype" w:cs="Palatino Linotype"/>
          <w:b/>
          <w:bCs/>
          <w:i/>
          <w:iCs/>
          <w:sz w:val="22"/>
          <w:szCs w:val="22"/>
        </w:rPr>
        <w:t>SUBSECCIÓN PRIMERA</w:t>
      </w:r>
    </w:p>
    <w:p w:rsidR="000806B7" w:rsidRPr="009A201A" w:rsidRDefault="00133D0B">
      <w:pPr>
        <w:spacing w:after="240"/>
        <w:ind w:left="567" w:right="843"/>
        <w:jc w:val="center"/>
        <w:rPr>
          <w:rFonts w:ascii="Palatino Linotype" w:eastAsia="Palatino Linotype" w:hAnsi="Palatino Linotype" w:cs="Palatino Linotype"/>
          <w:b/>
          <w:bCs/>
          <w:i/>
          <w:iCs/>
          <w:sz w:val="22"/>
          <w:szCs w:val="22"/>
        </w:rPr>
      </w:pPr>
      <w:r w:rsidRPr="009A201A">
        <w:rPr>
          <w:rFonts w:ascii="Palatino Linotype" w:eastAsia="Palatino Linotype" w:hAnsi="Palatino Linotype" w:cs="Palatino Linotype"/>
          <w:b/>
          <w:bCs/>
          <w:i/>
          <w:iCs/>
          <w:sz w:val="22"/>
          <w:szCs w:val="22"/>
        </w:rPr>
        <w:t>DE LA DIRECCIÓN DE RECURSOS HUMANOS</w:t>
      </w:r>
    </w:p>
    <w:p w:rsidR="000806B7" w:rsidRPr="009A201A" w:rsidRDefault="00133D0B">
      <w:pPr>
        <w:spacing w:after="240"/>
        <w:ind w:left="567" w:right="843"/>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Artículo 3.42. La o el titular de la Dirección de Recursos Humanos cuenta con las siguientes atribuciones: </w:t>
      </w:r>
    </w:p>
    <w:p w:rsidR="000806B7" w:rsidRPr="009A201A" w:rsidRDefault="00133D0B">
      <w:pPr>
        <w:spacing w:after="240"/>
        <w:ind w:left="567" w:right="843"/>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I. Elaborar, operar y mejorar los procedimientos administrativos de control para la selección, reclutamiento, contratación, escalafón, capacitación, retiro, sanción, comisión y desarrollo del personal al servicio del Municipio;</w:t>
      </w:r>
    </w:p>
    <w:p w:rsidR="000806B7" w:rsidRPr="009A201A" w:rsidRDefault="00133D0B">
      <w:pPr>
        <w:spacing w:after="240"/>
        <w:ind w:left="567" w:right="843"/>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rPr>
        <w:t>II. Vigilar que se cumplan las disposiciones en materia de trabajo, seguridad, higiene, así como las demás normas aplicables a la institución respecto de los derechos y obligaciones del personal</w:t>
      </w:r>
      <w:r w:rsidRPr="009A201A">
        <w:rPr>
          <w:rFonts w:ascii="Palatino Linotype" w:eastAsia="Palatino Linotype" w:hAnsi="Palatino Linotype" w:cs="Palatino Linotype"/>
          <w:i/>
          <w:iCs/>
          <w:sz w:val="22"/>
          <w:szCs w:val="22"/>
        </w:rPr>
        <w:t xml:space="preserve">; </w:t>
      </w:r>
    </w:p>
    <w:p w:rsidR="000806B7" w:rsidRPr="009A201A" w:rsidRDefault="00133D0B">
      <w:pPr>
        <w:spacing w:after="240"/>
        <w:ind w:left="567" w:right="843"/>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III. Garantizar que no se soliciten pruebas de no gravidez o VIH como condicionantes para la contratación; </w:t>
      </w:r>
    </w:p>
    <w:p w:rsidR="000806B7" w:rsidRPr="009A201A" w:rsidRDefault="00133D0B">
      <w:pPr>
        <w:spacing w:after="240"/>
        <w:ind w:left="567" w:right="843"/>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IV. Aplicar las disposiciones legales laborales que rigen al personal del Ayuntamiento; </w:t>
      </w:r>
    </w:p>
    <w:p w:rsidR="000806B7" w:rsidRPr="009A201A" w:rsidRDefault="00133D0B">
      <w:pPr>
        <w:spacing w:after="240"/>
        <w:ind w:left="567" w:right="843"/>
        <w:jc w:val="both"/>
        <w:rPr>
          <w:rFonts w:ascii="Palatino Linotype" w:eastAsia="Palatino Linotype" w:hAnsi="Palatino Linotype" w:cs="Palatino Linotype"/>
          <w:b/>
          <w:bCs/>
          <w:i/>
          <w:iCs/>
          <w:sz w:val="22"/>
          <w:szCs w:val="22"/>
        </w:rPr>
      </w:pPr>
      <w:r w:rsidRPr="009A201A">
        <w:rPr>
          <w:rFonts w:ascii="Palatino Linotype" w:eastAsia="Palatino Linotype" w:hAnsi="Palatino Linotype" w:cs="Palatino Linotype"/>
          <w:b/>
          <w:bCs/>
          <w:i/>
          <w:iCs/>
          <w:sz w:val="22"/>
          <w:szCs w:val="22"/>
        </w:rPr>
        <w:t xml:space="preserve">V. Registrar las altas, reingresos, bajas, cambios de categoría y adscripción, permisos y licencias por incapacidad, entre otras, del personal, y su correcta aplicación; </w:t>
      </w:r>
    </w:p>
    <w:p w:rsidR="000806B7" w:rsidRPr="009A201A" w:rsidRDefault="00133D0B">
      <w:pPr>
        <w:spacing w:after="240"/>
        <w:ind w:left="567" w:right="843"/>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rPr>
        <w:t>VI. Coadyuvar con la Tesorería en la elaboración y distribución oportuna de la nómina para el pago al personal que labora en el Ayuntamiento</w:t>
      </w:r>
      <w:r w:rsidRPr="009A201A">
        <w:rPr>
          <w:rFonts w:ascii="Palatino Linotype" w:eastAsia="Palatino Linotype" w:hAnsi="Palatino Linotype" w:cs="Palatino Linotype"/>
          <w:i/>
          <w:iCs/>
          <w:sz w:val="22"/>
          <w:szCs w:val="22"/>
        </w:rPr>
        <w:t xml:space="preserve">, apegándose al presupuesto autorizado y aplicar los descuentos procedentes; así como en lo relativo a las determinaciones de los impuestos y la emisión de los CFDI correspondientes una vez realizado el pago; </w:t>
      </w:r>
    </w:p>
    <w:p w:rsidR="000806B7" w:rsidRPr="009A201A" w:rsidRDefault="00133D0B">
      <w:pPr>
        <w:spacing w:after="240"/>
        <w:ind w:left="567" w:right="843"/>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VII. Elaborar programas de capacitación, adiestramiento y desarrollo del personal con el objeto de profesionalizar a los servidores públicos conforme a las necesidades institucionales y a las del mismo personal; </w:t>
      </w:r>
    </w:p>
    <w:p w:rsidR="000806B7" w:rsidRPr="009A201A" w:rsidRDefault="00133D0B">
      <w:pPr>
        <w:spacing w:after="240"/>
        <w:ind w:left="567" w:right="843"/>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VIII. Verificar el cumplimento de las cláusulas establecidas en los convenios sindicales suscritos con el gobierno municipal, así como de las condiciones generales de trabajo del personal sindicalizado; y </w:t>
      </w:r>
    </w:p>
    <w:p w:rsidR="000806B7" w:rsidRPr="009A201A" w:rsidRDefault="00133D0B">
      <w:pPr>
        <w:spacing w:after="240"/>
        <w:ind w:left="567" w:right="843"/>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IX. Las demás que le asignen otros ordenamientos, el presidente municipal y la o el Director General de Administración.</w:t>
      </w:r>
    </w:p>
    <w:p w:rsidR="000806B7" w:rsidRPr="009A201A" w:rsidRDefault="000806B7">
      <w:pPr>
        <w:spacing w:line="360" w:lineRule="auto"/>
        <w:ind w:right="-7"/>
        <w:jc w:val="both"/>
        <w:rPr>
          <w:rFonts w:ascii="Palatino Linotype" w:eastAsia="Palatino Linotype" w:hAnsi="Palatino Linotype" w:cs="Palatino Linotype"/>
          <w:sz w:val="22"/>
          <w:szCs w:val="22"/>
        </w:rPr>
      </w:pPr>
    </w:p>
    <w:p w:rsidR="000806B7" w:rsidRPr="009A201A" w:rsidRDefault="00133D0B">
      <w:pPr>
        <w:spacing w:line="360" w:lineRule="auto"/>
        <w:ind w:right="-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Entonces, al haber dado respuesta la Dirección de Recursos Humanos se siguió con ello el procedimiento para la atención a las solicitudes de acceso a la información, establecido en los artículos 151, 160, 162, 163, 164, 165 y 166, de la Ley de Transparencia y Acceso a la Información Pública del Estado de México y Municipios: </w:t>
      </w:r>
    </w:p>
    <w:p w:rsidR="000806B7" w:rsidRPr="009A201A" w:rsidRDefault="000806B7">
      <w:pPr>
        <w:spacing w:line="360" w:lineRule="auto"/>
        <w:ind w:right="-7"/>
        <w:jc w:val="both"/>
        <w:rPr>
          <w:rFonts w:ascii="Palatino Linotype" w:eastAsia="Palatino Linotype" w:hAnsi="Palatino Linotype" w:cs="Palatino Linotype"/>
          <w:sz w:val="22"/>
          <w:szCs w:val="22"/>
        </w:rPr>
      </w:pPr>
    </w:p>
    <w:p w:rsidR="000806B7" w:rsidRPr="009A201A" w:rsidRDefault="00133D0B">
      <w:pPr>
        <w:spacing w:after="240" w:line="360" w:lineRule="auto"/>
        <w:ind w:left="284"/>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0806B7" w:rsidRPr="009A201A" w:rsidRDefault="00133D0B">
      <w:pPr>
        <w:spacing w:after="240" w:line="360" w:lineRule="auto"/>
        <w:ind w:left="284"/>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rsidR="000806B7" w:rsidRPr="009A201A" w:rsidRDefault="00133D0B">
      <w:pPr>
        <w:spacing w:after="240" w:line="360" w:lineRule="auto"/>
        <w:ind w:left="284"/>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rsidR="000806B7" w:rsidRPr="009A201A" w:rsidRDefault="00133D0B">
      <w:pPr>
        <w:spacing w:after="240" w:line="360" w:lineRule="auto"/>
        <w:ind w:left="284"/>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0806B7" w:rsidRPr="009A201A" w:rsidRDefault="00133D0B">
      <w:pPr>
        <w:spacing w:after="240" w:line="360" w:lineRule="auto"/>
        <w:ind w:left="284"/>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0806B7" w:rsidRPr="009A201A" w:rsidRDefault="00133D0B">
      <w:pPr>
        <w:spacing w:after="240" w:line="360" w:lineRule="auto"/>
        <w:ind w:left="284"/>
        <w:jc w:val="both"/>
        <w:rPr>
          <w:rFonts w:ascii="Palatino Linotype" w:eastAsia="Palatino Linotype" w:hAnsi="Palatino Linotype" w:cs="Palatino Linotype"/>
          <w:sz w:val="22"/>
          <w:szCs w:val="22"/>
        </w:rPr>
      </w:pPr>
      <w:bookmarkStart w:id="2" w:name="_heading=h.m87rdtlb5jm" w:colFirst="0" w:colLast="0"/>
      <w:bookmarkEnd w:id="2"/>
      <w:r w:rsidRPr="009A201A">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En este orden de ideas, se reitera que la Dirección de Recursos Humanos es el área que cuenta con atribuciones para generar, administrar o poseer la información requerida; con lo que se acreditó que se realizó una correcta búsqueda exhaustiva y razonable de la información.</w:t>
      </w:r>
    </w:p>
    <w:p w:rsidR="000806B7" w:rsidRPr="009A201A" w:rsidRDefault="000806B7">
      <w:pPr>
        <w:spacing w:after="240" w:line="360" w:lineRule="auto"/>
        <w:jc w:val="both"/>
        <w:rPr>
          <w:rFonts w:ascii="Palatino Linotype" w:eastAsia="Palatino Linotype" w:hAnsi="Palatino Linotype" w:cs="Palatino Linotype"/>
          <w:sz w:val="22"/>
          <w:szCs w:val="22"/>
        </w:rPr>
      </w:pPr>
    </w:p>
    <w:p w:rsidR="000806B7" w:rsidRPr="009A201A" w:rsidRDefault="00133D0B">
      <w:pPr>
        <w:spacing w:after="240"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Respecto a los recibos de nómina, es necesario referir que el Sujeto Obligado entregó la siguiente dirección electrónica:</w:t>
      </w:r>
    </w:p>
    <w:p w:rsidR="000806B7" w:rsidRPr="009A201A" w:rsidRDefault="00133D0B">
      <w:pPr>
        <w:spacing w:after="240" w:line="360" w:lineRule="auto"/>
        <w:jc w:val="center"/>
        <w:rPr>
          <w:rFonts w:ascii="Palatino Linotype" w:eastAsia="Palatino Linotype" w:hAnsi="Palatino Linotype" w:cs="Palatino Linotype"/>
          <w:sz w:val="22"/>
          <w:szCs w:val="22"/>
        </w:rPr>
      </w:pPr>
      <w:r w:rsidRPr="009A201A">
        <w:rPr>
          <w:rFonts w:ascii="Palatino Linotype" w:eastAsia="Palatino Linotype" w:hAnsi="Palatino Linotype" w:cs="Palatino Linotype"/>
          <w:noProof/>
          <w:sz w:val="22"/>
          <w:szCs w:val="22"/>
        </w:rPr>
        <w:drawing>
          <wp:inline distT="0" distB="0" distL="0" distR="0">
            <wp:extent cx="3326738" cy="263901"/>
            <wp:effectExtent l="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326738" cy="263901"/>
                    </a:xfrm>
                    <a:prstGeom prst="rect">
                      <a:avLst/>
                    </a:prstGeom>
                    <a:ln/>
                  </pic:spPr>
                </pic:pic>
              </a:graphicData>
            </a:graphic>
          </wp:inline>
        </w:drawing>
      </w:r>
    </w:p>
    <w:p w:rsidR="000806B7" w:rsidRPr="009A201A" w:rsidRDefault="00133D0B">
      <w:pPr>
        <w:spacing w:before="240" w:after="240" w:line="360" w:lineRule="auto"/>
        <w:ind w:right="49"/>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Por tal motivo, es necesario precisar que la Ley de Transparencia y Acceso a la Información Pública del Estado de México y Municipios establece en su artículo 11 que en la entrega de la información se deberá garantizar que ésta sea accesible, actualizada, completa, congruente, confiable, verificable, veraz, integral, oportuna y expedita. Asimismo, el artículo 161 de la Ley en comento, refiere lo siguiente:</w:t>
      </w:r>
    </w:p>
    <w:p w:rsidR="000806B7" w:rsidRPr="009A201A" w:rsidRDefault="00133D0B">
      <w:pPr>
        <w:spacing w:before="240" w:after="240"/>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0806B7" w:rsidRPr="009A201A" w:rsidRDefault="00133D0B">
      <w:pPr>
        <w:spacing w:before="240" w:after="240" w:line="360" w:lineRule="auto"/>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(Énfasis añadido)</w:t>
      </w:r>
    </w:p>
    <w:p w:rsidR="000806B7" w:rsidRPr="009A201A" w:rsidRDefault="00133D0B">
      <w:pPr>
        <w:spacing w:before="240" w:after="240" w:line="360" w:lineRule="auto"/>
        <w:ind w:right="49"/>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Es así que, toda aquella información que sea requerida por los particulares que, previamente se encuentre disponible en sitios electrónicos, como puede ser de manera enunciativa más no limitativa, el sitio oficial del Sujeto Obligado; el portal IPOMEX; y/o las páginas institucionales. Los Sujetos Obligado deben indicar la dirección electrónica donde obra la información solicitada. Esta dirección electrónica debe ser precisa, de tal modo que no implique realizar una búsqueda en toda la información que ahí se encuentre, debiendo cumplir una serie de requisitos, a saber:</w:t>
      </w:r>
    </w:p>
    <w:p w:rsidR="000806B7" w:rsidRPr="009A201A" w:rsidRDefault="00133D0B">
      <w:pPr>
        <w:spacing w:before="240" w:after="240" w:line="360" w:lineRule="auto"/>
        <w:ind w:left="284" w:right="49"/>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La dirección electrónica debe señalarse en un plazo no mayor a cinco días hábiles;</w:t>
      </w:r>
    </w:p>
    <w:p w:rsidR="000806B7" w:rsidRPr="009A201A" w:rsidRDefault="00133D0B">
      <w:pPr>
        <w:spacing w:before="240" w:after="240" w:line="360" w:lineRule="auto"/>
        <w:ind w:left="284" w:right="49"/>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La dirección electrónica debe ser precisa, de tal modo que no implique realizar una búsqueda en toda la información que ahí se encuentre; y,</w:t>
      </w:r>
    </w:p>
    <w:p w:rsidR="000806B7" w:rsidRPr="009A201A" w:rsidRDefault="00133D0B">
      <w:pPr>
        <w:spacing w:before="240" w:after="240" w:line="360" w:lineRule="auto"/>
        <w:ind w:left="284" w:right="49"/>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La dirección electrónica debe ir acompañada del procedimiento a seguir, en caso de que la información se encuentre en distintos puntos del sitio electrónico referido; y,</w:t>
      </w:r>
    </w:p>
    <w:p w:rsidR="000806B7" w:rsidRPr="009A201A" w:rsidRDefault="00133D0B">
      <w:pPr>
        <w:spacing w:before="240" w:after="240" w:line="360" w:lineRule="auto"/>
        <w:ind w:left="284" w:right="49"/>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La dirección electrónica se debe entregar en formato abierto, para que el Recurrente pueda copiar y pegar sin la necesidad de transcribir la liga electrónica.</w:t>
      </w:r>
    </w:p>
    <w:p w:rsidR="000806B7" w:rsidRPr="009A201A" w:rsidRDefault="00133D0B">
      <w:pPr>
        <w:spacing w:before="240" w:after="240"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rsidR="000806B7" w:rsidRPr="009A201A" w:rsidRDefault="00133D0B">
      <w:pPr>
        <w:spacing w:before="240" w:after="240"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En ese contexto, el artículo 3°, fracciones VIII y XVI de la Ley de Transparencia y Acceso a la Información Pública del Estado de México y Municipios, precisan lo siguiente:</w:t>
      </w:r>
    </w:p>
    <w:p w:rsidR="000806B7" w:rsidRPr="009A201A" w:rsidRDefault="00133D0B">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b/>
          <w:bCs/>
          <w:sz w:val="22"/>
          <w:szCs w:val="22"/>
        </w:rPr>
        <w:t xml:space="preserve">Dato abierto: </w:t>
      </w:r>
      <w:r w:rsidRPr="009A201A">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rsidR="000806B7" w:rsidRPr="009A201A" w:rsidRDefault="00133D0B">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b/>
          <w:bCs/>
          <w:sz w:val="22"/>
          <w:szCs w:val="22"/>
        </w:rPr>
        <w:t xml:space="preserve">Formato accesible: </w:t>
      </w:r>
      <w:r w:rsidRPr="009A201A">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rsidR="000806B7" w:rsidRPr="009A201A" w:rsidRDefault="00133D0B">
      <w:pPr>
        <w:spacing w:before="240" w:after="240"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rsidR="000806B7" w:rsidRPr="009A201A" w:rsidRDefault="00133D0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En el presente asunto, se entregó las direcciones electrónicas en formato cerrado, lo que propicia que el Recurrente deba transcribir cada uno de los caracteres, lo que facilita a errores y con ello la imposibilidad o dificultad para acceder a la información. </w:t>
      </w:r>
    </w:p>
    <w:p w:rsidR="000806B7" w:rsidRPr="009A201A" w:rsidRDefault="000806B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0806B7" w:rsidRPr="009A201A" w:rsidRDefault="00133D0B">
      <w:pPr>
        <w:spacing w:after="240"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Además, al ingresar a la información que se contiene en las direcciones electrónicas se encuentra lo siguiente:</w:t>
      </w:r>
    </w:p>
    <w:p w:rsidR="000806B7" w:rsidRPr="009A201A" w:rsidRDefault="00133D0B">
      <w:pPr>
        <w:spacing w:after="240" w:line="360" w:lineRule="auto"/>
        <w:jc w:val="center"/>
        <w:rPr>
          <w:rFonts w:ascii="Palatino Linotype" w:eastAsia="Palatino Linotype" w:hAnsi="Palatino Linotype" w:cs="Palatino Linotype"/>
          <w:sz w:val="22"/>
          <w:szCs w:val="22"/>
        </w:rPr>
      </w:pPr>
      <w:r w:rsidRPr="009A201A">
        <w:rPr>
          <w:rFonts w:ascii="Palatino Linotype" w:eastAsia="Palatino Linotype" w:hAnsi="Palatino Linotype" w:cs="Palatino Linotype"/>
          <w:noProof/>
          <w:sz w:val="22"/>
          <w:szCs w:val="22"/>
        </w:rPr>
        <w:drawing>
          <wp:inline distT="0" distB="0" distL="0" distR="0">
            <wp:extent cx="5305425" cy="5305425"/>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305425" cy="5305425"/>
                    </a:xfrm>
                    <a:prstGeom prst="rect">
                      <a:avLst/>
                    </a:prstGeom>
                    <a:ln/>
                  </pic:spPr>
                </pic:pic>
              </a:graphicData>
            </a:graphic>
          </wp:inline>
        </w:drawing>
      </w:r>
    </w:p>
    <w:p w:rsidR="000806B7" w:rsidRPr="009A201A" w:rsidRDefault="00133D0B">
      <w:pPr>
        <w:spacing w:after="240"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Tal y como se advierte, en la información que se encuentra disponible, no se advierten los recibos de pago o recibos de nómina, además de que la fuente no es precisa, ya que el Recurrente debe realizar una búsqueda entre toda la información ahí disponible, por lo que, la información proporcionada por el Recurrente no se encuentra en apego a lo dispuesto en el artículo 161 de la Ley de Transparencia Local.</w:t>
      </w:r>
    </w:p>
    <w:p w:rsidR="000806B7" w:rsidRPr="009A201A" w:rsidRDefault="00133D0B">
      <w:pPr>
        <w:spacing w:line="360" w:lineRule="auto"/>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b/>
          <w:bCs/>
          <w:sz w:val="22"/>
          <w:szCs w:val="22"/>
        </w:rPr>
        <w:t>Recibos de nómina.</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Derivado de la naturaleza de la información solicitada y que la misma se relaciona con las percepciones de servidores públicos del cual se deriva de la nómina, es necesario precisar que si bien el término “</w:t>
      </w:r>
      <w:r w:rsidRPr="009A201A">
        <w:rPr>
          <w:rFonts w:ascii="Palatino Linotype" w:eastAsia="Palatino Linotype" w:hAnsi="Palatino Linotype" w:cs="Palatino Linotype"/>
          <w:i/>
          <w:iCs/>
          <w:sz w:val="22"/>
          <w:szCs w:val="22"/>
        </w:rPr>
        <w:t xml:space="preserve">nómina” </w:t>
      </w:r>
      <w:r w:rsidRPr="009A201A">
        <w:rPr>
          <w:rFonts w:ascii="Palatino Linotype" w:eastAsia="Palatino Linotype" w:hAnsi="Palatino Linotype" w:cs="Palatino Linotype"/>
          <w:sz w:val="22"/>
          <w:szCs w:val="22"/>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9A201A">
        <w:rPr>
          <w:rFonts w:ascii="Palatino Linotype" w:eastAsia="Palatino Linotype" w:hAnsi="Palatino Linotype" w:cs="Palatino Linotype"/>
          <w:i/>
          <w:iCs/>
          <w:sz w:val="22"/>
          <w:szCs w:val="22"/>
        </w:rPr>
        <w:t>listado general de los trabajadores de una institución, en</w:t>
      </w:r>
      <w:r w:rsidRPr="009A201A">
        <w:rPr>
          <w:rFonts w:ascii="Palatino Linotype" w:eastAsia="Palatino Linotype" w:hAnsi="Palatino Linotype" w:cs="Palatino Linotype"/>
          <w:b/>
          <w:bCs/>
          <w:i/>
          <w:iCs/>
          <w:sz w:val="22"/>
          <w:szCs w:val="22"/>
        </w:rPr>
        <w:t xml:space="preserve"> </w:t>
      </w:r>
      <w:r w:rsidRPr="009A201A">
        <w:rPr>
          <w:rFonts w:ascii="Palatino Linotype" w:eastAsia="Palatino Linotype" w:hAnsi="Palatino Linotype" w:cs="Palatino Linotype"/>
          <w:i/>
          <w:iCs/>
          <w:sz w:val="22"/>
          <w:szCs w:val="22"/>
        </w:rPr>
        <w:t xml:space="preserve">el cual se </w:t>
      </w:r>
      <w:r w:rsidRPr="009A201A">
        <w:rPr>
          <w:rFonts w:ascii="Palatino Linotype" w:eastAsia="Palatino Linotype" w:hAnsi="Palatino Linotype" w:cs="Palatino Linotype"/>
          <w:b/>
          <w:bCs/>
          <w:i/>
          <w:iCs/>
          <w:sz w:val="22"/>
          <w:szCs w:val="22"/>
        </w:rPr>
        <w:t xml:space="preserve">asientan las </w:t>
      </w:r>
      <w:r w:rsidRPr="009A201A">
        <w:rPr>
          <w:rFonts w:ascii="Palatino Linotype" w:eastAsia="Palatino Linotype" w:hAnsi="Palatino Linotype" w:cs="Palatino Linotype"/>
          <w:b/>
          <w:bCs/>
          <w:i/>
          <w:iCs/>
          <w:sz w:val="22"/>
          <w:szCs w:val="22"/>
          <w:u w:val="single"/>
        </w:rPr>
        <w:t>percepciones brutas, deducciones y alcance neto de las mismas</w:t>
      </w:r>
      <w:r w:rsidRPr="009A201A">
        <w:rPr>
          <w:rFonts w:ascii="Palatino Linotype" w:eastAsia="Palatino Linotype" w:hAnsi="Palatino Linotype" w:cs="Palatino Linotype"/>
          <w:i/>
          <w:iCs/>
          <w:sz w:val="22"/>
          <w:szCs w:val="22"/>
        </w:rPr>
        <w:t>; la nómina es utilizada para</w:t>
      </w:r>
      <w:r w:rsidRPr="009A201A">
        <w:rPr>
          <w:rFonts w:ascii="Palatino Linotype" w:eastAsia="Palatino Linotype" w:hAnsi="Palatino Linotype" w:cs="Palatino Linotype"/>
          <w:b/>
          <w:bCs/>
          <w:i/>
          <w:iCs/>
          <w:sz w:val="22"/>
          <w:szCs w:val="22"/>
        </w:rPr>
        <w:t xml:space="preserve"> efectuar los pagos periódicos</w:t>
      </w:r>
      <w:r w:rsidRPr="009A201A">
        <w:rPr>
          <w:rFonts w:ascii="Palatino Linotype" w:eastAsia="Palatino Linotype" w:hAnsi="Palatino Linotype" w:cs="Palatino Linotype"/>
          <w:i/>
          <w:iCs/>
          <w:sz w:val="22"/>
          <w:szCs w:val="22"/>
        </w:rPr>
        <w:t xml:space="preserve"> (semanales, quincenales o</w:t>
      </w:r>
      <w:r w:rsidRPr="009A201A">
        <w:rPr>
          <w:rFonts w:ascii="Palatino Linotype" w:eastAsia="Palatino Linotype" w:hAnsi="Palatino Linotype" w:cs="Palatino Linotype"/>
          <w:b/>
          <w:bCs/>
          <w:i/>
          <w:iCs/>
          <w:sz w:val="22"/>
          <w:szCs w:val="22"/>
        </w:rPr>
        <w:t xml:space="preserve"> </w:t>
      </w:r>
      <w:r w:rsidRPr="009A201A">
        <w:rPr>
          <w:rFonts w:ascii="Palatino Linotype" w:eastAsia="Palatino Linotype" w:hAnsi="Palatino Linotype" w:cs="Palatino Linotype"/>
          <w:i/>
          <w:iCs/>
          <w:sz w:val="22"/>
          <w:szCs w:val="22"/>
        </w:rPr>
        <w:t xml:space="preserve">mensuales) a los trabajadores por concepto de </w:t>
      </w:r>
      <w:r w:rsidRPr="009A201A">
        <w:rPr>
          <w:rFonts w:ascii="Palatino Linotype" w:eastAsia="Palatino Linotype" w:hAnsi="Palatino Linotype" w:cs="Palatino Linotype"/>
          <w:b/>
          <w:bCs/>
          <w:i/>
          <w:iCs/>
          <w:sz w:val="22"/>
          <w:szCs w:val="22"/>
        </w:rPr>
        <w:t>sueldos y salarios</w:t>
      </w:r>
      <w:r w:rsidRPr="009A201A">
        <w:rPr>
          <w:rFonts w:ascii="Palatino Linotype" w:eastAsia="Palatino Linotype" w:hAnsi="Palatino Linotype" w:cs="Palatino Linotype"/>
          <w:i/>
          <w:iCs/>
          <w:sz w:val="22"/>
          <w:szCs w:val="22"/>
        </w:rPr>
        <w:t>.</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Ahora bien, relativo a los </w:t>
      </w:r>
      <w:r w:rsidRPr="009A201A">
        <w:rPr>
          <w:rFonts w:ascii="Palatino Linotype" w:eastAsia="Palatino Linotype" w:hAnsi="Palatino Linotype" w:cs="Palatino Linotype"/>
          <w:b/>
          <w:bCs/>
          <w:sz w:val="22"/>
          <w:szCs w:val="22"/>
        </w:rPr>
        <w:t>recibos de nómina</w:t>
      </w:r>
      <w:r w:rsidRPr="009A201A">
        <w:rPr>
          <w:rFonts w:ascii="Palatino Linotype" w:eastAsia="Palatino Linotype" w:hAnsi="Palatino Linotype" w:cs="Palatino Linotype"/>
          <w:sz w:val="22"/>
          <w:szCs w:val="22"/>
        </w:rPr>
        <w:t>, la Ley del Trabajo de los Servidores Públicos del Estado y Municipios hace referencia a los comprobantes que las instituciones públicas realizan para documentar el pago de salarios, prima vacacional, aguinaldo y demás prestaciones otorgadas a un servidor público, denominándose "</w:t>
      </w:r>
      <w:r w:rsidRPr="009A201A">
        <w:rPr>
          <w:rFonts w:ascii="Palatino Linotype" w:eastAsia="Palatino Linotype" w:hAnsi="Palatino Linotype" w:cs="Palatino Linotype"/>
          <w:i/>
          <w:iCs/>
          <w:sz w:val="22"/>
          <w:szCs w:val="22"/>
        </w:rPr>
        <w:t>recibos o comprobantes de pago</w:t>
      </w:r>
      <w:r w:rsidRPr="009A201A">
        <w:rPr>
          <w:rFonts w:ascii="Palatino Linotype" w:eastAsia="Palatino Linotype" w:hAnsi="Palatino Linotype" w:cs="Palatino Linotype"/>
          <w:sz w:val="22"/>
          <w:szCs w:val="22"/>
        </w:rPr>
        <w:t>", los cuales constituyen un instrumento mediante el cual el sujeto obligado acredita las remuneraciones al personal y, que de acuerdo al uso implantado en la colectividad se denominan "recibos de nómina".</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A efecto de robustecer lo anterior, es preciso hacer alusión, en primera instancia, a lo establecido en las normas de carácter general del </w:t>
      </w:r>
      <w:r w:rsidRPr="009A201A">
        <w:rPr>
          <w:rFonts w:ascii="Palatino Linotype" w:eastAsia="Palatino Linotype" w:hAnsi="Palatino Linotype" w:cs="Palatino Linotype"/>
          <w:b/>
          <w:bCs/>
          <w:sz w:val="22"/>
          <w:szCs w:val="22"/>
        </w:rPr>
        <w:t>Manual Único de Contabilidad Gubernamental para las Dependencias y Entidades Públicas del Gobierno y Municipios del Estado de México</w:t>
      </w:r>
      <w:r w:rsidRPr="009A201A">
        <w:rPr>
          <w:rFonts w:ascii="Palatino Linotype" w:eastAsia="Palatino Linotype" w:hAnsi="Palatino Linotype" w:cs="Palatino Linotype"/>
          <w:i/>
          <w:iCs/>
          <w:sz w:val="22"/>
          <w:szCs w:val="22"/>
        </w:rPr>
        <w:t xml:space="preserve">,  </w:t>
      </w:r>
      <w:r w:rsidRPr="009A201A">
        <w:rPr>
          <w:rFonts w:ascii="Palatino Linotype" w:eastAsia="Palatino Linotype" w:hAnsi="Palatino Linotype" w:cs="Palatino Linotype"/>
          <w:sz w:val="22"/>
          <w:szCs w:val="22"/>
        </w:rPr>
        <w:t xml:space="preserve">en donde se señala que el Régimen Fiscal para las entidades públicas es el correspondiente a </w:t>
      </w:r>
      <w:r w:rsidRPr="009A201A">
        <w:rPr>
          <w:rFonts w:ascii="Palatino Linotype" w:eastAsia="Palatino Linotype" w:hAnsi="Palatino Linotype" w:cs="Palatino Linotype"/>
          <w:i/>
          <w:iCs/>
          <w:sz w:val="22"/>
          <w:szCs w:val="22"/>
        </w:rPr>
        <w:t xml:space="preserve">personas morales con fines no lucrativos, </w:t>
      </w:r>
      <w:r w:rsidRPr="009A201A">
        <w:rPr>
          <w:rFonts w:ascii="Palatino Linotype" w:eastAsia="Palatino Linotype" w:hAnsi="Palatino Linotype" w:cs="Palatino Linotype"/>
          <w:sz w:val="22"/>
          <w:szCs w:val="22"/>
        </w:rPr>
        <w:t xml:space="preserve">y en segundo lugar remitirnos al párrafo séptimo del artículo 86 del Título III del Régimen de las Personas Morales con fines no lucrativos, de la </w:t>
      </w:r>
      <w:r w:rsidRPr="009A201A">
        <w:rPr>
          <w:rFonts w:ascii="Palatino Linotype" w:eastAsia="Palatino Linotype" w:hAnsi="Palatino Linotype" w:cs="Palatino Linotype"/>
          <w:b/>
          <w:bCs/>
          <w:sz w:val="22"/>
          <w:szCs w:val="22"/>
        </w:rPr>
        <w:t>Ley del Impuesto Sobre la Renta</w:t>
      </w:r>
      <w:r w:rsidRPr="009A201A">
        <w:rPr>
          <w:rFonts w:ascii="Palatino Linotype" w:eastAsia="Palatino Linotype" w:hAnsi="Palatino Linotype" w:cs="Palatino Linotype"/>
          <w:i/>
          <w:iCs/>
          <w:sz w:val="22"/>
          <w:szCs w:val="22"/>
        </w:rPr>
        <w:t xml:space="preserve">, </w:t>
      </w:r>
      <w:r w:rsidRPr="009A201A">
        <w:rPr>
          <w:rFonts w:ascii="Palatino Linotype" w:eastAsia="Palatino Linotype" w:hAnsi="Palatino Linotype" w:cs="Palatino Linotype"/>
          <w:sz w:val="22"/>
          <w:szCs w:val="22"/>
        </w:rPr>
        <w:t>que a la letra señala lo siguiente:</w:t>
      </w:r>
    </w:p>
    <w:p w:rsidR="000806B7" w:rsidRPr="009A201A" w:rsidRDefault="000806B7">
      <w:pPr>
        <w:spacing w:line="276" w:lineRule="auto"/>
        <w:ind w:left="851" w:right="616"/>
        <w:jc w:val="both"/>
        <w:rPr>
          <w:rFonts w:ascii="Palatino Linotype" w:eastAsia="Palatino Linotype" w:hAnsi="Palatino Linotype" w:cs="Palatino Linotype"/>
          <w:b/>
          <w:bCs/>
          <w:i/>
          <w:iCs/>
          <w:sz w:val="22"/>
          <w:szCs w:val="22"/>
        </w:rPr>
      </w:pPr>
    </w:p>
    <w:p w:rsidR="000806B7" w:rsidRPr="009A201A" w:rsidRDefault="00133D0B">
      <w:pPr>
        <w:spacing w:line="276" w:lineRule="auto"/>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i/>
          <w:iCs/>
          <w:sz w:val="22"/>
          <w:szCs w:val="22"/>
        </w:rPr>
        <w:t>“Artículo.- 86 </w:t>
      </w:r>
    </w:p>
    <w:p w:rsidR="000806B7" w:rsidRPr="009A201A" w:rsidRDefault="00133D0B">
      <w:pPr>
        <w:spacing w:line="276" w:lineRule="auto"/>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i/>
          <w:iCs/>
          <w:sz w:val="22"/>
          <w:szCs w:val="22"/>
        </w:rPr>
        <w:t>(</w:t>
      </w:r>
      <w:r w:rsidRPr="009A201A">
        <w:rPr>
          <w:rFonts w:ascii="Palatino Linotype" w:eastAsia="Palatino Linotype" w:hAnsi="Palatino Linotype" w:cs="Palatino Linotype"/>
          <w:i/>
          <w:iCs/>
          <w:sz w:val="22"/>
          <w:szCs w:val="22"/>
        </w:rPr>
        <w:t>…)</w:t>
      </w:r>
    </w:p>
    <w:p w:rsidR="000806B7" w:rsidRPr="009A201A" w:rsidRDefault="00133D0B">
      <w:pPr>
        <w:spacing w:line="276" w:lineRule="auto"/>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 xml:space="preserve">Los partidos y asociaciones políticas, legalmente reconocidos, la Federación, las entidades federativas, los municipios y las instituciones que por Ley estén obligadas a entregar al Gobierno Federal el importe íntegro de su remanente de operación y los organismos descentralizados que no tributen conforme al Título II de esta Ley </w:t>
      </w:r>
      <w:r w:rsidRPr="009A201A">
        <w:rPr>
          <w:rFonts w:ascii="Palatino Linotype" w:eastAsia="Palatino Linotype" w:hAnsi="Palatino Linotype" w:cs="Palatino Linotype"/>
          <w:b/>
          <w:bCs/>
          <w:i/>
          <w:iCs/>
          <w:sz w:val="22"/>
          <w:szCs w:val="22"/>
        </w:rPr>
        <w:t>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sidRPr="009A201A">
        <w:rPr>
          <w:rFonts w:ascii="Palatino Linotype" w:eastAsia="Palatino Linotype" w:hAnsi="Palatino Linotype" w:cs="Palatino Linotype"/>
          <w:i/>
          <w:iCs/>
          <w:sz w:val="22"/>
          <w:szCs w:val="22"/>
        </w:rPr>
        <w:t xml:space="preserve"> para efectos de la legislación laboral a que se refieren los artículos 132 fracciones VII y VIII, y 804 primer párrafo fracciones II y IV de la Ley Federal del Trabajo…</w:t>
      </w:r>
      <w:r w:rsidRPr="009A201A">
        <w:rPr>
          <w:rFonts w:ascii="Palatino Linotype" w:eastAsia="Palatino Linotype" w:hAnsi="Palatino Linotype" w:cs="Palatino Linotype"/>
          <w:sz w:val="22"/>
          <w:szCs w:val="22"/>
        </w:rPr>
        <w:t>” </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Del precepto citado, se advierte que las entidades federativas al ser entes públicos se encuentran constreñidos a expedir y entregar los </w:t>
      </w:r>
      <w:r w:rsidRPr="009A201A">
        <w:rPr>
          <w:rFonts w:ascii="Palatino Linotype" w:eastAsia="Palatino Linotype" w:hAnsi="Palatino Linotype" w:cs="Palatino Linotype"/>
          <w:b/>
          <w:bCs/>
          <w:sz w:val="22"/>
          <w:szCs w:val="22"/>
        </w:rPr>
        <w:t xml:space="preserve">comprobantes fiscales correspondientes a las personas que reciban pagos por conceptos de salarios, </w:t>
      </w:r>
      <w:r w:rsidRPr="009A201A">
        <w:rPr>
          <w:rFonts w:ascii="Palatino Linotype" w:eastAsia="Palatino Linotype" w:hAnsi="Palatino Linotype" w:cs="Palatino Linotype"/>
          <w:sz w:val="22"/>
          <w:szCs w:val="22"/>
        </w:rPr>
        <w:t xml:space="preserve">mismos que pueden ser utilizados como </w:t>
      </w:r>
      <w:r w:rsidRPr="009A201A">
        <w:rPr>
          <w:rFonts w:ascii="Palatino Linotype" w:eastAsia="Palatino Linotype" w:hAnsi="Palatino Linotype" w:cs="Palatino Linotype"/>
          <w:b/>
          <w:bCs/>
          <w:sz w:val="22"/>
          <w:szCs w:val="22"/>
        </w:rPr>
        <w:t>constancia o</w:t>
      </w:r>
      <w:r w:rsidRPr="009A201A">
        <w:rPr>
          <w:rFonts w:ascii="Palatino Linotype" w:eastAsia="Palatino Linotype" w:hAnsi="Palatino Linotype" w:cs="Palatino Linotype"/>
          <w:sz w:val="22"/>
          <w:szCs w:val="22"/>
        </w:rPr>
        <w:t xml:space="preserve"> </w:t>
      </w:r>
      <w:r w:rsidRPr="009A201A">
        <w:rPr>
          <w:rFonts w:ascii="Palatino Linotype" w:eastAsia="Palatino Linotype" w:hAnsi="Palatino Linotype" w:cs="Palatino Linotype"/>
          <w:b/>
          <w:bCs/>
          <w:sz w:val="22"/>
          <w:szCs w:val="22"/>
        </w:rPr>
        <w:t>recibo de pago</w:t>
      </w:r>
      <w:r w:rsidRPr="009A201A">
        <w:rPr>
          <w:rFonts w:ascii="Palatino Linotype" w:eastAsia="Palatino Linotype" w:hAnsi="Palatino Linotype" w:cs="Palatino Linotype"/>
          <w:sz w:val="22"/>
          <w:szCs w:val="22"/>
        </w:rPr>
        <w:t>.</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Por su parte la Ley del Trabajo de los Servidores Públicos del Estado y Municipios, en su artículo 220-K fracciones II y IV y último párrafo, establecen lo siguiente:</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276" w:lineRule="auto"/>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w:t>
      </w:r>
      <w:r w:rsidRPr="009A201A">
        <w:rPr>
          <w:rFonts w:ascii="Palatino Linotype" w:eastAsia="Palatino Linotype" w:hAnsi="Palatino Linotype" w:cs="Palatino Linotype"/>
          <w:b/>
          <w:bCs/>
          <w:i/>
          <w:iCs/>
          <w:sz w:val="22"/>
          <w:szCs w:val="22"/>
        </w:rPr>
        <w:t>ARTÍCULO 220 K.-</w:t>
      </w:r>
      <w:r w:rsidRPr="009A201A">
        <w:rPr>
          <w:rFonts w:ascii="Palatino Linotype" w:eastAsia="Palatino Linotype" w:hAnsi="Palatino Linotype" w:cs="Palatino Linotype"/>
          <w:i/>
          <w:iCs/>
          <w:sz w:val="22"/>
          <w:szCs w:val="22"/>
        </w:rPr>
        <w:t xml:space="preserve"> La institución o dependencia pública tiene la obligación de conservar y exhibir en el proceso los documentos que a continuación se precisan:</w:t>
      </w:r>
    </w:p>
    <w:p w:rsidR="000806B7" w:rsidRPr="009A201A" w:rsidRDefault="00133D0B">
      <w:pPr>
        <w:spacing w:line="276" w:lineRule="auto"/>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w:t>
      </w:r>
    </w:p>
    <w:p w:rsidR="000806B7" w:rsidRPr="009A201A" w:rsidRDefault="00133D0B">
      <w:pPr>
        <w:spacing w:line="276" w:lineRule="auto"/>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 xml:space="preserve">II. </w:t>
      </w:r>
      <w:r w:rsidRPr="009A201A">
        <w:rPr>
          <w:rFonts w:ascii="Palatino Linotype" w:eastAsia="Palatino Linotype" w:hAnsi="Palatino Linotype" w:cs="Palatino Linotype"/>
          <w:b/>
          <w:bCs/>
          <w:i/>
          <w:iCs/>
          <w:sz w:val="22"/>
          <w:szCs w:val="22"/>
        </w:rPr>
        <w:t>Recibos de pagos de salarios</w:t>
      </w:r>
      <w:r w:rsidRPr="009A201A">
        <w:rPr>
          <w:rFonts w:ascii="Palatino Linotype" w:eastAsia="Palatino Linotype" w:hAnsi="Palatino Linotype" w:cs="Palatino Linotype"/>
          <w:i/>
          <w:iCs/>
          <w:sz w:val="22"/>
          <w:szCs w:val="22"/>
        </w:rPr>
        <w:t xml:space="preserve"> o las constancias documentales del pago de salario cuando sea por depósito o mediante información electrónica;</w:t>
      </w:r>
    </w:p>
    <w:p w:rsidR="000806B7" w:rsidRPr="009A201A" w:rsidRDefault="00133D0B">
      <w:pPr>
        <w:spacing w:line="276" w:lineRule="auto"/>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w:t>
      </w:r>
    </w:p>
    <w:p w:rsidR="000806B7" w:rsidRPr="009A201A" w:rsidRDefault="000806B7">
      <w:pPr>
        <w:spacing w:line="276" w:lineRule="auto"/>
        <w:ind w:left="851" w:right="616"/>
        <w:rPr>
          <w:rFonts w:ascii="Palatino Linotype" w:eastAsia="Palatino Linotype" w:hAnsi="Palatino Linotype" w:cs="Palatino Linotype"/>
          <w:sz w:val="22"/>
          <w:szCs w:val="22"/>
        </w:rPr>
      </w:pPr>
    </w:p>
    <w:p w:rsidR="000806B7" w:rsidRPr="009A201A" w:rsidRDefault="00133D0B">
      <w:pPr>
        <w:spacing w:line="276" w:lineRule="auto"/>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IV. Recibos o las constancias de depósito o del medio de información magnética o electrónica que sean utilizadas para el pago de salarios, prima vacacional, aguinaldo y demás prestaciones establecidas en la presente ley; y…</w:t>
      </w:r>
    </w:p>
    <w:p w:rsidR="000806B7" w:rsidRPr="009A201A" w:rsidRDefault="00133D0B">
      <w:pPr>
        <w:spacing w:line="276" w:lineRule="auto"/>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0806B7" w:rsidRPr="009A201A" w:rsidRDefault="00133D0B">
      <w:pPr>
        <w:spacing w:line="276" w:lineRule="auto"/>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0806B7" w:rsidRPr="009A201A" w:rsidRDefault="00133D0B">
      <w:pPr>
        <w:spacing w:line="276" w:lineRule="auto"/>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El incumplimiento por lo dispuesto por este artículo, establecerá la presunción de ser ciertos los hechos que el actor exprese en su demanda, en relación con tales documentos, salvo prueba en contrario.”</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En estas condiciones, resulta claro que la información de mérito es generada en ejercicio de las atribuciones del </w:t>
      </w:r>
      <w:r w:rsidRPr="009A201A">
        <w:rPr>
          <w:rFonts w:ascii="Palatino Linotype" w:eastAsia="Palatino Linotype" w:hAnsi="Palatino Linotype" w:cs="Palatino Linotype"/>
          <w:b/>
          <w:bCs/>
          <w:sz w:val="22"/>
          <w:szCs w:val="22"/>
        </w:rPr>
        <w:t>Sujeto Obligado</w:t>
      </w:r>
      <w:r w:rsidRPr="009A201A">
        <w:rPr>
          <w:rFonts w:ascii="Palatino Linotype" w:eastAsia="Palatino Linotype" w:hAnsi="Palatino Linotype" w:cs="Palatino Linotype"/>
          <w:sz w:val="22"/>
          <w:szCs w:val="22"/>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Además, de que la información de análisis,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spacing w:line="276" w:lineRule="auto"/>
        <w:ind w:left="851"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u w:val="single"/>
        </w:rPr>
        <w:t>“</w:t>
      </w:r>
      <w:r w:rsidRPr="009A201A">
        <w:rPr>
          <w:rFonts w:ascii="Palatino Linotype" w:eastAsia="Palatino Linotype" w:hAnsi="Palatino Linotype" w:cs="Palatino Linotype"/>
          <w:b/>
          <w:bCs/>
          <w:i/>
          <w:iCs/>
          <w:sz w:val="22"/>
          <w:szCs w:val="22"/>
          <w:u w:val="single"/>
        </w:rPr>
        <w:t>Artículo 7. El Estado de México garantizará el efectivo acceso de toda persona a la información en posesión de cualquier entidad,</w:t>
      </w:r>
      <w:r w:rsidRPr="009A201A">
        <w:rPr>
          <w:rFonts w:ascii="Palatino Linotype" w:eastAsia="Palatino Linotype" w:hAnsi="Palatino Linotype" w:cs="Palatino Linotype"/>
          <w:i/>
          <w:iCs/>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9A201A">
        <w:rPr>
          <w:rFonts w:ascii="Palatino Linotype" w:eastAsia="Palatino Linotype" w:hAnsi="Palatino Linotype" w:cs="Palatino Linotype"/>
          <w:b/>
          <w:bCs/>
          <w:i/>
          <w:iCs/>
          <w:sz w:val="22"/>
          <w:szCs w:val="22"/>
          <w:u w:val="single"/>
        </w:rPr>
        <w:t>que reciba y ejerza recursos públicos</w:t>
      </w:r>
      <w:r w:rsidRPr="009A201A">
        <w:rPr>
          <w:rFonts w:ascii="Palatino Linotype" w:eastAsia="Palatino Linotype" w:hAnsi="Palatino Linotype" w:cs="Palatino Linotype"/>
          <w:i/>
          <w:iCs/>
          <w:sz w:val="22"/>
          <w:szCs w:val="22"/>
        </w:rPr>
        <w:t xml:space="preserve"> o realice actos de autoridad </w:t>
      </w:r>
      <w:r w:rsidRPr="009A201A">
        <w:rPr>
          <w:rFonts w:ascii="Palatino Linotype" w:eastAsia="Palatino Linotype" w:hAnsi="Palatino Linotype" w:cs="Palatino Linotype"/>
          <w:b/>
          <w:bCs/>
          <w:i/>
          <w:iCs/>
          <w:sz w:val="22"/>
          <w:szCs w:val="22"/>
          <w:u w:val="single"/>
        </w:rPr>
        <w:t xml:space="preserve">en el ámbito de competencia del Estado de México </w:t>
      </w:r>
      <w:r w:rsidRPr="009A201A">
        <w:rPr>
          <w:rFonts w:ascii="Palatino Linotype" w:eastAsia="Palatino Linotype" w:hAnsi="Palatino Linotype" w:cs="Palatino Linotype"/>
          <w:i/>
          <w:iCs/>
          <w:sz w:val="22"/>
          <w:szCs w:val="22"/>
        </w:rPr>
        <w:t>y sus municipios.</w:t>
      </w:r>
    </w:p>
    <w:p w:rsidR="000806B7" w:rsidRPr="009A201A" w:rsidRDefault="00133D0B">
      <w:pPr>
        <w:spacing w:line="276" w:lineRule="auto"/>
        <w:ind w:left="851"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rPr>
        <w:t>Artículo 23</w:t>
      </w:r>
      <w:r w:rsidRPr="009A201A">
        <w:rPr>
          <w:rFonts w:ascii="Palatino Linotype" w:eastAsia="Palatino Linotype" w:hAnsi="Palatino Linotype" w:cs="Palatino Linotype"/>
          <w:i/>
          <w:iCs/>
          <w:sz w:val="22"/>
          <w:szCs w:val="22"/>
        </w:rPr>
        <w:t>. Son sujetos obligados a transparentar y permitir el acceso a su información y proteger los datos personales que obren en su poder:</w:t>
      </w:r>
    </w:p>
    <w:p w:rsidR="000806B7" w:rsidRPr="009A201A" w:rsidRDefault="00133D0B">
      <w:pPr>
        <w:spacing w:line="276" w:lineRule="auto"/>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w:t>
      </w:r>
    </w:p>
    <w:p w:rsidR="000806B7" w:rsidRPr="009A201A" w:rsidRDefault="00133D0B">
      <w:pPr>
        <w:spacing w:line="276" w:lineRule="auto"/>
        <w:ind w:left="851"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u w:val="single"/>
        </w:rPr>
        <w:t xml:space="preserve">IV. Los ayuntamientos y las dependencias, organismos, órganos y entidades de la administración municipal; </w:t>
      </w:r>
      <w:r w:rsidRPr="009A201A">
        <w:rPr>
          <w:rFonts w:ascii="Palatino Linotype" w:eastAsia="Palatino Linotype" w:hAnsi="Palatino Linotype" w:cs="Palatino Linotype"/>
          <w:i/>
          <w:iCs/>
          <w:sz w:val="22"/>
          <w:szCs w:val="22"/>
        </w:rPr>
        <w:t>(…)</w:t>
      </w:r>
    </w:p>
    <w:p w:rsidR="000806B7" w:rsidRPr="009A201A" w:rsidRDefault="00133D0B">
      <w:pPr>
        <w:spacing w:line="276" w:lineRule="auto"/>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i/>
          <w:iCs/>
          <w:sz w:val="22"/>
          <w:szCs w:val="22"/>
          <w:u w:val="single"/>
        </w:rPr>
        <w:t>…</w:t>
      </w:r>
    </w:p>
    <w:p w:rsidR="000806B7" w:rsidRPr="009A201A" w:rsidRDefault="00133D0B">
      <w:pPr>
        <w:spacing w:line="276" w:lineRule="auto"/>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i/>
          <w:iCs/>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806B7" w:rsidRPr="009A201A" w:rsidRDefault="00133D0B">
      <w:pPr>
        <w:spacing w:line="276" w:lineRule="auto"/>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Los servidores públicos deberán transparentar sus acciones así como garantizar y respetar el derecho de acceso a la información pública.”</w:t>
      </w:r>
      <w:r w:rsidRPr="009A201A">
        <w:rPr>
          <w:rFonts w:ascii="Palatino Linotype" w:eastAsia="Palatino Linotype" w:hAnsi="Palatino Linotype" w:cs="Palatino Linotype"/>
          <w:b/>
          <w:bCs/>
          <w:i/>
          <w:iCs/>
          <w:sz w:val="22"/>
          <w:szCs w:val="22"/>
        </w:rPr>
        <w:t xml:space="preserve"> </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Sirve de sustento por analogía, para justificar la publicidad sobre los datos relativos a los montos por concepto de pago de las remuneraciones, los criterios </w:t>
      </w:r>
      <w:r w:rsidRPr="009A201A">
        <w:rPr>
          <w:rFonts w:ascii="Palatino Linotype" w:eastAsia="Palatino Linotype" w:hAnsi="Palatino Linotype" w:cs="Palatino Linotype"/>
          <w:b/>
          <w:bCs/>
          <w:sz w:val="22"/>
          <w:szCs w:val="22"/>
        </w:rPr>
        <w:t>01/2003</w:t>
      </w:r>
      <w:r w:rsidRPr="009A201A">
        <w:rPr>
          <w:rFonts w:ascii="Palatino Linotype" w:eastAsia="Palatino Linotype" w:hAnsi="Palatino Linotype" w:cs="Palatino Linotype"/>
          <w:sz w:val="22"/>
          <w:szCs w:val="22"/>
        </w:rPr>
        <w:t xml:space="preserve"> y </w:t>
      </w:r>
      <w:r w:rsidRPr="009A201A">
        <w:rPr>
          <w:rFonts w:ascii="Palatino Linotype" w:eastAsia="Palatino Linotype" w:hAnsi="Palatino Linotype" w:cs="Palatino Linotype"/>
          <w:b/>
          <w:bCs/>
          <w:sz w:val="22"/>
          <w:szCs w:val="22"/>
        </w:rPr>
        <w:t>02/2003</w:t>
      </w:r>
      <w:r w:rsidRPr="009A201A">
        <w:rPr>
          <w:rFonts w:ascii="Palatino Linotype" w:eastAsia="Palatino Linotype" w:hAnsi="Palatino Linotype" w:cs="Palatino Linotype"/>
          <w:sz w:val="22"/>
          <w:szCs w:val="22"/>
        </w:rPr>
        <w:t xml:space="preserve"> emitidos por el Comité de Acceso a la Información Pública y Protección de Datos Personales de la Suprema Corte de Justicia de la Nación que a continuación se citan: </w:t>
      </w:r>
    </w:p>
    <w:p w:rsidR="000806B7" w:rsidRPr="009A201A" w:rsidRDefault="000806B7">
      <w:pPr>
        <w:tabs>
          <w:tab w:val="left" w:pos="7513"/>
        </w:tabs>
        <w:spacing w:line="276" w:lineRule="auto"/>
        <w:ind w:left="851" w:right="616"/>
        <w:rPr>
          <w:rFonts w:ascii="Palatino Linotype" w:eastAsia="Palatino Linotype" w:hAnsi="Palatino Linotype" w:cs="Palatino Linotype"/>
          <w:i/>
          <w:iCs/>
          <w:sz w:val="22"/>
          <w:szCs w:val="22"/>
        </w:rPr>
      </w:pPr>
    </w:p>
    <w:p w:rsidR="000806B7" w:rsidRPr="009A201A" w:rsidRDefault="00133D0B">
      <w:pPr>
        <w:tabs>
          <w:tab w:val="left" w:pos="7513"/>
        </w:tabs>
        <w:ind w:left="851" w:right="616"/>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w:t>
      </w:r>
      <w:r w:rsidRPr="009A201A">
        <w:rPr>
          <w:rFonts w:ascii="Palatino Linotype" w:eastAsia="Palatino Linotype" w:hAnsi="Palatino Linotype" w:cs="Palatino Linotype"/>
          <w:b/>
          <w:bCs/>
          <w:i/>
          <w:iCs/>
          <w:sz w:val="22"/>
          <w:szCs w:val="22"/>
        </w:rPr>
        <w:t>Criterio 01/2003.</w:t>
      </w:r>
    </w:p>
    <w:p w:rsidR="000806B7" w:rsidRPr="009A201A" w:rsidRDefault="00133D0B">
      <w:pPr>
        <w:tabs>
          <w:tab w:val="left" w:pos="7513"/>
        </w:tabs>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i/>
          <w:iCs/>
          <w:sz w:val="22"/>
          <w:szCs w:val="22"/>
        </w:rPr>
        <w:t>INGRESOS DE LOS SERVIDORES PÚBLICOS. CONSTITUYEN INFORMACIÓN PÚBLICA AÚN Y CUANDO SU DIFUSIÓN PUEDE AFECTAR LA VIDA O LA SEGURIDAD DE AQUELLOS.</w:t>
      </w:r>
      <w:r w:rsidRPr="009A201A">
        <w:rPr>
          <w:rFonts w:ascii="Palatino Linotype" w:eastAsia="Palatino Linotype" w:hAnsi="Palatino Linotype" w:cs="Palatino Linotype"/>
          <w:i/>
          <w:iCs/>
          <w:sz w:val="22"/>
          <w:szCs w:val="22"/>
        </w:rPr>
        <w:t> </w:t>
      </w:r>
    </w:p>
    <w:p w:rsidR="000806B7" w:rsidRPr="009A201A" w:rsidRDefault="00133D0B">
      <w:pPr>
        <w:tabs>
          <w:tab w:val="left" w:pos="7513"/>
        </w:tabs>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9A201A">
        <w:rPr>
          <w:rFonts w:ascii="Palatino Linotype" w:eastAsia="Palatino Linotype" w:hAnsi="Palatino Linotype" w:cs="Palatino Linotype"/>
          <w:b/>
          <w:bCs/>
          <w:i/>
          <w:iCs/>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9A201A">
        <w:rPr>
          <w:rFonts w:ascii="Palatino Linotype" w:eastAsia="Palatino Linotype" w:hAnsi="Palatino Linotype" w:cs="Palatino Linotype"/>
          <w:i/>
          <w:iCs/>
          <w:sz w:val="22"/>
          <w:szCs w:val="22"/>
          <w:u w:val="single"/>
        </w:rPr>
        <w:t>…”</w:t>
      </w:r>
    </w:p>
    <w:p w:rsidR="000806B7" w:rsidRPr="009A201A" w:rsidRDefault="000806B7">
      <w:pPr>
        <w:tabs>
          <w:tab w:val="left" w:pos="7513"/>
        </w:tabs>
        <w:ind w:left="851" w:right="616"/>
        <w:rPr>
          <w:rFonts w:ascii="Palatino Linotype" w:eastAsia="Palatino Linotype" w:hAnsi="Palatino Linotype" w:cs="Palatino Linotype"/>
          <w:sz w:val="22"/>
          <w:szCs w:val="22"/>
        </w:rPr>
      </w:pPr>
    </w:p>
    <w:p w:rsidR="000806B7" w:rsidRPr="009A201A" w:rsidRDefault="00133D0B">
      <w:pPr>
        <w:tabs>
          <w:tab w:val="left" w:pos="7513"/>
        </w:tabs>
        <w:ind w:left="851" w:right="616"/>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i/>
          <w:iCs/>
          <w:sz w:val="22"/>
          <w:szCs w:val="22"/>
        </w:rPr>
        <w:t>“Criterio 02/2003.</w:t>
      </w:r>
    </w:p>
    <w:p w:rsidR="000806B7" w:rsidRPr="009A201A" w:rsidRDefault="00133D0B">
      <w:pPr>
        <w:tabs>
          <w:tab w:val="left" w:pos="7513"/>
        </w:tabs>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i/>
          <w:iCs/>
          <w:sz w:val="22"/>
          <w:szCs w:val="22"/>
        </w:rPr>
        <w:t>INGRESOS DE LOS SERVIDORES PÚBLICOS, SON INFORMACIÓN PÚBLICA AÚN Y CUANDO CONSTITUYEN DATOS PERSONALES QUE SE REFIEREN AL PATRIMONIO DE AQUÉLLOS.</w:t>
      </w:r>
      <w:r w:rsidRPr="009A201A">
        <w:rPr>
          <w:rFonts w:ascii="Palatino Linotype" w:eastAsia="Palatino Linotype" w:hAnsi="Palatino Linotype" w:cs="Palatino Linotype"/>
          <w:i/>
          <w:iCs/>
          <w:sz w:val="22"/>
          <w:szCs w:val="22"/>
        </w:rPr>
        <w:t> </w:t>
      </w:r>
    </w:p>
    <w:p w:rsidR="000806B7" w:rsidRPr="009A201A" w:rsidRDefault="00133D0B">
      <w:pPr>
        <w:tabs>
          <w:tab w:val="left" w:pos="7513"/>
        </w:tabs>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9A201A">
        <w:rPr>
          <w:rFonts w:ascii="Palatino Linotype" w:eastAsia="Palatino Linotype" w:hAnsi="Palatino Linotype" w:cs="Palatino Linotype"/>
          <w:b/>
          <w:bCs/>
          <w:i/>
          <w:iCs/>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9A201A">
        <w:rPr>
          <w:rFonts w:ascii="Palatino Linotype" w:eastAsia="Palatino Linotype" w:hAnsi="Palatino Linotype" w:cs="Palatino Linotype"/>
          <w:i/>
          <w:iCs/>
          <w:sz w:val="22"/>
          <w:szCs w:val="22"/>
        </w:rPr>
        <w:t xml:space="preserve"> el sistema de compensación…”</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Ahora bien, el artículo 92, fracción VIII de la Ley de Transparencia y Acceso a la Información Pública del Estado de México y Municipios, señala: </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w:t>
      </w:r>
      <w:r w:rsidRPr="009A201A">
        <w:rPr>
          <w:rFonts w:ascii="Palatino Linotype" w:eastAsia="Palatino Linotype" w:hAnsi="Palatino Linotype" w:cs="Palatino Linotype"/>
          <w:b/>
          <w:bCs/>
          <w:i/>
          <w:iCs/>
          <w:sz w:val="22"/>
          <w:szCs w:val="22"/>
        </w:rPr>
        <w:t>Artículo 92.</w:t>
      </w:r>
      <w:r w:rsidRPr="009A201A">
        <w:rPr>
          <w:rFonts w:ascii="Palatino Linotype" w:eastAsia="Palatino Linotype" w:hAnsi="Palatino Linotype" w:cs="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0806B7" w:rsidRPr="009A201A" w:rsidRDefault="00133D0B">
      <w:pPr>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w:t>
      </w:r>
    </w:p>
    <w:p w:rsidR="000806B7" w:rsidRPr="009A201A" w:rsidRDefault="00133D0B">
      <w:pPr>
        <w:ind w:left="851" w:right="616"/>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i/>
          <w:iCs/>
          <w:sz w:val="22"/>
          <w:szCs w:val="22"/>
        </w:rPr>
        <w:t>VIII.</w:t>
      </w:r>
      <w:r w:rsidRPr="009A201A">
        <w:rPr>
          <w:rFonts w:ascii="Palatino Linotype" w:eastAsia="Palatino Linotype" w:hAnsi="Palatino Linotype" w:cs="Palatino Linotype"/>
          <w:i/>
          <w:iCs/>
          <w:sz w:val="22"/>
          <w:szCs w:val="22"/>
        </w:rPr>
        <w:t xml:space="preserve"> </w:t>
      </w:r>
      <w:r w:rsidRPr="009A201A">
        <w:rPr>
          <w:rFonts w:ascii="Palatino Linotype" w:eastAsia="Palatino Linotype" w:hAnsi="Palatino Linotype" w:cs="Palatino Linotype"/>
          <w:b/>
          <w:bCs/>
          <w:i/>
          <w:iCs/>
          <w:sz w:val="22"/>
          <w:szCs w:val="22"/>
        </w:rPr>
        <w:t xml:space="preserve">La remuneración bruta y neta de todos los servidores públicos </w:t>
      </w:r>
      <w:r w:rsidRPr="009A201A">
        <w:rPr>
          <w:rFonts w:ascii="Palatino Linotype" w:eastAsia="Palatino Linotype" w:hAnsi="Palatino Linotype" w:cs="Palatino Linotype"/>
          <w:i/>
          <w:iCs/>
          <w:sz w:val="22"/>
          <w:szCs w:val="22"/>
        </w:rPr>
        <w:t>de base o de confianza, de todas las percepciones, incluyendo sueldos, prestaciones, gratificaciones, primas, comisiones, dietas, bonos, estímulos, ingresos y sistemas de compensación, señalando la periodicidad de dicha remuneración;”</w:t>
      </w:r>
    </w:p>
    <w:p w:rsidR="000806B7" w:rsidRPr="009A201A" w:rsidRDefault="000806B7">
      <w:pPr>
        <w:spacing w:line="360" w:lineRule="auto"/>
        <w:ind w:right="49"/>
        <w:jc w:val="both"/>
        <w:rPr>
          <w:rFonts w:ascii="Palatino Linotype" w:eastAsia="Palatino Linotype" w:hAnsi="Palatino Linotype" w:cs="Palatino Linotype"/>
          <w:sz w:val="22"/>
          <w:szCs w:val="22"/>
        </w:rPr>
      </w:pPr>
    </w:p>
    <w:p w:rsidR="000806B7" w:rsidRPr="009A201A" w:rsidRDefault="00133D0B">
      <w:pPr>
        <w:spacing w:line="360" w:lineRule="auto"/>
        <w:ind w:right="49"/>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De lo anterior, se colige que el </w:t>
      </w:r>
      <w:r w:rsidRPr="009A201A">
        <w:rPr>
          <w:rFonts w:ascii="Palatino Linotype" w:eastAsia="Palatino Linotype" w:hAnsi="Palatino Linotype" w:cs="Palatino Linotype"/>
          <w:b/>
          <w:bCs/>
          <w:sz w:val="22"/>
          <w:szCs w:val="22"/>
        </w:rPr>
        <w:t>Sujeto Obligado</w:t>
      </w:r>
      <w:r w:rsidRPr="009A201A">
        <w:rPr>
          <w:rFonts w:ascii="Palatino Linotype" w:eastAsia="Palatino Linotype" w:hAnsi="Palatino Linotype" w:cs="Palatino Linotype"/>
          <w:sz w:val="22"/>
          <w:szCs w:val="22"/>
        </w:rPr>
        <w:t>, cuenta con las competencias, facultades y atribuciones para conocer, administrar y generar la información relacionada con las percepciones mensuales de los servidores públicos con cargos de Coordinador o Delegado de la Presente Administración, que de manera enunciativa más no limitativa pudieran obran en la conciliación de nómina o recibos de nómina.</w:t>
      </w:r>
    </w:p>
    <w:p w:rsidR="000806B7" w:rsidRPr="009A201A" w:rsidRDefault="000806B7">
      <w:pPr>
        <w:spacing w:line="360" w:lineRule="auto"/>
        <w:ind w:right="49"/>
        <w:jc w:val="both"/>
        <w:rPr>
          <w:rFonts w:ascii="Palatino Linotype" w:eastAsia="Palatino Linotype" w:hAnsi="Palatino Linotype" w:cs="Palatino Linotype"/>
          <w:sz w:val="22"/>
          <w:szCs w:val="22"/>
        </w:rPr>
      </w:pPr>
    </w:p>
    <w:p w:rsidR="000806B7" w:rsidRPr="009A201A" w:rsidRDefault="00133D0B">
      <w:pPr>
        <w:spacing w:line="360" w:lineRule="auto"/>
        <w:ind w:right="49"/>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Sin embargo, en el presente asunto, como se mostró, existe la obligación de hacer públicas las percepciones brutas y netas de los servidores públicos, a través de los documentos idóneos como lo son los recibos de nómina, por lo que el Sujeto Obligado al tener a la obligación de generar, administrar y poseer la información requerida tiene debe poner a disposición los recibos de nómina, correspondientes a la segunda quincena de agosto de dos mil veinticinco, de los servidores públicos referidos en la solicitud.</w:t>
      </w:r>
    </w:p>
    <w:p w:rsidR="000806B7" w:rsidRPr="009A201A" w:rsidRDefault="000806B7">
      <w:pPr>
        <w:spacing w:line="360" w:lineRule="auto"/>
        <w:ind w:right="49"/>
        <w:jc w:val="both"/>
        <w:rPr>
          <w:rFonts w:ascii="Palatino Linotype" w:eastAsia="Palatino Linotype" w:hAnsi="Palatino Linotype" w:cs="Palatino Linotype"/>
          <w:sz w:val="22"/>
          <w:szCs w:val="22"/>
        </w:rPr>
      </w:pPr>
    </w:p>
    <w:p w:rsidR="000806B7" w:rsidRPr="009A201A" w:rsidRDefault="00133D0B">
      <w:pPr>
        <w:spacing w:line="360" w:lineRule="auto"/>
        <w:ind w:right="49"/>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Para la elaboración de las versiones públicas, el Sujeto Obligado estará a lo dispuesto en el Considerando Quinto de la presente resolución. </w:t>
      </w:r>
    </w:p>
    <w:p w:rsidR="000806B7" w:rsidRPr="009A201A" w:rsidRDefault="00133D0B">
      <w:p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b/>
          <w:bCs/>
          <w:sz w:val="22"/>
          <w:szCs w:val="22"/>
        </w:rPr>
        <w:t>Listas de asistencia o lector biométrico.</w:t>
      </w: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Ahora bien, respecto a la justificación de entrada y salida, </w:t>
      </w:r>
      <w:r w:rsidRPr="009A201A">
        <w:rPr>
          <w:rFonts w:ascii="Palatino Linotype" w:eastAsia="Palatino Linotype" w:hAnsi="Palatino Linotype" w:cs="Palatino Linotype"/>
          <w:b/>
          <w:bCs/>
          <w:sz w:val="22"/>
          <w:szCs w:val="22"/>
        </w:rPr>
        <w:t xml:space="preserve">el Sujeto Obligado se limitó a indicar que los requerimientos del particular no constituyen materia del derecho de acceso a la información pública por tratarse de interrogantes y declaraciones que no se colman con la entrega de documentos, situación que conlleva a referir que se está en presencia de un derecho de petición. </w:t>
      </w:r>
    </w:p>
    <w:p w:rsidR="000806B7" w:rsidRPr="009A201A" w:rsidRDefault="000806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Si bien es cierto, el recurrente indicó la palabra “justificación” de entrada y salida, razón por la cual es necesario traer a contexto el artículo 11.32 del Código Reglamentario Municipal de Toluca refiere que la jornada de trabajo, es el tiempo durante el cual el servidor público está a disposición de la Dependencia o Unidad Administrativa para prestar sus servicios, mientras que el artículo 11.40 señala que el horario que regirá en las Dependencias y Unidades Administrativas será de las 9:00 a las 18:00 horas, para quienes tengan jornada laboral de 9 horas diarias continuas; y de las 9:00 a las 16:00 horas para los servidores públicos con jornada laboral de 7 horas diarias. En todo caso podrán existir horarios especiales de conformidad con el artículo 60 de la Ley en la materia, los cuales, para su autorización, deberá mediar visto bueno de la Dirección General de Administración a través de la Dirección de Recursos Humanos, exceptuando del horario que antecede a los servidores públicos que determine la Dirección General de Administración, por medio de la Dirección de Recursos Humanos</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Por su parte, el artículo 11.41 del referido código reglamentario, establece que las y los servidores públicos que laboran un horario continuo de 8 o de 9 horas diarias, tendrán derecho a disfrutar de treinta minutos de descanso durante los cuales podrán tomar sus alimentos, tiempo que se considerará como efectivo.</w:t>
      </w:r>
    </w:p>
    <w:p w:rsidR="000806B7" w:rsidRPr="009A201A" w:rsidRDefault="000806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Del mismo modo, los artículos 11.44 y 141.45 señalan que el control de asistencia de las y los servidores públicos, se sujetara a las siguientes disposiciones </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i/>
          <w:iCs/>
          <w:sz w:val="22"/>
          <w:szCs w:val="22"/>
        </w:rPr>
        <w:t>Artículo 11.44</w:t>
      </w:r>
      <w:r w:rsidRPr="009A201A">
        <w:rPr>
          <w:rFonts w:ascii="Palatino Linotype" w:eastAsia="Palatino Linotype" w:hAnsi="Palatino Linotype" w:cs="Palatino Linotype"/>
          <w:i/>
          <w:iCs/>
          <w:sz w:val="22"/>
          <w:szCs w:val="22"/>
        </w:rPr>
        <w:t>. El control de asistencia de las y los servidores públicos se sujetará a las siguientes disposiciones:</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 xml:space="preserve">I. </w:t>
      </w:r>
      <w:r w:rsidRPr="009A201A">
        <w:rPr>
          <w:rFonts w:ascii="Palatino Linotype" w:eastAsia="Palatino Linotype" w:hAnsi="Palatino Linotype" w:cs="Palatino Linotype"/>
          <w:b/>
          <w:bCs/>
          <w:i/>
          <w:iCs/>
          <w:sz w:val="22"/>
          <w:szCs w:val="22"/>
        </w:rPr>
        <w:t xml:space="preserve">El </w:t>
      </w:r>
      <w:r w:rsidRPr="009A201A">
        <w:rPr>
          <w:rFonts w:ascii="Palatino Linotype" w:eastAsia="Palatino Linotype" w:hAnsi="Palatino Linotype" w:cs="Palatino Linotype"/>
          <w:b/>
          <w:bCs/>
          <w:i/>
          <w:iCs/>
          <w:sz w:val="22"/>
          <w:szCs w:val="22"/>
          <w:u w:val="single"/>
        </w:rPr>
        <w:t>control se llevará mediante</w:t>
      </w:r>
      <w:r w:rsidRPr="009A201A">
        <w:rPr>
          <w:rFonts w:ascii="Palatino Linotype" w:eastAsia="Palatino Linotype" w:hAnsi="Palatino Linotype" w:cs="Palatino Linotype"/>
          <w:i/>
          <w:iCs/>
          <w:sz w:val="22"/>
          <w:szCs w:val="22"/>
        </w:rPr>
        <w:t xml:space="preserve"> lectores manuales, tarjetas, </w:t>
      </w:r>
      <w:r w:rsidRPr="009A201A">
        <w:rPr>
          <w:rFonts w:ascii="Palatino Linotype" w:eastAsia="Palatino Linotype" w:hAnsi="Palatino Linotype" w:cs="Palatino Linotype"/>
          <w:b/>
          <w:bCs/>
          <w:i/>
          <w:iCs/>
          <w:sz w:val="22"/>
          <w:szCs w:val="22"/>
          <w:u w:val="single"/>
        </w:rPr>
        <w:t>listas de asistencia</w:t>
      </w:r>
      <w:r w:rsidRPr="009A201A">
        <w:rPr>
          <w:rFonts w:ascii="Palatino Linotype" w:eastAsia="Palatino Linotype" w:hAnsi="Palatino Linotype" w:cs="Palatino Linotype"/>
          <w:i/>
          <w:iCs/>
          <w:sz w:val="22"/>
          <w:szCs w:val="22"/>
        </w:rPr>
        <w:t xml:space="preserve"> o por cualquier otro sistema que disponga la Dirección General de Administración.</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 xml:space="preserve">Las tarjetas y listas de asistencia deberán contener el </w:t>
      </w:r>
      <w:r w:rsidRPr="009A201A">
        <w:rPr>
          <w:rFonts w:ascii="Palatino Linotype" w:eastAsia="Palatino Linotype" w:hAnsi="Palatino Linotype" w:cs="Palatino Linotype"/>
          <w:b/>
          <w:bCs/>
          <w:i/>
          <w:iCs/>
          <w:sz w:val="22"/>
          <w:szCs w:val="22"/>
        </w:rPr>
        <w:t>nombre de la Dependencia</w:t>
      </w:r>
      <w:r w:rsidRPr="009A201A">
        <w:rPr>
          <w:rFonts w:ascii="Palatino Linotype" w:eastAsia="Palatino Linotype" w:hAnsi="Palatino Linotype" w:cs="Palatino Linotype"/>
          <w:i/>
          <w:iCs/>
          <w:sz w:val="22"/>
          <w:szCs w:val="22"/>
        </w:rPr>
        <w:t xml:space="preserve"> o Unidad Administrativa </w:t>
      </w:r>
      <w:r w:rsidRPr="009A201A">
        <w:rPr>
          <w:rFonts w:ascii="Palatino Linotype" w:eastAsia="Palatino Linotype" w:hAnsi="Palatino Linotype" w:cs="Palatino Linotype"/>
          <w:b/>
          <w:bCs/>
          <w:i/>
          <w:iCs/>
          <w:sz w:val="22"/>
          <w:szCs w:val="22"/>
        </w:rPr>
        <w:t>donde presta sus servicios el servidor público, el nombre de éste, su lugar de adscripción, número de empleado y todo dato que permita el debido control</w:t>
      </w:r>
      <w:r w:rsidRPr="009A201A">
        <w:rPr>
          <w:rFonts w:ascii="Palatino Linotype" w:eastAsia="Palatino Linotype" w:hAnsi="Palatino Linotype" w:cs="Palatino Linotype"/>
          <w:i/>
          <w:iCs/>
          <w:sz w:val="22"/>
          <w:szCs w:val="22"/>
        </w:rPr>
        <w:t>. Si el sistema dispuesto requiere que la tarjeta o similar se coloque en un lugar predeterminado, la o el servidor público no podrá retirarla sin la autorización correspondiente;</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II. Se exceptúa del control de asistencia a los servidores públicos que en forma expresa hayan sido autorizados por los titulares de las Dependencias o Unidades Administrativas, en razón de la naturaleza del servicio o de las circunstancias especiales que medien, previa autorización de la Dirección General de Administración;</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III. Cuando por alguna circunstancia el servidor público no pueda registrar su asistencia, inmediatamente deberá hacerlo del conocimiento de su Delegado Administrativo, para que tome las acciones conducentes</w:t>
      </w:r>
      <w:r w:rsidRPr="009A201A">
        <w:rPr>
          <w:rFonts w:ascii="Palatino Linotype" w:eastAsia="Palatino Linotype" w:hAnsi="Palatino Linotype" w:cs="Palatino Linotype"/>
          <w:sz w:val="22"/>
          <w:szCs w:val="22"/>
        </w:rPr>
        <w:t>.</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Artículo 11.45. Para la entrada a sus labores y registro de asistencia, se concederá a la o el servidor público, una tolerancia de diez minutos después de la hora señalada para la iniciarlas. </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Se considerará retardo, cuando la o el servidor público se presente a sus labores entre el minuto once y el quince después de su entrada. Asimismo, tres retardos acumulativos en una quincena serán considerados como una falta.</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Se considerará falta de asistencia, el hecho de que la o el servidor público se presente a sus labores después del minuto 16 (dieciséis), así como registrar la salida antes del límite del horario diario establecido.</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Cuando la o el servidor público incurra en faltas de asistencia y tres retardos, no tendrá derecho al pago correspondiente al tiempo no laborado; el descuento se podrá ver reflejado dentro de alguna de las dos siguientes quincenas, en que se cometió la falta.</w:t>
      </w:r>
    </w:p>
    <w:p w:rsidR="000806B7" w:rsidRPr="009A201A" w:rsidRDefault="00133D0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De lo anterior, resulta claro que los documentos que dan cuenta de los requerimientos planteados por el Particular, es el </w:t>
      </w:r>
      <w:r w:rsidRPr="009A201A">
        <w:rPr>
          <w:rFonts w:ascii="Palatino Linotype" w:eastAsia="Palatino Linotype" w:hAnsi="Palatino Linotype" w:cs="Palatino Linotype"/>
          <w:b/>
          <w:bCs/>
          <w:i/>
          <w:iCs/>
          <w:sz w:val="22"/>
          <w:szCs w:val="22"/>
        </w:rPr>
        <w:t xml:space="preserve">El </w:t>
      </w:r>
      <w:r w:rsidRPr="009A201A">
        <w:rPr>
          <w:rFonts w:ascii="Palatino Linotype" w:eastAsia="Palatino Linotype" w:hAnsi="Palatino Linotype" w:cs="Palatino Linotype"/>
          <w:b/>
          <w:bCs/>
          <w:i/>
          <w:iCs/>
          <w:sz w:val="22"/>
          <w:szCs w:val="22"/>
          <w:u w:val="single"/>
        </w:rPr>
        <w:t>control que se llevará mediante</w:t>
      </w:r>
      <w:r w:rsidRPr="009A201A">
        <w:rPr>
          <w:rFonts w:ascii="Palatino Linotype" w:eastAsia="Palatino Linotype" w:hAnsi="Palatino Linotype" w:cs="Palatino Linotype"/>
          <w:i/>
          <w:iCs/>
          <w:sz w:val="22"/>
          <w:szCs w:val="22"/>
        </w:rPr>
        <w:t xml:space="preserve"> lectores manuales, tarjetas, </w:t>
      </w:r>
      <w:r w:rsidRPr="009A201A">
        <w:rPr>
          <w:rFonts w:ascii="Palatino Linotype" w:eastAsia="Palatino Linotype" w:hAnsi="Palatino Linotype" w:cs="Palatino Linotype"/>
          <w:b/>
          <w:bCs/>
          <w:i/>
          <w:iCs/>
          <w:sz w:val="22"/>
          <w:szCs w:val="22"/>
          <w:u w:val="single"/>
        </w:rPr>
        <w:t>listas de asistencia</w:t>
      </w:r>
      <w:r w:rsidRPr="009A201A">
        <w:rPr>
          <w:rFonts w:ascii="Palatino Linotype" w:eastAsia="Palatino Linotype" w:hAnsi="Palatino Linotype" w:cs="Palatino Linotype"/>
          <w:i/>
          <w:iCs/>
          <w:sz w:val="22"/>
          <w:szCs w:val="22"/>
        </w:rPr>
        <w:t xml:space="preserve"> o por cualquier otro medio que </w:t>
      </w:r>
      <w:r w:rsidRPr="009A201A">
        <w:rPr>
          <w:rFonts w:ascii="Palatino Linotype" w:eastAsia="Palatino Linotype" w:hAnsi="Palatino Linotype" w:cs="Palatino Linotype"/>
          <w:sz w:val="22"/>
          <w:szCs w:val="22"/>
        </w:rPr>
        <w:t>la Dirección de Administración determine, ya que esta área  es la competentes para atender el requerimiento, al ser quien lleva el control y registro de asistencias de los servidores públicos del Ayuntamiento de Toluca, advirtiendo que para los servidores públicos referidos en la solicitud, llevan su registro de entrada y salida a través de una lista de asistencia o cualquier otro medio; por lo que, resulta procedente ordenar la entrega del documento donde conste el control o registro de asistencia de los servidores públicos referidos en la solicitud desde la fecha que causaron alta al tres de septiembre de dos mil veinticinco.</w:t>
      </w:r>
    </w:p>
    <w:p w:rsidR="000806B7" w:rsidRPr="009A201A" w:rsidRDefault="00133D0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Además, de acuerdo a la información que se localiza en el IPOMEX del Sujeto Obligado, en el apartado “Remuneraciones” se aprecia que los servidores públicos referidos en la solicitud efectivamente son servidores públicos, ambos adscritos a la Secretaría del Ayuntamiento. </w:t>
      </w:r>
    </w:p>
    <w:p w:rsidR="000806B7" w:rsidRPr="009A201A" w:rsidRDefault="00133D0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Por lo que, para el caso de que derivado de la búsqueda exhaustiva y razonable, no se localice el registro de asistencia o con la autorización para omitir el registro de asistencia de alguno de los servidores público adscritos a la Unidad de Transparencia, deberá emitir el Acuerdo de Inexistencia en términos de los artículos 19, párrafo tercero, 49, fracciones II y XIII, 169 y 170 de la Ley de Transparencia y Acceso a la Información Pública del Estado de México y Municipios, debiendo notificarlo a la parte </w:t>
      </w:r>
      <w:r w:rsidRPr="009A201A">
        <w:rPr>
          <w:rFonts w:ascii="Palatino Linotype" w:eastAsia="Palatino Linotype" w:hAnsi="Palatino Linotype" w:cs="Palatino Linotype"/>
          <w:b/>
          <w:bCs/>
          <w:sz w:val="22"/>
          <w:szCs w:val="22"/>
        </w:rPr>
        <w:t>Recurrente</w:t>
      </w:r>
      <w:r w:rsidRPr="009A201A">
        <w:rPr>
          <w:rFonts w:ascii="Palatino Linotype" w:eastAsia="Palatino Linotype" w:hAnsi="Palatino Linotype" w:cs="Palatino Linotype"/>
          <w:sz w:val="22"/>
          <w:szCs w:val="22"/>
        </w:rPr>
        <w:t xml:space="preserve"> al momento de dar cumplimiento a la presente resolución.</w:t>
      </w:r>
    </w:p>
    <w:p w:rsidR="000806B7" w:rsidRPr="009A201A" w:rsidRDefault="00133D0B">
      <w:pPr>
        <w:pBdr>
          <w:top w:val="nil"/>
          <w:left w:val="nil"/>
          <w:bottom w:val="nil"/>
          <w:right w:val="nil"/>
          <w:between w:val="nil"/>
        </w:pBdr>
        <w:spacing w:line="360" w:lineRule="auto"/>
        <w:ind w:right="141"/>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En ese orden de ideas, es de destacar que las actas que sustenten la inexistencia de la información, deberán observar ciertas formalidades exigidas por la Ley de Transparencia y Acceso a la Información Pública del Estado de México y Municipios</w:t>
      </w:r>
      <w:r w:rsidRPr="009A201A">
        <w:rPr>
          <w:rFonts w:ascii="Palatino Linotype" w:eastAsia="Palatino Linotype" w:hAnsi="Palatino Linotype" w:cs="Palatino Linotype"/>
          <w:i/>
          <w:iCs/>
          <w:sz w:val="22"/>
          <w:szCs w:val="22"/>
        </w:rPr>
        <w:t xml:space="preserve">, </w:t>
      </w:r>
      <w:r w:rsidRPr="009A201A">
        <w:rPr>
          <w:rFonts w:ascii="Palatino Linotype" w:eastAsia="Palatino Linotype" w:hAnsi="Palatino Linotype" w:cs="Palatino Linotype"/>
          <w:sz w:val="22"/>
          <w:szCs w:val="22"/>
        </w:rPr>
        <w:t>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709"/>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i/>
          <w:iCs/>
          <w:sz w:val="22"/>
          <w:szCs w:val="22"/>
        </w:rPr>
        <w:t>INEXISTENCIA, CONCEPTO DE, EN MATERIA DE TRANSPARENCIA</w:t>
      </w:r>
      <w:r w:rsidRPr="009A201A">
        <w:rPr>
          <w:rFonts w:ascii="Palatino Linotype" w:eastAsia="Palatino Linotype" w:hAnsi="Palatino Linotype" w:cs="Palatino Linotype"/>
          <w:i/>
          <w:iCs/>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b) En los casos en que por las atribuciones conferidas al Sujeto Obligado éste debió generar, administrar o poseer la información, pero en incumplimiento a la normatividad respectiva no llevó a cabo ninguna de esas acciones.</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567"/>
        <w:jc w:val="center"/>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i/>
          <w:iCs/>
          <w:sz w:val="22"/>
          <w:szCs w:val="22"/>
        </w:rPr>
        <w:t>CRITERIO 0004-11</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i/>
          <w:iCs/>
          <w:sz w:val="22"/>
          <w:szCs w:val="22"/>
        </w:rPr>
        <w:t>INEXISTENCIA. DECLARATORIA DE LA. ALCANCES Y PROCEDIMIENTOS</w:t>
      </w:r>
      <w:r w:rsidRPr="009A201A">
        <w:rPr>
          <w:rFonts w:ascii="Palatino Linotype" w:eastAsia="Palatino Linotype" w:hAnsi="Palatino Linotype" w:cs="Palatino Linotype"/>
          <w:i/>
          <w:iCs/>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Bajo el entendido de que dicha búsqueda exhaustiva permitirá dos determinaciones:</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1ª) Que se localice la documentación que contenga la información solicitada y de ser así la información pueda entregarse al solicitante en la forma en que se encuentra disponible, o</w:t>
      </w: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De lo que, se colige que, el Comité de Transparencia deberá emitir el correspondiente Acuerdo de Inexistencia de la Información y notificarlo al </w:t>
      </w:r>
      <w:r w:rsidRPr="009A201A">
        <w:rPr>
          <w:rFonts w:ascii="Palatino Linotype" w:eastAsia="Palatino Linotype" w:hAnsi="Palatino Linotype" w:cs="Palatino Linotype"/>
          <w:b/>
          <w:bCs/>
          <w:sz w:val="22"/>
          <w:szCs w:val="22"/>
        </w:rPr>
        <w:t>Recurrente</w:t>
      </w:r>
      <w:r w:rsidRPr="009A201A">
        <w:rPr>
          <w:rFonts w:ascii="Palatino Linotype" w:eastAsia="Palatino Linotype" w:hAnsi="Palatino Linotype" w:cs="Palatino Linotype"/>
          <w:sz w:val="22"/>
          <w:szCs w:val="22"/>
        </w:rPr>
        <w:t>. </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con los artículos 47 y 49, fracciones II y XIII, de la Ley en estudio:</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i/>
          <w:iCs/>
          <w:sz w:val="22"/>
          <w:szCs w:val="22"/>
        </w:rPr>
        <w:t>Artículo 47.</w:t>
      </w:r>
      <w:r w:rsidRPr="009A201A">
        <w:rPr>
          <w:rFonts w:ascii="Palatino Linotype" w:eastAsia="Palatino Linotype" w:hAnsi="Palatino Linotype" w:cs="Palatino Linotype"/>
          <w:i/>
          <w:iCs/>
          <w:sz w:val="22"/>
          <w:szCs w:val="22"/>
        </w:rPr>
        <w:t xml:space="preserve"> El Comité de Transparencia será la autoridad máxima al interior del sujeto obligado en materia del derecho de acceso a la información.</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El Comité se reunirá en sesión ordinaria o extraordinaria las veces que estime necesario. El tipo de sesión se precisará en la convocatoria emitida.</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En las sesiones y trabajos del Comité, podrán participar como invitados permanentes, los representantes de las áreas que decida el Comité, y contará con derecho de voz, pero no voto.</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 xml:space="preserve">Los titulares de las unidades administrativas que propongan la reserva, confidencialidad o declaren la </w:t>
      </w:r>
      <w:r w:rsidRPr="009A201A">
        <w:rPr>
          <w:rFonts w:ascii="Palatino Linotype" w:eastAsia="Palatino Linotype" w:hAnsi="Palatino Linotype" w:cs="Palatino Linotype"/>
          <w:i/>
          <w:iCs/>
          <w:sz w:val="22"/>
          <w:szCs w:val="22"/>
          <w:u w:val="single"/>
        </w:rPr>
        <w:t>inexistencia</w:t>
      </w:r>
      <w:r w:rsidRPr="009A201A">
        <w:rPr>
          <w:rFonts w:ascii="Palatino Linotype" w:eastAsia="Palatino Linotype" w:hAnsi="Palatino Linotype" w:cs="Palatino Linotype"/>
          <w:i/>
          <w:iCs/>
          <w:sz w:val="22"/>
          <w:szCs w:val="22"/>
        </w:rPr>
        <w:t xml:space="preserve"> de información, acudirán a las sesiones de dicho Comité donde se discuta la propuesta correspondiente.”</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w:t>
      </w:r>
      <w:r w:rsidRPr="009A201A">
        <w:rPr>
          <w:rFonts w:ascii="Palatino Linotype" w:eastAsia="Palatino Linotype" w:hAnsi="Palatino Linotype" w:cs="Palatino Linotype"/>
          <w:b/>
          <w:bCs/>
          <w:i/>
          <w:iCs/>
          <w:sz w:val="22"/>
          <w:szCs w:val="22"/>
        </w:rPr>
        <w:t>Artículo 49.</w:t>
      </w:r>
      <w:r w:rsidRPr="009A201A">
        <w:rPr>
          <w:rFonts w:ascii="Palatino Linotype" w:eastAsia="Palatino Linotype" w:hAnsi="Palatino Linotype" w:cs="Palatino Linotype"/>
          <w:i/>
          <w:iCs/>
          <w:sz w:val="22"/>
          <w:szCs w:val="22"/>
        </w:rPr>
        <w:t xml:space="preserve"> Los Comités de Transparencia tendrán las siguientes atribuciones:</w:t>
      </w: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w:t>
      </w: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 xml:space="preserve">II. Confirmar, modificar o revocar las determinaciones que en materia de ampliación del plazo de respuesta, clasificación de la información y </w:t>
      </w:r>
      <w:r w:rsidRPr="009A201A">
        <w:rPr>
          <w:rFonts w:ascii="Palatino Linotype" w:eastAsia="Palatino Linotype" w:hAnsi="Palatino Linotype" w:cs="Palatino Linotype"/>
          <w:i/>
          <w:iCs/>
          <w:sz w:val="22"/>
          <w:szCs w:val="22"/>
          <w:u w:val="single"/>
        </w:rPr>
        <w:t xml:space="preserve">declaración de inexistencia </w:t>
      </w:r>
      <w:r w:rsidRPr="009A201A">
        <w:rPr>
          <w:rFonts w:ascii="Palatino Linotype" w:eastAsia="Palatino Linotype" w:hAnsi="Palatino Linotype" w:cs="Palatino Linotype"/>
          <w:i/>
          <w:iCs/>
          <w:sz w:val="22"/>
          <w:szCs w:val="22"/>
        </w:rPr>
        <w:t>o de incompetencia realicen los titulares de las áreas de los sujetos obligados;</w:t>
      </w: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w:t>
      </w: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XIII. Dictaminar las declaratorias de inexistencia de la información que les remitan las unidades administrativas y resolver en consecuencia;</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Asimismo, el acuerdo de inexistencia deberá apegarse a lo dispuesto por los artículos 169 y 170, de la Ley de la materia que ordenan: </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i/>
          <w:iCs/>
          <w:sz w:val="22"/>
          <w:szCs w:val="22"/>
        </w:rPr>
        <w:t>Artículo 169.</w:t>
      </w:r>
      <w:r w:rsidRPr="009A201A">
        <w:rPr>
          <w:rFonts w:ascii="Palatino Linotype" w:eastAsia="Palatino Linotype" w:hAnsi="Palatino Linotype" w:cs="Palatino Linotype"/>
          <w:i/>
          <w:iCs/>
          <w:sz w:val="22"/>
          <w:szCs w:val="22"/>
        </w:rPr>
        <w:t xml:space="preserve"> Cuando la información no se encuentre en los archivos del sujeto obligado, el Comité de Transparencia:</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I. Analizará el caso y tomará las medidas necesarias para localizar la información;</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II. Expedirá una resolución que confirme la inexistencia del documento;</w:t>
      </w: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i/>
          <w:iCs/>
          <w:sz w:val="22"/>
          <w:szCs w:val="22"/>
        </w:rPr>
        <w:t>IV. Notificará al órgano interno de control o equivalente del sujeto obligado quien, en su caso, deberá iniciar el procedimiento de responsabilidad administrativa que corresponda</w:t>
      </w:r>
      <w:r w:rsidRPr="009A201A">
        <w:rPr>
          <w:rFonts w:ascii="Palatino Linotype" w:eastAsia="Palatino Linotype" w:hAnsi="Palatino Linotype" w:cs="Palatino Linotype"/>
          <w:i/>
          <w:iCs/>
          <w:sz w:val="22"/>
          <w:szCs w:val="22"/>
        </w:rPr>
        <w:t>.</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La Unidad de Transparencia deberá notificarlo al solicitante por escrito, en un plazo que no exceda de quince días hábiles contados a partir del día siguiente a la presentación de la solicitud.</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i/>
          <w:iCs/>
          <w:sz w:val="22"/>
          <w:szCs w:val="22"/>
        </w:rPr>
        <w:t>Este plazo podrá ampliarse hasta por otros siete días hábiles, siempre que existan razones para ello, debiendo notificarse por escrito al solicitante.</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i/>
          <w:iCs/>
          <w:sz w:val="22"/>
          <w:szCs w:val="22"/>
        </w:rPr>
        <w:t>Artículo 170.</w:t>
      </w:r>
      <w:r w:rsidRPr="009A201A">
        <w:rPr>
          <w:rFonts w:ascii="Palatino Linotype" w:eastAsia="Palatino Linotype" w:hAnsi="Palatino Linotype" w:cs="Palatino Linotype"/>
          <w:i/>
          <w:iCs/>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En ese contexto, de conformidad con los </w:t>
      </w:r>
      <w:r w:rsidRPr="009A201A">
        <w:rPr>
          <w:rFonts w:ascii="Palatino Linotype" w:eastAsia="Palatino Linotype" w:hAnsi="Palatino Linotype" w:cs="Palatino Linotype"/>
          <w:b/>
          <w:bCs/>
          <w:sz w:val="22"/>
          <w:szCs w:val="22"/>
        </w:rPr>
        <w:t>criterios orientadores 12/10 y 04/19</w:t>
      </w:r>
      <w:r w:rsidRPr="009A201A">
        <w:rPr>
          <w:rFonts w:ascii="Palatino Linotype" w:eastAsia="Palatino Linotype" w:hAnsi="Palatino Linotype" w:cs="Palatino Linotype"/>
          <w:sz w:val="22"/>
          <w:szCs w:val="22"/>
        </w:rPr>
        <w:t>,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Motivación por las que se buscó la información, en determinadas unidades administrativas;</w:t>
      </w:r>
    </w:p>
    <w:p w:rsidR="000806B7" w:rsidRPr="009A201A" w:rsidRDefault="00133D0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Los criterios de búsqueda utilizados, y</w:t>
      </w:r>
    </w:p>
    <w:p w:rsidR="000806B7" w:rsidRPr="009A201A" w:rsidRDefault="00133D0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Las circunstancias que fueron tomadas en cuenta.</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De tales circunstancias, se considera que para que los Sujetos Obligados justifiquen que realizaron una búsqueda exhaustiva y razonable, deben indicar de manera clara, lo siguiente:</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sz w:val="22"/>
          <w:szCs w:val="22"/>
        </w:rPr>
        <w:t>Las áreas donde se buscó la información;</w:t>
      </w:r>
    </w:p>
    <w:p w:rsidR="000806B7" w:rsidRPr="009A201A" w:rsidRDefault="00133D0B">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sz w:val="22"/>
          <w:szCs w:val="22"/>
        </w:rPr>
        <w:t>Tipo de archivos buscados (físicos o electrónicos);</w:t>
      </w:r>
    </w:p>
    <w:p w:rsidR="000806B7" w:rsidRPr="009A201A" w:rsidRDefault="00133D0B">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sz w:val="22"/>
          <w:szCs w:val="22"/>
        </w:rPr>
        <w:t>Los criterios de búsqueda utilizados, y </w:t>
      </w:r>
    </w:p>
    <w:p w:rsidR="000806B7" w:rsidRPr="009A201A" w:rsidRDefault="00133D0B">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sz w:val="22"/>
          <w:szCs w:val="22"/>
        </w:rPr>
        <w:t>Las circunstancias que fueron tomadas en cuenta.</w:t>
      </w:r>
    </w:p>
    <w:p w:rsidR="000806B7" w:rsidRPr="009A201A" w:rsidRDefault="000806B7">
      <w:pPr>
        <w:spacing w:line="360" w:lineRule="auto"/>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Los elementos antes mencionados son los que debe acreditar el Sujeto Obligado mediante el acuerdo del Comité de Transparencia, a efecto de brindar total certeza al Recurrente, en el que deberá declarar formalmente la inexistencia de la información requerida a través de su Comité de Transparencia en términos de los artículos 19, 49, fracciones II y XIII, 169 y 170 de la Ley de Transparencia y Acceso a la Información Pública del Estado de México y Municipios.</w:t>
      </w: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sz w:val="22"/>
          <w:szCs w:val="22"/>
        </w:rPr>
        <w:t xml:space="preserve">Quinto. Versión Pública. </w:t>
      </w:r>
      <w:r w:rsidRPr="009A201A">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ind w:right="50"/>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rsidR="000806B7" w:rsidRPr="009A201A" w:rsidRDefault="000806B7">
      <w:pPr>
        <w:spacing w:line="360" w:lineRule="auto"/>
        <w:ind w:right="50"/>
        <w:jc w:val="both"/>
        <w:rPr>
          <w:rFonts w:ascii="Palatino Linotype" w:eastAsia="Palatino Linotype" w:hAnsi="Palatino Linotype" w:cs="Palatino Linotype"/>
          <w:sz w:val="22"/>
          <w:szCs w:val="22"/>
        </w:rPr>
      </w:pP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w:t>
      </w:r>
      <w:r w:rsidRPr="009A201A">
        <w:rPr>
          <w:rFonts w:ascii="Palatino Linotype" w:eastAsia="Palatino Linotype" w:hAnsi="Palatino Linotype" w:cs="Palatino Linotype"/>
          <w:b/>
          <w:bCs/>
          <w:i/>
          <w:iCs/>
          <w:sz w:val="22"/>
          <w:szCs w:val="22"/>
        </w:rPr>
        <w:t>Artículo 3.</w:t>
      </w:r>
      <w:r w:rsidRPr="009A201A">
        <w:rPr>
          <w:rFonts w:ascii="Palatino Linotype" w:eastAsia="Palatino Linotype" w:hAnsi="Palatino Linotype" w:cs="Palatino Linotype"/>
          <w:i/>
          <w:iCs/>
          <w:sz w:val="22"/>
          <w:szCs w:val="22"/>
        </w:rPr>
        <w:t xml:space="preserve"> Para los efectos de la presente Ley se entenderá por:</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IX. Datos personales: La información concerniente a una persona, identificada o identificable según lo dispuesto por la Ley de Protección de Datos Personales del Estado de México; </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XX. Información clasificada: Aquella considerada por la presente Ley como reservada o confidencial;</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XLV. Versión pública: Documento en el que se elimine, suprime o borra la información clasificada como reservada o confidencial para permitir su acceso.</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rPr>
        <w:t>Artículo 91.</w:t>
      </w:r>
      <w:r w:rsidRPr="009A201A">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rPr>
        <w:t>Artículo 132.</w:t>
      </w:r>
      <w:r w:rsidRPr="009A201A">
        <w:rPr>
          <w:rFonts w:ascii="Palatino Linotype" w:eastAsia="Palatino Linotype" w:hAnsi="Palatino Linotype" w:cs="Palatino Linotype"/>
          <w:i/>
          <w:iCs/>
          <w:sz w:val="22"/>
          <w:szCs w:val="22"/>
        </w:rPr>
        <w:t xml:space="preserve"> La clasificación de la información se llevará a cabo en el momento en que:</w:t>
      </w:r>
    </w:p>
    <w:p w:rsidR="000806B7" w:rsidRPr="009A201A" w:rsidRDefault="00133D0B">
      <w:pPr>
        <w:tabs>
          <w:tab w:val="left" w:pos="1134"/>
        </w:tabs>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I. Se reciba una solicitud de acceso a la información;</w:t>
      </w:r>
    </w:p>
    <w:p w:rsidR="000806B7" w:rsidRPr="009A201A" w:rsidRDefault="00133D0B">
      <w:pPr>
        <w:tabs>
          <w:tab w:val="left" w:pos="1134"/>
        </w:tabs>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II. Se determine mediante resolución de autoridad competente; o</w:t>
      </w:r>
    </w:p>
    <w:p w:rsidR="000806B7" w:rsidRPr="009A201A" w:rsidRDefault="00133D0B">
      <w:pPr>
        <w:tabs>
          <w:tab w:val="left" w:pos="1134"/>
        </w:tabs>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III. Se generen versiones públicas para dar cumplimiento a las obligaciones de transparencia previstas en esta Ley.</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rPr>
        <w:t>Artículo 143</w:t>
      </w:r>
      <w:r w:rsidRPr="009A201A">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III. La que presenten los particulares a los sujetos obligados, de conformidad con lo dispuesto por las leyes o los tratados internacionales.</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rsidR="000806B7" w:rsidRPr="009A201A" w:rsidRDefault="000806B7">
      <w:pPr>
        <w:ind w:left="567" w:right="616"/>
        <w:jc w:val="both"/>
        <w:rPr>
          <w:rFonts w:ascii="Palatino Linotype" w:eastAsia="Palatino Linotype" w:hAnsi="Palatino Linotype" w:cs="Palatino Linotype"/>
          <w:i/>
          <w:iCs/>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after="240" w:line="360" w:lineRule="auto"/>
        <w:jc w:val="both"/>
        <w:rPr>
          <w:rFonts w:ascii="Palatino Linotype" w:eastAsia="Palatino Linotype" w:hAnsi="Palatino Linotype" w:cs="Palatino Linotype"/>
          <w:b/>
          <w:bCs/>
          <w:sz w:val="22"/>
          <w:szCs w:val="22"/>
        </w:rPr>
      </w:pPr>
      <w:bookmarkStart w:id="3" w:name="_heading=h.oqpwhlxscj1l" w:colFirst="0" w:colLast="0"/>
      <w:bookmarkEnd w:id="3"/>
      <w:r w:rsidRPr="009A201A">
        <w:rPr>
          <w:rFonts w:ascii="Palatino Linotype" w:eastAsia="Palatino Linotype" w:hAnsi="Palatino Linotype" w:cs="Palatino Linotype"/>
          <w:b/>
          <w:bCs/>
          <w:sz w:val="22"/>
          <w:szCs w:val="22"/>
        </w:rPr>
        <w:t xml:space="preserve">I. Registro Federal de Contribuyentes (RFC) </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0806B7" w:rsidRPr="009A201A" w:rsidRDefault="000806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0806B7" w:rsidRPr="009A201A" w:rsidRDefault="000806B7">
      <w:pPr>
        <w:pBdr>
          <w:top w:val="nil"/>
          <w:left w:val="nil"/>
          <w:bottom w:val="nil"/>
          <w:right w:val="nil"/>
          <w:between w:val="nil"/>
        </w:pBdr>
        <w:spacing w:line="360" w:lineRule="auto"/>
        <w:ind w:left="720"/>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0806B7" w:rsidRPr="009A201A" w:rsidRDefault="000806B7">
      <w:pPr>
        <w:pBdr>
          <w:top w:val="nil"/>
          <w:left w:val="nil"/>
          <w:bottom w:val="nil"/>
          <w:right w:val="nil"/>
          <w:between w:val="nil"/>
        </w:pBdr>
        <w:spacing w:line="360" w:lineRule="auto"/>
        <w:ind w:left="720"/>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rsidR="000806B7" w:rsidRPr="009A201A" w:rsidRDefault="000806B7">
      <w:pPr>
        <w:pBdr>
          <w:top w:val="nil"/>
          <w:left w:val="nil"/>
          <w:bottom w:val="nil"/>
          <w:right w:val="nil"/>
          <w:between w:val="nil"/>
        </w:pBdr>
        <w:spacing w:line="360" w:lineRule="auto"/>
        <w:ind w:left="720"/>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Lo anterior, resulta congruente con el Criterio 19/17 emitido por el Instituto Nacional de Transparencia, Acceso a la Información y Protección de Datos Personales, en el cual se señala lo siguiente:</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ind w:left="567"/>
        <w:jc w:val="both"/>
        <w:rPr>
          <w:rFonts w:ascii="Palatino Linotype" w:eastAsia="Palatino Linotype" w:hAnsi="Palatino Linotype" w:cs="Palatino Linotype"/>
          <w:b/>
          <w:bCs/>
          <w:i/>
          <w:iCs/>
          <w:sz w:val="22"/>
          <w:szCs w:val="22"/>
        </w:rPr>
      </w:pPr>
      <w:r w:rsidRPr="009A201A">
        <w:rPr>
          <w:rFonts w:ascii="Palatino Linotype" w:eastAsia="Palatino Linotype" w:hAnsi="Palatino Linotype" w:cs="Palatino Linotype"/>
          <w:b/>
          <w:bCs/>
          <w:i/>
          <w:iCs/>
          <w:sz w:val="22"/>
          <w:szCs w:val="22"/>
        </w:rPr>
        <w:t xml:space="preserve">Registro Federal de Contribuyentes (RFC) de personas físicas. </w:t>
      </w:r>
    </w:p>
    <w:p w:rsidR="000806B7" w:rsidRPr="009A201A" w:rsidRDefault="00133D0B">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El RFC es una clave de carácter fiscal, única e irrepetible, que permite identificar al titular, su edad y fecha de nacimiento, por lo que es un dato personal de carácter confidencial.</w:t>
      </w:r>
    </w:p>
    <w:p w:rsidR="000806B7" w:rsidRPr="009A201A" w:rsidRDefault="000806B7">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sz w:val="22"/>
          <w:szCs w:val="22"/>
        </w:rPr>
        <w:t>De tal suerte, el Registro Federal de Contribuyentes de las personas físicas no guarda relación con la transparencia de los recursos públicos</w:t>
      </w:r>
      <w:r w:rsidRPr="009A201A">
        <w:rPr>
          <w:rFonts w:ascii="Palatino Linotype" w:eastAsia="Palatino Linotype" w:hAnsi="Palatino Linotype" w:cs="Palatino Linotype"/>
          <w:sz w:val="22"/>
          <w:szCs w:val="22"/>
        </w:rPr>
        <w:t>, así como tampoco con el desempeño laboral que pueda tener una persona, por lo que debe ser clasificado como confidencial. En términos del artículo 143, fracción I de la Ley de Transparencia y Acceso a la Información Pública del Estado de México y Municipios.</w:t>
      </w:r>
    </w:p>
    <w:p w:rsidR="000806B7" w:rsidRPr="009A201A" w:rsidRDefault="00133D0B">
      <w:pPr>
        <w:numPr>
          <w:ilvl w:val="0"/>
          <w:numId w:val="15"/>
        </w:numPr>
        <w:pBdr>
          <w:top w:val="nil"/>
          <w:left w:val="nil"/>
          <w:bottom w:val="nil"/>
          <w:right w:val="nil"/>
          <w:between w:val="nil"/>
        </w:pBdr>
        <w:spacing w:line="360" w:lineRule="auto"/>
        <w:ind w:left="709" w:hanging="371"/>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b/>
          <w:bCs/>
          <w:sz w:val="22"/>
          <w:szCs w:val="22"/>
        </w:rPr>
        <w:t>Clave Única de Registro de Población (CURP)</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En ese orden de ideas, la Secretaría de Gobernación en las direcciones </w:t>
      </w:r>
      <w:hyperlink r:id="rId11">
        <w:r w:rsidRPr="009A201A">
          <w:rPr>
            <w:rFonts w:ascii="Palatino Linotype" w:eastAsia="Palatino Linotype" w:hAnsi="Palatino Linotype" w:cs="Palatino Linotype"/>
            <w:sz w:val="22"/>
            <w:szCs w:val="22"/>
            <w:u w:val="single"/>
          </w:rPr>
          <w:t>https://consultas.curp.gob.mx/CurpSP/html/informacionecurpPS.html</w:t>
        </w:r>
      </w:hyperlink>
      <w:r w:rsidRPr="009A201A">
        <w:rPr>
          <w:rFonts w:ascii="Palatino Linotype" w:eastAsia="Palatino Linotype" w:hAnsi="Palatino Linotype" w:cs="Palatino Linotype"/>
          <w:sz w:val="22"/>
          <w:szCs w:val="22"/>
        </w:rPr>
        <w:t xml:space="preserve"> y </w:t>
      </w:r>
      <w:hyperlink r:id="rId12">
        <w:r w:rsidRPr="009A201A">
          <w:rPr>
            <w:rFonts w:ascii="Palatino Linotype" w:eastAsia="Palatino Linotype" w:hAnsi="Palatino Linotype" w:cs="Palatino Linotype"/>
            <w:sz w:val="22"/>
            <w:szCs w:val="22"/>
            <w:u w:val="single"/>
          </w:rPr>
          <w:t>https://www.gob.mx/segob/renapo/acciones-y-programas/clave-unica-de-registro-de-poblacion-curp-142226</w:t>
        </w:r>
      </w:hyperlink>
      <w:r w:rsidRPr="009A201A">
        <w:rPr>
          <w:rFonts w:ascii="Palatino Linotype" w:eastAsia="Palatino Linotype" w:hAnsi="Palatino Linotype" w:cs="Palatino Linotype"/>
          <w:sz w:val="22"/>
          <w:szCs w:val="22"/>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9A201A">
        <w:rPr>
          <w:rFonts w:ascii="Palatino Linotype" w:eastAsia="Palatino Linotype" w:hAnsi="Palatino Linotype" w:cs="Palatino Linotype"/>
          <w:b/>
          <w:bCs/>
          <w:sz w:val="22"/>
          <w:szCs w:val="22"/>
        </w:rPr>
        <w:t>se generan a partir de los datos contenidos en el documento probatorio de la identidad</w:t>
      </w:r>
      <w:r w:rsidRPr="009A201A">
        <w:rPr>
          <w:rFonts w:ascii="Palatino Linotype" w:eastAsia="Palatino Linotype" w:hAnsi="Palatino Linotype" w:cs="Palatino Linotype"/>
          <w:sz w:val="22"/>
          <w:szCs w:val="22"/>
        </w:rPr>
        <w:t xml:space="preserve"> </w:t>
      </w:r>
      <w:r w:rsidRPr="009A201A">
        <w:rPr>
          <w:rFonts w:ascii="Palatino Linotype" w:eastAsia="Palatino Linotype" w:hAnsi="Palatino Linotype" w:cs="Palatino Linotype"/>
          <w:b/>
          <w:bCs/>
          <w:sz w:val="22"/>
          <w:szCs w:val="22"/>
        </w:rPr>
        <w:t xml:space="preserve">del interesado </w:t>
      </w:r>
      <w:r w:rsidRPr="009A201A">
        <w:rPr>
          <w:rFonts w:ascii="Palatino Linotype" w:eastAsia="Palatino Linotype" w:hAnsi="Palatino Linotype" w:cs="Palatino Linotype"/>
          <w:sz w:val="22"/>
          <w:szCs w:val="22"/>
        </w:rPr>
        <w:t>(acta de nacimiento, carta de naturalización o documento migratorio) de la siguiente forma:</w:t>
      </w:r>
    </w:p>
    <w:p w:rsidR="000806B7" w:rsidRPr="009A201A" w:rsidRDefault="000806B7">
      <w:pPr>
        <w:spacing w:line="360" w:lineRule="auto"/>
        <w:ind w:left="567"/>
        <w:jc w:val="both"/>
        <w:rPr>
          <w:rFonts w:ascii="Palatino Linotype" w:eastAsia="Palatino Linotype" w:hAnsi="Palatino Linotype" w:cs="Palatino Linotype"/>
          <w:sz w:val="22"/>
          <w:szCs w:val="22"/>
        </w:rPr>
      </w:pPr>
    </w:p>
    <w:p w:rsidR="000806B7" w:rsidRPr="009A201A" w:rsidRDefault="00133D0B">
      <w:pPr>
        <w:numPr>
          <w:ilvl w:val="0"/>
          <w:numId w:val="14"/>
        </w:numPr>
        <w:spacing w:line="360" w:lineRule="auto"/>
        <w:ind w:lef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El primero y segundo apellidos, así como al nombre de pila;</w:t>
      </w:r>
    </w:p>
    <w:p w:rsidR="000806B7" w:rsidRPr="009A201A" w:rsidRDefault="00133D0B">
      <w:pPr>
        <w:numPr>
          <w:ilvl w:val="0"/>
          <w:numId w:val="14"/>
        </w:numPr>
        <w:spacing w:line="360" w:lineRule="auto"/>
        <w:ind w:lef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La fecha de nacimiento;</w:t>
      </w:r>
    </w:p>
    <w:p w:rsidR="000806B7" w:rsidRPr="009A201A" w:rsidRDefault="00133D0B">
      <w:pPr>
        <w:numPr>
          <w:ilvl w:val="0"/>
          <w:numId w:val="14"/>
        </w:numPr>
        <w:spacing w:line="360" w:lineRule="auto"/>
        <w:ind w:lef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El sexo, y</w:t>
      </w:r>
    </w:p>
    <w:p w:rsidR="000806B7" w:rsidRPr="009A201A" w:rsidRDefault="00133D0B">
      <w:pPr>
        <w:numPr>
          <w:ilvl w:val="0"/>
          <w:numId w:val="14"/>
        </w:numPr>
        <w:spacing w:line="360" w:lineRule="auto"/>
        <w:ind w:left="567"/>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La entidad federativa de nacimiento.</w:t>
      </w:r>
    </w:p>
    <w:p w:rsidR="000806B7" w:rsidRPr="009A201A" w:rsidRDefault="000806B7">
      <w:pPr>
        <w:spacing w:line="360" w:lineRule="auto"/>
        <w:ind w:left="567"/>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Los dos últimos elementos de la Clave Única de Registro de Población evitan la duplicidad de la Clave y garantizan su correcta integración.</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rsidR="000806B7" w:rsidRPr="009A201A" w:rsidRDefault="000806B7">
      <w:pPr>
        <w:spacing w:line="360" w:lineRule="auto"/>
        <w:ind w:left="567"/>
        <w:jc w:val="both"/>
        <w:rPr>
          <w:rFonts w:ascii="Palatino Linotype" w:eastAsia="Palatino Linotype" w:hAnsi="Palatino Linotype" w:cs="Palatino Linotype"/>
          <w:sz w:val="22"/>
          <w:szCs w:val="22"/>
        </w:rPr>
      </w:pPr>
    </w:p>
    <w:p w:rsidR="000806B7" w:rsidRPr="009A201A" w:rsidRDefault="00133D0B">
      <w:pPr>
        <w:ind w:left="851" w:right="567"/>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rPr>
        <w:t xml:space="preserve">“Clave Única de Registro de Población (CURP). </w:t>
      </w:r>
      <w:r w:rsidRPr="009A201A">
        <w:rPr>
          <w:rFonts w:ascii="Palatino Linotype" w:eastAsia="Palatino Linotype" w:hAnsi="Palatino Linotype" w:cs="Palatino Linotype"/>
          <w:i/>
          <w:iCs/>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0806B7" w:rsidRPr="009A201A" w:rsidRDefault="000806B7">
      <w:pPr>
        <w:spacing w:line="360" w:lineRule="auto"/>
        <w:ind w:left="567"/>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rsidR="000806B7" w:rsidRPr="009A201A" w:rsidRDefault="00133D0B">
      <w:pPr>
        <w:pStyle w:val="Ttulo3"/>
        <w:rPr>
          <w:rFonts w:ascii="Palatino Linotype" w:eastAsia="Palatino Linotype" w:hAnsi="Palatino Linotype" w:cs="Palatino Linotype"/>
          <w:sz w:val="22"/>
          <w:szCs w:val="22"/>
        </w:rPr>
      </w:pPr>
      <w:bookmarkStart w:id="4" w:name="_heading=h.8bsqjao1cn62" w:colFirst="0" w:colLast="0"/>
      <w:bookmarkEnd w:id="4"/>
      <w:r w:rsidRPr="009A201A">
        <w:rPr>
          <w:rFonts w:ascii="Palatino Linotype" w:eastAsia="Palatino Linotype" w:hAnsi="Palatino Linotype" w:cs="Palatino Linotype"/>
          <w:sz w:val="22"/>
          <w:szCs w:val="22"/>
        </w:rPr>
        <w:t>III. Deducciones.</w:t>
      </w:r>
    </w:p>
    <w:p w:rsidR="000806B7" w:rsidRPr="009A201A" w:rsidRDefault="000806B7">
      <w:pPr>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Es necesario precisar que existen deducciones que se generan con motivo de una decisión libre y voluntaria de los servidores públicos, como son: </w:t>
      </w:r>
      <w:r w:rsidRPr="009A201A">
        <w:rPr>
          <w:rFonts w:ascii="Palatino Linotype" w:eastAsia="Palatino Linotype" w:hAnsi="Palatino Linotype" w:cs="Palatino Linotype"/>
          <w:b/>
          <w:bCs/>
          <w:sz w:val="22"/>
          <w:szCs w:val="22"/>
        </w:rPr>
        <w:t xml:space="preserve">créditos personales, pensiones alimenticias, </w:t>
      </w:r>
      <w:r w:rsidRPr="009A201A">
        <w:rPr>
          <w:rFonts w:ascii="Palatino Linotype" w:eastAsia="Palatino Linotype" w:hAnsi="Palatino Linotype" w:cs="Palatino Linotype"/>
          <w:b/>
          <w:bCs/>
          <w:sz w:val="22"/>
          <w:szCs w:val="22"/>
          <w:u w:val="single"/>
        </w:rPr>
        <w:t>cuotas sindicales y fondo de resistencia del Sindicato Único de Trabajadores de los Poderes, Municipios e Institución Descentralizadas del Estado de México, seguro de vida, accidentes y enfermedades.</w:t>
      </w:r>
    </w:p>
    <w:p w:rsidR="000806B7" w:rsidRPr="009A201A" w:rsidRDefault="000806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Asimismo, hay otras que se generan con motivo de una sentencia judicial, como es la pensión alimenticia que periódicamente se retira de la cuenta de un empleado, a efecto de que sea entregado a un tercero.  </w:t>
      </w:r>
    </w:p>
    <w:p w:rsidR="000806B7" w:rsidRPr="009A201A" w:rsidRDefault="000806B7">
      <w:pPr>
        <w:pBdr>
          <w:top w:val="nil"/>
          <w:left w:val="nil"/>
          <w:bottom w:val="nil"/>
          <w:right w:val="nil"/>
          <w:between w:val="nil"/>
        </w:pBdr>
        <w:ind w:left="720"/>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rsidR="000806B7" w:rsidRPr="009A201A" w:rsidRDefault="000806B7">
      <w:pPr>
        <w:pBdr>
          <w:top w:val="nil"/>
          <w:left w:val="nil"/>
          <w:bottom w:val="nil"/>
          <w:right w:val="nil"/>
          <w:between w:val="nil"/>
        </w:pBdr>
        <w:ind w:left="720"/>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Así, dichas deducciones reflejan el destino que un servidor público da a su patrimonio, lo que se aleja de la transparencia y rendición de cuentas. Siendo información confidencial.</w:t>
      </w:r>
    </w:p>
    <w:p w:rsidR="000806B7" w:rsidRPr="009A201A" w:rsidRDefault="000806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ind w:left="360"/>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b/>
          <w:bCs/>
          <w:sz w:val="22"/>
          <w:szCs w:val="22"/>
        </w:rPr>
        <w:t>IV. Código bidimensional o Qr</w:t>
      </w:r>
    </w:p>
    <w:p w:rsidR="000806B7" w:rsidRPr="009A201A" w:rsidRDefault="000806B7">
      <w:pPr>
        <w:spacing w:line="360" w:lineRule="auto"/>
        <w:ind w:left="567"/>
        <w:jc w:val="both"/>
        <w:rPr>
          <w:rFonts w:ascii="Palatino Linotype" w:eastAsia="Palatino Linotype" w:hAnsi="Palatino Linotype" w:cs="Palatino Linotype"/>
          <w:b/>
          <w:bCs/>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En principio, resulta necesario señalar que los comprobantes fiscales digitales por Internet, deben de incluir un código bidimensional conforme al formato </w:t>
      </w:r>
      <w:r w:rsidRPr="009A201A">
        <w:rPr>
          <w:rFonts w:ascii="Palatino Linotype" w:eastAsia="Palatino Linotype" w:hAnsi="Palatino Linotype" w:cs="Palatino Linotype"/>
          <w:i/>
          <w:iCs/>
          <w:sz w:val="22"/>
          <w:szCs w:val="22"/>
        </w:rPr>
        <w:t>QR Code (Quick Response Code)</w:t>
      </w:r>
      <w:r w:rsidRPr="009A201A">
        <w:rPr>
          <w:rFonts w:ascii="Palatino Linotype" w:eastAsia="Palatino Linotype" w:hAnsi="Palatino Linotype" w:cs="Palatino Linotype"/>
          <w:sz w:val="22"/>
          <w:szCs w:val="22"/>
        </w:rPr>
        <w:t>, el cual contiene el Registro Federal de Contribuyentes del receptor, del emisor, o de ambos; lo anterior, conforme al Anexo 20 de la Segunda Resolución de modificación a la Resolución Miscelánea Fiscal. Incluso con la captura de dicho código, a través de la aplicación móvil del Servicio de Administración Tributaria, permite el acceso al Registro Federal de Contribuyentes, como del Sujeto Obligado, como de los servidores públicos.</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numPr>
          <w:ilvl w:val="0"/>
          <w:numId w:val="16"/>
        </w:numPr>
        <w:pBdr>
          <w:top w:val="nil"/>
          <w:left w:val="nil"/>
          <w:bottom w:val="nil"/>
          <w:right w:val="nil"/>
          <w:between w:val="nil"/>
        </w:pBdr>
        <w:spacing w:line="360" w:lineRule="auto"/>
        <w:ind w:left="567" w:hanging="425"/>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b/>
          <w:bCs/>
          <w:sz w:val="22"/>
          <w:szCs w:val="22"/>
        </w:rPr>
        <w:t>Número de seguridad social del Instituto de Seguridad Social del Estado de México y Municipios</w:t>
      </w:r>
    </w:p>
    <w:p w:rsidR="000806B7" w:rsidRPr="009A201A" w:rsidRDefault="000806B7">
      <w:pPr>
        <w:spacing w:line="360" w:lineRule="auto"/>
        <w:ind w:left="567"/>
        <w:jc w:val="both"/>
        <w:rPr>
          <w:rFonts w:ascii="Palatino Linotype" w:eastAsia="Palatino Linotype" w:hAnsi="Palatino Linotype" w:cs="Palatino Linotype"/>
          <w:b/>
          <w:bCs/>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after="240"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rsidR="000806B7" w:rsidRPr="009A201A" w:rsidRDefault="00133D0B">
      <w:pPr>
        <w:numPr>
          <w:ilvl w:val="0"/>
          <w:numId w:val="16"/>
        </w:numPr>
        <w:pBdr>
          <w:top w:val="nil"/>
          <w:left w:val="nil"/>
          <w:bottom w:val="nil"/>
          <w:right w:val="nil"/>
          <w:between w:val="nil"/>
        </w:pBdr>
        <w:spacing w:after="240" w:line="360" w:lineRule="auto"/>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b/>
          <w:bCs/>
          <w:sz w:val="22"/>
          <w:szCs w:val="22"/>
        </w:rPr>
        <w:t>Cuenta bancaria de particulares.</w:t>
      </w: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Respecto de los </w:t>
      </w:r>
      <w:r w:rsidRPr="009A201A">
        <w:rPr>
          <w:rFonts w:ascii="Palatino Linotype" w:eastAsia="Palatino Linotype" w:hAnsi="Palatino Linotype" w:cs="Palatino Linotype"/>
          <w:b/>
          <w:bCs/>
          <w:sz w:val="22"/>
          <w:szCs w:val="22"/>
        </w:rPr>
        <w:t>números de cuentas bancari</w:t>
      </w:r>
      <w:r w:rsidRPr="009A201A">
        <w:rPr>
          <w:rFonts w:ascii="Palatino Linotype" w:eastAsia="Palatino Linotype" w:hAnsi="Palatino Linotype" w:cs="Palatino Linotype"/>
          <w:sz w:val="22"/>
          <w:szCs w:val="22"/>
        </w:rPr>
        <w:t xml:space="preserve">as, </w:t>
      </w:r>
      <w:r w:rsidRPr="009A201A">
        <w:rPr>
          <w:rFonts w:ascii="Palatino Linotype" w:eastAsia="Palatino Linotype" w:hAnsi="Palatino Linotype" w:cs="Palatino Linotype"/>
          <w:b/>
          <w:bCs/>
          <w:sz w:val="22"/>
          <w:szCs w:val="22"/>
        </w:rPr>
        <w:t>claves estandarizadas –interbancarias- (CLABES) y de tarjetas</w:t>
      </w:r>
      <w:r w:rsidRPr="009A201A">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rsidR="000806B7" w:rsidRPr="009A201A" w:rsidRDefault="000806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Lo argumentado encuentra sustento en los Criterios orientadores con Clave de control SO/010/2017, emitidos por el entonces Instituto Nacional de Transparencia, Acceso a la Información y Protección de Datos Personales, que llevan por rubro y texto los siguientes:</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ind w:left="851"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w:t>
      </w:r>
      <w:r w:rsidRPr="009A201A">
        <w:rPr>
          <w:rFonts w:ascii="Palatino Linotype" w:eastAsia="Palatino Linotype" w:hAnsi="Palatino Linotype" w:cs="Palatino Linotype"/>
          <w:b/>
          <w:bCs/>
          <w:i/>
          <w:iCs/>
          <w:sz w:val="22"/>
          <w:szCs w:val="22"/>
        </w:rPr>
        <w:t>Cuentas bancarias y/o CLABE interbancaria de personas físicas y morales privadas.</w:t>
      </w:r>
      <w:r w:rsidRPr="009A201A">
        <w:rPr>
          <w:rFonts w:ascii="Palatino Linotype" w:eastAsia="Palatino Linotype" w:hAnsi="Palatino Linotype" w:cs="Palatino Linotype"/>
          <w:i/>
          <w:iCs/>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806B7" w:rsidRPr="009A201A" w:rsidRDefault="000806B7">
      <w:pPr>
        <w:spacing w:after="240" w:line="360" w:lineRule="auto"/>
        <w:jc w:val="both"/>
        <w:rPr>
          <w:rFonts w:ascii="Palatino Linotype" w:eastAsia="Palatino Linotype" w:hAnsi="Palatino Linotype" w:cs="Palatino Linotype"/>
          <w:sz w:val="22"/>
          <w:szCs w:val="22"/>
        </w:rPr>
      </w:pPr>
    </w:p>
    <w:p w:rsidR="000806B7" w:rsidRPr="009A201A" w:rsidRDefault="00133D0B">
      <w:pPr>
        <w:widowControl w:val="0"/>
        <w:numPr>
          <w:ilvl w:val="0"/>
          <w:numId w:val="16"/>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b/>
          <w:bCs/>
          <w:sz w:val="22"/>
          <w:szCs w:val="22"/>
        </w:rPr>
        <w:t>Número del trabajador.</w:t>
      </w: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Con relación al </w:t>
      </w:r>
      <w:r w:rsidRPr="009A201A">
        <w:rPr>
          <w:rFonts w:ascii="Palatino Linotype" w:eastAsia="Palatino Linotype" w:hAnsi="Palatino Linotype" w:cs="Palatino Linotype"/>
          <w:b/>
          <w:bCs/>
          <w:sz w:val="22"/>
          <w:szCs w:val="22"/>
        </w:rPr>
        <w:t>número de empleado</w:t>
      </w:r>
      <w:r w:rsidRPr="009A201A">
        <w:rPr>
          <w:rFonts w:ascii="Palatino Linotype" w:eastAsia="Palatino Linotype" w:hAnsi="Palatino Linotype" w:cs="Palatino Linotype"/>
          <w:sz w:val="22"/>
          <w:szCs w:val="22"/>
        </w:rPr>
        <w:t xml:space="preserve"> </w:t>
      </w:r>
      <w:r w:rsidRPr="009A201A">
        <w:rPr>
          <w:rFonts w:ascii="Palatino Linotype" w:eastAsia="Palatino Linotype" w:hAnsi="Palatino Linotype" w:cs="Palatino Linotype"/>
          <w:b/>
          <w:bCs/>
          <w:sz w:val="22"/>
          <w:szCs w:val="22"/>
        </w:rPr>
        <w:t>o trabajador</w:t>
      </w:r>
      <w:r w:rsidRPr="009A201A">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rsidR="000806B7" w:rsidRPr="009A201A" w:rsidRDefault="000806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INAI  se ha pronunciado sobre su publicidad, a través del criterio 06/19, que indica lo siguiente:</w:t>
      </w:r>
    </w:p>
    <w:p w:rsidR="000806B7" w:rsidRPr="009A201A" w:rsidRDefault="000806B7">
      <w:pPr>
        <w:pBdr>
          <w:top w:val="nil"/>
          <w:left w:val="nil"/>
          <w:bottom w:val="nil"/>
          <w:right w:val="nil"/>
          <w:between w:val="nil"/>
        </w:pBdr>
        <w:spacing w:line="276" w:lineRule="auto"/>
        <w:ind w:left="993" w:right="992"/>
        <w:jc w:val="both"/>
        <w:rPr>
          <w:rFonts w:ascii="Palatino Linotype" w:eastAsia="Palatino Linotype" w:hAnsi="Palatino Linotype" w:cs="Palatino Linotype"/>
          <w:b/>
          <w:bCs/>
          <w:i/>
          <w:iCs/>
          <w:sz w:val="22"/>
          <w:szCs w:val="22"/>
        </w:rPr>
      </w:pPr>
    </w:p>
    <w:p w:rsidR="000806B7" w:rsidRPr="009A201A" w:rsidRDefault="00133D0B">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rPr>
        <w:t xml:space="preserve">“Número de empleado. </w:t>
      </w:r>
      <w:r w:rsidRPr="009A201A">
        <w:rPr>
          <w:rFonts w:ascii="Palatino Linotype" w:eastAsia="Palatino Linotype" w:hAnsi="Palatino Linotype" w:cs="Palatino Linotype"/>
          <w:i/>
          <w:iCs/>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0806B7" w:rsidRPr="009A201A" w:rsidRDefault="000806B7">
      <w:pPr>
        <w:pBdr>
          <w:top w:val="nil"/>
          <w:left w:val="nil"/>
          <w:bottom w:val="nil"/>
          <w:right w:val="nil"/>
          <w:between w:val="nil"/>
        </w:pBdr>
        <w:ind w:left="993" w:right="992"/>
        <w:jc w:val="both"/>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w:t>
      </w:r>
    </w:p>
    <w:p w:rsidR="000806B7" w:rsidRPr="009A201A" w:rsidRDefault="000806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El Sujeto Obligado, sobre este punto refirió que de acuerdo al criterio 06/09 del entonces INAI, se procede a la clasificación del dato personal, ya que dicho criterio establece que, cuando los números de empleado o equivalente se integren de datos personales o funcionen como una clave de acceso que no requiere adicionalmente una contraseña para ingresar a sistemas o bases de datos, será considerada información confidencial. Por lo tanto se comparte que dicha información sea de carácter confidencial.</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 “</w:t>
      </w:r>
      <w:r w:rsidRPr="009A201A">
        <w:rPr>
          <w:rFonts w:ascii="Palatino Linotype" w:eastAsia="Palatino Linotype" w:hAnsi="Palatino Linotype" w:cs="Palatino Linotype"/>
          <w:b/>
          <w:bCs/>
          <w:i/>
          <w:iCs/>
          <w:sz w:val="22"/>
          <w:szCs w:val="22"/>
        </w:rPr>
        <w:t>Quincuagésimo</w:t>
      </w:r>
      <w:r w:rsidRPr="009A201A">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806B7" w:rsidRPr="009A201A" w:rsidRDefault="00133D0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rPr>
        <w:t>Quincuagésimo primero.</w:t>
      </w:r>
      <w:r w:rsidRPr="009A201A">
        <w:rPr>
          <w:rFonts w:ascii="Palatino Linotype" w:eastAsia="Palatino Linotype" w:hAnsi="Palatino Linotype" w:cs="Palatino Linotype"/>
          <w:i/>
          <w:iCs/>
          <w:sz w:val="22"/>
          <w:szCs w:val="22"/>
        </w:rPr>
        <w:t xml:space="preserve"> Toda acta del Comité de Transparencia deberá contener: </w:t>
      </w:r>
    </w:p>
    <w:p w:rsidR="000806B7" w:rsidRPr="009A201A" w:rsidRDefault="00133D0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I. El número de sesión y fecha; </w:t>
      </w:r>
    </w:p>
    <w:p w:rsidR="000806B7" w:rsidRPr="009A201A" w:rsidRDefault="00133D0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II. El nombre del área que solicitó la clasificación de información; </w:t>
      </w:r>
    </w:p>
    <w:p w:rsidR="000806B7" w:rsidRPr="009A201A" w:rsidRDefault="00133D0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III. La fundamentación legal y motivación correspondiente; </w:t>
      </w:r>
    </w:p>
    <w:p w:rsidR="000806B7" w:rsidRPr="009A201A" w:rsidRDefault="00133D0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IV. La resolución o resoluciones aprobadas; y </w:t>
      </w:r>
    </w:p>
    <w:p w:rsidR="000806B7" w:rsidRPr="009A201A" w:rsidRDefault="00133D0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V. La rúbrica o firma digital de cada integrante del Comité de Transparencia. </w:t>
      </w:r>
    </w:p>
    <w:p w:rsidR="000806B7" w:rsidRPr="009A201A" w:rsidRDefault="00133D0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rsidR="000806B7" w:rsidRPr="009A201A" w:rsidRDefault="00133D0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I. Los motivos y razonamientos que sustenten la confirmación o modificación de la prueba de daño;</w:t>
      </w:r>
    </w:p>
    <w:p w:rsidR="000806B7" w:rsidRPr="009A201A" w:rsidRDefault="00133D0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II. Descripción de las partes o secciones reservadas, en caso de clasificación parcial; </w:t>
      </w:r>
    </w:p>
    <w:p w:rsidR="000806B7" w:rsidRPr="009A201A" w:rsidRDefault="00133D0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III. El periodo por el que mantendrá su clasificación y fecha de expiración; y </w:t>
      </w:r>
    </w:p>
    <w:p w:rsidR="000806B7" w:rsidRPr="009A201A" w:rsidRDefault="00133D0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rsidR="000806B7" w:rsidRPr="009A201A" w:rsidRDefault="00133D0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rsidR="000806B7" w:rsidRPr="009A201A" w:rsidRDefault="00133D0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rPr>
        <w:t>Quincuagésimo segundo.</w:t>
      </w:r>
      <w:r w:rsidRPr="009A201A">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III. Señalar las personas o instancias autorizadas a acceder a la información clasificada.</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rsidR="000806B7" w:rsidRPr="009A201A" w:rsidRDefault="000806B7">
      <w:pPr>
        <w:spacing w:line="360" w:lineRule="auto"/>
        <w:jc w:val="both"/>
        <w:rPr>
          <w:rFonts w:ascii="Palatino Linotype" w:eastAsia="Palatino Linotype" w:hAnsi="Palatino Linotype" w:cs="Palatino Linotype"/>
          <w:sz w:val="22"/>
          <w:szCs w:val="22"/>
        </w:rPr>
      </w:pPr>
    </w:p>
    <w:p w:rsidR="000806B7" w:rsidRPr="009A201A" w:rsidRDefault="00133D0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w:t>
      </w:r>
      <w:r w:rsidRPr="009A201A">
        <w:rPr>
          <w:rFonts w:ascii="Palatino Linotype" w:eastAsia="Palatino Linotype" w:hAnsi="Palatino Linotype" w:cs="Palatino Linotype"/>
          <w:b/>
          <w:bCs/>
          <w:i/>
          <w:iCs/>
          <w:sz w:val="22"/>
          <w:szCs w:val="22"/>
        </w:rPr>
        <w:t>Quincuagésimo cuarto.</w:t>
      </w:r>
      <w:r w:rsidRPr="009A201A">
        <w:rPr>
          <w:rFonts w:ascii="Palatino Linotype" w:eastAsia="Palatino Linotype" w:hAnsi="Palatino Linotype" w:cs="Palatino Linotype"/>
          <w:i/>
          <w:iCs/>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rPr>
        <w:t>Quincuagésimo quinto.</w:t>
      </w:r>
      <w:r w:rsidRPr="009A201A">
        <w:rPr>
          <w:rFonts w:ascii="Palatino Linotype" w:eastAsia="Palatino Linotype" w:hAnsi="Palatino Linotype" w:cs="Palatino Linotype"/>
          <w:i/>
          <w:iCs/>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b/>
          <w:bCs/>
          <w:i/>
          <w:iCs/>
          <w:sz w:val="22"/>
          <w:szCs w:val="22"/>
        </w:rPr>
        <w:t>Quincuagésimo séptimo.</w:t>
      </w:r>
      <w:r w:rsidRPr="009A201A">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I. La relativa a las Obligaciones de Transparencia que contempla el Título V de la Ley General y las demás disposiciones legales aplicables; </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II. El nombre de los integrantes de los sujetos obligados en los documentos, y sus firmas autógrafas o digitales, cuando sean utilizados en el ejercicio de las facultades conferidas para el desempeño del servicio público, y</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rsidR="000806B7" w:rsidRPr="009A201A" w:rsidRDefault="00133D0B">
      <w:pPr>
        <w:ind w:left="567" w:right="616"/>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rsidR="000806B7" w:rsidRPr="009A201A" w:rsidRDefault="000806B7">
      <w:pPr>
        <w:spacing w:line="360" w:lineRule="auto"/>
        <w:ind w:left="567" w:right="616"/>
        <w:jc w:val="both"/>
        <w:rPr>
          <w:rFonts w:ascii="Palatino Linotype" w:eastAsia="Palatino Linotype" w:hAnsi="Palatino Linotype" w:cs="Palatino Linotype"/>
          <w:i/>
          <w:iCs/>
          <w:sz w:val="22"/>
          <w:szCs w:val="22"/>
        </w:rPr>
      </w:pPr>
    </w:p>
    <w:p w:rsidR="000806B7" w:rsidRPr="009A201A" w:rsidRDefault="00133D0B">
      <w:pPr>
        <w:spacing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806B7" w:rsidRPr="009A201A" w:rsidRDefault="00133D0B">
      <w:pPr>
        <w:spacing w:before="240" w:after="240"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rsidR="000806B7" w:rsidRPr="009A201A" w:rsidRDefault="00133D0B">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b/>
          <w:bCs/>
          <w:sz w:val="22"/>
          <w:szCs w:val="22"/>
        </w:rPr>
        <w:t>R E S U E L V E:</w:t>
      </w:r>
    </w:p>
    <w:p w:rsidR="000806B7" w:rsidRPr="009A201A" w:rsidRDefault="00133D0B">
      <w:pPr>
        <w:spacing w:before="240" w:after="240" w:line="360" w:lineRule="auto"/>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b/>
          <w:bCs/>
          <w:sz w:val="22"/>
          <w:szCs w:val="22"/>
        </w:rPr>
        <w:t xml:space="preserve">Primero. </w:t>
      </w:r>
      <w:r w:rsidRPr="009A201A">
        <w:rPr>
          <w:rFonts w:ascii="Palatino Linotype" w:eastAsia="Palatino Linotype" w:hAnsi="Palatino Linotype" w:cs="Palatino Linotype"/>
          <w:sz w:val="22"/>
          <w:szCs w:val="22"/>
        </w:rPr>
        <w:t>Resultan</w:t>
      </w:r>
      <w:r w:rsidRPr="009A201A">
        <w:rPr>
          <w:rFonts w:ascii="Palatino Linotype" w:eastAsia="Palatino Linotype" w:hAnsi="Palatino Linotype" w:cs="Palatino Linotype"/>
          <w:b/>
          <w:bCs/>
          <w:sz w:val="22"/>
          <w:szCs w:val="22"/>
        </w:rPr>
        <w:t xml:space="preserve"> parcialmente fundados </w:t>
      </w:r>
      <w:r w:rsidRPr="009A201A">
        <w:rPr>
          <w:rFonts w:ascii="Palatino Linotype" w:eastAsia="Palatino Linotype" w:hAnsi="Palatino Linotype" w:cs="Palatino Linotype"/>
          <w:sz w:val="22"/>
          <w:szCs w:val="22"/>
        </w:rPr>
        <w:t xml:space="preserve">los motivos de inconformidad hechos valer por </w:t>
      </w:r>
      <w:r w:rsidRPr="009A201A">
        <w:rPr>
          <w:rFonts w:ascii="Palatino Linotype" w:eastAsia="Palatino Linotype" w:hAnsi="Palatino Linotype" w:cs="Palatino Linotype"/>
          <w:b/>
          <w:bCs/>
          <w:sz w:val="22"/>
          <w:szCs w:val="22"/>
        </w:rPr>
        <w:t>la parte Recurrente</w:t>
      </w:r>
      <w:r w:rsidRPr="009A201A">
        <w:rPr>
          <w:rFonts w:ascii="Palatino Linotype" w:eastAsia="Palatino Linotype" w:hAnsi="Palatino Linotype" w:cs="Palatino Linotype"/>
          <w:sz w:val="22"/>
          <w:szCs w:val="22"/>
        </w:rPr>
        <w:t xml:space="preserve"> en el Recurso de Revisión</w:t>
      </w:r>
      <w:r w:rsidRPr="009A201A">
        <w:rPr>
          <w:rFonts w:ascii="Palatino Linotype" w:eastAsia="Palatino Linotype" w:hAnsi="Palatino Linotype" w:cs="Palatino Linotype"/>
          <w:b/>
          <w:bCs/>
          <w:sz w:val="22"/>
          <w:szCs w:val="22"/>
        </w:rPr>
        <w:t xml:space="preserve"> 10994/INFOEM/IP/RR/2025, </w:t>
      </w:r>
      <w:r w:rsidRPr="009A201A">
        <w:rPr>
          <w:rFonts w:ascii="Palatino Linotype" w:eastAsia="Palatino Linotype" w:hAnsi="Palatino Linotype" w:cs="Palatino Linotype"/>
          <w:sz w:val="22"/>
          <w:szCs w:val="22"/>
        </w:rPr>
        <w:t>por lo que</w:t>
      </w:r>
      <w:r w:rsidRPr="009A201A">
        <w:rPr>
          <w:rFonts w:ascii="Palatino Linotype" w:eastAsia="Palatino Linotype" w:hAnsi="Palatino Linotype" w:cs="Palatino Linotype"/>
          <w:b/>
          <w:bCs/>
          <w:sz w:val="22"/>
          <w:szCs w:val="22"/>
        </w:rPr>
        <w:t xml:space="preserve">, en términos del Considerando Cuarto </w:t>
      </w:r>
      <w:r w:rsidRPr="009A201A">
        <w:rPr>
          <w:rFonts w:ascii="Palatino Linotype" w:eastAsia="Palatino Linotype" w:hAnsi="Palatino Linotype" w:cs="Palatino Linotype"/>
          <w:sz w:val="22"/>
          <w:szCs w:val="22"/>
        </w:rPr>
        <w:t>de la presente resolución</w:t>
      </w:r>
      <w:r w:rsidRPr="009A201A">
        <w:rPr>
          <w:rFonts w:ascii="Palatino Linotype" w:eastAsia="Palatino Linotype" w:hAnsi="Palatino Linotype" w:cs="Palatino Linotype"/>
          <w:b/>
          <w:bCs/>
          <w:sz w:val="22"/>
          <w:szCs w:val="22"/>
        </w:rPr>
        <w:t>, se REVOCA l</w:t>
      </w:r>
      <w:r w:rsidRPr="009A201A">
        <w:rPr>
          <w:rFonts w:ascii="Palatino Linotype" w:eastAsia="Palatino Linotype" w:hAnsi="Palatino Linotype" w:cs="Palatino Linotype"/>
          <w:sz w:val="22"/>
          <w:szCs w:val="22"/>
        </w:rPr>
        <w:t>a respuesta del</w:t>
      </w:r>
      <w:r w:rsidRPr="009A201A">
        <w:rPr>
          <w:rFonts w:ascii="Palatino Linotype" w:eastAsia="Palatino Linotype" w:hAnsi="Palatino Linotype" w:cs="Palatino Linotype"/>
          <w:b/>
          <w:bCs/>
          <w:sz w:val="22"/>
          <w:szCs w:val="22"/>
        </w:rPr>
        <w:t xml:space="preserve"> Sujeto Obligado.</w:t>
      </w:r>
    </w:p>
    <w:p w:rsidR="000806B7" w:rsidRPr="009A201A" w:rsidRDefault="00133D0B">
      <w:pPr>
        <w:spacing w:before="240" w:after="240" w:line="360" w:lineRule="auto"/>
        <w:jc w:val="both"/>
        <w:rPr>
          <w:rFonts w:ascii="Palatino Linotype" w:eastAsia="Palatino Linotype" w:hAnsi="Palatino Linotype" w:cs="Palatino Linotype"/>
          <w:b/>
          <w:bCs/>
          <w:sz w:val="22"/>
          <w:szCs w:val="22"/>
        </w:rPr>
      </w:pPr>
      <w:bookmarkStart w:id="5" w:name="_heading=h.j3ppyxwlb1s2" w:colFirst="0" w:colLast="0"/>
      <w:bookmarkEnd w:id="5"/>
      <w:r w:rsidRPr="009A201A">
        <w:rPr>
          <w:rFonts w:ascii="Palatino Linotype" w:eastAsia="Palatino Linotype" w:hAnsi="Palatino Linotype" w:cs="Palatino Linotype"/>
          <w:b/>
          <w:bCs/>
          <w:sz w:val="22"/>
          <w:szCs w:val="22"/>
        </w:rPr>
        <w:t xml:space="preserve">Segundo. Se Ordena al Sujeto Obligado </w:t>
      </w:r>
      <w:r w:rsidRPr="009A201A">
        <w:rPr>
          <w:rFonts w:ascii="Palatino Linotype" w:eastAsia="Palatino Linotype" w:hAnsi="Palatino Linotype" w:cs="Palatino Linotype"/>
          <w:sz w:val="22"/>
          <w:szCs w:val="22"/>
        </w:rPr>
        <w:t>que en términos de los</w:t>
      </w:r>
      <w:r w:rsidRPr="009A201A">
        <w:rPr>
          <w:rFonts w:ascii="Palatino Linotype" w:eastAsia="Palatino Linotype" w:hAnsi="Palatino Linotype" w:cs="Palatino Linotype"/>
          <w:b/>
          <w:bCs/>
          <w:sz w:val="22"/>
          <w:szCs w:val="22"/>
        </w:rPr>
        <w:t xml:space="preserve"> Considerandos Cuarto y Quinto </w:t>
      </w:r>
      <w:r w:rsidRPr="009A201A">
        <w:rPr>
          <w:rFonts w:ascii="Palatino Linotype" w:eastAsia="Palatino Linotype" w:hAnsi="Palatino Linotype" w:cs="Palatino Linotype"/>
          <w:sz w:val="22"/>
          <w:szCs w:val="22"/>
        </w:rPr>
        <w:t xml:space="preserve">de esta resolución, haga entrega a </w:t>
      </w:r>
      <w:r w:rsidRPr="009A201A">
        <w:rPr>
          <w:rFonts w:ascii="Palatino Linotype" w:eastAsia="Palatino Linotype" w:hAnsi="Palatino Linotype" w:cs="Palatino Linotype"/>
          <w:b/>
          <w:bCs/>
          <w:sz w:val="22"/>
          <w:szCs w:val="22"/>
        </w:rPr>
        <w:t xml:space="preserve">la parte Recurrente a través del SAIMEX, previa búsqueda exhaustiva y razonable, de ser procedente en versión pública, </w:t>
      </w:r>
      <w:r w:rsidRPr="009A201A">
        <w:rPr>
          <w:rFonts w:ascii="Palatino Linotype" w:eastAsia="Palatino Linotype" w:hAnsi="Palatino Linotype" w:cs="Palatino Linotype"/>
          <w:sz w:val="22"/>
          <w:szCs w:val="22"/>
        </w:rPr>
        <w:t>la siguiente información:</w:t>
      </w:r>
    </w:p>
    <w:p w:rsidR="000806B7" w:rsidRPr="009A201A" w:rsidRDefault="00133D0B">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b/>
          <w:bCs/>
          <w:sz w:val="22"/>
          <w:szCs w:val="22"/>
        </w:rPr>
        <w:t>De los Servidores Públicos referidos en la solicitud:</w:t>
      </w:r>
    </w:p>
    <w:p w:rsidR="000806B7" w:rsidRPr="009A201A" w:rsidRDefault="00133D0B">
      <w:pPr>
        <w:numPr>
          <w:ilvl w:val="0"/>
          <w:numId w:val="5"/>
        </w:numPr>
        <w:pBdr>
          <w:top w:val="nil"/>
          <w:left w:val="nil"/>
          <w:bottom w:val="nil"/>
          <w:right w:val="nil"/>
          <w:between w:val="nil"/>
        </w:pBdr>
        <w:spacing w:line="360" w:lineRule="auto"/>
        <w:ind w:left="1134"/>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b/>
          <w:bCs/>
          <w:sz w:val="22"/>
          <w:szCs w:val="22"/>
        </w:rPr>
        <w:t>Recibos de nómina de la segunda quincena del mes de agosto de dos mil veinticinco;</w:t>
      </w:r>
    </w:p>
    <w:p w:rsidR="000806B7" w:rsidRPr="009A201A" w:rsidRDefault="00133D0B">
      <w:pPr>
        <w:numPr>
          <w:ilvl w:val="0"/>
          <w:numId w:val="5"/>
        </w:numPr>
        <w:pBdr>
          <w:top w:val="nil"/>
          <w:left w:val="nil"/>
          <w:bottom w:val="nil"/>
          <w:right w:val="nil"/>
          <w:between w:val="nil"/>
        </w:pBdr>
        <w:spacing w:line="360" w:lineRule="auto"/>
        <w:ind w:left="1134"/>
        <w:jc w:val="both"/>
        <w:rPr>
          <w:rFonts w:ascii="Palatino Linotype" w:eastAsia="Palatino Linotype" w:hAnsi="Palatino Linotype" w:cs="Palatino Linotype"/>
          <w:b/>
          <w:bCs/>
          <w:sz w:val="22"/>
          <w:szCs w:val="22"/>
        </w:rPr>
      </w:pPr>
      <w:r w:rsidRPr="009A201A">
        <w:rPr>
          <w:rFonts w:ascii="Palatino Linotype" w:eastAsia="Palatino Linotype" w:hAnsi="Palatino Linotype" w:cs="Palatino Linotype"/>
          <w:b/>
          <w:bCs/>
          <w:sz w:val="22"/>
          <w:szCs w:val="22"/>
        </w:rPr>
        <w:t>Documento donde conste el control o registro de asistencia desde la fecha de alta al servicio público al tres de septiembre de dos mil veinticinco; o bien, la autorización emitida por autoridad competente para omitir la elaboración de dicho control o exceptuar el registro de asistencia.</w:t>
      </w:r>
    </w:p>
    <w:p w:rsidR="000806B7" w:rsidRPr="009A201A" w:rsidRDefault="000806B7">
      <w:pPr>
        <w:pBdr>
          <w:top w:val="nil"/>
          <w:left w:val="nil"/>
          <w:bottom w:val="nil"/>
          <w:right w:val="nil"/>
          <w:between w:val="nil"/>
        </w:pBdr>
        <w:ind w:right="560"/>
        <w:jc w:val="both"/>
        <w:rPr>
          <w:rFonts w:ascii="Palatino Linotype" w:eastAsia="Palatino Linotype" w:hAnsi="Palatino Linotype" w:cs="Palatino Linotype"/>
          <w:i/>
          <w:iCs/>
          <w:sz w:val="22"/>
          <w:szCs w:val="22"/>
        </w:rPr>
      </w:pPr>
    </w:p>
    <w:p w:rsidR="000806B7" w:rsidRPr="009A201A" w:rsidRDefault="00133D0B">
      <w:pPr>
        <w:pBdr>
          <w:top w:val="nil"/>
          <w:left w:val="nil"/>
          <w:bottom w:val="nil"/>
          <w:right w:val="nil"/>
          <w:between w:val="nil"/>
        </w:pBdr>
        <w:spacing w:line="360" w:lineRule="auto"/>
        <w:ind w:left="284" w:right="560"/>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rsidR="000806B7" w:rsidRPr="009A201A" w:rsidRDefault="000806B7">
      <w:pPr>
        <w:pBdr>
          <w:top w:val="nil"/>
          <w:left w:val="nil"/>
          <w:bottom w:val="nil"/>
          <w:right w:val="nil"/>
          <w:between w:val="nil"/>
        </w:pBdr>
        <w:spacing w:line="360" w:lineRule="auto"/>
        <w:ind w:left="284" w:right="560"/>
        <w:jc w:val="both"/>
        <w:rPr>
          <w:rFonts w:ascii="Palatino Linotype" w:eastAsia="Palatino Linotype" w:hAnsi="Palatino Linotype" w:cs="Palatino Linotype"/>
          <w:i/>
          <w:iCs/>
          <w:sz w:val="22"/>
          <w:szCs w:val="22"/>
        </w:rPr>
      </w:pPr>
    </w:p>
    <w:p w:rsidR="000806B7" w:rsidRPr="009A201A" w:rsidRDefault="00133D0B">
      <w:pPr>
        <w:pBdr>
          <w:top w:val="nil"/>
          <w:left w:val="nil"/>
          <w:bottom w:val="nil"/>
          <w:right w:val="nil"/>
          <w:between w:val="nil"/>
        </w:pBdr>
        <w:spacing w:line="360" w:lineRule="auto"/>
        <w:ind w:left="284" w:right="560"/>
        <w:jc w:val="both"/>
        <w:rPr>
          <w:rFonts w:ascii="Palatino Linotype" w:eastAsia="Palatino Linotype" w:hAnsi="Palatino Linotype" w:cs="Palatino Linotype"/>
          <w:i/>
          <w:iCs/>
          <w:sz w:val="22"/>
          <w:szCs w:val="22"/>
        </w:rPr>
      </w:pPr>
      <w:r w:rsidRPr="009A201A">
        <w:rPr>
          <w:rFonts w:ascii="Palatino Linotype" w:eastAsia="Palatino Linotype" w:hAnsi="Palatino Linotype" w:cs="Palatino Linotype"/>
          <w:i/>
          <w:iCs/>
          <w:sz w:val="22"/>
          <w:szCs w:val="22"/>
        </w:rPr>
        <w:t>De no contar con el registro de asistencia o con la autorización para omitir el registro de asistencia de alguno de los servidores público adscritos a la Unidad de Transparencia, deberá proporcionar el Acuerdo del Comité de Transparencia donde conforme la inexistencia de la información conforme a lo establecido en el artículo 19, párrafo tercero, 169 y 170 de la Ley de Transparencia y Acceso a la Información Pública del Estado de México y Municipios</w:t>
      </w:r>
    </w:p>
    <w:p w:rsidR="000806B7" w:rsidRPr="009A201A" w:rsidRDefault="00133D0B">
      <w:pPr>
        <w:spacing w:before="240" w:after="240"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sz w:val="22"/>
          <w:szCs w:val="22"/>
        </w:rPr>
        <w:t xml:space="preserve">Tercero.  Notifíquese vía SAIMEX, </w:t>
      </w:r>
      <w:r w:rsidRPr="009A201A">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806B7" w:rsidRPr="009A201A" w:rsidRDefault="00133D0B">
      <w:pPr>
        <w:spacing w:before="240" w:after="240" w:line="360" w:lineRule="auto"/>
        <w:jc w:val="both"/>
        <w:rPr>
          <w:rFonts w:ascii="Palatino Linotype" w:eastAsia="Palatino Linotype" w:hAnsi="Palatino Linotype" w:cs="Palatino Linotype"/>
          <w:sz w:val="22"/>
          <w:szCs w:val="22"/>
        </w:rPr>
      </w:pPr>
      <w:r w:rsidRPr="009A201A">
        <w:rPr>
          <w:rFonts w:ascii="Palatino Linotype" w:eastAsia="Palatino Linotype" w:hAnsi="Palatino Linotype" w:cs="Palatino Linotype"/>
          <w:b/>
          <w:bCs/>
          <w:sz w:val="22"/>
          <w:szCs w:val="22"/>
        </w:rPr>
        <w:t xml:space="preserve">Cuarto. </w:t>
      </w:r>
      <w:r w:rsidRPr="009A201A">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9A201A">
        <w:rPr>
          <w:rFonts w:ascii="Palatino Linotype" w:eastAsia="Palatino Linotype" w:hAnsi="Palatino Linotype" w:cs="Palatino Linotype"/>
          <w:b/>
          <w:bCs/>
          <w:sz w:val="22"/>
          <w:szCs w:val="22"/>
        </w:rPr>
        <w:t>Sujeto Obligado</w:t>
      </w:r>
      <w:r w:rsidRPr="009A201A">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rsidR="000806B7" w:rsidRPr="009A201A" w:rsidRDefault="00133D0B">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9A201A">
        <w:rPr>
          <w:rFonts w:ascii="Palatino Linotype" w:eastAsia="Palatino Linotype" w:hAnsi="Palatino Linotype" w:cs="Palatino Linotype"/>
          <w:b/>
          <w:bCs/>
          <w:sz w:val="22"/>
          <w:szCs w:val="22"/>
        </w:rPr>
        <w:t xml:space="preserve">Quinto. Notifíquese vía SAIMEX, </w:t>
      </w:r>
      <w:r w:rsidRPr="009A201A">
        <w:rPr>
          <w:rFonts w:ascii="Palatino Linotype" w:eastAsia="Palatino Linotype" w:hAnsi="Palatino Linotype" w:cs="Palatino Linotype"/>
          <w:sz w:val="22"/>
          <w:szCs w:val="22"/>
        </w:rPr>
        <w:t>a</w:t>
      </w:r>
      <w:r w:rsidRPr="009A201A">
        <w:rPr>
          <w:rFonts w:ascii="Palatino Linotype" w:eastAsia="Palatino Linotype" w:hAnsi="Palatino Linotype" w:cs="Palatino Linotype"/>
          <w:b/>
          <w:bCs/>
          <w:sz w:val="22"/>
          <w:szCs w:val="22"/>
        </w:rPr>
        <w:t xml:space="preserve"> la parte Recurrente</w:t>
      </w:r>
      <w:r w:rsidRPr="009A201A">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rsidR="000806B7" w:rsidRPr="009A201A" w:rsidRDefault="000806B7">
      <w:pPr>
        <w:spacing w:line="360" w:lineRule="auto"/>
        <w:jc w:val="both"/>
        <w:rPr>
          <w:rFonts w:ascii="Palatino Linotype" w:eastAsia="Palatino Linotype" w:hAnsi="Palatino Linotype" w:cs="Palatino Linotype"/>
          <w:b/>
          <w:bCs/>
          <w:sz w:val="22"/>
          <w:szCs w:val="22"/>
        </w:rPr>
      </w:pPr>
    </w:p>
    <w:p w:rsidR="000806B7" w:rsidRPr="00133D0B" w:rsidRDefault="00133D0B">
      <w:pPr>
        <w:spacing w:line="360" w:lineRule="auto"/>
        <w:ind w:right="-93"/>
        <w:jc w:val="both"/>
        <w:rPr>
          <w:rFonts w:ascii="Palatino Linotype" w:eastAsia="Palatino Linotype" w:hAnsi="Palatino Linotype" w:cs="Palatino Linotype"/>
          <w:sz w:val="22"/>
          <w:szCs w:val="22"/>
        </w:rPr>
      </w:pPr>
      <w:bookmarkStart w:id="7" w:name="_heading=h.jl0dlasot4f" w:colFirst="0" w:colLast="0"/>
      <w:bookmarkEnd w:id="7"/>
      <w:r w:rsidRPr="009A201A">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TRES DE DICIEMBRE DE DOS MIL VEINTICINCO, ANTE EL SECRETARIO TÉCNICO DEL PLENO ALEXIS TAPIA RAMÍREZ.</w:t>
      </w:r>
    </w:p>
    <w:p w:rsidR="000806B7" w:rsidRPr="00133D0B" w:rsidRDefault="000806B7">
      <w:pPr>
        <w:spacing w:line="360" w:lineRule="auto"/>
        <w:ind w:right="-93"/>
        <w:jc w:val="both"/>
        <w:rPr>
          <w:rFonts w:ascii="Palatino Linotype" w:eastAsia="Palatino Linotype" w:hAnsi="Palatino Linotype" w:cs="Palatino Linotype"/>
          <w:sz w:val="22"/>
          <w:szCs w:val="22"/>
        </w:rPr>
      </w:pPr>
    </w:p>
    <w:p w:rsidR="000806B7" w:rsidRPr="00133D0B" w:rsidRDefault="000806B7">
      <w:pPr>
        <w:spacing w:line="360" w:lineRule="auto"/>
        <w:ind w:right="-93"/>
        <w:jc w:val="both"/>
        <w:rPr>
          <w:rFonts w:ascii="Palatino Linotype" w:eastAsia="Palatino Linotype" w:hAnsi="Palatino Linotype" w:cs="Palatino Linotype"/>
          <w:sz w:val="22"/>
          <w:szCs w:val="22"/>
        </w:rPr>
      </w:pPr>
    </w:p>
    <w:p w:rsidR="000806B7" w:rsidRPr="00133D0B" w:rsidRDefault="000806B7">
      <w:pPr>
        <w:spacing w:line="360" w:lineRule="auto"/>
        <w:ind w:right="-93"/>
        <w:jc w:val="both"/>
        <w:rPr>
          <w:rFonts w:ascii="Palatino Linotype" w:eastAsia="Palatino Linotype" w:hAnsi="Palatino Linotype" w:cs="Palatino Linotype"/>
          <w:sz w:val="22"/>
          <w:szCs w:val="22"/>
        </w:rPr>
      </w:pPr>
    </w:p>
    <w:p w:rsidR="000806B7" w:rsidRPr="00133D0B" w:rsidRDefault="000806B7">
      <w:pPr>
        <w:spacing w:line="360" w:lineRule="auto"/>
        <w:ind w:right="-93"/>
        <w:jc w:val="both"/>
        <w:rPr>
          <w:rFonts w:ascii="Palatino Linotype" w:eastAsia="Palatino Linotype" w:hAnsi="Palatino Linotype" w:cs="Palatino Linotype"/>
          <w:sz w:val="22"/>
          <w:szCs w:val="22"/>
        </w:rPr>
      </w:pPr>
    </w:p>
    <w:p w:rsidR="000806B7" w:rsidRPr="00133D0B" w:rsidRDefault="000806B7">
      <w:pPr>
        <w:spacing w:line="360" w:lineRule="auto"/>
        <w:ind w:right="-93"/>
        <w:jc w:val="both"/>
        <w:rPr>
          <w:rFonts w:ascii="Palatino Linotype" w:eastAsia="Palatino Linotype" w:hAnsi="Palatino Linotype" w:cs="Palatino Linotype"/>
          <w:sz w:val="22"/>
          <w:szCs w:val="22"/>
        </w:rPr>
      </w:pPr>
    </w:p>
    <w:p w:rsidR="000806B7" w:rsidRPr="00133D0B" w:rsidRDefault="000806B7">
      <w:pPr>
        <w:spacing w:line="360" w:lineRule="auto"/>
        <w:ind w:right="49"/>
        <w:jc w:val="both"/>
        <w:rPr>
          <w:rFonts w:ascii="Palatino Linotype" w:eastAsia="Palatino Linotype" w:hAnsi="Palatino Linotype" w:cs="Palatino Linotype"/>
          <w:sz w:val="22"/>
          <w:szCs w:val="22"/>
        </w:rPr>
      </w:pPr>
    </w:p>
    <w:p w:rsidR="00133D0B" w:rsidRPr="00133D0B" w:rsidRDefault="00133D0B">
      <w:pPr>
        <w:spacing w:line="360" w:lineRule="auto"/>
        <w:ind w:right="49"/>
        <w:jc w:val="both"/>
        <w:rPr>
          <w:rFonts w:ascii="Palatino Linotype" w:eastAsia="Palatino Linotype" w:hAnsi="Palatino Linotype" w:cs="Palatino Linotype"/>
          <w:sz w:val="22"/>
          <w:szCs w:val="22"/>
        </w:rPr>
      </w:pPr>
    </w:p>
    <w:p w:rsidR="00133D0B" w:rsidRPr="00133D0B" w:rsidRDefault="00133D0B">
      <w:pPr>
        <w:spacing w:line="360" w:lineRule="auto"/>
        <w:ind w:right="49"/>
        <w:jc w:val="both"/>
        <w:rPr>
          <w:rFonts w:ascii="Palatino Linotype" w:eastAsia="Palatino Linotype" w:hAnsi="Palatino Linotype" w:cs="Palatino Linotype"/>
          <w:sz w:val="22"/>
          <w:szCs w:val="22"/>
        </w:rPr>
      </w:pPr>
    </w:p>
    <w:p w:rsidR="00133D0B" w:rsidRPr="00133D0B" w:rsidRDefault="00133D0B">
      <w:pPr>
        <w:spacing w:line="360" w:lineRule="auto"/>
        <w:ind w:right="49"/>
        <w:jc w:val="both"/>
        <w:rPr>
          <w:rFonts w:ascii="Palatino Linotype" w:eastAsia="Palatino Linotype" w:hAnsi="Palatino Linotype" w:cs="Palatino Linotype"/>
          <w:sz w:val="22"/>
          <w:szCs w:val="22"/>
        </w:rPr>
      </w:pPr>
    </w:p>
    <w:p w:rsidR="00133D0B" w:rsidRPr="00133D0B" w:rsidRDefault="00133D0B">
      <w:pPr>
        <w:spacing w:line="360" w:lineRule="auto"/>
        <w:ind w:right="49"/>
        <w:jc w:val="both"/>
        <w:rPr>
          <w:rFonts w:ascii="Palatino Linotype" w:eastAsia="Palatino Linotype" w:hAnsi="Palatino Linotype" w:cs="Palatino Linotype"/>
          <w:sz w:val="22"/>
          <w:szCs w:val="22"/>
        </w:rPr>
      </w:pPr>
    </w:p>
    <w:p w:rsidR="00133D0B" w:rsidRPr="00133D0B" w:rsidRDefault="00133D0B">
      <w:pPr>
        <w:spacing w:line="360" w:lineRule="auto"/>
        <w:ind w:right="49"/>
        <w:jc w:val="both"/>
        <w:rPr>
          <w:rFonts w:ascii="Palatino Linotype" w:eastAsia="Palatino Linotype" w:hAnsi="Palatino Linotype" w:cs="Palatino Linotype"/>
          <w:sz w:val="22"/>
          <w:szCs w:val="22"/>
        </w:rPr>
      </w:pPr>
    </w:p>
    <w:p w:rsidR="00133D0B" w:rsidRPr="00133D0B" w:rsidRDefault="00133D0B">
      <w:pPr>
        <w:spacing w:line="360" w:lineRule="auto"/>
        <w:ind w:right="49"/>
        <w:jc w:val="both"/>
        <w:rPr>
          <w:rFonts w:ascii="Palatino Linotype" w:eastAsia="Palatino Linotype" w:hAnsi="Palatino Linotype" w:cs="Palatino Linotype"/>
          <w:sz w:val="22"/>
          <w:szCs w:val="22"/>
        </w:rPr>
      </w:pPr>
    </w:p>
    <w:p w:rsidR="00133D0B" w:rsidRPr="00133D0B" w:rsidRDefault="00133D0B">
      <w:pPr>
        <w:spacing w:line="360" w:lineRule="auto"/>
        <w:ind w:right="49"/>
        <w:jc w:val="both"/>
        <w:rPr>
          <w:rFonts w:ascii="Palatino Linotype" w:eastAsia="Palatino Linotype" w:hAnsi="Palatino Linotype" w:cs="Palatino Linotype"/>
          <w:sz w:val="22"/>
          <w:szCs w:val="22"/>
        </w:rPr>
      </w:pPr>
    </w:p>
    <w:p w:rsidR="00133D0B" w:rsidRPr="00133D0B" w:rsidRDefault="00133D0B">
      <w:pPr>
        <w:spacing w:line="360" w:lineRule="auto"/>
        <w:ind w:right="49"/>
        <w:jc w:val="both"/>
        <w:rPr>
          <w:rFonts w:ascii="Palatino Linotype" w:eastAsia="Palatino Linotype" w:hAnsi="Palatino Linotype" w:cs="Palatino Linotype"/>
          <w:sz w:val="22"/>
          <w:szCs w:val="22"/>
        </w:rPr>
      </w:pPr>
    </w:p>
    <w:p w:rsidR="00133D0B" w:rsidRPr="00133D0B" w:rsidRDefault="00133D0B">
      <w:pPr>
        <w:spacing w:line="360" w:lineRule="auto"/>
        <w:ind w:right="49"/>
        <w:jc w:val="both"/>
        <w:rPr>
          <w:rFonts w:ascii="Palatino Linotype" w:eastAsia="Palatino Linotype" w:hAnsi="Palatino Linotype" w:cs="Palatino Linotype"/>
          <w:sz w:val="22"/>
          <w:szCs w:val="22"/>
        </w:rPr>
      </w:pPr>
    </w:p>
    <w:p w:rsidR="00133D0B" w:rsidRPr="00133D0B" w:rsidRDefault="00133D0B">
      <w:pPr>
        <w:spacing w:line="360" w:lineRule="auto"/>
        <w:ind w:right="49"/>
        <w:jc w:val="both"/>
        <w:rPr>
          <w:rFonts w:ascii="Palatino Linotype" w:eastAsia="Palatino Linotype" w:hAnsi="Palatino Linotype" w:cs="Palatino Linotype"/>
          <w:sz w:val="22"/>
          <w:szCs w:val="22"/>
        </w:rPr>
      </w:pPr>
    </w:p>
    <w:p w:rsidR="00133D0B" w:rsidRPr="00133D0B" w:rsidRDefault="00133D0B">
      <w:pPr>
        <w:spacing w:line="360" w:lineRule="auto"/>
        <w:ind w:right="49"/>
        <w:jc w:val="both"/>
        <w:rPr>
          <w:rFonts w:ascii="Palatino Linotype" w:eastAsia="Palatino Linotype" w:hAnsi="Palatino Linotype" w:cs="Palatino Linotype"/>
          <w:sz w:val="22"/>
          <w:szCs w:val="22"/>
        </w:rPr>
      </w:pPr>
    </w:p>
    <w:p w:rsidR="00133D0B" w:rsidRPr="00133D0B" w:rsidRDefault="00133D0B">
      <w:pPr>
        <w:spacing w:line="360" w:lineRule="auto"/>
        <w:ind w:right="49"/>
        <w:jc w:val="both"/>
        <w:rPr>
          <w:rFonts w:ascii="Palatino Linotype" w:eastAsia="Palatino Linotype" w:hAnsi="Palatino Linotype" w:cs="Palatino Linotype"/>
          <w:sz w:val="22"/>
          <w:szCs w:val="22"/>
        </w:rPr>
      </w:pPr>
    </w:p>
    <w:p w:rsidR="00133D0B" w:rsidRPr="00133D0B" w:rsidRDefault="00133D0B">
      <w:pPr>
        <w:spacing w:line="360" w:lineRule="auto"/>
        <w:ind w:right="49"/>
        <w:jc w:val="both"/>
        <w:rPr>
          <w:rFonts w:ascii="Palatino Linotype" w:eastAsia="Palatino Linotype" w:hAnsi="Palatino Linotype" w:cs="Palatino Linotype"/>
          <w:sz w:val="22"/>
          <w:szCs w:val="22"/>
        </w:rPr>
      </w:pPr>
    </w:p>
    <w:p w:rsidR="00133D0B" w:rsidRPr="00133D0B" w:rsidRDefault="00133D0B">
      <w:pPr>
        <w:spacing w:line="360" w:lineRule="auto"/>
        <w:ind w:right="49"/>
        <w:jc w:val="both"/>
        <w:rPr>
          <w:rFonts w:ascii="Palatino Linotype" w:eastAsia="Palatino Linotype" w:hAnsi="Palatino Linotype" w:cs="Palatino Linotype"/>
          <w:sz w:val="22"/>
          <w:szCs w:val="22"/>
        </w:rPr>
      </w:pPr>
    </w:p>
    <w:p w:rsidR="00133D0B" w:rsidRPr="00133D0B" w:rsidRDefault="00133D0B">
      <w:pPr>
        <w:spacing w:line="360" w:lineRule="auto"/>
        <w:ind w:right="49"/>
        <w:jc w:val="both"/>
        <w:rPr>
          <w:rFonts w:ascii="Palatino Linotype" w:eastAsia="Palatino Linotype" w:hAnsi="Palatino Linotype" w:cs="Palatino Linotype"/>
          <w:sz w:val="22"/>
          <w:szCs w:val="22"/>
        </w:rPr>
      </w:pPr>
    </w:p>
    <w:sectPr w:rsidR="00133D0B" w:rsidRPr="00133D0B">
      <w:headerReference w:type="default" r:id="rId13"/>
      <w:footerReference w:type="default" r:id="rId14"/>
      <w:headerReference w:type="first" r:id="rId15"/>
      <w:footerReference w:type="first" r:id="rId16"/>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B57" w:rsidRDefault="00281B57">
      <w:r>
        <w:separator/>
      </w:r>
    </w:p>
  </w:endnote>
  <w:endnote w:type="continuationSeparator" w:id="0">
    <w:p w:rsidR="00281B57" w:rsidRDefault="00281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532D2E70-B695-4F03-AD6D-5983CBA7184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E300AFD-519F-403D-B515-16B9E074AAFF}"/>
    <w:embedBold r:id="rId3" w:fontKey="{11FEBED2-C359-451C-BA04-E5EB85CE0782}"/>
    <w:embedItalic r:id="rId4" w:fontKey="{924E2427-66BE-48E0-92BC-AB5BAF87D112}"/>
  </w:font>
  <w:font w:name="Palatino Linotype">
    <w:panose1 w:val="02040502050505030304"/>
    <w:charset w:val="00"/>
    <w:family w:val="roman"/>
    <w:pitch w:val="variable"/>
    <w:sig w:usb0="E0000287" w:usb1="40000013" w:usb2="00000000" w:usb3="00000000" w:csb0="0000019F" w:csb1="00000000"/>
    <w:embedRegular r:id="rId5" w:fontKey="{D9BF3C6E-86D0-44FD-9CA1-77AB465310B5}"/>
    <w:embedBold r:id="rId6" w:fontKey="{1BB89AD2-9D76-4559-A0F8-647B8E660972}"/>
    <w:embedItalic r:id="rId7" w:fontKey="{BE2B7D82-9D58-4444-B015-2ABB4235DAA7}"/>
    <w:embedBoldItalic r:id="rId8" w:fontKey="{E3E13E87-4629-4B78-AE65-8DD3FFE41470}"/>
  </w:font>
  <w:font w:name="Georgia">
    <w:panose1 w:val="02040502050405020303"/>
    <w:charset w:val="00"/>
    <w:family w:val="roman"/>
    <w:pitch w:val="variable"/>
    <w:sig w:usb0="00000287" w:usb1="00000000" w:usb2="00000000" w:usb3="00000000" w:csb0="0000009F" w:csb1="00000000"/>
    <w:embedItalic r:id="rId9" w:fontKey="{987FB8EC-7051-4352-BB29-A0677C53B5A0}"/>
  </w:font>
  <w:font w:name="Calibri Light">
    <w:panose1 w:val="020F0302020204030204"/>
    <w:charset w:val="00"/>
    <w:family w:val="swiss"/>
    <w:pitch w:val="variable"/>
    <w:sig w:usb0="E4002EFF" w:usb1="C200247B" w:usb2="00000009" w:usb3="00000000" w:csb0="000001FF" w:csb1="00000000"/>
    <w:embedRegular r:id="rId10" w:fontKey="{A2EC3585-1F90-4246-AC71-888E9FE2DF6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6B7" w:rsidRDefault="00133D0B">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F943A0">
      <w:rPr>
        <w:b/>
        <w:bCs/>
        <w:noProof/>
        <w:color w:val="000000"/>
      </w:rPr>
      <w:t>49</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F943A0">
      <w:rPr>
        <w:b/>
        <w:bCs/>
        <w:noProof/>
        <w:color w:val="000000"/>
      </w:rPr>
      <w:t>49</w:t>
    </w:r>
    <w:r>
      <w:rPr>
        <w:b/>
        <w:bCs/>
        <w:color w:val="000000"/>
      </w:rPr>
      <w:fldChar w:fldCharType="end"/>
    </w:r>
  </w:p>
  <w:p w:rsidR="000806B7" w:rsidRDefault="000806B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6B7" w:rsidRDefault="00133D0B">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F943A0">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F943A0">
      <w:rPr>
        <w:b/>
        <w:bCs/>
        <w:noProof/>
        <w:color w:val="000000"/>
      </w:rPr>
      <w:t>49</w:t>
    </w:r>
    <w:r>
      <w:rPr>
        <w:b/>
        <w:bCs/>
        <w:color w:val="000000"/>
      </w:rPr>
      <w:fldChar w:fldCharType="end"/>
    </w:r>
  </w:p>
  <w:p w:rsidR="000806B7" w:rsidRDefault="000806B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B57" w:rsidRDefault="00281B57">
      <w:r>
        <w:separator/>
      </w:r>
    </w:p>
  </w:footnote>
  <w:footnote w:type="continuationSeparator" w:id="0">
    <w:p w:rsidR="00281B57" w:rsidRDefault="00281B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6B7" w:rsidRDefault="00133D0B">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simplePos x="0" y="0"/>
          <wp:positionH relativeFrom="column">
            <wp:posOffset>0</wp:posOffset>
          </wp:positionH>
          <wp:positionV relativeFrom="paragraph">
            <wp:posOffset>-401952</wp:posOffset>
          </wp:positionV>
          <wp:extent cx="7809876" cy="10165823"/>
          <wp:effectExtent l="0" t="0" r="0" b="0"/>
          <wp:wrapNone/>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5603" w:type="dxa"/>
      <w:tblInd w:w="3611" w:type="dxa"/>
      <w:tblLayout w:type="fixed"/>
      <w:tblLook w:val="0400" w:firstRow="0" w:lastRow="0" w:firstColumn="0" w:lastColumn="0" w:noHBand="0" w:noVBand="1"/>
    </w:tblPr>
    <w:tblGrid>
      <w:gridCol w:w="2551"/>
      <w:gridCol w:w="3052"/>
    </w:tblGrid>
    <w:tr w:rsidR="000806B7">
      <w:tc>
        <w:tcPr>
          <w:tcW w:w="2551" w:type="dxa"/>
          <w:vAlign w:val="center"/>
        </w:tcPr>
        <w:p w:rsidR="000806B7" w:rsidRDefault="00133D0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rsidR="000806B7" w:rsidRDefault="000806B7">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rsidR="000806B7" w:rsidRDefault="00133D0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10994/INFOEM/IP/RR/2025</w:t>
          </w:r>
        </w:p>
      </w:tc>
    </w:tr>
    <w:tr w:rsidR="000806B7">
      <w:trPr>
        <w:trHeight w:val="217"/>
      </w:trPr>
      <w:tc>
        <w:tcPr>
          <w:tcW w:w="2551" w:type="dxa"/>
          <w:vAlign w:val="center"/>
        </w:tcPr>
        <w:p w:rsidR="000806B7" w:rsidRDefault="00133D0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rsidR="000806B7" w:rsidRDefault="00133D0B">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Ayuntamiento de Toluca</w:t>
          </w:r>
        </w:p>
      </w:tc>
    </w:tr>
    <w:tr w:rsidR="000806B7">
      <w:tc>
        <w:tcPr>
          <w:tcW w:w="2551" w:type="dxa"/>
          <w:vAlign w:val="center"/>
        </w:tcPr>
        <w:p w:rsidR="000806B7" w:rsidRDefault="00133D0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rsidR="000806B7" w:rsidRDefault="00133D0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rsidR="000806B7" w:rsidRDefault="000806B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6B7" w:rsidRDefault="00133D0B">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simplePos x="0" y="0"/>
          <wp:positionH relativeFrom="column">
            <wp:posOffset>-929003</wp:posOffset>
          </wp:positionH>
          <wp:positionV relativeFrom="paragraph">
            <wp:posOffset>-644523</wp:posOffset>
          </wp:positionV>
          <wp:extent cx="7809865" cy="10165715"/>
          <wp:effectExtent l="0" t="0" r="0" b="0"/>
          <wp:wrapNone/>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461" w:type="dxa"/>
      <w:tblInd w:w="3611" w:type="dxa"/>
      <w:tblLayout w:type="fixed"/>
      <w:tblLook w:val="0400" w:firstRow="0" w:lastRow="0" w:firstColumn="0" w:lastColumn="0" w:noHBand="0" w:noVBand="1"/>
    </w:tblPr>
    <w:tblGrid>
      <w:gridCol w:w="2343"/>
      <w:gridCol w:w="3118"/>
    </w:tblGrid>
    <w:tr w:rsidR="000806B7">
      <w:tc>
        <w:tcPr>
          <w:tcW w:w="2343" w:type="dxa"/>
          <w:vAlign w:val="center"/>
        </w:tcPr>
        <w:p w:rsidR="000806B7" w:rsidRDefault="00133D0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rsidR="000806B7" w:rsidRDefault="000806B7">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rsidR="000806B7" w:rsidRDefault="00133D0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10994/INFOEM/IP/RR/2025</w:t>
          </w:r>
        </w:p>
      </w:tc>
    </w:tr>
    <w:tr w:rsidR="000806B7">
      <w:tc>
        <w:tcPr>
          <w:tcW w:w="2343" w:type="dxa"/>
          <w:vAlign w:val="center"/>
        </w:tcPr>
        <w:p w:rsidR="000806B7" w:rsidRDefault="00133D0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118" w:type="dxa"/>
          <w:vAlign w:val="center"/>
        </w:tcPr>
        <w:p w:rsidR="000806B7" w:rsidRDefault="000806B7">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r>
    <w:tr w:rsidR="000806B7">
      <w:trPr>
        <w:trHeight w:val="152"/>
      </w:trPr>
      <w:tc>
        <w:tcPr>
          <w:tcW w:w="2343" w:type="dxa"/>
          <w:vAlign w:val="center"/>
        </w:tcPr>
        <w:p w:rsidR="000806B7" w:rsidRDefault="00133D0B">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rsidR="000806B7" w:rsidRDefault="000806B7">
          <w:pP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rsidR="000806B7" w:rsidRDefault="00133D0B">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Ayuntamiento de Toluca</w:t>
          </w:r>
        </w:p>
      </w:tc>
    </w:tr>
    <w:tr w:rsidR="000806B7">
      <w:tc>
        <w:tcPr>
          <w:tcW w:w="2343" w:type="dxa"/>
          <w:vAlign w:val="center"/>
        </w:tcPr>
        <w:p w:rsidR="000806B7" w:rsidRDefault="00133D0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118" w:type="dxa"/>
          <w:vAlign w:val="center"/>
        </w:tcPr>
        <w:p w:rsidR="000806B7" w:rsidRDefault="00133D0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Guadalupe Ramírez Peña</w:t>
          </w:r>
        </w:p>
      </w:tc>
    </w:tr>
  </w:tbl>
  <w:p w:rsidR="000806B7" w:rsidRDefault="00133D0B">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0397"/>
    <w:multiLevelType w:val="multilevel"/>
    <w:tmpl w:val="DC9CE47E"/>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676484"/>
    <w:multiLevelType w:val="multilevel"/>
    <w:tmpl w:val="DEC2653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D176F45"/>
    <w:multiLevelType w:val="multilevel"/>
    <w:tmpl w:val="1762615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DE77E7D"/>
    <w:multiLevelType w:val="multilevel"/>
    <w:tmpl w:val="CAEA26D2"/>
    <w:lvl w:ilvl="0">
      <w:start w:val="5"/>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2E607B"/>
    <w:multiLevelType w:val="multilevel"/>
    <w:tmpl w:val="25B26F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A810DB7"/>
    <w:multiLevelType w:val="multilevel"/>
    <w:tmpl w:val="A768ED00"/>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0FD4E60"/>
    <w:multiLevelType w:val="multilevel"/>
    <w:tmpl w:val="EB5818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6C6693"/>
    <w:multiLevelType w:val="multilevel"/>
    <w:tmpl w:val="E4669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2A422F"/>
    <w:multiLevelType w:val="multilevel"/>
    <w:tmpl w:val="86EA5E30"/>
    <w:lvl w:ilvl="0">
      <w:start w:val="1"/>
      <w:numFmt w:val="lowerLetter"/>
      <w:lvlText w:val="%1)"/>
      <w:lvlJc w:val="left"/>
      <w:pPr>
        <w:ind w:left="1647" w:hanging="360"/>
      </w:p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9" w15:restartNumberingAfterBreak="0">
    <w:nsid w:val="3E8E19C8"/>
    <w:multiLevelType w:val="multilevel"/>
    <w:tmpl w:val="A8D22B58"/>
    <w:lvl w:ilvl="0">
      <w:start w:val="2"/>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7622D56"/>
    <w:multiLevelType w:val="multilevel"/>
    <w:tmpl w:val="052CB86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8EE1903"/>
    <w:multiLevelType w:val="multilevel"/>
    <w:tmpl w:val="5D86461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84A58CC"/>
    <w:multiLevelType w:val="multilevel"/>
    <w:tmpl w:val="BE3ED284"/>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679169C4"/>
    <w:multiLevelType w:val="multilevel"/>
    <w:tmpl w:val="A288C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933CDE"/>
    <w:multiLevelType w:val="multilevel"/>
    <w:tmpl w:val="80C0C3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84C489F"/>
    <w:multiLevelType w:val="multilevel"/>
    <w:tmpl w:val="66928CDA"/>
    <w:lvl w:ilvl="0">
      <w:start w:val="1"/>
      <w:numFmt w:val="decimal"/>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abstractNumId w:val="10"/>
  </w:num>
  <w:num w:numId="2">
    <w:abstractNumId w:val="15"/>
  </w:num>
  <w:num w:numId="3">
    <w:abstractNumId w:val="4"/>
  </w:num>
  <w:num w:numId="4">
    <w:abstractNumId w:val="0"/>
  </w:num>
  <w:num w:numId="5">
    <w:abstractNumId w:val="8"/>
  </w:num>
  <w:num w:numId="6">
    <w:abstractNumId w:val="14"/>
  </w:num>
  <w:num w:numId="7">
    <w:abstractNumId w:val="5"/>
  </w:num>
  <w:num w:numId="8">
    <w:abstractNumId w:val="12"/>
  </w:num>
  <w:num w:numId="9">
    <w:abstractNumId w:val="11"/>
  </w:num>
  <w:num w:numId="10">
    <w:abstractNumId w:val="7"/>
  </w:num>
  <w:num w:numId="11">
    <w:abstractNumId w:val="2"/>
  </w:num>
  <w:num w:numId="12">
    <w:abstractNumId w:val="6"/>
  </w:num>
  <w:num w:numId="13">
    <w:abstractNumId w:val="1"/>
  </w:num>
  <w:num w:numId="14">
    <w:abstractNumId w:val="13"/>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6B7"/>
    <w:rsid w:val="000806B7"/>
    <w:rsid w:val="00133D0B"/>
    <w:rsid w:val="00281B57"/>
    <w:rsid w:val="009A201A"/>
    <w:rsid w:val="00F943A0"/>
    <w:rsid w:val="00FD3F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D1A25B-CBC8-4C07-8522-B57B7676D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top w:w="15" w:type="dxa"/>
        <w:left w:w="115" w:type="dxa"/>
        <w:bottom w:w="15" w:type="dxa"/>
        <w:right w:w="115" w:type="dxa"/>
      </w:tblCellMar>
    </w:tblPr>
  </w:style>
  <w:style w:type="table" w:customStyle="1" w:styleId="aa">
    <w:basedOn w:val="TableNormal4"/>
    <w:tblPr>
      <w:tblStyleRowBandSize w:val="1"/>
      <w:tblStyleColBandSize w:val="1"/>
      <w:tblCellMar>
        <w:top w:w="15" w:type="dxa"/>
        <w:left w:w="115" w:type="dxa"/>
        <w:bottom w:w="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table" w:customStyle="1" w:styleId="af6">
    <w:basedOn w:val="TableNormal1"/>
    <w:tblPr>
      <w:tblStyleRowBandSize w:val="1"/>
      <w:tblStyleColBandSize w:val="1"/>
      <w:tblCellMar>
        <w:top w:w="15" w:type="dxa"/>
        <w:left w:w="115" w:type="dxa"/>
        <w:bottom w:w="15" w:type="dxa"/>
        <w:right w:w="115" w:type="dxa"/>
      </w:tblCellMar>
    </w:tblPr>
  </w:style>
  <w:style w:type="table" w:customStyle="1" w:styleId="af7">
    <w:basedOn w:val="TableNormal1"/>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8">
    <w:basedOn w:val="TableNormal0"/>
    <w:tblPr>
      <w:tblStyleRowBandSize w:val="1"/>
      <w:tblStyleColBandSize w:val="1"/>
      <w:tblCellMar>
        <w:top w:w="15" w:type="dxa"/>
        <w:left w:w="115" w:type="dxa"/>
        <w:bottom w:w="15" w:type="dxa"/>
        <w:right w:w="115" w:type="dxa"/>
      </w:tblCellMar>
    </w:tblPr>
  </w:style>
  <w:style w:type="table" w:customStyle="1" w:styleId="af9">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b.mx/segob/renapo/acciones-y-programas/clave-unica-de-registro-de-poblacion-curp-14222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ultas.curp.gob.mx/CurpSP/html/informacionecurpPS.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C4ck/KMazxSMSFF3cuQbW0hROQ==">CgMxLjAyCWguM3pueXNoNzINaC5tODdyZHRsYjVqbTIOaC5vcXB3aGx4c2NqMWwyDmguOGJzcWphbzFjbjYyMg5oLmozcHB5eHdsYjFzMjIIaC50eWpjd3QyDWguamwwZGxhc290NGY4AHIhMVdTQzdOX3BVV1A0dFNQbkNLS25veWU0TXZJZG9iRlVB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13296</Words>
  <Characters>73134</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2025-12-05T17:44:00Z</cp:lastPrinted>
  <dcterms:created xsi:type="dcterms:W3CDTF">2026-01-19T18:43:00Z</dcterms:created>
  <dcterms:modified xsi:type="dcterms:W3CDTF">2026-01-19T18:43:00Z</dcterms:modified>
</cp:coreProperties>
</file>