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2C" w:rsidRPr="00BA1D57" w:rsidRDefault="00D74433" w:rsidP="0059432C">
      <w:pPr>
        <w:tabs>
          <w:tab w:val="left" w:pos="3465"/>
        </w:tabs>
        <w:spacing w:line="360" w:lineRule="auto"/>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color w:val="000000" w:themeColor="text1"/>
        </w:rPr>
        <w:t>R</w:t>
      </w:r>
      <w:bookmarkStart w:id="0" w:name="_GoBack"/>
      <w:bookmarkEnd w:id="0"/>
      <w:r w:rsidRPr="00BA1D57">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59432C" w:rsidRPr="00BA1D57">
        <w:rPr>
          <w:rFonts w:ascii="Palatino Linotype" w:eastAsia="Palatino Linotype" w:hAnsi="Palatino Linotype" w:cs="Palatino Linotype"/>
          <w:b/>
          <w:color w:val="000000" w:themeColor="text1"/>
        </w:rPr>
        <w:t>de fecha veintisiete (27) de agosto de dos mil veinticinco.</w:t>
      </w:r>
    </w:p>
    <w:p w:rsidR="006F1C8C" w:rsidRPr="00BA1D57" w:rsidRDefault="006F1C8C" w:rsidP="0059432C">
      <w:pP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VISTO</w:t>
      </w:r>
      <w:r w:rsidRPr="00BA1D57">
        <w:rPr>
          <w:rFonts w:ascii="Palatino Linotype" w:eastAsia="Palatino Linotype" w:hAnsi="Palatino Linotype" w:cs="Palatino Linotype"/>
          <w:color w:val="000000" w:themeColor="text1"/>
        </w:rPr>
        <w:t xml:space="preserve"> el expediente electrónico formado con motivo del recurso de revisión </w:t>
      </w:r>
      <w:r w:rsidRPr="00BA1D57">
        <w:rPr>
          <w:rFonts w:ascii="Palatino Linotype" w:eastAsia="Palatino Linotype" w:hAnsi="Palatino Linotype" w:cs="Palatino Linotype"/>
          <w:b/>
          <w:color w:val="000000" w:themeColor="text1"/>
        </w:rPr>
        <w:t xml:space="preserve">03983/INFOEM/IP/RR/2025, </w:t>
      </w:r>
      <w:r w:rsidRPr="00BA1D57">
        <w:rPr>
          <w:rFonts w:ascii="Palatino Linotype" w:eastAsia="Palatino Linotype" w:hAnsi="Palatino Linotype" w:cs="Palatino Linotype"/>
          <w:color w:val="000000" w:themeColor="text1"/>
        </w:rPr>
        <w:t xml:space="preserve">promovido por </w:t>
      </w:r>
      <w:r w:rsidR="00B12405">
        <w:rPr>
          <w:rFonts w:ascii="Palatino Linotype" w:eastAsia="Palatino Linotype" w:hAnsi="Palatino Linotype" w:cs="Palatino Linotype"/>
          <w:b/>
          <w:color w:val="000000" w:themeColor="text1"/>
        </w:rPr>
        <w:t>XXXX</w:t>
      </w:r>
      <w:r w:rsidRPr="00BA1D57">
        <w:rPr>
          <w:rFonts w:ascii="Palatino Linotype" w:eastAsia="Palatino Linotype" w:hAnsi="Palatino Linotype" w:cs="Palatino Linotype"/>
          <w:color w:val="000000" w:themeColor="text1"/>
        </w:rPr>
        <w:t xml:space="preserve">, quien en lo sucesivo se le identificara como </w:t>
      </w:r>
      <w:r w:rsidRPr="00BA1D57">
        <w:rPr>
          <w:rFonts w:ascii="Palatino Linotype" w:eastAsia="Palatino Linotype" w:hAnsi="Palatino Linotype" w:cs="Palatino Linotype"/>
          <w:b/>
          <w:color w:val="000000" w:themeColor="text1"/>
        </w:rPr>
        <w:t>RECURRENTE</w:t>
      </w:r>
      <w:r w:rsidRPr="00BA1D57">
        <w:rPr>
          <w:rFonts w:ascii="Palatino Linotype" w:eastAsia="Palatino Linotype" w:hAnsi="Palatino Linotype" w:cs="Palatino Linotype"/>
          <w:color w:val="000000" w:themeColor="text1"/>
        </w:rPr>
        <w:t xml:space="preserve">, en contra de la respuesta del </w:t>
      </w:r>
      <w:r w:rsidRPr="00BA1D57">
        <w:rPr>
          <w:rFonts w:ascii="Palatino Linotype" w:eastAsia="Palatino Linotype" w:hAnsi="Palatino Linotype" w:cs="Palatino Linotype"/>
          <w:b/>
          <w:color w:val="000000" w:themeColor="text1"/>
        </w:rPr>
        <w:t xml:space="preserve">Ayuntamiento de Melchor Ocampo, </w:t>
      </w:r>
      <w:r w:rsidRPr="00BA1D57">
        <w:rPr>
          <w:rFonts w:ascii="Palatino Linotype" w:eastAsia="Palatino Linotype" w:hAnsi="Palatino Linotype" w:cs="Palatino Linotype"/>
          <w:color w:val="000000" w:themeColor="text1"/>
        </w:rPr>
        <w:t xml:space="preserve">en </w:t>
      </w:r>
      <w:r w:rsidR="002755EF">
        <w:rPr>
          <w:rFonts w:ascii="Palatino Linotype" w:eastAsia="Palatino Linotype" w:hAnsi="Palatino Linotype" w:cs="Palatino Linotype"/>
          <w:color w:val="000000" w:themeColor="text1"/>
        </w:rPr>
        <w:t>adelante</w:t>
      </w:r>
      <w:r w:rsidRPr="00BA1D57">
        <w:rPr>
          <w:rFonts w:ascii="Palatino Linotype" w:eastAsia="Palatino Linotype" w:hAnsi="Palatino Linotype" w:cs="Palatino Linotype"/>
          <w:color w:val="000000" w:themeColor="text1"/>
        </w:rPr>
        <w:t xml:space="preserve"> el</w:t>
      </w:r>
      <w:r w:rsidRPr="00BA1D57">
        <w:rPr>
          <w:rFonts w:ascii="Palatino Linotype" w:eastAsia="Palatino Linotype" w:hAnsi="Palatino Linotype" w:cs="Palatino Linotype"/>
          <w:b/>
          <w:color w:val="000000" w:themeColor="text1"/>
        </w:rPr>
        <w:t xml:space="preserve"> SUJETO OBLIGADO, </w:t>
      </w:r>
      <w:r w:rsidRPr="00BA1D57">
        <w:rPr>
          <w:rFonts w:ascii="Palatino Linotype" w:eastAsia="Palatino Linotype" w:hAnsi="Palatino Linotype" w:cs="Palatino Linotype"/>
          <w:color w:val="000000" w:themeColor="text1"/>
        </w:rPr>
        <w:t xml:space="preserve">se procede a dictar la presente resolución, con base en los siguientes: </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nopwqtdpz1d" w:colFirst="0" w:colLast="0"/>
      <w:bookmarkEnd w:id="1"/>
      <w:r w:rsidRPr="00BA1D57">
        <w:rPr>
          <w:rFonts w:ascii="Palatino Linotype" w:eastAsia="Palatino Linotype" w:hAnsi="Palatino Linotype" w:cs="Palatino Linotype"/>
          <w:b/>
          <w:color w:val="000000" w:themeColor="text1"/>
        </w:rPr>
        <w:t>A</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N</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T</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E</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C</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E</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D</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E</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N</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T</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E</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S</w:t>
      </w:r>
    </w:p>
    <w:p w:rsidR="006F1C8C" w:rsidRPr="00BA1D57" w:rsidRDefault="006F1C8C" w:rsidP="0059432C">
      <w:pPr>
        <w:keepNext/>
        <w:keepLines/>
        <w:tabs>
          <w:tab w:val="left" w:pos="0"/>
        </w:tabs>
        <w:spacing w:line="360" w:lineRule="auto"/>
        <w:jc w:val="center"/>
        <w:rPr>
          <w:rFonts w:ascii="Palatino Linotype" w:eastAsia="Palatino Linotype" w:hAnsi="Palatino Linotype" w:cs="Palatino Linotype"/>
          <w:b/>
          <w:color w:val="000000" w:themeColor="text1"/>
        </w:rPr>
      </w:pPr>
    </w:p>
    <w:p w:rsidR="006F1C8C" w:rsidRPr="00BA1D57" w:rsidRDefault="00D74433" w:rsidP="0059432C">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w:t>
      </w:r>
      <w:r w:rsidRPr="00BA1D57">
        <w:rPr>
          <w:rFonts w:ascii="Palatino Linotype" w:eastAsia="Palatino Linotype" w:hAnsi="Palatino Linotype" w:cs="Palatino Linotype"/>
          <w:b/>
          <w:color w:val="000000" w:themeColor="text1"/>
        </w:rPr>
        <w:t>diecinueve de marzo de dos mil veinticinco</w:t>
      </w:r>
      <w:r w:rsidRPr="00BA1D57">
        <w:rPr>
          <w:rFonts w:ascii="Palatino Linotype" w:eastAsia="Palatino Linotype" w:hAnsi="Palatino Linotype" w:cs="Palatino Linotype"/>
          <w:color w:val="000000" w:themeColor="text1"/>
        </w:rPr>
        <w:t>, el</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solicitante</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presentó</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 xml:space="preserve">ante el </w:t>
      </w:r>
      <w:r w:rsidRPr="00BA1D57">
        <w:rPr>
          <w:rFonts w:ascii="Palatino Linotype" w:eastAsia="Palatino Linotype" w:hAnsi="Palatino Linotype" w:cs="Palatino Linotype"/>
          <w:b/>
          <w:color w:val="000000" w:themeColor="text1"/>
        </w:rPr>
        <w:t>SUJETO OBLIGADO,</w:t>
      </w:r>
      <w:r w:rsidRPr="00BA1D57">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BA1D57">
        <w:rPr>
          <w:rFonts w:ascii="Palatino Linotype" w:eastAsia="Palatino Linotype" w:hAnsi="Palatino Linotype" w:cs="Palatino Linotype"/>
          <w:b/>
          <w:color w:val="000000" w:themeColor="text1"/>
        </w:rPr>
        <w:t> 00108/MELOCAM/IP/2025</w:t>
      </w:r>
      <w:r w:rsidRPr="00BA1D57">
        <w:rPr>
          <w:rFonts w:ascii="Palatino Linotype" w:eastAsia="Palatino Linotype" w:hAnsi="Palatino Linotype" w:cs="Palatino Linotype"/>
          <w:color w:val="000000" w:themeColor="text1"/>
        </w:rPr>
        <w:t xml:space="preserve">, </w:t>
      </w:r>
      <w:r w:rsidR="002755EF">
        <w:rPr>
          <w:rFonts w:ascii="Palatino Linotype" w:eastAsia="Palatino Linotype" w:hAnsi="Palatino Linotype" w:cs="Palatino Linotype"/>
          <w:color w:val="000000" w:themeColor="text1"/>
        </w:rPr>
        <w:t>en la que</w:t>
      </w:r>
      <w:r w:rsidRPr="00BA1D57">
        <w:rPr>
          <w:rFonts w:ascii="Palatino Linotype" w:eastAsia="Palatino Linotype" w:hAnsi="Palatino Linotype" w:cs="Palatino Linotype"/>
          <w:color w:val="000000" w:themeColor="text1"/>
        </w:rPr>
        <w:t xml:space="preserve"> se solicitó:</w:t>
      </w:r>
    </w:p>
    <w:p w:rsidR="006F1C8C" w:rsidRPr="00BA1D57" w:rsidRDefault="006F1C8C" w:rsidP="0059432C">
      <w:pP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tabs>
          <w:tab w:val="left" w:pos="0"/>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“Solicito los primeros 200 oficios firmados por el tesorero actual o los que tengan a la fecha” (Sic)</w:t>
      </w:r>
    </w:p>
    <w:p w:rsidR="006F1C8C" w:rsidRDefault="006F1C8C" w:rsidP="0059432C">
      <w:pPr>
        <w:tabs>
          <w:tab w:val="left" w:pos="0"/>
        </w:tabs>
        <w:spacing w:line="360" w:lineRule="auto"/>
        <w:jc w:val="both"/>
        <w:rPr>
          <w:rFonts w:ascii="Palatino Linotype" w:eastAsia="Palatino Linotype" w:hAnsi="Palatino Linotype" w:cs="Palatino Linotype"/>
          <w:color w:val="000000" w:themeColor="text1"/>
        </w:rPr>
      </w:pPr>
    </w:p>
    <w:p w:rsidR="002755EF" w:rsidRPr="00BA1D57" w:rsidRDefault="002755EF" w:rsidP="0059432C">
      <w:pP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Se hace constar que se señaló como modalidad de entrega de la información a través de SAIMEX.</w:t>
      </w:r>
    </w:p>
    <w:p w:rsidR="006F1C8C" w:rsidRPr="00BA1D57" w:rsidRDefault="006F1C8C" w:rsidP="0059432C">
      <w:pP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w:t>
      </w:r>
      <w:r w:rsidRPr="00BA1D57">
        <w:rPr>
          <w:rFonts w:ascii="Palatino Linotype" w:eastAsia="Palatino Linotype" w:hAnsi="Palatino Linotype" w:cs="Palatino Linotype"/>
          <w:b/>
          <w:color w:val="000000" w:themeColor="text1"/>
        </w:rPr>
        <w:t>veinte de marzo de dos mil veinticinco</w:t>
      </w:r>
      <w:r w:rsidRPr="00BA1D57">
        <w:rPr>
          <w:rFonts w:ascii="Palatino Linotype" w:eastAsia="Palatino Linotype" w:hAnsi="Palatino Linotype" w:cs="Palatino Linotype"/>
          <w:color w:val="000000" w:themeColor="text1"/>
        </w:rPr>
        <w:t xml:space="preserve">, se realizó un requerimiento al servidor público habilitado. </w:t>
      </w:r>
    </w:p>
    <w:p w:rsidR="006F1C8C" w:rsidRPr="00BA1D57" w:rsidRDefault="00D74433" w:rsidP="0059432C">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lastRenderedPageBreak/>
        <w:t xml:space="preserve">El </w:t>
      </w:r>
      <w:r w:rsidRPr="00BA1D57">
        <w:rPr>
          <w:rFonts w:ascii="Palatino Linotype" w:eastAsia="Palatino Linotype" w:hAnsi="Palatino Linotype" w:cs="Palatino Linotype"/>
          <w:b/>
          <w:color w:val="000000" w:themeColor="text1"/>
        </w:rPr>
        <w:t>primero de abril de dos mil veinticinco</w:t>
      </w:r>
      <w:r w:rsidRPr="00BA1D57">
        <w:rPr>
          <w:rFonts w:ascii="Palatino Linotype" w:eastAsia="Palatino Linotype" w:hAnsi="Palatino Linotype" w:cs="Palatino Linotype"/>
          <w:color w:val="000000" w:themeColor="text1"/>
        </w:rPr>
        <w:t>, el Sujeto Obligado dio respuesta a la solicitud de información en el siguiente sentido:</w:t>
      </w:r>
    </w:p>
    <w:p w:rsidR="006F1C8C" w:rsidRPr="00BA1D57" w:rsidRDefault="006F1C8C" w:rsidP="0059432C">
      <w:pPr>
        <w:tabs>
          <w:tab w:val="left" w:pos="0"/>
        </w:tabs>
        <w:spacing w:line="360" w:lineRule="auto"/>
        <w:jc w:val="both"/>
        <w:rPr>
          <w:rFonts w:ascii="Palatino Linotype" w:eastAsia="Palatino Linotype" w:hAnsi="Palatino Linotype" w:cs="Palatino Linotype"/>
          <w:color w:val="000000" w:themeColor="text1"/>
        </w:rPr>
      </w:pPr>
    </w:p>
    <w:tbl>
      <w:tblPr>
        <w:tblStyle w:val="a"/>
        <w:tblW w:w="7781" w:type="dxa"/>
        <w:jc w:val="center"/>
        <w:tblInd w:w="0" w:type="dxa"/>
        <w:tblLayout w:type="fixed"/>
        <w:tblLook w:val="0400" w:firstRow="0" w:lastRow="0" w:firstColumn="0" w:lastColumn="0" w:noHBand="0" w:noVBand="1"/>
      </w:tblPr>
      <w:tblGrid>
        <w:gridCol w:w="7781"/>
      </w:tblGrid>
      <w:tr w:rsidR="0059432C" w:rsidRPr="00BA1D57">
        <w:trPr>
          <w:trHeight w:val="299"/>
          <w:jc w:val="center"/>
        </w:trPr>
        <w:tc>
          <w:tcPr>
            <w:tcW w:w="7781" w:type="dxa"/>
            <w:vAlign w:val="center"/>
          </w:tcPr>
          <w:p w:rsidR="006F1C8C" w:rsidRPr="00BA1D57" w:rsidRDefault="00D74433" w:rsidP="0059432C">
            <w:pPr>
              <w:jc w:val="right"/>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Melchor Ocampo, México a 01 de Abril de 2025</w:t>
            </w:r>
          </w:p>
        </w:tc>
      </w:tr>
      <w:tr w:rsidR="0059432C" w:rsidRPr="00BA1D57">
        <w:trPr>
          <w:trHeight w:val="299"/>
          <w:jc w:val="center"/>
        </w:trPr>
        <w:tc>
          <w:tcPr>
            <w:tcW w:w="7781" w:type="dxa"/>
            <w:vAlign w:val="center"/>
          </w:tcPr>
          <w:p w:rsidR="006F1C8C" w:rsidRPr="00BA1D57" w:rsidRDefault="00D74433" w:rsidP="0059432C">
            <w:pPr>
              <w:jc w:val="right"/>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Nombre del solicitante: C. Solicitante</w:t>
            </w:r>
          </w:p>
        </w:tc>
      </w:tr>
      <w:tr w:rsidR="0059432C" w:rsidRPr="00BA1D57">
        <w:trPr>
          <w:trHeight w:val="299"/>
          <w:jc w:val="center"/>
        </w:trPr>
        <w:tc>
          <w:tcPr>
            <w:tcW w:w="7781" w:type="dxa"/>
            <w:vAlign w:val="center"/>
          </w:tcPr>
          <w:p w:rsidR="006F1C8C" w:rsidRPr="00BA1D57" w:rsidRDefault="00D74433" w:rsidP="0059432C">
            <w:pPr>
              <w:jc w:val="right"/>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Folio de la solicitud: 00108/MELOCAM/IP/2025</w:t>
            </w:r>
          </w:p>
        </w:tc>
      </w:tr>
      <w:tr w:rsidR="0059432C" w:rsidRPr="00BA1D57">
        <w:trPr>
          <w:trHeight w:val="449"/>
          <w:jc w:val="center"/>
        </w:trPr>
        <w:tc>
          <w:tcPr>
            <w:tcW w:w="7781" w:type="dxa"/>
            <w:vAlign w:val="center"/>
          </w:tcPr>
          <w:p w:rsidR="006F1C8C" w:rsidRPr="00BA1D57" w:rsidRDefault="006F1C8C" w:rsidP="0059432C">
            <w:pPr>
              <w:jc w:val="right"/>
              <w:rPr>
                <w:rFonts w:ascii="Palatino Linotype" w:eastAsia="Palatino Linotype" w:hAnsi="Palatino Linotype" w:cs="Palatino Linotype"/>
                <w:i/>
                <w:color w:val="000000" w:themeColor="text1"/>
              </w:rPr>
            </w:pPr>
          </w:p>
        </w:tc>
      </w:tr>
      <w:tr w:rsidR="0059432C" w:rsidRPr="00BA1D57">
        <w:trPr>
          <w:trHeight w:val="149"/>
          <w:jc w:val="center"/>
        </w:trPr>
        <w:tc>
          <w:tcPr>
            <w:tcW w:w="7781" w:type="dxa"/>
            <w:vAlign w:val="center"/>
          </w:tcPr>
          <w:p w:rsidR="006F1C8C" w:rsidRPr="00BA1D57" w:rsidRDefault="00D74433" w:rsidP="0059432C">
            <w:pPr>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9432C" w:rsidRPr="00BA1D57">
        <w:trPr>
          <w:trHeight w:val="374"/>
          <w:jc w:val="center"/>
        </w:trPr>
        <w:tc>
          <w:tcPr>
            <w:tcW w:w="7781" w:type="dxa"/>
            <w:vAlign w:val="center"/>
          </w:tcPr>
          <w:p w:rsidR="006F1C8C" w:rsidRPr="00BA1D57" w:rsidRDefault="006F1C8C" w:rsidP="0059432C">
            <w:pPr>
              <w:jc w:val="both"/>
              <w:rPr>
                <w:rFonts w:ascii="Palatino Linotype" w:eastAsia="Palatino Linotype" w:hAnsi="Palatino Linotype" w:cs="Palatino Linotype"/>
                <w:i/>
                <w:color w:val="000000" w:themeColor="text1"/>
              </w:rPr>
            </w:pPr>
          </w:p>
        </w:tc>
      </w:tr>
      <w:tr w:rsidR="0059432C" w:rsidRPr="00BA1D57">
        <w:trPr>
          <w:trHeight w:val="149"/>
          <w:jc w:val="center"/>
        </w:trPr>
        <w:tc>
          <w:tcPr>
            <w:tcW w:w="7781" w:type="dxa"/>
            <w:vAlign w:val="center"/>
          </w:tcPr>
          <w:p w:rsidR="006F1C8C" w:rsidRPr="00BA1D57" w:rsidRDefault="00D74433" w:rsidP="0059432C">
            <w:pPr>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Reciba un cordial saludo de quien suscribe, y con fundamento de los artículos 12, 24 fracción VI, XIV y último párrafo, 143 fracción I de la Ley de Transparencia y Acceso a la Información Pública del Estado de México y Municipios; y en relación a la solicitud citada al rubro, turnada a través del Sistema de Acceso a la Información Mexiquense (SAIMEX), consistente en: “Solicito los primeros 200 oficios firmados por el tesorero actual o lo que tengan a la fecha” (sic) Al respecto se informa que derivado de las atribuciones conferidas de esta Tesorería Municipal, se llevó a cabo una búsqueda exhaustiva y minuciosa en los archivos físicos de los oficios emitidos a la fecha de la solicitud, encontrando que se han asignado 153 folios. Asimismo después de la revisión de la información que existe en dichos oficios, se ha encontrado que algunos cuentan datos personales como lo son: nombre, número de teléfono, dirección, correo electrónico personal, firma autógrafa de particulares, clave catastral, medidas y colindancias de predios, por ello solicito se lleve a cabo el proceso correspondiente ante el comité de Transparencia y Acceso a la Información Pública, para la versión pública a fin de proteger los datos de los particulares, así como versa el artículo 143 fracción I de la Ley de Transparencia y Acceso a la Información Pública del Estado de México y Municipios: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(sic) En este mismo sentido se cuentan con oficios cancelados derivado de que se han corregido o han sido improcedentes y para no alterar la continuidad de los mismo se </w:t>
            </w:r>
            <w:r w:rsidRPr="00BA1D57">
              <w:rPr>
                <w:rFonts w:ascii="Palatino Linotype" w:eastAsia="Palatino Linotype" w:hAnsi="Palatino Linotype" w:cs="Palatino Linotype"/>
                <w:i/>
                <w:color w:val="000000" w:themeColor="text1"/>
              </w:rPr>
              <w:lastRenderedPageBreak/>
              <w:t>mantiene la numeración progresiva, por lo que menciono la relación de folios cancelados: • TM/009/2025 • TM/010/2025 • TM/011/2025 • TM/012/2025 • TM/028/2025 • TM/029/2025 • TM/030/2025 • TM/019/2025 • TM/032/2025 • TM/033/2025 • TM/047/2025 • TM/048/2025 • TM/049/2025 • TM/050/2025 • TM/058/2025 • TM/059/2025 • TM/083/2025 • TM/087/2025 • TM/103/2025 • TM/122/2025 • TM/131/2025 • TM/137/2025 • TM/141/2025 • TM/142/2025 • TM/150/2025 Lo anteriormente expuesto versa en términos del artículo 24 último párrafo de la Ley de Transparencia y Acceso a la Información Pública del Estado de México y Municipios, que a la letra señala: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(sic). Sin más por el momento me despido de usted, no sin antes agradecer la atención que sirva dar al presente, quedando a sus órdenes para cualquier duda o aclaración al respecto.</w:t>
            </w:r>
          </w:p>
        </w:tc>
      </w:tr>
      <w:tr w:rsidR="0059432C" w:rsidRPr="00BA1D57">
        <w:trPr>
          <w:trHeight w:val="374"/>
          <w:jc w:val="center"/>
        </w:trPr>
        <w:tc>
          <w:tcPr>
            <w:tcW w:w="7781" w:type="dxa"/>
            <w:vAlign w:val="center"/>
          </w:tcPr>
          <w:p w:rsidR="006F1C8C" w:rsidRPr="00BA1D57" w:rsidRDefault="006F1C8C" w:rsidP="0059432C">
            <w:pPr>
              <w:rPr>
                <w:rFonts w:ascii="Palatino Linotype" w:eastAsia="Palatino Linotype" w:hAnsi="Palatino Linotype" w:cs="Palatino Linotype"/>
                <w:i/>
                <w:color w:val="000000" w:themeColor="text1"/>
              </w:rPr>
            </w:pPr>
          </w:p>
        </w:tc>
      </w:tr>
      <w:tr w:rsidR="0059432C" w:rsidRPr="00BA1D57">
        <w:trPr>
          <w:trHeight w:val="149"/>
          <w:jc w:val="center"/>
        </w:trPr>
        <w:tc>
          <w:tcPr>
            <w:tcW w:w="7781" w:type="dxa"/>
            <w:vAlign w:val="center"/>
          </w:tcPr>
          <w:p w:rsidR="006F1C8C" w:rsidRPr="00BA1D57" w:rsidRDefault="006F1C8C" w:rsidP="0059432C">
            <w:pPr>
              <w:jc w:val="center"/>
              <w:rPr>
                <w:rFonts w:ascii="Palatino Linotype" w:eastAsia="Palatino Linotype" w:hAnsi="Palatino Linotype" w:cs="Palatino Linotype"/>
                <w:i/>
                <w:color w:val="000000" w:themeColor="text1"/>
              </w:rPr>
            </w:pPr>
          </w:p>
        </w:tc>
      </w:tr>
      <w:tr w:rsidR="0059432C" w:rsidRPr="00BA1D57">
        <w:trPr>
          <w:trHeight w:val="149"/>
          <w:jc w:val="center"/>
        </w:trPr>
        <w:tc>
          <w:tcPr>
            <w:tcW w:w="7781" w:type="dxa"/>
            <w:vAlign w:val="center"/>
          </w:tcPr>
          <w:p w:rsidR="006F1C8C" w:rsidRPr="00BA1D57" w:rsidRDefault="006F1C8C" w:rsidP="0059432C">
            <w:pPr>
              <w:rPr>
                <w:rFonts w:ascii="Palatino Linotype" w:eastAsia="Palatino Linotype" w:hAnsi="Palatino Linotype" w:cs="Palatino Linotype"/>
                <w:i/>
                <w:color w:val="000000" w:themeColor="text1"/>
              </w:rPr>
            </w:pPr>
          </w:p>
        </w:tc>
      </w:tr>
      <w:tr w:rsidR="0059432C" w:rsidRPr="00BA1D57">
        <w:trPr>
          <w:trHeight w:val="149"/>
          <w:jc w:val="center"/>
        </w:trPr>
        <w:tc>
          <w:tcPr>
            <w:tcW w:w="7781" w:type="dxa"/>
            <w:vAlign w:val="center"/>
          </w:tcPr>
          <w:p w:rsidR="006F1C8C" w:rsidRPr="00BA1D57" w:rsidRDefault="00D74433" w:rsidP="0059432C">
            <w:pPr>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ATENTAMENTE</w:t>
            </w:r>
          </w:p>
        </w:tc>
      </w:tr>
      <w:tr w:rsidR="0059432C" w:rsidRPr="00BA1D57">
        <w:trPr>
          <w:trHeight w:val="224"/>
          <w:jc w:val="center"/>
        </w:trPr>
        <w:tc>
          <w:tcPr>
            <w:tcW w:w="7781" w:type="dxa"/>
            <w:vAlign w:val="center"/>
          </w:tcPr>
          <w:p w:rsidR="006F1C8C" w:rsidRPr="00BA1D57" w:rsidRDefault="006F1C8C" w:rsidP="0059432C">
            <w:pPr>
              <w:rPr>
                <w:rFonts w:ascii="Palatino Linotype" w:eastAsia="Palatino Linotype" w:hAnsi="Palatino Linotype" w:cs="Palatino Linotype"/>
                <w:i/>
                <w:color w:val="000000" w:themeColor="text1"/>
              </w:rPr>
            </w:pPr>
          </w:p>
        </w:tc>
      </w:tr>
      <w:tr w:rsidR="006F1C8C" w:rsidRPr="00BA1D57">
        <w:trPr>
          <w:trHeight w:val="149"/>
          <w:jc w:val="center"/>
        </w:trPr>
        <w:tc>
          <w:tcPr>
            <w:tcW w:w="7781" w:type="dxa"/>
            <w:vAlign w:val="center"/>
          </w:tcPr>
          <w:p w:rsidR="006F1C8C" w:rsidRPr="00BA1D57" w:rsidRDefault="00D74433" w:rsidP="0059432C">
            <w:pPr>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H. AYUNTAMIENTO MELCHOR OCAMPO</w:t>
            </w:r>
          </w:p>
        </w:tc>
      </w:tr>
    </w:tbl>
    <w:p w:rsidR="006F1C8C" w:rsidRPr="00BA1D57" w:rsidRDefault="006F1C8C" w:rsidP="0059432C">
      <w:pP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2755EF">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2" w:name="_heading=h.az11rvbkydjj" w:colFirst="0" w:colLast="0"/>
      <w:bookmarkEnd w:id="2"/>
      <w:r w:rsidRPr="00BA1D57">
        <w:rPr>
          <w:rFonts w:ascii="Palatino Linotype" w:eastAsia="Palatino Linotype" w:hAnsi="Palatino Linotype" w:cs="Palatino Linotype"/>
          <w:color w:val="000000" w:themeColor="text1"/>
        </w:rPr>
        <w:t xml:space="preserve">A la respuesta se adjuntaron los archivos que se describen enseguida: </w:t>
      </w:r>
    </w:p>
    <w:p w:rsidR="006F1C8C" w:rsidRPr="00BA1D57" w:rsidRDefault="006F1C8C" w:rsidP="002755E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9B21CC" w:rsidP="002755EF">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hyperlink r:id="rId9">
        <w:r w:rsidR="00D74433" w:rsidRPr="00BA1D57">
          <w:rPr>
            <w:rFonts w:ascii="Palatino Linotype" w:eastAsia="Palatino Linotype" w:hAnsi="Palatino Linotype" w:cs="Palatino Linotype"/>
            <w:b/>
            <w:color w:val="000000" w:themeColor="text1"/>
            <w:u w:val="single"/>
          </w:rPr>
          <w:t>TM_164_2025 (SAIMEX 108) CA.pdf</w:t>
        </w:r>
      </w:hyperlink>
      <w:r w:rsidR="00D74433" w:rsidRPr="00BA1D57">
        <w:rPr>
          <w:rFonts w:ascii="Palatino Linotype" w:eastAsia="Palatino Linotype" w:hAnsi="Palatino Linotype" w:cs="Palatino Linotype"/>
          <w:color w:val="000000" w:themeColor="text1"/>
        </w:rPr>
        <w:t>: oficio número TM/164/2025 de fecha veinticinco de marzo de dos mil veinticinco, suscrito por el Tesorero Municipal quien señaló:</w:t>
      </w:r>
    </w:p>
    <w:p w:rsidR="006F1C8C" w:rsidRPr="00BA1D57" w:rsidRDefault="00D74433"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“Al respecto se informa que derivado de las atribuciones conferidas de esta Tesorería Municipal, se llevó a cabo una búsqueda exhaustiva y minuciosa en los archivos físicos de los oficios emitidos a la fecha de la solicitud, encontrando que se han asignado 153 folios. </w:t>
      </w:r>
    </w:p>
    <w:p w:rsidR="006F1C8C" w:rsidRPr="00BA1D57" w:rsidRDefault="00D74433"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Asimismo después de la revisión de la información que existe en dichos oficios, se ha encontrado que algunos cuentan datos personales como lo son: nombre, número de teléfono, dirección, correo electrónico </w:t>
      </w:r>
      <w:r w:rsidRPr="00BA1D57">
        <w:rPr>
          <w:rFonts w:ascii="Palatino Linotype" w:eastAsia="Palatino Linotype" w:hAnsi="Palatino Linotype" w:cs="Palatino Linotype"/>
          <w:i/>
          <w:color w:val="000000" w:themeColor="text1"/>
        </w:rPr>
        <w:lastRenderedPageBreak/>
        <w:t>personal, firma autógrafa de particulares, clave catastral, medidas y colindancias de predios, por ello solicito se lleve a cabo el proceso correspondiente ante el comité de Transparencia y Acceso a la Información Pública, para la versión pública a fin de proteger los datos de los particulares…”</w:t>
      </w:r>
    </w:p>
    <w:p w:rsidR="006F1C8C" w:rsidRPr="00BA1D57" w:rsidRDefault="00D74433"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sectPr w:rsidR="006F1C8C" w:rsidRPr="00BA1D57" w:rsidSect="002755EF">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pPr>
      <w:r w:rsidRPr="00BA1D57">
        <w:rPr>
          <w:rFonts w:ascii="Palatino Linotype" w:eastAsia="Palatino Linotype" w:hAnsi="Palatino Linotype" w:cs="Palatino Linotype"/>
          <w:i/>
          <w:color w:val="000000" w:themeColor="text1"/>
        </w:rPr>
        <w:t xml:space="preserve">“En este mismo sentido se cuentan con oficios cancelados derivado de que se han corregido o han improcedentes y para no alterar la continuidad de los mismo se mantiene la numeración progresiva, por lo que menciono la relación de folios cancelados: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TM/009/2025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TM/010/2025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TM/011/2025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TM/012/2025</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TM/028/2025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TM/059/2025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TM/029/2025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TM/083/2025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TM/030/2025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TM/087/2025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TM/019/2025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TM/103/2025 </w:t>
      </w:r>
    </w:p>
    <w:p w:rsidR="006F1C8C" w:rsidRPr="00BA1D57" w:rsidRDefault="00D74433" w:rsidP="002755EF">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TM/032/2025”</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TM/122/2025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TM/033/2025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TM/131/2025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TM/047/2025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TM/137/2025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TM/048/2025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TM/141/2025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TM/049/2025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TM/142/2025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TM/050/2025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 xml:space="preserve">TM/150/2025 </w:t>
      </w:r>
    </w:p>
    <w:p w:rsidR="006F1C8C" w:rsidRPr="00BA1D57" w:rsidRDefault="00D74433" w:rsidP="0059432C">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sectPr w:rsidR="006F1C8C" w:rsidRPr="00BA1D57">
          <w:type w:val="continuous"/>
          <w:pgSz w:w="12240" w:h="15840"/>
          <w:pgMar w:top="80" w:right="1608" w:bottom="1418" w:left="1588" w:header="709" w:footer="919" w:gutter="0"/>
          <w:pgNumType w:start="1"/>
          <w:cols w:num="2" w:space="720" w:equalWidth="0">
            <w:col w:w="4168" w:space="708"/>
            <w:col w:w="4168" w:space="0"/>
          </w:cols>
          <w:titlePg/>
        </w:sectPr>
      </w:pPr>
      <w:r w:rsidRPr="00BA1D57">
        <w:rPr>
          <w:rFonts w:ascii="Palatino Linotype" w:eastAsia="Palatino Linotype" w:hAnsi="Palatino Linotype" w:cs="Palatino Linotype"/>
          <w:i/>
          <w:color w:val="000000" w:themeColor="text1"/>
        </w:rPr>
        <w:t>TM/058/2025</w:t>
      </w:r>
    </w:p>
    <w:p w:rsidR="006F1C8C" w:rsidRPr="00BA1D57" w:rsidRDefault="006F1C8C" w:rsidP="0059432C">
      <w:pP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9B21CC" w:rsidP="002755EF">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hyperlink r:id="rId15">
        <w:r w:rsidR="00D74433" w:rsidRPr="00BA1D57">
          <w:rPr>
            <w:rFonts w:ascii="Palatino Linotype" w:eastAsia="Palatino Linotype" w:hAnsi="Palatino Linotype" w:cs="Palatino Linotype"/>
            <w:b/>
            <w:color w:val="000000" w:themeColor="text1"/>
            <w:u w:val="single"/>
          </w:rPr>
          <w:t>Acuerdo 007 confidencialidad SIP 00108_2025.pdf</w:t>
        </w:r>
      </w:hyperlink>
      <w:r w:rsidR="00D74433" w:rsidRPr="00BA1D57">
        <w:rPr>
          <w:rFonts w:ascii="Palatino Linotype" w:eastAsia="Palatino Linotype" w:hAnsi="Palatino Linotype" w:cs="Palatino Linotype"/>
          <w:color w:val="000000" w:themeColor="text1"/>
        </w:rPr>
        <w:t xml:space="preserve">: Acuerdo emitido por el Comité de Transparencia en el que se aprobó la versión pública de los oficios remitidos en respuesta. </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color w:val="000000" w:themeColor="text1"/>
        </w:rPr>
        <w:lastRenderedPageBreak/>
        <w:t xml:space="preserve">En lo sucesivo el </w:t>
      </w:r>
      <w:r w:rsidRPr="00BA1D57">
        <w:rPr>
          <w:rFonts w:ascii="Palatino Linotype" w:eastAsia="Palatino Linotype" w:hAnsi="Palatino Linotype" w:cs="Palatino Linotype"/>
          <w:b/>
          <w:color w:val="000000" w:themeColor="text1"/>
        </w:rPr>
        <w:t>tres de abril de dos mil veinticinco,</w:t>
      </w:r>
      <w:r w:rsidRPr="00BA1D57">
        <w:rPr>
          <w:rFonts w:ascii="Palatino Linotype" w:eastAsia="Palatino Linotype" w:hAnsi="Palatino Linotype" w:cs="Palatino Linotype"/>
          <w:color w:val="000000" w:themeColor="text1"/>
        </w:rPr>
        <w:t xml:space="preserve"> </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el solicitante interpuso el recurso de revisión, señalando como:</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6F1C8C" w:rsidRPr="002755EF" w:rsidRDefault="00D74433" w:rsidP="002755EF">
      <w:pPr>
        <w:pStyle w:val="Prrafodelista"/>
        <w:numPr>
          <w:ilvl w:val="0"/>
          <w:numId w:val="10"/>
        </w:numPr>
        <w:tabs>
          <w:tab w:val="left" w:pos="851"/>
          <w:tab w:val="left" w:pos="8222"/>
        </w:tabs>
        <w:spacing w:line="360" w:lineRule="auto"/>
        <w:jc w:val="both"/>
        <w:rPr>
          <w:rFonts w:ascii="Palatino Linotype" w:eastAsia="Palatino Linotype" w:hAnsi="Palatino Linotype" w:cs="Palatino Linotype"/>
          <w:i/>
          <w:color w:val="000000" w:themeColor="text1"/>
          <w:sz w:val="24"/>
        </w:rPr>
      </w:pPr>
      <w:r w:rsidRPr="002755EF">
        <w:rPr>
          <w:rFonts w:ascii="Palatino Linotype" w:eastAsia="Palatino Linotype" w:hAnsi="Palatino Linotype" w:cs="Palatino Linotype"/>
          <w:b/>
          <w:color w:val="000000" w:themeColor="text1"/>
          <w:sz w:val="24"/>
        </w:rPr>
        <w:t>Acto impugnado:</w:t>
      </w:r>
      <w:r w:rsidRPr="002755EF">
        <w:rPr>
          <w:rFonts w:ascii="Palatino Linotype" w:eastAsia="Palatino Linotype" w:hAnsi="Palatino Linotype" w:cs="Palatino Linotype"/>
          <w:i/>
          <w:color w:val="000000" w:themeColor="text1"/>
          <w:sz w:val="24"/>
        </w:rPr>
        <w:t xml:space="preserve"> </w:t>
      </w:r>
      <w:r w:rsidRPr="002755EF">
        <w:rPr>
          <w:rFonts w:ascii="Palatino Linotype" w:eastAsia="Palatino Linotype" w:hAnsi="Palatino Linotype" w:cs="Palatino Linotype"/>
          <w:color w:val="000000" w:themeColor="text1"/>
          <w:sz w:val="24"/>
        </w:rPr>
        <w:t>“</w:t>
      </w:r>
      <w:r w:rsidRPr="002755EF">
        <w:rPr>
          <w:rFonts w:ascii="Palatino Linotype" w:eastAsia="Palatino Linotype" w:hAnsi="Palatino Linotype" w:cs="Palatino Linotype"/>
          <w:i/>
          <w:color w:val="000000" w:themeColor="text1"/>
          <w:sz w:val="24"/>
        </w:rPr>
        <w:t xml:space="preserve">Respuesta” (Sic) </w:t>
      </w:r>
    </w:p>
    <w:p w:rsidR="006F1C8C" w:rsidRPr="002755EF" w:rsidRDefault="006F1C8C" w:rsidP="0059432C">
      <w:pPr>
        <w:tabs>
          <w:tab w:val="left" w:pos="0"/>
        </w:tabs>
        <w:spacing w:line="360" w:lineRule="auto"/>
        <w:ind w:hanging="141"/>
        <w:rPr>
          <w:rFonts w:ascii="Palatino Linotype" w:eastAsia="Palatino Linotype" w:hAnsi="Palatino Linotype" w:cs="Palatino Linotype"/>
          <w:i/>
          <w:color w:val="000000" w:themeColor="text1"/>
          <w:sz w:val="28"/>
        </w:rPr>
      </w:pPr>
    </w:p>
    <w:p w:rsidR="006F1C8C" w:rsidRPr="002755EF" w:rsidRDefault="00D74433" w:rsidP="002755EF">
      <w:pPr>
        <w:pStyle w:val="Prrafodelista"/>
        <w:numPr>
          <w:ilvl w:val="0"/>
          <w:numId w:val="10"/>
        </w:numPr>
        <w:tabs>
          <w:tab w:val="left" w:pos="851"/>
        </w:tabs>
        <w:spacing w:line="360" w:lineRule="auto"/>
        <w:jc w:val="both"/>
        <w:rPr>
          <w:rFonts w:ascii="Palatino Linotype" w:eastAsia="Palatino Linotype" w:hAnsi="Palatino Linotype" w:cs="Palatino Linotype"/>
          <w:i/>
          <w:color w:val="000000" w:themeColor="text1"/>
          <w:sz w:val="24"/>
        </w:rPr>
      </w:pPr>
      <w:r w:rsidRPr="002755EF">
        <w:rPr>
          <w:rFonts w:ascii="Palatino Linotype" w:eastAsia="Palatino Linotype" w:hAnsi="Palatino Linotype" w:cs="Palatino Linotype"/>
          <w:b/>
          <w:color w:val="000000" w:themeColor="text1"/>
          <w:sz w:val="24"/>
        </w:rPr>
        <w:t>Razones o Motivos de inconformidad: “</w:t>
      </w:r>
      <w:r w:rsidRPr="002755EF">
        <w:rPr>
          <w:rFonts w:ascii="Palatino Linotype" w:eastAsia="Palatino Linotype" w:hAnsi="Palatino Linotype" w:cs="Palatino Linotype"/>
          <w:i/>
          <w:color w:val="000000" w:themeColor="text1"/>
          <w:sz w:val="24"/>
        </w:rPr>
        <w:t>No remiten todos los documentos y sus cuadros negros están mal porque hay cosas que deberíamos conocer” (sic)</w:t>
      </w:r>
    </w:p>
    <w:p w:rsidR="006F1C8C" w:rsidRPr="00BA1D57" w:rsidRDefault="006F1C8C" w:rsidP="0059432C">
      <w:pPr>
        <w:tabs>
          <w:tab w:val="left" w:pos="851"/>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BA1D57">
        <w:rPr>
          <w:rFonts w:ascii="Palatino Linotype" w:eastAsia="Palatino Linotype" w:hAnsi="Palatino Linotype" w:cs="Palatino Linotype"/>
          <w:b/>
          <w:color w:val="000000" w:themeColor="text1"/>
        </w:rPr>
        <w:t>Comisionada María del Rosario Mejía Ayala</w:t>
      </w:r>
      <w:r w:rsidRPr="00BA1D57">
        <w:rPr>
          <w:rFonts w:ascii="Palatino Linotype" w:eastAsia="Palatino Linotype" w:hAnsi="Palatino Linotype" w:cs="Palatino Linotype"/>
          <w:color w:val="000000" w:themeColor="text1"/>
        </w:rPr>
        <w:t xml:space="preserve"> </w:t>
      </w:r>
      <w:r w:rsidR="002755EF">
        <w:rPr>
          <w:rFonts w:ascii="Palatino Linotype" w:eastAsia="Palatino Linotype" w:hAnsi="Palatino Linotype" w:cs="Palatino Linotype"/>
          <w:color w:val="000000" w:themeColor="text1"/>
        </w:rPr>
        <w:t>para</w:t>
      </w:r>
      <w:r w:rsidRPr="00BA1D57">
        <w:rPr>
          <w:rFonts w:ascii="Palatino Linotype" w:eastAsia="Palatino Linotype" w:hAnsi="Palatino Linotype" w:cs="Palatino Linotype"/>
          <w:color w:val="000000" w:themeColor="text1"/>
        </w:rPr>
        <w:t xml:space="preserve"> su análisis.</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BA1D57">
        <w:rPr>
          <w:rFonts w:ascii="Palatino Linotype" w:eastAsia="Palatino Linotype" w:hAnsi="Palatino Linotype" w:cs="Palatino Linotype"/>
          <w:b/>
          <w:color w:val="000000" w:themeColor="text1"/>
        </w:rPr>
        <w:t>siete de abril de dos mil veinticinco</w:t>
      </w:r>
      <w:r w:rsidRPr="00BA1D57">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BA1D57">
        <w:rPr>
          <w:rFonts w:ascii="Palatino Linotype" w:eastAsia="Palatino Linotype" w:hAnsi="Palatino Linotype" w:cs="Palatino Linotype"/>
          <w:b/>
          <w:color w:val="000000" w:themeColor="text1"/>
        </w:rPr>
        <w:t xml:space="preserve">(SAIMEX) </w:t>
      </w:r>
      <w:r w:rsidRPr="00BA1D57">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BA1D57">
        <w:rPr>
          <w:rFonts w:ascii="Palatino Linotype" w:eastAsia="Palatino Linotype" w:hAnsi="Palatino Linotype" w:cs="Palatino Linotype"/>
          <w:b/>
          <w:color w:val="000000" w:themeColor="text1"/>
        </w:rPr>
        <w:t>SUJETO OBLIGADO</w:t>
      </w:r>
      <w:r w:rsidRPr="00BA1D57">
        <w:rPr>
          <w:rFonts w:ascii="Palatino Linotype" w:eastAsia="Palatino Linotype" w:hAnsi="Palatino Linotype" w:cs="Palatino Linotype"/>
          <w:color w:val="000000" w:themeColor="text1"/>
        </w:rPr>
        <w:t xml:space="preserve"> presentara el Informe Justificado procedente.  </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De las constancias que obran en el expediente electrónico SAIMEX, se advierte que el particular no realizó manifestaciones que a su derecho convinieran; por su parte, el Sujeto Obligado entregó informe justificado el </w:t>
      </w:r>
      <w:r w:rsidRPr="00BA1D57">
        <w:rPr>
          <w:rFonts w:ascii="Palatino Linotype" w:eastAsia="Palatino Linotype" w:hAnsi="Palatino Linotype" w:cs="Palatino Linotype"/>
          <w:b/>
          <w:color w:val="000000" w:themeColor="text1"/>
        </w:rPr>
        <w:t>once de abril de dos mil veinticinco</w:t>
      </w:r>
      <w:r w:rsidRPr="00BA1D57">
        <w:rPr>
          <w:rFonts w:ascii="Palatino Linotype" w:eastAsia="Palatino Linotype" w:hAnsi="Palatino Linotype" w:cs="Palatino Linotype"/>
          <w:color w:val="000000" w:themeColor="text1"/>
        </w:rPr>
        <w:t xml:space="preserve">, mismo que fue puesto a la vista del particular el </w:t>
      </w:r>
      <w:r w:rsidRPr="00BA1D57">
        <w:rPr>
          <w:rFonts w:ascii="Palatino Linotype" w:eastAsia="Palatino Linotype" w:hAnsi="Palatino Linotype" w:cs="Palatino Linotype"/>
          <w:b/>
          <w:color w:val="000000" w:themeColor="text1"/>
        </w:rPr>
        <w:t>veintiocho de abril del mismo año</w:t>
      </w:r>
      <w:r w:rsidRPr="00BA1D57">
        <w:rPr>
          <w:rFonts w:ascii="Palatino Linotype" w:eastAsia="Palatino Linotype" w:hAnsi="Palatino Linotype" w:cs="Palatino Linotype"/>
          <w:color w:val="000000" w:themeColor="text1"/>
        </w:rPr>
        <w:t xml:space="preserve">, y que consta del </w:t>
      </w:r>
      <w:r w:rsidRPr="00BA1D57">
        <w:rPr>
          <w:rFonts w:ascii="Palatino Linotype" w:eastAsia="Palatino Linotype" w:hAnsi="Palatino Linotype" w:cs="Palatino Linotype"/>
          <w:color w:val="000000" w:themeColor="text1"/>
        </w:rPr>
        <w:lastRenderedPageBreak/>
        <w:t xml:space="preserve">archivo denominado  </w:t>
      </w:r>
      <w:hyperlink r:id="rId16">
        <w:r w:rsidRPr="00BA1D57">
          <w:rPr>
            <w:rFonts w:ascii="Palatino Linotype" w:eastAsia="Palatino Linotype" w:hAnsi="Palatino Linotype" w:cs="Palatino Linotype"/>
            <w:b/>
            <w:color w:val="000000" w:themeColor="text1"/>
            <w:u w:val="single"/>
          </w:rPr>
          <w:t>INF. JUSTIFICADO RR_03983_2025 SIP 00108.pdf</w:t>
        </w:r>
      </w:hyperlink>
      <w:r w:rsidRPr="00BA1D57">
        <w:rPr>
          <w:rFonts w:ascii="Palatino Linotype" w:eastAsia="Palatino Linotype" w:hAnsi="Palatino Linotype" w:cs="Palatino Linotype"/>
          <w:color w:val="000000" w:themeColor="text1"/>
        </w:rPr>
        <w:t xml:space="preserve">, en el que se forma medular, el Sujeto Obligado ratificó su respuesta. </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w:t>
      </w:r>
      <w:r w:rsidRPr="00BA1D57">
        <w:rPr>
          <w:rFonts w:ascii="Palatino Linotype" w:eastAsia="Palatino Linotype" w:hAnsi="Palatino Linotype" w:cs="Palatino Linotype"/>
          <w:b/>
          <w:color w:val="000000" w:themeColor="text1"/>
        </w:rPr>
        <w:t>cuatro de agosto de dos mil veinticinco</w:t>
      </w:r>
      <w:r w:rsidRPr="00BA1D57">
        <w:rPr>
          <w:rFonts w:ascii="Palatino Linotype" w:eastAsia="Palatino Linotype" w:hAnsi="Palatino Linotype" w:cs="Palatino Linotype"/>
          <w:color w:val="000000" w:themeColor="text1"/>
        </w:rPr>
        <w:t xml:space="preserve">, se notificó acuerdo mediante el cual se aprobó la ampliación de plazo para emitir resolución. </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El </w:t>
      </w:r>
      <w:r w:rsidRPr="00BA1D57">
        <w:rPr>
          <w:rFonts w:ascii="Palatino Linotype" w:eastAsia="Palatino Linotype" w:hAnsi="Palatino Linotype" w:cs="Palatino Linotype"/>
          <w:b/>
          <w:color w:val="000000" w:themeColor="text1"/>
        </w:rPr>
        <w:t>diecinueve de agosto de dos mil veinticinco,</w:t>
      </w:r>
      <w:r w:rsidRPr="00BA1D57">
        <w:rPr>
          <w:rFonts w:ascii="Palatino Linotype" w:eastAsia="Palatino Linotype" w:hAnsi="Palatino Linotype" w:cs="Palatino Linotype"/>
          <w:color w:val="000000" w:themeColor="text1"/>
        </w:rPr>
        <w:t xml:space="preserve"> se notificó acuerdo mediante el cual se </w:t>
      </w:r>
      <w:r w:rsidR="002755EF" w:rsidRPr="00BA1D57">
        <w:rPr>
          <w:rFonts w:ascii="Palatino Linotype" w:eastAsia="Palatino Linotype" w:hAnsi="Palatino Linotype" w:cs="Palatino Linotype"/>
          <w:color w:val="000000" w:themeColor="text1"/>
        </w:rPr>
        <w:t>decretó</w:t>
      </w:r>
      <w:r w:rsidRPr="00BA1D57">
        <w:rPr>
          <w:rFonts w:ascii="Palatino Linotype" w:eastAsia="Palatino Linotype" w:hAnsi="Palatino Linotype" w:cs="Palatino Linotype"/>
          <w:color w:val="000000" w:themeColor="text1"/>
        </w:rPr>
        <w:t xml:space="preserve"> el cierre de instrucción.  </w:t>
      </w:r>
    </w:p>
    <w:p w:rsidR="006F1C8C" w:rsidRPr="00BA1D57" w:rsidRDefault="006F1C8C" w:rsidP="0059432C">
      <w:pPr>
        <w:spacing w:line="360" w:lineRule="auto"/>
        <w:jc w:val="both"/>
        <w:rPr>
          <w:rFonts w:ascii="Palatino Linotype" w:eastAsia="Palatino Linotype" w:hAnsi="Palatino Linotype" w:cs="Palatino Linotype"/>
          <w:b/>
          <w:color w:val="000000" w:themeColor="text1"/>
        </w:rPr>
      </w:pPr>
    </w:p>
    <w:p w:rsidR="006F1C8C" w:rsidRPr="00BA1D57" w:rsidRDefault="00D74433" w:rsidP="0059432C">
      <w:pPr>
        <w:keepNext/>
        <w:keepLines/>
        <w:spacing w:line="360" w:lineRule="auto"/>
        <w:jc w:val="center"/>
        <w:rPr>
          <w:rFonts w:ascii="Palatino Linotype" w:eastAsia="Palatino Linotype" w:hAnsi="Palatino Linotype" w:cs="Palatino Linotype"/>
          <w:b/>
          <w:color w:val="000000" w:themeColor="text1"/>
        </w:rPr>
      </w:pPr>
      <w:bookmarkStart w:id="3" w:name="_heading=h.4rctox3v8tgt" w:colFirst="0" w:colLast="0"/>
      <w:bookmarkEnd w:id="3"/>
      <w:r w:rsidRPr="00BA1D57">
        <w:rPr>
          <w:rFonts w:ascii="Palatino Linotype" w:eastAsia="Palatino Linotype" w:hAnsi="Palatino Linotype" w:cs="Palatino Linotype"/>
          <w:b/>
          <w:color w:val="000000" w:themeColor="text1"/>
        </w:rPr>
        <w:t>C</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O</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N</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S</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I</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D</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E</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R</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A</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N</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D</w:t>
      </w:r>
      <w:r w:rsidR="002755EF">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b/>
          <w:color w:val="000000" w:themeColor="text1"/>
        </w:rPr>
        <w:t>O</w:t>
      </w:r>
    </w:p>
    <w:p w:rsidR="006F1C8C" w:rsidRPr="00BA1D57" w:rsidRDefault="006F1C8C" w:rsidP="0059432C">
      <w:pPr>
        <w:keepNext/>
        <w:keepLines/>
        <w:spacing w:line="360" w:lineRule="auto"/>
        <w:jc w:val="center"/>
        <w:rPr>
          <w:rFonts w:ascii="Palatino Linotype" w:eastAsia="Palatino Linotype" w:hAnsi="Palatino Linotype" w:cs="Palatino Linotype"/>
          <w:b/>
          <w:color w:val="000000" w:themeColor="text1"/>
        </w:rPr>
      </w:pPr>
    </w:p>
    <w:p w:rsidR="006F1C8C" w:rsidRPr="00BA1D57" w:rsidRDefault="00D74433" w:rsidP="0059432C">
      <w:pPr>
        <w:keepNext/>
        <w:keepLines/>
        <w:spacing w:line="360" w:lineRule="auto"/>
        <w:rPr>
          <w:rFonts w:ascii="Palatino Linotype" w:eastAsia="Palatino Linotype" w:hAnsi="Palatino Linotype" w:cs="Palatino Linotype"/>
          <w:b/>
          <w:color w:val="000000" w:themeColor="text1"/>
        </w:rPr>
      </w:pPr>
      <w:bookmarkStart w:id="4" w:name="_heading=h.31goig1yuddy" w:colFirst="0" w:colLast="0"/>
      <w:bookmarkEnd w:id="4"/>
      <w:r w:rsidRPr="00BA1D57">
        <w:rPr>
          <w:rFonts w:ascii="Palatino Linotype" w:eastAsia="Palatino Linotype" w:hAnsi="Palatino Linotype" w:cs="Palatino Linotype"/>
          <w:b/>
          <w:color w:val="000000" w:themeColor="text1"/>
        </w:rPr>
        <w:t>PRIMERO. De la competencia.</w:t>
      </w:r>
    </w:p>
    <w:p w:rsidR="006F1C8C" w:rsidRPr="00BA1D57" w:rsidRDefault="00D74433" w:rsidP="0059432C">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A1D57">
        <w:rPr>
          <w:rFonts w:ascii="Palatino Linotype" w:eastAsia="Palatino Linotype" w:hAnsi="Palatino Linotype" w:cs="Palatino Linotype"/>
          <w:b/>
          <w:color w:val="000000" w:themeColor="text1"/>
        </w:rPr>
        <w:t>Constitución Política de los Estados Unidos Mexicanos</w:t>
      </w:r>
      <w:r w:rsidRPr="00BA1D57">
        <w:rPr>
          <w:rFonts w:ascii="Palatino Linotype" w:eastAsia="Palatino Linotype" w:hAnsi="Palatino Linotype" w:cs="Palatino Linotype"/>
          <w:color w:val="000000" w:themeColor="text1"/>
        </w:rPr>
        <w:t xml:space="preserve">; 5, párrafos trigésimo segundo y trigésimo tercero, fracciones IV y V, de la </w:t>
      </w:r>
      <w:r w:rsidRPr="00BA1D57">
        <w:rPr>
          <w:rFonts w:ascii="Palatino Linotype" w:eastAsia="Palatino Linotype" w:hAnsi="Palatino Linotype" w:cs="Palatino Linotype"/>
          <w:b/>
          <w:color w:val="000000" w:themeColor="text1"/>
        </w:rPr>
        <w:t>Constitución Política del Estado Libre y Soberano de México</w:t>
      </w:r>
      <w:r w:rsidRPr="00BA1D57">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BA1D57">
        <w:rPr>
          <w:rFonts w:ascii="Palatino Linotype" w:eastAsia="Palatino Linotype" w:hAnsi="Palatino Linotype" w:cs="Palatino Linotype"/>
          <w:b/>
          <w:color w:val="000000" w:themeColor="text1"/>
        </w:rPr>
        <w:t>Ley de Transparencia y Acceso a la Información Pública del Estado de México y Municipios</w:t>
      </w:r>
      <w:r w:rsidRPr="00BA1D57">
        <w:rPr>
          <w:rFonts w:ascii="Palatino Linotype" w:eastAsia="Palatino Linotype" w:hAnsi="Palatino Linotype" w:cs="Palatino Linotype"/>
          <w:color w:val="000000" w:themeColor="text1"/>
        </w:rPr>
        <w:t xml:space="preserve">; y 7, 9 fracciones I y XXIII, y 11 del </w:t>
      </w:r>
      <w:r w:rsidRPr="00BA1D5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6F1C8C" w:rsidRPr="00BA1D57" w:rsidRDefault="00D74433" w:rsidP="0059432C">
      <w:pPr>
        <w:keepNext/>
        <w:keepLines/>
        <w:spacing w:line="360" w:lineRule="auto"/>
        <w:rPr>
          <w:rFonts w:ascii="Palatino Linotype" w:eastAsia="Palatino Linotype" w:hAnsi="Palatino Linotype" w:cs="Palatino Linotype"/>
          <w:b/>
          <w:color w:val="000000" w:themeColor="text1"/>
        </w:rPr>
      </w:pPr>
      <w:bookmarkStart w:id="5" w:name="_heading=h.90jwy0mf4h5u" w:colFirst="0" w:colLast="0"/>
      <w:bookmarkEnd w:id="5"/>
      <w:r w:rsidRPr="00BA1D57">
        <w:rPr>
          <w:rFonts w:ascii="Palatino Linotype" w:eastAsia="Palatino Linotype" w:hAnsi="Palatino Linotype" w:cs="Palatino Linotype"/>
          <w:b/>
          <w:color w:val="000000" w:themeColor="text1"/>
        </w:rPr>
        <w:lastRenderedPageBreak/>
        <w:t>SEGUNDO. De la oportunidad y procedencia.</w:t>
      </w:r>
    </w:p>
    <w:p w:rsidR="006F1C8C"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medio de impugnación fue presentado a través del </w:t>
      </w:r>
      <w:r w:rsidRPr="00BA1D57">
        <w:rPr>
          <w:rFonts w:ascii="Palatino Linotype" w:eastAsia="Palatino Linotype" w:hAnsi="Palatino Linotype" w:cs="Palatino Linotype"/>
          <w:b/>
          <w:color w:val="000000" w:themeColor="text1"/>
        </w:rPr>
        <w:t>SAIMEX,</w:t>
      </w:r>
      <w:r w:rsidRPr="00BA1D5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A1D57">
        <w:rPr>
          <w:rFonts w:ascii="Palatino Linotype" w:eastAsia="Palatino Linotype" w:hAnsi="Palatino Linotype" w:cs="Palatino Linotype"/>
          <w:b/>
          <w:color w:val="000000" w:themeColor="text1"/>
        </w:rPr>
        <w:t>SUJETO OBLIGADO</w:t>
      </w:r>
      <w:r w:rsidRPr="00BA1D57">
        <w:rPr>
          <w:rFonts w:ascii="Palatino Linotype" w:eastAsia="Palatino Linotype" w:hAnsi="Palatino Linotype" w:cs="Palatino Linotype"/>
          <w:color w:val="000000" w:themeColor="text1"/>
        </w:rPr>
        <w:t xml:space="preserve"> entregó respuesta el día </w:t>
      </w:r>
      <w:r w:rsidRPr="00BA1D57">
        <w:rPr>
          <w:rFonts w:ascii="Palatino Linotype" w:eastAsia="Palatino Linotype" w:hAnsi="Palatino Linotype" w:cs="Palatino Linotype"/>
          <w:b/>
          <w:color w:val="000000" w:themeColor="text1"/>
        </w:rPr>
        <w:t>primero de abril de dos mil veinticinco</w:t>
      </w:r>
      <w:r w:rsidRPr="00BA1D57">
        <w:rPr>
          <w:rFonts w:ascii="Palatino Linotype" w:eastAsia="Palatino Linotype" w:hAnsi="Palatino Linotype" w:cs="Palatino Linotype"/>
          <w:color w:val="000000" w:themeColor="text1"/>
        </w:rPr>
        <w:t xml:space="preserve">, de tal forma que el plazo para interponer el recurso transcurrió del </w:t>
      </w:r>
      <w:r w:rsidRPr="00BA1D57">
        <w:rPr>
          <w:rFonts w:ascii="Palatino Linotype" w:eastAsia="Palatino Linotype" w:hAnsi="Palatino Linotype" w:cs="Palatino Linotype"/>
          <w:b/>
          <w:color w:val="000000" w:themeColor="text1"/>
        </w:rPr>
        <w:t>dos al veintinueve de abril de dos mil veinticinco</w:t>
      </w:r>
      <w:r w:rsidRPr="00BA1D57">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BA1D57">
        <w:rPr>
          <w:rFonts w:ascii="Palatino Linotype" w:eastAsia="Palatino Linotype" w:hAnsi="Palatino Linotype" w:cs="Palatino Linotype"/>
          <w:b/>
          <w:color w:val="000000" w:themeColor="text1"/>
        </w:rPr>
        <w:t>tres de abril de dos mil veinticinco</w:t>
      </w:r>
      <w:r w:rsidRPr="00BA1D57">
        <w:rPr>
          <w:rFonts w:ascii="Palatino Linotype" w:eastAsia="Palatino Linotype" w:hAnsi="Palatino Linotype" w:cs="Palatino Linotype"/>
          <w:color w:val="000000" w:themeColor="text1"/>
        </w:rPr>
        <w:t xml:space="preserve">, se encuentra dentro de los márgenes temporales previstos en el artículo 178 de la </w:t>
      </w:r>
      <w:r w:rsidRPr="00BA1D5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A1D57">
        <w:rPr>
          <w:rFonts w:ascii="Palatino Linotype" w:eastAsia="Palatino Linotype" w:hAnsi="Palatino Linotype" w:cs="Palatino Linotype"/>
          <w:color w:val="000000" w:themeColor="text1"/>
        </w:rPr>
        <w:t>vigente.</w:t>
      </w:r>
    </w:p>
    <w:p w:rsidR="002755EF" w:rsidRPr="00BA1D57" w:rsidRDefault="002755EF" w:rsidP="002755EF">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F1C8C" w:rsidRPr="00BA1D57" w:rsidRDefault="006F1C8C" w:rsidP="0059432C">
      <w:pPr>
        <w:spacing w:line="360" w:lineRule="auto"/>
        <w:jc w:val="both"/>
        <w:rPr>
          <w:rFonts w:ascii="Palatino Linotype" w:eastAsia="Palatino Linotype" w:hAnsi="Palatino Linotype" w:cs="Palatino Linotype"/>
          <w:b/>
          <w:color w:val="000000" w:themeColor="text1"/>
        </w:rPr>
      </w:pPr>
    </w:p>
    <w:p w:rsidR="006F1C8C" w:rsidRPr="00BA1D57" w:rsidRDefault="00D74433" w:rsidP="0059432C">
      <w:pPr>
        <w:keepNext/>
        <w:keepLines/>
        <w:spacing w:line="360" w:lineRule="auto"/>
        <w:rPr>
          <w:rFonts w:ascii="Palatino Linotype" w:eastAsia="Palatino Linotype" w:hAnsi="Palatino Linotype" w:cs="Palatino Linotype"/>
          <w:b/>
          <w:color w:val="000000" w:themeColor="text1"/>
        </w:rPr>
      </w:pPr>
      <w:bookmarkStart w:id="6" w:name="_heading=h.keixtzw4tl1c" w:colFirst="0" w:colLast="0"/>
      <w:bookmarkEnd w:id="6"/>
      <w:r w:rsidRPr="00BA1D57">
        <w:rPr>
          <w:rFonts w:ascii="Palatino Linotype" w:eastAsia="Palatino Linotype" w:hAnsi="Palatino Linotype" w:cs="Palatino Linotype"/>
          <w:b/>
          <w:color w:val="000000" w:themeColor="text1"/>
        </w:rPr>
        <w:t>TERCERO. Planteamiento de la Litis.</w:t>
      </w: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El particular solicitó los primero 200 oficios o los que tenga a la fecha de la solicitud, firmados por el Tesorero Municipal. </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color w:val="000000" w:themeColor="text1"/>
        </w:rPr>
        <w:t xml:space="preserve">En respuesta, el Sujeto Obligado entregó los oficios en versión pública que tiene a la fecha de la solicitud y señaló los números de oficio cancelados. Posteriormente, el Recurrente se inconformó por la entrega de la información incompleta y la versión pública de los mismos. </w:t>
      </w: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lastRenderedPageBreak/>
        <w:t xml:space="preserve">En consecuencia, la Litis a resolver en este recurso, se circunscribe a determinar si la respuesta colma con lo solicitado o si se actualiza la causal de procedencia prevista en el artículo 179, fracción II y V de la Ley de Transparencia y Acceso a la Información Pública del Estado de México y Municipios; que establece la entrega de información incompleta y la clasificación de la información. </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7s1uw83915si" w:colFirst="0" w:colLast="0"/>
      <w:bookmarkEnd w:id="7"/>
      <w:r w:rsidRPr="00BA1D57">
        <w:rPr>
          <w:rFonts w:ascii="Palatino Linotype" w:eastAsia="Palatino Linotype" w:hAnsi="Palatino Linotype" w:cs="Palatino Linotype"/>
          <w:b/>
          <w:color w:val="000000" w:themeColor="text1"/>
          <w:sz w:val="24"/>
          <w:szCs w:val="24"/>
        </w:rPr>
        <w:t>CUARTO. Del estudio y resolución del recurso de revisión.</w:t>
      </w:r>
    </w:p>
    <w:p w:rsidR="006F1C8C" w:rsidRPr="00BA1D57" w:rsidRDefault="00D74433" w:rsidP="0059432C">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r2uwksxff81" w:colFirst="0" w:colLast="0"/>
      <w:bookmarkStart w:id="9" w:name="_heading=h.iv7rf11tttxt" w:colFirst="0" w:colLast="0"/>
      <w:bookmarkEnd w:id="8"/>
      <w:bookmarkEnd w:id="9"/>
      <w:r w:rsidRPr="00BA1D57">
        <w:rPr>
          <w:rFonts w:ascii="Palatino Linotype" w:eastAsia="Palatino Linotype" w:hAnsi="Palatino Linotype" w:cs="Palatino Linotype"/>
          <w:b/>
          <w:color w:val="000000" w:themeColor="text1"/>
          <w:sz w:val="24"/>
          <w:szCs w:val="24"/>
        </w:rPr>
        <w:t>De la información solicitada y la respuesta del Sujeto Obligado</w:t>
      </w: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Primeramente, debemos recapitular que el particular solicitó los primero 200 oficios o los que tenga a la fecha de la solicitud, firmados por el Tesorero Municipal.</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BA1D57">
        <w:rPr>
          <w:rFonts w:ascii="Palatino Linotype" w:eastAsia="Palatino Linotype" w:hAnsi="Palatino Linotype" w:cs="Palatino Linotype"/>
          <w:i/>
          <w:color w:val="000000" w:themeColor="text1"/>
        </w:rPr>
        <w:t xml:space="preserve">en el ámbito de sus atribuciones, de promover, respetar, proteger y </w:t>
      </w:r>
      <w:r w:rsidRPr="00BA1D57">
        <w:rPr>
          <w:rFonts w:ascii="Palatino Linotype" w:eastAsia="Palatino Linotype" w:hAnsi="Palatino Linotype" w:cs="Palatino Linotype"/>
          <w:b/>
          <w:i/>
          <w:color w:val="000000" w:themeColor="text1"/>
        </w:rPr>
        <w:t>garantizar</w:t>
      </w:r>
      <w:r w:rsidRPr="00BA1D57">
        <w:rPr>
          <w:rFonts w:ascii="Palatino Linotype" w:eastAsia="Palatino Linotype" w:hAnsi="Palatino Linotype" w:cs="Palatino Linotype"/>
          <w:i/>
          <w:color w:val="000000" w:themeColor="text1"/>
        </w:rPr>
        <w:t xml:space="preserve"> los derechos humanos. </w:t>
      </w:r>
      <w:r w:rsidRPr="00BA1D57">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BA1D57">
        <w:rPr>
          <w:rFonts w:ascii="Palatino Linotype" w:eastAsia="Palatino Linotype" w:hAnsi="Palatino Linotype" w:cs="Palatino Linotype"/>
          <w:i/>
          <w:color w:val="000000" w:themeColor="text1"/>
        </w:rPr>
        <w:t xml:space="preserve">l procedimiento de acceso a la información es la garantía primaria </w:t>
      </w:r>
      <w:r w:rsidRPr="00BA1D57">
        <w:rPr>
          <w:rFonts w:ascii="Palatino Linotype" w:eastAsia="Palatino Linotype" w:hAnsi="Palatino Linotype" w:cs="Palatino Linotype"/>
          <w:i/>
          <w:color w:val="000000" w:themeColor="text1"/>
        </w:rPr>
        <w:lastRenderedPageBreak/>
        <w:t>del derecho en cuestión y se rige por los principios de simplicidad, rapidez y gratuidad del procedimiento, auxilio y orientación a los particulares</w:t>
      </w:r>
      <w:r w:rsidRPr="00BA1D57">
        <w:rPr>
          <w:rFonts w:ascii="Palatino Linotype" w:eastAsia="Century Gothic" w:hAnsi="Palatino Linotype" w:cs="Century Gothic"/>
          <w:i/>
          <w:color w:val="000000" w:themeColor="text1"/>
          <w:vertAlign w:val="superscript"/>
        </w:rPr>
        <w:footnoteReference w:id="1"/>
      </w:r>
      <w:r w:rsidRPr="00BA1D57">
        <w:rPr>
          <w:rFonts w:ascii="Palatino Linotype" w:eastAsia="Palatino Linotype" w:hAnsi="Palatino Linotype" w:cs="Palatino Linotype"/>
          <w:i/>
          <w:color w:val="000000" w:themeColor="text1"/>
        </w:rPr>
        <w:t xml:space="preserve">, </w:t>
      </w:r>
      <w:r w:rsidRPr="00BA1D57">
        <w:rPr>
          <w:rFonts w:ascii="Palatino Linotype" w:eastAsia="Palatino Linotype" w:hAnsi="Palatino Linotype" w:cs="Palatino Linotype"/>
          <w:color w:val="000000" w:themeColor="text1"/>
        </w:rPr>
        <w:t>asimismo establece</w:t>
      </w:r>
      <w:r w:rsidRPr="00BA1D57">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Es así que, su obligación es </w:t>
      </w:r>
      <w:r w:rsidRPr="00BA1D57">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BA1D57">
        <w:rPr>
          <w:rFonts w:ascii="Palatino Linotype" w:eastAsia="Century Gothic" w:hAnsi="Palatino Linotype" w:cs="Century Gothic"/>
          <w:color w:val="000000" w:themeColor="text1"/>
          <w:vertAlign w:val="superscript"/>
        </w:rPr>
        <w:footnoteReference w:id="2"/>
      </w:r>
      <w:r w:rsidRPr="00BA1D57">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lastRenderedPageBreak/>
        <w:t xml:space="preserve">Artículo 50. </w:t>
      </w:r>
      <w:r w:rsidRPr="00BA1D57">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 xml:space="preserve">Artículo 53. </w:t>
      </w:r>
      <w:r w:rsidRPr="00BA1D57">
        <w:rPr>
          <w:rFonts w:ascii="Palatino Linotype" w:eastAsia="Palatino Linotype" w:hAnsi="Palatino Linotype" w:cs="Palatino Linotype"/>
          <w:i/>
          <w:color w:val="000000" w:themeColor="text1"/>
        </w:rPr>
        <w:t>Las Unidades de Transparencia tendrán las siguientes funciones:</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II.</w:t>
      </w:r>
      <w:r w:rsidRPr="00BA1D57">
        <w:rPr>
          <w:rFonts w:ascii="Palatino Linotype" w:eastAsia="Palatino Linotype" w:hAnsi="Palatino Linotype" w:cs="Palatino Linotype"/>
          <w:i/>
          <w:color w:val="000000" w:themeColor="text1"/>
        </w:rPr>
        <w:t xml:space="preserve"> Recibir, tramitar y dar respuesta a las solicitudes de acceso a la información;</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IV.</w:t>
      </w:r>
      <w:r w:rsidRPr="00BA1D57">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V.</w:t>
      </w:r>
      <w:r w:rsidRPr="00BA1D57">
        <w:rPr>
          <w:rFonts w:ascii="Palatino Linotype" w:eastAsia="Palatino Linotype" w:hAnsi="Palatino Linotype" w:cs="Palatino Linotype"/>
          <w:i/>
          <w:color w:val="000000" w:themeColor="text1"/>
        </w:rPr>
        <w:t xml:space="preserve"> Entregar, en su caso, a los particulares la información solicitada;</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 xml:space="preserve">Artículo 58. </w:t>
      </w:r>
      <w:r w:rsidRPr="00BA1D57">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 xml:space="preserve">Artículo 59. </w:t>
      </w:r>
      <w:r w:rsidRPr="00BA1D57">
        <w:rPr>
          <w:rFonts w:ascii="Palatino Linotype" w:eastAsia="Palatino Linotype" w:hAnsi="Palatino Linotype" w:cs="Palatino Linotype"/>
          <w:i/>
          <w:color w:val="000000" w:themeColor="text1"/>
        </w:rPr>
        <w:t>Los servidores públicos habilitados tendrán las funciones siguientes:</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I.</w:t>
      </w:r>
      <w:r w:rsidRPr="00BA1D57">
        <w:rPr>
          <w:rFonts w:ascii="Palatino Linotype" w:eastAsia="Palatino Linotype" w:hAnsi="Palatino Linotype" w:cs="Palatino Linotype"/>
          <w:i/>
          <w:color w:val="000000" w:themeColor="text1"/>
        </w:rPr>
        <w:t xml:space="preserve"> Localizar la información que le solicite la Unidad de Transparencia;</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II.</w:t>
      </w:r>
      <w:r w:rsidRPr="00BA1D57">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w:t>
      </w:r>
    </w:p>
    <w:p w:rsidR="006F1C8C" w:rsidRPr="00BA1D57" w:rsidRDefault="006F1C8C" w:rsidP="0059432C">
      <w:pPr>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 xml:space="preserve">Artículo 162. </w:t>
      </w:r>
      <w:r w:rsidRPr="00BA1D57">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facultades, </w:t>
      </w:r>
      <w:r w:rsidRPr="00BA1D57">
        <w:rPr>
          <w:rFonts w:ascii="Palatino Linotype" w:eastAsia="Palatino Linotype" w:hAnsi="Palatino Linotype" w:cs="Palatino Linotype"/>
          <w:i/>
          <w:color w:val="000000" w:themeColor="text1"/>
        </w:rPr>
        <w:lastRenderedPageBreak/>
        <w:t>competencias y funciones, con el objeto de que realicen una búsqueda exhaustiva y razonable de la información solicitada.</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En el caso que se resuelve, la respuesta fue emitida por el Tesorero Municipal, servidor público habilitado con facultades para generar, poseer y administrar la información solicitada, pues es el servidor público de quien se solicitó la información, por lo tanto, se advierte que el Sujeto Obligado dio cumplimiento al proceso de búsqueda establecido en la Ley de Transparencia. </w:t>
      </w: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lastRenderedPageBreak/>
        <w:t xml:space="preserve">Ahora bien, recordemos que el Sujeto Obligado señaló que derivado de la búsqueda exhaustiva en sus archivos, a la fecha de la solicitud, se han asignado 153 folios, de los cuales se han cancelado  25, al respecto, este Órgano Garante no está facultado para pronunciarse de la veracidad de la información referida por el Sujeto Obligado. </w:t>
      </w:r>
      <w:r w:rsidR="00DC03EC" w:rsidRPr="00BA1D57">
        <w:rPr>
          <w:rFonts w:ascii="Palatino Linotype" w:eastAsia="Palatino Linotype" w:hAnsi="Palatino Linotype" w:cs="Palatino Linotype"/>
          <w:color w:val="000000" w:themeColor="text1"/>
        </w:rPr>
        <w:t>Asimismo</w:t>
      </w:r>
      <w:r w:rsidRPr="00BA1D57">
        <w:rPr>
          <w:rFonts w:ascii="Palatino Linotype" w:eastAsia="Palatino Linotype" w:hAnsi="Palatino Linotype" w:cs="Palatino Linotype"/>
          <w:color w:val="000000" w:themeColor="text1"/>
        </w:rPr>
        <w:t>, de la revisión a los oficios remitidos en respuesta, se advierten que de los 128 números de oficio restantes, fal</w:t>
      </w:r>
      <w:r w:rsidR="00DC03EC" w:rsidRPr="00BA1D57">
        <w:rPr>
          <w:rFonts w:ascii="Palatino Linotype" w:eastAsia="Palatino Linotype" w:hAnsi="Palatino Linotype" w:cs="Palatino Linotype"/>
          <w:color w:val="000000" w:themeColor="text1"/>
        </w:rPr>
        <w:t>ta el oficio número TM/017/2025 y oficio TM/120/2025 no está completo,</w:t>
      </w:r>
      <w:r w:rsidRPr="00BA1D57">
        <w:rPr>
          <w:rFonts w:ascii="Palatino Linotype" w:eastAsia="Palatino Linotype" w:hAnsi="Palatino Linotype" w:cs="Palatino Linotype"/>
          <w:color w:val="000000" w:themeColor="text1"/>
        </w:rPr>
        <w:t xml:space="preserve"> por lo tanto, no se puede tener por atendido </w:t>
      </w:r>
      <w:r w:rsidR="00DC03EC" w:rsidRPr="00BA1D57">
        <w:rPr>
          <w:rFonts w:ascii="Palatino Linotype" w:eastAsia="Palatino Linotype" w:hAnsi="Palatino Linotype" w:cs="Palatino Linotype"/>
          <w:color w:val="000000" w:themeColor="text1"/>
        </w:rPr>
        <w:t xml:space="preserve">el requerimiento del particular, pues se no se entregó la información de forma completa, por lo que procede ordenar su entrega. </w:t>
      </w:r>
    </w:p>
    <w:p w:rsidR="006F1C8C" w:rsidRPr="00BA1D57" w:rsidRDefault="006F1C8C" w:rsidP="0059432C">
      <w:pPr>
        <w:pBdr>
          <w:top w:val="nil"/>
          <w:left w:val="nil"/>
          <w:bottom w:val="nil"/>
          <w:right w:val="nil"/>
          <w:between w:val="nil"/>
        </w:pBdr>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Por otro lado, los oficios remitidos en respuesta fueron entregados en versión pública, por ello, es procedente referir que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F1C8C" w:rsidRPr="00BA1D57" w:rsidRDefault="006F1C8C" w:rsidP="0059432C">
      <w:pPr>
        <w:pBdr>
          <w:top w:val="nil"/>
          <w:left w:val="nil"/>
          <w:bottom w:val="nil"/>
          <w:right w:val="nil"/>
          <w:between w:val="nil"/>
        </w:pBdr>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En este caso, es importante señalar que para la clasificación de la información se debe atender a cierta formalidades establecidas en la Ley, al respecto, los Lineamientos Generales en Materia de Clasificación y Desclasificación de la Información, así Como para la Elaboración de Versiones Públicas, por cuanto hace a la clasificación de la información, señalan lo siguiente:</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lastRenderedPageBreak/>
        <w:t>“</w:t>
      </w:r>
      <w:r w:rsidRPr="00BA1D57">
        <w:rPr>
          <w:rFonts w:ascii="Palatino Linotype" w:eastAsia="Palatino Linotype" w:hAnsi="Palatino Linotype" w:cs="Palatino Linotype"/>
          <w:b/>
          <w:i/>
          <w:color w:val="000000" w:themeColor="text1"/>
        </w:rPr>
        <w:t>Quincuagésimo.</w:t>
      </w:r>
      <w:r w:rsidRPr="00BA1D57">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F1C8C" w:rsidRPr="00BA1D57" w:rsidRDefault="006F1C8C"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Quincuagésimo primero.</w:t>
      </w:r>
      <w:r w:rsidRPr="00BA1D57">
        <w:rPr>
          <w:rFonts w:ascii="Palatino Linotype" w:eastAsia="Palatino Linotype" w:hAnsi="Palatino Linotype" w:cs="Palatino Linotype"/>
          <w:i/>
          <w:color w:val="000000" w:themeColor="text1"/>
        </w:rPr>
        <w:t xml:space="preserve"> La leyenda en los documentos clasificados indicará:</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I. La fecha de sesión del Comité de Transparencia en donde se confirmó la clasificación, en su caso;</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II. El nombre del área;</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III. La palabra reservado o confidencial;</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IV. Las partes o secciones reservadas o confidenciales, en su caso;</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V. El fundamento legal;</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VI. El periodo de reserva, y</w:t>
      </w:r>
    </w:p>
    <w:p w:rsidR="006F1C8C" w:rsidRPr="00BA1D57" w:rsidRDefault="00D74433"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VII. La rúbrica del titular del área.</w:t>
      </w:r>
    </w:p>
    <w:p w:rsidR="006F1C8C" w:rsidRPr="00BA1D57" w:rsidRDefault="006F1C8C" w:rsidP="0059432C">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themeColor="text1"/>
        </w:rPr>
      </w:pPr>
      <w:r w:rsidRPr="00BA1D57">
        <w:rPr>
          <w:rFonts w:ascii="Palatino Linotype" w:eastAsia="Palatino Linotype" w:hAnsi="Palatino Linotype" w:cs="Palatino Linotype"/>
          <w:color w:val="000000" w:themeColor="text1"/>
        </w:rPr>
        <w:t>Una vez hecho lo anterior, se remite la información al Titular de la Unidad de Transparencia, con el acuerdo de clasificación correspondiente, para que sea sometida al conocimiento del Comité de Transparencia.</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2755EF">
      <w:pPr>
        <w:numPr>
          <w:ilvl w:val="0"/>
          <w:numId w:val="5"/>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b/>
          <w:color w:val="000000" w:themeColor="text1"/>
        </w:rPr>
      </w:pPr>
      <w:bookmarkStart w:id="10" w:name="_heading=h.1fob9te" w:colFirst="0" w:colLast="0"/>
      <w:bookmarkEnd w:id="10"/>
      <w:r w:rsidRPr="00BA1D57">
        <w:rPr>
          <w:rFonts w:ascii="Palatino Linotype" w:eastAsia="Palatino Linotype" w:hAnsi="Palatino Linotype" w:cs="Palatino Linotype"/>
          <w:b/>
          <w:color w:val="000000" w:themeColor="text1"/>
        </w:rPr>
        <w:t>La intervención del Comité de Transparencia.</w:t>
      </w:r>
    </w:p>
    <w:p w:rsidR="006F1C8C" w:rsidRPr="00BA1D57" w:rsidRDefault="00D74433" w:rsidP="002755EF">
      <w:pPr>
        <w:numPr>
          <w:ilvl w:val="0"/>
          <w:numId w:val="7"/>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t>Formalidades para emitir el Acuerdo de Clasificación.</w:t>
      </w: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themeColor="text1"/>
        </w:rPr>
      </w:pPr>
      <w:r w:rsidRPr="00BA1D57">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A1D57">
        <w:rPr>
          <w:rFonts w:ascii="Palatino Linotype" w:eastAsia="Palatino Linotype" w:hAnsi="Palatino Linotype" w:cs="Palatino Linotype"/>
          <w:b/>
          <w:color w:val="000000" w:themeColor="text1"/>
          <w:u w:val="single"/>
        </w:rPr>
        <w:t>confirmar, modificar o revocar</w:t>
      </w:r>
      <w:r w:rsidRPr="00BA1D57">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w:t>
      </w:r>
      <w:r w:rsidRPr="00BA1D57">
        <w:rPr>
          <w:rFonts w:ascii="Palatino Linotype" w:eastAsia="Palatino Linotype" w:hAnsi="Palatino Linotype" w:cs="Palatino Linotype"/>
          <w:color w:val="000000" w:themeColor="text1"/>
        </w:rPr>
        <w:lastRenderedPageBreak/>
        <w:t xml:space="preserve">Comité </w:t>
      </w:r>
      <w:r w:rsidRPr="00BA1D57">
        <w:rPr>
          <w:rFonts w:ascii="Palatino Linotype" w:eastAsia="Palatino Linotype" w:hAnsi="Palatino Linotype" w:cs="Palatino Linotype"/>
          <w:b/>
          <w:color w:val="000000" w:themeColor="text1"/>
          <w:u w:val="single"/>
        </w:rPr>
        <w:t>no aprueba</w:t>
      </w:r>
      <w:r w:rsidRPr="00BA1D57">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BA1D57">
        <w:rPr>
          <w:rFonts w:ascii="Palatino Linotype" w:eastAsia="Palatino Linotype" w:hAnsi="Palatino Linotype" w:cs="Palatino Linotype"/>
          <w:b/>
          <w:color w:val="000000" w:themeColor="text1"/>
          <w:u w:val="single"/>
        </w:rPr>
        <w:t>el acto reúna con los requisitos elementales</w:t>
      </w:r>
      <w:r w:rsidRPr="00BA1D57">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w:t>
      </w:r>
    </w:p>
    <w:p w:rsidR="006F1C8C" w:rsidRPr="00BA1D57" w:rsidRDefault="006F1C8C" w:rsidP="0059432C">
      <w:pPr>
        <w:pBdr>
          <w:top w:val="nil"/>
          <w:left w:val="nil"/>
          <w:bottom w:val="nil"/>
          <w:right w:val="nil"/>
          <w:between w:val="nil"/>
        </w:pBdr>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Cualquier otra composición del Comité puede generar vicios de legalidad de origen en el acto que restringe un derecho humano.</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F1C8C" w:rsidRPr="00BA1D57" w:rsidRDefault="006F1C8C" w:rsidP="0059432C">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themeColor="text1"/>
        </w:rPr>
      </w:pPr>
    </w:p>
    <w:p w:rsidR="006F1C8C" w:rsidRPr="00BA1D57" w:rsidRDefault="00D74433" w:rsidP="002755EF">
      <w:pPr>
        <w:numPr>
          <w:ilvl w:val="0"/>
          <w:numId w:val="6"/>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t>Requisitos de fondo del Acuerdo de Clasificación.</w:t>
      </w: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1C8C" w:rsidRPr="00BA1D57" w:rsidRDefault="006F1C8C" w:rsidP="0059432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FUNDAMENTACIÓN Y MOTIVACIÓN.</w:t>
      </w:r>
      <w:r w:rsidRPr="00BA1D57">
        <w:rPr>
          <w:rFonts w:ascii="Palatino Linotype" w:eastAsia="Palatino Linotype" w:hAnsi="Palatino Linotype" w:cs="Palatino Linotype"/>
          <w:i/>
          <w:color w:val="000000" w:themeColor="text1"/>
        </w:rPr>
        <w:t xml:space="preserve"> “La </w:t>
      </w:r>
      <w:r w:rsidRPr="00BA1D57">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A1D57">
        <w:rPr>
          <w:rFonts w:ascii="Palatino Linotype" w:eastAsia="Palatino Linotype" w:hAnsi="Palatino Linotype" w:cs="Palatino Linotype"/>
          <w:i/>
          <w:color w:val="000000" w:themeColor="text1"/>
        </w:rPr>
        <w:t>.”</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SEGUNDO TRIBUNAL COLEGIADO DEL SEXTO CIRCUITO.</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lastRenderedPageBreak/>
        <w:t>Amparo en revisión 333/88. Adilia Romero. 26 de octubre de 1988. Unanimidad de votos. Ponente: Arnoldo Nájera Virgen. Secretario: Enrique Crispín Campos Ramírez.</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6F1C8C" w:rsidRPr="00BA1D57" w:rsidRDefault="00D74433" w:rsidP="0059432C">
      <w:pPr>
        <w:spacing w:line="276" w:lineRule="auto"/>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6F1C8C" w:rsidRPr="00BA1D57" w:rsidRDefault="006F1C8C" w:rsidP="0059432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A1D5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F1C8C" w:rsidRPr="00BA1D57" w:rsidRDefault="006F1C8C" w:rsidP="0059432C">
      <w:pPr>
        <w:pBdr>
          <w:top w:val="nil"/>
          <w:left w:val="nil"/>
          <w:bottom w:val="nil"/>
          <w:right w:val="nil"/>
          <w:between w:val="nil"/>
        </w:pBdr>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Derivado de lo anteriormente señalado, recordemos que el Sujeto Obligado entregó el acuerdo a través del cual se aprobó la clasificación de los datos testados en los oficios, entre los que se encuentran los siguientes: </w:t>
      </w:r>
    </w:p>
    <w:p w:rsidR="006F1C8C" w:rsidRPr="00BA1D57" w:rsidRDefault="006F1C8C" w:rsidP="0059432C">
      <w:pPr>
        <w:pBdr>
          <w:top w:val="nil"/>
          <w:left w:val="nil"/>
          <w:bottom w:val="nil"/>
          <w:right w:val="nil"/>
          <w:between w:val="nil"/>
        </w:pBdr>
        <w:rPr>
          <w:rFonts w:ascii="Palatino Linotype" w:eastAsia="Palatino Linotype" w:hAnsi="Palatino Linotype" w:cs="Palatino Linotype"/>
          <w:color w:val="000000" w:themeColor="text1"/>
        </w:rPr>
      </w:pPr>
    </w:p>
    <w:p w:rsidR="006F1C8C" w:rsidRPr="00BA1D57" w:rsidRDefault="00D74433" w:rsidP="002755E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Nombre y firma de particulares:</w:t>
      </w:r>
      <w:r w:rsidRPr="00BA1D57">
        <w:rPr>
          <w:rFonts w:ascii="Palatino Linotype" w:eastAsia="Palatino Linotype" w:hAnsi="Palatino Linotype" w:cs="Palatino Linotype"/>
          <w:color w:val="000000" w:themeColor="text1"/>
        </w:rPr>
        <w:t xml:space="preserv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6F1C8C" w:rsidRPr="00BA1D57" w:rsidRDefault="00D74433"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En cuanto a la firma, es un dato personal confidencial y únicamente será público dicho dato cuando sirva para la emisión de un acto de autoridad, en ejercicio de sus funciones, lo que no sucede en el presente caso, por lo que es procedente su clasificación.</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275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lastRenderedPageBreak/>
        <w:t>Número telefónico de particulares:</w:t>
      </w:r>
      <w:r w:rsidRPr="00BA1D57">
        <w:rPr>
          <w:rFonts w:ascii="Palatino Linotype" w:eastAsia="Palatino Linotype" w:hAnsi="Palatino Linotype" w:cs="Palatino Linotype"/>
          <w:color w:val="000000" w:themeColor="text1"/>
        </w:rPr>
        <w:t xml:space="preserve"> el número asignado a un teléfono particular o celular permite localizar a una persona física identificada o identificable, ya sea a través de un dispositivo móvil o bien, en un lugar como el domicilio. En tales consideraciones, dicho dato personal es susceptible de ser clasificado como confidencial, con fundamento en el artículo 143, fracción I de la Ley de Transparencia y Acceso a la Información Pública.</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F1C8C" w:rsidRPr="00BA1D57" w:rsidRDefault="00D74433" w:rsidP="00275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 xml:space="preserve">Clave catastral de inmuebles particulares: </w:t>
      </w:r>
      <w:r w:rsidRPr="00BA1D57">
        <w:rPr>
          <w:rFonts w:ascii="Palatino Linotype" w:eastAsia="Palatino Linotype" w:hAnsi="Palatino Linotype" w:cs="Palatino Linotype"/>
          <w:color w:val="000000" w:themeColor="text1"/>
        </w:rPr>
        <w:t>Respecto de la clave catastral, en un criterio mayoritario de este Pleno es un elemento que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El “Diccionario de Datos catastrales Escala 1:1000” del Instituto Nacional de Estadística y Geografía (INEGI), contempla en su Glosario la definición de la Clave Catastral, la cual, apunta lo siguiente:</w:t>
      </w:r>
    </w:p>
    <w:p w:rsidR="006F1C8C" w:rsidRPr="00BA1D57" w:rsidRDefault="006F1C8C" w:rsidP="0059432C">
      <w:pPr>
        <w:tabs>
          <w:tab w:val="left" w:pos="851"/>
        </w:tabs>
        <w:rPr>
          <w:rFonts w:ascii="Palatino Linotype" w:eastAsia="Palatino Linotype" w:hAnsi="Palatino Linotype" w:cs="Palatino Linotype"/>
          <w:color w:val="000000" w:themeColor="text1"/>
        </w:rPr>
      </w:pPr>
    </w:p>
    <w:p w:rsidR="006F1C8C" w:rsidRPr="00BA1D57" w:rsidRDefault="00D74433" w:rsidP="0059432C">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BA1D57">
        <w:rPr>
          <w:rFonts w:ascii="Palatino Linotype" w:eastAsia="Palatino Linotype" w:hAnsi="Palatino Linotype" w:cs="Palatino Linotype"/>
          <w:b/>
          <w:i/>
          <w:color w:val="000000" w:themeColor="text1"/>
        </w:rPr>
        <w:t>Clave Catastral</w:t>
      </w:r>
      <w:r w:rsidRPr="00BA1D57">
        <w:rPr>
          <w:rFonts w:ascii="Palatino Linotype" w:eastAsia="Palatino Linotype" w:hAnsi="Palatino Linotype" w:cs="Palatino Linotype"/>
          <w:i/>
          <w:color w:val="000000" w:themeColor="text1"/>
        </w:rPr>
        <w:t>: El código que identifica al predio de forma única para su localización geográfica, mismo que es asignado a cada uno de ellos en el momento de su inscripción en el padrón catastral por las Unidades del Estado con atribuciones catastrales.</w:t>
      </w:r>
    </w:p>
    <w:p w:rsidR="006F1C8C" w:rsidRPr="00BA1D57" w:rsidRDefault="006F1C8C" w:rsidP="0059432C">
      <w:pPr>
        <w:spacing w:line="360" w:lineRule="auto"/>
        <w:jc w:val="both"/>
        <w:rPr>
          <w:rFonts w:ascii="Palatino Linotype" w:eastAsia="Palatino Linotype" w:hAnsi="Palatino Linotype" w:cs="Palatino Linotype"/>
          <w:b/>
          <w:color w:val="000000" w:themeColor="text1"/>
        </w:rPr>
      </w:pPr>
    </w:p>
    <w:p w:rsidR="006F1C8C" w:rsidRPr="00BA1D57" w:rsidRDefault="00D74433" w:rsidP="00275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lastRenderedPageBreak/>
        <w:t>Domicilio y Medidas y colindancias de propiedades particulares:</w:t>
      </w:r>
      <w:r w:rsidRPr="00BA1D57">
        <w:rPr>
          <w:rFonts w:ascii="Palatino Linotype" w:eastAsia="Palatino Linotype" w:hAnsi="Palatino Linotype" w:cs="Palatino Linotype"/>
          <w:color w:val="000000" w:themeColor="text1"/>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BA1D57">
        <w:rPr>
          <w:rFonts w:ascii="Palatino Linotype" w:eastAsia="Palatino Linotype" w:hAnsi="Palatino Linotype" w:cs="Palatino Linotype"/>
          <w:b/>
          <w:color w:val="000000" w:themeColor="text1"/>
        </w:rPr>
        <w:t xml:space="preserve">, es el lugar donde residen habitualmente, el lugar del centro principal de sus negocios, donde residan o el lugar donde se encuentren. </w:t>
      </w:r>
      <w:r w:rsidRPr="00BA1D57">
        <w:rPr>
          <w:rFonts w:ascii="Palatino Linotype" w:eastAsia="Palatino Linotype" w:hAnsi="Palatino Linotype" w:cs="Palatino Linotype"/>
          <w:color w:val="000000" w:themeColor="text1"/>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6F1C8C" w:rsidRPr="00BA1D57" w:rsidRDefault="00D74433"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Por lo tanto, se actualiza la clasificación del domicilio, de conformidad con la fracción I, del artículo 143 de la Ley de Transparencia y Acceso a la Información Pública del Estado de México y Municipios.</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275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Correo electrónico de particulares:</w:t>
      </w:r>
      <w:r w:rsidRPr="00BA1D57">
        <w:rPr>
          <w:rFonts w:ascii="Palatino Linotype" w:eastAsia="Palatino Linotype" w:hAnsi="Palatino Linotype" w:cs="Palatino Linotype"/>
          <w:color w:val="000000" w:themeColor="text1"/>
        </w:rPr>
        <w:t xml:space="preserve"> 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por lo que corresponde a un dato personal que actualiza la </w:t>
      </w:r>
      <w:r w:rsidRPr="00BA1D57">
        <w:rPr>
          <w:rFonts w:ascii="Palatino Linotype" w:eastAsia="Palatino Linotype" w:hAnsi="Palatino Linotype" w:cs="Palatino Linotype"/>
          <w:color w:val="000000" w:themeColor="text1"/>
        </w:rPr>
        <w:lastRenderedPageBreak/>
        <w:t>causal de clasificación establecida en el artículo 143, fracción I de la Ley de Transparencia y Acceso a la Información Pública del Estado de México y Municipios.</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En ese sentido, se advierte que el Sujeto Obligado si testó información que por su naturaleza es confidencial; sin embargo, en el oficio TM/074/2025, se advierte que se testó la firma de un servidor público, por lo tanto, es procedente ordenar su entrega en versión público correcta. </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Por otro lado, también se advierte que en el oficio número TM/117/2025 se dejaron a la vista datos que por su naturaleza son considerados como confidenciales,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Pr="00BA1D57">
        <w:rPr>
          <w:rFonts w:ascii="Palatino Linotype" w:eastAsia="Palatino Linotype" w:hAnsi="Palatino Linotype" w:cs="Palatino Linotype"/>
          <w:b/>
          <w:color w:val="000000" w:themeColor="text1"/>
        </w:rPr>
        <w:t>SUJETO OBLIGADO</w:t>
      </w:r>
      <w:r w:rsidRPr="00BA1D57">
        <w:rPr>
          <w:rFonts w:ascii="Palatino Linotype" w:eastAsia="Palatino Linotype" w:hAnsi="Palatino Linotype" w:cs="Palatino Linotype"/>
          <w:color w:val="000000" w:themeColor="text1"/>
        </w:rPr>
        <w:t>; esto con fundamento en el artículo 82, fracción XXVII de la Ley de Protección de Datos Personales del Estado de México y Municipios.</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1" w:name="_heading=h.gp3pp1gklfp8" w:colFirst="0" w:colLast="0"/>
      <w:bookmarkEnd w:id="11"/>
      <w:r w:rsidRPr="00BA1D57">
        <w:rPr>
          <w:rFonts w:ascii="Palatino Linotype" w:eastAsia="Palatino Linotype" w:hAnsi="Palatino Linotype" w:cs="Palatino Linotype"/>
          <w:color w:val="000000" w:themeColor="text1"/>
        </w:rPr>
        <w:t xml:space="preserve">En consecuencia, una vez analizadas las constancias que integran el expediente electrónico, y en mérito de lo expuesto en líneas anteriores, resultan  parcialmente fundadas las razones o motivos de inconformidad hechos valer por el </w:t>
      </w:r>
      <w:r w:rsidRPr="00BA1D57">
        <w:rPr>
          <w:rFonts w:ascii="Palatino Linotype" w:eastAsia="Palatino Linotype" w:hAnsi="Palatino Linotype" w:cs="Palatino Linotype"/>
          <w:b/>
          <w:color w:val="000000" w:themeColor="text1"/>
        </w:rPr>
        <w:t>RECURRENTE</w:t>
      </w:r>
      <w:r w:rsidRPr="00BA1D57">
        <w:rPr>
          <w:rFonts w:ascii="Palatino Linotype" w:eastAsia="Palatino Linotype" w:hAnsi="Palatino Linotype" w:cs="Palatino Linotype"/>
          <w:color w:val="000000" w:themeColor="text1"/>
        </w:rPr>
        <w:t xml:space="preserve"> dentro del recurso de revisión </w:t>
      </w:r>
      <w:r w:rsidRPr="00BA1D57">
        <w:rPr>
          <w:rFonts w:ascii="Palatino Linotype" w:eastAsia="Palatino Linotype" w:hAnsi="Palatino Linotype" w:cs="Palatino Linotype"/>
          <w:b/>
          <w:color w:val="000000" w:themeColor="text1"/>
        </w:rPr>
        <w:t>03983/INFOEM/IP/RR/2025</w:t>
      </w:r>
      <w:r w:rsidRPr="00BA1D5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BA1D57">
        <w:rPr>
          <w:rFonts w:ascii="Palatino Linotype" w:eastAsia="Palatino Linotype" w:hAnsi="Palatino Linotype" w:cs="Palatino Linotype"/>
          <w:b/>
          <w:color w:val="000000" w:themeColor="text1"/>
        </w:rPr>
        <w:t>MODIFICA</w:t>
      </w:r>
      <w:r w:rsidRPr="00BA1D57">
        <w:rPr>
          <w:rFonts w:ascii="Palatino Linotype" w:eastAsia="Palatino Linotype" w:hAnsi="Palatino Linotype" w:cs="Palatino Linotype"/>
          <w:color w:val="000000" w:themeColor="text1"/>
        </w:rPr>
        <w:t xml:space="preserve"> la respuesta del Sujeto Obligado y se ordena la entrega, de ser procedente en versión pública, del oficio número TM/017/2025 y en versión pública correcta el oficio TM/074/2025. </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lastRenderedPageBreak/>
        <w:t>QUINTO. De la versión pública.</w:t>
      </w:r>
    </w:p>
    <w:p w:rsidR="006F1C8C" w:rsidRPr="00BA1D57" w:rsidRDefault="00D74433" w:rsidP="0059432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Debe destacarse que, debido a la naturaleza de la información solicitada</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6F1C8C" w:rsidRPr="00BA1D57" w:rsidRDefault="006F1C8C" w:rsidP="005943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6F1C8C" w:rsidRPr="00BA1D57" w:rsidRDefault="006F1C8C" w:rsidP="0059432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0"/>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7211"/>
      </w:tblGrid>
      <w:tr w:rsidR="0059432C" w:rsidRPr="00BA1D57" w:rsidTr="002755EF">
        <w:tc>
          <w:tcPr>
            <w:tcW w:w="2565" w:type="dxa"/>
          </w:tcPr>
          <w:p w:rsidR="006F1C8C" w:rsidRPr="00BA1D57" w:rsidRDefault="00D74433" w:rsidP="0059432C">
            <w:pPr>
              <w:spacing w:line="276" w:lineRule="auto"/>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 Requisitos previos.</w:t>
            </w:r>
          </w:p>
        </w:tc>
        <w:tc>
          <w:tcPr>
            <w:tcW w:w="7211"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A1D57">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BA1D57">
              <w:rPr>
                <w:rFonts w:ascii="Palatino Linotype" w:eastAsia="Palatino Linotype" w:hAnsi="Palatino Linotype" w:cs="Palatino Linotype"/>
                <w:color w:val="000000" w:themeColor="text1"/>
              </w:rPr>
              <w:t xml:space="preserve">sin individualizar su análisis y tampoco se puede hacer un acuerdo por cada dato que </w:t>
            </w:r>
            <w:r w:rsidRPr="00BA1D57">
              <w:rPr>
                <w:rFonts w:ascii="Palatino Linotype" w:eastAsia="Palatino Linotype" w:hAnsi="Palatino Linotype" w:cs="Palatino Linotype"/>
                <w:color w:val="000000" w:themeColor="text1"/>
              </w:rPr>
              <w:lastRenderedPageBreak/>
              <w:t>se vaya a clasificar dentro de un documento con diez datos, por ejemplo, susceptibles de ser clasificados.</w:t>
            </w:r>
          </w:p>
        </w:tc>
      </w:tr>
      <w:tr w:rsidR="0059432C" w:rsidRPr="00BA1D57" w:rsidTr="002755EF">
        <w:tc>
          <w:tcPr>
            <w:tcW w:w="2565" w:type="dxa"/>
          </w:tcPr>
          <w:p w:rsidR="006F1C8C" w:rsidRPr="00BA1D57" w:rsidRDefault="00D74433" w:rsidP="0059432C">
            <w:pPr>
              <w:spacing w:line="276" w:lineRule="auto"/>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lastRenderedPageBreak/>
              <w:t>b) Supuestos de clasificación.</w:t>
            </w:r>
          </w:p>
        </w:tc>
        <w:tc>
          <w:tcPr>
            <w:tcW w:w="7211"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9432C" w:rsidRPr="00BA1D57" w:rsidTr="002755EF">
        <w:tc>
          <w:tcPr>
            <w:tcW w:w="2565" w:type="dxa"/>
          </w:tcPr>
          <w:p w:rsidR="006F1C8C" w:rsidRPr="00BA1D57" w:rsidRDefault="00D74433" w:rsidP="0059432C">
            <w:pPr>
              <w:spacing w:line="276" w:lineRule="auto"/>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c) Formalidades para emitir el acuerdo de clasificación.</w:t>
            </w:r>
          </w:p>
        </w:tc>
        <w:tc>
          <w:tcPr>
            <w:tcW w:w="7211"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Es necesario que </w:t>
            </w:r>
            <w:r w:rsidRPr="00BA1D57">
              <w:rPr>
                <w:rFonts w:ascii="Palatino Linotype" w:eastAsia="Palatino Linotype" w:hAnsi="Palatino Linotype" w:cs="Palatino Linotype"/>
                <w:color w:val="000000" w:themeColor="text1"/>
                <w:u w:val="single"/>
              </w:rPr>
              <w:t>el acto reúna con los requisitos elementales</w:t>
            </w:r>
            <w:r w:rsidRPr="00BA1D57">
              <w:rPr>
                <w:rFonts w:ascii="Palatino Linotype" w:eastAsia="Palatino Linotype" w:hAnsi="Palatino Linotype" w:cs="Palatino Linotype"/>
                <w:color w:val="000000" w:themeColor="text1"/>
              </w:rPr>
              <w:t>, entre ellos, que la autoridad que va a emitir el acto de autoridad sea la legalmente facultada para ello.</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BA1D57">
              <w:rPr>
                <w:rFonts w:ascii="Palatino Linotype" w:eastAsia="Palatino Linotype" w:hAnsi="Palatino Linotype" w:cs="Palatino Linotype"/>
                <w:color w:val="000000" w:themeColor="text1"/>
              </w:rPr>
              <w:lastRenderedPageBreak/>
              <w:t>previamente por los titulares de áreas y que son sujetas a control, en primera instancia, por el Comité de Transparencia.</w:t>
            </w:r>
          </w:p>
        </w:tc>
      </w:tr>
      <w:tr w:rsidR="0059432C" w:rsidRPr="00BA1D57" w:rsidTr="002755EF">
        <w:tc>
          <w:tcPr>
            <w:tcW w:w="2565" w:type="dxa"/>
          </w:tcPr>
          <w:p w:rsidR="006F1C8C" w:rsidRPr="00BA1D57" w:rsidRDefault="006F1C8C" w:rsidP="0059432C">
            <w:pPr>
              <w:spacing w:line="276" w:lineRule="auto"/>
              <w:rPr>
                <w:rFonts w:ascii="Palatino Linotype" w:eastAsia="Palatino Linotype" w:hAnsi="Palatino Linotype" w:cs="Palatino Linotype"/>
                <w:color w:val="000000" w:themeColor="text1"/>
              </w:rPr>
            </w:pP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d) Requisitos de fondo del acuerdo de clasificación. </w:t>
            </w:r>
          </w:p>
        </w:tc>
        <w:tc>
          <w:tcPr>
            <w:tcW w:w="7211"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Ahora bien, </w:t>
            </w:r>
            <w:r w:rsidRPr="00BA1D57">
              <w:rPr>
                <w:rFonts w:ascii="Palatino Linotype" w:eastAsia="Palatino Linotype" w:hAnsi="Palatino Linotype" w:cs="Palatino Linotype"/>
                <w:color w:val="000000" w:themeColor="text1"/>
                <w:u w:val="single"/>
              </w:rPr>
              <w:t>para cada caso además de fundar y motivar</w:t>
            </w:r>
            <w:r w:rsidRPr="00BA1D57">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Clave Única de Registro de Población (CURP), Registro Federal de Contribuyentes </w:t>
            </w:r>
            <w:r w:rsidRPr="00BA1D57">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6F1C8C" w:rsidRPr="00BA1D57" w:rsidTr="002755EF">
        <w:tc>
          <w:tcPr>
            <w:tcW w:w="2565"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6F1C8C" w:rsidRPr="00BA1D57" w:rsidRDefault="006F1C8C" w:rsidP="0059432C">
            <w:pPr>
              <w:spacing w:line="276" w:lineRule="auto"/>
              <w:rPr>
                <w:rFonts w:ascii="Palatino Linotype" w:eastAsia="Palatino Linotype" w:hAnsi="Palatino Linotype" w:cs="Palatino Linotype"/>
                <w:color w:val="000000" w:themeColor="text1"/>
              </w:rPr>
            </w:pPr>
          </w:p>
        </w:tc>
        <w:tc>
          <w:tcPr>
            <w:tcW w:w="7211" w:type="dxa"/>
          </w:tcPr>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F1C8C" w:rsidRPr="00BA1D57" w:rsidRDefault="00D74433" w:rsidP="0059432C">
            <w:pPr>
              <w:spacing w:line="276"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F1C8C" w:rsidRPr="00BA1D57" w:rsidRDefault="00D74433" w:rsidP="0059432C">
            <w:pPr>
              <w:spacing w:line="276" w:lineRule="auto"/>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 xml:space="preserve">Por lo anteriormente expuesto y fundado, este </w:t>
      </w:r>
      <w:r w:rsidRPr="00BA1D57">
        <w:rPr>
          <w:rFonts w:ascii="Palatino Linotype" w:eastAsia="Palatino Linotype" w:hAnsi="Palatino Linotype" w:cs="Palatino Linotype"/>
          <w:b/>
          <w:color w:val="000000" w:themeColor="text1"/>
        </w:rPr>
        <w:t>ÓRGANO GARANTE</w:t>
      </w:r>
      <w:r w:rsidRPr="00BA1D57">
        <w:rPr>
          <w:rFonts w:ascii="Palatino Linotype" w:eastAsia="Palatino Linotype" w:hAnsi="Palatino Linotype" w:cs="Palatino Linotype"/>
          <w:color w:val="000000" w:themeColor="text1"/>
        </w:rPr>
        <w:t xml:space="preserve"> emite los siguientes:</w:t>
      </w:r>
    </w:p>
    <w:p w:rsidR="006F1C8C" w:rsidRPr="00BA1D57" w:rsidRDefault="006F1C8C" w:rsidP="005943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keepNext/>
        <w:keepLines/>
        <w:spacing w:line="360" w:lineRule="auto"/>
        <w:jc w:val="center"/>
        <w:rPr>
          <w:rFonts w:ascii="Palatino Linotype" w:eastAsia="Palatino Linotype" w:hAnsi="Palatino Linotype" w:cs="Palatino Linotype"/>
          <w:b/>
          <w:color w:val="000000" w:themeColor="text1"/>
        </w:rPr>
      </w:pPr>
      <w:bookmarkStart w:id="12" w:name="_heading=h.njwuxv2tr3pz" w:colFirst="0" w:colLast="0"/>
      <w:bookmarkEnd w:id="12"/>
      <w:r w:rsidRPr="00BA1D57">
        <w:rPr>
          <w:rFonts w:ascii="Palatino Linotype" w:eastAsia="Palatino Linotype" w:hAnsi="Palatino Linotype" w:cs="Palatino Linotype"/>
          <w:b/>
          <w:color w:val="000000" w:themeColor="text1"/>
        </w:rPr>
        <w:t>R E S O L U T I V O S</w:t>
      </w:r>
    </w:p>
    <w:p w:rsidR="006F1C8C" w:rsidRPr="00BA1D57" w:rsidRDefault="006F1C8C" w:rsidP="0059432C">
      <w:pPr>
        <w:keepNext/>
        <w:keepLines/>
        <w:spacing w:line="360" w:lineRule="auto"/>
        <w:jc w:val="center"/>
        <w:rPr>
          <w:rFonts w:ascii="Palatino Linotype" w:eastAsia="Palatino Linotype" w:hAnsi="Palatino Linotype" w:cs="Palatino Linotype"/>
          <w:b/>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 xml:space="preserve">PRIMERO. </w:t>
      </w:r>
      <w:r w:rsidRPr="00BA1D57">
        <w:rPr>
          <w:rFonts w:ascii="Palatino Linotype" w:eastAsia="Palatino Linotype" w:hAnsi="Palatino Linotype" w:cs="Palatino Linotype"/>
          <w:color w:val="000000" w:themeColor="text1"/>
        </w:rPr>
        <w:t>Resultan parcialmente fundadas las</w:t>
      </w:r>
      <w:r w:rsidRPr="00BA1D57">
        <w:rPr>
          <w:rFonts w:ascii="Palatino Linotype" w:eastAsia="Palatino Linotype" w:hAnsi="Palatino Linotype" w:cs="Palatino Linotype"/>
          <w:b/>
          <w:color w:val="000000" w:themeColor="text1"/>
        </w:rPr>
        <w:t xml:space="preserve"> </w:t>
      </w:r>
      <w:r w:rsidRPr="00BA1D57">
        <w:rPr>
          <w:rFonts w:ascii="Palatino Linotype" w:eastAsia="Palatino Linotype" w:hAnsi="Palatino Linotype" w:cs="Palatino Linotype"/>
          <w:color w:val="000000" w:themeColor="text1"/>
        </w:rPr>
        <w:t xml:space="preserve">razones o motivos de inconformidad hechos valer en el recurso de revisión </w:t>
      </w:r>
      <w:r w:rsidRPr="00BA1D57">
        <w:rPr>
          <w:rFonts w:ascii="Palatino Linotype" w:eastAsia="Palatino Linotype" w:hAnsi="Palatino Linotype" w:cs="Palatino Linotype"/>
          <w:b/>
          <w:color w:val="000000" w:themeColor="text1"/>
        </w:rPr>
        <w:t xml:space="preserve">03983/INFOEM/IP/RR/2025, </w:t>
      </w:r>
      <w:r w:rsidRPr="00BA1D57">
        <w:rPr>
          <w:rFonts w:ascii="Palatino Linotype" w:eastAsia="Palatino Linotype" w:hAnsi="Palatino Linotype" w:cs="Palatino Linotype"/>
          <w:color w:val="000000" w:themeColor="text1"/>
        </w:rPr>
        <w:t xml:space="preserve">en términos del </w:t>
      </w:r>
      <w:r w:rsidRPr="00BA1D57">
        <w:rPr>
          <w:rFonts w:ascii="Palatino Linotype" w:eastAsia="Palatino Linotype" w:hAnsi="Palatino Linotype" w:cs="Palatino Linotype"/>
          <w:b/>
          <w:color w:val="000000" w:themeColor="text1"/>
        </w:rPr>
        <w:t>Considerando</w:t>
      </w:r>
      <w:r w:rsidRPr="00BA1D57">
        <w:rPr>
          <w:rFonts w:ascii="Palatino Linotype" w:eastAsia="Palatino Linotype" w:hAnsi="Palatino Linotype" w:cs="Palatino Linotype"/>
          <w:color w:val="000000" w:themeColor="text1"/>
        </w:rPr>
        <w:t xml:space="preserve"> </w:t>
      </w:r>
      <w:r w:rsidRPr="00BA1D57">
        <w:rPr>
          <w:rFonts w:ascii="Palatino Linotype" w:eastAsia="Palatino Linotype" w:hAnsi="Palatino Linotype" w:cs="Palatino Linotype"/>
          <w:b/>
          <w:color w:val="000000" w:themeColor="text1"/>
        </w:rPr>
        <w:t>CUARTO y QUINTO de</w:t>
      </w:r>
      <w:r w:rsidRPr="00BA1D57">
        <w:rPr>
          <w:rFonts w:ascii="Palatino Linotype" w:eastAsia="Palatino Linotype" w:hAnsi="Palatino Linotype" w:cs="Palatino Linotype"/>
          <w:color w:val="000000" w:themeColor="text1"/>
        </w:rPr>
        <w:t xml:space="preserve"> la presente resolución.</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bookmarkStart w:id="13" w:name="_heading=h.lq64w2ygttvb" w:colFirst="0" w:colLast="0"/>
      <w:bookmarkEnd w:id="13"/>
      <w:r w:rsidRPr="00BA1D57">
        <w:rPr>
          <w:rFonts w:ascii="Palatino Linotype" w:eastAsia="Palatino Linotype" w:hAnsi="Palatino Linotype" w:cs="Palatino Linotype"/>
          <w:b/>
          <w:color w:val="000000" w:themeColor="text1"/>
        </w:rPr>
        <w:lastRenderedPageBreak/>
        <w:t>SEGUNDO.</w:t>
      </w:r>
      <w:r w:rsidRPr="00BA1D57">
        <w:rPr>
          <w:rFonts w:ascii="Palatino Linotype" w:eastAsia="Palatino Linotype" w:hAnsi="Palatino Linotype" w:cs="Palatino Linotype"/>
          <w:color w:val="000000" w:themeColor="text1"/>
        </w:rPr>
        <w:t xml:space="preserve"> Se</w:t>
      </w:r>
      <w:r w:rsidRPr="00BA1D57">
        <w:rPr>
          <w:rFonts w:ascii="Palatino Linotype" w:eastAsia="Palatino Linotype" w:hAnsi="Palatino Linotype" w:cs="Palatino Linotype"/>
          <w:b/>
          <w:color w:val="000000" w:themeColor="text1"/>
        </w:rPr>
        <w:t xml:space="preserve"> MODIFICA </w:t>
      </w:r>
      <w:r w:rsidRPr="00BA1D57">
        <w:rPr>
          <w:rFonts w:ascii="Palatino Linotype" w:eastAsia="Palatino Linotype" w:hAnsi="Palatino Linotype" w:cs="Palatino Linotype"/>
          <w:color w:val="000000" w:themeColor="text1"/>
        </w:rPr>
        <w:t xml:space="preserve">la respuesta emitida por el </w:t>
      </w:r>
      <w:r w:rsidRPr="00BA1D57">
        <w:rPr>
          <w:rFonts w:ascii="Palatino Linotype" w:eastAsia="Palatino Linotype" w:hAnsi="Palatino Linotype" w:cs="Palatino Linotype"/>
          <w:b/>
          <w:color w:val="000000" w:themeColor="text1"/>
        </w:rPr>
        <w:t xml:space="preserve">Ayuntamiento de Melchor Ocampo </w:t>
      </w:r>
      <w:r w:rsidRPr="00BA1D57">
        <w:rPr>
          <w:rFonts w:ascii="Palatino Linotype" w:eastAsia="Palatino Linotype" w:hAnsi="Palatino Linotype" w:cs="Palatino Linotype"/>
          <w:color w:val="000000" w:themeColor="text1"/>
        </w:rPr>
        <w:t>y se</w:t>
      </w:r>
      <w:r w:rsidRPr="00BA1D57">
        <w:rPr>
          <w:rFonts w:ascii="Palatino Linotype" w:eastAsia="Palatino Linotype" w:hAnsi="Palatino Linotype" w:cs="Palatino Linotype"/>
          <w:b/>
          <w:color w:val="000000" w:themeColor="text1"/>
        </w:rPr>
        <w:t xml:space="preserve"> ORDENA </w:t>
      </w:r>
      <w:r w:rsidRPr="00BA1D57">
        <w:rPr>
          <w:rFonts w:ascii="Palatino Linotype" w:eastAsia="Palatino Linotype" w:hAnsi="Palatino Linotype" w:cs="Palatino Linotype"/>
          <w:color w:val="000000" w:themeColor="text1"/>
        </w:rPr>
        <w:t>entregar vía Sistema de Accesos a la Información Mexiquense (SAIMEX), de ser procedente en versión pública, la siguiente información:</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numPr>
          <w:ilvl w:val="2"/>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t>Oficio número TM/017/2025; y</w:t>
      </w:r>
    </w:p>
    <w:p w:rsidR="006F1C8C" w:rsidRPr="00BA1D57" w:rsidRDefault="00D74433" w:rsidP="0059432C">
      <w:pPr>
        <w:numPr>
          <w:ilvl w:val="2"/>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t xml:space="preserve">Oficio número TM/117/2025 en versión pública correcta. </w:t>
      </w:r>
    </w:p>
    <w:p w:rsidR="00DC03EC" w:rsidRPr="00BA1D57" w:rsidRDefault="00DC03EC" w:rsidP="0059432C">
      <w:pPr>
        <w:numPr>
          <w:ilvl w:val="2"/>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A1D57">
        <w:rPr>
          <w:rFonts w:ascii="Palatino Linotype" w:eastAsia="Palatino Linotype" w:hAnsi="Palatino Linotype" w:cs="Palatino Linotype"/>
          <w:b/>
          <w:color w:val="000000" w:themeColor="text1"/>
        </w:rPr>
        <w:t xml:space="preserve">Oficio número TM/120/2025 de forma completa. </w:t>
      </w:r>
    </w:p>
    <w:p w:rsidR="006F1C8C" w:rsidRPr="00BA1D57" w:rsidRDefault="006F1C8C" w:rsidP="0059432C">
      <w:pPr>
        <w:tabs>
          <w:tab w:val="left" w:pos="8080"/>
        </w:tabs>
        <w:spacing w:line="360" w:lineRule="auto"/>
        <w:jc w:val="both"/>
        <w:rPr>
          <w:rFonts w:ascii="Palatino Linotype" w:eastAsia="Palatino Linotype" w:hAnsi="Palatino Linotype" w:cs="Palatino Linotype"/>
          <w:b/>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tabs>
          <w:tab w:val="left" w:pos="8080"/>
        </w:tabs>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 xml:space="preserve">TERCERO. Notifíquese </w:t>
      </w:r>
      <w:r w:rsidRPr="00BA1D57">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A1D57">
        <w:rPr>
          <w:rFonts w:ascii="Palatino Linotype" w:eastAsia="Palatino Linotype" w:hAnsi="Palatino Linotype" w:cs="Palatino Linotype"/>
          <w:b/>
          <w:color w:val="000000" w:themeColor="text1"/>
        </w:rPr>
        <w:t>dé cumplimiento a lo ordenado dentro del plazo de diez días hábiles,</w:t>
      </w:r>
      <w:r w:rsidRPr="00BA1D5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F1C8C" w:rsidRPr="00BA1D57" w:rsidRDefault="006F1C8C" w:rsidP="0059432C">
      <w:pPr>
        <w:tabs>
          <w:tab w:val="left" w:pos="8080"/>
        </w:tabs>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shd w:val="clear" w:color="auto" w:fill="FFFFFF"/>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lastRenderedPageBreak/>
        <w:t>CUARTO. Notifíquese al RECURRENTE</w:t>
      </w:r>
      <w:r w:rsidRPr="00BA1D57">
        <w:rPr>
          <w:rFonts w:ascii="Palatino Linotype" w:eastAsia="Palatino Linotype" w:hAnsi="Palatino Linotype" w:cs="Palatino Linotype"/>
          <w:color w:val="000000" w:themeColor="text1"/>
        </w:rPr>
        <w:t xml:space="preserve"> la presente resolución vía SAIMEX.</w:t>
      </w:r>
    </w:p>
    <w:p w:rsidR="006F1C8C" w:rsidRPr="00BA1D57" w:rsidRDefault="006F1C8C" w:rsidP="0059432C">
      <w:pPr>
        <w:shd w:val="clear" w:color="auto" w:fill="FFFFFF"/>
        <w:spacing w:line="360" w:lineRule="auto"/>
        <w:jc w:val="both"/>
        <w:rPr>
          <w:rFonts w:ascii="Palatino Linotype" w:eastAsia="Palatino Linotype" w:hAnsi="Palatino Linotype" w:cs="Palatino Linotype"/>
          <w:b/>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QUINTO.</w:t>
      </w:r>
      <w:r w:rsidRPr="00BA1D57">
        <w:rPr>
          <w:rFonts w:ascii="Palatino Linotype" w:eastAsia="Palatino Linotype" w:hAnsi="Palatino Linotype" w:cs="Palatino Linotype"/>
          <w:color w:val="000000" w:themeColor="text1"/>
        </w:rPr>
        <w:t xml:space="preserve"> Se hace del conocimiento del </w:t>
      </w:r>
      <w:r w:rsidRPr="00BA1D57">
        <w:rPr>
          <w:rFonts w:ascii="Palatino Linotype" w:eastAsia="Palatino Linotype" w:hAnsi="Palatino Linotype" w:cs="Palatino Linotype"/>
          <w:b/>
          <w:color w:val="000000" w:themeColor="text1"/>
        </w:rPr>
        <w:t>RECURRENTE</w:t>
      </w:r>
      <w:r w:rsidRPr="00BA1D5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 xml:space="preserve">SEXTO. </w:t>
      </w:r>
      <w:r w:rsidRPr="00BA1D5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6F1C8C" w:rsidRPr="00BA1D57" w:rsidRDefault="00D74433" w:rsidP="0059432C">
      <w:pPr>
        <w:spacing w:line="360" w:lineRule="auto"/>
        <w:jc w:val="both"/>
        <w:rPr>
          <w:rFonts w:ascii="Palatino Linotype" w:eastAsia="Palatino Linotype" w:hAnsi="Palatino Linotype" w:cs="Palatino Linotype"/>
          <w:color w:val="000000" w:themeColor="text1"/>
        </w:rPr>
      </w:pPr>
      <w:r w:rsidRPr="00BA1D57">
        <w:rPr>
          <w:rFonts w:ascii="Palatino Linotype" w:eastAsia="Palatino Linotype" w:hAnsi="Palatino Linotype" w:cs="Palatino Linotype"/>
          <w:b/>
          <w:color w:val="000000" w:themeColor="text1"/>
        </w:rPr>
        <w:t>SÉPTIMO.</w:t>
      </w:r>
      <w:r w:rsidRPr="00BA1D57">
        <w:rPr>
          <w:rFonts w:ascii="Palatino Linotype" w:eastAsia="Palatino Linotype" w:hAnsi="Palatino Linotype" w:cs="Palatino Linotype"/>
          <w:color w:val="000000" w:themeColor="text1"/>
        </w:rPr>
        <w:t xml:space="preserve"> </w:t>
      </w:r>
      <w:r w:rsidRPr="00BA1D57">
        <w:rPr>
          <w:rFonts w:ascii="Palatino Linotype" w:eastAsia="Palatino Linotype" w:hAnsi="Palatino Linotype" w:cs="Palatino Linotype"/>
          <w:b/>
          <w:color w:val="000000" w:themeColor="text1"/>
        </w:rPr>
        <w:t>Gírese</w:t>
      </w:r>
      <w:r w:rsidRPr="00BA1D57">
        <w:rPr>
          <w:rFonts w:ascii="Palatino Linotype" w:eastAsia="Palatino Linotype" w:hAnsi="Palatino Linotype" w:cs="Palatino Linotype"/>
          <w:color w:val="000000" w:themeColor="text1"/>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BA1D57">
        <w:rPr>
          <w:rFonts w:ascii="Palatino Linotype" w:eastAsia="Palatino Linotype" w:hAnsi="Palatino Linotype" w:cs="Palatino Linotype"/>
          <w:b/>
          <w:color w:val="000000" w:themeColor="text1"/>
        </w:rPr>
        <w:t>Considerando CUARTO</w:t>
      </w:r>
      <w:r w:rsidRPr="00BA1D57">
        <w:rPr>
          <w:rFonts w:ascii="Palatino Linotype" w:eastAsia="Palatino Linotype" w:hAnsi="Palatino Linotype" w:cs="Palatino Linotype"/>
          <w:color w:val="000000" w:themeColor="text1"/>
        </w:rPr>
        <w:t xml:space="preserve"> de la presente resolución.</w:t>
      </w:r>
    </w:p>
    <w:p w:rsidR="006F1C8C" w:rsidRPr="00BA1D57" w:rsidRDefault="006F1C8C" w:rsidP="0059432C">
      <w:pPr>
        <w:spacing w:line="360" w:lineRule="auto"/>
        <w:jc w:val="both"/>
        <w:rPr>
          <w:rFonts w:ascii="Palatino Linotype" w:eastAsia="Palatino Linotype" w:hAnsi="Palatino Linotype" w:cs="Palatino Linotype"/>
          <w:color w:val="000000" w:themeColor="text1"/>
        </w:rPr>
      </w:pPr>
    </w:p>
    <w:p w:rsidR="0059432C" w:rsidRPr="00444783" w:rsidRDefault="00BA1D57" w:rsidP="0059432C">
      <w:pPr>
        <w:spacing w:line="360" w:lineRule="auto"/>
        <w:ind w:right="49"/>
        <w:jc w:val="both"/>
        <w:rPr>
          <w:rFonts w:ascii="Palatino Linotype" w:eastAsia="Palatino Linotype" w:hAnsi="Palatino Linotype" w:cs="Palatino Linotype"/>
        </w:rPr>
      </w:pPr>
      <w:r w:rsidRPr="00BA1D5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w:t>
      </w:r>
      <w:r w:rsidRPr="00BA1D57">
        <w:rPr>
          <w:rFonts w:ascii="Palatino Linotype" w:eastAsia="Palatino Linotype" w:hAnsi="Palatino Linotype" w:cs="Palatino Linotype"/>
        </w:rPr>
        <w:lastRenderedPageBreak/>
        <w:t>CELEBRADA EL VEINTISIETE (27) DE AGOSTO DE DOS MIL VEINTICINCO, ANTE EL SECRETARIO TÉCNICO DEL PLENO ALEXIS TAPIA RAMÍREZ</w:t>
      </w:r>
      <w:r w:rsidR="0059432C" w:rsidRPr="00BA1D57">
        <w:rPr>
          <w:rFonts w:ascii="Palatino Linotype" w:eastAsia="Palatino Linotype" w:hAnsi="Palatino Linotype" w:cs="Palatino Linotype"/>
        </w:rPr>
        <w:t>.</w:t>
      </w:r>
    </w:p>
    <w:p w:rsidR="006F1C8C" w:rsidRDefault="006F1C8C"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Default="002755EF" w:rsidP="0059432C">
      <w:pPr>
        <w:spacing w:line="360" w:lineRule="auto"/>
        <w:jc w:val="both"/>
        <w:rPr>
          <w:rFonts w:ascii="Palatino Linotype" w:eastAsia="Palatino Linotype" w:hAnsi="Palatino Linotype" w:cs="Palatino Linotype"/>
          <w:color w:val="000000" w:themeColor="text1"/>
        </w:rPr>
      </w:pPr>
    </w:p>
    <w:p w:rsidR="002755EF" w:rsidRPr="0059432C" w:rsidRDefault="002755EF" w:rsidP="0059432C">
      <w:pPr>
        <w:spacing w:line="360" w:lineRule="auto"/>
        <w:jc w:val="both"/>
        <w:rPr>
          <w:rFonts w:ascii="Palatino Linotype" w:eastAsia="Palatino Linotype" w:hAnsi="Palatino Linotype" w:cs="Palatino Linotype"/>
          <w:color w:val="000000" w:themeColor="text1"/>
        </w:rPr>
      </w:pPr>
    </w:p>
    <w:p w:rsidR="006F1C8C" w:rsidRPr="0059432C" w:rsidRDefault="006F1C8C" w:rsidP="0059432C">
      <w:pPr>
        <w:spacing w:line="360" w:lineRule="auto"/>
        <w:jc w:val="both"/>
        <w:rPr>
          <w:rFonts w:ascii="Palatino Linotype" w:eastAsia="Palatino Linotype" w:hAnsi="Palatino Linotype" w:cs="Palatino Linotype"/>
          <w:color w:val="000000" w:themeColor="text1"/>
        </w:rPr>
      </w:pPr>
    </w:p>
    <w:p w:rsidR="006F1C8C" w:rsidRPr="0059432C" w:rsidRDefault="006F1C8C" w:rsidP="0059432C">
      <w:pPr>
        <w:spacing w:line="360" w:lineRule="auto"/>
        <w:jc w:val="both"/>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eastAsia="Palatino Linotype" w:hAnsi="Palatino Linotype" w:cs="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spacing w:line="360" w:lineRule="auto"/>
        <w:rPr>
          <w:rFonts w:ascii="Palatino Linotype" w:hAnsi="Palatino Linotype"/>
          <w:color w:val="000000" w:themeColor="text1"/>
        </w:rPr>
      </w:pPr>
    </w:p>
    <w:p w:rsidR="006F1C8C" w:rsidRPr="0059432C" w:rsidRDefault="006F1C8C" w:rsidP="0059432C">
      <w:pPr>
        <w:rPr>
          <w:rFonts w:ascii="Palatino Linotype" w:hAnsi="Palatino Linotype"/>
          <w:color w:val="000000" w:themeColor="text1"/>
        </w:rPr>
      </w:pPr>
    </w:p>
    <w:sectPr w:rsidR="006F1C8C" w:rsidRPr="0059432C" w:rsidSect="00B95E10">
      <w:headerReference w:type="default" r:id="rId17"/>
      <w:type w:val="continuous"/>
      <w:pgSz w:w="12240" w:h="15840"/>
      <w:pgMar w:top="80" w:right="1041" w:bottom="1418" w:left="1588" w:header="709" w:footer="919" w:gutter="0"/>
      <w:pgNumType w:start="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1CC" w:rsidRDefault="009B21CC">
      <w:r>
        <w:separator/>
      </w:r>
    </w:p>
  </w:endnote>
  <w:endnote w:type="continuationSeparator" w:id="0">
    <w:p w:rsidR="009B21CC" w:rsidRDefault="009B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972964"/>
      <w:docPartObj>
        <w:docPartGallery w:val="Page Numbers (Bottom of Page)"/>
        <w:docPartUnique/>
      </w:docPartObj>
    </w:sdtPr>
    <w:sdtEndPr/>
    <w:sdtContent>
      <w:sdt>
        <w:sdtPr>
          <w:id w:val="-1769616900"/>
          <w:docPartObj>
            <w:docPartGallery w:val="Page Numbers (Top of Page)"/>
            <w:docPartUnique/>
          </w:docPartObj>
        </w:sdtPr>
        <w:sdtEndPr/>
        <w:sdtContent>
          <w:p w:rsidR="00087E47" w:rsidRDefault="00087E47">
            <w:pPr>
              <w:pStyle w:val="Piedepgina"/>
              <w:jc w:val="right"/>
            </w:pPr>
            <w:r>
              <w:rPr>
                <w:lang w:val="es-ES"/>
              </w:rPr>
              <w:t xml:space="preserve">Página </w:t>
            </w:r>
            <w:r>
              <w:rPr>
                <w:b/>
                <w:bCs/>
              </w:rPr>
              <w:fldChar w:fldCharType="begin"/>
            </w:r>
            <w:r>
              <w:rPr>
                <w:b/>
                <w:bCs/>
              </w:rPr>
              <w:instrText>PAGE</w:instrText>
            </w:r>
            <w:r>
              <w:rPr>
                <w:b/>
                <w:bCs/>
              </w:rPr>
              <w:fldChar w:fldCharType="separate"/>
            </w:r>
            <w:r w:rsidR="00B12405">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2405">
              <w:rPr>
                <w:b/>
                <w:bCs/>
                <w:noProof/>
              </w:rPr>
              <w:t>27</w:t>
            </w:r>
            <w:r>
              <w:rPr>
                <w:b/>
                <w:bCs/>
              </w:rPr>
              <w:fldChar w:fldCharType="end"/>
            </w:r>
          </w:p>
        </w:sdtContent>
      </w:sdt>
    </w:sdtContent>
  </w:sdt>
  <w:p w:rsidR="006F1C8C" w:rsidRDefault="006F1C8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0189"/>
      <w:docPartObj>
        <w:docPartGallery w:val="Page Numbers (Bottom of Page)"/>
        <w:docPartUnique/>
      </w:docPartObj>
    </w:sdtPr>
    <w:sdtEndPr/>
    <w:sdtContent>
      <w:sdt>
        <w:sdtPr>
          <w:id w:val="1728636285"/>
          <w:docPartObj>
            <w:docPartGallery w:val="Page Numbers (Top of Page)"/>
            <w:docPartUnique/>
          </w:docPartObj>
        </w:sdtPr>
        <w:sdtEndPr/>
        <w:sdtContent>
          <w:p w:rsidR="00087E47" w:rsidRDefault="00087E47" w:rsidP="00087E47">
            <w:pPr>
              <w:pStyle w:val="Piedepgina"/>
              <w:jc w:val="right"/>
            </w:pPr>
            <w:r>
              <w:rPr>
                <w:lang w:val="es-ES"/>
              </w:rPr>
              <w:t xml:space="preserve">Página </w:t>
            </w:r>
            <w:r>
              <w:rPr>
                <w:b/>
                <w:bCs/>
              </w:rPr>
              <w:fldChar w:fldCharType="begin"/>
            </w:r>
            <w:r>
              <w:rPr>
                <w:b/>
                <w:bCs/>
              </w:rPr>
              <w:instrText>PAGE</w:instrText>
            </w:r>
            <w:r>
              <w:rPr>
                <w:b/>
                <w:bCs/>
              </w:rPr>
              <w:fldChar w:fldCharType="separate"/>
            </w:r>
            <w:r w:rsidR="00B1240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2405">
              <w:rPr>
                <w:b/>
                <w:bCs/>
                <w:noProof/>
              </w:rPr>
              <w:t>27</w:t>
            </w:r>
            <w:r>
              <w:rPr>
                <w:b/>
                <w:bCs/>
              </w:rPr>
              <w:fldChar w:fldCharType="end"/>
            </w:r>
          </w:p>
        </w:sdtContent>
      </w:sdt>
    </w:sdtContent>
  </w:sdt>
  <w:p w:rsidR="006F1C8C" w:rsidRDefault="006F1C8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1CC" w:rsidRDefault="009B21CC">
      <w:r>
        <w:separator/>
      </w:r>
    </w:p>
  </w:footnote>
  <w:footnote w:type="continuationSeparator" w:id="0">
    <w:p w:rsidR="009B21CC" w:rsidRDefault="009B21CC">
      <w:r>
        <w:continuationSeparator/>
      </w:r>
    </w:p>
  </w:footnote>
  <w:footnote w:id="1">
    <w:p w:rsidR="006F1C8C" w:rsidRDefault="00D744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F1C8C" w:rsidRDefault="00D7443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6F1C8C" w:rsidRDefault="00D744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8C" w:rsidRDefault="009B21C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7" w:type="dxa"/>
      <w:tblInd w:w="0" w:type="dxa"/>
      <w:tblLayout w:type="fixed"/>
      <w:tblLook w:val="0400" w:firstRow="0" w:lastRow="0" w:firstColumn="0" w:lastColumn="0" w:noHBand="0" w:noVBand="1"/>
    </w:tblPr>
    <w:tblGrid>
      <w:gridCol w:w="3261"/>
      <w:gridCol w:w="6946"/>
    </w:tblGrid>
    <w:tr w:rsidR="006F1C8C" w:rsidTr="002755EF">
      <w:trPr>
        <w:trHeight w:val="1435"/>
      </w:trPr>
      <w:tc>
        <w:tcPr>
          <w:tcW w:w="3261" w:type="dxa"/>
          <w:shd w:val="clear" w:color="auto" w:fill="auto"/>
        </w:tcPr>
        <w:p w:rsidR="006F1C8C" w:rsidRDefault="006F1C8C">
          <w:pPr>
            <w:tabs>
              <w:tab w:val="right" w:pos="4273"/>
            </w:tabs>
            <w:rPr>
              <w:rFonts w:ascii="Garamond" w:eastAsia="Garamond" w:hAnsi="Garamond" w:cs="Garamond"/>
              <w:sz w:val="16"/>
              <w:szCs w:val="16"/>
            </w:rPr>
          </w:pPr>
        </w:p>
      </w:tc>
      <w:tc>
        <w:tcPr>
          <w:tcW w:w="6946" w:type="dxa"/>
          <w:shd w:val="clear" w:color="auto" w:fill="auto"/>
        </w:tcPr>
        <w:tbl>
          <w:tblPr>
            <w:tblStyle w:val="a2"/>
            <w:tblW w:w="7216" w:type="dxa"/>
            <w:tblInd w:w="40" w:type="dxa"/>
            <w:tblLayout w:type="fixed"/>
            <w:tblLook w:val="0400" w:firstRow="0" w:lastRow="0" w:firstColumn="0" w:lastColumn="0" w:noHBand="0" w:noVBand="1"/>
          </w:tblPr>
          <w:tblGrid>
            <w:gridCol w:w="2680"/>
            <w:gridCol w:w="4536"/>
          </w:tblGrid>
          <w:tr w:rsidR="006F1C8C" w:rsidTr="0059432C">
            <w:trPr>
              <w:trHeight w:val="150"/>
            </w:trPr>
            <w:tc>
              <w:tcPr>
                <w:tcW w:w="2680" w:type="dxa"/>
                <w:shd w:val="clear" w:color="auto" w:fill="auto"/>
              </w:tcPr>
              <w:p w:rsidR="006F1C8C" w:rsidRPr="0059432C" w:rsidRDefault="00D74433"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Recurso de Revisión:</w:t>
                </w:r>
              </w:p>
            </w:tc>
            <w:tc>
              <w:tcPr>
                <w:tcW w:w="4536" w:type="dxa"/>
                <w:shd w:val="clear" w:color="auto" w:fill="auto"/>
              </w:tcPr>
              <w:p w:rsidR="006F1C8C" w:rsidRPr="0059432C" w:rsidRDefault="00D74433" w:rsidP="0059432C">
                <w:pPr>
                  <w:tabs>
                    <w:tab w:val="right" w:pos="8838"/>
                  </w:tabs>
                  <w:ind w:left="-108" w:right="-102"/>
                  <w:jc w:val="both"/>
                  <w:rPr>
                    <w:rFonts w:ascii="Palatino Linotype" w:eastAsia="Palatino Linotype" w:hAnsi="Palatino Linotype" w:cs="Palatino Linotype"/>
                  </w:rPr>
                </w:pPr>
                <w:r w:rsidRPr="0059432C">
                  <w:rPr>
                    <w:rFonts w:ascii="Palatino Linotype" w:eastAsia="Palatino Linotype" w:hAnsi="Palatino Linotype" w:cs="Palatino Linotype"/>
                  </w:rPr>
                  <w:t>03983/INFOEM/IP/RR/2025</w:t>
                </w:r>
              </w:p>
            </w:tc>
          </w:tr>
          <w:tr w:rsidR="006F1C8C" w:rsidTr="0059432C">
            <w:trPr>
              <w:trHeight w:val="295"/>
            </w:trPr>
            <w:tc>
              <w:tcPr>
                <w:tcW w:w="2680" w:type="dxa"/>
                <w:shd w:val="clear" w:color="auto" w:fill="auto"/>
              </w:tcPr>
              <w:p w:rsidR="006F1C8C" w:rsidRPr="0059432C" w:rsidRDefault="00D74433"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Sujeto Obligado:</w:t>
                </w:r>
              </w:p>
            </w:tc>
            <w:tc>
              <w:tcPr>
                <w:tcW w:w="4536" w:type="dxa"/>
                <w:shd w:val="clear" w:color="auto" w:fill="auto"/>
              </w:tcPr>
              <w:p w:rsidR="006F1C8C" w:rsidRPr="0059432C" w:rsidRDefault="00D74433" w:rsidP="0059432C">
                <w:pPr>
                  <w:tabs>
                    <w:tab w:val="left" w:pos="2834"/>
                    <w:tab w:val="right" w:pos="8838"/>
                  </w:tabs>
                  <w:ind w:left="-108" w:right="-102"/>
                  <w:jc w:val="both"/>
                  <w:rPr>
                    <w:rFonts w:ascii="Palatino Linotype" w:eastAsia="Palatino Linotype" w:hAnsi="Palatino Linotype" w:cs="Palatino Linotype"/>
                  </w:rPr>
                </w:pPr>
                <w:r w:rsidRPr="0059432C">
                  <w:rPr>
                    <w:rFonts w:ascii="Palatino Linotype" w:eastAsia="Palatino Linotype" w:hAnsi="Palatino Linotype" w:cs="Palatino Linotype"/>
                  </w:rPr>
                  <w:t>Ayuntamiento de Melchor Ocampo</w:t>
                </w:r>
              </w:p>
            </w:tc>
          </w:tr>
          <w:tr w:rsidR="006F1C8C" w:rsidTr="0059432C">
            <w:trPr>
              <w:trHeight w:val="295"/>
            </w:trPr>
            <w:tc>
              <w:tcPr>
                <w:tcW w:w="2680" w:type="dxa"/>
                <w:shd w:val="clear" w:color="auto" w:fill="auto"/>
              </w:tcPr>
              <w:p w:rsidR="006F1C8C" w:rsidRPr="0059432C" w:rsidRDefault="00D74433"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Comisionada ponente:</w:t>
                </w:r>
              </w:p>
            </w:tc>
            <w:tc>
              <w:tcPr>
                <w:tcW w:w="4536" w:type="dxa"/>
                <w:shd w:val="clear" w:color="auto" w:fill="auto"/>
              </w:tcPr>
              <w:p w:rsidR="006F1C8C" w:rsidRPr="0059432C" w:rsidRDefault="00D74433" w:rsidP="0059432C">
                <w:pPr>
                  <w:tabs>
                    <w:tab w:val="right" w:pos="8838"/>
                  </w:tabs>
                  <w:ind w:left="-108" w:right="171"/>
                  <w:jc w:val="both"/>
                  <w:rPr>
                    <w:rFonts w:ascii="Palatino Linotype" w:eastAsia="Palatino Linotype" w:hAnsi="Palatino Linotype" w:cs="Palatino Linotype"/>
                  </w:rPr>
                </w:pPr>
                <w:r w:rsidRPr="0059432C">
                  <w:rPr>
                    <w:rFonts w:ascii="Palatino Linotype" w:eastAsia="Palatino Linotype" w:hAnsi="Palatino Linotype" w:cs="Palatino Linotype"/>
                  </w:rPr>
                  <w:t>María del Rosario Mejía Ayala</w:t>
                </w:r>
              </w:p>
              <w:p w:rsidR="006F1C8C" w:rsidRPr="0059432C" w:rsidRDefault="006F1C8C" w:rsidP="0059432C">
                <w:pPr>
                  <w:tabs>
                    <w:tab w:val="right" w:pos="8838"/>
                  </w:tabs>
                  <w:ind w:left="-108" w:right="171"/>
                  <w:jc w:val="both"/>
                  <w:rPr>
                    <w:rFonts w:ascii="Palatino Linotype" w:eastAsia="Palatino Linotype" w:hAnsi="Palatino Linotype" w:cs="Palatino Linotype"/>
                  </w:rPr>
                </w:pPr>
              </w:p>
            </w:tc>
          </w:tr>
        </w:tbl>
        <w:p w:rsidR="006F1C8C" w:rsidRDefault="006F1C8C">
          <w:pPr>
            <w:tabs>
              <w:tab w:val="right" w:pos="8838"/>
            </w:tabs>
            <w:ind w:left="-28"/>
            <w:jc w:val="both"/>
            <w:rPr>
              <w:rFonts w:ascii="Arial" w:eastAsia="Arial" w:hAnsi="Arial" w:cs="Arial"/>
              <w:b/>
              <w:sz w:val="22"/>
              <w:szCs w:val="22"/>
            </w:rPr>
          </w:pPr>
        </w:p>
      </w:tc>
    </w:tr>
  </w:tbl>
  <w:p w:rsidR="006F1C8C" w:rsidRDefault="009B21C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348" w:type="dxa"/>
      <w:tblInd w:w="0" w:type="dxa"/>
      <w:tblLayout w:type="fixed"/>
      <w:tblLook w:val="0400" w:firstRow="0" w:lastRow="0" w:firstColumn="0" w:lastColumn="0" w:noHBand="0" w:noVBand="1"/>
    </w:tblPr>
    <w:tblGrid>
      <w:gridCol w:w="2268"/>
      <w:gridCol w:w="8080"/>
    </w:tblGrid>
    <w:tr w:rsidR="006F1C8C" w:rsidTr="002755EF">
      <w:trPr>
        <w:trHeight w:val="1435"/>
      </w:trPr>
      <w:tc>
        <w:tcPr>
          <w:tcW w:w="2268" w:type="dxa"/>
          <w:shd w:val="clear" w:color="auto" w:fill="auto"/>
        </w:tcPr>
        <w:p w:rsidR="006F1C8C" w:rsidRDefault="006F1C8C">
          <w:pPr>
            <w:tabs>
              <w:tab w:val="right" w:pos="4273"/>
            </w:tabs>
            <w:rPr>
              <w:rFonts w:ascii="Garamond" w:eastAsia="Garamond" w:hAnsi="Garamond" w:cs="Garamond"/>
              <w:sz w:val="22"/>
              <w:szCs w:val="22"/>
            </w:rPr>
          </w:pPr>
        </w:p>
      </w:tc>
      <w:tc>
        <w:tcPr>
          <w:tcW w:w="8080" w:type="dxa"/>
          <w:shd w:val="clear" w:color="auto" w:fill="auto"/>
        </w:tcPr>
        <w:tbl>
          <w:tblPr>
            <w:tblStyle w:val="a4"/>
            <w:tblW w:w="7783" w:type="dxa"/>
            <w:tblInd w:w="1161" w:type="dxa"/>
            <w:tblLayout w:type="fixed"/>
            <w:tblLook w:val="0400" w:firstRow="0" w:lastRow="0" w:firstColumn="0" w:lastColumn="0" w:noHBand="0" w:noVBand="1"/>
          </w:tblPr>
          <w:tblGrid>
            <w:gridCol w:w="2680"/>
            <w:gridCol w:w="5103"/>
          </w:tblGrid>
          <w:tr w:rsidR="006F1C8C" w:rsidTr="002755EF">
            <w:trPr>
              <w:trHeight w:val="144"/>
            </w:trPr>
            <w:tc>
              <w:tcPr>
                <w:tcW w:w="2680" w:type="dxa"/>
                <w:shd w:val="clear" w:color="auto" w:fill="auto"/>
              </w:tcPr>
              <w:p w:rsidR="006F1C8C" w:rsidRPr="0059432C" w:rsidRDefault="00D74433" w:rsidP="0059432C">
                <w:pPr>
                  <w:tabs>
                    <w:tab w:val="right" w:pos="8838"/>
                  </w:tabs>
                  <w:ind w:left="-264" w:right="-105" w:firstLine="195"/>
                  <w:rPr>
                    <w:rFonts w:ascii="Palatino Linotype" w:eastAsia="Palatino Linotype" w:hAnsi="Palatino Linotype" w:cs="Palatino Linotype"/>
                    <w:b/>
                  </w:rPr>
                </w:pPr>
                <w:r w:rsidRPr="0059432C">
                  <w:rPr>
                    <w:rFonts w:ascii="Palatino Linotype" w:eastAsia="Palatino Linotype" w:hAnsi="Palatino Linotype" w:cs="Palatino Linotype"/>
                    <w:b/>
                  </w:rPr>
                  <w:t>Recurso de Revisión:</w:t>
                </w:r>
              </w:p>
            </w:tc>
            <w:tc>
              <w:tcPr>
                <w:tcW w:w="5103" w:type="dxa"/>
                <w:shd w:val="clear" w:color="auto" w:fill="auto"/>
              </w:tcPr>
              <w:p w:rsidR="006F1C8C" w:rsidRPr="0059432C" w:rsidRDefault="00D74433" w:rsidP="0059432C">
                <w:pPr>
                  <w:tabs>
                    <w:tab w:val="right" w:pos="8838"/>
                  </w:tabs>
                  <w:ind w:left="-74" w:right="-105"/>
                  <w:jc w:val="both"/>
                  <w:rPr>
                    <w:rFonts w:ascii="Palatino Linotype" w:eastAsia="Palatino Linotype" w:hAnsi="Palatino Linotype" w:cs="Palatino Linotype"/>
                  </w:rPr>
                </w:pPr>
                <w:r w:rsidRPr="0059432C">
                  <w:rPr>
                    <w:rFonts w:ascii="Palatino Linotype" w:eastAsia="Palatino Linotype" w:hAnsi="Palatino Linotype" w:cs="Palatino Linotype"/>
                  </w:rPr>
                  <w:t>03983/INFOEM/IP/RR/2025</w:t>
                </w:r>
              </w:p>
            </w:tc>
          </w:tr>
          <w:tr w:rsidR="006F1C8C" w:rsidTr="002755EF">
            <w:trPr>
              <w:trHeight w:val="144"/>
            </w:trPr>
            <w:tc>
              <w:tcPr>
                <w:tcW w:w="2680" w:type="dxa"/>
                <w:shd w:val="clear" w:color="auto" w:fill="auto"/>
              </w:tcPr>
              <w:p w:rsidR="006F1C8C" w:rsidRPr="0059432C" w:rsidRDefault="00D74433" w:rsidP="0059432C">
                <w:pPr>
                  <w:tabs>
                    <w:tab w:val="right" w:pos="8838"/>
                  </w:tabs>
                  <w:ind w:left="-74" w:right="-105"/>
                  <w:rPr>
                    <w:rFonts w:ascii="Palatino Linotype" w:eastAsia="Palatino Linotype" w:hAnsi="Palatino Linotype" w:cs="Palatino Linotype"/>
                    <w:b/>
                  </w:rPr>
                </w:pPr>
                <w:r w:rsidRPr="0059432C">
                  <w:rPr>
                    <w:rFonts w:ascii="Palatino Linotype" w:eastAsia="Palatino Linotype" w:hAnsi="Palatino Linotype" w:cs="Palatino Linotype"/>
                    <w:b/>
                  </w:rPr>
                  <w:t>Recurrente:</w:t>
                </w:r>
              </w:p>
            </w:tc>
            <w:tc>
              <w:tcPr>
                <w:tcW w:w="5103" w:type="dxa"/>
                <w:shd w:val="clear" w:color="auto" w:fill="auto"/>
              </w:tcPr>
              <w:p w:rsidR="006F1C8C" w:rsidRPr="0059432C" w:rsidRDefault="00B12405" w:rsidP="0059432C">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6F1C8C" w:rsidTr="002755EF">
            <w:trPr>
              <w:trHeight w:val="283"/>
            </w:trPr>
            <w:tc>
              <w:tcPr>
                <w:tcW w:w="2680" w:type="dxa"/>
                <w:shd w:val="clear" w:color="auto" w:fill="auto"/>
              </w:tcPr>
              <w:p w:rsidR="006F1C8C" w:rsidRPr="0059432C" w:rsidRDefault="00D74433" w:rsidP="0059432C">
                <w:pPr>
                  <w:tabs>
                    <w:tab w:val="right" w:pos="8838"/>
                  </w:tabs>
                  <w:ind w:left="-74" w:right="-105"/>
                  <w:rPr>
                    <w:rFonts w:ascii="Palatino Linotype" w:eastAsia="Palatino Linotype" w:hAnsi="Palatino Linotype" w:cs="Palatino Linotype"/>
                    <w:b/>
                  </w:rPr>
                </w:pPr>
                <w:r w:rsidRPr="0059432C">
                  <w:rPr>
                    <w:rFonts w:ascii="Palatino Linotype" w:eastAsia="Palatino Linotype" w:hAnsi="Palatino Linotype" w:cs="Palatino Linotype"/>
                    <w:b/>
                  </w:rPr>
                  <w:t>Sujeto Obligado:</w:t>
                </w:r>
              </w:p>
            </w:tc>
            <w:tc>
              <w:tcPr>
                <w:tcW w:w="5103" w:type="dxa"/>
                <w:shd w:val="clear" w:color="auto" w:fill="auto"/>
              </w:tcPr>
              <w:p w:rsidR="006F1C8C" w:rsidRPr="0059432C" w:rsidRDefault="00D74433" w:rsidP="0059432C">
                <w:pPr>
                  <w:tabs>
                    <w:tab w:val="left" w:pos="2834"/>
                    <w:tab w:val="right" w:pos="8838"/>
                  </w:tabs>
                  <w:ind w:left="-74" w:right="-105"/>
                  <w:jc w:val="both"/>
                  <w:rPr>
                    <w:rFonts w:ascii="Palatino Linotype" w:eastAsia="Palatino Linotype" w:hAnsi="Palatino Linotype" w:cs="Palatino Linotype"/>
                  </w:rPr>
                </w:pPr>
                <w:r w:rsidRPr="0059432C">
                  <w:rPr>
                    <w:rFonts w:ascii="Palatino Linotype" w:eastAsia="Palatino Linotype" w:hAnsi="Palatino Linotype" w:cs="Palatino Linotype"/>
                  </w:rPr>
                  <w:t>Ayuntamiento de Melchor Ocampo</w:t>
                </w:r>
              </w:p>
            </w:tc>
          </w:tr>
          <w:tr w:rsidR="006F1C8C" w:rsidTr="002755EF">
            <w:trPr>
              <w:trHeight w:val="283"/>
            </w:trPr>
            <w:tc>
              <w:tcPr>
                <w:tcW w:w="2680" w:type="dxa"/>
                <w:shd w:val="clear" w:color="auto" w:fill="auto"/>
              </w:tcPr>
              <w:p w:rsidR="006F1C8C" w:rsidRPr="0059432C" w:rsidRDefault="00D74433" w:rsidP="0059432C">
                <w:pPr>
                  <w:tabs>
                    <w:tab w:val="right" w:pos="8838"/>
                  </w:tabs>
                  <w:ind w:left="-74" w:right="-105"/>
                  <w:rPr>
                    <w:rFonts w:ascii="Palatino Linotype" w:eastAsia="Palatino Linotype" w:hAnsi="Palatino Linotype" w:cs="Palatino Linotype"/>
                    <w:b/>
                  </w:rPr>
                </w:pPr>
                <w:r w:rsidRPr="0059432C">
                  <w:rPr>
                    <w:rFonts w:ascii="Palatino Linotype" w:eastAsia="Palatino Linotype" w:hAnsi="Palatino Linotype" w:cs="Palatino Linotype"/>
                    <w:b/>
                  </w:rPr>
                  <w:t>Comisionada ponente:</w:t>
                </w:r>
              </w:p>
            </w:tc>
            <w:tc>
              <w:tcPr>
                <w:tcW w:w="5103" w:type="dxa"/>
                <w:shd w:val="clear" w:color="auto" w:fill="auto"/>
              </w:tcPr>
              <w:p w:rsidR="006F1C8C" w:rsidRPr="0059432C" w:rsidRDefault="00D74433" w:rsidP="0059432C">
                <w:pPr>
                  <w:tabs>
                    <w:tab w:val="right" w:pos="8838"/>
                  </w:tabs>
                  <w:ind w:left="-74" w:right="-105"/>
                  <w:jc w:val="both"/>
                  <w:rPr>
                    <w:rFonts w:ascii="Palatino Linotype" w:eastAsia="Palatino Linotype" w:hAnsi="Palatino Linotype" w:cs="Palatino Linotype"/>
                  </w:rPr>
                </w:pPr>
                <w:r w:rsidRPr="0059432C">
                  <w:rPr>
                    <w:rFonts w:ascii="Palatino Linotype" w:eastAsia="Palatino Linotype" w:hAnsi="Palatino Linotype" w:cs="Palatino Linotype"/>
                  </w:rPr>
                  <w:t>María del Rosario Mejía Ayala</w:t>
                </w:r>
              </w:p>
              <w:p w:rsidR="006F1C8C" w:rsidRPr="0059432C" w:rsidRDefault="006F1C8C" w:rsidP="0059432C">
                <w:pPr>
                  <w:tabs>
                    <w:tab w:val="right" w:pos="8838"/>
                  </w:tabs>
                  <w:ind w:left="-74" w:right="-105"/>
                  <w:jc w:val="both"/>
                  <w:rPr>
                    <w:rFonts w:ascii="Palatino Linotype" w:eastAsia="Palatino Linotype" w:hAnsi="Palatino Linotype" w:cs="Palatino Linotype"/>
                  </w:rPr>
                </w:pPr>
              </w:p>
            </w:tc>
          </w:tr>
        </w:tbl>
        <w:p w:rsidR="006F1C8C" w:rsidRDefault="006F1C8C">
          <w:pPr>
            <w:tabs>
              <w:tab w:val="right" w:pos="8838"/>
            </w:tabs>
            <w:ind w:left="-28"/>
            <w:jc w:val="both"/>
            <w:rPr>
              <w:rFonts w:ascii="Arial" w:eastAsia="Arial" w:hAnsi="Arial" w:cs="Arial"/>
              <w:b/>
              <w:sz w:val="22"/>
              <w:szCs w:val="22"/>
            </w:rPr>
          </w:pPr>
        </w:p>
      </w:tc>
    </w:tr>
  </w:tbl>
  <w:p w:rsidR="006F1C8C" w:rsidRDefault="009B21C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7" w:type="dxa"/>
      <w:tblInd w:w="0" w:type="dxa"/>
      <w:tblLayout w:type="fixed"/>
      <w:tblLook w:val="0400" w:firstRow="0" w:lastRow="0" w:firstColumn="0" w:lastColumn="0" w:noHBand="0" w:noVBand="1"/>
    </w:tblPr>
    <w:tblGrid>
      <w:gridCol w:w="3261"/>
      <w:gridCol w:w="6946"/>
    </w:tblGrid>
    <w:tr w:rsidR="00087E47" w:rsidTr="002755EF">
      <w:trPr>
        <w:trHeight w:val="1435"/>
      </w:trPr>
      <w:tc>
        <w:tcPr>
          <w:tcW w:w="3261" w:type="dxa"/>
          <w:shd w:val="clear" w:color="auto" w:fill="auto"/>
        </w:tcPr>
        <w:p w:rsidR="00087E47" w:rsidRDefault="00087E47">
          <w:pPr>
            <w:tabs>
              <w:tab w:val="right" w:pos="4273"/>
            </w:tabs>
            <w:rPr>
              <w:rFonts w:ascii="Garamond" w:eastAsia="Garamond" w:hAnsi="Garamond" w:cs="Garamond"/>
              <w:sz w:val="16"/>
              <w:szCs w:val="16"/>
            </w:rPr>
          </w:pPr>
        </w:p>
      </w:tc>
      <w:tc>
        <w:tcPr>
          <w:tcW w:w="6946" w:type="dxa"/>
          <w:shd w:val="clear" w:color="auto" w:fill="auto"/>
        </w:tcPr>
        <w:tbl>
          <w:tblPr>
            <w:tblStyle w:val="a2"/>
            <w:tblW w:w="7216" w:type="dxa"/>
            <w:tblInd w:w="40" w:type="dxa"/>
            <w:tblLayout w:type="fixed"/>
            <w:tblLook w:val="0400" w:firstRow="0" w:lastRow="0" w:firstColumn="0" w:lastColumn="0" w:noHBand="0" w:noVBand="1"/>
          </w:tblPr>
          <w:tblGrid>
            <w:gridCol w:w="2680"/>
            <w:gridCol w:w="4536"/>
          </w:tblGrid>
          <w:tr w:rsidR="00087E47" w:rsidTr="0059432C">
            <w:trPr>
              <w:trHeight w:val="150"/>
            </w:trPr>
            <w:tc>
              <w:tcPr>
                <w:tcW w:w="2680" w:type="dxa"/>
                <w:shd w:val="clear" w:color="auto" w:fill="auto"/>
              </w:tcPr>
              <w:p w:rsidR="00087E47" w:rsidRPr="0059432C" w:rsidRDefault="00087E47"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Recurso de Revisión:</w:t>
                </w:r>
              </w:p>
            </w:tc>
            <w:tc>
              <w:tcPr>
                <w:tcW w:w="4536" w:type="dxa"/>
                <w:shd w:val="clear" w:color="auto" w:fill="auto"/>
              </w:tcPr>
              <w:p w:rsidR="00087E47" w:rsidRPr="0059432C" w:rsidRDefault="00087E47" w:rsidP="0059432C">
                <w:pPr>
                  <w:tabs>
                    <w:tab w:val="right" w:pos="8838"/>
                  </w:tabs>
                  <w:ind w:left="-108" w:right="-102"/>
                  <w:jc w:val="both"/>
                  <w:rPr>
                    <w:rFonts w:ascii="Palatino Linotype" w:eastAsia="Palatino Linotype" w:hAnsi="Palatino Linotype" w:cs="Palatino Linotype"/>
                  </w:rPr>
                </w:pPr>
                <w:r w:rsidRPr="0059432C">
                  <w:rPr>
                    <w:rFonts w:ascii="Palatino Linotype" w:eastAsia="Palatino Linotype" w:hAnsi="Palatino Linotype" w:cs="Palatino Linotype"/>
                  </w:rPr>
                  <w:t>03983/INFOEM/IP/RR/2025</w:t>
                </w:r>
              </w:p>
            </w:tc>
          </w:tr>
          <w:tr w:rsidR="00087E47" w:rsidTr="0059432C">
            <w:trPr>
              <w:trHeight w:val="295"/>
            </w:trPr>
            <w:tc>
              <w:tcPr>
                <w:tcW w:w="2680" w:type="dxa"/>
                <w:shd w:val="clear" w:color="auto" w:fill="auto"/>
              </w:tcPr>
              <w:p w:rsidR="00087E47" w:rsidRPr="0059432C" w:rsidRDefault="00087E47"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Sujeto Obligado:</w:t>
                </w:r>
              </w:p>
            </w:tc>
            <w:tc>
              <w:tcPr>
                <w:tcW w:w="4536" w:type="dxa"/>
                <w:shd w:val="clear" w:color="auto" w:fill="auto"/>
              </w:tcPr>
              <w:p w:rsidR="00087E47" w:rsidRPr="0059432C" w:rsidRDefault="00087E47" w:rsidP="0059432C">
                <w:pPr>
                  <w:tabs>
                    <w:tab w:val="left" w:pos="2834"/>
                    <w:tab w:val="right" w:pos="8838"/>
                  </w:tabs>
                  <w:ind w:left="-108" w:right="-102"/>
                  <w:jc w:val="both"/>
                  <w:rPr>
                    <w:rFonts w:ascii="Palatino Linotype" w:eastAsia="Palatino Linotype" w:hAnsi="Palatino Linotype" w:cs="Palatino Linotype"/>
                  </w:rPr>
                </w:pPr>
                <w:r w:rsidRPr="0059432C">
                  <w:rPr>
                    <w:rFonts w:ascii="Palatino Linotype" w:eastAsia="Palatino Linotype" w:hAnsi="Palatino Linotype" w:cs="Palatino Linotype"/>
                  </w:rPr>
                  <w:t>Ayuntamiento de Melchor Ocampo</w:t>
                </w:r>
              </w:p>
            </w:tc>
          </w:tr>
          <w:tr w:rsidR="00087E47" w:rsidTr="0059432C">
            <w:trPr>
              <w:trHeight w:val="295"/>
            </w:trPr>
            <w:tc>
              <w:tcPr>
                <w:tcW w:w="2680" w:type="dxa"/>
                <w:shd w:val="clear" w:color="auto" w:fill="auto"/>
              </w:tcPr>
              <w:p w:rsidR="00087E47" w:rsidRPr="0059432C" w:rsidRDefault="00087E47" w:rsidP="0059432C">
                <w:pPr>
                  <w:tabs>
                    <w:tab w:val="right" w:pos="8838"/>
                  </w:tabs>
                  <w:ind w:right="-105"/>
                  <w:rPr>
                    <w:rFonts w:ascii="Palatino Linotype" w:eastAsia="Palatino Linotype" w:hAnsi="Palatino Linotype" w:cs="Palatino Linotype"/>
                    <w:b/>
                  </w:rPr>
                </w:pPr>
                <w:r w:rsidRPr="0059432C">
                  <w:rPr>
                    <w:rFonts w:ascii="Palatino Linotype" w:eastAsia="Palatino Linotype" w:hAnsi="Palatino Linotype" w:cs="Palatino Linotype"/>
                    <w:b/>
                  </w:rPr>
                  <w:t>Comisionada ponente:</w:t>
                </w:r>
              </w:p>
            </w:tc>
            <w:tc>
              <w:tcPr>
                <w:tcW w:w="4536" w:type="dxa"/>
                <w:shd w:val="clear" w:color="auto" w:fill="auto"/>
              </w:tcPr>
              <w:p w:rsidR="00087E47" w:rsidRPr="0059432C" w:rsidRDefault="00087E47" w:rsidP="0059432C">
                <w:pPr>
                  <w:tabs>
                    <w:tab w:val="right" w:pos="8838"/>
                  </w:tabs>
                  <w:ind w:left="-108" w:right="171"/>
                  <w:jc w:val="both"/>
                  <w:rPr>
                    <w:rFonts w:ascii="Palatino Linotype" w:eastAsia="Palatino Linotype" w:hAnsi="Palatino Linotype" w:cs="Palatino Linotype"/>
                  </w:rPr>
                </w:pPr>
                <w:r w:rsidRPr="0059432C">
                  <w:rPr>
                    <w:rFonts w:ascii="Palatino Linotype" w:eastAsia="Palatino Linotype" w:hAnsi="Palatino Linotype" w:cs="Palatino Linotype"/>
                  </w:rPr>
                  <w:t>María del Rosario Mejía Ayala</w:t>
                </w:r>
              </w:p>
              <w:p w:rsidR="00087E47" w:rsidRPr="0059432C" w:rsidRDefault="00087E47" w:rsidP="0059432C">
                <w:pPr>
                  <w:tabs>
                    <w:tab w:val="right" w:pos="8838"/>
                  </w:tabs>
                  <w:ind w:left="-108" w:right="171"/>
                  <w:jc w:val="both"/>
                  <w:rPr>
                    <w:rFonts w:ascii="Palatino Linotype" w:eastAsia="Palatino Linotype" w:hAnsi="Palatino Linotype" w:cs="Palatino Linotype"/>
                  </w:rPr>
                </w:pPr>
              </w:p>
            </w:tc>
          </w:tr>
        </w:tbl>
        <w:p w:rsidR="00087E47" w:rsidRDefault="00087E47">
          <w:pPr>
            <w:tabs>
              <w:tab w:val="right" w:pos="8838"/>
            </w:tabs>
            <w:ind w:left="-28"/>
            <w:jc w:val="both"/>
            <w:rPr>
              <w:rFonts w:ascii="Arial" w:eastAsia="Arial" w:hAnsi="Arial" w:cs="Arial"/>
              <w:b/>
              <w:sz w:val="22"/>
              <w:szCs w:val="22"/>
            </w:rPr>
          </w:pPr>
        </w:p>
      </w:tc>
    </w:tr>
  </w:tbl>
  <w:p w:rsidR="00087E47" w:rsidRDefault="009B21C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68.8pt;margin-top:-120.5pt;width:589.8pt;height:768pt;z-index:-25165568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3D49"/>
    <w:multiLevelType w:val="multilevel"/>
    <w:tmpl w:val="C00C1C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9606FC6"/>
    <w:multiLevelType w:val="multilevel"/>
    <w:tmpl w:val="973C7E98"/>
    <w:lvl w:ilvl="0">
      <w:start w:val="8"/>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1B94818"/>
    <w:multiLevelType w:val="hybridMultilevel"/>
    <w:tmpl w:val="F5DEF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D60107"/>
    <w:multiLevelType w:val="multilevel"/>
    <w:tmpl w:val="2EE2E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B262FD"/>
    <w:multiLevelType w:val="multilevel"/>
    <w:tmpl w:val="C48A8702"/>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ascii="Palatino Linotype" w:eastAsia="Palatino Linotype" w:hAnsi="Palatino Linotype" w:cs="Palatino Linotype"/>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3E3FD7"/>
    <w:multiLevelType w:val="multilevel"/>
    <w:tmpl w:val="AFCE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EA22DD"/>
    <w:multiLevelType w:val="multilevel"/>
    <w:tmpl w:val="7370F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3C27A0"/>
    <w:multiLevelType w:val="multilevel"/>
    <w:tmpl w:val="B2608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E5345E"/>
    <w:multiLevelType w:val="multilevel"/>
    <w:tmpl w:val="868C4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3937A1"/>
    <w:multiLevelType w:val="multilevel"/>
    <w:tmpl w:val="A272931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4"/>
  </w:num>
  <w:num w:numId="4">
    <w:abstractNumId w:val="8"/>
  </w:num>
  <w:num w:numId="5">
    <w:abstractNumId w:val="6"/>
  </w:num>
  <w:num w:numId="6">
    <w:abstractNumId w:val="5"/>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8C"/>
    <w:rsid w:val="0007082F"/>
    <w:rsid w:val="00087E47"/>
    <w:rsid w:val="002755EF"/>
    <w:rsid w:val="00300FCA"/>
    <w:rsid w:val="00483CEE"/>
    <w:rsid w:val="0059432C"/>
    <w:rsid w:val="006F1C8C"/>
    <w:rsid w:val="007D7165"/>
    <w:rsid w:val="00864CE6"/>
    <w:rsid w:val="008C0301"/>
    <w:rsid w:val="009B21CC"/>
    <w:rsid w:val="009C7695"/>
    <w:rsid w:val="00AE6347"/>
    <w:rsid w:val="00B12405"/>
    <w:rsid w:val="00B95E10"/>
    <w:rsid w:val="00BA1D57"/>
    <w:rsid w:val="00D74433"/>
    <w:rsid w:val="00DC0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E2CF5B7-69A8-4C37-9230-39971D51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0F600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0F6003"/>
    <w:pPr>
      <w:tabs>
        <w:tab w:val="center" w:pos="4419"/>
        <w:tab w:val="right" w:pos="8838"/>
      </w:tabs>
    </w:pPr>
  </w:style>
  <w:style w:type="character" w:customStyle="1" w:styleId="EncabezadoCar">
    <w:name w:val="Encabezado Car"/>
    <w:basedOn w:val="Fuentedeprrafopredeter"/>
    <w:link w:val="Encabezado"/>
    <w:uiPriority w:val="99"/>
    <w:rsid w:val="000F600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F6003"/>
    <w:pPr>
      <w:tabs>
        <w:tab w:val="center" w:pos="4419"/>
        <w:tab w:val="right" w:pos="8838"/>
      </w:tabs>
    </w:pPr>
  </w:style>
  <w:style w:type="character" w:customStyle="1" w:styleId="PiedepginaCar">
    <w:name w:val="Pie de página Car"/>
    <w:basedOn w:val="Fuentedeprrafopredeter"/>
    <w:link w:val="Piedepgina"/>
    <w:uiPriority w:val="99"/>
    <w:rsid w:val="000F600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600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F600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F6003"/>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600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600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F6003"/>
    <w:rPr>
      <w:vertAlign w:val="superscript"/>
    </w:rPr>
  </w:style>
  <w:style w:type="paragraph" w:customStyle="1" w:styleId="Fundamentos">
    <w:name w:val="Fundamentos"/>
    <w:basedOn w:val="Normal"/>
    <w:qFormat/>
    <w:rsid w:val="00EE7B9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aimex.org.mx/saimex/solicitud/downloadAttach/2412583.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aimex.org.mx/saimex/solicitud/downloadAttach/2399694.pag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239722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aCnDIrX+m+HSFmqrd6qokOJBA==">CgMxLjAyDWgubm9wd3F0ZHB6MWQyDmguYXoxMXJ2Ymt5ZGpqMg5oLjRyY3RveDN2OHRndDIOaC4zMWdvaWcxeXVkZHkyDmguOTBqd3kwbWY0aDV1Mg5oLmtlaXh0enc0dGwxYzIOaC43czF1dzgzOTE1c2kyDmguMXIydXdrc3hmZjgxMg5oLml2N3JmMTF0dHR4dDIJaC4xZm9iOXRlMg5oLmdwM3BwMWdrbGZwODIOaC5uand1eHYydHIzcHoyDmgubHE2NHcyeWd0dHZiOAByITFyaThobDdKNl9jNEFydkUwUGZkVVU3R3lfbmhMeENT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269B77-CED4-410E-8F75-6C07F83B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6436</Words>
  <Characters>35403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3</cp:revision>
  <cp:lastPrinted>2025-08-29T16:33:00Z</cp:lastPrinted>
  <dcterms:created xsi:type="dcterms:W3CDTF">2025-09-04T00:31:00Z</dcterms:created>
  <dcterms:modified xsi:type="dcterms:W3CDTF">2025-09-05T19:59:00Z</dcterms:modified>
</cp:coreProperties>
</file>