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C26C8" w14:textId="77777777" w:rsidR="00BB1403" w:rsidRPr="00BE3BD1" w:rsidRDefault="003A56BC">
      <w:pPr>
        <w:spacing w:before="240" w:after="240" w:line="360" w:lineRule="auto"/>
        <w:jc w:val="both"/>
        <w:rPr>
          <w:rFonts w:ascii="Palatino Linotype" w:eastAsia="Palatino Linotype" w:hAnsi="Palatino Linotype" w:cs="Palatino Linotype"/>
        </w:rPr>
      </w:pPr>
      <w:bookmarkStart w:id="0" w:name="_heading=h.3rdcrjn" w:colFirst="0" w:colLast="0"/>
      <w:bookmarkEnd w:id="0"/>
      <w:r w:rsidRPr="00BE3BD1">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w:t>
      </w:r>
      <w:r w:rsidR="002065FE" w:rsidRPr="00BE3BD1">
        <w:rPr>
          <w:rFonts w:ascii="Palatino Linotype" w:eastAsia="Palatino Linotype" w:hAnsi="Palatino Linotype" w:cs="Palatino Linotype"/>
        </w:rPr>
        <w:t>n Metepec, Estado de México, a veinte de marzo</w:t>
      </w:r>
      <w:r w:rsidRPr="00BE3BD1">
        <w:rPr>
          <w:rFonts w:ascii="Palatino Linotype" w:eastAsia="Palatino Linotype" w:hAnsi="Palatino Linotype" w:cs="Palatino Linotype"/>
        </w:rPr>
        <w:t xml:space="preserve"> de dos mil veinticinco. </w:t>
      </w:r>
    </w:p>
    <w:p w14:paraId="095885E6" w14:textId="77777777" w:rsidR="00BB1403" w:rsidRPr="00BE3BD1" w:rsidRDefault="003A56BC">
      <w:pPr>
        <w:tabs>
          <w:tab w:val="left" w:pos="5812"/>
        </w:tabs>
        <w:spacing w:before="240" w:after="240" w:line="360" w:lineRule="auto"/>
        <w:jc w:val="both"/>
        <w:rPr>
          <w:rFonts w:ascii="Palatino Linotype" w:eastAsia="Palatino Linotype" w:hAnsi="Palatino Linotype" w:cs="Palatino Linotype"/>
        </w:rPr>
      </w:pPr>
      <w:r w:rsidRPr="00BE3BD1">
        <w:rPr>
          <w:rFonts w:ascii="Palatino Linotype" w:eastAsia="Palatino Linotype" w:hAnsi="Palatino Linotype" w:cs="Palatino Linotype"/>
          <w:b/>
        </w:rPr>
        <w:t>VISTO</w:t>
      </w:r>
      <w:r w:rsidRPr="00BE3BD1">
        <w:rPr>
          <w:rFonts w:ascii="Palatino Linotype" w:eastAsia="Palatino Linotype" w:hAnsi="Palatino Linotype" w:cs="Palatino Linotype"/>
        </w:rPr>
        <w:t xml:space="preserve"> el expediente formado con motivo del recurso de revisión </w:t>
      </w:r>
      <w:r w:rsidR="00466B7B" w:rsidRPr="00BE3BD1">
        <w:rPr>
          <w:rFonts w:ascii="Palatino Linotype" w:eastAsia="Palatino Linotype" w:hAnsi="Palatino Linotype" w:cs="Palatino Linotype"/>
          <w:b/>
        </w:rPr>
        <w:t>01329/INFOEM/IP/RR/2025</w:t>
      </w:r>
      <w:r w:rsidRPr="00BE3BD1">
        <w:rPr>
          <w:rFonts w:ascii="Palatino Linotype" w:eastAsia="Palatino Linotype" w:hAnsi="Palatino Linotype" w:cs="Palatino Linotype"/>
        </w:rPr>
        <w:t xml:space="preserve">, interpuesto por </w:t>
      </w:r>
      <w:r w:rsidR="00466B7B" w:rsidRPr="00BE3BD1">
        <w:rPr>
          <w:rFonts w:ascii="Palatino Linotype" w:eastAsia="Palatino Linotype" w:hAnsi="Palatino Linotype" w:cs="Palatino Linotype"/>
          <w:b/>
        </w:rPr>
        <w:t>una persona que no proporcionó nombre o seudónimo,</w:t>
      </w:r>
      <w:r w:rsidRPr="00BE3BD1">
        <w:rPr>
          <w:rFonts w:ascii="Palatino Linotype" w:eastAsia="Palatino Linotype" w:hAnsi="Palatino Linotype" w:cs="Palatino Linotype"/>
        </w:rPr>
        <w:t xml:space="preserve"> en lo sucesivo</w:t>
      </w:r>
      <w:r w:rsidRPr="00BE3BD1">
        <w:rPr>
          <w:rFonts w:ascii="Palatino Linotype" w:eastAsia="Palatino Linotype" w:hAnsi="Palatino Linotype" w:cs="Palatino Linotype"/>
          <w:b/>
        </w:rPr>
        <w:t xml:space="preserve"> </w:t>
      </w:r>
      <w:r w:rsidRPr="00BE3BD1">
        <w:rPr>
          <w:rFonts w:ascii="Palatino Linotype" w:eastAsia="Palatino Linotype" w:hAnsi="Palatino Linotype" w:cs="Palatino Linotype"/>
        </w:rPr>
        <w:t xml:space="preserve">la parte </w:t>
      </w:r>
      <w:r w:rsidRPr="00BE3BD1">
        <w:rPr>
          <w:rFonts w:ascii="Palatino Linotype" w:eastAsia="Palatino Linotype" w:hAnsi="Palatino Linotype" w:cs="Palatino Linotype"/>
          <w:b/>
        </w:rPr>
        <w:t>Recurrente,</w:t>
      </w:r>
      <w:r w:rsidRPr="00BE3BD1">
        <w:rPr>
          <w:rFonts w:ascii="Palatino Linotype" w:eastAsia="Palatino Linotype" w:hAnsi="Palatino Linotype" w:cs="Palatino Linotype"/>
        </w:rPr>
        <w:t xml:space="preserve"> en contra de la respuesta a la solicitud de información con número de folio</w:t>
      </w:r>
      <w:r w:rsidRPr="00BE3BD1">
        <w:rPr>
          <w:rFonts w:ascii="Palatino Linotype" w:eastAsia="Palatino Linotype" w:hAnsi="Palatino Linotype" w:cs="Palatino Linotype"/>
          <w:b/>
        </w:rPr>
        <w:t xml:space="preserve"> </w:t>
      </w:r>
      <w:r w:rsidR="00466B7B" w:rsidRPr="00BE3BD1">
        <w:rPr>
          <w:rFonts w:ascii="Palatino Linotype" w:eastAsia="Palatino Linotype" w:hAnsi="Palatino Linotype" w:cs="Palatino Linotype"/>
          <w:b/>
        </w:rPr>
        <w:t>00433/TOLUCA/IP/2025</w:t>
      </w:r>
      <w:r w:rsidRPr="00BE3BD1">
        <w:rPr>
          <w:rFonts w:ascii="Palatino Linotype" w:eastAsia="Palatino Linotype" w:hAnsi="Palatino Linotype" w:cs="Palatino Linotype"/>
          <w:b/>
        </w:rPr>
        <w:t xml:space="preserve">, </w:t>
      </w:r>
      <w:r w:rsidRPr="00BE3BD1">
        <w:rPr>
          <w:rFonts w:ascii="Palatino Linotype" w:eastAsia="Palatino Linotype" w:hAnsi="Palatino Linotype" w:cs="Palatino Linotype"/>
        </w:rPr>
        <w:t xml:space="preserve">por parte del </w:t>
      </w:r>
      <w:r w:rsidR="00466B7B" w:rsidRPr="00BE3BD1">
        <w:rPr>
          <w:rFonts w:ascii="Palatino Linotype" w:eastAsia="Palatino Linotype" w:hAnsi="Palatino Linotype" w:cs="Palatino Linotype"/>
          <w:b/>
        </w:rPr>
        <w:t>Ayuntamiento de Toluca</w:t>
      </w:r>
      <w:r w:rsidRPr="00BE3BD1">
        <w:rPr>
          <w:rFonts w:ascii="Palatino Linotype" w:eastAsia="Palatino Linotype" w:hAnsi="Palatino Linotype" w:cs="Palatino Linotype"/>
          <w:b/>
        </w:rPr>
        <w:t xml:space="preserve">, </w:t>
      </w:r>
      <w:r w:rsidRPr="00BE3BD1">
        <w:rPr>
          <w:rFonts w:ascii="Palatino Linotype" w:eastAsia="Palatino Linotype" w:hAnsi="Palatino Linotype" w:cs="Palatino Linotype"/>
        </w:rPr>
        <w:t xml:space="preserve">en lo sucesivo el </w:t>
      </w:r>
      <w:r w:rsidRPr="00BE3BD1">
        <w:rPr>
          <w:rFonts w:ascii="Palatino Linotype" w:eastAsia="Palatino Linotype" w:hAnsi="Palatino Linotype" w:cs="Palatino Linotype"/>
          <w:b/>
        </w:rPr>
        <w:t xml:space="preserve">Sujeto Obligado, </w:t>
      </w:r>
      <w:r w:rsidRPr="00BE3BD1">
        <w:rPr>
          <w:rFonts w:ascii="Palatino Linotype" w:eastAsia="Palatino Linotype" w:hAnsi="Palatino Linotype" w:cs="Palatino Linotype"/>
        </w:rPr>
        <w:t xml:space="preserve">se procede a dictar la presente resolución con base en los siguientes: </w:t>
      </w:r>
    </w:p>
    <w:p w14:paraId="241587B9" w14:textId="77777777" w:rsidR="00BB1403" w:rsidRPr="00BE3BD1" w:rsidRDefault="003A56BC">
      <w:pPr>
        <w:spacing w:before="240" w:after="240" w:line="360" w:lineRule="auto"/>
        <w:jc w:val="center"/>
        <w:rPr>
          <w:rFonts w:ascii="Palatino Linotype" w:eastAsia="Palatino Linotype" w:hAnsi="Palatino Linotype" w:cs="Palatino Linotype"/>
          <w:b/>
        </w:rPr>
      </w:pPr>
      <w:r w:rsidRPr="00BE3BD1">
        <w:rPr>
          <w:rFonts w:ascii="Palatino Linotype" w:eastAsia="Palatino Linotype" w:hAnsi="Palatino Linotype" w:cs="Palatino Linotype"/>
          <w:b/>
        </w:rPr>
        <w:t>I. A N T E C E D E N T E S</w:t>
      </w:r>
    </w:p>
    <w:p w14:paraId="69047C67" w14:textId="77777777" w:rsidR="00BB1403" w:rsidRPr="00BE3BD1" w:rsidRDefault="003A56BC">
      <w:pPr>
        <w:spacing w:before="240" w:after="240" w:line="360" w:lineRule="auto"/>
        <w:jc w:val="both"/>
        <w:rPr>
          <w:rFonts w:ascii="Palatino Linotype" w:eastAsia="Palatino Linotype" w:hAnsi="Palatino Linotype" w:cs="Palatino Linotype"/>
        </w:rPr>
      </w:pPr>
      <w:bookmarkStart w:id="1" w:name="_heading=h.4d34og8" w:colFirst="0" w:colLast="0"/>
      <w:bookmarkEnd w:id="1"/>
      <w:r w:rsidRPr="00BE3BD1">
        <w:rPr>
          <w:rFonts w:ascii="Palatino Linotype" w:eastAsia="Palatino Linotype" w:hAnsi="Palatino Linotype" w:cs="Palatino Linotype"/>
          <w:b/>
        </w:rPr>
        <w:t>1. Solicitud de acceso a la información.</w:t>
      </w:r>
      <w:r w:rsidRPr="00BE3BD1">
        <w:rPr>
          <w:rFonts w:ascii="Palatino Linotype" w:eastAsia="Palatino Linotype" w:hAnsi="Palatino Linotype" w:cs="Palatino Linotype"/>
        </w:rPr>
        <w:t xml:space="preserve"> El </w:t>
      </w:r>
      <w:r w:rsidR="00466B7B" w:rsidRPr="00BE3BD1">
        <w:rPr>
          <w:rFonts w:ascii="Palatino Linotype" w:eastAsia="Palatino Linotype" w:hAnsi="Palatino Linotype" w:cs="Palatino Linotype"/>
          <w:b/>
        </w:rPr>
        <w:t>veintidós de enero</w:t>
      </w:r>
      <w:r w:rsidRPr="00BE3BD1">
        <w:rPr>
          <w:rFonts w:ascii="Palatino Linotype" w:eastAsia="Palatino Linotype" w:hAnsi="Palatino Linotype" w:cs="Palatino Linotype"/>
          <w:b/>
        </w:rPr>
        <w:t xml:space="preserve"> de dos mil veinticinco,</w:t>
      </w:r>
      <w:r w:rsidRPr="00BE3BD1">
        <w:rPr>
          <w:rFonts w:ascii="Palatino Linotype" w:eastAsia="Palatino Linotype" w:hAnsi="Palatino Linotype" w:cs="Palatino Linotype"/>
        </w:rPr>
        <w:t xml:space="preserve"> la parte </w:t>
      </w:r>
      <w:r w:rsidRPr="00BE3BD1">
        <w:rPr>
          <w:rFonts w:ascii="Palatino Linotype" w:eastAsia="Palatino Linotype" w:hAnsi="Palatino Linotype" w:cs="Palatino Linotype"/>
          <w:b/>
        </w:rPr>
        <w:t xml:space="preserve">Recurrente </w:t>
      </w:r>
      <w:r w:rsidRPr="00BE3BD1">
        <w:rPr>
          <w:rFonts w:ascii="Palatino Linotype" w:eastAsia="Palatino Linotype" w:hAnsi="Palatino Linotype" w:cs="Palatino Linotype"/>
        </w:rPr>
        <w:t xml:space="preserve">presentó, a través del Sistema de Acceso a la Información Mexiquense, en lo subsecuente el </w:t>
      </w:r>
      <w:r w:rsidRPr="00BE3BD1">
        <w:rPr>
          <w:rFonts w:ascii="Palatino Linotype" w:eastAsia="Palatino Linotype" w:hAnsi="Palatino Linotype" w:cs="Palatino Linotype"/>
          <w:b/>
        </w:rPr>
        <w:t>SAIMEX,</w:t>
      </w:r>
      <w:r w:rsidRPr="00BE3BD1">
        <w:rPr>
          <w:rFonts w:ascii="Palatino Linotype" w:eastAsia="Palatino Linotype" w:hAnsi="Palatino Linotype" w:cs="Palatino Linotype"/>
        </w:rPr>
        <w:t xml:space="preserve"> ante el </w:t>
      </w:r>
      <w:r w:rsidRPr="00BE3BD1">
        <w:rPr>
          <w:rFonts w:ascii="Palatino Linotype" w:eastAsia="Palatino Linotype" w:hAnsi="Palatino Linotype" w:cs="Palatino Linotype"/>
          <w:b/>
        </w:rPr>
        <w:t>Sujeto Obligado</w:t>
      </w:r>
      <w:r w:rsidRPr="00BE3BD1">
        <w:rPr>
          <w:rFonts w:ascii="Palatino Linotype" w:eastAsia="Palatino Linotype" w:hAnsi="Palatino Linotype" w:cs="Palatino Linotype"/>
        </w:rPr>
        <w:t xml:space="preserve">, la solicitud de acceso a la información pública, mediante la cual requirió la información siguiente: </w:t>
      </w:r>
    </w:p>
    <w:p w14:paraId="6C255E19" w14:textId="77777777" w:rsidR="00BB1403" w:rsidRPr="00BE3BD1" w:rsidRDefault="003A56BC">
      <w:pPr>
        <w:spacing w:before="120" w:after="120"/>
        <w:ind w:left="851" w:right="902"/>
        <w:jc w:val="both"/>
        <w:rPr>
          <w:rFonts w:ascii="Palatino Linotype" w:eastAsia="Palatino Linotype" w:hAnsi="Palatino Linotype" w:cs="Palatino Linotype"/>
          <w:b/>
          <w:i/>
          <w:sz w:val="22"/>
          <w:szCs w:val="22"/>
        </w:rPr>
      </w:pPr>
      <w:bookmarkStart w:id="2" w:name="_heading=h.gjdgxs" w:colFirst="0" w:colLast="0"/>
      <w:bookmarkEnd w:id="2"/>
      <w:r w:rsidRPr="00BE3BD1">
        <w:rPr>
          <w:rFonts w:ascii="Palatino Linotype" w:eastAsia="Palatino Linotype" w:hAnsi="Palatino Linotype" w:cs="Palatino Linotype"/>
          <w:i/>
          <w:sz w:val="22"/>
          <w:szCs w:val="22"/>
        </w:rPr>
        <w:t xml:space="preserve"> “</w:t>
      </w:r>
      <w:r w:rsidR="00466B7B" w:rsidRPr="00BE3BD1">
        <w:rPr>
          <w:rFonts w:ascii="Palatino Linotype" w:eastAsia="Palatino Linotype" w:hAnsi="Palatino Linotype" w:cs="Palatino Linotype"/>
          <w:i/>
          <w:sz w:val="22"/>
          <w:szCs w:val="22"/>
        </w:rPr>
        <w:t>Para mi derecho de acceso a la información pública se solicita la carpeta de evidencias de cumplimiento de la Recomendación 04/2024 y el Convenio de colaboración firmado con Derechos humanos 2025.</w:t>
      </w:r>
      <w:r w:rsidRPr="00BE3BD1">
        <w:rPr>
          <w:rFonts w:ascii="Palatino Linotype" w:eastAsia="Palatino Linotype" w:hAnsi="Palatino Linotype" w:cs="Palatino Linotype"/>
          <w:b/>
          <w:i/>
          <w:sz w:val="22"/>
          <w:szCs w:val="22"/>
        </w:rPr>
        <w:t>”</w:t>
      </w:r>
      <w:r w:rsidRPr="00BE3BD1">
        <w:rPr>
          <w:rFonts w:ascii="Palatino Linotype" w:eastAsia="Palatino Linotype" w:hAnsi="Palatino Linotype" w:cs="Palatino Linotype"/>
          <w:i/>
          <w:sz w:val="22"/>
          <w:szCs w:val="22"/>
        </w:rPr>
        <w:t xml:space="preserve"> (sic) </w:t>
      </w:r>
    </w:p>
    <w:p w14:paraId="7097C763" w14:textId="77777777" w:rsidR="00BB1403" w:rsidRPr="00BE3BD1" w:rsidRDefault="003A56BC">
      <w:pPr>
        <w:spacing w:before="240" w:after="240" w:line="360" w:lineRule="auto"/>
        <w:jc w:val="both"/>
        <w:rPr>
          <w:rFonts w:ascii="Palatino Linotype" w:eastAsia="Palatino Linotype" w:hAnsi="Palatino Linotype" w:cs="Palatino Linotype"/>
        </w:rPr>
      </w:pPr>
      <w:bookmarkStart w:id="3" w:name="_heading=h.3dy6vkm" w:colFirst="0" w:colLast="0"/>
      <w:bookmarkEnd w:id="3"/>
      <w:r w:rsidRPr="00BE3BD1">
        <w:rPr>
          <w:rFonts w:ascii="Palatino Linotype" w:eastAsia="Palatino Linotype" w:hAnsi="Palatino Linotype" w:cs="Palatino Linotype"/>
          <w:b/>
        </w:rPr>
        <w:t>Modalidad de Entrega:</w:t>
      </w:r>
      <w:r w:rsidRPr="00BE3BD1">
        <w:rPr>
          <w:rFonts w:ascii="Palatino Linotype" w:eastAsia="Palatino Linotype" w:hAnsi="Palatino Linotype" w:cs="Palatino Linotype"/>
        </w:rPr>
        <w:t xml:space="preserve"> a través del</w:t>
      </w:r>
      <w:r w:rsidRPr="00BE3BD1">
        <w:rPr>
          <w:rFonts w:ascii="Palatino Linotype" w:eastAsia="Palatino Linotype" w:hAnsi="Palatino Linotype" w:cs="Palatino Linotype"/>
          <w:b/>
        </w:rPr>
        <w:t xml:space="preserve"> SAIMEX.</w:t>
      </w:r>
    </w:p>
    <w:p w14:paraId="09C906CC" w14:textId="77777777" w:rsidR="00BB1403" w:rsidRPr="00BE3BD1" w:rsidRDefault="003A56BC">
      <w:pPr>
        <w:spacing w:before="240" w:after="240" w:line="360" w:lineRule="auto"/>
        <w:jc w:val="both"/>
        <w:rPr>
          <w:rFonts w:ascii="Palatino Linotype" w:eastAsia="Palatino Linotype" w:hAnsi="Palatino Linotype" w:cs="Palatino Linotype"/>
        </w:rPr>
      </w:pPr>
      <w:r w:rsidRPr="00BE3BD1">
        <w:rPr>
          <w:rFonts w:ascii="Palatino Linotype" w:eastAsia="Palatino Linotype" w:hAnsi="Palatino Linotype" w:cs="Palatino Linotype"/>
          <w:b/>
        </w:rPr>
        <w:t xml:space="preserve">2. Respuesta. </w:t>
      </w:r>
      <w:r w:rsidRPr="00BE3BD1">
        <w:rPr>
          <w:rFonts w:ascii="Palatino Linotype" w:eastAsia="Palatino Linotype" w:hAnsi="Palatino Linotype" w:cs="Palatino Linotype"/>
        </w:rPr>
        <w:t xml:space="preserve">El </w:t>
      </w:r>
      <w:r w:rsidR="00192AB3" w:rsidRPr="00BE3BD1">
        <w:rPr>
          <w:rFonts w:ascii="Palatino Linotype" w:eastAsia="Palatino Linotype" w:hAnsi="Palatino Linotype" w:cs="Palatino Linotype"/>
          <w:b/>
        </w:rPr>
        <w:t xml:space="preserve">trece </w:t>
      </w:r>
      <w:r w:rsidRPr="00BE3BD1">
        <w:rPr>
          <w:rFonts w:ascii="Palatino Linotype" w:eastAsia="Palatino Linotype" w:hAnsi="Palatino Linotype" w:cs="Palatino Linotype"/>
          <w:b/>
        </w:rPr>
        <w:t>de febrero de dos mil veinticinco,</w:t>
      </w:r>
      <w:r w:rsidRPr="00BE3BD1">
        <w:rPr>
          <w:rFonts w:ascii="Palatino Linotype" w:eastAsia="Palatino Linotype" w:hAnsi="Palatino Linotype" w:cs="Palatino Linotype"/>
        </w:rPr>
        <w:t xml:space="preserve"> el </w:t>
      </w:r>
      <w:r w:rsidRPr="00BE3BD1">
        <w:rPr>
          <w:rFonts w:ascii="Palatino Linotype" w:eastAsia="Palatino Linotype" w:hAnsi="Palatino Linotype" w:cs="Palatino Linotype"/>
          <w:b/>
        </w:rPr>
        <w:t xml:space="preserve">Sujeto Obligado </w:t>
      </w:r>
      <w:r w:rsidRPr="00BE3BD1">
        <w:rPr>
          <w:rFonts w:ascii="Palatino Linotype" w:eastAsia="Palatino Linotype" w:hAnsi="Palatino Linotype" w:cs="Palatino Linotype"/>
        </w:rPr>
        <w:t xml:space="preserve">envió su respuesta a la solicitud de acceso a la información a través de SAIMEX, sustancialmente en los términos siguientes:   </w:t>
      </w:r>
    </w:p>
    <w:p w14:paraId="00166DE5" w14:textId="77777777" w:rsidR="00BB1403" w:rsidRPr="00BE3BD1" w:rsidRDefault="003A56BC">
      <w:pPr>
        <w:spacing w:before="240" w:after="240"/>
        <w:ind w:left="851" w:right="902"/>
        <w:jc w:val="both"/>
        <w:rPr>
          <w:rFonts w:ascii="Palatino Linotype" w:eastAsia="Palatino Linotype" w:hAnsi="Palatino Linotype" w:cs="Palatino Linotype"/>
          <w:i/>
          <w:sz w:val="22"/>
          <w:szCs w:val="22"/>
        </w:rPr>
      </w:pPr>
      <w:r w:rsidRPr="00BE3BD1">
        <w:rPr>
          <w:rFonts w:ascii="Palatino Linotype" w:eastAsia="Palatino Linotype" w:hAnsi="Palatino Linotype" w:cs="Palatino Linotype"/>
          <w:i/>
          <w:sz w:val="22"/>
          <w:szCs w:val="22"/>
        </w:rPr>
        <w:lastRenderedPageBreak/>
        <w:t>“…</w:t>
      </w:r>
      <w:r w:rsidR="00192AB3" w:rsidRPr="00BE3BD1">
        <w:rPr>
          <w:rFonts w:ascii="Palatino Linotype" w:eastAsia="Palatino Linotype" w:hAnsi="Palatino Linotype" w:cs="Palatino Linotype"/>
          <w:i/>
          <w:sz w:val="22"/>
          <w:szCs w:val="22"/>
        </w:rPr>
        <w:t>En atención a la solicitud con folio 0433/TOLUCA/IP/2025, me permito adjuntar al presente la respuesta correspondiente. Sin más por el momento, reciba un saludo.</w:t>
      </w:r>
      <w:r w:rsidRPr="00BE3BD1">
        <w:rPr>
          <w:rFonts w:ascii="Palatino Linotype" w:eastAsia="Palatino Linotype" w:hAnsi="Palatino Linotype" w:cs="Palatino Linotype"/>
          <w:i/>
          <w:sz w:val="22"/>
          <w:szCs w:val="22"/>
        </w:rPr>
        <w:t>...” (sic)</w:t>
      </w:r>
    </w:p>
    <w:p w14:paraId="77829CFD" w14:textId="77777777" w:rsidR="00AF43CB" w:rsidRPr="00BE3BD1" w:rsidRDefault="003A56BC">
      <w:pPr>
        <w:spacing w:before="240" w:after="240" w:line="360" w:lineRule="auto"/>
        <w:ind w:right="49"/>
        <w:jc w:val="both"/>
        <w:rPr>
          <w:rFonts w:ascii="Palatino Linotype" w:eastAsia="Palatino Linotype" w:hAnsi="Palatino Linotype" w:cs="Palatino Linotype"/>
        </w:rPr>
      </w:pPr>
      <w:r w:rsidRPr="00BE3BD1">
        <w:rPr>
          <w:rFonts w:ascii="Palatino Linotype" w:eastAsia="Palatino Linotype" w:hAnsi="Palatino Linotype" w:cs="Palatino Linotype"/>
        </w:rPr>
        <w:t xml:space="preserve">El </w:t>
      </w:r>
      <w:r w:rsidRPr="00BE3BD1">
        <w:rPr>
          <w:rFonts w:ascii="Palatino Linotype" w:eastAsia="Palatino Linotype" w:hAnsi="Palatino Linotype" w:cs="Palatino Linotype"/>
          <w:b/>
        </w:rPr>
        <w:t xml:space="preserve">Sujeto Obligado </w:t>
      </w:r>
      <w:r w:rsidRPr="00BE3BD1">
        <w:rPr>
          <w:rFonts w:ascii="Palatino Linotype" w:eastAsia="Palatino Linotype" w:hAnsi="Palatino Linotype" w:cs="Palatino Linotype"/>
        </w:rPr>
        <w:t>adjuntó</w:t>
      </w:r>
      <w:r w:rsidR="00192AB3" w:rsidRPr="00BE3BD1">
        <w:rPr>
          <w:rFonts w:ascii="Palatino Linotype" w:eastAsia="Palatino Linotype" w:hAnsi="Palatino Linotype" w:cs="Palatino Linotype"/>
        </w:rPr>
        <w:t xml:space="preserve"> el escrito del </w:t>
      </w:r>
      <w:r w:rsidR="00192AB3" w:rsidRPr="00BE3BD1">
        <w:rPr>
          <w:rFonts w:ascii="Palatino Linotype" w:eastAsia="Palatino Linotype" w:hAnsi="Palatino Linotype" w:cs="Palatino Linotype"/>
          <w:b/>
        </w:rPr>
        <w:t>trece de febrero de dos mil veinticinco</w:t>
      </w:r>
      <w:r w:rsidR="00192AB3" w:rsidRPr="00BE3BD1">
        <w:rPr>
          <w:rFonts w:ascii="Palatino Linotype" w:eastAsia="Palatino Linotype" w:hAnsi="Palatino Linotype" w:cs="Palatino Linotype"/>
        </w:rPr>
        <w:t xml:space="preserve">, </w:t>
      </w:r>
      <w:r w:rsidR="00AF43CB" w:rsidRPr="00BE3BD1">
        <w:rPr>
          <w:rFonts w:ascii="Palatino Linotype" w:eastAsia="Palatino Linotype" w:hAnsi="Palatino Linotype" w:cs="Palatino Linotype"/>
        </w:rPr>
        <w:t xml:space="preserve">mediante el cual el Titular de la Unidad de Transparencia hizo del conocimiento de la persona solicitante, que </w:t>
      </w:r>
      <w:r w:rsidR="00AF43CB" w:rsidRPr="00BE3BD1">
        <w:rPr>
          <w:rFonts w:ascii="Palatino Linotype" w:hAnsi="Palatino Linotype"/>
        </w:rPr>
        <w:t xml:space="preserve">la </w:t>
      </w:r>
      <w:r w:rsidR="00EF5BB8" w:rsidRPr="00BE3BD1">
        <w:rPr>
          <w:rFonts w:ascii="Palatino Linotype" w:hAnsi="Palatino Linotype"/>
        </w:rPr>
        <w:t xml:space="preserve">servidora pública habilitada de la </w:t>
      </w:r>
      <w:r w:rsidR="00AF43CB" w:rsidRPr="00BE3BD1">
        <w:rPr>
          <w:rFonts w:ascii="Palatino Linotype" w:hAnsi="Palatino Linotype"/>
        </w:rPr>
        <w:t>Defensoría Municipal de los Derechos Humanos, informó que el 22 de enero de 2025, el</w:t>
      </w:r>
      <w:r w:rsidR="00EE7C0F" w:rsidRPr="00BE3BD1">
        <w:rPr>
          <w:rFonts w:ascii="Palatino Linotype" w:hAnsi="Palatino Linotype"/>
        </w:rPr>
        <w:t xml:space="preserve"> </w:t>
      </w:r>
      <w:r w:rsidR="00AF43CB" w:rsidRPr="00BE3BD1">
        <w:rPr>
          <w:rFonts w:ascii="Palatino Linotype" w:hAnsi="Palatino Linotype"/>
        </w:rPr>
        <w:t>Presidente Mun</w:t>
      </w:r>
      <w:r w:rsidR="00EE7C0F" w:rsidRPr="00BE3BD1">
        <w:rPr>
          <w:rFonts w:ascii="Palatino Linotype" w:hAnsi="Palatino Linotype"/>
        </w:rPr>
        <w:t>icipal Constitucional de Toluca</w:t>
      </w:r>
      <w:r w:rsidR="00AF43CB" w:rsidRPr="00BE3BD1">
        <w:rPr>
          <w:rFonts w:ascii="Palatino Linotype" w:hAnsi="Palatino Linotype"/>
        </w:rPr>
        <w:t xml:space="preserve"> entregó a la Comisión de Derechos Humanos del Estado de México, la carpeta de evidencias del cumplimiento de la Recomendación 04/2024.</w:t>
      </w:r>
    </w:p>
    <w:p w14:paraId="68CD9BF5" w14:textId="77777777" w:rsidR="00BB1403" w:rsidRPr="00BE3BD1" w:rsidRDefault="003A56BC">
      <w:pPr>
        <w:spacing w:before="240" w:after="240" w:line="360" w:lineRule="auto"/>
        <w:ind w:right="49"/>
        <w:jc w:val="both"/>
        <w:rPr>
          <w:rFonts w:ascii="Palatino Linotype" w:eastAsia="Palatino Linotype" w:hAnsi="Palatino Linotype" w:cs="Palatino Linotype"/>
        </w:rPr>
      </w:pPr>
      <w:r w:rsidRPr="00BE3BD1">
        <w:rPr>
          <w:rFonts w:ascii="Palatino Linotype" w:eastAsia="Palatino Linotype" w:hAnsi="Palatino Linotype" w:cs="Palatino Linotype"/>
          <w:b/>
        </w:rPr>
        <w:t xml:space="preserve">3. Interposición del recurso de revisión. </w:t>
      </w:r>
      <w:r w:rsidRPr="00BE3BD1">
        <w:rPr>
          <w:rFonts w:ascii="Palatino Linotype" w:eastAsia="Palatino Linotype" w:hAnsi="Palatino Linotype" w:cs="Palatino Linotype"/>
        </w:rPr>
        <w:t xml:space="preserve">Inconforme con los términos de la respuesta emitida por parte del </w:t>
      </w:r>
      <w:r w:rsidRPr="00BE3BD1">
        <w:rPr>
          <w:rFonts w:ascii="Palatino Linotype" w:eastAsia="Palatino Linotype" w:hAnsi="Palatino Linotype" w:cs="Palatino Linotype"/>
          <w:b/>
        </w:rPr>
        <w:t>Sujeto Obligado</w:t>
      </w:r>
      <w:r w:rsidRPr="00BE3BD1">
        <w:rPr>
          <w:rFonts w:ascii="Palatino Linotype" w:eastAsia="Palatino Linotype" w:hAnsi="Palatino Linotype" w:cs="Palatino Linotype"/>
        </w:rPr>
        <w:t xml:space="preserve">, el </w:t>
      </w:r>
      <w:r w:rsidR="00EE7C0F" w:rsidRPr="00BE3BD1">
        <w:rPr>
          <w:rFonts w:ascii="Palatino Linotype" w:eastAsia="Palatino Linotype" w:hAnsi="Palatino Linotype" w:cs="Palatino Linotype"/>
          <w:b/>
        </w:rPr>
        <w:t>trece</w:t>
      </w:r>
      <w:r w:rsidRPr="00BE3BD1">
        <w:rPr>
          <w:rFonts w:ascii="Palatino Linotype" w:eastAsia="Palatino Linotype" w:hAnsi="Palatino Linotype" w:cs="Palatino Linotype"/>
          <w:b/>
        </w:rPr>
        <w:t xml:space="preserve"> de febrero de dos mil veinticinco, </w:t>
      </w:r>
      <w:r w:rsidRPr="00BE3BD1">
        <w:rPr>
          <w:rFonts w:ascii="Palatino Linotype" w:eastAsia="Palatino Linotype" w:hAnsi="Palatino Linotype" w:cs="Palatino Linotype"/>
        </w:rPr>
        <w:t xml:space="preserve">la parte </w:t>
      </w:r>
      <w:r w:rsidRPr="00BE3BD1">
        <w:rPr>
          <w:rFonts w:ascii="Palatino Linotype" w:eastAsia="Palatino Linotype" w:hAnsi="Palatino Linotype" w:cs="Palatino Linotype"/>
          <w:b/>
        </w:rPr>
        <w:t>Recurrente</w:t>
      </w:r>
      <w:r w:rsidRPr="00BE3BD1">
        <w:rPr>
          <w:rFonts w:ascii="Palatino Linotype" w:eastAsia="Palatino Linotype" w:hAnsi="Palatino Linotype" w:cs="Palatino Linotype"/>
        </w:rPr>
        <w:t xml:space="preserve"> interpuso el recurso de revisión a través de </w:t>
      </w:r>
      <w:r w:rsidRPr="00BE3BD1">
        <w:rPr>
          <w:rFonts w:ascii="Palatino Linotype" w:eastAsia="Palatino Linotype" w:hAnsi="Palatino Linotype" w:cs="Palatino Linotype"/>
          <w:b/>
        </w:rPr>
        <w:t xml:space="preserve">SAIMEX, </w:t>
      </w:r>
      <w:r w:rsidRPr="00BE3BD1">
        <w:rPr>
          <w:rFonts w:ascii="Palatino Linotype" w:eastAsia="Palatino Linotype" w:hAnsi="Palatino Linotype" w:cs="Palatino Linotype"/>
        </w:rPr>
        <w:t>en donde se manifestó de la siguiente manera:</w:t>
      </w:r>
    </w:p>
    <w:p w14:paraId="32E4EBD5" w14:textId="77777777" w:rsidR="00BB1403" w:rsidRPr="00BE3BD1" w:rsidRDefault="003A56BC">
      <w:pPr>
        <w:tabs>
          <w:tab w:val="left" w:pos="2745"/>
        </w:tabs>
        <w:spacing w:before="240" w:after="240" w:line="360" w:lineRule="auto"/>
        <w:jc w:val="both"/>
        <w:rPr>
          <w:rFonts w:ascii="Palatino Linotype" w:eastAsia="Palatino Linotype" w:hAnsi="Palatino Linotype" w:cs="Palatino Linotype"/>
          <w:b/>
        </w:rPr>
      </w:pPr>
      <w:r w:rsidRPr="00BE3BD1">
        <w:rPr>
          <w:rFonts w:ascii="Palatino Linotype" w:eastAsia="Palatino Linotype" w:hAnsi="Palatino Linotype" w:cs="Palatino Linotype"/>
          <w:b/>
        </w:rPr>
        <w:t xml:space="preserve">Acto impugnado: </w:t>
      </w:r>
    </w:p>
    <w:p w14:paraId="13381E74" w14:textId="77777777" w:rsidR="00BB1403" w:rsidRPr="00BE3BD1" w:rsidRDefault="003A56BC">
      <w:pPr>
        <w:tabs>
          <w:tab w:val="left" w:pos="2745"/>
        </w:tabs>
        <w:spacing w:before="240" w:after="240"/>
        <w:ind w:left="851" w:right="900"/>
        <w:jc w:val="both"/>
        <w:rPr>
          <w:rFonts w:ascii="Palatino Linotype" w:eastAsia="Palatino Linotype" w:hAnsi="Palatino Linotype" w:cs="Palatino Linotype"/>
          <w:i/>
          <w:sz w:val="22"/>
          <w:szCs w:val="22"/>
        </w:rPr>
      </w:pPr>
      <w:r w:rsidRPr="00BE3BD1">
        <w:rPr>
          <w:rFonts w:ascii="Palatino Linotype" w:eastAsia="Palatino Linotype" w:hAnsi="Palatino Linotype" w:cs="Palatino Linotype"/>
          <w:i/>
          <w:sz w:val="22"/>
          <w:szCs w:val="22"/>
        </w:rPr>
        <w:t>“</w:t>
      </w:r>
      <w:r w:rsidR="00EE7C0F" w:rsidRPr="00BE3BD1">
        <w:rPr>
          <w:rFonts w:ascii="Palatino Linotype" w:eastAsia="Palatino Linotype" w:hAnsi="Palatino Linotype" w:cs="Palatino Linotype"/>
          <w:i/>
          <w:sz w:val="22"/>
          <w:szCs w:val="22"/>
        </w:rPr>
        <w:t>La opacidad del ayuntamiento al no entregar los anexo</w:t>
      </w:r>
      <w:r w:rsidRPr="00BE3BD1">
        <w:rPr>
          <w:rFonts w:ascii="Palatino Linotype" w:eastAsia="Palatino Linotype" w:hAnsi="Palatino Linotype" w:cs="Palatino Linotype"/>
          <w:i/>
          <w:sz w:val="22"/>
          <w:szCs w:val="22"/>
        </w:rPr>
        <w:t>” (sic)</w:t>
      </w:r>
    </w:p>
    <w:p w14:paraId="6AF4F3F9" w14:textId="77777777" w:rsidR="00BB1403" w:rsidRPr="00BE3BD1" w:rsidRDefault="003A56BC">
      <w:pPr>
        <w:spacing w:line="360" w:lineRule="auto"/>
        <w:jc w:val="both"/>
        <w:rPr>
          <w:rFonts w:ascii="Palatino Linotype" w:eastAsia="Palatino Linotype" w:hAnsi="Palatino Linotype" w:cs="Palatino Linotype"/>
        </w:rPr>
      </w:pPr>
      <w:bookmarkStart w:id="4" w:name="_heading=h.30j0zll" w:colFirst="0" w:colLast="0"/>
      <w:bookmarkEnd w:id="4"/>
      <w:r w:rsidRPr="00BE3BD1">
        <w:rPr>
          <w:rFonts w:ascii="Palatino Linotype" w:eastAsia="Palatino Linotype" w:hAnsi="Palatino Linotype" w:cs="Palatino Linotype"/>
          <w:b/>
        </w:rPr>
        <w:t>Y, Razones o motivos de inconformidad</w:t>
      </w:r>
      <w:r w:rsidRPr="00BE3BD1">
        <w:rPr>
          <w:rFonts w:ascii="Palatino Linotype" w:eastAsia="Palatino Linotype" w:hAnsi="Palatino Linotype" w:cs="Palatino Linotype"/>
        </w:rPr>
        <w:t>:</w:t>
      </w:r>
    </w:p>
    <w:p w14:paraId="52407B43" w14:textId="77777777" w:rsidR="00BB1403" w:rsidRPr="00BE3BD1" w:rsidRDefault="003A56BC">
      <w:pPr>
        <w:tabs>
          <w:tab w:val="left" w:pos="2745"/>
        </w:tabs>
        <w:spacing w:before="240" w:after="240"/>
        <w:ind w:left="851" w:right="900"/>
        <w:jc w:val="both"/>
        <w:rPr>
          <w:rFonts w:ascii="Palatino Linotype" w:eastAsia="Palatino Linotype" w:hAnsi="Palatino Linotype" w:cs="Palatino Linotype"/>
          <w:i/>
          <w:sz w:val="22"/>
          <w:szCs w:val="22"/>
        </w:rPr>
      </w:pPr>
      <w:r w:rsidRPr="00BE3BD1">
        <w:rPr>
          <w:rFonts w:ascii="Palatino Linotype" w:eastAsia="Palatino Linotype" w:hAnsi="Palatino Linotype" w:cs="Palatino Linotype"/>
          <w:i/>
          <w:sz w:val="22"/>
          <w:szCs w:val="22"/>
        </w:rPr>
        <w:t>“</w:t>
      </w:r>
      <w:r w:rsidR="00EE7C0F" w:rsidRPr="00BE3BD1">
        <w:rPr>
          <w:rFonts w:ascii="Palatino Linotype" w:eastAsia="Palatino Linotype" w:hAnsi="Palatino Linotype" w:cs="Palatino Linotype"/>
          <w:i/>
          <w:sz w:val="22"/>
          <w:szCs w:val="22"/>
        </w:rPr>
        <w:t xml:space="preserve">No cabe duda que </w:t>
      </w:r>
      <w:proofErr w:type="spellStart"/>
      <w:r w:rsidR="00EE7C0F" w:rsidRPr="00BE3BD1">
        <w:rPr>
          <w:rFonts w:ascii="Palatino Linotype" w:eastAsia="Palatino Linotype" w:hAnsi="Palatino Linotype" w:cs="Palatino Linotype"/>
          <w:i/>
          <w:sz w:val="22"/>
          <w:szCs w:val="22"/>
        </w:rPr>
        <w:t>queiren</w:t>
      </w:r>
      <w:proofErr w:type="spellEnd"/>
      <w:r w:rsidR="00EE7C0F" w:rsidRPr="00BE3BD1">
        <w:rPr>
          <w:rFonts w:ascii="Palatino Linotype" w:eastAsia="Palatino Linotype" w:hAnsi="Palatino Linotype" w:cs="Palatino Linotype"/>
          <w:i/>
          <w:sz w:val="22"/>
          <w:szCs w:val="22"/>
        </w:rPr>
        <w:t xml:space="preserve"> ocultar todo </w:t>
      </w:r>
      <w:r w:rsidR="00EE7C0F" w:rsidRPr="00BE3BD1">
        <w:rPr>
          <w:rFonts w:ascii="Palatino Linotype" w:eastAsia="Palatino Linotype" w:hAnsi="Palatino Linotype" w:cs="Palatino Linotype"/>
          <w:b/>
          <w:i/>
          <w:sz w:val="22"/>
          <w:szCs w:val="22"/>
          <w:u w:val="single"/>
        </w:rPr>
        <w:t>dicen que entregan la carpeta y no la anexan se solicita sea entregada</w:t>
      </w:r>
      <w:r w:rsidRPr="00BE3BD1">
        <w:rPr>
          <w:rFonts w:ascii="Palatino Linotype" w:eastAsia="Palatino Linotype" w:hAnsi="Palatino Linotype" w:cs="Palatino Linotype"/>
          <w:i/>
          <w:sz w:val="22"/>
          <w:szCs w:val="22"/>
        </w:rPr>
        <w:t>” (sic)</w:t>
      </w:r>
    </w:p>
    <w:p w14:paraId="0EC59116" w14:textId="77777777" w:rsidR="00BB1403" w:rsidRPr="00BE3BD1" w:rsidRDefault="003A56BC">
      <w:pPr>
        <w:spacing w:line="360" w:lineRule="auto"/>
        <w:jc w:val="both"/>
        <w:rPr>
          <w:rFonts w:ascii="Palatino Linotype" w:eastAsia="Palatino Linotype" w:hAnsi="Palatino Linotype" w:cs="Palatino Linotype"/>
        </w:rPr>
      </w:pPr>
      <w:r w:rsidRPr="00BE3BD1">
        <w:rPr>
          <w:rFonts w:ascii="Palatino Linotype" w:eastAsia="Palatino Linotype" w:hAnsi="Palatino Linotype" w:cs="Palatino Linotype"/>
          <w:b/>
        </w:rPr>
        <w:t xml:space="preserve">4. Turno. </w:t>
      </w:r>
      <w:r w:rsidRPr="00BE3BD1">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w:t>
      </w:r>
      <w:r w:rsidRPr="00BE3BD1">
        <w:rPr>
          <w:rFonts w:ascii="Palatino Linotype" w:eastAsia="Palatino Linotype" w:hAnsi="Palatino Linotype" w:cs="Palatino Linotype"/>
        </w:rPr>
        <w:lastRenderedPageBreak/>
        <w:t xml:space="preserve">del Estado de México y Municipios, a la Comisionada </w:t>
      </w:r>
      <w:r w:rsidRPr="00BE3BD1">
        <w:rPr>
          <w:rFonts w:ascii="Palatino Linotype" w:eastAsia="Palatino Linotype" w:hAnsi="Palatino Linotype" w:cs="Palatino Linotype"/>
          <w:b/>
        </w:rPr>
        <w:t xml:space="preserve">Guadalupe Ramírez Peña, </w:t>
      </w:r>
      <w:r w:rsidRPr="00BE3BD1">
        <w:rPr>
          <w:rFonts w:ascii="Palatino Linotype" w:eastAsia="Palatino Linotype" w:hAnsi="Palatino Linotype" w:cs="Palatino Linotype"/>
        </w:rPr>
        <w:t xml:space="preserve">a efecto de que analizara sobre su admisión o su </w:t>
      </w:r>
      <w:proofErr w:type="spellStart"/>
      <w:r w:rsidRPr="00BE3BD1">
        <w:rPr>
          <w:rFonts w:ascii="Palatino Linotype" w:eastAsia="Palatino Linotype" w:hAnsi="Palatino Linotype" w:cs="Palatino Linotype"/>
        </w:rPr>
        <w:t>desechamiento</w:t>
      </w:r>
      <w:proofErr w:type="spellEnd"/>
      <w:r w:rsidRPr="00BE3BD1">
        <w:rPr>
          <w:rFonts w:ascii="Palatino Linotype" w:eastAsia="Palatino Linotype" w:hAnsi="Palatino Linotype" w:cs="Palatino Linotype"/>
        </w:rPr>
        <w:t>.</w:t>
      </w:r>
    </w:p>
    <w:p w14:paraId="4C5BA101" w14:textId="77777777" w:rsidR="00BB1403" w:rsidRPr="00BE3BD1" w:rsidRDefault="003A56BC">
      <w:pPr>
        <w:spacing w:before="240" w:after="240" w:line="360" w:lineRule="auto"/>
        <w:jc w:val="both"/>
        <w:rPr>
          <w:rFonts w:ascii="Palatino Linotype" w:eastAsia="Palatino Linotype" w:hAnsi="Palatino Linotype" w:cs="Palatino Linotype"/>
        </w:rPr>
      </w:pPr>
      <w:r w:rsidRPr="00BE3BD1">
        <w:rPr>
          <w:rFonts w:ascii="Palatino Linotype" w:eastAsia="Palatino Linotype" w:hAnsi="Palatino Linotype" w:cs="Palatino Linotype"/>
          <w:b/>
        </w:rPr>
        <w:t>5. Admisión del Recurso de revisión.</w:t>
      </w:r>
      <w:r w:rsidRPr="00BE3BD1">
        <w:rPr>
          <w:rFonts w:ascii="Palatino Linotype" w:eastAsia="Palatino Linotype" w:hAnsi="Palatino Linotype" w:cs="Palatino Linotype"/>
        </w:rPr>
        <w:t xml:space="preserve"> El</w:t>
      </w:r>
      <w:r w:rsidR="0093122A" w:rsidRPr="00BE3BD1">
        <w:rPr>
          <w:rFonts w:ascii="Palatino Linotype" w:eastAsia="Palatino Linotype" w:hAnsi="Palatino Linotype" w:cs="Palatino Linotype"/>
          <w:b/>
        </w:rPr>
        <w:t xml:space="preserve"> </w:t>
      </w:r>
      <w:r w:rsidR="00930D60" w:rsidRPr="00BE3BD1">
        <w:rPr>
          <w:rFonts w:ascii="Palatino Linotype" w:eastAsia="Palatino Linotype" w:hAnsi="Palatino Linotype" w:cs="Palatino Linotype"/>
          <w:b/>
        </w:rPr>
        <w:t xml:space="preserve">dieciocho </w:t>
      </w:r>
      <w:r w:rsidRPr="00BE3BD1">
        <w:rPr>
          <w:rFonts w:ascii="Palatino Linotype" w:eastAsia="Palatino Linotype" w:hAnsi="Palatino Linotype" w:cs="Palatino Linotype"/>
          <w:b/>
        </w:rPr>
        <w:t xml:space="preserve">de febrero de dos mil veinticinco, </w:t>
      </w:r>
      <w:r w:rsidRPr="00BE3BD1">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BE3BD1">
        <w:rPr>
          <w:rFonts w:ascii="Palatino Linotype" w:eastAsia="Palatino Linotype" w:hAnsi="Palatino Linotype" w:cs="Palatino Linotype"/>
          <w:b/>
        </w:rPr>
        <w:t xml:space="preserve">Sujeto Obligado </w:t>
      </w:r>
      <w:r w:rsidRPr="00BE3BD1">
        <w:rPr>
          <w:rFonts w:ascii="Palatino Linotype" w:eastAsia="Palatino Linotype" w:hAnsi="Palatino Linotype" w:cs="Palatino Linotype"/>
        </w:rPr>
        <w:t>presentara su informe justificado.</w:t>
      </w:r>
    </w:p>
    <w:p w14:paraId="723C7D0D" w14:textId="3F91E080" w:rsidR="00144A43" w:rsidRPr="00BE3BD1" w:rsidRDefault="003A56BC">
      <w:pPr>
        <w:spacing w:before="240" w:after="240" w:line="360" w:lineRule="auto"/>
        <w:jc w:val="both"/>
        <w:rPr>
          <w:rFonts w:ascii="Palatino Linotype" w:eastAsia="Palatino Linotype" w:hAnsi="Palatino Linotype" w:cs="Palatino Linotype"/>
        </w:rPr>
      </w:pPr>
      <w:bookmarkStart w:id="5" w:name="_heading=h.2s8eyo1" w:colFirst="0" w:colLast="0"/>
      <w:bookmarkEnd w:id="5"/>
      <w:r w:rsidRPr="00BE3BD1">
        <w:rPr>
          <w:rFonts w:ascii="Palatino Linotype" w:eastAsia="Palatino Linotype" w:hAnsi="Palatino Linotype" w:cs="Palatino Linotype"/>
          <w:b/>
        </w:rPr>
        <w:t>6. Manifestaciones</w:t>
      </w:r>
      <w:r w:rsidRPr="00BE3BD1">
        <w:rPr>
          <w:rFonts w:ascii="Palatino Linotype" w:eastAsia="Palatino Linotype" w:hAnsi="Palatino Linotype" w:cs="Palatino Linotype"/>
        </w:rPr>
        <w:t xml:space="preserve">. El </w:t>
      </w:r>
      <w:r w:rsidR="009A06F7" w:rsidRPr="00BE3BD1">
        <w:rPr>
          <w:rFonts w:ascii="Palatino Linotype" w:eastAsia="Palatino Linotype" w:hAnsi="Palatino Linotype" w:cs="Palatino Linotype"/>
          <w:b/>
        </w:rPr>
        <w:t>veintisiete</w:t>
      </w:r>
      <w:r w:rsidRPr="00BE3BD1">
        <w:rPr>
          <w:rFonts w:ascii="Palatino Linotype" w:eastAsia="Palatino Linotype" w:hAnsi="Palatino Linotype" w:cs="Palatino Linotype"/>
          <w:b/>
        </w:rPr>
        <w:t xml:space="preserve"> de febrero dos mil veinticinco</w:t>
      </w:r>
      <w:r w:rsidRPr="00BE3BD1">
        <w:rPr>
          <w:rFonts w:ascii="Palatino Linotype" w:eastAsia="Palatino Linotype" w:hAnsi="Palatino Linotype" w:cs="Palatino Linotype"/>
        </w:rPr>
        <w:t xml:space="preserve">, el </w:t>
      </w:r>
      <w:r w:rsidRPr="00BE3BD1">
        <w:rPr>
          <w:rFonts w:ascii="Palatino Linotype" w:eastAsia="Palatino Linotype" w:hAnsi="Palatino Linotype" w:cs="Palatino Linotype"/>
          <w:b/>
        </w:rPr>
        <w:t>Sujeto Obligado</w:t>
      </w:r>
      <w:r w:rsidRPr="00BE3BD1">
        <w:rPr>
          <w:rFonts w:ascii="Palatino Linotype" w:eastAsia="Palatino Linotype" w:hAnsi="Palatino Linotype" w:cs="Palatino Linotype"/>
        </w:rPr>
        <w:t xml:space="preserve"> remitió, a través de SAIMEX, </w:t>
      </w:r>
      <w:r w:rsidR="00F242E9" w:rsidRPr="00BE3BD1">
        <w:rPr>
          <w:rFonts w:ascii="Palatino Linotype" w:eastAsia="Palatino Linotype" w:hAnsi="Palatino Linotype" w:cs="Palatino Linotype"/>
        </w:rPr>
        <w:t xml:space="preserve">su informe justificado, mediante el cual, </w:t>
      </w:r>
      <w:r w:rsidR="0077325C" w:rsidRPr="00BE3BD1">
        <w:rPr>
          <w:rFonts w:ascii="Palatino Linotype" w:eastAsia="Palatino Linotype" w:hAnsi="Palatino Linotype" w:cs="Palatino Linotype"/>
        </w:rPr>
        <w:t>r</w:t>
      </w:r>
      <w:r w:rsidR="0077325C" w:rsidRPr="00BE3BD1">
        <w:rPr>
          <w:rFonts w:ascii="Palatino Linotype" w:hAnsi="Palatino Linotype"/>
        </w:rPr>
        <w:t>atificó</w:t>
      </w:r>
      <w:r w:rsidR="00144A43" w:rsidRPr="00BE3BD1">
        <w:rPr>
          <w:rFonts w:ascii="Palatino Linotype" w:hAnsi="Palatino Linotype"/>
        </w:rPr>
        <w:t xml:space="preserve"> en todas y cada una de sus par</w:t>
      </w:r>
      <w:r w:rsidR="004E0B54" w:rsidRPr="00BE3BD1">
        <w:rPr>
          <w:rFonts w:ascii="Palatino Linotype" w:hAnsi="Palatino Linotype"/>
        </w:rPr>
        <w:t xml:space="preserve">tes la respuesta otorgada en primera instancia, argumentando que </w:t>
      </w:r>
      <w:r w:rsidR="00144A43" w:rsidRPr="00BE3BD1">
        <w:rPr>
          <w:rFonts w:ascii="Palatino Linotype" w:hAnsi="Palatino Linotype"/>
        </w:rPr>
        <w:t>entregó lo que obra</w:t>
      </w:r>
      <w:r w:rsidR="00A04930" w:rsidRPr="00BE3BD1">
        <w:rPr>
          <w:rFonts w:ascii="Palatino Linotype" w:hAnsi="Palatino Linotype"/>
        </w:rPr>
        <w:t xml:space="preserve"> en sus archivos</w:t>
      </w:r>
      <w:r w:rsidR="00144A43" w:rsidRPr="00BE3BD1">
        <w:rPr>
          <w:rFonts w:ascii="Palatino Linotype" w:hAnsi="Palatino Linotype"/>
        </w:rPr>
        <w:t xml:space="preserve"> de acuerdo a lo requerido en la solicitud de acceso a la información pública</w:t>
      </w:r>
      <w:r w:rsidR="004E0B54" w:rsidRPr="00BE3BD1">
        <w:rPr>
          <w:rFonts w:ascii="Palatino Linotype" w:hAnsi="Palatino Linotype"/>
        </w:rPr>
        <w:t>.</w:t>
      </w:r>
    </w:p>
    <w:p w14:paraId="159645D3" w14:textId="77777777" w:rsidR="00BB1403" w:rsidRPr="00BE3BD1" w:rsidRDefault="003A56BC">
      <w:pPr>
        <w:spacing w:before="240" w:after="240" w:line="360" w:lineRule="auto"/>
        <w:jc w:val="both"/>
        <w:rPr>
          <w:rFonts w:ascii="Palatino Linotype" w:eastAsia="Palatino Linotype" w:hAnsi="Palatino Linotype" w:cs="Palatino Linotype"/>
        </w:rPr>
      </w:pPr>
      <w:r w:rsidRPr="00BE3BD1">
        <w:rPr>
          <w:rFonts w:ascii="Palatino Linotype" w:eastAsia="Palatino Linotype" w:hAnsi="Palatino Linotype" w:cs="Palatino Linotype"/>
          <w:b/>
        </w:rPr>
        <w:t xml:space="preserve">7. Cierre de instrucción. </w:t>
      </w:r>
      <w:r w:rsidRPr="00BE3BD1">
        <w:rPr>
          <w:rFonts w:ascii="Palatino Linotype" w:eastAsia="Palatino Linotype" w:hAnsi="Palatino Linotype" w:cs="Palatino Linotype"/>
        </w:rPr>
        <w:t xml:space="preserve">Una vez transcurrido el periodo otorgado a las partes para realizar sus manifestaciones y no habiendo documentos que integrar al expediente, el </w:t>
      </w:r>
      <w:r w:rsidR="00740FC4" w:rsidRPr="00BE3BD1">
        <w:rPr>
          <w:rFonts w:ascii="Palatino Linotype" w:eastAsia="Palatino Linotype" w:hAnsi="Palatino Linotype" w:cs="Palatino Linotype"/>
          <w:b/>
        </w:rPr>
        <w:t xml:space="preserve"> diez de marzo d</w:t>
      </w:r>
      <w:r w:rsidRPr="00BE3BD1">
        <w:rPr>
          <w:rFonts w:ascii="Palatino Linotype" w:eastAsia="Palatino Linotype" w:hAnsi="Palatino Linotype" w:cs="Palatino Linotype"/>
          <w:b/>
        </w:rPr>
        <w:t>e dos mil veinticinco</w:t>
      </w:r>
      <w:r w:rsidRPr="00BE3BD1">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41016AEC" w14:textId="77777777" w:rsidR="00BB1403" w:rsidRPr="00BE3BD1" w:rsidRDefault="003A56BC">
      <w:pPr>
        <w:spacing w:before="240" w:after="240" w:line="360" w:lineRule="auto"/>
        <w:jc w:val="both"/>
        <w:rPr>
          <w:rFonts w:ascii="Palatino Linotype" w:eastAsia="Palatino Linotype" w:hAnsi="Palatino Linotype" w:cs="Palatino Linotype"/>
        </w:rPr>
      </w:pPr>
      <w:r w:rsidRPr="00BE3BD1">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755FE6CE" w14:textId="77777777" w:rsidR="00BB1403" w:rsidRPr="00BE3BD1" w:rsidRDefault="003A56BC">
      <w:pPr>
        <w:widowControl w:val="0"/>
        <w:spacing w:before="240" w:after="240" w:line="360" w:lineRule="auto"/>
        <w:jc w:val="center"/>
        <w:rPr>
          <w:rFonts w:ascii="Palatino Linotype" w:eastAsia="Palatino Linotype" w:hAnsi="Palatino Linotype" w:cs="Palatino Linotype"/>
          <w:b/>
        </w:rPr>
      </w:pPr>
      <w:r w:rsidRPr="00BE3BD1">
        <w:rPr>
          <w:rFonts w:ascii="Palatino Linotype" w:eastAsia="Palatino Linotype" w:hAnsi="Palatino Linotype" w:cs="Palatino Linotype"/>
          <w:b/>
        </w:rPr>
        <w:lastRenderedPageBreak/>
        <w:t>II. C O N S I D E R A N D O S</w:t>
      </w:r>
    </w:p>
    <w:p w14:paraId="7B26755A" w14:textId="77777777" w:rsidR="00BB1403" w:rsidRPr="00BE3BD1" w:rsidRDefault="003A56BC">
      <w:pPr>
        <w:spacing w:before="240" w:after="240" w:line="360" w:lineRule="auto"/>
        <w:jc w:val="both"/>
        <w:rPr>
          <w:rFonts w:ascii="Palatino Linotype" w:eastAsia="Palatino Linotype" w:hAnsi="Palatino Linotype" w:cs="Palatino Linotype"/>
        </w:rPr>
      </w:pPr>
      <w:r w:rsidRPr="00BE3BD1">
        <w:rPr>
          <w:rFonts w:ascii="Palatino Linotype" w:eastAsia="Palatino Linotype" w:hAnsi="Palatino Linotype" w:cs="Palatino Linotype"/>
          <w:b/>
        </w:rPr>
        <w:t>Primero. Competencia.</w:t>
      </w:r>
      <w:r w:rsidRPr="00BE3BD1">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0D70FC1A" w14:textId="77777777" w:rsidR="00BB1403" w:rsidRPr="00BE3BD1" w:rsidRDefault="003A56BC">
      <w:pPr>
        <w:spacing w:before="240" w:after="240" w:line="360" w:lineRule="auto"/>
        <w:jc w:val="both"/>
        <w:rPr>
          <w:rFonts w:ascii="Palatino Linotype" w:eastAsia="Palatino Linotype" w:hAnsi="Palatino Linotype" w:cs="Palatino Linotype"/>
        </w:rPr>
      </w:pPr>
      <w:bookmarkStart w:id="6" w:name="_heading=h.tyjcwt" w:colFirst="0" w:colLast="0"/>
      <w:bookmarkEnd w:id="6"/>
      <w:r w:rsidRPr="00BE3BD1">
        <w:rPr>
          <w:rFonts w:ascii="Palatino Linotype" w:eastAsia="Palatino Linotype" w:hAnsi="Palatino Linotype" w:cs="Palatino Linotype"/>
          <w:b/>
        </w:rPr>
        <w:t>Segundo. Oportunidad y Procedibilidad del Recurso de Revisión</w:t>
      </w:r>
      <w:r w:rsidRPr="00BE3BD1">
        <w:rPr>
          <w:rFonts w:ascii="Palatino Linotype" w:eastAsia="Palatino Linotype" w:hAnsi="Palatino Linotype" w:cs="Palatino Linotype"/>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42843568" w14:textId="15ACC14C" w:rsidR="00BB1403" w:rsidRPr="00BE3BD1" w:rsidRDefault="003A56BC">
      <w:pPr>
        <w:spacing w:before="240" w:after="240" w:line="360" w:lineRule="auto"/>
        <w:jc w:val="both"/>
        <w:rPr>
          <w:rFonts w:ascii="Palatino Linotype" w:eastAsia="Palatino Linotype" w:hAnsi="Palatino Linotype" w:cs="Palatino Linotype"/>
        </w:rPr>
      </w:pPr>
      <w:r w:rsidRPr="00BE3BD1">
        <w:rPr>
          <w:rFonts w:ascii="Palatino Linotype" w:eastAsia="Palatino Linotype" w:hAnsi="Palatino Linotype" w:cs="Palatino Linotype"/>
        </w:rPr>
        <w:t xml:space="preserve">El recurso de revisión fue interpuesto dentro del plazo de quince días hábiles, previsto en el artículo 178 de la Ley de Transparencia y Acceso a la Información Pública del Estado de México y Municipios, toda vez que el </w:t>
      </w:r>
      <w:r w:rsidRPr="00BE3BD1">
        <w:rPr>
          <w:rFonts w:ascii="Palatino Linotype" w:eastAsia="Palatino Linotype" w:hAnsi="Palatino Linotype" w:cs="Palatino Linotype"/>
          <w:b/>
        </w:rPr>
        <w:t xml:space="preserve">Sujeto Obligado </w:t>
      </w:r>
      <w:r w:rsidRPr="00BE3BD1">
        <w:rPr>
          <w:rFonts w:ascii="Palatino Linotype" w:eastAsia="Palatino Linotype" w:hAnsi="Palatino Linotype" w:cs="Palatino Linotype"/>
        </w:rPr>
        <w:t xml:space="preserve">remitió la respuesta a la solicitud de información el día </w:t>
      </w:r>
      <w:r w:rsidR="008E5955" w:rsidRPr="00BE3BD1">
        <w:rPr>
          <w:rFonts w:ascii="Palatino Linotype" w:eastAsia="Palatino Linotype" w:hAnsi="Palatino Linotype" w:cs="Palatino Linotype"/>
          <w:b/>
        </w:rPr>
        <w:t>trece de febrero de dos mil veinticinco</w:t>
      </w:r>
      <w:r w:rsidRPr="00BE3BD1">
        <w:rPr>
          <w:rFonts w:ascii="Palatino Linotype" w:eastAsia="Palatino Linotype" w:hAnsi="Palatino Linotype" w:cs="Palatino Linotype"/>
          <w:b/>
        </w:rPr>
        <w:t xml:space="preserve">, </w:t>
      </w:r>
      <w:r w:rsidRPr="00BE3BD1">
        <w:rPr>
          <w:rFonts w:ascii="Palatino Linotype" w:eastAsia="Palatino Linotype" w:hAnsi="Palatino Linotype" w:cs="Palatino Linotype"/>
        </w:rPr>
        <w:t xml:space="preserve">mientras que el recurso de revisión interpuesto por la parte </w:t>
      </w:r>
      <w:r w:rsidRPr="00BE3BD1">
        <w:rPr>
          <w:rFonts w:ascii="Palatino Linotype" w:eastAsia="Palatino Linotype" w:hAnsi="Palatino Linotype" w:cs="Palatino Linotype"/>
          <w:b/>
        </w:rPr>
        <w:t xml:space="preserve">Recurrente, </w:t>
      </w:r>
      <w:r w:rsidRPr="00BE3BD1">
        <w:rPr>
          <w:rFonts w:ascii="Palatino Linotype" w:eastAsia="Palatino Linotype" w:hAnsi="Palatino Linotype" w:cs="Palatino Linotype"/>
        </w:rPr>
        <w:t>se tuvo por presentado el día</w:t>
      </w:r>
      <w:r w:rsidRPr="00BE3BD1">
        <w:rPr>
          <w:rFonts w:ascii="Palatino Linotype" w:eastAsia="Palatino Linotype" w:hAnsi="Palatino Linotype" w:cs="Palatino Linotype"/>
          <w:b/>
        </w:rPr>
        <w:t xml:space="preserve"> </w:t>
      </w:r>
      <w:r w:rsidR="008E5955" w:rsidRPr="00BE3BD1">
        <w:rPr>
          <w:rFonts w:ascii="Palatino Linotype" w:eastAsia="Palatino Linotype" w:hAnsi="Palatino Linotype" w:cs="Palatino Linotype"/>
          <w:b/>
        </w:rPr>
        <w:t xml:space="preserve">trece </w:t>
      </w:r>
      <w:r w:rsidRPr="00BE3BD1">
        <w:rPr>
          <w:rFonts w:ascii="Palatino Linotype" w:eastAsia="Palatino Linotype" w:hAnsi="Palatino Linotype" w:cs="Palatino Linotype"/>
          <w:b/>
        </w:rPr>
        <w:t xml:space="preserve">de febrero de dos mil veinticinco, </w:t>
      </w:r>
      <w:r w:rsidRPr="00BE3BD1">
        <w:rPr>
          <w:rFonts w:ascii="Palatino Linotype" w:eastAsia="Palatino Linotype" w:hAnsi="Palatino Linotype" w:cs="Palatino Linotype"/>
        </w:rPr>
        <w:t xml:space="preserve">esto es, el </w:t>
      </w:r>
      <w:r w:rsidRPr="00BE3BD1">
        <w:rPr>
          <w:rFonts w:ascii="Palatino Linotype" w:eastAsia="Palatino Linotype" w:hAnsi="Palatino Linotype" w:cs="Palatino Linotype"/>
        </w:rPr>
        <w:lastRenderedPageBreak/>
        <w:t xml:space="preserve">mismo día en el que tuvo conocimiento de las respuestas impugnadas. En este sentido, se concluye que </w:t>
      </w:r>
      <w:r w:rsidR="00101231" w:rsidRPr="00BE3BD1">
        <w:rPr>
          <w:rFonts w:ascii="Palatino Linotype" w:eastAsia="Palatino Linotype" w:hAnsi="Palatino Linotype" w:cs="Palatino Linotype"/>
        </w:rPr>
        <w:t>el</w:t>
      </w:r>
      <w:r w:rsidRPr="00BE3BD1">
        <w:rPr>
          <w:rFonts w:ascii="Palatino Linotype" w:eastAsia="Palatino Linotype" w:hAnsi="Palatino Linotype" w:cs="Palatino Linotype"/>
        </w:rPr>
        <w:t xml:space="preserve"> presente recurso de revisión se encuentra dentro de los márgenes temporales previstos en las disposiciones legales referidas.</w:t>
      </w:r>
    </w:p>
    <w:p w14:paraId="6501A6F4" w14:textId="77777777" w:rsidR="00BB1403" w:rsidRPr="00BE3BD1" w:rsidRDefault="003A56BC">
      <w:pPr>
        <w:spacing w:before="240" w:after="240" w:line="360" w:lineRule="auto"/>
        <w:jc w:val="both"/>
        <w:rPr>
          <w:rFonts w:ascii="Palatino Linotype" w:eastAsia="Palatino Linotype" w:hAnsi="Palatino Linotype" w:cs="Palatino Linotype"/>
        </w:rPr>
      </w:pPr>
      <w:r w:rsidRPr="00BE3BD1">
        <w:rPr>
          <w:rFonts w:ascii="Palatino Linotype" w:eastAsia="Palatino Linotype" w:hAnsi="Palatino Linotype" w:cs="Palatino Linotype"/>
        </w:rPr>
        <w:t>Sin que contraríe a lo anterior, el artículo 178 en análisis, refiere que el plazo de quince días hábiles se contará a partir del día siguiente de la fecha en que el afectado tuvo conocimiento de la resolución materia de impugnación, ya que ello debe entenderse para el efecto de que transcurrido dicho plazo ya no podrá presentarse el medio de impugnación o si es que se presenta, el mismo se considerará extemporáneo, no así cuando el medio de defensa se interponga antes de que comience a correr el plazo legal; tiene aplicación por analogía, la jurisprudencia 1ª. /J.41/2015, publicada en el Semanario Judicial de la Federación y su Gaceta, Libro 19, Junio de 2015, Tomo I, página 569 de la Décima época que lleva por rubro y texto los siguientes:</w:t>
      </w:r>
    </w:p>
    <w:p w14:paraId="0B6EC61F" w14:textId="77777777" w:rsidR="00BB1403" w:rsidRPr="00BE3BD1" w:rsidRDefault="003A56BC">
      <w:pPr>
        <w:spacing w:before="120" w:after="120"/>
        <w:ind w:left="851" w:right="902"/>
        <w:jc w:val="both"/>
        <w:rPr>
          <w:rFonts w:ascii="Palatino Linotype" w:eastAsia="Palatino Linotype" w:hAnsi="Palatino Linotype" w:cs="Palatino Linotype"/>
          <w:i/>
          <w:sz w:val="22"/>
          <w:szCs w:val="22"/>
        </w:rPr>
      </w:pPr>
      <w:r w:rsidRPr="00BE3BD1">
        <w:rPr>
          <w:rFonts w:ascii="Palatino Linotype" w:eastAsia="Palatino Linotype" w:hAnsi="Palatino Linotype" w:cs="Palatino Linotype"/>
          <w:i/>
          <w:sz w:val="22"/>
          <w:szCs w:val="22"/>
        </w:rPr>
        <w:t>“</w:t>
      </w:r>
      <w:r w:rsidRPr="00BE3BD1">
        <w:rPr>
          <w:rFonts w:ascii="Palatino Linotype" w:eastAsia="Palatino Linotype" w:hAnsi="Palatino Linotype" w:cs="Palatino Linotype"/>
          <w:b/>
          <w:i/>
          <w:sz w:val="22"/>
          <w:szCs w:val="22"/>
        </w:rPr>
        <w:t>RECURSO DE RECLAMACIÓN. SU INTERPOSICIÓN NO ES EXTEMPORÁNEA SI SE REALIZA ANTES DE QUE INICIE EL PLAZO PARA HACERLO.</w:t>
      </w:r>
      <w:r w:rsidRPr="00BE3BD1">
        <w:rPr>
          <w:rFonts w:ascii="Palatino Linotype" w:eastAsia="Palatino Linotype" w:hAnsi="Palatino Linotype" w:cs="Palatino Linotype"/>
          <w:i/>
          <w:sz w:val="22"/>
          <w:szCs w:val="22"/>
        </w:rPr>
        <w:t xml:space="preserve"> 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14:paraId="33B340D2" w14:textId="77777777" w:rsidR="00BB1403" w:rsidRPr="00BE3BD1" w:rsidRDefault="003A56BC">
      <w:pPr>
        <w:spacing w:before="240" w:after="240" w:line="360" w:lineRule="auto"/>
        <w:jc w:val="both"/>
        <w:rPr>
          <w:rFonts w:ascii="Palatino Linotype" w:eastAsia="Palatino Linotype" w:hAnsi="Palatino Linotype" w:cs="Palatino Linotype"/>
        </w:rPr>
      </w:pPr>
      <w:r w:rsidRPr="00BE3BD1">
        <w:rPr>
          <w:rFonts w:ascii="Palatino Linotype" w:eastAsia="Palatino Linotype" w:hAnsi="Palatino Linotype" w:cs="Palatino Linotype"/>
        </w:rPr>
        <w:t>Además, por cuanto hace a la procedibilidad del recurso de revisión, es de suma importancia señalar que la parte</w:t>
      </w:r>
      <w:r w:rsidRPr="00BE3BD1">
        <w:rPr>
          <w:rFonts w:ascii="Palatino Linotype" w:eastAsia="Palatino Linotype" w:hAnsi="Palatino Linotype" w:cs="Palatino Linotype"/>
          <w:b/>
        </w:rPr>
        <w:t xml:space="preserve"> Recurrente</w:t>
      </w:r>
      <w:r w:rsidRPr="00BE3BD1">
        <w:rPr>
          <w:rFonts w:ascii="Palatino Linotype" w:eastAsia="Palatino Linotype" w:hAnsi="Palatino Linotype" w:cs="Palatino Linotype"/>
        </w:rPr>
        <w:t xml:space="preserve">, no señaló un </w:t>
      </w:r>
      <w:r w:rsidRPr="00BE3BD1">
        <w:rPr>
          <w:rFonts w:ascii="Palatino Linotype" w:eastAsia="Palatino Linotype" w:hAnsi="Palatino Linotype" w:cs="Palatino Linotype"/>
          <w:b/>
        </w:rPr>
        <w:t>nombre</w:t>
      </w:r>
      <w:r w:rsidRPr="00BE3BD1">
        <w:rPr>
          <w:rFonts w:ascii="Palatino Linotype" w:eastAsia="Palatino Linotype" w:hAnsi="Palatino Linotype" w:cs="Palatino Linotype"/>
        </w:rPr>
        <w:t xml:space="preserve"> con el cual desea ser identificado, como se advierte en el detalle de seguimiento del SAIMEX, no obstante no proporcionar un nombre no es motivo para archivar la solicitud de </w:t>
      </w:r>
      <w:r w:rsidRPr="00BE3BD1">
        <w:rPr>
          <w:rFonts w:ascii="Palatino Linotype" w:eastAsia="Palatino Linotype" w:hAnsi="Palatino Linotype" w:cs="Palatino Linotype"/>
        </w:rPr>
        <w:lastRenderedPageBreak/>
        <w:t>acceso a la información pública como concluida, conforme a lo previsto en el artículo 155, penúltimo párrafo de la Ley de Transparencia y Acceso a la Información Pública del Estado de México y Municipios que establece lo siguiente:</w:t>
      </w:r>
    </w:p>
    <w:p w14:paraId="7ECA7C8C" w14:textId="77777777" w:rsidR="00BB1403" w:rsidRPr="00BE3BD1" w:rsidRDefault="003A56BC">
      <w:pPr>
        <w:spacing w:before="120" w:after="120"/>
        <w:ind w:left="851" w:right="902"/>
        <w:jc w:val="both"/>
        <w:rPr>
          <w:rFonts w:ascii="Palatino Linotype" w:eastAsia="Palatino Linotype" w:hAnsi="Palatino Linotype" w:cs="Palatino Linotype"/>
          <w:i/>
          <w:sz w:val="22"/>
          <w:szCs w:val="22"/>
        </w:rPr>
      </w:pPr>
      <w:r w:rsidRPr="00BE3BD1">
        <w:rPr>
          <w:rFonts w:ascii="Palatino Linotype" w:eastAsia="Palatino Linotype" w:hAnsi="Palatino Linotype" w:cs="Palatino Linotype"/>
          <w:i/>
          <w:sz w:val="22"/>
          <w:szCs w:val="22"/>
        </w:rPr>
        <w:t>"</w:t>
      </w:r>
      <w:r w:rsidRPr="00BE3BD1">
        <w:rPr>
          <w:rFonts w:ascii="Palatino Linotype" w:eastAsia="Palatino Linotype" w:hAnsi="Palatino Linotype" w:cs="Palatino Linotype"/>
          <w:b/>
          <w:i/>
          <w:sz w:val="22"/>
          <w:szCs w:val="22"/>
        </w:rPr>
        <w:t>Las solicitudes anónimas</w:t>
      </w:r>
      <w:r w:rsidRPr="00BE3BD1">
        <w:rPr>
          <w:rFonts w:ascii="Palatino Linotype" w:eastAsia="Palatino Linotype" w:hAnsi="Palatino Linotype" w:cs="Palatino Linotype"/>
          <w:i/>
          <w:sz w:val="22"/>
          <w:szCs w:val="22"/>
        </w:rPr>
        <w:t xml:space="preserve">, con nombre incompleto o </w:t>
      </w:r>
      <w:r w:rsidRPr="00BE3BD1">
        <w:rPr>
          <w:rFonts w:ascii="Palatino Linotype" w:eastAsia="Palatino Linotype" w:hAnsi="Palatino Linotype" w:cs="Palatino Linotype"/>
          <w:b/>
          <w:i/>
          <w:sz w:val="22"/>
          <w:szCs w:val="22"/>
        </w:rPr>
        <w:t>seudónimo</w:t>
      </w:r>
      <w:r w:rsidRPr="00BE3BD1">
        <w:rPr>
          <w:rFonts w:ascii="Palatino Linotype" w:eastAsia="Palatino Linotype" w:hAnsi="Palatino Linotype" w:cs="Palatino Linotype"/>
          <w:i/>
          <w:sz w:val="22"/>
          <w:szCs w:val="22"/>
        </w:rPr>
        <w:t xml:space="preserve"> serán procedentes para su trámite por parte del sujeto obligado ante quien se presente. No podrá requerirse información adicional con motivo del nombre proporcionado por el solicitante."</w:t>
      </w:r>
    </w:p>
    <w:p w14:paraId="3918F2E8" w14:textId="77777777" w:rsidR="00BB1403" w:rsidRPr="00BE3BD1" w:rsidRDefault="003A56BC">
      <w:pPr>
        <w:spacing w:before="240" w:after="240" w:line="360" w:lineRule="auto"/>
        <w:jc w:val="both"/>
        <w:rPr>
          <w:rFonts w:ascii="Palatino Linotype" w:eastAsia="Palatino Linotype" w:hAnsi="Palatino Linotype" w:cs="Palatino Linotype"/>
          <w:b/>
        </w:rPr>
      </w:pPr>
      <w:r w:rsidRPr="00BE3BD1">
        <w:rPr>
          <w:rFonts w:ascii="Palatino Linotype" w:eastAsia="Palatino Linotype" w:hAnsi="Palatino Linotype" w:cs="Palatino Linotype"/>
        </w:rPr>
        <w:t>De acuerdo al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en el</w:t>
      </w:r>
      <w:r w:rsidRPr="00BE3BD1">
        <w:rPr>
          <w:rFonts w:ascii="Palatino Linotype" w:eastAsia="Palatino Linotype" w:hAnsi="Palatino Linotype" w:cs="Palatino Linotype"/>
          <w:b/>
        </w:rPr>
        <w:t xml:space="preserve"> SAIMEX.</w:t>
      </w:r>
    </w:p>
    <w:p w14:paraId="0D2B856D" w14:textId="39E64DC6" w:rsidR="00BB1403" w:rsidRPr="00BE3BD1" w:rsidRDefault="003A56BC">
      <w:pPr>
        <w:spacing w:before="240" w:after="240" w:line="360" w:lineRule="auto"/>
        <w:jc w:val="both"/>
        <w:rPr>
          <w:rFonts w:ascii="Palatino Linotype" w:eastAsia="Palatino Linotype" w:hAnsi="Palatino Linotype" w:cs="Palatino Linotype"/>
        </w:rPr>
      </w:pPr>
      <w:bookmarkStart w:id="7" w:name="_heading=h.3znysh7" w:colFirst="0" w:colLast="0"/>
      <w:bookmarkEnd w:id="7"/>
      <w:r w:rsidRPr="00BE3BD1">
        <w:rPr>
          <w:rFonts w:ascii="Palatino Linotype" w:eastAsia="Palatino Linotype" w:hAnsi="Palatino Linotype" w:cs="Palatino Linotype"/>
        </w:rPr>
        <w:t xml:space="preserve">Finalmente, se advierte que resulta procedente la interposición del recurso, según lo manifestado por la parte </w:t>
      </w:r>
      <w:r w:rsidRPr="00BE3BD1">
        <w:rPr>
          <w:rFonts w:ascii="Palatino Linotype" w:eastAsia="Palatino Linotype" w:hAnsi="Palatino Linotype" w:cs="Palatino Linotype"/>
          <w:b/>
        </w:rPr>
        <w:t>Recurrente</w:t>
      </w:r>
      <w:r w:rsidRPr="00BE3BD1">
        <w:rPr>
          <w:rFonts w:ascii="Palatino Linotype" w:eastAsia="Palatino Linotype" w:hAnsi="Palatino Linotype" w:cs="Palatino Linotype"/>
        </w:rPr>
        <w:t xml:space="preserve"> en sus motivos de inconformidad, de acuerdo al artículo 179, fracci</w:t>
      </w:r>
      <w:r w:rsidR="008E5955" w:rsidRPr="00BE3BD1">
        <w:rPr>
          <w:rFonts w:ascii="Palatino Linotype" w:eastAsia="Palatino Linotype" w:hAnsi="Palatino Linotype" w:cs="Palatino Linotype"/>
        </w:rPr>
        <w:t>ón</w:t>
      </w:r>
      <w:r w:rsidRPr="00BE3BD1">
        <w:rPr>
          <w:rFonts w:ascii="Palatino Linotype" w:eastAsia="Palatino Linotype" w:hAnsi="Palatino Linotype" w:cs="Palatino Linotype"/>
        </w:rPr>
        <w:t xml:space="preserve"> I del ordenamiento legal citado, que a la letra dice: </w:t>
      </w:r>
    </w:p>
    <w:p w14:paraId="59AA6397" w14:textId="77777777" w:rsidR="00BB1403" w:rsidRPr="00BE3BD1" w:rsidRDefault="003A56BC">
      <w:pPr>
        <w:tabs>
          <w:tab w:val="left" w:pos="7938"/>
        </w:tabs>
        <w:spacing w:before="120" w:after="120"/>
        <w:ind w:left="851" w:right="902"/>
        <w:jc w:val="both"/>
        <w:rPr>
          <w:rFonts w:ascii="Palatino Linotype" w:eastAsia="Palatino Linotype" w:hAnsi="Palatino Linotype" w:cs="Palatino Linotype"/>
          <w:i/>
          <w:sz w:val="22"/>
          <w:szCs w:val="22"/>
        </w:rPr>
      </w:pPr>
      <w:r w:rsidRPr="00BE3BD1">
        <w:rPr>
          <w:rFonts w:ascii="Palatino Linotype" w:eastAsia="Palatino Linotype" w:hAnsi="Palatino Linotype" w:cs="Palatino Linotype"/>
          <w:i/>
          <w:sz w:val="22"/>
          <w:szCs w:val="22"/>
        </w:rPr>
        <w:t>“</w:t>
      </w:r>
      <w:r w:rsidRPr="00BE3BD1">
        <w:rPr>
          <w:rFonts w:ascii="Palatino Linotype" w:eastAsia="Palatino Linotype" w:hAnsi="Palatino Linotype" w:cs="Palatino Linotype"/>
          <w:b/>
          <w:i/>
          <w:sz w:val="22"/>
          <w:szCs w:val="22"/>
        </w:rPr>
        <w:t>Artículo 179.</w:t>
      </w:r>
      <w:r w:rsidRPr="00BE3BD1">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78BB6C26" w14:textId="77777777" w:rsidR="00BB1403" w:rsidRPr="00BE3BD1" w:rsidRDefault="003A56BC">
      <w:pPr>
        <w:tabs>
          <w:tab w:val="left" w:pos="7938"/>
        </w:tabs>
        <w:spacing w:before="120" w:after="120"/>
        <w:ind w:left="1134" w:right="900"/>
        <w:jc w:val="both"/>
        <w:rPr>
          <w:rFonts w:ascii="Palatino Linotype" w:eastAsia="Palatino Linotype" w:hAnsi="Palatino Linotype" w:cs="Palatino Linotype"/>
          <w:i/>
          <w:sz w:val="22"/>
          <w:szCs w:val="22"/>
        </w:rPr>
      </w:pPr>
      <w:r w:rsidRPr="00BE3BD1">
        <w:rPr>
          <w:rFonts w:ascii="Palatino Linotype" w:eastAsia="Palatino Linotype" w:hAnsi="Palatino Linotype" w:cs="Palatino Linotype"/>
          <w:b/>
          <w:i/>
          <w:sz w:val="22"/>
          <w:szCs w:val="22"/>
        </w:rPr>
        <w:t>I.</w:t>
      </w:r>
      <w:r w:rsidRPr="00BE3BD1">
        <w:rPr>
          <w:rFonts w:ascii="Palatino Linotype" w:eastAsia="Palatino Linotype" w:hAnsi="Palatino Linotype" w:cs="Palatino Linotype"/>
          <w:i/>
          <w:sz w:val="22"/>
          <w:szCs w:val="22"/>
        </w:rPr>
        <w:t xml:space="preserve"> La negativa a la información solicitada;</w:t>
      </w:r>
    </w:p>
    <w:p w14:paraId="4930D4E8" w14:textId="77777777" w:rsidR="00BB1403" w:rsidRPr="00BE3BD1" w:rsidRDefault="003A56BC">
      <w:pPr>
        <w:spacing w:before="240" w:after="240" w:line="360" w:lineRule="auto"/>
        <w:jc w:val="both"/>
        <w:rPr>
          <w:rFonts w:ascii="Palatino Linotype" w:eastAsia="Palatino Linotype" w:hAnsi="Palatino Linotype" w:cs="Palatino Linotype"/>
          <w:b/>
        </w:rPr>
      </w:pPr>
      <w:r w:rsidRPr="00BE3BD1">
        <w:rPr>
          <w:rFonts w:ascii="Palatino Linotype" w:eastAsia="Palatino Linotype" w:hAnsi="Palatino Linotype" w:cs="Palatino Linotype"/>
          <w:b/>
        </w:rPr>
        <w:t xml:space="preserve">Tercero. Materia de la revisión. </w:t>
      </w:r>
      <w:r w:rsidRPr="00BE3BD1">
        <w:rPr>
          <w:rFonts w:ascii="Palatino Linotype" w:eastAsia="Palatino Linotype" w:hAnsi="Palatino Linotype" w:cs="Palatino Linotype"/>
        </w:rPr>
        <w:t xml:space="preserve">De la revisión a las constancias y documentos que obran en el expediente electrónico se advierte, que el tema sobre el que este Organismo Garante de Transparencia y Acceso a la Información se pronunciará será: </w:t>
      </w:r>
      <w:r w:rsidRPr="00BE3BD1">
        <w:rPr>
          <w:rFonts w:ascii="Palatino Linotype" w:eastAsia="Palatino Linotype" w:hAnsi="Palatino Linotype" w:cs="Palatino Linotype"/>
          <w:b/>
        </w:rPr>
        <w:t xml:space="preserve">verificar si la información proporcionada por el Sujeto Obligado es adecuada y suficiente para satisfacer el derecho de acceso a la información pública </w:t>
      </w:r>
      <w:r w:rsidRPr="00BE3BD1">
        <w:rPr>
          <w:rFonts w:ascii="Palatino Linotype" w:eastAsia="Palatino Linotype" w:hAnsi="Palatino Linotype" w:cs="Palatino Linotype"/>
        </w:rPr>
        <w:t xml:space="preserve">de la parte </w:t>
      </w:r>
      <w:r w:rsidRPr="00BE3BD1">
        <w:rPr>
          <w:rFonts w:ascii="Palatino Linotype" w:eastAsia="Palatino Linotype" w:hAnsi="Palatino Linotype" w:cs="Palatino Linotype"/>
          <w:b/>
        </w:rPr>
        <w:lastRenderedPageBreak/>
        <w:t>Recurrente</w:t>
      </w:r>
      <w:r w:rsidRPr="00BE3BD1">
        <w:rPr>
          <w:rFonts w:ascii="Palatino Linotype" w:eastAsia="Palatino Linotype" w:hAnsi="Palatino Linotype" w:cs="Palatino Linotype"/>
        </w:rPr>
        <w:t>, o en su defecto, en caso de ser procedente, ordenar la entrega de información.</w:t>
      </w:r>
    </w:p>
    <w:p w14:paraId="71649FB8" w14:textId="77777777" w:rsidR="00BB1403" w:rsidRPr="00BE3BD1" w:rsidRDefault="003A56BC">
      <w:pPr>
        <w:spacing w:before="240" w:after="240" w:line="360" w:lineRule="auto"/>
        <w:jc w:val="both"/>
        <w:rPr>
          <w:rFonts w:ascii="Palatino Linotype" w:eastAsia="Palatino Linotype" w:hAnsi="Palatino Linotype" w:cs="Palatino Linotype"/>
        </w:rPr>
      </w:pPr>
      <w:bookmarkStart w:id="8" w:name="_heading=h.2et92p0" w:colFirst="0" w:colLast="0"/>
      <w:bookmarkEnd w:id="8"/>
      <w:r w:rsidRPr="00BE3BD1">
        <w:rPr>
          <w:rFonts w:ascii="Palatino Linotype" w:eastAsia="Palatino Linotype" w:hAnsi="Palatino Linotype" w:cs="Palatino Linotype"/>
          <w:b/>
        </w:rPr>
        <w:t xml:space="preserve">Cuarto. Estudio del asunto. </w:t>
      </w:r>
      <w:r w:rsidRPr="00BE3BD1">
        <w:rPr>
          <w:rFonts w:ascii="Palatino Linotype" w:eastAsia="Palatino Linotype" w:hAnsi="Palatino Linotype" w:cs="Palatino Linotype"/>
        </w:rPr>
        <w:t>En primer lugar, es conveniente mencionar que de conformidad con el artículo 4 de la Ley de Transparencia y Acceso a la Información Pública del Estado de México y Municipios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3C505513" w14:textId="77777777" w:rsidR="00BB1403" w:rsidRPr="00BE3BD1" w:rsidRDefault="003A56BC">
      <w:pPr>
        <w:spacing w:before="120" w:after="120"/>
        <w:ind w:left="851" w:right="902"/>
        <w:jc w:val="both"/>
        <w:rPr>
          <w:rFonts w:ascii="Palatino Linotype" w:eastAsia="Palatino Linotype" w:hAnsi="Palatino Linotype" w:cs="Palatino Linotype"/>
          <w:i/>
          <w:sz w:val="22"/>
          <w:szCs w:val="22"/>
        </w:rPr>
      </w:pPr>
      <w:r w:rsidRPr="00BE3BD1">
        <w:rPr>
          <w:rFonts w:ascii="Palatino Linotype" w:eastAsia="Palatino Linotype" w:hAnsi="Palatino Linotype" w:cs="Palatino Linotype"/>
          <w:i/>
          <w:sz w:val="22"/>
          <w:szCs w:val="22"/>
        </w:rPr>
        <w:t>“</w:t>
      </w:r>
      <w:r w:rsidRPr="00BE3BD1">
        <w:rPr>
          <w:rFonts w:ascii="Palatino Linotype" w:eastAsia="Palatino Linotype" w:hAnsi="Palatino Linotype" w:cs="Palatino Linotype"/>
          <w:b/>
          <w:i/>
          <w:sz w:val="22"/>
          <w:szCs w:val="22"/>
        </w:rPr>
        <w:t>Artículo 4</w:t>
      </w:r>
      <w:r w:rsidRPr="00BE3BD1">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70DC7DDC" w14:textId="77777777" w:rsidR="00BB1403" w:rsidRPr="00BE3BD1" w:rsidRDefault="003A56BC">
      <w:pPr>
        <w:spacing w:before="120" w:after="120"/>
        <w:ind w:left="851" w:right="902"/>
        <w:jc w:val="both"/>
        <w:rPr>
          <w:rFonts w:ascii="Palatino Linotype" w:eastAsia="Palatino Linotype" w:hAnsi="Palatino Linotype" w:cs="Palatino Linotype"/>
          <w:i/>
          <w:sz w:val="22"/>
          <w:szCs w:val="22"/>
        </w:rPr>
      </w:pPr>
      <w:r w:rsidRPr="00BE3BD1">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BE3BD1">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55D55775" w14:textId="77777777" w:rsidR="00BB1403" w:rsidRPr="00BE3BD1" w:rsidRDefault="003A56BC">
      <w:pPr>
        <w:spacing w:before="120" w:after="120"/>
        <w:ind w:left="851" w:right="902"/>
        <w:jc w:val="both"/>
        <w:rPr>
          <w:rFonts w:ascii="Palatino Linotype" w:eastAsia="Palatino Linotype" w:hAnsi="Palatino Linotype" w:cs="Palatino Linotype"/>
          <w:i/>
          <w:sz w:val="22"/>
          <w:szCs w:val="22"/>
        </w:rPr>
      </w:pPr>
      <w:r w:rsidRPr="00BE3BD1">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BE3BD1">
        <w:rPr>
          <w:rFonts w:ascii="Palatino Linotype" w:eastAsia="Palatino Linotype" w:hAnsi="Palatino Linotype" w:cs="Palatino Linotype"/>
          <w:i/>
          <w:sz w:val="22"/>
          <w:szCs w:val="22"/>
        </w:rPr>
        <w:t>.”</w:t>
      </w:r>
    </w:p>
    <w:p w14:paraId="74890B20" w14:textId="77777777" w:rsidR="00BB1403" w:rsidRPr="00BE3BD1" w:rsidRDefault="003A56BC">
      <w:pPr>
        <w:spacing w:before="240" w:after="240" w:line="360" w:lineRule="auto"/>
        <w:jc w:val="both"/>
        <w:rPr>
          <w:rFonts w:ascii="Palatino Linotype" w:eastAsia="Palatino Linotype" w:hAnsi="Palatino Linotype" w:cs="Palatino Linotype"/>
        </w:rPr>
      </w:pPr>
      <w:r w:rsidRPr="00BE3BD1">
        <w:rPr>
          <w:rFonts w:ascii="Palatino Linotype" w:eastAsia="Palatino Linotype" w:hAnsi="Palatino Linotype" w:cs="Palatino Linotype"/>
        </w:rPr>
        <w:t xml:space="preserve">Esto es, que los Sujetos Obligados tiene la obligación o deber de atender las solicitudes de acceso a la información pública que se les hagan de su conocimiento y proporcionar la información pública que obren en su poder conforme el estado </w:t>
      </w:r>
      <w:r w:rsidRPr="00BE3BD1">
        <w:rPr>
          <w:rFonts w:ascii="Palatino Linotype" w:eastAsia="Palatino Linotype" w:hAnsi="Palatino Linotype" w:cs="Palatino Linotype"/>
        </w:rPr>
        <w:lastRenderedPageBreak/>
        <w:t>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487CD2D8" w14:textId="77777777" w:rsidR="00BB1403" w:rsidRPr="00BE3BD1" w:rsidRDefault="003A56BC">
      <w:pPr>
        <w:spacing w:before="120" w:after="120"/>
        <w:ind w:left="851" w:right="902"/>
        <w:jc w:val="both"/>
        <w:rPr>
          <w:rFonts w:ascii="Palatino Linotype" w:eastAsia="Palatino Linotype" w:hAnsi="Palatino Linotype" w:cs="Palatino Linotype"/>
          <w:i/>
          <w:sz w:val="22"/>
          <w:szCs w:val="22"/>
        </w:rPr>
      </w:pPr>
      <w:r w:rsidRPr="00BE3BD1">
        <w:rPr>
          <w:rFonts w:ascii="Palatino Linotype" w:eastAsia="Palatino Linotype" w:hAnsi="Palatino Linotype" w:cs="Palatino Linotype"/>
          <w:b/>
          <w:i/>
          <w:sz w:val="22"/>
          <w:szCs w:val="22"/>
        </w:rPr>
        <w:t>“Artículo 12.-</w:t>
      </w:r>
      <w:r w:rsidRPr="00BE3BD1">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77B18AFF" w14:textId="77777777" w:rsidR="00BB1403" w:rsidRPr="00BE3BD1" w:rsidRDefault="003A56BC">
      <w:pPr>
        <w:spacing w:before="120" w:after="120"/>
        <w:ind w:left="851" w:right="902"/>
        <w:jc w:val="both"/>
        <w:rPr>
          <w:rFonts w:ascii="Palatino Linotype" w:eastAsia="Palatino Linotype" w:hAnsi="Palatino Linotype" w:cs="Palatino Linotype"/>
          <w:i/>
          <w:sz w:val="22"/>
          <w:szCs w:val="22"/>
        </w:rPr>
      </w:pPr>
      <w:r w:rsidRPr="00BE3BD1">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BE3BD1">
        <w:rPr>
          <w:rFonts w:ascii="Palatino Linotype" w:eastAsia="Palatino Linotype" w:hAnsi="Palatino Linotype" w:cs="Palatino Linotype"/>
          <w:i/>
          <w:sz w:val="22"/>
          <w:szCs w:val="22"/>
        </w:rPr>
        <w:t xml:space="preserve">. </w:t>
      </w:r>
      <w:r w:rsidRPr="00BE3BD1">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w:t>
      </w:r>
    </w:p>
    <w:p w14:paraId="712E535E" w14:textId="77777777" w:rsidR="00BB1403" w:rsidRPr="00BE3BD1" w:rsidRDefault="003A56BC">
      <w:pPr>
        <w:spacing w:before="240" w:after="240" w:line="360" w:lineRule="auto"/>
        <w:ind w:right="-93"/>
        <w:jc w:val="both"/>
        <w:rPr>
          <w:rFonts w:ascii="Palatino Linotype" w:eastAsia="Palatino Linotype" w:hAnsi="Palatino Linotype" w:cs="Palatino Linotype"/>
        </w:rPr>
      </w:pPr>
      <w:r w:rsidRPr="00BE3BD1">
        <w:rPr>
          <w:rFonts w:ascii="Palatino Linotype" w:eastAsia="Palatino Linotype" w:hAnsi="Palatino Linotype" w:cs="Palatino Linotype"/>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concretaran a proporcionar la información solicitada que tengan en su poder en el estado que se encuentran, sin necesidad de concretarse al interés o términos específicos del solicitante.</w:t>
      </w:r>
    </w:p>
    <w:p w14:paraId="19412B5F" w14:textId="77777777" w:rsidR="00BB1403" w:rsidRPr="00BE3BD1" w:rsidRDefault="003A56BC">
      <w:pPr>
        <w:spacing w:before="240" w:after="240" w:line="360" w:lineRule="auto"/>
        <w:jc w:val="both"/>
        <w:rPr>
          <w:rFonts w:ascii="Palatino Linotype" w:eastAsia="Palatino Linotype" w:hAnsi="Palatino Linotype" w:cs="Palatino Linotype"/>
          <w:b/>
        </w:rPr>
      </w:pPr>
      <w:r w:rsidRPr="00BE3BD1">
        <w:rPr>
          <w:rFonts w:ascii="Palatino Linotype" w:eastAsia="Palatino Linotype" w:hAnsi="Palatino Linotype" w:cs="Palatino Linotype"/>
        </w:rPr>
        <w:t>Sirve de apoyo a lo anterior, el criterio 03/17, emitido por el Instituto Nacional de Transparencia, Acceso a la Información y Protección de Datos Personales, que por rubro y texto, dispone lo siguiente:</w:t>
      </w:r>
      <w:r w:rsidRPr="00BE3BD1">
        <w:rPr>
          <w:rFonts w:ascii="Palatino Linotype" w:eastAsia="Palatino Linotype" w:hAnsi="Palatino Linotype" w:cs="Palatino Linotype"/>
          <w:b/>
        </w:rPr>
        <w:t xml:space="preserve"> </w:t>
      </w:r>
    </w:p>
    <w:p w14:paraId="7429967A" w14:textId="77777777" w:rsidR="00BB1403" w:rsidRPr="00BE3BD1" w:rsidRDefault="003A56BC">
      <w:pPr>
        <w:spacing w:before="120" w:after="120"/>
        <w:ind w:left="1134" w:right="902"/>
        <w:jc w:val="both"/>
        <w:rPr>
          <w:rFonts w:ascii="Palatino Linotype" w:eastAsia="Palatino Linotype" w:hAnsi="Palatino Linotype" w:cs="Palatino Linotype"/>
          <w:i/>
          <w:sz w:val="22"/>
          <w:szCs w:val="22"/>
        </w:rPr>
      </w:pPr>
      <w:r w:rsidRPr="00BE3BD1">
        <w:rPr>
          <w:rFonts w:ascii="Palatino Linotype" w:eastAsia="Palatino Linotype" w:hAnsi="Palatino Linotype" w:cs="Palatino Linotype"/>
          <w:i/>
          <w:sz w:val="22"/>
          <w:szCs w:val="22"/>
        </w:rPr>
        <w:t>“</w:t>
      </w:r>
      <w:r w:rsidRPr="00BE3BD1">
        <w:rPr>
          <w:rFonts w:ascii="Palatino Linotype" w:eastAsia="Palatino Linotype" w:hAnsi="Palatino Linotype" w:cs="Palatino Linotype"/>
          <w:b/>
          <w:i/>
          <w:sz w:val="22"/>
          <w:szCs w:val="22"/>
        </w:rPr>
        <w:t>No existe obligación de elaborar documentos ad hoc para atender las solicitudes de acceso a la información.</w:t>
      </w:r>
      <w:r w:rsidRPr="00BE3BD1">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w:t>
      </w:r>
      <w:r w:rsidRPr="00BE3BD1">
        <w:rPr>
          <w:rFonts w:ascii="Palatino Linotype" w:eastAsia="Palatino Linotype" w:hAnsi="Palatino Linotype" w:cs="Palatino Linotype"/>
          <w:i/>
          <w:sz w:val="22"/>
          <w:szCs w:val="22"/>
        </w:rPr>
        <w:lastRenderedPageBreak/>
        <w:t>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(Sic)</w:t>
      </w:r>
    </w:p>
    <w:p w14:paraId="7A7EC4A5" w14:textId="77777777" w:rsidR="00BB1403" w:rsidRPr="00BE3BD1" w:rsidRDefault="003A56BC">
      <w:pPr>
        <w:spacing w:before="120" w:after="120" w:line="360" w:lineRule="auto"/>
        <w:jc w:val="both"/>
        <w:rPr>
          <w:rFonts w:ascii="Palatino Linotype" w:eastAsia="Palatino Linotype" w:hAnsi="Palatino Linotype" w:cs="Palatino Linotype"/>
        </w:rPr>
      </w:pPr>
      <w:r w:rsidRPr="00BE3BD1">
        <w:rPr>
          <w:rFonts w:ascii="Palatino Linotype" w:eastAsia="Palatino Linotype" w:hAnsi="Palatino Linotype" w:cs="Palatino Linotype"/>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6C4AF7BB" w14:textId="77777777" w:rsidR="00BB1403" w:rsidRPr="00BE3BD1" w:rsidRDefault="003A56BC">
      <w:pPr>
        <w:spacing w:before="120" w:after="120" w:line="360" w:lineRule="auto"/>
        <w:jc w:val="both"/>
        <w:rPr>
          <w:rFonts w:ascii="Palatino Linotype" w:eastAsia="Palatino Linotype" w:hAnsi="Palatino Linotype" w:cs="Palatino Linotype"/>
        </w:rPr>
      </w:pPr>
      <w:r w:rsidRPr="00BE3BD1">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130EC2A3" w14:textId="77777777" w:rsidR="00BB1403" w:rsidRPr="00BE3BD1" w:rsidRDefault="003A56BC">
      <w:pPr>
        <w:spacing w:before="120" w:after="120"/>
        <w:ind w:left="851" w:right="902"/>
        <w:jc w:val="both"/>
        <w:rPr>
          <w:rFonts w:ascii="Palatino Linotype" w:eastAsia="Palatino Linotype" w:hAnsi="Palatino Linotype" w:cs="Palatino Linotype"/>
          <w:i/>
          <w:sz w:val="22"/>
          <w:szCs w:val="22"/>
        </w:rPr>
      </w:pPr>
      <w:r w:rsidRPr="00BE3BD1">
        <w:rPr>
          <w:rFonts w:ascii="Palatino Linotype" w:eastAsia="Palatino Linotype" w:hAnsi="Palatino Linotype" w:cs="Palatino Linotype"/>
          <w:i/>
          <w:sz w:val="22"/>
          <w:szCs w:val="22"/>
        </w:rPr>
        <w:t>“</w:t>
      </w:r>
      <w:r w:rsidRPr="00BE3BD1">
        <w:rPr>
          <w:rFonts w:ascii="Palatino Linotype" w:eastAsia="Palatino Linotype" w:hAnsi="Palatino Linotype" w:cs="Palatino Linotype"/>
          <w:b/>
          <w:i/>
          <w:sz w:val="22"/>
          <w:szCs w:val="22"/>
        </w:rPr>
        <w:t xml:space="preserve">Artículo 3. </w:t>
      </w:r>
      <w:r w:rsidRPr="00BE3BD1">
        <w:rPr>
          <w:rFonts w:ascii="Palatino Linotype" w:eastAsia="Palatino Linotype" w:hAnsi="Palatino Linotype" w:cs="Palatino Linotype"/>
          <w:i/>
          <w:sz w:val="22"/>
          <w:szCs w:val="22"/>
        </w:rPr>
        <w:t>Para los efectos de la presente Ley se entenderá por:</w:t>
      </w:r>
    </w:p>
    <w:p w14:paraId="384DAAE0" w14:textId="77777777" w:rsidR="00BB1403" w:rsidRPr="00BE3BD1" w:rsidRDefault="003A56BC">
      <w:pPr>
        <w:spacing w:before="120" w:after="120"/>
        <w:ind w:left="1134" w:right="902"/>
        <w:jc w:val="both"/>
        <w:rPr>
          <w:rFonts w:ascii="Palatino Linotype" w:eastAsia="Palatino Linotype" w:hAnsi="Palatino Linotype" w:cs="Palatino Linotype"/>
          <w:i/>
          <w:sz w:val="22"/>
          <w:szCs w:val="22"/>
        </w:rPr>
      </w:pPr>
      <w:r w:rsidRPr="00BE3BD1">
        <w:rPr>
          <w:rFonts w:ascii="Palatino Linotype" w:eastAsia="Palatino Linotype" w:hAnsi="Palatino Linotype" w:cs="Palatino Linotype"/>
          <w:i/>
          <w:sz w:val="22"/>
          <w:szCs w:val="22"/>
        </w:rPr>
        <w:t>…</w:t>
      </w:r>
    </w:p>
    <w:p w14:paraId="16A12E0B" w14:textId="77777777" w:rsidR="00BB1403" w:rsidRPr="00BE3BD1" w:rsidRDefault="003A56BC">
      <w:pPr>
        <w:spacing w:before="120" w:after="120"/>
        <w:ind w:left="1134" w:right="902"/>
        <w:jc w:val="both"/>
        <w:rPr>
          <w:rFonts w:ascii="Palatino Linotype" w:eastAsia="Palatino Linotype" w:hAnsi="Palatino Linotype" w:cs="Palatino Linotype"/>
          <w:i/>
          <w:sz w:val="22"/>
          <w:szCs w:val="22"/>
        </w:rPr>
      </w:pPr>
      <w:r w:rsidRPr="00BE3BD1">
        <w:rPr>
          <w:rFonts w:ascii="Palatino Linotype" w:eastAsia="Palatino Linotype" w:hAnsi="Palatino Linotype" w:cs="Palatino Linotype"/>
          <w:b/>
          <w:i/>
          <w:sz w:val="22"/>
          <w:szCs w:val="22"/>
        </w:rPr>
        <w:t>XI. Documento:</w:t>
      </w:r>
      <w:r w:rsidRPr="00BE3BD1">
        <w:rPr>
          <w:rFonts w:ascii="Palatino Linotype" w:eastAsia="Palatino Linotype" w:hAnsi="Palatino Linotype" w:cs="Palatino Linotype"/>
          <w:i/>
          <w:sz w:val="22"/>
          <w:szCs w:val="22"/>
        </w:rPr>
        <w:t xml:space="preserve"> Los expedientes, reportes, estudios, actas</w:t>
      </w:r>
      <w:r w:rsidRPr="00BE3BD1">
        <w:rPr>
          <w:rFonts w:ascii="Palatino Linotype" w:eastAsia="Palatino Linotype" w:hAnsi="Palatino Linotype" w:cs="Palatino Linotype"/>
          <w:b/>
          <w:i/>
          <w:sz w:val="22"/>
          <w:szCs w:val="22"/>
        </w:rPr>
        <w:t>,</w:t>
      </w:r>
      <w:r w:rsidRPr="00BE3BD1">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w:t>
      </w:r>
      <w:r w:rsidRPr="00BE3BD1">
        <w:rPr>
          <w:rFonts w:ascii="Palatino Linotype" w:eastAsia="Palatino Linotype" w:hAnsi="Palatino Linotype" w:cs="Palatino Linotype"/>
          <w:i/>
          <w:sz w:val="22"/>
          <w:szCs w:val="22"/>
        </w:rPr>
        <w:lastRenderedPageBreak/>
        <w:t xml:space="preserve">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4070073B" w14:textId="77777777" w:rsidR="00BB1403" w:rsidRPr="00BE3BD1" w:rsidRDefault="003A56BC">
      <w:pPr>
        <w:spacing w:before="240" w:after="240" w:line="360" w:lineRule="auto"/>
        <w:jc w:val="both"/>
        <w:rPr>
          <w:rFonts w:ascii="Palatino Linotype" w:eastAsia="Palatino Linotype" w:hAnsi="Palatino Linotype" w:cs="Palatino Linotype"/>
        </w:rPr>
      </w:pPr>
      <w:r w:rsidRPr="00BE3BD1">
        <w:rPr>
          <w:rFonts w:ascii="Palatino Linotype" w:eastAsia="Palatino Linotype" w:hAnsi="Palatino Linotype" w:cs="Palatino Linotype"/>
        </w:rPr>
        <w:t>Es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24D234DB" w14:textId="77777777" w:rsidR="00BB1403" w:rsidRPr="00BE3BD1" w:rsidRDefault="003A56BC">
      <w:pPr>
        <w:spacing w:before="120" w:after="120"/>
        <w:ind w:left="851" w:right="902"/>
        <w:jc w:val="both"/>
        <w:rPr>
          <w:rFonts w:ascii="Palatino Linotype" w:eastAsia="Palatino Linotype" w:hAnsi="Palatino Linotype" w:cs="Palatino Linotype"/>
          <w:i/>
          <w:sz w:val="22"/>
          <w:szCs w:val="22"/>
        </w:rPr>
      </w:pPr>
      <w:r w:rsidRPr="00BE3BD1">
        <w:rPr>
          <w:rFonts w:ascii="Palatino Linotype" w:eastAsia="Palatino Linotype" w:hAnsi="Palatino Linotype" w:cs="Palatino Linotype"/>
          <w:b/>
          <w:sz w:val="22"/>
          <w:szCs w:val="22"/>
        </w:rPr>
        <w:t>“</w:t>
      </w:r>
      <w:r w:rsidRPr="00BE3BD1">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BE3BD1">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F4287E8" w14:textId="77777777" w:rsidR="00BB1403" w:rsidRPr="00BE3BD1" w:rsidRDefault="003A56BC">
      <w:pPr>
        <w:spacing w:before="120" w:after="120"/>
        <w:ind w:left="851" w:right="902"/>
        <w:jc w:val="both"/>
        <w:rPr>
          <w:rFonts w:ascii="Palatino Linotype" w:eastAsia="Palatino Linotype" w:hAnsi="Palatino Linotype" w:cs="Palatino Linotype"/>
          <w:i/>
          <w:sz w:val="22"/>
          <w:szCs w:val="22"/>
        </w:rPr>
      </w:pPr>
      <w:r w:rsidRPr="00BE3BD1">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26649AA9" w14:textId="77777777" w:rsidR="00BB1403" w:rsidRPr="00BE3BD1" w:rsidRDefault="003A56BC">
      <w:pPr>
        <w:spacing w:before="120" w:after="120"/>
        <w:ind w:left="1134" w:right="902"/>
        <w:jc w:val="both"/>
        <w:rPr>
          <w:rFonts w:ascii="Palatino Linotype" w:eastAsia="Palatino Linotype" w:hAnsi="Palatino Linotype" w:cs="Palatino Linotype"/>
          <w:i/>
          <w:sz w:val="22"/>
          <w:szCs w:val="22"/>
        </w:rPr>
      </w:pPr>
      <w:r w:rsidRPr="00BE3BD1">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7C8E14E4" w14:textId="77777777" w:rsidR="00BB1403" w:rsidRPr="00BE3BD1" w:rsidRDefault="003A56BC">
      <w:pPr>
        <w:spacing w:before="120" w:after="120"/>
        <w:ind w:left="1134" w:right="902"/>
        <w:jc w:val="both"/>
        <w:rPr>
          <w:rFonts w:ascii="Palatino Linotype" w:eastAsia="Palatino Linotype" w:hAnsi="Palatino Linotype" w:cs="Palatino Linotype"/>
          <w:i/>
          <w:sz w:val="22"/>
          <w:szCs w:val="22"/>
        </w:rPr>
      </w:pPr>
      <w:r w:rsidRPr="00BE3BD1">
        <w:rPr>
          <w:rFonts w:ascii="Palatino Linotype" w:eastAsia="Palatino Linotype" w:hAnsi="Palatino Linotype" w:cs="Palatino Linotype"/>
          <w:i/>
          <w:sz w:val="22"/>
          <w:szCs w:val="22"/>
        </w:rPr>
        <w:t>2) Que se trate de información registrada en cualquier soporte documental, que en ejercicio de las atribuciones conferidas, sea administrada por los Sujetos Obligados, y</w:t>
      </w:r>
    </w:p>
    <w:p w14:paraId="71C46450" w14:textId="77777777" w:rsidR="00BB1403" w:rsidRPr="00BE3BD1" w:rsidRDefault="003A56BC">
      <w:pPr>
        <w:spacing w:before="120" w:after="120"/>
        <w:ind w:left="1134" w:right="902"/>
        <w:jc w:val="both"/>
        <w:rPr>
          <w:rFonts w:ascii="Palatino Linotype" w:eastAsia="Palatino Linotype" w:hAnsi="Palatino Linotype" w:cs="Palatino Linotype"/>
          <w:i/>
          <w:sz w:val="22"/>
          <w:szCs w:val="22"/>
        </w:rPr>
      </w:pPr>
      <w:r w:rsidRPr="00BE3BD1">
        <w:rPr>
          <w:rFonts w:ascii="Palatino Linotype" w:eastAsia="Palatino Linotype" w:hAnsi="Palatino Linotype" w:cs="Palatino Linotype"/>
          <w:i/>
          <w:sz w:val="22"/>
          <w:szCs w:val="22"/>
        </w:rPr>
        <w:t>3) Que se trate de información registrada en cualquier soporte documental, que en ejercicio de las atribuciones conferidas, se encuentre en posesión de los Sujetos Obligados.”</w:t>
      </w:r>
    </w:p>
    <w:p w14:paraId="16494A13" w14:textId="77777777" w:rsidR="00BB1403" w:rsidRPr="00BE3BD1" w:rsidRDefault="003A56BC">
      <w:pPr>
        <w:spacing w:before="240" w:after="240" w:line="360" w:lineRule="auto"/>
        <w:ind w:right="51"/>
        <w:jc w:val="both"/>
        <w:rPr>
          <w:rFonts w:ascii="Palatino Linotype" w:eastAsia="Palatino Linotype" w:hAnsi="Palatino Linotype" w:cs="Palatino Linotype"/>
        </w:rPr>
      </w:pPr>
      <w:r w:rsidRPr="00BE3BD1">
        <w:rPr>
          <w:rFonts w:ascii="Palatino Linotype" w:eastAsia="Palatino Linotype" w:hAnsi="Palatino Linotype" w:cs="Palatino Linotype"/>
        </w:rPr>
        <w:t xml:space="preserve">Lo anterior, siempre y cuando no se trate de información clasificada como reservada o confidencial, cuya difusión pueda lesionar el interés jurídicamente protegido por </w:t>
      </w:r>
      <w:r w:rsidRPr="00BE3BD1">
        <w:rPr>
          <w:rFonts w:ascii="Palatino Linotype" w:eastAsia="Palatino Linotype" w:hAnsi="Palatino Linotype" w:cs="Palatino Linotype"/>
        </w:rPr>
        <w:lastRenderedPageBreak/>
        <w:t>la Ley, producir un daño mayor que el interés de conocerse, o bien, generar un daño en los derechos de las personas,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14AB7BDE" w14:textId="77777777" w:rsidR="00BB1403" w:rsidRPr="00BE3BD1" w:rsidRDefault="003A56BC">
      <w:pPr>
        <w:spacing w:before="240" w:after="240" w:line="360" w:lineRule="auto"/>
        <w:jc w:val="both"/>
        <w:rPr>
          <w:rFonts w:ascii="Palatino Linotype" w:eastAsia="Palatino Linotype" w:hAnsi="Palatino Linotype" w:cs="Palatino Linotype"/>
        </w:rPr>
      </w:pPr>
      <w:r w:rsidRPr="00BE3BD1">
        <w:rPr>
          <w:rFonts w:ascii="Palatino Linotype" w:eastAsia="Palatino Linotype" w:hAnsi="Palatino Linotype" w:cs="Palatino Linotype"/>
        </w:rPr>
        <w:t>En el mismo tenor, los artículos 6, apartado A, fracción I, de la Constitución Política de los Estados Unidos Mexicanos y 5, fracción I, de la Constitución Política del Estado Libre y Soberano de México, establecen que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las razones previstas en la Constitución Federal por interés público y seguridad, en los términos que fijen las leyes de la materia.</w:t>
      </w:r>
    </w:p>
    <w:p w14:paraId="11BBB9A2" w14:textId="77777777" w:rsidR="00BB1403" w:rsidRPr="00BE3BD1" w:rsidRDefault="003A56BC">
      <w:pPr>
        <w:spacing w:before="240" w:after="240" w:line="360" w:lineRule="auto"/>
        <w:ind w:right="51"/>
        <w:jc w:val="both"/>
        <w:rPr>
          <w:rFonts w:ascii="Palatino Linotype" w:eastAsia="Palatino Linotype" w:hAnsi="Palatino Linotype" w:cs="Palatino Linotype"/>
        </w:rPr>
      </w:pPr>
      <w:r w:rsidRPr="00BE3BD1">
        <w:rPr>
          <w:rFonts w:ascii="Palatino Linotype" w:eastAsia="Palatino Linotype" w:hAnsi="Palatino Linotype" w:cs="Palatino Linotype"/>
        </w:rPr>
        <w:t xml:space="preserve">Ahora bien, del análisis de la solicitud de información, motivo del recurso de revisión que ahora se resuelve, se advierte que la parte </w:t>
      </w:r>
      <w:r w:rsidRPr="00BE3BD1">
        <w:rPr>
          <w:rFonts w:ascii="Palatino Linotype" w:eastAsia="Palatino Linotype" w:hAnsi="Palatino Linotype" w:cs="Palatino Linotype"/>
          <w:b/>
        </w:rPr>
        <w:t>Recurrente</w:t>
      </w:r>
      <w:r w:rsidRPr="00BE3BD1">
        <w:rPr>
          <w:rFonts w:ascii="Palatino Linotype" w:eastAsia="Palatino Linotype" w:hAnsi="Palatino Linotype" w:cs="Palatino Linotype"/>
        </w:rPr>
        <w:t xml:space="preserve"> requirió al </w:t>
      </w:r>
      <w:r w:rsidRPr="00BE3BD1">
        <w:rPr>
          <w:rFonts w:ascii="Palatino Linotype" w:eastAsia="Palatino Linotype" w:hAnsi="Palatino Linotype" w:cs="Palatino Linotype"/>
          <w:b/>
        </w:rPr>
        <w:t xml:space="preserve">Sujeto Obligado </w:t>
      </w:r>
      <w:r w:rsidRPr="00BE3BD1">
        <w:rPr>
          <w:rFonts w:ascii="Palatino Linotype" w:eastAsia="Palatino Linotype" w:hAnsi="Palatino Linotype" w:cs="Palatino Linotype"/>
        </w:rPr>
        <w:t>le proporcione, información consistente en lo siguiente:</w:t>
      </w:r>
    </w:p>
    <w:p w14:paraId="6EBE035A" w14:textId="77777777" w:rsidR="00101231" w:rsidRPr="00BE3BD1" w:rsidRDefault="00101231" w:rsidP="00101231">
      <w:pPr>
        <w:spacing w:before="240" w:after="240" w:line="360" w:lineRule="auto"/>
        <w:ind w:left="426" w:right="51"/>
        <w:jc w:val="both"/>
        <w:rPr>
          <w:rFonts w:ascii="Palatino Linotype" w:eastAsia="Palatino Linotype" w:hAnsi="Palatino Linotype" w:cs="Palatino Linotype"/>
        </w:rPr>
      </w:pPr>
      <w:r w:rsidRPr="00BE3BD1">
        <w:rPr>
          <w:rFonts w:ascii="Palatino Linotype" w:eastAsia="Palatino Linotype" w:hAnsi="Palatino Linotype" w:cs="Palatino Linotype"/>
        </w:rPr>
        <w:t>1. C</w:t>
      </w:r>
      <w:r w:rsidR="008E5955" w:rsidRPr="00BE3BD1">
        <w:rPr>
          <w:rFonts w:ascii="Palatino Linotype" w:eastAsia="Palatino Linotype" w:hAnsi="Palatino Linotype" w:cs="Palatino Linotype"/>
        </w:rPr>
        <w:t>arpeta de evidencias de cumplimiento de la Recomendación 04/2024</w:t>
      </w:r>
      <w:r w:rsidRPr="00BE3BD1">
        <w:rPr>
          <w:rFonts w:ascii="Palatino Linotype" w:eastAsia="Palatino Linotype" w:hAnsi="Palatino Linotype" w:cs="Palatino Linotype"/>
        </w:rPr>
        <w:t>.</w:t>
      </w:r>
    </w:p>
    <w:p w14:paraId="274BE9EA" w14:textId="76933066" w:rsidR="008E5955" w:rsidRPr="00BE3BD1" w:rsidRDefault="00101231" w:rsidP="00101231">
      <w:pPr>
        <w:spacing w:before="240" w:after="240" w:line="360" w:lineRule="auto"/>
        <w:ind w:left="426" w:right="51"/>
        <w:jc w:val="both"/>
        <w:rPr>
          <w:rFonts w:ascii="Palatino Linotype" w:eastAsia="Palatino Linotype" w:hAnsi="Palatino Linotype" w:cs="Palatino Linotype"/>
        </w:rPr>
      </w:pPr>
      <w:r w:rsidRPr="00BE3BD1">
        <w:rPr>
          <w:rFonts w:ascii="Palatino Linotype" w:eastAsia="Palatino Linotype" w:hAnsi="Palatino Linotype" w:cs="Palatino Linotype"/>
        </w:rPr>
        <w:t xml:space="preserve">2. </w:t>
      </w:r>
      <w:r w:rsidR="008E5955" w:rsidRPr="00BE3BD1">
        <w:rPr>
          <w:rFonts w:ascii="Palatino Linotype" w:eastAsia="Palatino Linotype" w:hAnsi="Palatino Linotype" w:cs="Palatino Linotype"/>
        </w:rPr>
        <w:t xml:space="preserve">Convenio de colaboración firmado con Derechos </w:t>
      </w:r>
      <w:r w:rsidRPr="00BE3BD1">
        <w:rPr>
          <w:rFonts w:ascii="Palatino Linotype" w:eastAsia="Palatino Linotype" w:hAnsi="Palatino Linotype" w:cs="Palatino Linotype"/>
        </w:rPr>
        <w:t>H</w:t>
      </w:r>
      <w:r w:rsidR="008E5955" w:rsidRPr="00BE3BD1">
        <w:rPr>
          <w:rFonts w:ascii="Palatino Linotype" w:eastAsia="Palatino Linotype" w:hAnsi="Palatino Linotype" w:cs="Palatino Linotype"/>
        </w:rPr>
        <w:t>umanos</w:t>
      </w:r>
      <w:r w:rsidRPr="00BE3BD1">
        <w:rPr>
          <w:rFonts w:ascii="Palatino Linotype" w:eastAsia="Palatino Linotype" w:hAnsi="Palatino Linotype" w:cs="Palatino Linotype"/>
        </w:rPr>
        <w:t xml:space="preserve">, </w:t>
      </w:r>
      <w:r w:rsidR="008E5955" w:rsidRPr="00BE3BD1">
        <w:rPr>
          <w:rFonts w:ascii="Palatino Linotype" w:eastAsia="Palatino Linotype" w:hAnsi="Palatino Linotype" w:cs="Palatino Linotype"/>
        </w:rPr>
        <w:t>2025</w:t>
      </w:r>
    </w:p>
    <w:p w14:paraId="5E7BA01A" w14:textId="597CFB85" w:rsidR="00101231" w:rsidRPr="00BE3BD1" w:rsidRDefault="003A56BC">
      <w:pPr>
        <w:spacing w:before="240" w:after="240" w:line="360" w:lineRule="auto"/>
        <w:ind w:right="49"/>
        <w:jc w:val="both"/>
        <w:rPr>
          <w:rFonts w:ascii="Palatino Linotype" w:eastAsia="Palatino Linotype" w:hAnsi="Palatino Linotype" w:cs="Palatino Linotype"/>
        </w:rPr>
      </w:pPr>
      <w:r w:rsidRPr="00BE3BD1">
        <w:rPr>
          <w:rFonts w:ascii="Palatino Linotype" w:eastAsia="Palatino Linotype" w:hAnsi="Palatino Linotype" w:cs="Palatino Linotype"/>
        </w:rPr>
        <w:lastRenderedPageBreak/>
        <w:t xml:space="preserve">El </w:t>
      </w:r>
      <w:r w:rsidRPr="00BE3BD1">
        <w:rPr>
          <w:rFonts w:ascii="Palatino Linotype" w:eastAsia="Palatino Linotype" w:hAnsi="Palatino Linotype" w:cs="Palatino Linotype"/>
          <w:b/>
        </w:rPr>
        <w:t xml:space="preserve">Sujeto Obligado, </w:t>
      </w:r>
      <w:r w:rsidRPr="00BE3BD1">
        <w:rPr>
          <w:rFonts w:ascii="Palatino Linotype" w:eastAsia="Palatino Linotype" w:hAnsi="Palatino Linotype" w:cs="Palatino Linotype"/>
        </w:rPr>
        <w:t xml:space="preserve">por conducto de la Unidad de Transparencia hizo del conocimiento de la persona solicitante que </w:t>
      </w:r>
      <w:r w:rsidR="00101231" w:rsidRPr="00BE3BD1">
        <w:rPr>
          <w:rFonts w:ascii="Palatino Linotype" w:eastAsia="Palatino Linotype" w:hAnsi="Palatino Linotype" w:cs="Palatino Linotype"/>
        </w:rPr>
        <w:t>la servidora pública habilitada de la Defensoría Municipal de los Derechos Humanos, informó que el 22 de enero de 2025, el Presidente Municipal Constitucional de Toluca entregó a la Comisión de Derechos Humanos del Estado de México, la carpeta de evidencias del cumplimiento de la Recomendación 04/2024.</w:t>
      </w:r>
    </w:p>
    <w:p w14:paraId="3E5C717C" w14:textId="4265E674" w:rsidR="00101231" w:rsidRPr="00BE3BD1" w:rsidRDefault="003A56BC">
      <w:pPr>
        <w:spacing w:before="240" w:after="240" w:line="360" w:lineRule="auto"/>
        <w:jc w:val="both"/>
        <w:rPr>
          <w:rFonts w:ascii="Palatino Linotype" w:eastAsia="Palatino Linotype" w:hAnsi="Palatino Linotype" w:cs="Palatino Linotype"/>
        </w:rPr>
      </w:pPr>
      <w:r w:rsidRPr="00BE3BD1">
        <w:rPr>
          <w:rFonts w:ascii="Palatino Linotype" w:eastAsia="Palatino Linotype" w:hAnsi="Palatino Linotype" w:cs="Palatino Linotype"/>
        </w:rPr>
        <w:t xml:space="preserve">Al no estar conforme con los términos de la respuesta emitida, la parte </w:t>
      </w:r>
      <w:r w:rsidRPr="00BE3BD1">
        <w:rPr>
          <w:rFonts w:ascii="Palatino Linotype" w:eastAsia="Palatino Linotype" w:hAnsi="Palatino Linotype" w:cs="Palatino Linotype"/>
          <w:b/>
        </w:rPr>
        <w:t xml:space="preserve">Recurrente </w:t>
      </w:r>
      <w:r w:rsidRPr="00BE3BD1">
        <w:rPr>
          <w:rFonts w:ascii="Palatino Linotype" w:eastAsia="Palatino Linotype" w:hAnsi="Palatino Linotype" w:cs="Palatino Linotype"/>
        </w:rPr>
        <w:t xml:space="preserve">interpuso el recurso de revisión que nos ocupa, donde señaló como motivo de inconformidad, </w:t>
      </w:r>
      <w:r w:rsidR="00101231" w:rsidRPr="00BE3BD1">
        <w:rPr>
          <w:rFonts w:ascii="Palatino Linotype" w:eastAsia="Palatino Linotype" w:hAnsi="Palatino Linotype" w:cs="Palatino Linotype"/>
        </w:rPr>
        <w:t xml:space="preserve">que el </w:t>
      </w:r>
      <w:r w:rsidR="00101231" w:rsidRPr="00BE3BD1">
        <w:rPr>
          <w:rFonts w:ascii="Palatino Linotype" w:eastAsia="Palatino Linotype" w:hAnsi="Palatino Linotype" w:cs="Palatino Linotype"/>
          <w:b/>
          <w:bCs/>
        </w:rPr>
        <w:t>Sujeto Obligado</w:t>
      </w:r>
      <w:r w:rsidR="00101231" w:rsidRPr="00BE3BD1">
        <w:rPr>
          <w:rFonts w:ascii="Palatino Linotype" w:eastAsia="Palatino Linotype" w:hAnsi="Palatino Linotype" w:cs="Palatino Linotype"/>
        </w:rPr>
        <w:t xml:space="preserve"> señaló que entregaría la carpeta, sin embargo, esta no fue anexada a la respuesta, razón por la cual solicita le sea entregada.</w:t>
      </w:r>
    </w:p>
    <w:p w14:paraId="5BB6AD0E" w14:textId="515590B2" w:rsidR="00344E8F" w:rsidRPr="00BE3BD1" w:rsidRDefault="00344E8F" w:rsidP="00344E8F">
      <w:pPr>
        <w:spacing w:before="240" w:after="240" w:line="360" w:lineRule="auto"/>
        <w:jc w:val="both"/>
        <w:rPr>
          <w:rFonts w:ascii="Palatino Linotype" w:eastAsia="Palatino Linotype" w:hAnsi="Palatino Linotype" w:cs="Palatino Linotype"/>
        </w:rPr>
      </w:pPr>
      <w:r w:rsidRPr="00BE3BD1">
        <w:rPr>
          <w:rFonts w:ascii="Palatino Linotype" w:eastAsia="Palatino Linotype" w:hAnsi="Palatino Linotype" w:cs="Palatino Linotype"/>
        </w:rPr>
        <w:t>En este sentido, no pasa inadvertido para este Organismo Garante que los motivos de inconformidad aducidos, se refieren específicamente a la carpeta de evidencias de cumplimiento de la Recomendación 04/2024.</w:t>
      </w:r>
    </w:p>
    <w:p w14:paraId="4046A01B" w14:textId="42A8DFD6" w:rsidR="00344E8F" w:rsidRPr="00BE3BD1" w:rsidRDefault="00344E8F" w:rsidP="00344E8F">
      <w:pPr>
        <w:spacing w:before="240" w:after="240" w:line="360" w:lineRule="auto"/>
        <w:jc w:val="both"/>
        <w:rPr>
          <w:rFonts w:ascii="Palatino Linotype" w:eastAsia="Palatino Linotype" w:hAnsi="Palatino Linotype" w:cs="Palatino Linotype"/>
        </w:rPr>
      </w:pPr>
      <w:r w:rsidRPr="00BE3BD1">
        <w:rPr>
          <w:rFonts w:ascii="Palatino Linotype" w:eastAsia="Palatino Linotype" w:hAnsi="Palatino Linotype" w:cs="Palatino Linotype"/>
        </w:rPr>
        <w:t xml:space="preserve"> En este orden de ideas, al no haber impugnado la respuesta del </w:t>
      </w:r>
      <w:r w:rsidRPr="00BE3BD1">
        <w:rPr>
          <w:rFonts w:ascii="Palatino Linotype" w:eastAsia="Palatino Linotype" w:hAnsi="Palatino Linotype" w:cs="Palatino Linotype"/>
          <w:b/>
        </w:rPr>
        <w:t xml:space="preserve">Sujeto Obligado, </w:t>
      </w:r>
      <w:r w:rsidRPr="00BE3BD1">
        <w:rPr>
          <w:rFonts w:ascii="Palatino Linotype" w:eastAsia="Palatino Linotype" w:hAnsi="Palatino Linotype" w:cs="Palatino Linotype"/>
        </w:rPr>
        <w:t xml:space="preserve">por lo que se refiere al Convenio de colaboración firmado con Derechos </w:t>
      </w:r>
      <w:r w:rsidR="00A04930" w:rsidRPr="00BE3BD1">
        <w:rPr>
          <w:rFonts w:ascii="Palatino Linotype" w:eastAsia="Palatino Linotype" w:hAnsi="Palatino Linotype" w:cs="Palatino Linotype"/>
        </w:rPr>
        <w:t>H</w:t>
      </w:r>
      <w:r w:rsidRPr="00BE3BD1">
        <w:rPr>
          <w:rFonts w:ascii="Palatino Linotype" w:eastAsia="Palatino Linotype" w:hAnsi="Palatino Linotype" w:cs="Palatino Linotype"/>
        </w:rPr>
        <w:t xml:space="preserve">umanos </w:t>
      </w:r>
      <w:r w:rsidR="00A04930" w:rsidRPr="00BE3BD1">
        <w:rPr>
          <w:rFonts w:ascii="Palatino Linotype" w:eastAsia="Palatino Linotype" w:hAnsi="Palatino Linotype" w:cs="Palatino Linotype"/>
        </w:rPr>
        <w:t xml:space="preserve">para el ejercicio </w:t>
      </w:r>
      <w:r w:rsidRPr="00BE3BD1">
        <w:rPr>
          <w:rFonts w:ascii="Palatino Linotype" w:eastAsia="Palatino Linotype" w:hAnsi="Palatino Linotype" w:cs="Palatino Linotype"/>
        </w:rPr>
        <w:t>2025</w:t>
      </w:r>
      <w:r w:rsidR="00A04930" w:rsidRPr="00BE3BD1">
        <w:rPr>
          <w:rFonts w:ascii="Palatino Linotype" w:eastAsia="Palatino Linotype" w:hAnsi="Palatino Linotype" w:cs="Palatino Linotype"/>
        </w:rPr>
        <w:t xml:space="preserve">, </w:t>
      </w:r>
      <w:r w:rsidRPr="00BE3BD1">
        <w:rPr>
          <w:rFonts w:ascii="Palatino Linotype" w:eastAsia="Palatino Linotype" w:hAnsi="Palatino Linotype" w:cs="Palatino Linotype"/>
        </w:rPr>
        <w:t xml:space="preserve">debe declararse consentida por lo que respecta a dicho punto, toda vez que, al no haber realizado manifestaciones de inconformidad al respecto, no pueden producirse efectos jurídicos tendentes a revocar, confirmar o modificar el acto reclamado, ya que, en el caso concreto se infiere que la información proporcionada por el </w:t>
      </w:r>
      <w:r w:rsidRPr="00BE3BD1">
        <w:rPr>
          <w:rFonts w:ascii="Palatino Linotype" w:eastAsia="Palatino Linotype" w:hAnsi="Palatino Linotype" w:cs="Palatino Linotype"/>
          <w:b/>
        </w:rPr>
        <w:t>Sujeto Obligado</w:t>
      </w:r>
      <w:r w:rsidRPr="00BE3BD1">
        <w:rPr>
          <w:rFonts w:ascii="Palatino Linotype" w:eastAsia="Palatino Linotype" w:hAnsi="Palatino Linotype" w:cs="Palatino Linotype"/>
        </w:rPr>
        <w:t>, satisface la solicitud presentada, respecto de los requerimientos que no fueron combatidos.</w:t>
      </w:r>
    </w:p>
    <w:p w14:paraId="7078F90F" w14:textId="77777777" w:rsidR="00344E8F" w:rsidRPr="00BE3BD1" w:rsidRDefault="00344E8F" w:rsidP="00344E8F">
      <w:pPr>
        <w:spacing w:before="240" w:after="240" w:line="360" w:lineRule="auto"/>
        <w:jc w:val="both"/>
        <w:rPr>
          <w:rFonts w:ascii="Palatino Linotype" w:eastAsia="Palatino Linotype" w:hAnsi="Palatino Linotype" w:cs="Palatino Linotype"/>
        </w:rPr>
      </w:pPr>
      <w:r w:rsidRPr="00BE3BD1">
        <w:rPr>
          <w:rFonts w:ascii="Palatino Linotype" w:eastAsia="Palatino Linotype" w:hAnsi="Palatino Linotype" w:cs="Palatino Linotype"/>
        </w:rPr>
        <w:lastRenderedPageBreak/>
        <w:t xml:space="preserve">Lo anterior es así, debido a que cuando la parte </w:t>
      </w:r>
      <w:r w:rsidRPr="00BE3BD1">
        <w:rPr>
          <w:rFonts w:ascii="Palatino Linotype" w:eastAsia="Palatino Linotype" w:hAnsi="Palatino Linotype" w:cs="Palatino Linotype"/>
          <w:b/>
        </w:rPr>
        <w:t>Recurrente</w:t>
      </w:r>
      <w:r w:rsidRPr="00BE3BD1">
        <w:rPr>
          <w:rFonts w:ascii="Palatino Linotype" w:eastAsia="Palatino Linotype" w:hAnsi="Palatino Linotype" w:cs="Palatino Linotype"/>
        </w:rPr>
        <w:t xml:space="preserve"> impugna la respuesta del </w:t>
      </w:r>
      <w:r w:rsidRPr="00BE3BD1">
        <w:rPr>
          <w:rFonts w:ascii="Palatino Linotype" w:eastAsia="Palatino Linotype" w:hAnsi="Palatino Linotype" w:cs="Palatino Linotype"/>
          <w:b/>
        </w:rPr>
        <w:t>Sujeto Obligado</w:t>
      </w:r>
      <w:r w:rsidRPr="00BE3BD1">
        <w:rPr>
          <w:rFonts w:ascii="Palatino Linotype" w:eastAsia="Palatino Linotype" w:hAnsi="Palatino Linotype" w:cs="Palatino Linotype"/>
        </w:rPr>
        <w:t>, y éste no expresa Razón o Motivo de Inconformidad en contra de todos los rubros solicitados, dichos rubros deben declararse atendidos, pues se entiende que la parte Recurrente ésta conforme con la información entregada al no contravenir la misma.</w:t>
      </w:r>
    </w:p>
    <w:p w14:paraId="6BF798B3" w14:textId="77777777" w:rsidR="00344E8F" w:rsidRPr="00BE3BD1" w:rsidRDefault="00344E8F" w:rsidP="00344E8F">
      <w:pPr>
        <w:spacing w:before="240" w:after="240" w:line="360" w:lineRule="auto"/>
        <w:jc w:val="both"/>
        <w:rPr>
          <w:rFonts w:ascii="Palatino Linotype" w:eastAsia="Palatino Linotype" w:hAnsi="Palatino Linotype" w:cs="Palatino Linotype"/>
        </w:rPr>
      </w:pPr>
      <w:r w:rsidRPr="00BE3BD1">
        <w:rPr>
          <w:rFonts w:ascii="Palatino Linotype" w:eastAsia="Palatino Linotype" w:hAnsi="Palatino Linotype" w:cs="Palatino Linotype"/>
        </w:rPr>
        <w:t>Sirve de Apoyo a lo anterior, por analogía la Tesis Jurisprudencial Número 3ª./J.7/91, Publicada en el Semanario Judicial de la Federación y su Gaceta bajo el número de registro 174,177, que establece lo siguiente:</w:t>
      </w:r>
    </w:p>
    <w:p w14:paraId="14AA0CBB" w14:textId="77777777" w:rsidR="00344E8F" w:rsidRPr="00BE3BD1" w:rsidRDefault="00344E8F" w:rsidP="00A04930">
      <w:pPr>
        <w:spacing w:before="120" w:after="120"/>
        <w:ind w:left="851" w:right="900"/>
        <w:jc w:val="both"/>
        <w:rPr>
          <w:rFonts w:ascii="Palatino Linotype" w:eastAsia="Palatino Linotype" w:hAnsi="Palatino Linotype" w:cs="Palatino Linotype"/>
          <w:i/>
          <w:sz w:val="22"/>
          <w:szCs w:val="22"/>
        </w:rPr>
      </w:pPr>
      <w:r w:rsidRPr="00BE3BD1">
        <w:rPr>
          <w:rFonts w:ascii="Palatino Linotype" w:eastAsia="Palatino Linotype" w:hAnsi="Palatino Linotype" w:cs="Palatino Linotype"/>
          <w:b/>
          <w:i/>
          <w:sz w:val="22"/>
          <w:szCs w:val="22"/>
        </w:rPr>
        <w:t xml:space="preserve">“REVISIÓN EN AMPARO. LOS RESOLUTIVOS NO COMBATIDOS DEBEN DECLARARSE FIRMES. </w:t>
      </w:r>
      <w:r w:rsidRPr="00BE3BD1">
        <w:rPr>
          <w:rFonts w:ascii="Palatino Linotype" w:eastAsia="Palatino Linotype" w:hAnsi="Palatino Linotype" w:cs="Palatino Linotype"/>
          <w:i/>
          <w:sz w:val="22"/>
          <w:szCs w:val="22"/>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5AB72598" w14:textId="77777777" w:rsidR="00344E8F" w:rsidRPr="00BE3BD1" w:rsidRDefault="00344E8F" w:rsidP="00344E8F">
      <w:pPr>
        <w:spacing w:before="240" w:after="240" w:line="360" w:lineRule="auto"/>
        <w:jc w:val="both"/>
        <w:rPr>
          <w:rFonts w:ascii="Palatino Linotype" w:eastAsia="Palatino Linotype" w:hAnsi="Palatino Linotype" w:cs="Palatino Linotype"/>
        </w:rPr>
      </w:pPr>
      <w:bookmarkStart w:id="9" w:name="_Hlk96451588"/>
      <w:r w:rsidRPr="00BE3BD1">
        <w:rPr>
          <w:rFonts w:ascii="Palatino Linotype" w:eastAsia="Palatino Linotype" w:hAnsi="Palatino Linotype" w:cs="Palatino Linotype"/>
        </w:rPr>
        <w:t>Consecuentemente, se insiste, ante la falta de impugnación eficaz, la respuesta entregada debe declararse consentida por persona solicitante.</w:t>
      </w:r>
    </w:p>
    <w:bookmarkEnd w:id="9"/>
    <w:p w14:paraId="3F2A12E2" w14:textId="77777777" w:rsidR="00344E8F" w:rsidRPr="00BE3BD1" w:rsidRDefault="00344E8F" w:rsidP="00344E8F">
      <w:pPr>
        <w:spacing w:before="240" w:after="240" w:line="360" w:lineRule="auto"/>
        <w:jc w:val="both"/>
        <w:rPr>
          <w:rFonts w:ascii="Palatino Linotype" w:eastAsia="Palatino Linotype" w:hAnsi="Palatino Linotype" w:cs="Palatino Linotype"/>
        </w:rPr>
      </w:pPr>
      <w:r w:rsidRPr="00BE3BD1">
        <w:rPr>
          <w:rFonts w:ascii="Palatino Linotype" w:eastAsia="Palatino Linotype" w:hAnsi="Palatino Linotype" w:cs="Palatino Linotype"/>
        </w:rPr>
        <w:t xml:space="preserve">Sirve de sustento lo plasmado en el Criterio de interpretación con clave de control SO/001/2020, emitido por el Pleno del Instituto Nacional de Transparencia, Acceso a la Información, y Protección de Datos Personales, INAI, que lleva por rubro y texto, lo siguiente: </w:t>
      </w:r>
    </w:p>
    <w:p w14:paraId="4C2339B3" w14:textId="77777777" w:rsidR="00344E8F" w:rsidRPr="00BE3BD1" w:rsidRDefault="00344E8F" w:rsidP="00A04930">
      <w:pPr>
        <w:spacing w:before="240" w:after="240"/>
        <w:ind w:left="851" w:right="900"/>
        <w:jc w:val="both"/>
        <w:rPr>
          <w:rFonts w:ascii="Palatino Linotype" w:eastAsia="Palatino Linotype" w:hAnsi="Palatino Linotype" w:cs="Palatino Linotype"/>
          <w:i/>
          <w:iCs/>
          <w:sz w:val="22"/>
          <w:szCs w:val="22"/>
        </w:rPr>
      </w:pPr>
      <w:r w:rsidRPr="00BE3BD1">
        <w:rPr>
          <w:rFonts w:ascii="Palatino Linotype" w:eastAsia="Palatino Linotype" w:hAnsi="Palatino Linotype" w:cs="Palatino Linotype"/>
          <w:i/>
          <w:iCs/>
          <w:sz w:val="22"/>
          <w:szCs w:val="22"/>
        </w:rPr>
        <w:t>“</w:t>
      </w:r>
      <w:r w:rsidRPr="00BE3BD1">
        <w:rPr>
          <w:rFonts w:ascii="Palatino Linotype" w:eastAsia="Palatino Linotype" w:hAnsi="Palatino Linotype" w:cs="Palatino Linotype"/>
          <w:b/>
          <w:i/>
          <w:iCs/>
          <w:sz w:val="22"/>
          <w:szCs w:val="22"/>
        </w:rPr>
        <w:t xml:space="preserve">Actos consentidos tácitamente. Improcedencia de su análisis. </w:t>
      </w:r>
      <w:r w:rsidRPr="00BE3BD1">
        <w:rPr>
          <w:rFonts w:ascii="Palatino Linotype" w:eastAsia="Palatino Linotype" w:hAnsi="Palatino Linotype" w:cs="Palatino Linotype"/>
          <w:i/>
          <w:iCs/>
          <w:sz w:val="22"/>
          <w:szCs w:val="22"/>
        </w:rPr>
        <w:t xml:space="preserve">Si en su recurso de revisión, la persona recurrente no expresó inconformidad alguna con ciertas partes de la respuesta otorgada, se entienden tácitamente consentidas, por </w:t>
      </w:r>
      <w:r w:rsidRPr="00BE3BD1">
        <w:rPr>
          <w:rFonts w:ascii="Palatino Linotype" w:eastAsia="Palatino Linotype" w:hAnsi="Palatino Linotype" w:cs="Palatino Linotype"/>
          <w:i/>
          <w:iCs/>
          <w:sz w:val="22"/>
          <w:szCs w:val="22"/>
        </w:rPr>
        <w:lastRenderedPageBreak/>
        <w:t>ende, no deben formar parte del estudio de fondo de la resolución que emite el Instituto.”</w:t>
      </w:r>
    </w:p>
    <w:p w14:paraId="7E695A72" w14:textId="77777777" w:rsidR="00344E8F" w:rsidRPr="00BE3BD1" w:rsidRDefault="00344E8F" w:rsidP="00344E8F">
      <w:pPr>
        <w:spacing w:before="240" w:after="240" w:line="360" w:lineRule="auto"/>
        <w:jc w:val="both"/>
        <w:rPr>
          <w:rFonts w:ascii="Palatino Linotype" w:eastAsia="Palatino Linotype" w:hAnsi="Palatino Linotype" w:cs="Palatino Linotype"/>
        </w:rPr>
      </w:pPr>
      <w:r w:rsidRPr="00BE3BD1">
        <w:rPr>
          <w:rFonts w:ascii="Palatino Linotype" w:eastAsia="Palatino Linotype" w:hAnsi="Palatino Linotype" w:cs="Palatino Linotype"/>
        </w:rPr>
        <w:t>Asimismo, resulta aplicable por analogía la tesis jurisprudencial número VI.3o.C. J/60, publicada en el Semanario Judicial de la Federación y su Gaceta bajo el número de registro 176,608 que a la letra dice:</w:t>
      </w:r>
    </w:p>
    <w:p w14:paraId="2ABFC020" w14:textId="77777777" w:rsidR="00344E8F" w:rsidRPr="00BE3BD1" w:rsidRDefault="00344E8F" w:rsidP="00A04930">
      <w:pPr>
        <w:spacing w:before="120" w:after="120"/>
        <w:ind w:left="851" w:right="902"/>
        <w:jc w:val="both"/>
        <w:rPr>
          <w:rFonts w:ascii="Palatino Linotype" w:eastAsia="Palatino Linotype" w:hAnsi="Palatino Linotype" w:cs="Palatino Linotype"/>
          <w:i/>
          <w:sz w:val="22"/>
          <w:szCs w:val="22"/>
        </w:rPr>
      </w:pPr>
      <w:r w:rsidRPr="00BE3BD1">
        <w:rPr>
          <w:rFonts w:ascii="Palatino Linotype" w:eastAsia="Palatino Linotype" w:hAnsi="Palatino Linotype" w:cs="Palatino Linotype"/>
          <w:b/>
          <w:i/>
          <w:sz w:val="22"/>
          <w:szCs w:val="22"/>
        </w:rPr>
        <w:t xml:space="preserve">“ACTOS CONSENTIDOS. SON LOS QUE NO SE IMPUGNAN MEDIANTE EL RECURSO IDÓNEO. </w:t>
      </w:r>
      <w:r w:rsidRPr="00BE3BD1">
        <w:rPr>
          <w:rFonts w:ascii="Palatino Linotype" w:eastAsia="Palatino Linotype" w:hAnsi="Palatino Linotype" w:cs="Palatino Linotype"/>
          <w:i/>
          <w:sz w:val="22"/>
          <w:szCs w:val="22"/>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293BBB86" w14:textId="77777777" w:rsidR="00BB1403" w:rsidRPr="00BE3BD1" w:rsidRDefault="003A56BC">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BE3BD1">
        <w:rPr>
          <w:rFonts w:ascii="Palatino Linotype" w:eastAsia="Palatino Linotype" w:hAnsi="Palatino Linotype" w:cs="Palatino Linotype"/>
        </w:rPr>
        <w:t xml:space="preserve">Durante el periodo de manifestaciones el </w:t>
      </w:r>
      <w:r w:rsidRPr="00BE3BD1">
        <w:rPr>
          <w:rFonts w:ascii="Palatino Linotype" w:eastAsia="Palatino Linotype" w:hAnsi="Palatino Linotype" w:cs="Palatino Linotype"/>
          <w:b/>
        </w:rPr>
        <w:t xml:space="preserve">Sujeto Obligado </w:t>
      </w:r>
      <w:r w:rsidRPr="00BE3BD1">
        <w:rPr>
          <w:rFonts w:ascii="Palatino Linotype" w:eastAsia="Palatino Linotype" w:hAnsi="Palatino Linotype" w:cs="Palatino Linotype"/>
        </w:rPr>
        <w:t xml:space="preserve">ratificó en lo sustancial la respuesta emitida en primera instancia, y la parte </w:t>
      </w:r>
      <w:r w:rsidRPr="00BE3BD1">
        <w:rPr>
          <w:rFonts w:ascii="Palatino Linotype" w:eastAsia="Palatino Linotype" w:hAnsi="Palatino Linotype" w:cs="Palatino Linotype"/>
          <w:b/>
        </w:rPr>
        <w:t xml:space="preserve">Recurrente </w:t>
      </w:r>
      <w:r w:rsidRPr="00BE3BD1">
        <w:rPr>
          <w:rFonts w:ascii="Palatino Linotype" w:eastAsia="Palatino Linotype" w:hAnsi="Palatino Linotype" w:cs="Palatino Linotype"/>
        </w:rPr>
        <w:t>fue omisa en hacer valer manifestaciones o rendir alegatos que conforme a derecho resultaran procedentes, por lo tanto se tiene por precluido su derecho.</w:t>
      </w:r>
    </w:p>
    <w:p w14:paraId="7395C098" w14:textId="77777777" w:rsidR="00BB1403" w:rsidRPr="00BE3BD1" w:rsidRDefault="003A56BC">
      <w:pPr>
        <w:spacing w:before="280" w:after="280" w:line="360" w:lineRule="auto"/>
        <w:jc w:val="both"/>
        <w:rPr>
          <w:rFonts w:ascii="Palatino Linotype" w:eastAsia="Palatino Linotype" w:hAnsi="Palatino Linotype" w:cs="Palatino Linotype"/>
        </w:rPr>
      </w:pPr>
      <w:r w:rsidRPr="00BE3BD1">
        <w:rPr>
          <w:rFonts w:ascii="Palatino Linotype" w:eastAsia="Palatino Linotype" w:hAnsi="Palatino Linotype" w:cs="Palatino Linotype"/>
        </w:rPr>
        <w:t xml:space="preserve">Una vez establecidas las posturas de las partes, se procede al análisis del requerimiento de información combatido, así como la información proporcionada por el </w:t>
      </w:r>
      <w:r w:rsidRPr="00BE3BD1">
        <w:rPr>
          <w:rFonts w:ascii="Palatino Linotype" w:eastAsia="Palatino Linotype" w:hAnsi="Palatino Linotype" w:cs="Palatino Linotype"/>
          <w:b/>
        </w:rPr>
        <w:t xml:space="preserve">Sujeto Obligado, </w:t>
      </w:r>
      <w:r w:rsidRPr="00BE3BD1">
        <w:rPr>
          <w:rFonts w:ascii="Palatino Linotype" w:eastAsia="Palatino Linotype" w:hAnsi="Palatino Linotype" w:cs="Palatino Linotype"/>
        </w:rPr>
        <w:t xml:space="preserve">en contraposición con el motivo de inconformidad alegado por la parte </w:t>
      </w:r>
      <w:r w:rsidRPr="00BE3BD1">
        <w:rPr>
          <w:rFonts w:ascii="Palatino Linotype" w:eastAsia="Palatino Linotype" w:hAnsi="Palatino Linotype" w:cs="Palatino Linotype"/>
          <w:b/>
        </w:rPr>
        <w:t xml:space="preserve">Recurrente, </w:t>
      </w:r>
      <w:r w:rsidRPr="00BE3BD1">
        <w:rPr>
          <w:rFonts w:ascii="Palatino Linotype" w:eastAsia="Palatino Linotype" w:hAnsi="Palatino Linotype" w:cs="Palatino Linotype"/>
        </w:rPr>
        <w:t>con la finalidad de determinar si el Derecho de acceso de esta se satisfizo, o en su defecto, señalar los documentos que en el ejercicio de sus atribuciones pudo haber generado, y que, de manera enunciativa más no limitativa, pudieran colmar dicho derecho, en caso de ser procedente.</w:t>
      </w:r>
    </w:p>
    <w:p w14:paraId="530A7AE8" w14:textId="77777777" w:rsidR="00BB1403" w:rsidRPr="00BE3BD1" w:rsidRDefault="003A56BC">
      <w:pPr>
        <w:spacing w:before="240" w:after="240" w:line="360" w:lineRule="auto"/>
        <w:ind w:right="49"/>
        <w:jc w:val="both"/>
        <w:rPr>
          <w:rFonts w:ascii="Palatino Linotype" w:eastAsia="Palatino Linotype" w:hAnsi="Palatino Linotype" w:cs="Palatino Linotype"/>
        </w:rPr>
      </w:pPr>
      <w:r w:rsidRPr="00BE3BD1">
        <w:rPr>
          <w:rFonts w:ascii="Palatino Linotype" w:eastAsia="Palatino Linotype" w:hAnsi="Palatino Linotype" w:cs="Palatino Linotype"/>
        </w:rPr>
        <w:t xml:space="preserve">En este tenor, en principio es imprescindible mencionar que las Unidades de Transparencia, son el área responsable en cada Sujeto Obligado para dar atención a </w:t>
      </w:r>
      <w:r w:rsidRPr="00BE3BD1">
        <w:rPr>
          <w:rFonts w:ascii="Palatino Linotype" w:eastAsia="Palatino Linotype" w:hAnsi="Palatino Linotype" w:cs="Palatino Linotype"/>
        </w:rPr>
        <w:lastRenderedPageBreak/>
        <w:t>las solicitudes de información que se realicen al amparo de la Ley, el responsable de dicha área funge como enlace entre el Sujeto Obligado y los solicitantes, y tiene bajo su responsabilidad el tramitar internamente la solicitud de información.</w:t>
      </w:r>
    </w:p>
    <w:p w14:paraId="541A0181" w14:textId="77777777" w:rsidR="00BB1403" w:rsidRPr="00BE3BD1" w:rsidRDefault="003A56BC">
      <w:pPr>
        <w:spacing w:before="240" w:after="240" w:line="360" w:lineRule="auto"/>
        <w:jc w:val="both"/>
        <w:rPr>
          <w:rFonts w:ascii="Palatino Linotype" w:eastAsia="Palatino Linotype" w:hAnsi="Palatino Linotype" w:cs="Palatino Linotype"/>
        </w:rPr>
      </w:pPr>
      <w:r w:rsidRPr="00BE3BD1">
        <w:rPr>
          <w:rFonts w:ascii="Palatino Linotype" w:eastAsia="Palatino Linotype" w:hAnsi="Palatino Linotype" w:cs="Palatino Linotype"/>
        </w:rPr>
        <w:t>De tal manera que, si bien el Titular de la Unidad de Transparencia no tiene bajo su resguardo el archivo que contiene la documentación en donde consta la información solicitada, esta puede obrar en las distintas áreas que conforman la estructura orgánica del Sujeto Obligado, es por ello que debe turnar la solicitud al servidor público habilitado que tiene bajo su resguardo la misma, de conformidad con los artículos 53, fracciones II y IV y 162 de la Ley de Transparencia y Acceso a la Información Pública del Estado de México y Municipios.</w:t>
      </w:r>
    </w:p>
    <w:p w14:paraId="04B888EF" w14:textId="77777777" w:rsidR="00BB1403" w:rsidRPr="00BE3BD1" w:rsidRDefault="003A56BC">
      <w:pPr>
        <w:spacing w:before="240" w:after="240" w:line="360" w:lineRule="auto"/>
        <w:ind w:right="51"/>
        <w:jc w:val="both"/>
        <w:rPr>
          <w:rFonts w:ascii="Palatino Linotype" w:eastAsia="Palatino Linotype" w:hAnsi="Palatino Linotype" w:cs="Palatino Linotype"/>
        </w:rPr>
      </w:pPr>
      <w:r w:rsidRPr="00BE3BD1">
        <w:rPr>
          <w:rFonts w:ascii="Palatino Linotype" w:eastAsia="Palatino Linotype" w:hAnsi="Palatino Linotype" w:cs="Palatino Linotype"/>
        </w:rPr>
        <w:t xml:space="preserve">Por su parte, los servidores públicos habilitados, quienes son designados por el titular de cada Sujeto Obligado derivado de la propuesta del responsable de la Unidad de Transparencia, son las personas encargadas dentro de las diversas unidades administrativas o áreas de los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teniendo como función buscar, localizar y en su caso entregar la información solicitada, así como integrar y presentar al responsable de la Unidad de Transparencia la propuesta de clasificación de información, la cual tendrá los fundamentos y argumentos en que se basa dicha propuesta y verificar, una vez analizado el contenido de la información, que no se encuentre en los supuestos de información clasificada, de conformidad con los artículos 3, fracción XXXIX, 58 y 59, </w:t>
      </w:r>
      <w:r w:rsidRPr="00BE3BD1">
        <w:rPr>
          <w:rFonts w:ascii="Palatino Linotype" w:eastAsia="Palatino Linotype" w:hAnsi="Palatino Linotype" w:cs="Palatino Linotype"/>
        </w:rPr>
        <w:lastRenderedPageBreak/>
        <w:t>de la Ley de Transparencia y Acceso a la Información Pública del Estado de México y Municipios.</w:t>
      </w:r>
    </w:p>
    <w:p w14:paraId="3669EED9" w14:textId="77777777" w:rsidR="00BB1403" w:rsidRPr="00BE3BD1" w:rsidRDefault="003A56BC">
      <w:pPr>
        <w:spacing w:before="240" w:after="240" w:line="360" w:lineRule="auto"/>
        <w:jc w:val="both"/>
        <w:rPr>
          <w:rFonts w:ascii="Palatino Linotype" w:eastAsia="Palatino Linotype" w:hAnsi="Palatino Linotype" w:cs="Palatino Linotype"/>
        </w:rPr>
      </w:pPr>
      <w:r w:rsidRPr="00BE3BD1">
        <w:rPr>
          <w:rFonts w:ascii="Palatino Linotype" w:eastAsia="Palatino Linotype" w:hAnsi="Palatino Linotype" w:cs="Palatino Linotype"/>
        </w:rPr>
        <w:t>De lo manifestado con antelación se advierte que la persona Titular de la Unidad de Transparencia debe garantizar que las solicitudes se turnen a todas las áreas competentes que puedan contar con la información, con el objeto de que los servidores públicos habilitados realicen la búsqueda exhaustiva y razonable de la información solicitada, y que una vez localizada, la misma sea proporcionada a las personas solicitantes atendiendo a la naturaleza jurídica de la misma.</w:t>
      </w:r>
    </w:p>
    <w:p w14:paraId="6E142A51" w14:textId="77777777" w:rsidR="0054277C" w:rsidRPr="00BE3BD1" w:rsidRDefault="003A56BC">
      <w:pPr>
        <w:spacing w:before="240" w:after="240" w:line="360" w:lineRule="auto"/>
        <w:ind w:right="49"/>
        <w:jc w:val="both"/>
        <w:rPr>
          <w:rFonts w:ascii="Palatino Linotype" w:eastAsia="Palatino Linotype" w:hAnsi="Palatino Linotype" w:cs="Palatino Linotype"/>
        </w:rPr>
      </w:pPr>
      <w:r w:rsidRPr="00BE3BD1">
        <w:rPr>
          <w:rFonts w:ascii="Palatino Linotype" w:eastAsia="Palatino Linotype" w:hAnsi="Palatino Linotype" w:cs="Palatino Linotype"/>
        </w:rPr>
        <w:t>En esta línea de pensamiento, derivado del análisis de las constancias que obran en el expediente electrónico en el que se actúa, se advirtió que la Unidad de Transparencia, turnó la solicitud para su atención a</w:t>
      </w:r>
      <w:r w:rsidR="00A04930" w:rsidRPr="00BE3BD1">
        <w:rPr>
          <w:rFonts w:ascii="Palatino Linotype" w:eastAsia="Palatino Linotype" w:hAnsi="Palatino Linotype" w:cs="Palatino Linotype"/>
        </w:rPr>
        <w:t xml:space="preserve"> la </w:t>
      </w:r>
      <w:r w:rsidR="00A04930" w:rsidRPr="00BE3BD1">
        <w:rPr>
          <w:rFonts w:ascii="Palatino Linotype" w:hAnsi="Palatino Linotype"/>
        </w:rPr>
        <w:t>Defensoría Municipal de los Derechos Humanos</w:t>
      </w:r>
      <w:r w:rsidR="0054277C" w:rsidRPr="00BE3BD1">
        <w:rPr>
          <w:rFonts w:ascii="Palatino Linotype" w:eastAsia="Palatino Linotype" w:hAnsi="Palatino Linotype" w:cs="Palatino Linotype"/>
        </w:rPr>
        <w:t xml:space="preserve">, </w:t>
      </w:r>
      <w:r w:rsidRPr="00BE3BD1">
        <w:rPr>
          <w:rFonts w:ascii="Palatino Linotype" w:eastAsia="Palatino Linotype" w:hAnsi="Palatino Linotype" w:cs="Palatino Linotype"/>
        </w:rPr>
        <w:t>como se desprende del apartado de Requerimientos del SAIMEX</w:t>
      </w:r>
      <w:r w:rsidR="0054277C" w:rsidRPr="00BE3BD1">
        <w:rPr>
          <w:rFonts w:ascii="Palatino Linotype" w:eastAsia="Palatino Linotype" w:hAnsi="Palatino Linotype" w:cs="Palatino Linotype"/>
        </w:rPr>
        <w:t>:</w:t>
      </w:r>
    </w:p>
    <w:p w14:paraId="2189957E" w14:textId="37128A3F" w:rsidR="0054277C" w:rsidRPr="00BE3BD1" w:rsidRDefault="0054277C" w:rsidP="0054277C">
      <w:pPr>
        <w:spacing w:before="240" w:after="240" w:line="360" w:lineRule="auto"/>
        <w:ind w:right="49"/>
        <w:jc w:val="center"/>
        <w:rPr>
          <w:rFonts w:ascii="Palatino Linotype" w:eastAsia="Palatino Linotype" w:hAnsi="Palatino Linotype" w:cs="Palatino Linotype"/>
        </w:rPr>
      </w:pPr>
      <w:r w:rsidRPr="00BE3BD1">
        <w:rPr>
          <w:noProof/>
        </w:rPr>
        <w:drawing>
          <wp:inline distT="0" distB="0" distL="0" distR="0" wp14:anchorId="62ABEC21" wp14:editId="2AFB0A69">
            <wp:extent cx="5220000" cy="1157636"/>
            <wp:effectExtent l="0" t="0" r="0" b="4445"/>
            <wp:docPr id="41553652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536527" name=""/>
                    <pic:cNvPicPr/>
                  </pic:nvPicPr>
                  <pic:blipFill>
                    <a:blip r:embed="rId9"/>
                    <a:stretch>
                      <a:fillRect/>
                    </a:stretch>
                  </pic:blipFill>
                  <pic:spPr>
                    <a:xfrm>
                      <a:off x="0" y="0"/>
                      <a:ext cx="5220000" cy="1157636"/>
                    </a:xfrm>
                    <a:prstGeom prst="rect">
                      <a:avLst/>
                    </a:prstGeom>
                  </pic:spPr>
                </pic:pic>
              </a:graphicData>
            </a:graphic>
          </wp:inline>
        </w:drawing>
      </w:r>
      <w:r w:rsidRPr="00BE3BD1">
        <w:rPr>
          <w:noProof/>
        </w:rPr>
        <w:drawing>
          <wp:inline distT="0" distB="0" distL="0" distR="0" wp14:anchorId="5DED9F0D" wp14:editId="38AF27E2">
            <wp:extent cx="3960000" cy="1715557"/>
            <wp:effectExtent l="0" t="0" r="2540" b="0"/>
            <wp:docPr id="12961796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179640" name=""/>
                    <pic:cNvPicPr/>
                  </pic:nvPicPr>
                  <pic:blipFill rotWithShape="1">
                    <a:blip r:embed="rId10"/>
                    <a:srcRect b="14497"/>
                    <a:stretch/>
                  </pic:blipFill>
                  <pic:spPr bwMode="auto">
                    <a:xfrm>
                      <a:off x="0" y="0"/>
                      <a:ext cx="3960000" cy="1715557"/>
                    </a:xfrm>
                    <a:prstGeom prst="rect">
                      <a:avLst/>
                    </a:prstGeom>
                    <a:ln>
                      <a:noFill/>
                    </a:ln>
                    <a:extLst>
                      <a:ext uri="{53640926-AAD7-44D8-BBD7-CCE9431645EC}">
                        <a14:shadowObscured xmlns:a14="http://schemas.microsoft.com/office/drawing/2010/main"/>
                      </a:ext>
                    </a:extLst>
                  </pic:spPr>
                </pic:pic>
              </a:graphicData>
            </a:graphic>
          </wp:inline>
        </w:drawing>
      </w:r>
    </w:p>
    <w:p w14:paraId="6A1C4A28" w14:textId="50243B45" w:rsidR="0054277C" w:rsidRPr="00BE3BD1" w:rsidRDefault="0054277C">
      <w:pPr>
        <w:spacing w:before="240" w:after="240" w:line="360" w:lineRule="auto"/>
        <w:ind w:right="49"/>
        <w:jc w:val="both"/>
        <w:rPr>
          <w:rFonts w:ascii="Palatino Linotype" w:eastAsia="Palatino Linotype" w:hAnsi="Palatino Linotype" w:cs="Palatino Linotype"/>
          <w:b/>
          <w:bCs/>
          <w:u w:val="single"/>
        </w:rPr>
      </w:pPr>
      <w:r w:rsidRPr="00BE3BD1">
        <w:rPr>
          <w:rFonts w:ascii="Palatino Linotype" w:eastAsia="Palatino Linotype" w:hAnsi="Palatino Linotype" w:cs="Palatino Linotype"/>
        </w:rPr>
        <w:lastRenderedPageBreak/>
        <w:t xml:space="preserve">En este orden de ideas, se menciona que de conformidad con los artículos 147 K, fracción VII de la Ley Orgánica Municipal del Estado de México, y 3.65 del Código Reglamentario Municipal de Toluca vigente, la persona titular de la Defensoría Municipal de los Derechos Humanos, tiene a atribución de coadyuvar con la Comisión de Derechos Humanos del Estado de México </w:t>
      </w:r>
      <w:r w:rsidRPr="00BE3BD1">
        <w:rPr>
          <w:rFonts w:ascii="Palatino Linotype" w:eastAsia="Palatino Linotype" w:hAnsi="Palatino Linotype" w:cs="Palatino Linotype"/>
          <w:b/>
          <w:bCs/>
          <w:u w:val="single"/>
        </w:rPr>
        <w:t>en el seguimiento a las solicitudes de informes y acciones que emanen de las quejas y de las recomendaciones que el organismo dicte en contra de autoridades o servidores públicos del municipio.</w:t>
      </w:r>
    </w:p>
    <w:p w14:paraId="7D26D0E9" w14:textId="45040821" w:rsidR="00701610" w:rsidRPr="00BE3BD1" w:rsidRDefault="00701610">
      <w:pPr>
        <w:spacing w:before="240" w:after="240" w:line="360" w:lineRule="auto"/>
        <w:ind w:right="49"/>
        <w:jc w:val="both"/>
        <w:rPr>
          <w:rFonts w:ascii="Palatino Linotype" w:eastAsia="Palatino Linotype" w:hAnsi="Palatino Linotype" w:cs="Palatino Linotype"/>
        </w:rPr>
      </w:pPr>
      <w:r w:rsidRPr="00BE3BD1">
        <w:rPr>
          <w:rFonts w:ascii="Palatino Linotype" w:eastAsia="Palatino Linotype" w:hAnsi="Palatino Linotype" w:cs="Palatino Linotype"/>
        </w:rPr>
        <w:t>Asimismo, el artículo 147 C de la Ley Orgánica Municipal del Estado de México, dispone que la Defensoría Municipal de los Derechos Humanos debe coordinarse con la Comisión de Derechos Humanos del Estado de México, para el ejercicio de sus funciones.</w:t>
      </w:r>
    </w:p>
    <w:p w14:paraId="6621DCA0" w14:textId="77777777" w:rsidR="002A29AE" w:rsidRPr="00BE3BD1" w:rsidRDefault="00701610">
      <w:pPr>
        <w:spacing w:before="240" w:after="240" w:line="360" w:lineRule="auto"/>
        <w:ind w:right="49"/>
        <w:jc w:val="both"/>
        <w:rPr>
          <w:rFonts w:ascii="Palatino Linotype" w:eastAsia="Palatino Linotype" w:hAnsi="Palatino Linotype" w:cs="Palatino Linotype"/>
        </w:rPr>
      </w:pPr>
      <w:r w:rsidRPr="00BE3BD1">
        <w:rPr>
          <w:rFonts w:ascii="Palatino Linotype" w:eastAsia="Palatino Linotype" w:hAnsi="Palatino Linotype" w:cs="Palatino Linotype"/>
        </w:rPr>
        <w:t xml:space="preserve">Por su parte, </w:t>
      </w:r>
      <w:r w:rsidR="00196BA4" w:rsidRPr="00BE3BD1">
        <w:rPr>
          <w:rFonts w:ascii="Palatino Linotype" w:eastAsia="Palatino Linotype" w:hAnsi="Palatino Linotype" w:cs="Palatino Linotype"/>
        </w:rPr>
        <w:t>la</w:t>
      </w:r>
      <w:r w:rsidRPr="00BE3BD1">
        <w:rPr>
          <w:rFonts w:ascii="Palatino Linotype" w:eastAsia="Palatino Linotype" w:hAnsi="Palatino Linotype" w:cs="Palatino Linotype"/>
        </w:rPr>
        <w:t xml:space="preserve"> Ley de la Comisión de Derechos Humanos del Estado de México, </w:t>
      </w:r>
      <w:r w:rsidR="00196BA4" w:rsidRPr="00BE3BD1">
        <w:rPr>
          <w:rFonts w:ascii="Palatino Linotype" w:eastAsia="Palatino Linotype" w:hAnsi="Palatino Linotype" w:cs="Palatino Linotype"/>
        </w:rPr>
        <w:t>establece en sus artículos 13, fracción VIII, 28, fracción XIV, y 99, fracción III, como atribución de la Comisión de Derechos Humanos del Estado de México, a través de la persona titular de la presidencia de dicho Organismo, la de formular recomendaciones</w:t>
      </w:r>
      <w:r w:rsidR="002A29AE" w:rsidRPr="00BE3BD1">
        <w:rPr>
          <w:rFonts w:ascii="Palatino Linotype" w:eastAsia="Palatino Linotype" w:hAnsi="Palatino Linotype" w:cs="Palatino Linotype"/>
        </w:rPr>
        <w:t xml:space="preserve"> cuando se comprueben violaciones a derechos humanos.</w:t>
      </w:r>
    </w:p>
    <w:p w14:paraId="3A048FD2" w14:textId="16950AAD" w:rsidR="002A29AE" w:rsidRPr="00BE3BD1" w:rsidRDefault="00462831">
      <w:pPr>
        <w:spacing w:before="240" w:after="240" w:line="360" w:lineRule="auto"/>
        <w:ind w:right="49"/>
        <w:jc w:val="both"/>
        <w:rPr>
          <w:rFonts w:ascii="Palatino Linotype" w:eastAsia="Palatino Linotype" w:hAnsi="Palatino Linotype" w:cs="Palatino Linotype"/>
        </w:rPr>
      </w:pPr>
      <w:r w:rsidRPr="00BE3BD1">
        <w:rPr>
          <w:rFonts w:ascii="Palatino Linotype" w:eastAsia="Palatino Linotype" w:hAnsi="Palatino Linotype" w:cs="Palatino Linotype"/>
        </w:rPr>
        <w:t>Una vez emitida la Recomendación, d</w:t>
      </w:r>
      <w:r w:rsidR="002A29AE" w:rsidRPr="00BE3BD1">
        <w:rPr>
          <w:rFonts w:ascii="Palatino Linotype" w:eastAsia="Palatino Linotype" w:hAnsi="Palatino Linotype" w:cs="Palatino Linotype"/>
        </w:rPr>
        <w:t xml:space="preserve">e conformidad con el artículo 104 de la Ley de la Comisión de Derechos Humanos del Estado de México y 100 del Reglamento Interno de la Comisión de Derechos Humanos del Estado de México, ésta debe notificarse al quejoso y al superior jerárquico de las autoridades o servidores públicos relacionados con las violaciones a derechos humanos, dentro de los tres días hábiles siguientes, y en su caso, serán turnadas al Órgano Interno de Control </w:t>
      </w:r>
      <w:r w:rsidR="002A29AE" w:rsidRPr="00BE3BD1">
        <w:rPr>
          <w:rFonts w:ascii="Palatino Linotype" w:eastAsia="Palatino Linotype" w:hAnsi="Palatino Linotype" w:cs="Palatino Linotype"/>
        </w:rPr>
        <w:lastRenderedPageBreak/>
        <w:t>correspondiente para que sea iniciado o continuado el procedimiento administrativo que contempla la Ley de Responsabilidades Administrativas del Estado de México y Municipios, asimismo, la recomendación debe darse a conocer a través de la página Web de la Comisión después de su notificación, en versión pública.</w:t>
      </w:r>
    </w:p>
    <w:p w14:paraId="32A4B794" w14:textId="28544CCC" w:rsidR="002A29AE" w:rsidRPr="00BE3BD1" w:rsidRDefault="00462831">
      <w:pPr>
        <w:spacing w:before="240" w:after="240" w:line="360" w:lineRule="auto"/>
        <w:ind w:right="49"/>
        <w:jc w:val="both"/>
        <w:rPr>
          <w:rFonts w:ascii="Palatino Linotype" w:eastAsia="Palatino Linotype" w:hAnsi="Palatino Linotype" w:cs="Palatino Linotype"/>
        </w:rPr>
      </w:pPr>
      <w:r w:rsidRPr="00BE3BD1">
        <w:rPr>
          <w:rFonts w:ascii="Palatino Linotype" w:eastAsia="Palatino Linotype" w:hAnsi="Palatino Linotype" w:cs="Palatino Linotype"/>
        </w:rPr>
        <w:t xml:space="preserve">Y, </w:t>
      </w:r>
      <w:r w:rsidR="002A29AE" w:rsidRPr="00BE3BD1">
        <w:rPr>
          <w:rFonts w:ascii="Palatino Linotype" w:eastAsia="Palatino Linotype" w:hAnsi="Palatino Linotype" w:cs="Palatino Linotype"/>
        </w:rPr>
        <w:t xml:space="preserve">recibida la notificación, la autoridad o el servidor público responsable, debe informar dentro de los quince días hábiles siguientes a su notificación, si acepta dicha Recomendación y </w:t>
      </w:r>
      <w:r w:rsidR="002A29AE" w:rsidRPr="00BE3BD1">
        <w:rPr>
          <w:rFonts w:ascii="Palatino Linotype" w:eastAsia="Palatino Linotype" w:hAnsi="Palatino Linotype" w:cs="Palatino Linotype"/>
          <w:b/>
          <w:bCs/>
          <w:u w:val="single"/>
        </w:rPr>
        <w:t>en quince días hábiles adicionales entregar, en su caso, las pruebas que demuestren su cumplimiento</w:t>
      </w:r>
      <w:r w:rsidR="002A29AE" w:rsidRPr="00BE3BD1">
        <w:rPr>
          <w:rFonts w:ascii="Palatino Linotype" w:eastAsia="Palatino Linotype" w:hAnsi="Palatino Linotype" w:cs="Palatino Linotype"/>
        </w:rPr>
        <w:t xml:space="preserve">; por su parte la Comisión debe informar a los quejosos la aceptación y cumplimiento que las autoridades y servidores públicos den a las Recomendaciones, según se lee en los artículos </w:t>
      </w:r>
      <w:r w:rsidR="00FD23F3" w:rsidRPr="00BE3BD1">
        <w:rPr>
          <w:rFonts w:ascii="Palatino Linotype" w:eastAsia="Palatino Linotype" w:hAnsi="Palatino Linotype" w:cs="Palatino Linotype"/>
        </w:rPr>
        <w:t>105 y 106 de la Ley de la Comisión en análisis:</w:t>
      </w:r>
    </w:p>
    <w:p w14:paraId="2F727CD3" w14:textId="77B0F480" w:rsidR="00FD23F3" w:rsidRPr="00BE3BD1" w:rsidRDefault="00FD23F3" w:rsidP="00FD23F3">
      <w:pPr>
        <w:spacing w:before="120" w:after="120"/>
        <w:ind w:left="851" w:right="902"/>
        <w:jc w:val="both"/>
        <w:rPr>
          <w:rFonts w:ascii="Palatino Linotype" w:eastAsia="Palatino Linotype" w:hAnsi="Palatino Linotype" w:cs="Palatino Linotype"/>
          <w:i/>
          <w:iCs/>
          <w:sz w:val="22"/>
          <w:szCs w:val="22"/>
        </w:rPr>
      </w:pPr>
      <w:r w:rsidRPr="00BE3BD1">
        <w:rPr>
          <w:rFonts w:ascii="Palatino Linotype" w:eastAsia="Palatino Linotype" w:hAnsi="Palatino Linotype" w:cs="Palatino Linotype"/>
          <w:b/>
          <w:bCs/>
          <w:i/>
          <w:iCs/>
          <w:sz w:val="22"/>
          <w:szCs w:val="22"/>
        </w:rPr>
        <w:t>“Artículo 105</w:t>
      </w:r>
      <w:r w:rsidRPr="00BE3BD1">
        <w:rPr>
          <w:rFonts w:ascii="Palatino Linotype" w:eastAsia="Palatino Linotype" w:hAnsi="Palatino Linotype" w:cs="Palatino Linotype"/>
          <w:i/>
          <w:iCs/>
          <w:sz w:val="22"/>
          <w:szCs w:val="22"/>
        </w:rPr>
        <w:t xml:space="preserve">.- Una vez recibida la Recomendación la autoridad o el servidor público responsable, deberá informar dentro de los quince días hábiles siguientes a su notificación, si acepta dicha Recomendación y </w:t>
      </w:r>
      <w:r w:rsidRPr="00BE3BD1">
        <w:rPr>
          <w:rFonts w:ascii="Palatino Linotype" w:eastAsia="Palatino Linotype" w:hAnsi="Palatino Linotype" w:cs="Palatino Linotype"/>
          <w:b/>
          <w:bCs/>
          <w:i/>
          <w:iCs/>
          <w:sz w:val="22"/>
          <w:szCs w:val="22"/>
        </w:rPr>
        <w:t>en quince días hábiles adicionales entregar, en su caso, las pruebas que demuestren su cumplimiento</w:t>
      </w:r>
      <w:r w:rsidRPr="00BE3BD1">
        <w:rPr>
          <w:rFonts w:ascii="Palatino Linotype" w:eastAsia="Palatino Linotype" w:hAnsi="Palatino Linotype" w:cs="Palatino Linotype"/>
          <w:i/>
          <w:iCs/>
          <w:sz w:val="22"/>
          <w:szCs w:val="22"/>
        </w:rPr>
        <w:t xml:space="preserve">. </w:t>
      </w:r>
    </w:p>
    <w:p w14:paraId="5A9B7494" w14:textId="77777777" w:rsidR="00FD23F3" w:rsidRPr="00BE3BD1" w:rsidRDefault="00FD23F3" w:rsidP="00FD23F3">
      <w:pPr>
        <w:spacing w:before="120" w:after="120"/>
        <w:ind w:left="851" w:right="902"/>
        <w:jc w:val="both"/>
        <w:rPr>
          <w:rFonts w:ascii="Palatino Linotype" w:eastAsia="Palatino Linotype" w:hAnsi="Palatino Linotype" w:cs="Palatino Linotype"/>
          <w:i/>
          <w:iCs/>
          <w:sz w:val="22"/>
          <w:szCs w:val="22"/>
        </w:rPr>
      </w:pPr>
      <w:r w:rsidRPr="00BE3BD1">
        <w:rPr>
          <w:rFonts w:ascii="Palatino Linotype" w:eastAsia="Palatino Linotype" w:hAnsi="Palatino Linotype" w:cs="Palatino Linotype"/>
          <w:i/>
          <w:iCs/>
          <w:sz w:val="22"/>
          <w:szCs w:val="22"/>
        </w:rPr>
        <w:t xml:space="preserve">La rendición del informe sobre la aceptación o no de la Recomendación, no podrá ser delegada. </w:t>
      </w:r>
    </w:p>
    <w:p w14:paraId="02EDCA9C" w14:textId="11A48FCA" w:rsidR="00FD23F3" w:rsidRPr="00BE3BD1" w:rsidRDefault="00FD23F3" w:rsidP="00FD23F3">
      <w:pPr>
        <w:spacing w:before="120" w:after="120"/>
        <w:ind w:left="851" w:right="902"/>
        <w:jc w:val="both"/>
        <w:rPr>
          <w:rFonts w:ascii="Palatino Linotype" w:eastAsia="Palatino Linotype" w:hAnsi="Palatino Linotype" w:cs="Palatino Linotype"/>
          <w:i/>
          <w:iCs/>
          <w:sz w:val="22"/>
          <w:szCs w:val="22"/>
        </w:rPr>
      </w:pPr>
      <w:r w:rsidRPr="00BE3BD1">
        <w:rPr>
          <w:rFonts w:ascii="Palatino Linotype" w:eastAsia="Palatino Linotype" w:hAnsi="Palatino Linotype" w:cs="Palatino Linotype"/>
          <w:b/>
          <w:bCs/>
          <w:i/>
          <w:iCs/>
          <w:sz w:val="22"/>
          <w:szCs w:val="22"/>
        </w:rPr>
        <w:t>Artículo 106</w:t>
      </w:r>
      <w:r w:rsidRPr="00BE3BD1">
        <w:rPr>
          <w:rFonts w:ascii="Palatino Linotype" w:eastAsia="Palatino Linotype" w:hAnsi="Palatino Linotype" w:cs="Palatino Linotype"/>
          <w:i/>
          <w:iCs/>
          <w:sz w:val="22"/>
          <w:szCs w:val="22"/>
        </w:rPr>
        <w:t>.- La Comisión debe informar a los quejosos la aceptación y cumplimiento que las autoridades y servidores públicos den a las Recomendaciones.”</w:t>
      </w:r>
    </w:p>
    <w:p w14:paraId="00D62CA4" w14:textId="30F5CB10" w:rsidR="002A29AE" w:rsidRPr="00BE3BD1" w:rsidRDefault="002A29AE">
      <w:pPr>
        <w:spacing w:before="240" w:after="240" w:line="360" w:lineRule="auto"/>
        <w:ind w:right="49"/>
        <w:jc w:val="both"/>
        <w:rPr>
          <w:rFonts w:ascii="Palatino Linotype" w:eastAsia="Palatino Linotype" w:hAnsi="Palatino Linotype" w:cs="Palatino Linotype"/>
        </w:rPr>
      </w:pPr>
      <w:r w:rsidRPr="00BE3BD1">
        <w:rPr>
          <w:rFonts w:ascii="Palatino Linotype" w:eastAsia="Palatino Linotype" w:hAnsi="Palatino Linotype" w:cs="Palatino Linotype"/>
        </w:rPr>
        <w:t xml:space="preserve">En este orden de ideas, derivado de la consulta realizada por este Organismo Garante, </w:t>
      </w:r>
      <w:r w:rsidR="00FD23F3" w:rsidRPr="00BE3BD1">
        <w:rPr>
          <w:rFonts w:ascii="Palatino Linotype" w:eastAsia="Palatino Linotype" w:hAnsi="Palatino Linotype" w:cs="Palatino Linotype"/>
        </w:rPr>
        <w:t xml:space="preserve">se localizó </w:t>
      </w:r>
      <w:r w:rsidRPr="00BE3BD1">
        <w:rPr>
          <w:rFonts w:ascii="Palatino Linotype" w:eastAsia="Palatino Linotype" w:hAnsi="Palatino Linotype" w:cs="Palatino Linotype"/>
        </w:rPr>
        <w:t xml:space="preserve">la </w:t>
      </w:r>
      <w:r w:rsidR="00FD23F3" w:rsidRPr="00BE3BD1">
        <w:rPr>
          <w:rFonts w:ascii="Palatino Linotype" w:eastAsia="Palatino Linotype" w:hAnsi="Palatino Linotype" w:cs="Palatino Linotype"/>
        </w:rPr>
        <w:t>R</w:t>
      </w:r>
      <w:r w:rsidRPr="00BE3BD1">
        <w:rPr>
          <w:rFonts w:ascii="Palatino Linotype" w:eastAsia="Palatino Linotype" w:hAnsi="Palatino Linotype" w:cs="Palatino Linotype"/>
        </w:rPr>
        <w:t xml:space="preserve">ecomendación </w:t>
      </w:r>
      <w:r w:rsidR="00FD23F3" w:rsidRPr="00BE3BD1">
        <w:rPr>
          <w:rFonts w:ascii="Palatino Linotype" w:eastAsia="Palatino Linotype" w:hAnsi="Palatino Linotype" w:cs="Palatino Linotype"/>
        </w:rPr>
        <w:t xml:space="preserve">04/2024, emitida a la Presidencia Municipal Constitucional de Toluca de Lerdo, Estado de México el 04 de diciembre de 2024, por la afectación al derecho al buen gobierno, y otros derechos relacionados como </w:t>
      </w:r>
      <w:r w:rsidR="00FD23F3" w:rsidRPr="00BE3BD1">
        <w:rPr>
          <w:rFonts w:ascii="Palatino Linotype" w:eastAsia="Palatino Linotype" w:hAnsi="Palatino Linotype" w:cs="Palatino Linotype"/>
        </w:rPr>
        <w:lastRenderedPageBreak/>
        <w:t>al derecho a la legalidad y seguridad jurídica; de cuyo contenido destaca</w:t>
      </w:r>
      <w:r w:rsidR="00D64E6B" w:rsidRPr="00BE3BD1">
        <w:rPr>
          <w:rFonts w:ascii="Palatino Linotype" w:eastAsia="Palatino Linotype" w:hAnsi="Palatino Linotype" w:cs="Palatino Linotype"/>
        </w:rPr>
        <w:t xml:space="preserve">n los siguientes puntos recomendatorios </w:t>
      </w:r>
      <w:r w:rsidR="00FD23F3" w:rsidRPr="00BE3BD1">
        <w:rPr>
          <w:rFonts w:ascii="Palatino Linotype" w:eastAsia="Palatino Linotype" w:hAnsi="Palatino Linotype" w:cs="Palatino Linotype"/>
        </w:rPr>
        <w:t>para el tema que nos interesa:</w:t>
      </w:r>
    </w:p>
    <w:p w14:paraId="188B3CD2" w14:textId="0C00E27A" w:rsidR="00FD23F3" w:rsidRPr="00BE3BD1" w:rsidRDefault="00FD23F3" w:rsidP="00FD23F3">
      <w:pPr>
        <w:spacing w:before="240" w:after="240" w:line="360" w:lineRule="auto"/>
        <w:ind w:right="49"/>
        <w:jc w:val="center"/>
        <w:rPr>
          <w:rFonts w:ascii="Palatino Linotype" w:eastAsia="Palatino Linotype" w:hAnsi="Palatino Linotype" w:cs="Palatino Linotype"/>
        </w:rPr>
      </w:pPr>
      <w:r w:rsidRPr="00BE3BD1">
        <w:rPr>
          <w:noProof/>
        </w:rPr>
        <w:drawing>
          <wp:inline distT="0" distB="0" distL="0" distR="0" wp14:anchorId="3BC703CA" wp14:editId="1D47BC72">
            <wp:extent cx="4680000" cy="936216"/>
            <wp:effectExtent l="0" t="0" r="6350" b="0"/>
            <wp:docPr id="176040109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401090" name=""/>
                    <pic:cNvPicPr/>
                  </pic:nvPicPr>
                  <pic:blipFill>
                    <a:blip r:embed="rId11"/>
                    <a:stretch>
                      <a:fillRect/>
                    </a:stretch>
                  </pic:blipFill>
                  <pic:spPr>
                    <a:xfrm>
                      <a:off x="0" y="0"/>
                      <a:ext cx="4680000" cy="936216"/>
                    </a:xfrm>
                    <a:prstGeom prst="rect">
                      <a:avLst/>
                    </a:prstGeom>
                  </pic:spPr>
                </pic:pic>
              </a:graphicData>
            </a:graphic>
          </wp:inline>
        </w:drawing>
      </w:r>
      <w:r w:rsidRPr="00BE3BD1">
        <w:rPr>
          <w:noProof/>
        </w:rPr>
        <w:drawing>
          <wp:inline distT="0" distB="0" distL="0" distR="0" wp14:anchorId="516F9AA7" wp14:editId="2834CA2E">
            <wp:extent cx="4680000" cy="3129528"/>
            <wp:effectExtent l="0" t="0" r="6350" b="0"/>
            <wp:docPr id="198506864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068642" name=""/>
                    <pic:cNvPicPr/>
                  </pic:nvPicPr>
                  <pic:blipFill rotWithShape="1">
                    <a:blip r:embed="rId12"/>
                    <a:srcRect b="27127"/>
                    <a:stretch/>
                  </pic:blipFill>
                  <pic:spPr bwMode="auto">
                    <a:xfrm>
                      <a:off x="0" y="0"/>
                      <a:ext cx="4680000" cy="3129528"/>
                    </a:xfrm>
                    <a:prstGeom prst="rect">
                      <a:avLst/>
                    </a:prstGeom>
                    <a:ln>
                      <a:noFill/>
                    </a:ln>
                    <a:extLst>
                      <a:ext uri="{53640926-AAD7-44D8-BBD7-CCE9431645EC}">
                        <a14:shadowObscured xmlns:a14="http://schemas.microsoft.com/office/drawing/2010/main"/>
                      </a:ext>
                    </a:extLst>
                  </pic:spPr>
                </pic:pic>
              </a:graphicData>
            </a:graphic>
          </wp:inline>
        </w:drawing>
      </w:r>
    </w:p>
    <w:p w14:paraId="3E20681F" w14:textId="77777777" w:rsidR="00C505FA" w:rsidRPr="00BE3BD1" w:rsidRDefault="00FD23F3" w:rsidP="00FD23F3">
      <w:pPr>
        <w:spacing w:before="240" w:after="240" w:line="360" w:lineRule="auto"/>
        <w:ind w:right="49"/>
        <w:jc w:val="center"/>
        <w:rPr>
          <w:noProof/>
        </w:rPr>
      </w:pPr>
      <w:r w:rsidRPr="00BE3BD1">
        <w:rPr>
          <w:noProof/>
        </w:rPr>
        <w:drawing>
          <wp:inline distT="0" distB="0" distL="0" distR="0" wp14:anchorId="12B51EF3" wp14:editId="03045694">
            <wp:extent cx="4678045" cy="1007023"/>
            <wp:effectExtent l="0" t="0" r="0" b="3175"/>
            <wp:docPr id="33717350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173507" name=""/>
                    <pic:cNvPicPr/>
                  </pic:nvPicPr>
                  <pic:blipFill rotWithShape="1">
                    <a:blip r:embed="rId12"/>
                    <a:srcRect t="76540"/>
                    <a:stretch/>
                  </pic:blipFill>
                  <pic:spPr bwMode="auto">
                    <a:xfrm>
                      <a:off x="0" y="0"/>
                      <a:ext cx="4680000" cy="1007444"/>
                    </a:xfrm>
                    <a:prstGeom prst="rect">
                      <a:avLst/>
                    </a:prstGeom>
                    <a:ln>
                      <a:noFill/>
                    </a:ln>
                    <a:extLst>
                      <a:ext uri="{53640926-AAD7-44D8-BBD7-CCE9431645EC}">
                        <a14:shadowObscured xmlns:a14="http://schemas.microsoft.com/office/drawing/2010/main"/>
                      </a:ext>
                    </a:extLst>
                  </pic:spPr>
                </pic:pic>
              </a:graphicData>
            </a:graphic>
          </wp:inline>
        </w:drawing>
      </w:r>
      <w:r w:rsidRPr="00BE3BD1">
        <w:rPr>
          <w:noProof/>
        </w:rPr>
        <w:t xml:space="preserve"> </w:t>
      </w:r>
    </w:p>
    <w:p w14:paraId="5F134A73" w14:textId="7C474453" w:rsidR="00FD23F3" w:rsidRPr="00BE3BD1" w:rsidRDefault="00FD23F3" w:rsidP="00FD23F3">
      <w:pPr>
        <w:spacing w:before="240" w:after="240" w:line="360" w:lineRule="auto"/>
        <w:ind w:right="49"/>
        <w:jc w:val="center"/>
        <w:rPr>
          <w:rFonts w:ascii="Palatino Linotype" w:eastAsia="Palatino Linotype" w:hAnsi="Palatino Linotype" w:cs="Palatino Linotype"/>
        </w:rPr>
      </w:pPr>
      <w:r w:rsidRPr="00BE3BD1">
        <w:rPr>
          <w:noProof/>
        </w:rPr>
        <w:lastRenderedPageBreak/>
        <w:drawing>
          <wp:inline distT="0" distB="0" distL="0" distR="0" wp14:anchorId="707C4806" wp14:editId="46A4A828">
            <wp:extent cx="4680000" cy="2269572"/>
            <wp:effectExtent l="0" t="0" r="6350" b="0"/>
            <wp:docPr id="150883687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836870" name=""/>
                    <pic:cNvPicPr/>
                  </pic:nvPicPr>
                  <pic:blipFill>
                    <a:blip r:embed="rId13"/>
                    <a:stretch>
                      <a:fillRect/>
                    </a:stretch>
                  </pic:blipFill>
                  <pic:spPr>
                    <a:xfrm>
                      <a:off x="0" y="0"/>
                      <a:ext cx="4680000" cy="2269572"/>
                    </a:xfrm>
                    <a:prstGeom prst="rect">
                      <a:avLst/>
                    </a:prstGeom>
                  </pic:spPr>
                </pic:pic>
              </a:graphicData>
            </a:graphic>
          </wp:inline>
        </w:drawing>
      </w:r>
    </w:p>
    <w:p w14:paraId="1D2544BF" w14:textId="30794CB4" w:rsidR="00FD23F3" w:rsidRPr="00BE3BD1" w:rsidRDefault="00FD23F3">
      <w:pPr>
        <w:spacing w:before="240" w:after="240" w:line="360" w:lineRule="auto"/>
        <w:ind w:right="49"/>
        <w:jc w:val="both"/>
        <w:rPr>
          <w:rFonts w:ascii="Palatino Linotype" w:eastAsia="Palatino Linotype" w:hAnsi="Palatino Linotype" w:cs="Palatino Linotype"/>
        </w:rPr>
      </w:pPr>
      <w:r w:rsidRPr="00BE3BD1">
        <w:rPr>
          <w:rFonts w:ascii="Palatino Linotype" w:eastAsia="Palatino Linotype" w:hAnsi="Palatino Linotype" w:cs="Palatino Linotype"/>
        </w:rPr>
        <w:t xml:space="preserve">Como se lee en el fragmento de la Recomendación 4/2024 agregado, se requirió a la autoridad responsable </w:t>
      </w:r>
      <w:r w:rsidR="0056063E" w:rsidRPr="00BE3BD1">
        <w:rPr>
          <w:rFonts w:ascii="Palatino Linotype" w:eastAsia="Palatino Linotype" w:hAnsi="Palatino Linotype" w:cs="Palatino Linotype"/>
        </w:rPr>
        <w:t xml:space="preserve">la creación de circulares dirigidas al personal de los juzgados cívicos y a los elementos de seguridad pública municipal mediante las cuales se les exhorte a que cualquier actuación conste debidamente en registro, siendo evidencia del cumplimiento de dicha medida, la emisión de las circulares, con acuse de recibo, además de su puesta a disposición en lugares visibles de manera permanente, a través de los medios que la autoridad considere pertinentes, ya sea de manera digital o impresa, con la finalidad de que sean consultados siempre que se requiera. </w:t>
      </w:r>
    </w:p>
    <w:p w14:paraId="3040F2BD" w14:textId="49E4C16F" w:rsidR="0056063E" w:rsidRPr="00BE3BD1" w:rsidRDefault="0056063E">
      <w:pPr>
        <w:spacing w:before="240" w:after="240" w:line="360" w:lineRule="auto"/>
        <w:ind w:right="49"/>
        <w:jc w:val="both"/>
        <w:rPr>
          <w:rFonts w:ascii="Palatino Linotype" w:eastAsia="Palatino Linotype" w:hAnsi="Palatino Linotype" w:cs="Palatino Linotype"/>
        </w:rPr>
      </w:pPr>
      <w:r w:rsidRPr="00BE3BD1">
        <w:rPr>
          <w:rFonts w:ascii="Palatino Linotype" w:eastAsia="Palatino Linotype" w:hAnsi="Palatino Linotype" w:cs="Palatino Linotype"/>
        </w:rPr>
        <w:t xml:space="preserve">Asimismo, se requirió la inclusión o mejora de formatos de registros del juzgado cívico que obren en expediente de control, </w:t>
      </w:r>
      <w:r w:rsidR="00B06543" w:rsidRPr="00BE3BD1">
        <w:rPr>
          <w:rFonts w:ascii="Palatino Linotype" w:eastAsia="Palatino Linotype" w:hAnsi="Palatino Linotype" w:cs="Palatino Linotype"/>
        </w:rPr>
        <w:t>considerando los siguientes formatos</w:t>
      </w:r>
      <w:r w:rsidR="00256A8B" w:rsidRPr="00BE3BD1">
        <w:rPr>
          <w:rFonts w:ascii="Palatino Linotype" w:eastAsia="Palatino Linotype" w:hAnsi="Palatino Linotype" w:cs="Palatino Linotype"/>
        </w:rPr>
        <w:t>:</w:t>
      </w:r>
    </w:p>
    <w:p w14:paraId="20342FB6" w14:textId="65AD3992" w:rsidR="00256A8B" w:rsidRPr="00BE3BD1" w:rsidRDefault="00256A8B" w:rsidP="00256A8B">
      <w:pPr>
        <w:pStyle w:val="Prrafodelista"/>
        <w:numPr>
          <w:ilvl w:val="0"/>
          <w:numId w:val="2"/>
        </w:numPr>
        <w:tabs>
          <w:tab w:val="left" w:pos="567"/>
        </w:tabs>
        <w:spacing w:before="240" w:after="240" w:line="360" w:lineRule="auto"/>
        <w:ind w:left="284" w:right="49" w:firstLine="0"/>
        <w:jc w:val="both"/>
        <w:rPr>
          <w:rFonts w:ascii="Palatino Linotype" w:eastAsia="Palatino Linotype" w:hAnsi="Palatino Linotype" w:cs="Palatino Linotype"/>
        </w:rPr>
      </w:pPr>
      <w:r w:rsidRPr="00BE3BD1">
        <w:rPr>
          <w:rFonts w:ascii="Palatino Linotype" w:hAnsi="Palatino Linotype"/>
        </w:rPr>
        <w:t>Informe Policial Homologado.</w:t>
      </w:r>
    </w:p>
    <w:p w14:paraId="04CFD958" w14:textId="77777777" w:rsidR="00256A8B" w:rsidRPr="00BE3BD1" w:rsidRDefault="00256A8B" w:rsidP="00256A8B">
      <w:pPr>
        <w:pStyle w:val="Prrafodelista"/>
        <w:numPr>
          <w:ilvl w:val="0"/>
          <w:numId w:val="2"/>
        </w:numPr>
        <w:tabs>
          <w:tab w:val="left" w:pos="567"/>
        </w:tabs>
        <w:spacing w:before="240" w:after="240" w:line="360" w:lineRule="auto"/>
        <w:ind w:left="284" w:right="49" w:firstLine="0"/>
        <w:jc w:val="both"/>
        <w:rPr>
          <w:rFonts w:ascii="Palatino Linotype" w:eastAsia="Palatino Linotype" w:hAnsi="Palatino Linotype" w:cs="Palatino Linotype"/>
        </w:rPr>
      </w:pPr>
      <w:r w:rsidRPr="00BE3BD1">
        <w:rPr>
          <w:rFonts w:ascii="Palatino Linotype" w:hAnsi="Palatino Linotype"/>
        </w:rPr>
        <w:t xml:space="preserve">Boleta de remisión ante Juzgado Cívico (con copia para la persona asegurada). </w:t>
      </w:r>
    </w:p>
    <w:p w14:paraId="6B47AE79" w14:textId="77777777" w:rsidR="00256A8B" w:rsidRPr="00BE3BD1" w:rsidRDefault="00256A8B" w:rsidP="00256A8B">
      <w:pPr>
        <w:pStyle w:val="Prrafodelista"/>
        <w:numPr>
          <w:ilvl w:val="0"/>
          <w:numId w:val="2"/>
        </w:numPr>
        <w:tabs>
          <w:tab w:val="left" w:pos="567"/>
        </w:tabs>
        <w:spacing w:before="240" w:after="240" w:line="360" w:lineRule="auto"/>
        <w:ind w:left="284" w:right="49" w:firstLine="0"/>
        <w:jc w:val="both"/>
        <w:rPr>
          <w:rFonts w:ascii="Palatino Linotype" w:eastAsia="Palatino Linotype" w:hAnsi="Palatino Linotype" w:cs="Palatino Linotype"/>
        </w:rPr>
      </w:pPr>
      <w:r w:rsidRPr="00BE3BD1">
        <w:rPr>
          <w:rFonts w:ascii="Palatino Linotype" w:hAnsi="Palatino Linotype"/>
        </w:rPr>
        <w:t xml:space="preserve">Informe a su superior jerárquico. </w:t>
      </w:r>
    </w:p>
    <w:p w14:paraId="0BDB9DDA" w14:textId="77777777" w:rsidR="00256A8B" w:rsidRPr="00BE3BD1" w:rsidRDefault="00256A8B" w:rsidP="00256A8B">
      <w:pPr>
        <w:pStyle w:val="Prrafodelista"/>
        <w:numPr>
          <w:ilvl w:val="0"/>
          <w:numId w:val="2"/>
        </w:numPr>
        <w:tabs>
          <w:tab w:val="left" w:pos="567"/>
        </w:tabs>
        <w:spacing w:before="240" w:after="240" w:line="360" w:lineRule="auto"/>
        <w:ind w:left="284" w:right="49" w:firstLine="0"/>
        <w:jc w:val="both"/>
        <w:rPr>
          <w:rFonts w:ascii="Palatino Linotype" w:eastAsia="Palatino Linotype" w:hAnsi="Palatino Linotype" w:cs="Palatino Linotype"/>
        </w:rPr>
      </w:pPr>
      <w:r w:rsidRPr="00BE3BD1">
        <w:rPr>
          <w:rFonts w:ascii="Palatino Linotype" w:hAnsi="Palatino Linotype"/>
        </w:rPr>
        <w:t xml:space="preserve">Acuerdo de competencia, por el que iniciará el procedimiento. </w:t>
      </w:r>
    </w:p>
    <w:p w14:paraId="1EE00666" w14:textId="0343649A" w:rsidR="00256A8B" w:rsidRPr="00BE3BD1" w:rsidRDefault="00256A8B" w:rsidP="00256A8B">
      <w:pPr>
        <w:pStyle w:val="Prrafodelista"/>
        <w:numPr>
          <w:ilvl w:val="0"/>
          <w:numId w:val="2"/>
        </w:numPr>
        <w:tabs>
          <w:tab w:val="left" w:pos="567"/>
        </w:tabs>
        <w:spacing w:before="240" w:after="240" w:line="360" w:lineRule="auto"/>
        <w:ind w:left="284" w:right="49" w:firstLine="0"/>
        <w:jc w:val="both"/>
        <w:rPr>
          <w:rFonts w:ascii="Palatino Linotype" w:eastAsia="Palatino Linotype" w:hAnsi="Palatino Linotype" w:cs="Palatino Linotype"/>
        </w:rPr>
      </w:pPr>
      <w:r w:rsidRPr="00BE3BD1">
        <w:rPr>
          <w:rFonts w:ascii="Palatino Linotype" w:hAnsi="Palatino Linotype"/>
        </w:rPr>
        <w:lastRenderedPageBreak/>
        <w:t>Acuerdo de incompetencia, mediante el que remitirá a la persona probable infractora a la autoridad a la que corresponda conocer del asunto.</w:t>
      </w:r>
    </w:p>
    <w:p w14:paraId="24A9C085" w14:textId="274F87F6" w:rsidR="00AE49F0" w:rsidRPr="00BE3BD1" w:rsidRDefault="00AE49F0">
      <w:pPr>
        <w:spacing w:before="240" w:after="240" w:line="360" w:lineRule="auto"/>
        <w:ind w:right="49"/>
        <w:jc w:val="both"/>
        <w:rPr>
          <w:rFonts w:ascii="Palatino Linotype" w:hAnsi="Palatino Linotype"/>
        </w:rPr>
      </w:pPr>
      <w:r w:rsidRPr="00BE3BD1">
        <w:rPr>
          <w:rFonts w:ascii="Palatino Linotype" w:eastAsia="Palatino Linotype" w:hAnsi="Palatino Linotype" w:cs="Palatino Linotype"/>
        </w:rPr>
        <w:t xml:space="preserve">Documentos que se incorporarán a </w:t>
      </w:r>
      <w:r w:rsidRPr="00BE3BD1">
        <w:rPr>
          <w:rFonts w:ascii="Palatino Linotype" w:hAnsi="Palatino Linotype"/>
        </w:rPr>
        <w:t>un expediente físico de control, o en su caso también digital, creado específicamente para la persona probable infractora, debiendo enviar a la Comisión de Derechos Humanos del Estado de México, como evidencia de cumplimiento de la acción transformadora de manera ejemplificativa, un expediente de control que contendrá todos los documentos referidos</w:t>
      </w:r>
      <w:r w:rsidR="002D3C55" w:rsidRPr="00BE3BD1">
        <w:rPr>
          <w:rFonts w:ascii="Palatino Linotype" w:hAnsi="Palatino Linotype"/>
        </w:rPr>
        <w:t xml:space="preserve"> generados</w:t>
      </w:r>
      <w:r w:rsidRPr="00BE3BD1">
        <w:rPr>
          <w:rFonts w:ascii="Palatino Linotype" w:hAnsi="Palatino Linotype"/>
        </w:rPr>
        <w:t xml:space="preserve">, </w:t>
      </w:r>
      <w:r w:rsidRPr="00BE3BD1">
        <w:rPr>
          <w:rFonts w:ascii="Palatino Linotype" w:hAnsi="Palatino Linotype"/>
          <w:b/>
          <w:u w:val="single"/>
        </w:rPr>
        <w:t>sin llenado de datos personales</w:t>
      </w:r>
      <w:r w:rsidR="002D3C55" w:rsidRPr="00BE3BD1">
        <w:rPr>
          <w:rFonts w:ascii="Palatino Linotype" w:hAnsi="Palatino Linotype"/>
        </w:rPr>
        <w:t>, que comprueben que se ajustan a lo solicitado.</w:t>
      </w:r>
    </w:p>
    <w:p w14:paraId="311FBA6A" w14:textId="531CEBB2" w:rsidR="002D3C55" w:rsidRPr="00BE3BD1" w:rsidRDefault="002D3C55">
      <w:pPr>
        <w:spacing w:before="240" w:after="240" w:line="360" w:lineRule="auto"/>
        <w:ind w:right="49"/>
        <w:jc w:val="both"/>
        <w:rPr>
          <w:rFonts w:ascii="Palatino Linotype" w:hAnsi="Palatino Linotype"/>
        </w:rPr>
      </w:pPr>
      <w:r w:rsidRPr="00BE3BD1">
        <w:rPr>
          <w:rFonts w:ascii="Palatino Linotype" w:hAnsi="Palatino Linotype"/>
        </w:rPr>
        <w:t>O bien, si los formatos y el expediente de control ya se encuentran elaborado, se comprobará ante la Comisión su existencia, que están actualizados según lo establecido en la normativa aplicable, y el uso de los</w:t>
      </w:r>
      <w:r w:rsidR="0046594B" w:rsidRPr="00BE3BD1">
        <w:rPr>
          <w:rFonts w:ascii="Palatino Linotype" w:hAnsi="Palatino Linotype"/>
        </w:rPr>
        <w:t xml:space="preserve"> formatos por el Juzgado Cívico y los elementos policiales según corresponda.</w:t>
      </w:r>
    </w:p>
    <w:p w14:paraId="02B9438B" w14:textId="262C2C13" w:rsidR="0056063E" w:rsidRPr="00BE3BD1" w:rsidRDefault="0056063E">
      <w:pPr>
        <w:spacing w:before="240" w:after="240" w:line="360" w:lineRule="auto"/>
        <w:ind w:right="49"/>
        <w:jc w:val="both"/>
        <w:rPr>
          <w:rFonts w:ascii="Palatino Linotype" w:eastAsia="Palatino Linotype" w:hAnsi="Palatino Linotype" w:cs="Palatino Linotype"/>
        </w:rPr>
      </w:pPr>
      <w:r w:rsidRPr="00BE3BD1">
        <w:rPr>
          <w:rFonts w:ascii="Palatino Linotype" w:eastAsia="Palatino Linotype" w:hAnsi="Palatino Linotype" w:cs="Palatino Linotype"/>
        </w:rPr>
        <w:t xml:space="preserve">Y, si bien es cierto que las recomendaciones emitidas por la Comisión de Derechos Humanos del Estado de México, no son vinculatorias, no debe perderse de vista que una vez aceptadas, todas las autoridades o servidores públicos están obligados a responder, </w:t>
      </w:r>
      <w:r w:rsidRPr="00BE3BD1">
        <w:rPr>
          <w:rFonts w:ascii="Palatino Linotype" w:eastAsia="Palatino Linotype" w:hAnsi="Palatino Linotype" w:cs="Palatino Linotype"/>
          <w:b/>
          <w:bCs/>
          <w:u w:val="single"/>
        </w:rPr>
        <w:t>cumplirlas en sus términos y a dar publicidad a las acciones llevadas a cabo para la protección o restitución de los derechos humanos</w:t>
      </w:r>
      <w:r w:rsidRPr="00BE3BD1">
        <w:rPr>
          <w:rFonts w:ascii="Palatino Linotype" w:eastAsia="Palatino Linotype" w:hAnsi="Palatino Linotype" w:cs="Palatino Linotype"/>
        </w:rPr>
        <w:t xml:space="preserve">, para lo cual, como mínimo </w:t>
      </w:r>
      <w:r w:rsidRPr="00BE3BD1">
        <w:rPr>
          <w:rFonts w:ascii="Palatino Linotype" w:eastAsia="Palatino Linotype" w:hAnsi="Palatino Linotype" w:cs="Palatino Linotype"/>
          <w:b/>
          <w:bCs/>
          <w:u w:val="single"/>
        </w:rPr>
        <w:t>deben publicar dichas acciones en la página oficial de internet que corresponda y en el Periódico Oficial “Gaceta del Gobierno”</w:t>
      </w:r>
      <w:r w:rsidRPr="00BE3BD1">
        <w:rPr>
          <w:rFonts w:ascii="Palatino Linotype" w:eastAsia="Palatino Linotype" w:hAnsi="Palatino Linotype" w:cs="Palatino Linotype"/>
          <w:b/>
          <w:bCs/>
        </w:rPr>
        <w:t xml:space="preserve">, </w:t>
      </w:r>
      <w:r w:rsidRPr="00BE3BD1">
        <w:rPr>
          <w:rFonts w:ascii="Palatino Linotype" w:eastAsia="Palatino Linotype" w:hAnsi="Palatino Linotype" w:cs="Palatino Linotype"/>
        </w:rPr>
        <w:t xml:space="preserve">como se lee en el </w:t>
      </w:r>
      <w:r w:rsidR="00DE7F85" w:rsidRPr="00BE3BD1">
        <w:rPr>
          <w:rFonts w:ascii="Palatino Linotype" w:eastAsia="Palatino Linotype" w:hAnsi="Palatino Linotype" w:cs="Palatino Linotype"/>
        </w:rPr>
        <w:t>artículo</w:t>
      </w:r>
      <w:r w:rsidRPr="00BE3BD1">
        <w:rPr>
          <w:rFonts w:ascii="Palatino Linotype" w:eastAsia="Palatino Linotype" w:hAnsi="Palatino Linotype" w:cs="Palatino Linotype"/>
        </w:rPr>
        <w:t xml:space="preserve"> 107 de la Ley de la Comisión, a saber:</w:t>
      </w:r>
    </w:p>
    <w:p w14:paraId="6FE86BDF" w14:textId="77777777" w:rsidR="00A360C6" w:rsidRPr="00BE3BD1" w:rsidRDefault="00A360C6" w:rsidP="00A360C6">
      <w:pPr>
        <w:spacing w:before="120" w:after="120"/>
        <w:ind w:left="851" w:right="902"/>
        <w:jc w:val="both"/>
        <w:rPr>
          <w:rFonts w:ascii="Palatino Linotype" w:eastAsia="Palatino Linotype" w:hAnsi="Palatino Linotype" w:cs="Palatino Linotype"/>
          <w:b/>
          <w:bCs/>
          <w:i/>
          <w:iCs/>
          <w:sz w:val="22"/>
          <w:szCs w:val="22"/>
        </w:rPr>
      </w:pPr>
      <w:r w:rsidRPr="00BE3BD1">
        <w:rPr>
          <w:rFonts w:ascii="Palatino Linotype" w:eastAsia="Palatino Linotype" w:hAnsi="Palatino Linotype" w:cs="Palatino Linotype"/>
          <w:i/>
          <w:iCs/>
          <w:sz w:val="22"/>
          <w:szCs w:val="22"/>
        </w:rPr>
        <w:t>“</w:t>
      </w:r>
      <w:r w:rsidRPr="00BE3BD1">
        <w:rPr>
          <w:rFonts w:ascii="Palatino Linotype" w:eastAsia="Palatino Linotype" w:hAnsi="Palatino Linotype" w:cs="Palatino Linotype"/>
          <w:b/>
          <w:bCs/>
          <w:i/>
          <w:iCs/>
          <w:sz w:val="22"/>
          <w:szCs w:val="22"/>
        </w:rPr>
        <w:t>Artículo 107</w:t>
      </w:r>
      <w:r w:rsidRPr="00BE3BD1">
        <w:rPr>
          <w:rFonts w:ascii="Palatino Linotype" w:eastAsia="Palatino Linotype" w:hAnsi="Palatino Linotype" w:cs="Palatino Linotype"/>
          <w:i/>
          <w:iCs/>
          <w:sz w:val="22"/>
          <w:szCs w:val="22"/>
        </w:rPr>
        <w:t xml:space="preserve">.- Las Recomendaciones no son vinculatorias; sin embargo, </w:t>
      </w:r>
      <w:r w:rsidRPr="00BE3BD1">
        <w:rPr>
          <w:rFonts w:ascii="Palatino Linotype" w:eastAsia="Palatino Linotype" w:hAnsi="Palatino Linotype" w:cs="Palatino Linotype"/>
          <w:b/>
          <w:bCs/>
          <w:i/>
          <w:iCs/>
          <w:sz w:val="22"/>
          <w:szCs w:val="22"/>
        </w:rPr>
        <w:t xml:space="preserve">una vez aceptadas, todas las autoridades o servidores públicos están obligados a responder, cumplirlas en sus términos </w:t>
      </w:r>
      <w:r w:rsidRPr="00BE3BD1">
        <w:rPr>
          <w:rFonts w:ascii="Palatino Linotype" w:eastAsia="Palatino Linotype" w:hAnsi="Palatino Linotype" w:cs="Palatino Linotype"/>
          <w:b/>
          <w:bCs/>
          <w:i/>
          <w:iCs/>
          <w:sz w:val="22"/>
          <w:szCs w:val="22"/>
          <w:u w:val="single"/>
        </w:rPr>
        <w:t xml:space="preserve">y a dar publicidad a </w:t>
      </w:r>
      <w:r w:rsidRPr="00BE3BD1">
        <w:rPr>
          <w:rFonts w:ascii="Palatino Linotype" w:eastAsia="Palatino Linotype" w:hAnsi="Palatino Linotype" w:cs="Palatino Linotype"/>
          <w:b/>
          <w:bCs/>
          <w:i/>
          <w:iCs/>
          <w:sz w:val="22"/>
          <w:szCs w:val="22"/>
          <w:u w:val="single"/>
        </w:rPr>
        <w:lastRenderedPageBreak/>
        <w:t>las acciones llevadas a cabo para la protección o restitución de los derechos humanos</w:t>
      </w:r>
      <w:r w:rsidRPr="00BE3BD1">
        <w:rPr>
          <w:rFonts w:ascii="Palatino Linotype" w:eastAsia="Palatino Linotype" w:hAnsi="Palatino Linotype" w:cs="Palatino Linotype"/>
          <w:b/>
          <w:bCs/>
          <w:i/>
          <w:iCs/>
          <w:sz w:val="22"/>
          <w:szCs w:val="22"/>
        </w:rPr>
        <w:t xml:space="preserve">. </w:t>
      </w:r>
    </w:p>
    <w:p w14:paraId="6AFB28F1" w14:textId="5CB09AAD" w:rsidR="0056063E" w:rsidRPr="00BE3BD1" w:rsidRDefault="00A360C6" w:rsidP="00A360C6">
      <w:pPr>
        <w:spacing w:before="120" w:after="120"/>
        <w:ind w:left="851" w:right="902"/>
        <w:jc w:val="both"/>
        <w:rPr>
          <w:rFonts w:ascii="Palatino Linotype" w:eastAsia="Palatino Linotype" w:hAnsi="Palatino Linotype" w:cs="Palatino Linotype"/>
          <w:i/>
          <w:iCs/>
          <w:sz w:val="22"/>
          <w:szCs w:val="22"/>
        </w:rPr>
      </w:pPr>
      <w:r w:rsidRPr="00BE3BD1">
        <w:rPr>
          <w:rFonts w:ascii="Palatino Linotype" w:eastAsia="Palatino Linotype" w:hAnsi="Palatino Linotype" w:cs="Palatino Linotype"/>
          <w:i/>
          <w:iCs/>
          <w:sz w:val="22"/>
          <w:szCs w:val="22"/>
        </w:rPr>
        <w:t xml:space="preserve">Para tal efecto, como mínimo </w:t>
      </w:r>
      <w:r w:rsidRPr="00BE3BD1">
        <w:rPr>
          <w:rFonts w:ascii="Palatino Linotype" w:eastAsia="Palatino Linotype" w:hAnsi="Palatino Linotype" w:cs="Palatino Linotype"/>
          <w:b/>
          <w:bCs/>
          <w:i/>
          <w:iCs/>
          <w:sz w:val="22"/>
          <w:szCs w:val="22"/>
          <w:u w:val="single"/>
        </w:rPr>
        <w:t>deberán publicar dichas acciones en la página oficial de internet que corresponda y en el Periódico Oficial “Gaceta del Gobierno</w:t>
      </w:r>
      <w:r w:rsidRPr="00BE3BD1">
        <w:rPr>
          <w:rFonts w:ascii="Palatino Linotype" w:eastAsia="Palatino Linotype" w:hAnsi="Palatino Linotype" w:cs="Palatino Linotype"/>
          <w:i/>
          <w:iCs/>
          <w:sz w:val="22"/>
          <w:szCs w:val="22"/>
        </w:rPr>
        <w:t>.”</w:t>
      </w:r>
    </w:p>
    <w:p w14:paraId="4AD826E5" w14:textId="77777777" w:rsidR="00FD275D" w:rsidRPr="00BE3BD1" w:rsidRDefault="00A360C6" w:rsidP="00DE7F85">
      <w:pPr>
        <w:spacing w:before="240" w:after="240" w:line="360" w:lineRule="auto"/>
        <w:ind w:right="49"/>
        <w:jc w:val="both"/>
        <w:rPr>
          <w:rFonts w:ascii="Palatino Linotype" w:eastAsia="Palatino Linotype" w:hAnsi="Palatino Linotype" w:cs="Palatino Linotype"/>
        </w:rPr>
      </w:pPr>
      <w:r w:rsidRPr="00BE3BD1">
        <w:rPr>
          <w:rFonts w:ascii="Palatino Linotype" w:eastAsia="Palatino Linotype" w:hAnsi="Palatino Linotype" w:cs="Palatino Linotype"/>
        </w:rPr>
        <w:t xml:space="preserve">Atento a lo anterior, es de señalar que de la respuesta proporcionada por el </w:t>
      </w:r>
      <w:r w:rsidRPr="00BE3BD1">
        <w:rPr>
          <w:rFonts w:ascii="Palatino Linotype" w:eastAsia="Palatino Linotype" w:hAnsi="Palatino Linotype" w:cs="Palatino Linotype"/>
          <w:b/>
          <w:bCs/>
        </w:rPr>
        <w:t xml:space="preserve">Sujeto Obligado, </w:t>
      </w:r>
      <w:r w:rsidRPr="00BE3BD1">
        <w:rPr>
          <w:rFonts w:ascii="Palatino Linotype" w:eastAsia="Palatino Linotype" w:hAnsi="Palatino Linotype" w:cs="Palatino Linotype"/>
        </w:rPr>
        <w:t xml:space="preserve">se colige que este aceptó la Recomendación 4/2024, tan es así, </w:t>
      </w:r>
      <w:r w:rsidR="00DE7F85" w:rsidRPr="00BE3BD1">
        <w:rPr>
          <w:rFonts w:ascii="Palatino Linotype" w:eastAsia="Palatino Linotype" w:hAnsi="Palatino Linotype" w:cs="Palatino Linotype"/>
        </w:rPr>
        <w:t xml:space="preserve">que </w:t>
      </w:r>
      <w:r w:rsidRPr="00BE3BD1">
        <w:rPr>
          <w:rFonts w:ascii="Palatino Linotype" w:eastAsia="Palatino Linotype" w:hAnsi="Palatino Linotype" w:cs="Palatino Linotype"/>
        </w:rPr>
        <w:t xml:space="preserve">hizo llegar </w:t>
      </w:r>
      <w:r w:rsidR="00DE7F85" w:rsidRPr="00BE3BD1">
        <w:rPr>
          <w:rFonts w:ascii="Palatino Linotype" w:eastAsia="Palatino Linotype" w:hAnsi="Palatino Linotype" w:cs="Palatino Linotype"/>
        </w:rPr>
        <w:t>la carpeta de evidencias del</w:t>
      </w:r>
      <w:r w:rsidRPr="00BE3BD1">
        <w:rPr>
          <w:rFonts w:ascii="Palatino Linotype" w:eastAsia="Palatino Linotype" w:hAnsi="Palatino Linotype" w:cs="Palatino Linotype"/>
        </w:rPr>
        <w:t xml:space="preserve"> cumplimiento </w:t>
      </w:r>
      <w:r w:rsidR="00DE7F85" w:rsidRPr="00BE3BD1">
        <w:rPr>
          <w:rFonts w:ascii="Palatino Linotype" w:eastAsia="Palatino Linotype" w:hAnsi="Palatino Linotype" w:cs="Palatino Linotype"/>
        </w:rPr>
        <w:t xml:space="preserve">a la Comisión de Derechos Humanos del Estado de México, </w:t>
      </w:r>
      <w:r w:rsidRPr="00BE3BD1">
        <w:rPr>
          <w:rFonts w:ascii="Palatino Linotype" w:eastAsia="Palatino Linotype" w:hAnsi="Palatino Linotype" w:cs="Palatino Linotype"/>
        </w:rPr>
        <w:t xml:space="preserve">el veintidós de enero de dos mil veinticinco, </w:t>
      </w:r>
      <w:r w:rsidR="00DE7F85" w:rsidRPr="00BE3BD1">
        <w:rPr>
          <w:rFonts w:ascii="Palatino Linotype" w:eastAsia="Palatino Linotype" w:hAnsi="Palatino Linotype" w:cs="Palatino Linotype"/>
        </w:rPr>
        <w:t xml:space="preserve">según lo manifestado por la servidora pública habilitada de la </w:t>
      </w:r>
      <w:r w:rsidR="00FD275D" w:rsidRPr="00BE3BD1">
        <w:rPr>
          <w:rFonts w:ascii="Palatino Linotype" w:eastAsia="Palatino Linotype" w:hAnsi="Palatino Linotype" w:cs="Palatino Linotype"/>
        </w:rPr>
        <w:t>Defensoría Municipal de los Derechos Humanos.</w:t>
      </w:r>
    </w:p>
    <w:p w14:paraId="6106082E" w14:textId="4C56D02F" w:rsidR="00A1234A" w:rsidRPr="00BE3BD1" w:rsidRDefault="00FD275D" w:rsidP="00DE7F85">
      <w:pPr>
        <w:spacing w:before="240" w:after="240" w:line="360" w:lineRule="auto"/>
        <w:ind w:right="49"/>
        <w:jc w:val="both"/>
        <w:rPr>
          <w:rFonts w:ascii="Palatino Linotype" w:eastAsia="Palatino Linotype" w:hAnsi="Palatino Linotype" w:cs="Palatino Linotype"/>
        </w:rPr>
      </w:pPr>
      <w:r w:rsidRPr="00BE3BD1">
        <w:rPr>
          <w:rFonts w:ascii="Palatino Linotype" w:eastAsia="Palatino Linotype" w:hAnsi="Palatino Linotype" w:cs="Palatino Linotype"/>
        </w:rPr>
        <w:t>Por consiguiente, para tener por satisfecho Derecho de acceso de la persona solicitante, estima que lo procedente es ordenar la entrega de la carpeta de evidencias del cumplimiento de la Recomendación 04/2024 emitida a la Presidencia Municipal Constitucional de Toluca de Lerdo, Estado de México el 04 de diciembre de 2024</w:t>
      </w:r>
      <w:r w:rsidR="001307BB" w:rsidRPr="00BE3BD1">
        <w:rPr>
          <w:rFonts w:ascii="Palatino Linotype" w:eastAsia="Palatino Linotype" w:hAnsi="Palatino Linotype" w:cs="Palatino Linotype"/>
        </w:rPr>
        <w:t>, en versión pública</w:t>
      </w:r>
      <w:r w:rsidR="005C2665" w:rsidRPr="00BE3BD1">
        <w:rPr>
          <w:rFonts w:ascii="Palatino Linotype" w:eastAsia="Palatino Linotype" w:hAnsi="Palatino Linotype" w:cs="Palatino Linotype"/>
        </w:rPr>
        <w:t xml:space="preserve"> de ser procedente</w:t>
      </w:r>
      <w:r w:rsidR="001307BB" w:rsidRPr="00BE3BD1">
        <w:rPr>
          <w:rFonts w:ascii="Palatino Linotype" w:eastAsia="Palatino Linotype" w:hAnsi="Palatino Linotype" w:cs="Palatino Linotype"/>
        </w:rPr>
        <w:t>, de conformidad con el considerando siguiente.</w:t>
      </w:r>
    </w:p>
    <w:p w14:paraId="65331BB8" w14:textId="3CFC7B05" w:rsidR="00BB1403" w:rsidRPr="00BE3BD1" w:rsidRDefault="003A56BC">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BE3BD1">
        <w:rPr>
          <w:rFonts w:ascii="Palatino Linotype" w:eastAsia="Palatino Linotype" w:hAnsi="Palatino Linotype" w:cs="Palatino Linotype"/>
        </w:rPr>
        <w:t xml:space="preserve">De lo hasta aquí expuesto, se concluye que los motivos de inconformidad de la parte </w:t>
      </w:r>
      <w:r w:rsidRPr="00BE3BD1">
        <w:rPr>
          <w:rFonts w:ascii="Palatino Linotype" w:eastAsia="Palatino Linotype" w:hAnsi="Palatino Linotype" w:cs="Palatino Linotype"/>
          <w:b/>
        </w:rPr>
        <w:t xml:space="preserve">Recurrente </w:t>
      </w:r>
      <w:r w:rsidRPr="00BE3BD1">
        <w:rPr>
          <w:rFonts w:ascii="Palatino Linotype" w:eastAsia="Palatino Linotype" w:hAnsi="Palatino Linotype" w:cs="Palatino Linotype"/>
        </w:rPr>
        <w:t xml:space="preserve">devienen fundados, siendo procedente </w:t>
      </w:r>
      <w:r w:rsidR="0019764B" w:rsidRPr="00BE3BD1">
        <w:rPr>
          <w:rFonts w:ascii="Palatino Linotype" w:eastAsia="Palatino Linotype" w:hAnsi="Palatino Linotype" w:cs="Palatino Linotype"/>
          <w:i/>
        </w:rPr>
        <w:t xml:space="preserve">Modificar </w:t>
      </w:r>
      <w:r w:rsidRPr="00BE3BD1">
        <w:rPr>
          <w:rFonts w:ascii="Palatino Linotype" w:eastAsia="Palatino Linotype" w:hAnsi="Palatino Linotype" w:cs="Palatino Linotype"/>
        </w:rPr>
        <w:t xml:space="preserve">la respuesta proporcionada por el </w:t>
      </w:r>
      <w:r w:rsidRPr="00BE3BD1">
        <w:rPr>
          <w:rFonts w:ascii="Palatino Linotype" w:eastAsia="Palatino Linotype" w:hAnsi="Palatino Linotype" w:cs="Palatino Linotype"/>
          <w:b/>
        </w:rPr>
        <w:t xml:space="preserve">Sujeto Obligado </w:t>
      </w:r>
      <w:r w:rsidRPr="00BE3BD1">
        <w:rPr>
          <w:rFonts w:ascii="Palatino Linotype" w:eastAsia="Palatino Linotype" w:hAnsi="Palatino Linotype" w:cs="Palatino Linotype"/>
        </w:rPr>
        <w:t>en términos del artículo 186 fracción III de la Ley de Transparencia y Acceso a la Información Pública del Estado de México y Municipios.</w:t>
      </w:r>
    </w:p>
    <w:p w14:paraId="74BB5096" w14:textId="1EB161F8" w:rsidR="00BB1403" w:rsidRPr="00BE3BD1" w:rsidRDefault="003A56BC">
      <w:pPr>
        <w:spacing w:before="240" w:after="240" w:line="360" w:lineRule="auto"/>
        <w:jc w:val="both"/>
        <w:rPr>
          <w:rFonts w:ascii="Palatino Linotype" w:eastAsia="Palatino Linotype" w:hAnsi="Palatino Linotype" w:cs="Palatino Linotype"/>
        </w:rPr>
      </w:pPr>
      <w:r w:rsidRPr="00BE3BD1">
        <w:rPr>
          <w:rFonts w:ascii="Palatino Linotype" w:eastAsia="Palatino Linotype" w:hAnsi="Palatino Linotype" w:cs="Palatino Linotype"/>
          <w:b/>
        </w:rPr>
        <w:t>Quinto. Versión Pública.</w:t>
      </w:r>
      <w:r w:rsidRPr="00BE3BD1">
        <w:rPr>
          <w:rFonts w:ascii="Palatino Linotype" w:eastAsia="Palatino Linotype" w:hAnsi="Palatino Linotype" w:cs="Palatino Linotype"/>
          <w:sz w:val="28"/>
          <w:szCs w:val="28"/>
        </w:rPr>
        <w:t xml:space="preserve"> </w:t>
      </w:r>
      <w:r w:rsidRPr="00BE3BD1">
        <w:rPr>
          <w:rFonts w:ascii="Palatino Linotype" w:eastAsia="Palatino Linotype" w:hAnsi="Palatino Linotype" w:cs="Palatino Linotype"/>
        </w:rPr>
        <w:t xml:space="preserve">Finalmente, debe señalarse que de ser el caso en que los documentos que vayan a ser entregados para dar cumplimiento a la presente </w:t>
      </w:r>
      <w:r w:rsidRPr="00BE3BD1">
        <w:rPr>
          <w:rFonts w:ascii="Palatino Linotype" w:eastAsia="Palatino Linotype" w:hAnsi="Palatino Linotype" w:cs="Palatino Linotype"/>
        </w:rPr>
        <w:lastRenderedPageBreak/>
        <w:t xml:space="preserve">resolución, contengan datos que deban ser clasificados, el </w:t>
      </w:r>
      <w:r w:rsidRPr="00BE3BD1">
        <w:rPr>
          <w:rFonts w:ascii="Palatino Linotype" w:eastAsia="Palatino Linotype" w:hAnsi="Palatino Linotype" w:cs="Palatino Linotype"/>
          <w:b/>
        </w:rPr>
        <w:t>Sujeto Obligado</w:t>
      </w:r>
      <w:r w:rsidRPr="00BE3BD1">
        <w:rPr>
          <w:rFonts w:ascii="Palatino Linotype" w:eastAsia="Palatino Linotype" w:hAnsi="Palatino Linotype" w:cs="Palatino Linotype"/>
        </w:rPr>
        <w:t xml:space="preserve"> deberá hacer la elaboración de la versión pública de tales documentos a fin de satisfacer el derecho de acceso a la información pública de la parte </w:t>
      </w:r>
      <w:r w:rsidRPr="00BE3BD1">
        <w:rPr>
          <w:rFonts w:ascii="Palatino Linotype" w:eastAsia="Palatino Linotype" w:hAnsi="Palatino Linotype" w:cs="Palatino Linotype"/>
          <w:b/>
        </w:rPr>
        <w:t>Recurrente</w:t>
      </w:r>
      <w:r w:rsidR="00E367B1" w:rsidRPr="00BE3BD1">
        <w:rPr>
          <w:rFonts w:ascii="Palatino Linotype" w:eastAsia="Palatino Linotype" w:hAnsi="Palatino Linotype" w:cs="Palatino Linotype"/>
        </w:rPr>
        <w:t>.</w:t>
      </w:r>
    </w:p>
    <w:p w14:paraId="510F762A" w14:textId="6B3C1823" w:rsidR="00BB1403" w:rsidRPr="00BE3BD1" w:rsidRDefault="003A56BC">
      <w:pPr>
        <w:spacing w:before="240" w:after="240" w:line="360" w:lineRule="auto"/>
        <w:jc w:val="both"/>
        <w:rPr>
          <w:rFonts w:ascii="Palatino Linotype" w:eastAsia="Palatino Linotype" w:hAnsi="Palatino Linotype" w:cs="Palatino Linotype"/>
        </w:rPr>
      </w:pPr>
      <w:r w:rsidRPr="00BE3BD1">
        <w:rPr>
          <w:rFonts w:ascii="Palatino Linotype" w:eastAsia="Palatino Linotype" w:hAnsi="Palatino Linotype" w:cs="Palatino Linotype"/>
        </w:rPr>
        <w:t>Para efectos de la elaboración de la versión pública se deberá observar lo dispuesto por los artículos 3</w:t>
      </w:r>
      <w:r w:rsidR="00F37EA5" w:rsidRPr="00BE3BD1">
        <w:rPr>
          <w:rFonts w:ascii="Palatino Linotype" w:eastAsia="Palatino Linotype" w:hAnsi="Palatino Linotype" w:cs="Palatino Linotype"/>
        </w:rPr>
        <w:t>,</w:t>
      </w:r>
      <w:r w:rsidRPr="00BE3BD1">
        <w:rPr>
          <w:rFonts w:ascii="Palatino Linotype" w:eastAsia="Palatino Linotype" w:hAnsi="Palatino Linotype" w:cs="Palatino Linotype"/>
        </w:rPr>
        <w:t xml:space="preserve"> fracciones </w:t>
      </w:r>
      <w:r w:rsidR="00F37EA5" w:rsidRPr="00BE3BD1">
        <w:rPr>
          <w:rFonts w:ascii="Palatino Linotype" w:eastAsia="Palatino Linotype" w:hAnsi="Palatino Linotype" w:cs="Palatino Linotype"/>
        </w:rPr>
        <w:t>XX, XXIV</w:t>
      </w:r>
      <w:r w:rsidR="00AA699C" w:rsidRPr="00BE3BD1">
        <w:rPr>
          <w:rFonts w:ascii="Palatino Linotype" w:eastAsia="Palatino Linotype" w:hAnsi="Palatino Linotype" w:cs="Palatino Linotype"/>
        </w:rPr>
        <w:t xml:space="preserve"> </w:t>
      </w:r>
      <w:r w:rsidR="0019764B" w:rsidRPr="00BE3BD1">
        <w:rPr>
          <w:rFonts w:ascii="Palatino Linotype" w:eastAsia="Palatino Linotype" w:hAnsi="Palatino Linotype" w:cs="Palatino Linotype"/>
        </w:rPr>
        <w:t xml:space="preserve">y XLV, 91, </w:t>
      </w:r>
      <w:r w:rsidR="00E31028" w:rsidRPr="00BE3BD1">
        <w:rPr>
          <w:rFonts w:ascii="Palatino Linotype" w:eastAsia="Palatino Linotype" w:hAnsi="Palatino Linotype" w:cs="Palatino Linotype"/>
        </w:rPr>
        <w:t xml:space="preserve">132 y 137 </w:t>
      </w:r>
      <w:r w:rsidRPr="00BE3BD1">
        <w:rPr>
          <w:rFonts w:ascii="Palatino Linotype" w:eastAsia="Palatino Linotype" w:hAnsi="Palatino Linotype" w:cs="Palatino Linotype"/>
        </w:rPr>
        <w:t>de la Ley de Transparencia y Acceso a la Información Pública del Estado de México y Municipios, que establecen:</w:t>
      </w:r>
    </w:p>
    <w:p w14:paraId="593503D8" w14:textId="77777777" w:rsidR="00BB1403" w:rsidRPr="00BE3BD1" w:rsidRDefault="003A56BC">
      <w:pPr>
        <w:spacing w:before="120" w:after="120"/>
        <w:ind w:left="851" w:right="902"/>
        <w:jc w:val="both"/>
        <w:rPr>
          <w:rFonts w:ascii="Palatino Linotype" w:eastAsia="Palatino Linotype" w:hAnsi="Palatino Linotype" w:cs="Palatino Linotype"/>
          <w:i/>
          <w:sz w:val="22"/>
          <w:szCs w:val="22"/>
        </w:rPr>
      </w:pPr>
      <w:r w:rsidRPr="00BE3BD1">
        <w:rPr>
          <w:rFonts w:ascii="Palatino Linotype" w:eastAsia="Palatino Linotype" w:hAnsi="Palatino Linotype" w:cs="Palatino Linotype"/>
          <w:i/>
          <w:sz w:val="22"/>
          <w:szCs w:val="22"/>
        </w:rPr>
        <w:t>“</w:t>
      </w:r>
      <w:r w:rsidRPr="00BE3BD1">
        <w:rPr>
          <w:rFonts w:ascii="Palatino Linotype" w:eastAsia="Palatino Linotype" w:hAnsi="Palatino Linotype" w:cs="Palatino Linotype"/>
          <w:b/>
          <w:i/>
          <w:sz w:val="22"/>
          <w:szCs w:val="22"/>
        </w:rPr>
        <w:t>Artículo 3</w:t>
      </w:r>
      <w:r w:rsidRPr="00BE3BD1">
        <w:rPr>
          <w:rFonts w:ascii="Palatino Linotype" w:eastAsia="Palatino Linotype" w:hAnsi="Palatino Linotype" w:cs="Palatino Linotype"/>
          <w:i/>
          <w:sz w:val="22"/>
          <w:szCs w:val="22"/>
        </w:rPr>
        <w:t>. Para los efectos de la presente Ley se entenderá por:</w:t>
      </w:r>
    </w:p>
    <w:p w14:paraId="61E16675" w14:textId="77777777" w:rsidR="00BB1403" w:rsidRPr="00BE3BD1" w:rsidRDefault="003A56BC">
      <w:pPr>
        <w:spacing w:before="120" w:after="120"/>
        <w:ind w:left="1134" w:right="902"/>
        <w:jc w:val="both"/>
        <w:rPr>
          <w:rFonts w:ascii="Palatino Linotype" w:eastAsia="Palatino Linotype" w:hAnsi="Palatino Linotype" w:cs="Palatino Linotype"/>
          <w:i/>
          <w:sz w:val="22"/>
          <w:szCs w:val="22"/>
        </w:rPr>
      </w:pPr>
      <w:r w:rsidRPr="00BE3BD1">
        <w:rPr>
          <w:rFonts w:ascii="Palatino Linotype" w:eastAsia="Palatino Linotype" w:hAnsi="Palatino Linotype" w:cs="Palatino Linotype"/>
          <w:i/>
          <w:sz w:val="22"/>
          <w:szCs w:val="22"/>
        </w:rPr>
        <w:t>…</w:t>
      </w:r>
    </w:p>
    <w:p w14:paraId="5937F51D" w14:textId="77777777" w:rsidR="00BB1403" w:rsidRPr="00BE3BD1" w:rsidRDefault="003A56BC" w:rsidP="00AA699C">
      <w:pPr>
        <w:spacing w:before="120" w:after="120"/>
        <w:ind w:left="1134" w:right="902"/>
        <w:jc w:val="both"/>
        <w:rPr>
          <w:rFonts w:ascii="Palatino Linotype" w:eastAsia="Palatino Linotype" w:hAnsi="Palatino Linotype" w:cs="Palatino Linotype"/>
          <w:i/>
          <w:sz w:val="22"/>
          <w:szCs w:val="22"/>
        </w:rPr>
      </w:pPr>
      <w:r w:rsidRPr="00BE3BD1">
        <w:rPr>
          <w:rFonts w:ascii="Palatino Linotype" w:eastAsia="Palatino Linotype" w:hAnsi="Palatino Linotype" w:cs="Palatino Linotype"/>
          <w:b/>
          <w:i/>
          <w:sz w:val="22"/>
          <w:szCs w:val="22"/>
        </w:rPr>
        <w:t>XX. Información clasificada</w:t>
      </w:r>
      <w:r w:rsidRPr="00BE3BD1">
        <w:rPr>
          <w:rFonts w:ascii="Palatino Linotype" w:eastAsia="Palatino Linotype" w:hAnsi="Palatino Linotype" w:cs="Palatino Linotype"/>
          <w:i/>
          <w:sz w:val="22"/>
          <w:szCs w:val="22"/>
        </w:rPr>
        <w:t>: Aquella considerada por la presente Ley como reservada o confidencial;</w:t>
      </w:r>
    </w:p>
    <w:p w14:paraId="6ED3E6D9" w14:textId="2FB31E24" w:rsidR="00AA699C" w:rsidRPr="00BE3BD1" w:rsidRDefault="00AA699C" w:rsidP="00AA699C">
      <w:pPr>
        <w:spacing w:before="120" w:after="120"/>
        <w:ind w:left="1134" w:right="902"/>
        <w:jc w:val="both"/>
        <w:rPr>
          <w:rFonts w:ascii="Palatino Linotype" w:hAnsi="Palatino Linotype"/>
          <w:b/>
          <w:i/>
          <w:sz w:val="22"/>
          <w:szCs w:val="22"/>
        </w:rPr>
      </w:pPr>
      <w:r w:rsidRPr="00BE3BD1">
        <w:rPr>
          <w:rFonts w:ascii="Palatino Linotype" w:hAnsi="Palatino Linotype"/>
          <w:b/>
          <w:i/>
          <w:sz w:val="22"/>
          <w:szCs w:val="22"/>
        </w:rPr>
        <w:t>...</w:t>
      </w:r>
    </w:p>
    <w:p w14:paraId="736D98CE" w14:textId="77777777" w:rsidR="00AA699C" w:rsidRPr="00BE3BD1" w:rsidRDefault="00AA699C" w:rsidP="00AA699C">
      <w:pPr>
        <w:spacing w:before="120" w:after="120"/>
        <w:ind w:left="1134" w:right="902"/>
        <w:jc w:val="both"/>
        <w:rPr>
          <w:rFonts w:ascii="Palatino Linotype" w:hAnsi="Palatino Linotype"/>
          <w:i/>
          <w:sz w:val="22"/>
          <w:szCs w:val="22"/>
        </w:rPr>
      </w:pPr>
      <w:r w:rsidRPr="00BE3BD1">
        <w:rPr>
          <w:rFonts w:ascii="Palatino Linotype" w:hAnsi="Palatino Linotype"/>
          <w:b/>
          <w:i/>
          <w:sz w:val="22"/>
          <w:szCs w:val="22"/>
        </w:rPr>
        <w:t>XXIV.</w:t>
      </w:r>
      <w:r w:rsidRPr="00BE3BD1">
        <w:rPr>
          <w:rFonts w:ascii="Palatino Linotype" w:hAnsi="Palatino Linotype"/>
          <w:i/>
          <w:sz w:val="22"/>
          <w:szCs w:val="22"/>
        </w:rPr>
        <w:t xml:space="preserve"> </w:t>
      </w:r>
      <w:r w:rsidRPr="00BE3BD1">
        <w:rPr>
          <w:rFonts w:ascii="Palatino Linotype" w:hAnsi="Palatino Linotype"/>
          <w:b/>
          <w:i/>
          <w:sz w:val="22"/>
          <w:szCs w:val="22"/>
        </w:rPr>
        <w:t>Información reservada</w:t>
      </w:r>
      <w:r w:rsidRPr="00BE3BD1">
        <w:rPr>
          <w:rFonts w:ascii="Palatino Linotype" w:hAnsi="Palatino Linotype"/>
          <w:i/>
          <w:sz w:val="22"/>
          <w:szCs w:val="22"/>
        </w:rPr>
        <w:t xml:space="preserve">: La clasificada con este carácter de manera temporal por las disposiciones de esta Ley, cuya divulgación puede causar daño en términos de lo establecido por esta Ley; </w:t>
      </w:r>
    </w:p>
    <w:p w14:paraId="05982393" w14:textId="0550E88B" w:rsidR="00AA699C" w:rsidRPr="00BE3BD1" w:rsidRDefault="00AA699C">
      <w:pPr>
        <w:spacing w:before="120" w:after="120"/>
        <w:ind w:left="1134" w:right="902"/>
        <w:jc w:val="both"/>
        <w:rPr>
          <w:rFonts w:ascii="Palatino Linotype" w:eastAsia="Palatino Linotype" w:hAnsi="Palatino Linotype" w:cs="Palatino Linotype"/>
          <w:b/>
          <w:i/>
          <w:sz w:val="22"/>
          <w:szCs w:val="22"/>
        </w:rPr>
      </w:pPr>
      <w:r w:rsidRPr="00BE3BD1">
        <w:rPr>
          <w:rFonts w:ascii="Palatino Linotype" w:eastAsia="Palatino Linotype" w:hAnsi="Palatino Linotype" w:cs="Palatino Linotype"/>
          <w:b/>
          <w:i/>
          <w:sz w:val="22"/>
          <w:szCs w:val="22"/>
        </w:rPr>
        <w:t>...</w:t>
      </w:r>
    </w:p>
    <w:p w14:paraId="29B2CC37" w14:textId="4E8C0654" w:rsidR="00BB1403" w:rsidRPr="00BE3BD1" w:rsidRDefault="003A56BC">
      <w:pPr>
        <w:spacing w:before="120" w:after="120"/>
        <w:ind w:left="1134" w:right="902"/>
        <w:jc w:val="both"/>
        <w:rPr>
          <w:rFonts w:ascii="Palatino Linotype" w:eastAsia="Palatino Linotype" w:hAnsi="Palatino Linotype" w:cs="Palatino Linotype"/>
          <w:i/>
          <w:sz w:val="22"/>
          <w:szCs w:val="22"/>
        </w:rPr>
      </w:pPr>
      <w:r w:rsidRPr="00BE3BD1">
        <w:rPr>
          <w:rFonts w:ascii="Palatino Linotype" w:eastAsia="Palatino Linotype" w:hAnsi="Palatino Linotype" w:cs="Palatino Linotype"/>
          <w:b/>
          <w:i/>
          <w:sz w:val="22"/>
          <w:szCs w:val="22"/>
        </w:rPr>
        <w:t>XLV. Versión pública:</w:t>
      </w:r>
      <w:r w:rsidRPr="00BE3BD1">
        <w:rPr>
          <w:rFonts w:ascii="Palatino Linotype" w:eastAsia="Palatino Linotype" w:hAnsi="Palatino Linotype" w:cs="Palatino Linotype"/>
          <w:i/>
          <w:sz w:val="22"/>
          <w:szCs w:val="22"/>
        </w:rPr>
        <w:t xml:space="preserve"> Documento en el que se elimine, suprime o borra la información clasificada como reservada o confidencial para permitir su acceso.</w:t>
      </w:r>
    </w:p>
    <w:p w14:paraId="4B51273B" w14:textId="77777777" w:rsidR="00BB1403" w:rsidRPr="00BE3BD1" w:rsidRDefault="003A56BC">
      <w:pPr>
        <w:spacing w:before="120" w:after="120"/>
        <w:ind w:left="1134" w:right="902"/>
        <w:jc w:val="both"/>
        <w:rPr>
          <w:rFonts w:ascii="Palatino Linotype" w:eastAsia="Palatino Linotype" w:hAnsi="Palatino Linotype" w:cs="Palatino Linotype"/>
          <w:i/>
          <w:sz w:val="22"/>
          <w:szCs w:val="22"/>
        </w:rPr>
      </w:pPr>
      <w:r w:rsidRPr="00BE3BD1">
        <w:rPr>
          <w:rFonts w:ascii="Palatino Linotype" w:eastAsia="Palatino Linotype" w:hAnsi="Palatino Linotype" w:cs="Palatino Linotype"/>
          <w:i/>
          <w:sz w:val="22"/>
          <w:szCs w:val="22"/>
        </w:rPr>
        <w:t>…</w:t>
      </w:r>
    </w:p>
    <w:p w14:paraId="035AE6B1" w14:textId="77777777" w:rsidR="00BB1403" w:rsidRPr="00BE3BD1" w:rsidRDefault="003A56BC">
      <w:pPr>
        <w:spacing w:before="120" w:after="120"/>
        <w:ind w:left="851" w:right="902"/>
        <w:jc w:val="both"/>
        <w:rPr>
          <w:rFonts w:ascii="Palatino Linotype" w:eastAsia="Palatino Linotype" w:hAnsi="Palatino Linotype" w:cs="Palatino Linotype"/>
          <w:i/>
          <w:sz w:val="22"/>
          <w:szCs w:val="22"/>
        </w:rPr>
      </w:pPr>
      <w:r w:rsidRPr="00BE3BD1">
        <w:rPr>
          <w:rFonts w:ascii="Palatino Linotype" w:eastAsia="Palatino Linotype" w:hAnsi="Palatino Linotype" w:cs="Palatino Linotype"/>
          <w:b/>
          <w:i/>
          <w:sz w:val="22"/>
          <w:szCs w:val="22"/>
        </w:rPr>
        <w:t>Artículo 91.</w:t>
      </w:r>
      <w:r w:rsidRPr="00BE3BD1">
        <w:rPr>
          <w:rFonts w:ascii="Palatino Linotype" w:eastAsia="Palatino Linotype" w:hAnsi="Palatino Linotype" w:cs="Palatino Linotype"/>
          <w:i/>
          <w:sz w:val="22"/>
          <w:szCs w:val="22"/>
        </w:rPr>
        <w:t xml:space="preserve"> El acceso a la información pública será restringido excepcionalmente, cuando ésta sea clasificada como reservada o confidencial.</w:t>
      </w:r>
    </w:p>
    <w:p w14:paraId="7B76E861" w14:textId="268D289E" w:rsidR="00E31028" w:rsidRPr="00BE3BD1" w:rsidRDefault="00E31028">
      <w:pPr>
        <w:spacing w:before="120" w:after="120"/>
        <w:ind w:left="851" w:right="902"/>
        <w:jc w:val="both"/>
        <w:rPr>
          <w:rFonts w:ascii="Palatino Linotype" w:eastAsia="Palatino Linotype" w:hAnsi="Palatino Linotype" w:cs="Palatino Linotype"/>
          <w:b/>
          <w:i/>
          <w:sz w:val="22"/>
          <w:szCs w:val="22"/>
        </w:rPr>
      </w:pPr>
      <w:r w:rsidRPr="00BE3BD1">
        <w:rPr>
          <w:rFonts w:ascii="Palatino Linotype" w:eastAsia="Palatino Linotype" w:hAnsi="Palatino Linotype" w:cs="Palatino Linotype"/>
          <w:b/>
          <w:i/>
          <w:sz w:val="22"/>
          <w:szCs w:val="22"/>
        </w:rPr>
        <w:t>...</w:t>
      </w:r>
    </w:p>
    <w:p w14:paraId="5150C920" w14:textId="77777777" w:rsidR="00BB1403" w:rsidRPr="00BE3BD1" w:rsidRDefault="003A56BC">
      <w:pPr>
        <w:spacing w:before="120" w:after="120"/>
        <w:ind w:left="851" w:right="902"/>
        <w:jc w:val="both"/>
        <w:rPr>
          <w:rFonts w:ascii="Palatino Linotype" w:eastAsia="Palatino Linotype" w:hAnsi="Palatino Linotype" w:cs="Palatino Linotype"/>
          <w:i/>
          <w:sz w:val="22"/>
          <w:szCs w:val="22"/>
        </w:rPr>
      </w:pPr>
      <w:r w:rsidRPr="00BE3BD1">
        <w:rPr>
          <w:rFonts w:ascii="Palatino Linotype" w:eastAsia="Palatino Linotype" w:hAnsi="Palatino Linotype" w:cs="Palatino Linotype"/>
          <w:b/>
          <w:i/>
          <w:sz w:val="22"/>
          <w:szCs w:val="22"/>
        </w:rPr>
        <w:t>Artículo 132.</w:t>
      </w:r>
      <w:r w:rsidRPr="00BE3BD1">
        <w:rPr>
          <w:rFonts w:ascii="Palatino Linotype" w:eastAsia="Palatino Linotype" w:hAnsi="Palatino Linotype" w:cs="Palatino Linotype"/>
          <w:i/>
          <w:sz w:val="22"/>
          <w:szCs w:val="22"/>
        </w:rPr>
        <w:t xml:space="preserve"> La clasificación de la información se llevará a cabo en el momento en que:</w:t>
      </w:r>
    </w:p>
    <w:p w14:paraId="2340ACA4" w14:textId="77777777" w:rsidR="00BB1403" w:rsidRPr="00BE3BD1" w:rsidRDefault="003A56BC">
      <w:pPr>
        <w:spacing w:before="120" w:after="120"/>
        <w:ind w:left="1134" w:right="902"/>
        <w:jc w:val="both"/>
        <w:rPr>
          <w:rFonts w:ascii="Palatino Linotype" w:eastAsia="Palatino Linotype" w:hAnsi="Palatino Linotype" w:cs="Palatino Linotype"/>
          <w:i/>
          <w:sz w:val="22"/>
          <w:szCs w:val="22"/>
        </w:rPr>
      </w:pPr>
      <w:r w:rsidRPr="00BE3BD1">
        <w:rPr>
          <w:rFonts w:ascii="Palatino Linotype" w:eastAsia="Palatino Linotype" w:hAnsi="Palatino Linotype" w:cs="Palatino Linotype"/>
          <w:b/>
          <w:i/>
          <w:sz w:val="22"/>
          <w:szCs w:val="22"/>
        </w:rPr>
        <w:t>I</w:t>
      </w:r>
      <w:r w:rsidRPr="00BE3BD1">
        <w:rPr>
          <w:rFonts w:ascii="Palatino Linotype" w:eastAsia="Palatino Linotype" w:hAnsi="Palatino Linotype" w:cs="Palatino Linotype"/>
          <w:i/>
          <w:sz w:val="22"/>
          <w:szCs w:val="22"/>
        </w:rPr>
        <w:t>. Se reciba una solicitud de acceso a la información;</w:t>
      </w:r>
    </w:p>
    <w:p w14:paraId="032BC528" w14:textId="77777777" w:rsidR="00BB1403" w:rsidRPr="00BE3BD1" w:rsidRDefault="003A56BC">
      <w:pPr>
        <w:spacing w:before="120" w:after="120"/>
        <w:ind w:left="1134" w:right="902"/>
        <w:jc w:val="both"/>
        <w:rPr>
          <w:rFonts w:ascii="Palatino Linotype" w:eastAsia="Palatino Linotype" w:hAnsi="Palatino Linotype" w:cs="Palatino Linotype"/>
          <w:i/>
          <w:sz w:val="22"/>
          <w:szCs w:val="22"/>
        </w:rPr>
      </w:pPr>
      <w:r w:rsidRPr="00BE3BD1">
        <w:rPr>
          <w:rFonts w:ascii="Palatino Linotype" w:eastAsia="Palatino Linotype" w:hAnsi="Palatino Linotype" w:cs="Palatino Linotype"/>
          <w:b/>
          <w:i/>
          <w:sz w:val="22"/>
          <w:szCs w:val="22"/>
        </w:rPr>
        <w:t>II.</w:t>
      </w:r>
      <w:r w:rsidRPr="00BE3BD1">
        <w:rPr>
          <w:rFonts w:ascii="Palatino Linotype" w:eastAsia="Palatino Linotype" w:hAnsi="Palatino Linotype" w:cs="Palatino Linotype"/>
          <w:i/>
          <w:sz w:val="22"/>
          <w:szCs w:val="22"/>
        </w:rPr>
        <w:t xml:space="preserve"> Se determine mediante resolución de autoridad competente; o</w:t>
      </w:r>
    </w:p>
    <w:p w14:paraId="41373E23" w14:textId="77777777" w:rsidR="00BB1403" w:rsidRPr="00BE3BD1" w:rsidRDefault="003A56BC">
      <w:pPr>
        <w:spacing w:before="120" w:after="120"/>
        <w:ind w:left="1134" w:right="902"/>
        <w:jc w:val="both"/>
        <w:rPr>
          <w:rFonts w:ascii="Palatino Linotype" w:eastAsia="Palatino Linotype" w:hAnsi="Palatino Linotype" w:cs="Palatino Linotype"/>
          <w:i/>
          <w:sz w:val="22"/>
          <w:szCs w:val="22"/>
        </w:rPr>
      </w:pPr>
      <w:r w:rsidRPr="00BE3BD1">
        <w:rPr>
          <w:rFonts w:ascii="Palatino Linotype" w:eastAsia="Palatino Linotype" w:hAnsi="Palatino Linotype" w:cs="Palatino Linotype"/>
          <w:b/>
          <w:i/>
          <w:sz w:val="22"/>
          <w:szCs w:val="22"/>
        </w:rPr>
        <w:t>III.</w:t>
      </w:r>
      <w:r w:rsidRPr="00BE3BD1">
        <w:rPr>
          <w:rFonts w:ascii="Palatino Linotype" w:eastAsia="Palatino Linotype" w:hAnsi="Palatino Linotype" w:cs="Palatino Linotype"/>
          <w:i/>
          <w:sz w:val="22"/>
          <w:szCs w:val="22"/>
        </w:rPr>
        <w:t xml:space="preserve"> Se generen versiones públicas para dar cumplimiento a las obligaciones de transparencia previstas en esta Ley.</w:t>
      </w:r>
    </w:p>
    <w:p w14:paraId="7F579DCE" w14:textId="77777777" w:rsidR="00BB1403" w:rsidRPr="00BE3BD1" w:rsidRDefault="003A56BC">
      <w:pPr>
        <w:spacing w:before="120" w:after="120"/>
        <w:ind w:left="851" w:right="902"/>
        <w:jc w:val="both"/>
        <w:rPr>
          <w:rFonts w:ascii="Palatino Linotype" w:eastAsia="Palatino Linotype" w:hAnsi="Palatino Linotype" w:cs="Palatino Linotype"/>
          <w:i/>
          <w:sz w:val="22"/>
          <w:szCs w:val="22"/>
        </w:rPr>
      </w:pPr>
      <w:r w:rsidRPr="00BE3BD1">
        <w:rPr>
          <w:rFonts w:ascii="Palatino Linotype" w:eastAsia="Palatino Linotype" w:hAnsi="Palatino Linotype" w:cs="Palatino Linotype"/>
          <w:i/>
          <w:sz w:val="22"/>
          <w:szCs w:val="22"/>
        </w:rPr>
        <w:lastRenderedPageBreak/>
        <w:t>…</w:t>
      </w:r>
    </w:p>
    <w:p w14:paraId="5F4DD78D" w14:textId="77777777" w:rsidR="00BB1403" w:rsidRPr="00BE3BD1" w:rsidRDefault="003A56BC">
      <w:pPr>
        <w:spacing w:before="120" w:after="120"/>
        <w:ind w:left="851" w:right="902"/>
        <w:jc w:val="both"/>
        <w:rPr>
          <w:rFonts w:ascii="Palatino Linotype" w:eastAsia="Palatino Linotype" w:hAnsi="Palatino Linotype" w:cs="Palatino Linotype"/>
          <w:i/>
          <w:sz w:val="22"/>
          <w:szCs w:val="22"/>
        </w:rPr>
      </w:pPr>
      <w:r w:rsidRPr="00BE3BD1">
        <w:rPr>
          <w:rFonts w:ascii="Palatino Linotype" w:eastAsia="Palatino Linotype" w:hAnsi="Palatino Linotype" w:cs="Palatino Linotype"/>
          <w:b/>
          <w:i/>
          <w:sz w:val="22"/>
          <w:szCs w:val="22"/>
        </w:rPr>
        <w:t>Artículo 137.</w:t>
      </w:r>
      <w:r w:rsidRPr="00BE3BD1">
        <w:rPr>
          <w:rFonts w:ascii="Palatino Linotype" w:eastAsia="Palatino Linotype" w:hAnsi="Palatino Linotype" w:cs="Palatino Linotype"/>
          <w:i/>
          <w:sz w:val="22"/>
          <w:szCs w:val="22"/>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524E5270" w14:textId="77777777" w:rsidR="00AA699C" w:rsidRPr="00BE3BD1" w:rsidRDefault="003A56BC" w:rsidP="00AA699C">
      <w:pPr>
        <w:spacing w:before="120" w:after="120"/>
        <w:ind w:left="851" w:right="902"/>
        <w:jc w:val="both"/>
        <w:rPr>
          <w:rFonts w:ascii="Palatino Linotype" w:eastAsia="Palatino Linotype" w:hAnsi="Palatino Linotype" w:cs="Palatino Linotype"/>
          <w:b/>
          <w:i/>
          <w:sz w:val="22"/>
          <w:szCs w:val="22"/>
        </w:rPr>
      </w:pPr>
      <w:r w:rsidRPr="00BE3BD1">
        <w:rPr>
          <w:rFonts w:ascii="Palatino Linotype" w:eastAsia="Palatino Linotype" w:hAnsi="Palatino Linotype" w:cs="Palatino Linotype"/>
          <w:b/>
          <w:i/>
          <w:sz w:val="22"/>
          <w:szCs w:val="22"/>
        </w:rPr>
        <w:t>…</w:t>
      </w:r>
    </w:p>
    <w:p w14:paraId="0E9DFFE4" w14:textId="77777777" w:rsidR="00BB1403" w:rsidRPr="00BE3BD1" w:rsidRDefault="003A56BC">
      <w:pPr>
        <w:spacing w:before="240" w:after="240" w:line="360" w:lineRule="auto"/>
        <w:jc w:val="both"/>
        <w:rPr>
          <w:rFonts w:ascii="Palatino Linotype" w:eastAsia="Palatino Linotype" w:hAnsi="Palatino Linotype" w:cs="Palatino Linotype"/>
        </w:rPr>
      </w:pPr>
      <w:r w:rsidRPr="00BE3BD1">
        <w:rPr>
          <w:rFonts w:ascii="Palatino Linotype" w:eastAsia="Palatino Linotype" w:hAnsi="Palatino Linotype" w:cs="Palatino Linotype"/>
        </w:rPr>
        <w:t>Igualmente, lo establecido en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que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58A93CFC" w14:textId="5ED50C21" w:rsidR="00E31028" w:rsidRPr="00BE3BD1" w:rsidRDefault="00E31028" w:rsidP="00E31028">
      <w:pPr>
        <w:spacing w:before="240" w:after="240" w:line="360" w:lineRule="auto"/>
        <w:jc w:val="both"/>
        <w:rPr>
          <w:rFonts w:ascii="Palatino Linotype" w:eastAsia="Palatino Linotype" w:hAnsi="Palatino Linotype" w:cs="Palatino Linotype"/>
        </w:rPr>
      </w:pPr>
      <w:r w:rsidRPr="00BE3BD1">
        <w:rPr>
          <w:rFonts w:ascii="Palatino Linotype" w:eastAsia="Palatino Linotype" w:hAnsi="Palatino Linotype" w:cs="Palatino Linotype"/>
        </w:rPr>
        <w:t xml:space="preserve">Lo anterior en virtud de que los documentos que vayan a ser entregados para dar cumplimiento a la presente resolución, pudieran contener información de la Dirección de Seguridad Pública del Ayuntamiento o su equivalente, la cual ponga en riesgo los integrantes de las corporaciones policiacas, esto es así derivado de las funciones encomendadas en términos del artículo 21 párrafo noveno de la Constitución Política de los Estados Unidos Mexicanos, de las cuales comprende la prevención de los delitos, investigación y persecución para hacerla efectiva, lo cual permite a este Instituto proteger los datos de los servidores públicos que integran dicha Dirección, circunstancia que en nada afecta al derecho tutelado por este Organismo Garante, sino por el contrario también reafirma su compromiso con la rendición de cuentas del Estado y la protección a grupos vulnerables de acuerdo al </w:t>
      </w:r>
      <w:r w:rsidRPr="00BE3BD1">
        <w:rPr>
          <w:rFonts w:ascii="Palatino Linotype" w:eastAsia="Palatino Linotype" w:hAnsi="Palatino Linotype" w:cs="Palatino Linotype"/>
        </w:rPr>
        <w:lastRenderedPageBreak/>
        <w:t xml:space="preserve">cargo de seguridad municipal, por lo que </w:t>
      </w:r>
      <w:r w:rsidRPr="00BE3BD1">
        <w:rPr>
          <w:rFonts w:ascii="Palatino Linotype" w:eastAsia="Palatino Linotype" w:hAnsi="Palatino Linotype" w:cs="Palatino Linotype"/>
          <w:b/>
          <w:u w:val="single"/>
        </w:rPr>
        <w:t>debe testarse el nombre de los servidores públicos de la policía municipal</w:t>
      </w:r>
      <w:r w:rsidRPr="00BE3BD1">
        <w:rPr>
          <w:rFonts w:ascii="Palatino Linotype" w:eastAsia="Palatino Linotype" w:hAnsi="Palatino Linotype" w:cs="Palatino Linotype"/>
          <w:u w:val="single"/>
        </w:rPr>
        <w:t xml:space="preserve"> </w:t>
      </w:r>
      <w:r w:rsidRPr="00BE3BD1">
        <w:rPr>
          <w:rFonts w:ascii="Palatino Linotype" w:eastAsia="Palatino Linotype" w:hAnsi="Palatino Linotype" w:cs="Palatino Linotype"/>
          <w:b/>
          <w:u w:val="single"/>
        </w:rPr>
        <w:t>que desempeñen funciones operativas</w:t>
      </w:r>
      <w:r w:rsidRPr="00BE3BD1">
        <w:rPr>
          <w:rFonts w:ascii="Palatino Linotype" w:eastAsia="Palatino Linotype" w:hAnsi="Palatino Linotype" w:cs="Palatino Linotype"/>
          <w:u w:val="single"/>
        </w:rPr>
        <w:t>.</w:t>
      </w:r>
    </w:p>
    <w:p w14:paraId="73ADF986" w14:textId="77777777" w:rsidR="00E31028" w:rsidRPr="00BE3BD1" w:rsidRDefault="00E31028" w:rsidP="00E31028">
      <w:pPr>
        <w:spacing w:before="240" w:after="240" w:line="360" w:lineRule="auto"/>
        <w:jc w:val="both"/>
        <w:rPr>
          <w:rFonts w:ascii="Palatino Linotype" w:eastAsia="Palatino Linotype" w:hAnsi="Palatino Linotype" w:cs="Palatino Linotype"/>
        </w:rPr>
      </w:pPr>
      <w:r w:rsidRPr="00BE3BD1">
        <w:rPr>
          <w:rFonts w:ascii="Palatino Linotype" w:eastAsia="Palatino Linotype" w:hAnsi="Palatino Linotype" w:cs="Palatino Linotype"/>
        </w:rPr>
        <w:t xml:space="preserve">Al respecto, la información </w:t>
      </w:r>
      <w:r w:rsidRPr="00BE3BD1">
        <w:rPr>
          <w:rFonts w:ascii="Palatino Linotype" w:eastAsia="Palatino Linotype" w:hAnsi="Palatino Linotype" w:cs="Palatino Linotype"/>
          <w:b/>
        </w:rPr>
        <w:t>de los elementos que realizan funciones operativas, entre ellos su nombre deben ser protegidos</w:t>
      </w:r>
      <w:r w:rsidRPr="00BE3BD1">
        <w:rPr>
          <w:rFonts w:ascii="Palatino Linotype" w:eastAsia="Palatino Linotype" w:hAnsi="Palatino Linotype" w:cs="Palatino Linotype"/>
        </w:rPr>
        <w:t xml:space="preserve"> con la finalidad de evitar la identificación de las personas al amparo de la protección a la vida, salud y seguridad; porque los miembros de las instituciones policiales o que realizan actividades operativas en materia de seguridad pública, se encuentran en un régimen de excepción a diferencia de los servidores públicos con funciones administrativas, ello obedece a que el sólo ejercicio de las funciones que tienen encomendadas lleva implícito el riesgo a su integridad, toda vez que son responsables de procurar el orden, la estabilidad y la defensa de la sociedad a la que pertenecen, lo que se traduce en la prevención de delitos y combate a los delincuentes.</w:t>
      </w:r>
    </w:p>
    <w:p w14:paraId="744A8E86" w14:textId="77777777" w:rsidR="00E31028" w:rsidRPr="00BE3BD1" w:rsidRDefault="00E31028" w:rsidP="00E31028">
      <w:pPr>
        <w:spacing w:before="240" w:after="240" w:line="360" w:lineRule="auto"/>
        <w:jc w:val="both"/>
        <w:rPr>
          <w:rFonts w:ascii="Palatino Linotype" w:eastAsia="Palatino Linotype" w:hAnsi="Palatino Linotype" w:cs="Palatino Linotype"/>
        </w:rPr>
      </w:pPr>
      <w:r w:rsidRPr="00BE3BD1">
        <w:rPr>
          <w:rFonts w:ascii="Palatino Linotype" w:eastAsia="Palatino Linotype" w:hAnsi="Palatino Linotype" w:cs="Palatino Linotype"/>
        </w:rPr>
        <w:t>Es importante mencionar que la causal de reserva antes señalada, puede ubicarse en los supuestos previstos por los artículos 140 fracción IV de la Ley de Transparencia y  Acceso a la Información Pública del Estado de México y Municipios, que a su vez se vincula con la diversa del artículo 113 fracción V de la Ley General de Transparencia y Acceso a la Información Pública, así como los requisitos previstos por los numerales Vigésimo tercero y Trigésimo tercero, de los Lineamientos generales en materia de clasificación y desclasificación de la información, así como para la elaboración de versiones públicas, al aplicar la prueba de daño correspondiente.</w:t>
      </w:r>
    </w:p>
    <w:p w14:paraId="6B4AACD4" w14:textId="77777777" w:rsidR="00E31028" w:rsidRPr="00BE3BD1" w:rsidRDefault="00E31028" w:rsidP="00E31028">
      <w:pPr>
        <w:spacing w:before="240" w:after="240" w:line="360" w:lineRule="auto"/>
        <w:jc w:val="both"/>
        <w:rPr>
          <w:rFonts w:ascii="Palatino Linotype" w:eastAsia="Palatino Linotype" w:hAnsi="Palatino Linotype" w:cs="Palatino Linotype"/>
        </w:rPr>
      </w:pPr>
      <w:r w:rsidRPr="00BE3BD1">
        <w:rPr>
          <w:rFonts w:ascii="Palatino Linotype" w:eastAsia="Palatino Linotype" w:hAnsi="Palatino Linotype" w:cs="Palatino Linotype"/>
        </w:rPr>
        <w:lastRenderedPageBreak/>
        <w:t>Como se ha referido es procedente la clasificación de la información como reservada, con el fin de no poner en riesgo su vida, salud y seguridad, dado que los hace identificables, y para no comprometer el cumplimiento de los objetivos en materia de seguridad pública, o bien, la consecución de la investigación de probables hechos delictivos y/o faltas administrativas; así como evitar que células delictivas neutralizar las acciones en materia de seguridad pública para la preservación del orden y la paz pública, por lo que, no se trata de una medida desproporcional, ni excesiva.</w:t>
      </w:r>
    </w:p>
    <w:p w14:paraId="2AD52E7D" w14:textId="77777777" w:rsidR="00E31028" w:rsidRPr="00BE3BD1" w:rsidRDefault="00E31028" w:rsidP="00E31028">
      <w:pPr>
        <w:spacing w:before="240" w:after="240" w:line="360" w:lineRule="auto"/>
        <w:jc w:val="both"/>
        <w:rPr>
          <w:rFonts w:ascii="Palatino Linotype" w:eastAsia="Palatino Linotype" w:hAnsi="Palatino Linotype" w:cs="Palatino Linotype"/>
        </w:rPr>
      </w:pPr>
      <w:r w:rsidRPr="00BE3BD1">
        <w:rPr>
          <w:rFonts w:ascii="Palatino Linotype" w:eastAsia="Palatino Linotype" w:hAnsi="Palatino Linotype" w:cs="Palatino Linotype"/>
        </w:rPr>
        <w:t>En ese entendido, la leyenda de clasificación que se genere, deberá establecer ambos supuestos de clasificación: reserva y confidencialidad, en congruencia con los requisitos establecidos en los lineamientos citados.</w:t>
      </w:r>
    </w:p>
    <w:p w14:paraId="4F65336C" w14:textId="77777777" w:rsidR="00E31028" w:rsidRPr="00BE3BD1" w:rsidRDefault="00E31028" w:rsidP="00E31028">
      <w:pPr>
        <w:spacing w:before="120" w:after="120" w:line="360" w:lineRule="auto"/>
        <w:jc w:val="both"/>
        <w:rPr>
          <w:rFonts w:ascii="Palatino Linotype" w:eastAsia="Palatino Linotype" w:hAnsi="Palatino Linotype" w:cs="Palatino Linotype"/>
        </w:rPr>
      </w:pPr>
      <w:r w:rsidRPr="00BE3BD1">
        <w:rPr>
          <w:rFonts w:ascii="Palatino Linotype" w:eastAsia="Palatino Linotype" w:hAnsi="Palatino Linotype" w:cs="Palatino Linotype"/>
        </w:rPr>
        <w:t>En este marco, cabe señalar que, si bien es cierto este Instituto de Transparencia, Acceso a la Información Pública y Protección de Datos Personales del Estado de México y Municipios tiene la misión de garantizar el derecho de acceso a la información pública de los particulares; también lo es que debe cuidar la protección de datos personales y sobre todo cuando traen implícito que se ponga en riesgo la vida o integridad de una persona, resulta necesario traer por analogía, el criterio de interpretación histórico 06/09, emitido por el entonces Instituto Federal de Acceso a la Información y Protección de Datos ahora Instituto Nacional de Transparencia, Acceso a la Información y Protección de Datos Personales, INAI, que establece lo siguiente:</w:t>
      </w:r>
    </w:p>
    <w:p w14:paraId="7872910B" w14:textId="77777777" w:rsidR="00E31028" w:rsidRPr="00BE3BD1" w:rsidRDefault="00E31028" w:rsidP="00E31028">
      <w:pPr>
        <w:tabs>
          <w:tab w:val="left" w:pos="4962"/>
        </w:tabs>
        <w:spacing w:before="120" w:after="120"/>
        <w:ind w:left="851" w:right="902"/>
        <w:jc w:val="both"/>
        <w:rPr>
          <w:rFonts w:ascii="Palatino Linotype" w:eastAsia="Palatino Linotype" w:hAnsi="Palatino Linotype" w:cs="Palatino Linotype"/>
          <w:i/>
          <w:sz w:val="22"/>
        </w:rPr>
      </w:pPr>
      <w:r w:rsidRPr="00BE3BD1">
        <w:rPr>
          <w:rFonts w:ascii="Palatino Linotype" w:eastAsia="Palatino Linotype" w:hAnsi="Palatino Linotype" w:cs="Palatino Linotype"/>
          <w:b/>
          <w:i/>
          <w:sz w:val="22"/>
        </w:rPr>
        <w:t>“Nombres de servidores públicos dedicados a actividades en materia de seguridad, por excepción pueden considerarse información reservada.</w:t>
      </w:r>
      <w:r w:rsidRPr="00BE3BD1">
        <w:rPr>
          <w:rFonts w:ascii="Palatino Linotype" w:eastAsia="Palatino Linotype" w:hAnsi="Palatino Linotype" w:cs="Palatino Linotype"/>
          <w:i/>
          <w:sz w:val="22"/>
        </w:rPr>
        <w:t xml:space="preserve"> De conformidad con el artículo 7, fracciones I y III de la Ley Federal de Transparencia </w:t>
      </w:r>
      <w:r w:rsidRPr="00BE3BD1">
        <w:rPr>
          <w:rFonts w:ascii="Palatino Linotype" w:eastAsia="Palatino Linotype" w:hAnsi="Palatino Linotype" w:cs="Palatino Linotype"/>
          <w:i/>
          <w:sz w:val="22"/>
        </w:rPr>
        <w:lastRenderedPageBreak/>
        <w:t>y Acceso a la Información Pública Gubernamental el nombre de los servidores públicos es información de naturaleza pública. No obstante lo anterior, el mismo precepto establece la posibilidad de que existan excepciones a las obligaciones ahí establecidas cuando la información actualice algunos de los supuestos de reserva o confidencialidad previstos en los artículos 13, 14 y 18 de la citada ley.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el artículo 13, fracción I de la ley de referencia se establece que podrá clasificarse aquella información cuya difusión pueda comprometer la seguridad nacional y pública.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por lo que la reserva de la relación de los nombres y las funciones que desempeñan los servidores públicos que prestan sus servicios en áreas de seguridad nacional o pública, puede llegar a constituirse en un componente fundamental en el esfuerzo que realiza el Estado Mexicano para garantizar la seguridad del país en sus diferentes vertientes.”</w:t>
      </w:r>
    </w:p>
    <w:p w14:paraId="5E3358E4" w14:textId="77777777" w:rsidR="00E31028" w:rsidRPr="00BE3BD1" w:rsidRDefault="00E31028" w:rsidP="00E31028">
      <w:pPr>
        <w:spacing w:before="240" w:after="240" w:line="360" w:lineRule="auto"/>
        <w:jc w:val="both"/>
        <w:rPr>
          <w:rFonts w:ascii="Palatino Linotype" w:eastAsia="Palatino Linotype" w:hAnsi="Palatino Linotype" w:cs="Palatino Linotype"/>
        </w:rPr>
      </w:pPr>
      <w:r w:rsidRPr="00BE3BD1">
        <w:rPr>
          <w:rFonts w:ascii="Palatino Linotype" w:eastAsia="Palatino Linotype" w:hAnsi="Palatino Linotype" w:cs="Palatino Linotype"/>
        </w:rPr>
        <w:t xml:space="preserve">De dicho criterio, se desprende que existen funciones a cargo de servidores públicos, tendentes a garantizar de manera directa la seguridad pública, a través de acciones preventivas y correctivas, encaminadas a combatir a la delincuencia en sus diferentes manifestaciones; por lo que, una forma en que la delincuencia puede llegar a poner en riesgo la seguridad del País, Estado y Municipio, anulando, impidiendo u obstaculizando la actuación de los servidores públicos que realizan </w:t>
      </w:r>
      <w:r w:rsidRPr="00BE3BD1">
        <w:rPr>
          <w:rFonts w:ascii="Palatino Linotype" w:eastAsia="Palatino Linotype" w:hAnsi="Palatino Linotype" w:cs="Palatino Linotype"/>
          <w:b/>
        </w:rPr>
        <w:t>funciones de carácter operativo.</w:t>
      </w:r>
    </w:p>
    <w:p w14:paraId="72E61371" w14:textId="77777777" w:rsidR="00E31028" w:rsidRPr="00BE3BD1" w:rsidRDefault="00E31028" w:rsidP="00E31028">
      <w:pPr>
        <w:spacing w:before="240" w:after="360" w:line="360" w:lineRule="auto"/>
        <w:jc w:val="both"/>
        <w:rPr>
          <w:rFonts w:ascii="Palatino Linotype" w:eastAsia="Palatino Linotype" w:hAnsi="Palatino Linotype" w:cs="Palatino Linotype"/>
        </w:rPr>
      </w:pPr>
      <w:r w:rsidRPr="00BE3BD1">
        <w:rPr>
          <w:rFonts w:ascii="Palatino Linotype" w:eastAsia="Palatino Linotype" w:hAnsi="Palatino Linotype" w:cs="Palatino Linotype"/>
        </w:rPr>
        <w:t>Sirven de sustento a lo anterior las tesis jurisprudenciales emitidas por la Suprema corte de Justicia de la Nación, que son del literal siguiente:</w:t>
      </w:r>
    </w:p>
    <w:p w14:paraId="7F84D679" w14:textId="77777777" w:rsidR="00E31028" w:rsidRPr="00BE3BD1" w:rsidRDefault="00E31028" w:rsidP="00E31028">
      <w:pPr>
        <w:spacing w:before="120" w:after="120"/>
        <w:ind w:left="851" w:right="760"/>
        <w:jc w:val="both"/>
        <w:rPr>
          <w:rFonts w:ascii="Palatino Linotype" w:eastAsia="Palatino Linotype" w:hAnsi="Palatino Linotype" w:cs="Palatino Linotype"/>
          <w:b/>
          <w:i/>
          <w:sz w:val="22"/>
        </w:rPr>
      </w:pPr>
      <w:r w:rsidRPr="00BE3BD1">
        <w:rPr>
          <w:rFonts w:ascii="Palatino Linotype" w:eastAsia="Palatino Linotype" w:hAnsi="Palatino Linotype" w:cs="Palatino Linotype"/>
          <w:b/>
          <w:i/>
          <w:sz w:val="22"/>
        </w:rPr>
        <w:t xml:space="preserve">“DERECHO A LA INFORMACIÓN. SU EJERCICIO SE ENCUENTRA LIMITADO TANTO POR LOS INTERESES NACIONALES Y DE LA </w:t>
      </w:r>
      <w:r w:rsidRPr="00BE3BD1">
        <w:rPr>
          <w:rFonts w:ascii="Palatino Linotype" w:eastAsia="Palatino Linotype" w:hAnsi="Palatino Linotype" w:cs="Palatino Linotype"/>
          <w:b/>
          <w:i/>
          <w:sz w:val="22"/>
        </w:rPr>
        <w:lastRenderedPageBreak/>
        <w:t xml:space="preserve">SOCIEDAD, COMO POR LOS DERECHOS DE TERCEROS. </w:t>
      </w:r>
      <w:r w:rsidRPr="00BE3BD1">
        <w:rPr>
          <w:rFonts w:ascii="Palatino Linotype" w:eastAsia="Palatino Linotype" w:hAnsi="Palatino Linotype" w:cs="Palatino Linotype"/>
          <w:i/>
          <w:sz w:val="22"/>
        </w:rPr>
        <w:t xml:space="preserve">El derecho a la información consagrado en la última parte del artículo 6o. de la Constitución Federal no es absoluto, sino que, como toda garantía, se halla sujeto a limitaciones o excepciones que se sustentan, fundamentalmente, en la protección de la seguridad nacional y en el respeto tanto a los intereses de la sociedad como a los derechos de los gobernados, limitaciones que, incluso, han dado origen a la figura jurídica del secreto de información que se conoce en la doctrina como "reserva de información" o "secreto burocrático". En estas condiciones, al encontrarse obligado el Estado, como sujeto pasivo de la citada garantía, a velar por dichos intereses, con apego a las normas constitucionales y legales, el mencionado derecho no puede ser garantizado indiscriminadamente, sino que el respeto a su ejercicio encuentra excepciones que lo regulan y a su vez lo garantizan, en atención a la materia a que se refiera; así, en cuanto a la seguridad nacional, se tienen normas que, por un lado, </w:t>
      </w:r>
      <w:r w:rsidRPr="00BE3BD1">
        <w:rPr>
          <w:rFonts w:ascii="Palatino Linotype" w:eastAsia="Palatino Linotype" w:hAnsi="Palatino Linotype" w:cs="Palatino Linotype"/>
          <w:b/>
          <w:i/>
          <w:sz w:val="22"/>
        </w:rPr>
        <w:t>restringen el acceso a la información en esta materia, en razón de que su conocimiento público puede generar daños a los intereses nacionales y, por el otro, sancionan la inobservancia de esa reserva;</w:t>
      </w:r>
      <w:r w:rsidRPr="00BE3BD1">
        <w:rPr>
          <w:rFonts w:ascii="Palatino Linotype" w:eastAsia="Palatino Linotype" w:hAnsi="Palatino Linotype" w:cs="Palatino Linotype"/>
          <w:i/>
          <w:sz w:val="22"/>
        </w:rPr>
        <w:t xml:space="preserve"> por lo que hace al interés social, se cuenta con normas que tienden a proteger la averiguación de los delitos, la salud y la moral públicas, </w:t>
      </w:r>
      <w:r w:rsidRPr="00BE3BD1">
        <w:rPr>
          <w:rFonts w:ascii="Palatino Linotype" w:eastAsia="Palatino Linotype" w:hAnsi="Palatino Linotype" w:cs="Palatino Linotype"/>
          <w:b/>
          <w:i/>
          <w:sz w:val="22"/>
        </w:rPr>
        <w:t>mientras que por lo que respecta a la protección de la persona existen normas que protegen el derecho a la vida o a la privacidad de los gobernados.</w:t>
      </w:r>
      <w:r w:rsidRPr="00BE3BD1">
        <w:rPr>
          <w:rFonts w:ascii="Palatino Linotype" w:eastAsia="Palatino Linotype" w:hAnsi="Palatino Linotype" w:cs="Palatino Linotype"/>
          <w:i/>
          <w:sz w:val="22"/>
        </w:rPr>
        <w:t>”</w:t>
      </w:r>
    </w:p>
    <w:p w14:paraId="2624ED0D" w14:textId="77777777" w:rsidR="00E31028" w:rsidRPr="00BE3BD1" w:rsidRDefault="00E31028" w:rsidP="00E31028">
      <w:pPr>
        <w:spacing w:before="120" w:after="120"/>
        <w:ind w:left="851" w:right="760"/>
        <w:jc w:val="both"/>
        <w:rPr>
          <w:rFonts w:ascii="Palatino Linotype" w:eastAsia="Palatino Linotype" w:hAnsi="Palatino Linotype" w:cs="Palatino Linotype"/>
          <w:i/>
          <w:sz w:val="22"/>
        </w:rPr>
      </w:pPr>
      <w:r w:rsidRPr="00BE3BD1">
        <w:rPr>
          <w:rFonts w:ascii="Palatino Linotype" w:eastAsia="Palatino Linotype" w:hAnsi="Palatino Linotype" w:cs="Palatino Linotype"/>
          <w:b/>
          <w:i/>
          <w:sz w:val="22"/>
        </w:rPr>
        <w:t>“TRANSPARENCIA Y ACCESO A LA INFORMACIÓN PÚBLICA GUBERNAMENTAL. EL ARTÍCULO 14, FRACCIÓN I, DE LA LEY FEDERAL RELATIVA, NO VIOLA LA GARANTÍA DE ACCESO A LA INFORMACIÓN.</w:t>
      </w:r>
      <w:r w:rsidRPr="00BE3BD1">
        <w:rPr>
          <w:rFonts w:ascii="Palatino Linotype" w:eastAsia="Palatino Linotype" w:hAnsi="Palatino Linotype" w:cs="Palatino Linotype"/>
          <w:i/>
          <w:sz w:val="22"/>
        </w:rPr>
        <w:t xml:space="preserve"> El Tribunal en Pleno de la Suprema Corte de Justicia de la Nación en la tesis P. LX/2000 de rubro: "DERECHO A LA INFORMACIÓN. SU EJERCICIO SE ENCUENTRA LIMITADO TANTO POR LOS INTERESES NACIONALES Y DE LA SOCIEDAD, COMO POR LOS DERECHOS DE TERCEROS.", publicada en el Semanario Judicial de la Federación y su Gaceta, Novena Época, Tomo XI, abril de 2000, página 74, estableció que el ejercicio del derecho a la información no es irrestricto, sino que tiene límites que se sustentan en la protección de la seguridad nacional y en el respeto a los intereses de la sociedad y a los derechos de los gobernados, en atención a la materia de que se trate. En ese sentido, el citado precepto, al remitir a diversas normas ordinarias que establezcan restricciones a la información, no viola la garantía de acceso a la información contenida en el artículo 6o. de la Constitución Política de los Estados Unidos Mexicanos, porque es jurídicamente adecuado que en las leyes reguladoras de cada materia, </w:t>
      </w:r>
      <w:r w:rsidRPr="00BE3BD1">
        <w:rPr>
          <w:rFonts w:ascii="Palatino Linotype" w:eastAsia="Palatino Linotype" w:hAnsi="Palatino Linotype" w:cs="Palatino Linotype"/>
          <w:b/>
          <w:i/>
          <w:sz w:val="22"/>
        </w:rPr>
        <w:t xml:space="preserve">el legislador federal o local establezca las restricciones correspondientes y clasifique a determinados datos como confidenciales o reservados, con la condición de que tales límites atiendan </w:t>
      </w:r>
      <w:r w:rsidRPr="00BE3BD1">
        <w:rPr>
          <w:rFonts w:ascii="Palatino Linotype" w:eastAsia="Palatino Linotype" w:hAnsi="Palatino Linotype" w:cs="Palatino Linotype"/>
          <w:b/>
          <w:i/>
          <w:sz w:val="22"/>
        </w:rPr>
        <w:lastRenderedPageBreak/>
        <w:t>a intereses públicos o de los particulares y encuentren justificación racional en función del bien jurídico a proteger, es decir, que exista proporcionalidad y congruencia entre el derecho fundamental de que se trata y la razón que motive la restricción legislativa correspondiente</w:t>
      </w:r>
      <w:r w:rsidRPr="00BE3BD1">
        <w:rPr>
          <w:rFonts w:ascii="Palatino Linotype" w:eastAsia="Palatino Linotype" w:hAnsi="Palatino Linotype" w:cs="Palatino Linotype"/>
          <w:i/>
          <w:sz w:val="22"/>
        </w:rPr>
        <w:t>, la cual debe ser adecuada y necesaria para alcanzar el fin perseguido, de manera que las ventajas obtenidas con la reserva compensen el sacrificio que ésta implique para los titulares de la garantía individual mencionada o para la sociedad en general.”</w:t>
      </w:r>
    </w:p>
    <w:p w14:paraId="71A6C065" w14:textId="77777777" w:rsidR="00E31028" w:rsidRPr="00BE3BD1" w:rsidRDefault="00E31028" w:rsidP="00E31028">
      <w:pPr>
        <w:widowControl w:val="0"/>
        <w:spacing w:before="240" w:after="240" w:line="360" w:lineRule="auto"/>
        <w:jc w:val="both"/>
        <w:rPr>
          <w:rFonts w:ascii="Palatino Linotype" w:eastAsia="Palatino Linotype" w:hAnsi="Palatino Linotype" w:cs="Palatino Linotype"/>
        </w:rPr>
      </w:pPr>
      <w:r w:rsidRPr="00BE3BD1">
        <w:rPr>
          <w:rFonts w:ascii="Palatino Linotype" w:eastAsia="Palatino Linotype" w:hAnsi="Palatino Linotype" w:cs="Palatino Linotype"/>
        </w:rPr>
        <w:t xml:space="preserve">El Acuerdo de Clasificación de Información, se emitirá en términos de lo dispuesto tanto como en los en los artículos 128 y 129 de la Ley de Transparencia y Acceso a la Información Pública del Estado de México y Municipios, como en los Lineamientos Generales en Materia de Clasificación y Desclasificación de la Información, así como para la elaboración de Versiones Públicas, publicados en el Diario Oficial de la Federación en fecha quince de abril de la presente anualidad, mediante ACUERDO del Consejo Nacional del Sistema Nacional de Transparencia, Acceso a la Información Pública y Protección de Datos Personales, motivando la referida clasificación al señalar las </w:t>
      </w:r>
      <w:r w:rsidRPr="00BE3BD1">
        <w:rPr>
          <w:rFonts w:ascii="Palatino Linotype" w:eastAsia="Palatino Linotype" w:hAnsi="Palatino Linotype" w:cs="Palatino Linotype"/>
          <w:b/>
          <w:u w:val="single"/>
        </w:rPr>
        <w:t>razones, motivos o circunstancias especiales</w:t>
      </w:r>
      <w:r w:rsidRPr="00BE3BD1">
        <w:rPr>
          <w:rFonts w:ascii="Palatino Linotype" w:eastAsia="Palatino Linotype" w:hAnsi="Palatino Linotype" w:cs="Palatino Linotype"/>
        </w:rPr>
        <w:t xml:space="preserve"> que lo llevaron a concluir que el caso concreto, se ajustó a los supuestos previstos en la normatividad legal invocada como fundamento, para dichos efectos, debe proceder a su vez a realizar una prueba de daño, en la que se justificaran las razones, motivos y circunstancias que avalen que la divulgación de la información representa un riesgo real, demostrable e identificable de perjuicio significativo al interés público o a la seguridad nacional; que el riesgo de perjuicio que supondría la divulgación supera el interés público general de que se difunda, y que la limitación sea adecuada al principio de proporcionalidad y representa el medio menos restrictivo disponible para evitar el perjuicio.</w:t>
      </w:r>
    </w:p>
    <w:p w14:paraId="03FF1887" w14:textId="40EE64FE" w:rsidR="00DE31E2" w:rsidRPr="00BE3BD1" w:rsidRDefault="00DE31E2" w:rsidP="00DE31E2">
      <w:pPr>
        <w:spacing w:before="240" w:after="240" w:line="360" w:lineRule="auto"/>
        <w:jc w:val="both"/>
        <w:rPr>
          <w:rFonts w:ascii="Palatino Linotype" w:eastAsia="Calibri" w:hAnsi="Palatino Linotype"/>
        </w:rPr>
      </w:pPr>
      <w:r w:rsidRPr="00BE3BD1">
        <w:rPr>
          <w:rFonts w:ascii="Palatino Linotype" w:eastAsia="Calibri" w:hAnsi="Palatino Linotype"/>
        </w:rPr>
        <w:lastRenderedPageBreak/>
        <w:t xml:space="preserve">Por cuanto hace a la </w:t>
      </w:r>
      <w:r w:rsidRPr="00BE3BD1">
        <w:rPr>
          <w:rFonts w:ascii="Palatino Linotype" w:eastAsia="Calibri" w:hAnsi="Palatino Linotype"/>
          <w:b/>
          <w:bCs/>
        </w:rPr>
        <w:t xml:space="preserve">firma o rubrica, </w:t>
      </w:r>
      <w:r w:rsidRPr="00BE3BD1">
        <w:rPr>
          <w:rFonts w:ascii="Palatino Linotype" w:eastAsia="Calibri" w:hAnsi="Palatino Linotype"/>
        </w:rPr>
        <w:t>cabe precisar que por regla general, este dato es considerado como confidencial, no obstante, en el caso de los servidores públicos, existen excepciones en aquellos casos en los que se vincule con el ejercicio de la función pública, en cuyo caso, su naturaleza es pública pues documenta y rinde cuentas sobre el debido ejercicio de sus atribuciones.</w:t>
      </w:r>
    </w:p>
    <w:p w14:paraId="6C5CAB03" w14:textId="77777777" w:rsidR="00DE31E2" w:rsidRPr="00BE3BD1" w:rsidRDefault="00DE31E2" w:rsidP="00DE31E2">
      <w:pPr>
        <w:spacing w:before="240" w:after="240" w:line="360" w:lineRule="auto"/>
        <w:jc w:val="both"/>
        <w:rPr>
          <w:rFonts w:ascii="Palatino Linotype" w:eastAsia="Calibri" w:hAnsi="Palatino Linotype"/>
        </w:rPr>
      </w:pPr>
      <w:r w:rsidRPr="00BE3BD1">
        <w:rPr>
          <w:rFonts w:ascii="Palatino Linotype" w:eastAsia="Calibri" w:hAnsi="Palatino Linotype"/>
        </w:rPr>
        <w:t xml:space="preserve">La publicidad de dicho dato, se robustece, con el Criterio de interpretación, con clave de control SO/002/2019, emitido por el Instituto Nacional de Transparencia, Acceso a la Información y Protección de Datos Personales, </w:t>
      </w:r>
      <w:r w:rsidRPr="00BE3BD1">
        <w:rPr>
          <w:rFonts w:ascii="Palatino Linotype" w:hAnsi="Palatino Linotype"/>
        </w:rPr>
        <w:t>INAI,</w:t>
      </w:r>
      <w:r w:rsidRPr="00BE3BD1">
        <w:rPr>
          <w:rFonts w:ascii="Palatino Linotype" w:eastAsia="Calibri" w:hAnsi="Palatino Linotype"/>
        </w:rPr>
        <w:t xml:space="preserve"> que establece lo siguiente:</w:t>
      </w:r>
    </w:p>
    <w:p w14:paraId="3A19863B" w14:textId="77777777" w:rsidR="00DE31E2" w:rsidRPr="00BE3BD1" w:rsidRDefault="00DE31E2" w:rsidP="00DE31E2">
      <w:pPr>
        <w:spacing w:before="120" w:after="120"/>
        <w:ind w:left="851" w:right="902"/>
        <w:jc w:val="both"/>
        <w:rPr>
          <w:rFonts w:ascii="Palatino Linotype" w:eastAsia="Calibri" w:hAnsi="Palatino Linotype"/>
          <w:sz w:val="22"/>
          <w:szCs w:val="20"/>
        </w:rPr>
      </w:pPr>
      <w:r w:rsidRPr="00BE3BD1">
        <w:rPr>
          <w:rFonts w:ascii="Palatino Linotype" w:eastAsia="Calibri" w:hAnsi="Palatino Linotype"/>
          <w:sz w:val="22"/>
          <w:szCs w:val="20"/>
        </w:rPr>
        <w:t> </w:t>
      </w:r>
      <w:r w:rsidRPr="00BE3BD1">
        <w:rPr>
          <w:rFonts w:ascii="Palatino Linotype" w:eastAsia="Calibri" w:hAnsi="Palatino Linotype"/>
          <w:b/>
          <w:bCs/>
          <w:i/>
          <w:iCs/>
          <w:sz w:val="22"/>
          <w:szCs w:val="20"/>
        </w:rPr>
        <w:t>“Firma y rúbrica de servidores públicos.</w:t>
      </w:r>
      <w:r w:rsidRPr="00BE3BD1">
        <w:rPr>
          <w:rFonts w:ascii="Palatino Linotype" w:eastAsia="Calibri" w:hAnsi="Palatino Linotype"/>
          <w:i/>
          <w:iCs/>
          <w:sz w:val="22"/>
          <w:szCs w:val="20"/>
        </w:rPr>
        <w:t> Si bien la firma y la rúbrica son datos personales confidenciales, cuando un servidor público emite un acto como autoridad, en ejercicio de las funciones que tiene conferidas, la firma o rúbrica mediante la cual se valida dicho acto es pública.”</w:t>
      </w:r>
    </w:p>
    <w:p w14:paraId="252FD722" w14:textId="77777777" w:rsidR="00E31028" w:rsidRPr="00BE3BD1" w:rsidRDefault="00E31028" w:rsidP="00E31028">
      <w:pPr>
        <w:spacing w:before="240" w:after="240" w:line="360" w:lineRule="auto"/>
        <w:ind w:right="50"/>
        <w:jc w:val="both"/>
        <w:rPr>
          <w:rFonts w:ascii="Palatino Linotype" w:eastAsia="Palatino Linotype" w:hAnsi="Palatino Linotype" w:cs="Palatino Linotype"/>
        </w:rPr>
      </w:pPr>
      <w:r w:rsidRPr="00BE3BD1">
        <w:rPr>
          <w:rFonts w:ascii="Palatino Linotype" w:eastAsia="Palatino Linotype" w:hAnsi="Palatino Linotype" w:cs="Palatino Linotype"/>
        </w:rPr>
        <w:t>En tal contexto, es de señalar que la clasificación de la información no opera con la simple supresión de datos que se haga en los documentos de que se trate o con la simple decisión que tome el Servidor Público Habilitado o el Responsable de la Unidad de Transparencia del Sujeto Obligado, sino que ello deberá realizarse en términos de lo que disponen los artículos 49 fracción VIII, 53, fracción X y 59, fracción V, de la Ley en consulta, cuyo sentido literal es el siguiente:</w:t>
      </w:r>
    </w:p>
    <w:p w14:paraId="375CF151" w14:textId="77777777" w:rsidR="00E31028" w:rsidRPr="00BE3BD1" w:rsidRDefault="00E31028" w:rsidP="00E31028">
      <w:pPr>
        <w:spacing w:before="120" w:after="120"/>
        <w:ind w:left="851" w:right="900"/>
        <w:jc w:val="both"/>
        <w:rPr>
          <w:rFonts w:ascii="Palatino Linotype" w:eastAsia="Palatino Linotype" w:hAnsi="Palatino Linotype" w:cs="Palatino Linotype"/>
          <w:i/>
          <w:sz w:val="22"/>
        </w:rPr>
      </w:pPr>
      <w:r w:rsidRPr="00BE3BD1">
        <w:rPr>
          <w:rFonts w:ascii="Palatino Linotype" w:eastAsia="Palatino Linotype" w:hAnsi="Palatino Linotype" w:cs="Palatino Linotype"/>
          <w:b/>
          <w:i/>
          <w:sz w:val="22"/>
        </w:rPr>
        <w:t>“Artículo 49.</w:t>
      </w:r>
      <w:r w:rsidRPr="00BE3BD1">
        <w:rPr>
          <w:rFonts w:ascii="Palatino Linotype" w:eastAsia="Palatino Linotype" w:hAnsi="Palatino Linotype" w:cs="Palatino Linotype"/>
          <w:i/>
          <w:sz w:val="22"/>
        </w:rPr>
        <w:t xml:space="preserve"> </w:t>
      </w:r>
      <w:r w:rsidRPr="00BE3BD1">
        <w:rPr>
          <w:rFonts w:ascii="Palatino Linotype" w:eastAsia="Palatino Linotype" w:hAnsi="Palatino Linotype" w:cs="Palatino Linotype"/>
          <w:b/>
          <w:i/>
          <w:sz w:val="22"/>
        </w:rPr>
        <w:t>Los Comités de Transparencia</w:t>
      </w:r>
      <w:r w:rsidRPr="00BE3BD1">
        <w:rPr>
          <w:rFonts w:ascii="Palatino Linotype" w:eastAsia="Palatino Linotype" w:hAnsi="Palatino Linotype" w:cs="Palatino Linotype"/>
          <w:i/>
          <w:sz w:val="22"/>
        </w:rPr>
        <w:t xml:space="preserve"> tendrán las siguientes atribuciones:</w:t>
      </w:r>
    </w:p>
    <w:p w14:paraId="03A29296" w14:textId="77777777" w:rsidR="00E31028" w:rsidRPr="00BE3BD1" w:rsidRDefault="00E31028" w:rsidP="00E31028">
      <w:pPr>
        <w:spacing w:before="120" w:after="120"/>
        <w:ind w:left="1134" w:right="900"/>
        <w:jc w:val="both"/>
        <w:rPr>
          <w:rFonts w:ascii="Palatino Linotype" w:eastAsia="Palatino Linotype" w:hAnsi="Palatino Linotype" w:cs="Palatino Linotype"/>
          <w:i/>
          <w:sz w:val="22"/>
        </w:rPr>
      </w:pPr>
      <w:r w:rsidRPr="00BE3BD1">
        <w:rPr>
          <w:rFonts w:ascii="Palatino Linotype" w:eastAsia="Palatino Linotype" w:hAnsi="Palatino Linotype" w:cs="Palatino Linotype"/>
          <w:b/>
          <w:i/>
          <w:sz w:val="22"/>
        </w:rPr>
        <w:t>VIII. Aprobar, modificar o revocar la clasificación de la información</w:t>
      </w:r>
      <w:r w:rsidRPr="00BE3BD1">
        <w:rPr>
          <w:rFonts w:ascii="Palatino Linotype" w:eastAsia="Palatino Linotype" w:hAnsi="Palatino Linotype" w:cs="Palatino Linotype"/>
          <w:i/>
          <w:sz w:val="22"/>
        </w:rPr>
        <w:t>…”</w:t>
      </w:r>
    </w:p>
    <w:p w14:paraId="0EDE3606" w14:textId="77777777" w:rsidR="00E31028" w:rsidRPr="00BE3BD1" w:rsidRDefault="00E31028" w:rsidP="00E31028">
      <w:pPr>
        <w:spacing w:before="120" w:after="120"/>
        <w:ind w:left="851" w:right="900"/>
        <w:jc w:val="both"/>
        <w:rPr>
          <w:rFonts w:ascii="Palatino Linotype" w:eastAsia="Palatino Linotype" w:hAnsi="Palatino Linotype" w:cs="Palatino Linotype"/>
          <w:i/>
          <w:sz w:val="22"/>
        </w:rPr>
      </w:pPr>
      <w:r w:rsidRPr="00BE3BD1">
        <w:rPr>
          <w:rFonts w:ascii="Palatino Linotype" w:eastAsia="Palatino Linotype" w:hAnsi="Palatino Linotype" w:cs="Palatino Linotype"/>
          <w:i/>
          <w:sz w:val="22"/>
        </w:rPr>
        <w:t>“</w:t>
      </w:r>
      <w:r w:rsidRPr="00BE3BD1">
        <w:rPr>
          <w:rFonts w:ascii="Palatino Linotype" w:eastAsia="Palatino Linotype" w:hAnsi="Palatino Linotype" w:cs="Palatino Linotype"/>
          <w:b/>
          <w:i/>
          <w:sz w:val="22"/>
        </w:rPr>
        <w:t>Artículo 53.</w:t>
      </w:r>
      <w:r w:rsidRPr="00BE3BD1">
        <w:rPr>
          <w:rFonts w:ascii="Palatino Linotype" w:eastAsia="Palatino Linotype" w:hAnsi="Palatino Linotype" w:cs="Palatino Linotype"/>
          <w:i/>
          <w:sz w:val="22"/>
        </w:rPr>
        <w:t xml:space="preserve"> Las </w:t>
      </w:r>
      <w:r w:rsidRPr="00BE3BD1">
        <w:rPr>
          <w:rFonts w:ascii="Palatino Linotype" w:eastAsia="Palatino Linotype" w:hAnsi="Palatino Linotype" w:cs="Palatino Linotype"/>
          <w:b/>
          <w:i/>
          <w:sz w:val="22"/>
        </w:rPr>
        <w:t>Unidades de Transparencia</w:t>
      </w:r>
      <w:r w:rsidRPr="00BE3BD1">
        <w:rPr>
          <w:rFonts w:ascii="Palatino Linotype" w:eastAsia="Palatino Linotype" w:hAnsi="Palatino Linotype" w:cs="Palatino Linotype"/>
          <w:i/>
          <w:sz w:val="22"/>
        </w:rPr>
        <w:t xml:space="preserve"> tendrán las siguientes </w:t>
      </w:r>
      <w:r w:rsidRPr="00BE3BD1">
        <w:rPr>
          <w:rFonts w:ascii="Palatino Linotype" w:eastAsia="Palatino Linotype" w:hAnsi="Palatino Linotype" w:cs="Palatino Linotype"/>
          <w:b/>
          <w:i/>
          <w:sz w:val="22"/>
        </w:rPr>
        <w:t>funciones</w:t>
      </w:r>
      <w:r w:rsidRPr="00BE3BD1">
        <w:rPr>
          <w:rFonts w:ascii="Palatino Linotype" w:eastAsia="Palatino Linotype" w:hAnsi="Palatino Linotype" w:cs="Palatino Linotype"/>
          <w:i/>
          <w:sz w:val="22"/>
        </w:rPr>
        <w:t>:</w:t>
      </w:r>
    </w:p>
    <w:p w14:paraId="7DCB3A20" w14:textId="77777777" w:rsidR="00E31028" w:rsidRPr="00BE3BD1" w:rsidRDefault="00E31028" w:rsidP="00E31028">
      <w:pPr>
        <w:spacing w:before="120" w:after="120"/>
        <w:ind w:left="1134" w:right="900"/>
        <w:jc w:val="both"/>
        <w:rPr>
          <w:rFonts w:ascii="Palatino Linotype" w:eastAsia="Palatino Linotype" w:hAnsi="Palatino Linotype" w:cs="Palatino Linotype"/>
          <w:i/>
          <w:sz w:val="22"/>
        </w:rPr>
      </w:pPr>
      <w:r w:rsidRPr="00BE3BD1">
        <w:rPr>
          <w:rFonts w:ascii="Palatino Linotype" w:eastAsia="Palatino Linotype" w:hAnsi="Palatino Linotype" w:cs="Palatino Linotype"/>
          <w:b/>
          <w:i/>
          <w:sz w:val="22"/>
        </w:rPr>
        <w:t>X. Presentar ante el Comité, el proyecto de clasificación de información</w:t>
      </w:r>
      <w:r w:rsidRPr="00BE3BD1">
        <w:rPr>
          <w:rFonts w:ascii="Palatino Linotype" w:eastAsia="Palatino Linotype" w:hAnsi="Palatino Linotype" w:cs="Palatino Linotype"/>
          <w:i/>
          <w:sz w:val="22"/>
        </w:rPr>
        <w:t xml:space="preserve">…” </w:t>
      </w:r>
    </w:p>
    <w:p w14:paraId="7881D56F" w14:textId="77777777" w:rsidR="00E31028" w:rsidRPr="00BE3BD1" w:rsidRDefault="00E31028" w:rsidP="00E31028">
      <w:pPr>
        <w:spacing w:before="120" w:after="120"/>
        <w:ind w:left="851" w:right="900"/>
        <w:jc w:val="both"/>
        <w:rPr>
          <w:rFonts w:ascii="Palatino Linotype" w:eastAsia="Palatino Linotype" w:hAnsi="Palatino Linotype" w:cs="Palatino Linotype"/>
          <w:i/>
          <w:sz w:val="22"/>
        </w:rPr>
      </w:pPr>
      <w:r w:rsidRPr="00BE3BD1">
        <w:rPr>
          <w:rFonts w:ascii="Palatino Linotype" w:eastAsia="Palatino Linotype" w:hAnsi="Palatino Linotype" w:cs="Palatino Linotype"/>
          <w:b/>
          <w:i/>
          <w:sz w:val="22"/>
        </w:rPr>
        <w:lastRenderedPageBreak/>
        <w:t>“Artículo 59.</w:t>
      </w:r>
      <w:r w:rsidRPr="00BE3BD1">
        <w:rPr>
          <w:rFonts w:ascii="Palatino Linotype" w:eastAsia="Palatino Linotype" w:hAnsi="Palatino Linotype" w:cs="Palatino Linotype"/>
          <w:i/>
          <w:sz w:val="22"/>
        </w:rPr>
        <w:t xml:space="preserve"> Los </w:t>
      </w:r>
      <w:r w:rsidRPr="00BE3BD1">
        <w:rPr>
          <w:rFonts w:ascii="Palatino Linotype" w:eastAsia="Palatino Linotype" w:hAnsi="Palatino Linotype" w:cs="Palatino Linotype"/>
          <w:b/>
          <w:i/>
          <w:sz w:val="22"/>
        </w:rPr>
        <w:t>servidores públicos habilitados</w:t>
      </w:r>
      <w:r w:rsidRPr="00BE3BD1">
        <w:rPr>
          <w:rFonts w:ascii="Palatino Linotype" w:eastAsia="Palatino Linotype" w:hAnsi="Palatino Linotype" w:cs="Palatino Linotype"/>
          <w:i/>
          <w:sz w:val="22"/>
        </w:rPr>
        <w:t xml:space="preserve"> tendrán las </w:t>
      </w:r>
      <w:r w:rsidRPr="00BE3BD1">
        <w:rPr>
          <w:rFonts w:ascii="Palatino Linotype" w:eastAsia="Palatino Linotype" w:hAnsi="Palatino Linotype" w:cs="Palatino Linotype"/>
          <w:b/>
          <w:i/>
          <w:sz w:val="22"/>
        </w:rPr>
        <w:t>funciones</w:t>
      </w:r>
      <w:r w:rsidRPr="00BE3BD1">
        <w:rPr>
          <w:rFonts w:ascii="Palatino Linotype" w:eastAsia="Palatino Linotype" w:hAnsi="Palatino Linotype" w:cs="Palatino Linotype"/>
          <w:i/>
          <w:sz w:val="22"/>
        </w:rPr>
        <w:t xml:space="preserve"> siguientes:</w:t>
      </w:r>
    </w:p>
    <w:p w14:paraId="27E5EE40" w14:textId="77777777" w:rsidR="00E31028" w:rsidRPr="00BE3BD1" w:rsidRDefault="00E31028" w:rsidP="00E31028">
      <w:pPr>
        <w:spacing w:before="120" w:after="120"/>
        <w:ind w:left="1134" w:right="900"/>
        <w:jc w:val="both"/>
        <w:rPr>
          <w:rFonts w:ascii="Palatino Linotype" w:eastAsia="Palatino Linotype" w:hAnsi="Palatino Linotype" w:cs="Palatino Linotype"/>
          <w:i/>
          <w:sz w:val="22"/>
        </w:rPr>
      </w:pPr>
      <w:r w:rsidRPr="00BE3BD1">
        <w:rPr>
          <w:rFonts w:ascii="Palatino Linotype" w:eastAsia="Palatino Linotype" w:hAnsi="Palatino Linotype" w:cs="Palatino Linotype"/>
          <w:b/>
          <w:i/>
          <w:sz w:val="22"/>
        </w:rPr>
        <w:t>V. Integrar y presentar al responsable de la Unidad de Transparencia la propuesta de clasificación de información</w:t>
      </w:r>
      <w:r w:rsidRPr="00BE3BD1">
        <w:rPr>
          <w:rFonts w:ascii="Palatino Linotype" w:eastAsia="Palatino Linotype" w:hAnsi="Palatino Linotype" w:cs="Palatino Linotype"/>
          <w:i/>
          <w:sz w:val="22"/>
        </w:rPr>
        <w:t>, la cual tendrá los fundamentos y argumentos en que se basa dicha propuesta…”</w:t>
      </w:r>
    </w:p>
    <w:p w14:paraId="3AF1C885" w14:textId="77777777" w:rsidR="00E31028" w:rsidRPr="00BE3BD1" w:rsidRDefault="00E31028" w:rsidP="00E31028">
      <w:pPr>
        <w:spacing w:before="240" w:after="240" w:line="360" w:lineRule="auto"/>
        <w:jc w:val="both"/>
        <w:rPr>
          <w:rFonts w:ascii="Palatino Linotype" w:eastAsia="Palatino Linotype" w:hAnsi="Palatino Linotype" w:cs="Palatino Linotype"/>
        </w:rPr>
      </w:pPr>
      <w:r w:rsidRPr="00BE3BD1">
        <w:rPr>
          <w:rFonts w:ascii="Palatino Linotype" w:eastAsia="Palatino Linotype" w:hAnsi="Palatino Linotype" w:cs="Palatino Linotype"/>
        </w:rPr>
        <w:t>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68A663CA" w14:textId="77777777" w:rsidR="00E31028" w:rsidRPr="00BE3BD1" w:rsidRDefault="00E31028" w:rsidP="00E31028">
      <w:pPr>
        <w:spacing w:before="240" w:after="240" w:line="360" w:lineRule="auto"/>
        <w:jc w:val="both"/>
        <w:rPr>
          <w:rFonts w:ascii="Palatino Linotype" w:eastAsia="Palatino Linotype" w:hAnsi="Palatino Linotype" w:cs="Palatino Linotype"/>
        </w:rPr>
      </w:pPr>
      <w:r w:rsidRPr="00BE3BD1">
        <w:rPr>
          <w:rFonts w:ascii="Palatino Linotype" w:eastAsia="Palatino Linotype" w:hAnsi="Palatino Linotype" w:cs="Palatino Linotype"/>
        </w:rPr>
        <w:t>Para lo cual, a su vez en el caso de información de carácter confidencial, se debe atender a lo que señala el artículo 149 de la Ley de Transparencia Local vigente, que se lee como sigue:</w:t>
      </w:r>
    </w:p>
    <w:p w14:paraId="524F358B" w14:textId="77777777" w:rsidR="00E31028" w:rsidRPr="00BE3BD1" w:rsidRDefault="00E31028" w:rsidP="00E31028">
      <w:pPr>
        <w:spacing w:after="240"/>
        <w:ind w:left="851" w:right="900"/>
        <w:jc w:val="both"/>
        <w:rPr>
          <w:rFonts w:ascii="Palatino Linotype" w:eastAsia="Palatino Linotype" w:hAnsi="Palatino Linotype" w:cs="Palatino Linotype"/>
          <w:i/>
          <w:sz w:val="22"/>
        </w:rPr>
      </w:pPr>
      <w:r w:rsidRPr="00BE3BD1">
        <w:rPr>
          <w:rFonts w:ascii="Palatino Linotype" w:eastAsia="Palatino Linotype" w:hAnsi="Palatino Linotype" w:cs="Palatino Linotype"/>
          <w:i/>
          <w:sz w:val="22"/>
        </w:rPr>
        <w:t>“</w:t>
      </w:r>
      <w:r w:rsidRPr="00BE3BD1">
        <w:rPr>
          <w:rFonts w:ascii="Palatino Linotype" w:eastAsia="Palatino Linotype" w:hAnsi="Palatino Linotype" w:cs="Palatino Linotype"/>
          <w:b/>
          <w:i/>
          <w:sz w:val="22"/>
        </w:rPr>
        <w:t>Artículo 149.</w:t>
      </w:r>
      <w:r w:rsidRPr="00BE3BD1">
        <w:rPr>
          <w:rFonts w:ascii="Palatino Linotype" w:eastAsia="Palatino Linotype" w:hAnsi="Palatino Linotype" w:cs="Palatino Linotype"/>
          <w:i/>
          <w:sz w:val="22"/>
        </w:rPr>
        <w:t xml:space="preserve"> El </w:t>
      </w:r>
      <w:r w:rsidRPr="00BE3BD1">
        <w:rPr>
          <w:rFonts w:ascii="Palatino Linotype" w:eastAsia="Palatino Linotype" w:hAnsi="Palatino Linotype" w:cs="Palatino Linotype"/>
          <w:b/>
          <w:i/>
          <w:sz w:val="22"/>
        </w:rPr>
        <w:t>acuerdo que clasifique la información como confidencial</w:t>
      </w:r>
      <w:r w:rsidRPr="00BE3BD1">
        <w:rPr>
          <w:rFonts w:ascii="Palatino Linotype" w:eastAsia="Palatino Linotype" w:hAnsi="Palatino Linotype" w:cs="Palatino Linotype"/>
          <w:i/>
          <w:sz w:val="22"/>
        </w:rPr>
        <w:t xml:space="preserve"> deberá contener un razonamiento lógico en el que demuestre que la información se encuentra en alguna o algunas de las hipótesis previstas en la presente Ley.” </w:t>
      </w:r>
    </w:p>
    <w:p w14:paraId="43C5E452" w14:textId="77777777" w:rsidR="00E31028" w:rsidRPr="00BE3BD1" w:rsidRDefault="00E31028" w:rsidP="00E31028">
      <w:pPr>
        <w:spacing w:before="240" w:after="240" w:line="360" w:lineRule="auto"/>
        <w:ind w:right="51"/>
        <w:jc w:val="both"/>
        <w:rPr>
          <w:rFonts w:ascii="Palatino Linotype" w:eastAsia="Palatino Linotype" w:hAnsi="Palatino Linotype" w:cs="Palatino Linotype"/>
        </w:rPr>
      </w:pPr>
      <w:r w:rsidRPr="00BE3BD1">
        <w:rPr>
          <w:rFonts w:ascii="Palatino Linotype" w:eastAsia="Palatino Linotype" w:hAnsi="Palatino Linotype" w:cs="Palatino Linotype"/>
        </w:rPr>
        <w:t xml:space="preserve">Es decir, el </w:t>
      </w:r>
      <w:r w:rsidRPr="00BE3BD1">
        <w:rPr>
          <w:rFonts w:ascii="Palatino Linotype" w:eastAsia="Palatino Linotype" w:hAnsi="Palatino Linotype" w:cs="Palatino Linotype"/>
          <w:b/>
        </w:rPr>
        <w:t>Sujeto Obligado</w:t>
      </w:r>
      <w:r w:rsidRPr="00BE3BD1">
        <w:rPr>
          <w:rFonts w:ascii="Palatino Linotype" w:eastAsia="Palatino Linotype" w:hAnsi="Palatino Linotype" w:cs="Palatino Linotype"/>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w:t>
      </w:r>
      <w:r w:rsidRPr="00BE3BD1">
        <w:rPr>
          <w:rFonts w:ascii="Palatino Linotype" w:eastAsia="Palatino Linotype" w:hAnsi="Palatino Linotype" w:cs="Palatino Linotype"/>
        </w:rPr>
        <w:lastRenderedPageBreak/>
        <w:t>tachado; en otras palabras si no se exponen de manera puntual las razones de la versión pública de la documentación entregada se estaría violentando el derecho de acceso a la información de la persona solicitante.</w:t>
      </w:r>
    </w:p>
    <w:p w14:paraId="19D4FAED" w14:textId="26DB7297" w:rsidR="00E31028" w:rsidRPr="00BE3BD1" w:rsidRDefault="00E31028" w:rsidP="00E31028">
      <w:pPr>
        <w:spacing w:before="240" w:after="240" w:line="360" w:lineRule="auto"/>
        <w:ind w:right="49"/>
        <w:jc w:val="both"/>
        <w:rPr>
          <w:rFonts w:ascii="Palatino Linotype" w:eastAsia="Palatino Linotype" w:hAnsi="Palatino Linotype" w:cs="Palatino Linotype"/>
        </w:rPr>
      </w:pPr>
      <w:r w:rsidRPr="00BE3BD1">
        <w:rPr>
          <w:rFonts w:ascii="Palatino Linotype" w:eastAsia="Palatino Linotype" w:hAnsi="Palatino Linotype" w:cs="Palatino Linotype"/>
        </w:rPr>
        <w:t xml:space="preserve">Por último, respecto a la versión pública de los documentos que contenga la información solicitada, cabe señalar que el Comité de Transparencia del </w:t>
      </w:r>
      <w:r w:rsidRPr="00BE3BD1">
        <w:rPr>
          <w:rFonts w:ascii="Palatino Linotype" w:eastAsia="Palatino Linotype" w:hAnsi="Palatino Linotype" w:cs="Palatino Linotype"/>
          <w:b/>
        </w:rPr>
        <w:t>Sujeto Obligado</w:t>
      </w:r>
      <w:r w:rsidRPr="00BE3BD1">
        <w:rPr>
          <w:rFonts w:ascii="Palatino Linotype" w:eastAsia="Palatino Linotype" w:hAnsi="Palatino Linotype" w:cs="Palatino Linotype"/>
        </w:rPr>
        <w:t>, deberá emitir el acuerdo de clasificación de información debidamente fundado y motivado</w:t>
      </w:r>
      <w:r w:rsidR="00F1081B" w:rsidRPr="00BE3BD1">
        <w:rPr>
          <w:rFonts w:ascii="Palatino Linotype" w:eastAsia="Palatino Linotype" w:hAnsi="Palatino Linotype" w:cs="Palatino Linotype"/>
        </w:rPr>
        <w:t xml:space="preserve">, en términos </w:t>
      </w:r>
      <w:r w:rsidRPr="00BE3BD1">
        <w:rPr>
          <w:rFonts w:ascii="Palatino Linotype" w:eastAsia="Palatino Linotype" w:hAnsi="Palatino Linotype" w:cs="Palatino Linotype"/>
        </w:rPr>
        <w:t>los Lineamientos Segundo, fracción XVIII, y del Cuarto al Décimo Primero de los “Lineamientos Generales en materia de Clasificación y Desclasificación de la Información, así como para la elaboración de Versiones Públicas”, que literalmente expresan:</w:t>
      </w:r>
    </w:p>
    <w:p w14:paraId="4F60F103" w14:textId="4433C33E" w:rsidR="00E31028" w:rsidRPr="00BE3BD1" w:rsidRDefault="00E31028" w:rsidP="00E31028">
      <w:pPr>
        <w:tabs>
          <w:tab w:val="left" w:pos="8222"/>
        </w:tabs>
        <w:spacing w:before="120" w:after="120"/>
        <w:ind w:left="851" w:right="1134"/>
        <w:jc w:val="both"/>
        <w:rPr>
          <w:rFonts w:ascii="Palatino Linotype" w:eastAsia="Palatino Linotype" w:hAnsi="Palatino Linotype" w:cs="Palatino Linotype"/>
          <w:i/>
          <w:sz w:val="22"/>
          <w:szCs w:val="22"/>
        </w:rPr>
      </w:pPr>
      <w:r w:rsidRPr="00BE3BD1">
        <w:rPr>
          <w:rFonts w:ascii="Palatino Linotype" w:eastAsia="Palatino Linotype" w:hAnsi="Palatino Linotype" w:cs="Palatino Linotype"/>
          <w:i/>
          <w:sz w:val="22"/>
          <w:szCs w:val="22"/>
        </w:rPr>
        <w:t>“</w:t>
      </w:r>
      <w:r w:rsidRPr="00BE3BD1">
        <w:rPr>
          <w:rFonts w:ascii="Palatino Linotype" w:eastAsia="Palatino Linotype" w:hAnsi="Palatino Linotype" w:cs="Palatino Linotype"/>
          <w:b/>
          <w:i/>
          <w:sz w:val="22"/>
          <w:szCs w:val="22"/>
        </w:rPr>
        <w:t>Segundo.-</w:t>
      </w:r>
      <w:r w:rsidRPr="00BE3BD1">
        <w:rPr>
          <w:rFonts w:ascii="Palatino Linotype" w:eastAsia="Palatino Linotype" w:hAnsi="Palatino Linotype" w:cs="Palatino Linotype"/>
          <w:i/>
          <w:sz w:val="22"/>
          <w:szCs w:val="22"/>
        </w:rPr>
        <w:t xml:space="preserve"> Para efectos de los presentes Lineamientos Generales, se entenderá por:</w:t>
      </w:r>
    </w:p>
    <w:p w14:paraId="550AEDA2" w14:textId="77777777" w:rsidR="00E31028" w:rsidRPr="00BE3BD1" w:rsidRDefault="00E31028" w:rsidP="00E31028">
      <w:pPr>
        <w:tabs>
          <w:tab w:val="left" w:pos="8222"/>
        </w:tabs>
        <w:spacing w:before="120" w:after="120"/>
        <w:ind w:left="1134" w:right="1134"/>
        <w:jc w:val="both"/>
        <w:rPr>
          <w:rFonts w:ascii="Palatino Linotype" w:eastAsia="Palatino Linotype" w:hAnsi="Palatino Linotype" w:cs="Palatino Linotype"/>
          <w:i/>
          <w:sz w:val="22"/>
          <w:szCs w:val="22"/>
        </w:rPr>
      </w:pPr>
      <w:r w:rsidRPr="00BE3BD1">
        <w:rPr>
          <w:rFonts w:ascii="Palatino Linotype" w:eastAsia="Palatino Linotype" w:hAnsi="Palatino Linotype" w:cs="Palatino Linotype"/>
          <w:b/>
          <w:i/>
          <w:sz w:val="22"/>
          <w:szCs w:val="22"/>
        </w:rPr>
        <w:t>XVIII.</w:t>
      </w:r>
      <w:r w:rsidRPr="00BE3BD1">
        <w:rPr>
          <w:rFonts w:ascii="Palatino Linotype" w:eastAsia="Palatino Linotype" w:hAnsi="Palatino Linotype" w:cs="Palatino Linotype"/>
          <w:i/>
          <w:sz w:val="22"/>
          <w:szCs w:val="22"/>
        </w:rPr>
        <w:t xml:space="preserve"> </w:t>
      </w:r>
      <w:r w:rsidRPr="00BE3BD1">
        <w:rPr>
          <w:rFonts w:ascii="Palatino Linotype" w:eastAsia="Palatino Linotype" w:hAnsi="Palatino Linotype" w:cs="Palatino Linotype"/>
          <w:b/>
          <w:i/>
          <w:sz w:val="22"/>
          <w:szCs w:val="22"/>
        </w:rPr>
        <w:t>Versión pública:</w:t>
      </w:r>
      <w:r w:rsidRPr="00BE3BD1">
        <w:rPr>
          <w:rFonts w:ascii="Palatino Linotype" w:eastAsia="Palatino Linotype" w:hAnsi="Palatino Linotype" w:cs="Palatino Linotype"/>
          <w:i/>
          <w:sz w:val="22"/>
          <w:szCs w:val="22"/>
        </w:rPr>
        <w:t xml:space="preserve"> El documento a partir del que se otorga acceso a la información, en el que se testan partes o secciones clasificadas, indicando el contenido de éstas de manera genérica, </w:t>
      </w:r>
      <w:r w:rsidRPr="00BE3BD1">
        <w:rPr>
          <w:rFonts w:ascii="Palatino Linotype" w:eastAsia="Palatino Linotype" w:hAnsi="Palatino Linotype" w:cs="Palatino Linotype"/>
          <w:b/>
          <w:i/>
          <w:sz w:val="22"/>
          <w:szCs w:val="22"/>
        </w:rPr>
        <w:t>fundando y motivando la</w:t>
      </w:r>
      <w:r w:rsidRPr="00BE3BD1">
        <w:rPr>
          <w:rFonts w:ascii="Palatino Linotype" w:eastAsia="Palatino Linotype" w:hAnsi="Palatino Linotype" w:cs="Palatino Linotype"/>
          <w:i/>
          <w:sz w:val="22"/>
          <w:szCs w:val="22"/>
        </w:rPr>
        <w:t xml:space="preserve"> </w:t>
      </w:r>
      <w:r w:rsidRPr="00BE3BD1">
        <w:rPr>
          <w:rFonts w:ascii="Palatino Linotype" w:eastAsia="Palatino Linotype" w:hAnsi="Palatino Linotype" w:cs="Palatino Linotype"/>
          <w:b/>
          <w:i/>
          <w:sz w:val="22"/>
          <w:szCs w:val="22"/>
        </w:rPr>
        <w:t>reserva o confidencialidad</w:t>
      </w:r>
      <w:r w:rsidRPr="00BE3BD1">
        <w:rPr>
          <w:rFonts w:ascii="Palatino Linotype" w:eastAsia="Palatino Linotype" w:hAnsi="Palatino Linotype" w:cs="Palatino Linotype"/>
          <w:i/>
          <w:sz w:val="22"/>
          <w:szCs w:val="22"/>
        </w:rPr>
        <w:t>, a través de la resolución que para tal efecto emita el Comité de Transparencia.</w:t>
      </w:r>
    </w:p>
    <w:p w14:paraId="1F4B4F1F" w14:textId="77777777" w:rsidR="00E31028" w:rsidRPr="00BE3BD1" w:rsidRDefault="00E31028" w:rsidP="00E31028">
      <w:pPr>
        <w:tabs>
          <w:tab w:val="left" w:pos="8222"/>
        </w:tabs>
        <w:spacing w:before="120" w:after="120"/>
        <w:ind w:left="851" w:right="1134"/>
        <w:jc w:val="both"/>
        <w:rPr>
          <w:rFonts w:ascii="Palatino Linotype" w:eastAsia="Palatino Linotype" w:hAnsi="Palatino Linotype" w:cs="Palatino Linotype"/>
          <w:b/>
          <w:i/>
          <w:sz w:val="22"/>
          <w:szCs w:val="22"/>
        </w:rPr>
      </w:pPr>
      <w:r w:rsidRPr="00BE3BD1">
        <w:rPr>
          <w:rFonts w:ascii="Palatino Linotype" w:eastAsia="Palatino Linotype" w:hAnsi="Palatino Linotype" w:cs="Palatino Linotype"/>
          <w:b/>
          <w:i/>
          <w:sz w:val="22"/>
          <w:szCs w:val="22"/>
        </w:rPr>
        <w:t>...</w:t>
      </w:r>
    </w:p>
    <w:p w14:paraId="272727FD" w14:textId="77777777" w:rsidR="00E31028" w:rsidRPr="00BE3BD1" w:rsidRDefault="00E31028" w:rsidP="00E31028">
      <w:pPr>
        <w:tabs>
          <w:tab w:val="left" w:pos="8222"/>
        </w:tabs>
        <w:spacing w:before="120" w:after="120"/>
        <w:ind w:left="851" w:right="1134"/>
        <w:jc w:val="both"/>
        <w:rPr>
          <w:rFonts w:ascii="Palatino Linotype" w:eastAsia="Palatino Linotype" w:hAnsi="Palatino Linotype" w:cs="Palatino Linotype"/>
          <w:i/>
          <w:sz w:val="22"/>
          <w:szCs w:val="22"/>
        </w:rPr>
      </w:pPr>
      <w:r w:rsidRPr="00BE3BD1">
        <w:rPr>
          <w:rFonts w:ascii="Palatino Linotype" w:eastAsia="Palatino Linotype" w:hAnsi="Palatino Linotype" w:cs="Palatino Linotype"/>
          <w:b/>
          <w:i/>
          <w:sz w:val="22"/>
          <w:szCs w:val="22"/>
        </w:rPr>
        <w:t>Cuarto.</w:t>
      </w:r>
      <w:r w:rsidRPr="00BE3BD1">
        <w:rPr>
          <w:rFonts w:ascii="Palatino Linotype" w:eastAsia="Palatino Linotype" w:hAnsi="Palatino Linotype" w:cs="Palatino Linotype"/>
          <w:i/>
          <w:sz w:val="22"/>
          <w:szCs w:val="22"/>
        </w:rPr>
        <w:t xml:space="preserve"> </w:t>
      </w:r>
      <w:r w:rsidRPr="00BE3BD1">
        <w:rPr>
          <w:rFonts w:ascii="Palatino Linotype" w:eastAsia="Palatino Linotype" w:hAnsi="Palatino Linotype" w:cs="Palatino Linotype"/>
          <w:b/>
          <w:i/>
          <w:sz w:val="22"/>
          <w:szCs w:val="22"/>
        </w:rPr>
        <w:t>Para clasificar la información como</w:t>
      </w:r>
      <w:r w:rsidRPr="00BE3BD1">
        <w:rPr>
          <w:rFonts w:ascii="Palatino Linotype" w:eastAsia="Palatino Linotype" w:hAnsi="Palatino Linotype" w:cs="Palatino Linotype"/>
          <w:i/>
          <w:sz w:val="22"/>
          <w:szCs w:val="22"/>
        </w:rPr>
        <w:t xml:space="preserve"> </w:t>
      </w:r>
      <w:r w:rsidRPr="00BE3BD1">
        <w:rPr>
          <w:rFonts w:ascii="Palatino Linotype" w:eastAsia="Palatino Linotype" w:hAnsi="Palatino Linotype" w:cs="Palatino Linotype"/>
          <w:b/>
          <w:i/>
          <w:sz w:val="22"/>
          <w:szCs w:val="22"/>
        </w:rPr>
        <w:t>reservada o</w:t>
      </w:r>
      <w:r w:rsidRPr="00BE3BD1">
        <w:rPr>
          <w:rFonts w:ascii="Palatino Linotype" w:eastAsia="Palatino Linotype" w:hAnsi="Palatino Linotype" w:cs="Palatino Linotype"/>
          <w:i/>
          <w:sz w:val="22"/>
          <w:szCs w:val="22"/>
        </w:rPr>
        <w:t xml:space="preserve"> </w:t>
      </w:r>
      <w:r w:rsidRPr="00BE3BD1">
        <w:rPr>
          <w:rFonts w:ascii="Palatino Linotype" w:eastAsia="Palatino Linotype" w:hAnsi="Palatino Linotype" w:cs="Palatino Linotype"/>
          <w:b/>
          <w:i/>
          <w:sz w:val="22"/>
          <w:szCs w:val="22"/>
        </w:rPr>
        <w:t>confidencial, de manera total o parcial, el titular del área del sujeto obligado deberá atender lo dispuesto por el Título Sexto de la Ley General</w:t>
      </w:r>
      <w:r w:rsidRPr="00BE3BD1">
        <w:rPr>
          <w:rFonts w:ascii="Palatino Linotype" w:eastAsia="Palatino Linotype" w:hAnsi="Palatino Linotype" w:cs="Palatino Linotype"/>
          <w:i/>
          <w:sz w:val="22"/>
          <w:szCs w:val="22"/>
        </w:rPr>
        <w:t>,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435D294" w14:textId="77777777" w:rsidR="00E31028" w:rsidRPr="00BE3BD1" w:rsidRDefault="00E31028" w:rsidP="00E31028">
      <w:pPr>
        <w:tabs>
          <w:tab w:val="left" w:pos="8222"/>
        </w:tabs>
        <w:spacing w:before="120" w:after="120"/>
        <w:ind w:left="851" w:right="1134"/>
        <w:jc w:val="both"/>
        <w:rPr>
          <w:rFonts w:ascii="Palatino Linotype" w:eastAsia="Palatino Linotype" w:hAnsi="Palatino Linotype" w:cs="Palatino Linotype"/>
          <w:i/>
          <w:sz w:val="22"/>
          <w:szCs w:val="22"/>
        </w:rPr>
      </w:pPr>
      <w:r w:rsidRPr="00BE3BD1">
        <w:rPr>
          <w:rFonts w:ascii="Palatino Linotype" w:eastAsia="Palatino Linotype" w:hAnsi="Palatino Linotype" w:cs="Palatino Linotype"/>
          <w:i/>
          <w:sz w:val="22"/>
          <w:szCs w:val="22"/>
        </w:rPr>
        <w:t>Los sujetos obligados deberán aplicar, de manera estricta, las excepciones al derecho de acceso a la información y sólo podrán invocarlas cuando acrediten su procedencia.</w:t>
      </w:r>
    </w:p>
    <w:p w14:paraId="3FDC3E0C" w14:textId="77777777" w:rsidR="00E31028" w:rsidRPr="00BE3BD1" w:rsidRDefault="00E31028" w:rsidP="00E31028">
      <w:pPr>
        <w:tabs>
          <w:tab w:val="left" w:pos="8222"/>
        </w:tabs>
        <w:spacing w:before="120" w:after="120"/>
        <w:ind w:left="851" w:right="1134"/>
        <w:jc w:val="both"/>
        <w:rPr>
          <w:rFonts w:ascii="Palatino Linotype" w:eastAsia="Palatino Linotype" w:hAnsi="Palatino Linotype" w:cs="Palatino Linotype"/>
          <w:i/>
          <w:sz w:val="22"/>
          <w:szCs w:val="22"/>
        </w:rPr>
      </w:pPr>
      <w:r w:rsidRPr="00BE3BD1">
        <w:rPr>
          <w:rFonts w:ascii="Palatino Linotype" w:eastAsia="Palatino Linotype" w:hAnsi="Palatino Linotype" w:cs="Palatino Linotype"/>
          <w:b/>
          <w:i/>
          <w:sz w:val="22"/>
          <w:szCs w:val="22"/>
        </w:rPr>
        <w:t>Quinto.</w:t>
      </w:r>
      <w:r w:rsidRPr="00BE3BD1">
        <w:rPr>
          <w:rFonts w:ascii="Palatino Linotype" w:eastAsia="Palatino Linotype" w:hAnsi="Palatino Linotype" w:cs="Palatino Linotype"/>
          <w:i/>
          <w:sz w:val="22"/>
          <w:szCs w:val="22"/>
        </w:rPr>
        <w:t xml:space="preserve"> La carga de la prueba para justificar toda negativa de acceso a la información, por actualizarse cualquiera de los supuestos de clasificación </w:t>
      </w:r>
      <w:r w:rsidRPr="00BE3BD1">
        <w:rPr>
          <w:rFonts w:ascii="Palatino Linotype" w:eastAsia="Palatino Linotype" w:hAnsi="Palatino Linotype" w:cs="Palatino Linotype"/>
          <w:i/>
          <w:sz w:val="22"/>
          <w:szCs w:val="22"/>
        </w:rPr>
        <w:lastRenderedPageBreak/>
        <w:t>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7F453ABB" w14:textId="77777777" w:rsidR="00E31028" w:rsidRPr="00BE3BD1" w:rsidRDefault="00E31028" w:rsidP="00E31028">
      <w:pPr>
        <w:tabs>
          <w:tab w:val="left" w:pos="8222"/>
        </w:tabs>
        <w:spacing w:before="120" w:after="120"/>
        <w:ind w:left="851" w:right="1134"/>
        <w:jc w:val="both"/>
        <w:rPr>
          <w:rFonts w:ascii="Palatino Linotype" w:eastAsia="Palatino Linotype" w:hAnsi="Palatino Linotype" w:cs="Palatino Linotype"/>
          <w:i/>
          <w:sz w:val="22"/>
          <w:szCs w:val="22"/>
        </w:rPr>
      </w:pPr>
      <w:r w:rsidRPr="00BE3BD1">
        <w:rPr>
          <w:rFonts w:ascii="Palatino Linotype" w:eastAsia="Palatino Linotype" w:hAnsi="Palatino Linotype" w:cs="Palatino Linotype"/>
          <w:b/>
          <w:i/>
          <w:sz w:val="22"/>
          <w:szCs w:val="22"/>
        </w:rPr>
        <w:t>Sexto.</w:t>
      </w:r>
      <w:r w:rsidRPr="00BE3BD1">
        <w:rPr>
          <w:rFonts w:ascii="Palatino Linotype" w:eastAsia="Palatino Linotype" w:hAnsi="Palatino Linotype" w:cs="Palatino Linotype"/>
          <w:i/>
          <w:sz w:val="22"/>
          <w:szCs w:val="22"/>
        </w:rPr>
        <w:t xml:space="preserve"> Se deroga.</w:t>
      </w:r>
    </w:p>
    <w:p w14:paraId="1DEB191D" w14:textId="77777777" w:rsidR="00E31028" w:rsidRPr="00BE3BD1" w:rsidRDefault="00E31028" w:rsidP="00E31028">
      <w:pPr>
        <w:tabs>
          <w:tab w:val="left" w:pos="8222"/>
        </w:tabs>
        <w:spacing w:before="120" w:after="120"/>
        <w:ind w:left="851" w:right="1134"/>
        <w:jc w:val="both"/>
        <w:rPr>
          <w:rFonts w:ascii="Palatino Linotype" w:eastAsia="Palatino Linotype" w:hAnsi="Palatino Linotype" w:cs="Palatino Linotype"/>
          <w:i/>
          <w:sz w:val="22"/>
          <w:szCs w:val="22"/>
        </w:rPr>
      </w:pPr>
      <w:r w:rsidRPr="00BE3BD1">
        <w:rPr>
          <w:rFonts w:ascii="Palatino Linotype" w:eastAsia="Palatino Linotype" w:hAnsi="Palatino Linotype" w:cs="Palatino Linotype"/>
          <w:b/>
          <w:i/>
          <w:sz w:val="22"/>
          <w:szCs w:val="22"/>
        </w:rPr>
        <w:t>Séptimo.</w:t>
      </w:r>
      <w:r w:rsidRPr="00BE3BD1">
        <w:rPr>
          <w:rFonts w:ascii="Palatino Linotype" w:eastAsia="Palatino Linotype" w:hAnsi="Palatino Linotype" w:cs="Palatino Linotype"/>
          <w:i/>
          <w:sz w:val="22"/>
          <w:szCs w:val="22"/>
        </w:rPr>
        <w:t xml:space="preserve"> La clasificación de la información se llevará a cabo en el momento en que:</w:t>
      </w:r>
    </w:p>
    <w:p w14:paraId="5F2F26B4" w14:textId="77777777" w:rsidR="00E31028" w:rsidRPr="00BE3BD1" w:rsidRDefault="00E31028" w:rsidP="00E31028">
      <w:pPr>
        <w:tabs>
          <w:tab w:val="left" w:pos="8222"/>
        </w:tabs>
        <w:spacing w:before="120" w:after="120"/>
        <w:ind w:left="1134" w:right="1134"/>
        <w:jc w:val="both"/>
        <w:rPr>
          <w:rFonts w:ascii="Palatino Linotype" w:eastAsia="Palatino Linotype" w:hAnsi="Palatino Linotype" w:cs="Palatino Linotype"/>
          <w:i/>
          <w:sz w:val="22"/>
          <w:szCs w:val="22"/>
        </w:rPr>
      </w:pPr>
      <w:r w:rsidRPr="00BE3BD1">
        <w:rPr>
          <w:rFonts w:ascii="Palatino Linotype" w:eastAsia="Palatino Linotype" w:hAnsi="Palatino Linotype" w:cs="Palatino Linotype"/>
          <w:b/>
          <w:i/>
          <w:sz w:val="22"/>
          <w:szCs w:val="22"/>
        </w:rPr>
        <w:t>I.</w:t>
      </w:r>
      <w:r w:rsidRPr="00BE3BD1">
        <w:rPr>
          <w:rFonts w:ascii="Palatino Linotype" w:eastAsia="Palatino Linotype" w:hAnsi="Palatino Linotype" w:cs="Palatino Linotype"/>
          <w:i/>
          <w:sz w:val="22"/>
          <w:szCs w:val="22"/>
        </w:rPr>
        <w:t xml:space="preserve"> Se reciba una solicitud de acceso a la información;</w:t>
      </w:r>
    </w:p>
    <w:p w14:paraId="2EECB7EF" w14:textId="77777777" w:rsidR="00E31028" w:rsidRPr="00BE3BD1" w:rsidRDefault="00E31028" w:rsidP="00E31028">
      <w:pPr>
        <w:tabs>
          <w:tab w:val="left" w:pos="8222"/>
        </w:tabs>
        <w:spacing w:before="120" w:after="120"/>
        <w:ind w:left="1134" w:right="1134"/>
        <w:jc w:val="both"/>
        <w:rPr>
          <w:rFonts w:ascii="Palatino Linotype" w:eastAsia="Palatino Linotype" w:hAnsi="Palatino Linotype" w:cs="Palatino Linotype"/>
          <w:i/>
          <w:sz w:val="22"/>
          <w:szCs w:val="22"/>
        </w:rPr>
      </w:pPr>
      <w:r w:rsidRPr="00BE3BD1">
        <w:rPr>
          <w:rFonts w:ascii="Palatino Linotype" w:eastAsia="Palatino Linotype" w:hAnsi="Palatino Linotype" w:cs="Palatino Linotype"/>
          <w:b/>
          <w:i/>
          <w:sz w:val="22"/>
          <w:szCs w:val="22"/>
        </w:rPr>
        <w:t>II.</w:t>
      </w:r>
      <w:r w:rsidRPr="00BE3BD1">
        <w:rPr>
          <w:rFonts w:ascii="Palatino Linotype" w:eastAsia="Palatino Linotype" w:hAnsi="Palatino Linotype" w:cs="Palatino Linotype"/>
          <w:i/>
          <w:sz w:val="22"/>
          <w:szCs w:val="22"/>
        </w:rPr>
        <w:t xml:space="preserve"> Se determine mediante resolución del Comité de Transparencia, el órgano garante competente, o en cumplimiento a una sentencia del Poder Judicial; o</w:t>
      </w:r>
    </w:p>
    <w:p w14:paraId="4A591EEB" w14:textId="77777777" w:rsidR="00E31028" w:rsidRPr="00BE3BD1" w:rsidRDefault="00E31028" w:rsidP="00E31028">
      <w:pPr>
        <w:tabs>
          <w:tab w:val="left" w:pos="8222"/>
        </w:tabs>
        <w:spacing w:before="120" w:after="120"/>
        <w:ind w:left="1134" w:right="1134"/>
        <w:jc w:val="both"/>
        <w:rPr>
          <w:rFonts w:ascii="Palatino Linotype" w:eastAsia="Palatino Linotype" w:hAnsi="Palatino Linotype" w:cs="Palatino Linotype"/>
          <w:i/>
          <w:sz w:val="22"/>
          <w:szCs w:val="22"/>
        </w:rPr>
      </w:pPr>
      <w:r w:rsidRPr="00BE3BD1">
        <w:rPr>
          <w:rFonts w:ascii="Palatino Linotype" w:eastAsia="Palatino Linotype" w:hAnsi="Palatino Linotype" w:cs="Palatino Linotype"/>
          <w:b/>
          <w:i/>
          <w:sz w:val="22"/>
          <w:szCs w:val="22"/>
        </w:rPr>
        <w:t>III.</w:t>
      </w:r>
      <w:r w:rsidRPr="00BE3BD1">
        <w:rPr>
          <w:rFonts w:ascii="Palatino Linotype" w:eastAsia="Palatino Linotype" w:hAnsi="Palatino Linotype" w:cs="Palatino Linotype"/>
          <w:i/>
          <w:sz w:val="22"/>
          <w:szCs w:val="22"/>
        </w:rPr>
        <w:t xml:space="preserve"> Se generen versiones públicas para dar cumplimiento a las obligaciones de transparencia previstas en la Ley General, la Ley Federal y las correspondientes de las entidades federativas.</w:t>
      </w:r>
    </w:p>
    <w:p w14:paraId="58040811" w14:textId="77777777" w:rsidR="00E31028" w:rsidRPr="00BE3BD1" w:rsidRDefault="00E31028" w:rsidP="00E31028">
      <w:pPr>
        <w:tabs>
          <w:tab w:val="left" w:pos="8222"/>
        </w:tabs>
        <w:spacing w:before="120" w:after="120"/>
        <w:ind w:left="851" w:right="1134"/>
        <w:jc w:val="both"/>
        <w:rPr>
          <w:rFonts w:ascii="Palatino Linotype" w:eastAsia="Palatino Linotype" w:hAnsi="Palatino Linotype" w:cs="Palatino Linotype"/>
          <w:i/>
          <w:sz w:val="22"/>
          <w:szCs w:val="22"/>
        </w:rPr>
      </w:pPr>
      <w:r w:rsidRPr="00BE3BD1">
        <w:rPr>
          <w:rFonts w:ascii="Palatino Linotype" w:eastAsia="Palatino Linotype" w:hAnsi="Palatino Linotype" w:cs="Palatino Linotype"/>
          <w:i/>
          <w:sz w:val="22"/>
          <w:szCs w:val="22"/>
        </w:rPr>
        <w:t>Los titulares de las áreas deberán revisar la clasificación al momento de la recepción de una solicitud de acceso, para verificar</w:t>
      </w:r>
      <w:r w:rsidRPr="00BE3BD1">
        <w:rPr>
          <w:rFonts w:ascii="Palatino Linotype" w:hAnsi="Palatino Linotype"/>
          <w:sz w:val="22"/>
          <w:szCs w:val="22"/>
        </w:rPr>
        <w:t xml:space="preserve">, </w:t>
      </w:r>
      <w:r w:rsidRPr="00BE3BD1">
        <w:rPr>
          <w:rFonts w:ascii="Palatino Linotype" w:eastAsia="Palatino Linotype" w:hAnsi="Palatino Linotype" w:cs="Palatino Linotype"/>
          <w:i/>
          <w:sz w:val="22"/>
          <w:szCs w:val="22"/>
        </w:rPr>
        <w:t>conforme a su naturaleza, si encuadra en una causal de reserva o de confidencialidad.</w:t>
      </w:r>
    </w:p>
    <w:p w14:paraId="2DB66731" w14:textId="77777777" w:rsidR="00E31028" w:rsidRPr="00BE3BD1" w:rsidRDefault="00E31028" w:rsidP="00E31028">
      <w:pPr>
        <w:tabs>
          <w:tab w:val="left" w:pos="8222"/>
        </w:tabs>
        <w:spacing w:before="120" w:after="120"/>
        <w:ind w:left="851" w:right="1134"/>
        <w:jc w:val="both"/>
        <w:rPr>
          <w:rFonts w:ascii="Palatino Linotype" w:eastAsia="Palatino Linotype" w:hAnsi="Palatino Linotype" w:cs="Palatino Linotype"/>
          <w:i/>
          <w:sz w:val="22"/>
          <w:szCs w:val="22"/>
        </w:rPr>
      </w:pPr>
      <w:r w:rsidRPr="00BE3BD1">
        <w:rPr>
          <w:rFonts w:ascii="Palatino Linotype" w:eastAsia="Palatino Linotype" w:hAnsi="Palatino Linotype" w:cs="Palatino Linotype"/>
          <w:b/>
          <w:i/>
          <w:sz w:val="22"/>
          <w:szCs w:val="22"/>
        </w:rPr>
        <w:t>Octavo.</w:t>
      </w:r>
      <w:r w:rsidRPr="00BE3BD1">
        <w:rPr>
          <w:rFonts w:ascii="Palatino Linotype" w:eastAsia="Palatino Linotype" w:hAnsi="Palatino Linotype" w:cs="Palatino Linotype"/>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49A195AC" w14:textId="77777777" w:rsidR="00E31028" w:rsidRPr="00BE3BD1" w:rsidRDefault="00E31028" w:rsidP="00E31028">
      <w:pPr>
        <w:tabs>
          <w:tab w:val="left" w:pos="8222"/>
        </w:tabs>
        <w:spacing w:before="120" w:after="120"/>
        <w:ind w:left="851" w:right="1134"/>
        <w:jc w:val="both"/>
        <w:rPr>
          <w:rFonts w:ascii="Palatino Linotype" w:eastAsia="Palatino Linotype" w:hAnsi="Palatino Linotype" w:cs="Palatino Linotype"/>
          <w:i/>
          <w:sz w:val="22"/>
          <w:szCs w:val="22"/>
        </w:rPr>
      </w:pPr>
      <w:r w:rsidRPr="00BE3BD1">
        <w:rPr>
          <w:rFonts w:ascii="Palatino Linotype" w:eastAsia="Palatino Linotype" w:hAnsi="Palatino Linotype" w:cs="Palatino Linotype"/>
          <w:i/>
          <w:sz w:val="22"/>
          <w:szCs w:val="22"/>
        </w:rPr>
        <w:t>Para motivar la clasificación se deberán señalar las razones o circunstancias especiales que lo llevaron a concluir que el caso particular se ajusta al supuesto previsto por la norma legal invocada como fundamento.</w:t>
      </w:r>
    </w:p>
    <w:p w14:paraId="56F7BD47" w14:textId="77777777" w:rsidR="00E31028" w:rsidRPr="00BE3BD1" w:rsidRDefault="00E31028" w:rsidP="00E31028">
      <w:pPr>
        <w:tabs>
          <w:tab w:val="left" w:pos="8222"/>
        </w:tabs>
        <w:spacing w:before="120" w:after="120"/>
        <w:ind w:left="851" w:right="1134"/>
        <w:jc w:val="both"/>
        <w:rPr>
          <w:rFonts w:ascii="Palatino Linotype" w:eastAsia="Palatino Linotype" w:hAnsi="Palatino Linotype" w:cs="Palatino Linotype"/>
          <w:i/>
          <w:sz w:val="22"/>
          <w:szCs w:val="22"/>
        </w:rPr>
      </w:pPr>
      <w:r w:rsidRPr="00BE3BD1">
        <w:rPr>
          <w:rFonts w:ascii="Palatino Linotype" w:eastAsia="Palatino Linotype" w:hAnsi="Palatino Linotype" w:cs="Palatino Linotype"/>
          <w:i/>
          <w:sz w:val="22"/>
          <w:szCs w:val="22"/>
        </w:rPr>
        <w:t>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w:t>
      </w:r>
    </w:p>
    <w:p w14:paraId="792525CE" w14:textId="77777777" w:rsidR="00E31028" w:rsidRPr="00BE3BD1" w:rsidRDefault="00E31028" w:rsidP="00E31028">
      <w:pPr>
        <w:tabs>
          <w:tab w:val="left" w:pos="8222"/>
        </w:tabs>
        <w:spacing w:before="120" w:after="120"/>
        <w:ind w:left="851" w:right="1134"/>
        <w:jc w:val="both"/>
        <w:rPr>
          <w:rFonts w:ascii="Palatino Linotype" w:eastAsia="Palatino Linotype" w:hAnsi="Palatino Linotype" w:cs="Palatino Linotype"/>
          <w:i/>
          <w:sz w:val="22"/>
          <w:szCs w:val="22"/>
        </w:rPr>
      </w:pPr>
      <w:r w:rsidRPr="00BE3BD1">
        <w:rPr>
          <w:rFonts w:ascii="Palatino Linotype" w:eastAsia="Palatino Linotype" w:hAnsi="Palatino Linotype" w:cs="Palatino Linotype"/>
          <w:b/>
          <w:i/>
          <w:sz w:val="22"/>
          <w:szCs w:val="22"/>
        </w:rPr>
        <w:t>Noveno.</w:t>
      </w:r>
      <w:r w:rsidRPr="00BE3BD1">
        <w:rPr>
          <w:rFonts w:ascii="Palatino Linotype" w:eastAsia="Palatino Linotype" w:hAnsi="Palatino Linotype" w:cs="Palatino Linotype"/>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212847F3" w14:textId="77777777" w:rsidR="00E31028" w:rsidRPr="00BE3BD1" w:rsidRDefault="00E31028" w:rsidP="00E31028">
      <w:pPr>
        <w:tabs>
          <w:tab w:val="left" w:pos="8222"/>
        </w:tabs>
        <w:spacing w:before="120" w:after="120"/>
        <w:ind w:left="851" w:right="1134"/>
        <w:jc w:val="both"/>
        <w:rPr>
          <w:rFonts w:ascii="Palatino Linotype" w:eastAsia="Palatino Linotype" w:hAnsi="Palatino Linotype" w:cs="Palatino Linotype"/>
          <w:i/>
          <w:sz w:val="22"/>
          <w:szCs w:val="22"/>
        </w:rPr>
      </w:pPr>
      <w:r w:rsidRPr="00BE3BD1">
        <w:rPr>
          <w:rFonts w:ascii="Palatino Linotype" w:eastAsia="Palatino Linotype" w:hAnsi="Palatino Linotype" w:cs="Palatino Linotype"/>
          <w:b/>
          <w:i/>
          <w:sz w:val="22"/>
          <w:szCs w:val="22"/>
        </w:rPr>
        <w:lastRenderedPageBreak/>
        <w:t>Décimo.</w:t>
      </w:r>
      <w:r w:rsidRPr="00BE3BD1">
        <w:rPr>
          <w:rFonts w:ascii="Palatino Linotype" w:eastAsia="Palatino Linotype" w:hAnsi="Palatino Linotype" w:cs="Palatino Linotype"/>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215CEF59" w14:textId="77777777" w:rsidR="00E31028" w:rsidRPr="00BE3BD1" w:rsidRDefault="00E31028" w:rsidP="00E31028">
      <w:pPr>
        <w:tabs>
          <w:tab w:val="left" w:pos="8222"/>
        </w:tabs>
        <w:spacing w:before="120" w:after="120"/>
        <w:ind w:left="851" w:right="1134"/>
        <w:jc w:val="both"/>
        <w:rPr>
          <w:rFonts w:ascii="Palatino Linotype" w:eastAsia="Palatino Linotype" w:hAnsi="Palatino Linotype" w:cs="Palatino Linotype"/>
          <w:i/>
          <w:sz w:val="22"/>
          <w:szCs w:val="22"/>
        </w:rPr>
      </w:pPr>
      <w:r w:rsidRPr="00BE3BD1">
        <w:rPr>
          <w:rFonts w:ascii="Palatino Linotype" w:eastAsia="Palatino Linotype" w:hAnsi="Palatino Linotype" w:cs="Palatino Linotype"/>
          <w:i/>
          <w:sz w:val="22"/>
          <w:szCs w:val="22"/>
        </w:rPr>
        <w:t>En ausencia de los titulares de las áreas, la información será clasificada o desclasificada por la persona que lo supla, en términos de la normativa que rija la actuación del sujeto obligado.</w:t>
      </w:r>
    </w:p>
    <w:p w14:paraId="0556FA69" w14:textId="77777777" w:rsidR="00E31028" w:rsidRPr="00BE3BD1" w:rsidRDefault="00E31028" w:rsidP="005C6B18">
      <w:pPr>
        <w:tabs>
          <w:tab w:val="left" w:pos="8222"/>
        </w:tabs>
        <w:spacing w:before="120" w:after="120"/>
        <w:ind w:left="851" w:right="1134"/>
        <w:jc w:val="both"/>
        <w:rPr>
          <w:rFonts w:ascii="Palatino Linotype" w:eastAsia="Palatino Linotype" w:hAnsi="Palatino Linotype" w:cs="Palatino Linotype"/>
          <w:i/>
          <w:sz w:val="22"/>
          <w:szCs w:val="22"/>
        </w:rPr>
      </w:pPr>
      <w:r w:rsidRPr="00BE3BD1">
        <w:rPr>
          <w:rFonts w:ascii="Palatino Linotype" w:eastAsia="Palatino Linotype" w:hAnsi="Palatino Linotype" w:cs="Palatino Linotype"/>
          <w:b/>
          <w:i/>
          <w:sz w:val="22"/>
          <w:szCs w:val="22"/>
        </w:rPr>
        <w:t>Décimo primero.</w:t>
      </w:r>
      <w:r w:rsidRPr="00BE3BD1">
        <w:rPr>
          <w:rFonts w:ascii="Palatino Linotype" w:eastAsia="Palatino Linotype" w:hAnsi="Palatino Linotype" w:cs="Palatino Linotype"/>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 </w:t>
      </w:r>
    </w:p>
    <w:p w14:paraId="74D12FC9" w14:textId="77777777" w:rsidR="00E31028" w:rsidRPr="00BE3BD1" w:rsidRDefault="00E31028" w:rsidP="00E31028">
      <w:pPr>
        <w:spacing w:before="240" w:after="240" w:line="360" w:lineRule="auto"/>
        <w:ind w:right="50"/>
        <w:jc w:val="both"/>
        <w:rPr>
          <w:rFonts w:ascii="Palatino Linotype" w:eastAsia="Palatino Linotype" w:hAnsi="Palatino Linotype" w:cs="Palatino Linotype"/>
        </w:rPr>
      </w:pPr>
      <w:r w:rsidRPr="00BE3BD1">
        <w:rPr>
          <w:rFonts w:ascii="Palatino Linotype" w:eastAsia="Palatino Linotype" w:hAnsi="Palatino Linotype" w:cs="Palatino Linotype"/>
        </w:rPr>
        <w:t xml:space="preserve">Asimismo, deberá observar los Lineamientos Quincuagésimo, Quincuagésimo primero, Quincuagésimo segundo, de los Lineamientos Generales en Materia de Clasificación y Desclasificación de la Información, así como para la Elaboración de Versiones Públicas, que señalan las formalidades que deberá llevar el acuerdo de clasificación que deberá emitir el </w:t>
      </w:r>
      <w:r w:rsidRPr="00BE3BD1">
        <w:rPr>
          <w:rFonts w:ascii="Palatino Linotype" w:eastAsia="Palatino Linotype" w:hAnsi="Palatino Linotype" w:cs="Palatino Linotype"/>
          <w:b/>
        </w:rPr>
        <w:t>Sujeto Obligado</w:t>
      </w:r>
      <w:r w:rsidRPr="00BE3BD1">
        <w:rPr>
          <w:rFonts w:ascii="Palatino Linotype" w:eastAsia="Palatino Linotype" w:hAnsi="Palatino Linotype" w:cs="Palatino Linotype"/>
        </w:rPr>
        <w:t>, siendo estas las siguientes:</w:t>
      </w:r>
    </w:p>
    <w:p w14:paraId="18232137" w14:textId="77777777" w:rsidR="00E31028" w:rsidRPr="00BE3BD1" w:rsidRDefault="00E31028" w:rsidP="00E31028">
      <w:pPr>
        <w:spacing w:before="120" w:after="120"/>
        <w:ind w:left="851" w:right="902"/>
        <w:jc w:val="both"/>
        <w:rPr>
          <w:rFonts w:ascii="Palatino Linotype" w:eastAsia="Palatino Linotype" w:hAnsi="Palatino Linotype" w:cs="Palatino Linotype"/>
          <w:i/>
          <w:sz w:val="22"/>
        </w:rPr>
      </w:pPr>
      <w:r w:rsidRPr="00BE3BD1">
        <w:rPr>
          <w:rFonts w:ascii="Palatino Linotype" w:eastAsia="Palatino Linotype" w:hAnsi="Palatino Linotype" w:cs="Palatino Linotype"/>
          <w:b/>
          <w:i/>
          <w:sz w:val="22"/>
        </w:rPr>
        <w:t xml:space="preserve"> “Quincuagésimo. </w:t>
      </w:r>
      <w:r w:rsidRPr="00BE3BD1">
        <w:rPr>
          <w:rFonts w:ascii="Palatino Linotype" w:eastAsia="Palatino Linotype" w:hAnsi="Palatino Linotype" w:cs="Palatino Linotype"/>
          <w:i/>
          <w:sz w:val="22"/>
        </w:rPr>
        <w:t xml:space="preserve">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16BE03BD" w14:textId="77777777" w:rsidR="00E31028" w:rsidRPr="00BE3BD1" w:rsidRDefault="00E31028" w:rsidP="00E31028">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rPr>
      </w:pPr>
      <w:r w:rsidRPr="00BE3BD1">
        <w:rPr>
          <w:rFonts w:ascii="Palatino Linotype" w:eastAsia="Palatino Linotype" w:hAnsi="Palatino Linotype" w:cs="Palatino Linotype"/>
          <w:b/>
          <w:i/>
          <w:sz w:val="22"/>
        </w:rPr>
        <w:t xml:space="preserve">Quincuagésimo primero. </w:t>
      </w:r>
      <w:r w:rsidRPr="00BE3BD1">
        <w:rPr>
          <w:rFonts w:ascii="Palatino Linotype" w:eastAsia="Palatino Linotype" w:hAnsi="Palatino Linotype" w:cs="Palatino Linotype"/>
          <w:i/>
          <w:sz w:val="22"/>
        </w:rPr>
        <w:t xml:space="preserve">Toda acta del Comité de Transparencia deberá contener: </w:t>
      </w:r>
    </w:p>
    <w:p w14:paraId="12A22B73" w14:textId="77777777" w:rsidR="00E31028" w:rsidRPr="00BE3BD1" w:rsidRDefault="00E31028" w:rsidP="00E31028">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rPr>
      </w:pPr>
      <w:r w:rsidRPr="00BE3BD1">
        <w:rPr>
          <w:rFonts w:ascii="Palatino Linotype" w:eastAsia="Palatino Linotype" w:hAnsi="Palatino Linotype" w:cs="Palatino Linotype"/>
          <w:b/>
          <w:i/>
          <w:sz w:val="22"/>
        </w:rPr>
        <w:t>I.</w:t>
      </w:r>
      <w:r w:rsidRPr="00BE3BD1">
        <w:rPr>
          <w:rFonts w:ascii="Palatino Linotype" w:eastAsia="Palatino Linotype" w:hAnsi="Palatino Linotype" w:cs="Palatino Linotype"/>
          <w:i/>
          <w:sz w:val="22"/>
        </w:rPr>
        <w:t xml:space="preserve"> El número de sesión y fecha; </w:t>
      </w:r>
    </w:p>
    <w:p w14:paraId="7269A0AF" w14:textId="77777777" w:rsidR="00E31028" w:rsidRPr="00BE3BD1" w:rsidRDefault="00E31028" w:rsidP="00E31028">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rPr>
      </w:pPr>
      <w:r w:rsidRPr="00BE3BD1">
        <w:rPr>
          <w:rFonts w:ascii="Palatino Linotype" w:eastAsia="Palatino Linotype" w:hAnsi="Palatino Linotype" w:cs="Palatino Linotype"/>
          <w:b/>
          <w:i/>
          <w:sz w:val="22"/>
        </w:rPr>
        <w:t>II</w:t>
      </w:r>
      <w:r w:rsidRPr="00BE3BD1">
        <w:rPr>
          <w:rFonts w:ascii="Palatino Linotype" w:eastAsia="Palatino Linotype" w:hAnsi="Palatino Linotype" w:cs="Palatino Linotype"/>
          <w:i/>
          <w:sz w:val="22"/>
        </w:rPr>
        <w:t xml:space="preserve">. El nombre del área que solicitó la clasificación de información; </w:t>
      </w:r>
    </w:p>
    <w:p w14:paraId="59464578" w14:textId="77777777" w:rsidR="00E31028" w:rsidRPr="00BE3BD1" w:rsidRDefault="00E31028" w:rsidP="00E31028">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rPr>
      </w:pPr>
      <w:r w:rsidRPr="00BE3BD1">
        <w:rPr>
          <w:rFonts w:ascii="Palatino Linotype" w:eastAsia="Palatino Linotype" w:hAnsi="Palatino Linotype" w:cs="Palatino Linotype"/>
          <w:b/>
          <w:i/>
          <w:sz w:val="22"/>
        </w:rPr>
        <w:t>III</w:t>
      </w:r>
      <w:r w:rsidRPr="00BE3BD1">
        <w:rPr>
          <w:rFonts w:ascii="Palatino Linotype" w:eastAsia="Palatino Linotype" w:hAnsi="Palatino Linotype" w:cs="Palatino Linotype"/>
          <w:i/>
          <w:sz w:val="22"/>
        </w:rPr>
        <w:t xml:space="preserve">. La fundamentación legal y motivación correspondiente; </w:t>
      </w:r>
    </w:p>
    <w:p w14:paraId="77E3FC02" w14:textId="77777777" w:rsidR="00E31028" w:rsidRPr="00BE3BD1" w:rsidRDefault="00E31028" w:rsidP="00E31028">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rPr>
      </w:pPr>
      <w:r w:rsidRPr="00BE3BD1">
        <w:rPr>
          <w:rFonts w:ascii="Palatino Linotype" w:eastAsia="Palatino Linotype" w:hAnsi="Palatino Linotype" w:cs="Palatino Linotype"/>
          <w:b/>
          <w:i/>
          <w:sz w:val="22"/>
        </w:rPr>
        <w:t>IV</w:t>
      </w:r>
      <w:r w:rsidRPr="00BE3BD1">
        <w:rPr>
          <w:rFonts w:ascii="Palatino Linotype" w:eastAsia="Palatino Linotype" w:hAnsi="Palatino Linotype" w:cs="Palatino Linotype"/>
          <w:i/>
          <w:sz w:val="22"/>
        </w:rPr>
        <w:t xml:space="preserve">. La resolución o resoluciones aprobadas; y </w:t>
      </w:r>
    </w:p>
    <w:p w14:paraId="0047DCC1" w14:textId="77777777" w:rsidR="00E31028" w:rsidRPr="00BE3BD1" w:rsidRDefault="00E31028" w:rsidP="00E31028">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rPr>
      </w:pPr>
      <w:r w:rsidRPr="00BE3BD1">
        <w:rPr>
          <w:rFonts w:ascii="Palatino Linotype" w:eastAsia="Palatino Linotype" w:hAnsi="Palatino Linotype" w:cs="Palatino Linotype"/>
          <w:b/>
          <w:i/>
          <w:sz w:val="22"/>
        </w:rPr>
        <w:t>V</w:t>
      </w:r>
      <w:r w:rsidRPr="00BE3BD1">
        <w:rPr>
          <w:rFonts w:ascii="Palatino Linotype" w:eastAsia="Palatino Linotype" w:hAnsi="Palatino Linotype" w:cs="Palatino Linotype"/>
          <w:i/>
          <w:sz w:val="22"/>
        </w:rPr>
        <w:t xml:space="preserve">. La rúbrica o firma digital de cada integrante del Comité de Transparencia. </w:t>
      </w:r>
    </w:p>
    <w:p w14:paraId="5FEC8DAF" w14:textId="77777777" w:rsidR="00E31028" w:rsidRPr="00BE3BD1" w:rsidRDefault="00E31028" w:rsidP="00E31028">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rPr>
      </w:pPr>
      <w:r w:rsidRPr="00BE3BD1">
        <w:rPr>
          <w:rFonts w:ascii="Palatino Linotype" w:eastAsia="Palatino Linotype" w:hAnsi="Palatino Linotype" w:cs="Palatino Linotype"/>
          <w:i/>
          <w:sz w:val="22"/>
        </w:rPr>
        <w:lastRenderedPageBreak/>
        <w:t xml:space="preserve">Las resoluciones del Comité en las que se haya determinado confirmar o modificar la clasificación de información pública como reservada, deberán incluir, cuando menos: </w:t>
      </w:r>
    </w:p>
    <w:p w14:paraId="11046DE9" w14:textId="77777777" w:rsidR="00E31028" w:rsidRPr="00BE3BD1" w:rsidRDefault="00E31028" w:rsidP="00E31028">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rPr>
      </w:pPr>
      <w:r w:rsidRPr="00BE3BD1">
        <w:rPr>
          <w:rFonts w:ascii="Palatino Linotype" w:eastAsia="Palatino Linotype" w:hAnsi="Palatino Linotype" w:cs="Palatino Linotype"/>
          <w:b/>
          <w:i/>
          <w:sz w:val="22"/>
        </w:rPr>
        <w:t>I.</w:t>
      </w:r>
      <w:r w:rsidRPr="00BE3BD1">
        <w:rPr>
          <w:rFonts w:ascii="Palatino Linotype" w:eastAsia="Palatino Linotype" w:hAnsi="Palatino Linotype" w:cs="Palatino Linotype"/>
          <w:i/>
          <w:sz w:val="22"/>
        </w:rPr>
        <w:t xml:space="preserve"> Los motivos y razonamientos que sustenten la confirmación o modificación de la prueba de daño;</w:t>
      </w:r>
    </w:p>
    <w:p w14:paraId="71F944C1" w14:textId="77777777" w:rsidR="00E31028" w:rsidRPr="00BE3BD1" w:rsidRDefault="00E31028" w:rsidP="00E31028">
      <w:pPr>
        <w:pBdr>
          <w:top w:val="nil"/>
          <w:left w:val="nil"/>
          <w:bottom w:val="nil"/>
          <w:right w:val="nil"/>
          <w:between w:val="nil"/>
        </w:pBdr>
        <w:spacing w:before="120" w:after="120"/>
        <w:ind w:left="1134" w:right="902"/>
        <w:jc w:val="both"/>
        <w:rPr>
          <w:rFonts w:ascii="Palatino Linotype" w:eastAsia="Palatino Linotype" w:hAnsi="Palatino Linotype" w:cs="Palatino Linotype"/>
          <w:b/>
          <w:i/>
          <w:sz w:val="22"/>
        </w:rPr>
      </w:pPr>
      <w:r w:rsidRPr="00BE3BD1">
        <w:rPr>
          <w:rFonts w:ascii="Palatino Linotype" w:eastAsia="Palatino Linotype" w:hAnsi="Palatino Linotype" w:cs="Palatino Linotype"/>
          <w:b/>
          <w:i/>
          <w:sz w:val="22"/>
        </w:rPr>
        <w:t>II</w:t>
      </w:r>
      <w:r w:rsidRPr="00BE3BD1">
        <w:rPr>
          <w:rFonts w:ascii="Palatino Linotype" w:eastAsia="Palatino Linotype" w:hAnsi="Palatino Linotype" w:cs="Palatino Linotype"/>
          <w:i/>
          <w:sz w:val="22"/>
        </w:rPr>
        <w:t>. Descripción de las partes o secciones reservadas, en caso de clasificación parcial</w:t>
      </w:r>
      <w:r w:rsidRPr="00BE3BD1">
        <w:rPr>
          <w:rFonts w:ascii="Palatino Linotype" w:eastAsia="Palatino Linotype" w:hAnsi="Palatino Linotype" w:cs="Palatino Linotype"/>
          <w:b/>
          <w:i/>
          <w:sz w:val="22"/>
        </w:rPr>
        <w:t xml:space="preserve">; </w:t>
      </w:r>
    </w:p>
    <w:p w14:paraId="02CF9A66" w14:textId="77777777" w:rsidR="00E31028" w:rsidRPr="00BE3BD1" w:rsidRDefault="00E31028" w:rsidP="00E31028">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rPr>
      </w:pPr>
      <w:r w:rsidRPr="00BE3BD1">
        <w:rPr>
          <w:rFonts w:ascii="Palatino Linotype" w:eastAsia="Palatino Linotype" w:hAnsi="Palatino Linotype" w:cs="Palatino Linotype"/>
          <w:b/>
          <w:i/>
          <w:sz w:val="22"/>
        </w:rPr>
        <w:t>III.</w:t>
      </w:r>
      <w:r w:rsidRPr="00BE3BD1">
        <w:rPr>
          <w:rFonts w:ascii="Palatino Linotype" w:eastAsia="Palatino Linotype" w:hAnsi="Palatino Linotype" w:cs="Palatino Linotype"/>
          <w:i/>
          <w:sz w:val="22"/>
        </w:rPr>
        <w:t xml:space="preserve"> El periodo por el que mantendrá su clasificación y fecha de expiración; y </w:t>
      </w:r>
    </w:p>
    <w:p w14:paraId="7162FF50" w14:textId="77777777" w:rsidR="00E31028" w:rsidRPr="00BE3BD1" w:rsidRDefault="00E31028" w:rsidP="00E31028">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rPr>
      </w:pPr>
      <w:r w:rsidRPr="00BE3BD1">
        <w:rPr>
          <w:rFonts w:ascii="Palatino Linotype" w:eastAsia="Palatino Linotype" w:hAnsi="Palatino Linotype" w:cs="Palatino Linotype"/>
          <w:b/>
          <w:i/>
          <w:sz w:val="22"/>
        </w:rPr>
        <w:t>IV.</w:t>
      </w:r>
      <w:r w:rsidRPr="00BE3BD1">
        <w:rPr>
          <w:rFonts w:ascii="Palatino Linotype" w:eastAsia="Palatino Linotype" w:hAnsi="Palatino Linotype" w:cs="Palatino Linotype"/>
          <w:i/>
          <w:sz w:val="22"/>
        </w:rPr>
        <w:t xml:space="preserve"> El nombre del titular y área encargada de realizar la versión pública del documento, en su caso. </w:t>
      </w:r>
    </w:p>
    <w:p w14:paraId="7DE98C1C" w14:textId="77777777" w:rsidR="00E31028" w:rsidRPr="00BE3BD1" w:rsidRDefault="00E31028" w:rsidP="00E31028">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rPr>
      </w:pPr>
      <w:r w:rsidRPr="00BE3BD1">
        <w:rPr>
          <w:rFonts w:ascii="Palatino Linotype" w:eastAsia="Palatino Linotype" w:hAnsi="Palatino Linotype" w:cs="Palatino Linotype"/>
          <w:i/>
          <w:sz w:val="22"/>
        </w:rPr>
        <w:t xml:space="preserve">En los casos en que se clasifique la información como reservada siempre se entregará o anexará la prueba de daño con la respuesta al solicitante. </w:t>
      </w:r>
    </w:p>
    <w:p w14:paraId="03B0FC3F" w14:textId="77777777" w:rsidR="00E31028" w:rsidRPr="00BE3BD1" w:rsidRDefault="00E31028" w:rsidP="00E31028">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rPr>
      </w:pPr>
      <w:r w:rsidRPr="00BE3BD1">
        <w:rPr>
          <w:rFonts w:ascii="Palatino Linotype" w:eastAsia="Palatino Linotype" w:hAnsi="Palatino Linotype" w:cs="Palatino Linotype"/>
          <w:i/>
          <w:sz w:val="22"/>
        </w:rPr>
        <w:t>En los casos de resoluciones del Comité de Transparencia en las que se confirme la clasificación de información confidencial solo se deberán de identificar los tipos de datos protegidos, de conformidad con el lineamiento trigésimo octavo.</w:t>
      </w:r>
    </w:p>
    <w:p w14:paraId="37C9A9EB" w14:textId="77777777" w:rsidR="00E31028" w:rsidRPr="00BE3BD1" w:rsidRDefault="00E31028" w:rsidP="00E31028">
      <w:pPr>
        <w:spacing w:before="120" w:after="120"/>
        <w:ind w:left="851" w:right="900"/>
        <w:jc w:val="both"/>
        <w:rPr>
          <w:rFonts w:ascii="Palatino Linotype" w:eastAsia="Palatino Linotype" w:hAnsi="Palatino Linotype" w:cs="Palatino Linotype"/>
          <w:i/>
          <w:sz w:val="22"/>
        </w:rPr>
      </w:pPr>
      <w:r w:rsidRPr="00BE3BD1">
        <w:rPr>
          <w:rFonts w:ascii="Palatino Linotype" w:eastAsia="Palatino Linotype" w:hAnsi="Palatino Linotype" w:cs="Palatino Linotype"/>
          <w:b/>
          <w:i/>
          <w:sz w:val="22"/>
        </w:rPr>
        <w:t>Quincuagésimo segundo</w:t>
      </w:r>
      <w:r w:rsidRPr="00BE3BD1">
        <w:rPr>
          <w:rFonts w:ascii="Palatino Linotype" w:eastAsia="Palatino Linotype" w:hAnsi="Palatino Linotype" w:cs="Palatino Linotype"/>
          <w:i/>
          <w:sz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4E887C94" w14:textId="77777777" w:rsidR="00E31028" w:rsidRPr="00BE3BD1" w:rsidRDefault="00E31028" w:rsidP="00E31028">
      <w:pPr>
        <w:spacing w:before="120" w:after="120"/>
        <w:ind w:left="851" w:right="900"/>
        <w:jc w:val="both"/>
        <w:rPr>
          <w:rFonts w:ascii="Palatino Linotype" w:eastAsia="Palatino Linotype" w:hAnsi="Palatino Linotype" w:cs="Palatino Linotype"/>
          <w:i/>
          <w:sz w:val="22"/>
        </w:rPr>
      </w:pPr>
      <w:r w:rsidRPr="00BE3BD1">
        <w:rPr>
          <w:rFonts w:ascii="Palatino Linotype" w:eastAsia="Palatino Linotype" w:hAnsi="Palatino Linotype" w:cs="Palatino Linotype"/>
          <w:i/>
          <w:sz w:val="22"/>
        </w:rPr>
        <w:t xml:space="preserve">En el caso </w:t>
      </w:r>
      <w:proofErr w:type="spellStart"/>
      <w:r w:rsidRPr="00BE3BD1">
        <w:rPr>
          <w:rFonts w:ascii="Palatino Linotype" w:eastAsia="Palatino Linotype" w:hAnsi="Palatino Linotype" w:cs="Palatino Linotype"/>
          <w:i/>
          <w:sz w:val="22"/>
        </w:rPr>
        <w:t>especifico</w:t>
      </w:r>
      <w:proofErr w:type="spellEnd"/>
      <w:r w:rsidRPr="00BE3BD1">
        <w:rPr>
          <w:rFonts w:ascii="Palatino Linotype" w:eastAsia="Palatino Linotype" w:hAnsi="Palatino Linotype" w:cs="Palatino Linotype"/>
          <w:i/>
          <w:sz w:val="22"/>
        </w:rPr>
        <w:t xml:space="preserve"> de la clasificación y elaboración de versiones públicas de documentos que contengan información confidencial, las áreas de los sujetos obligados deberán: </w:t>
      </w:r>
    </w:p>
    <w:p w14:paraId="65201C4B" w14:textId="77777777" w:rsidR="00E31028" w:rsidRPr="00BE3BD1" w:rsidRDefault="00E31028" w:rsidP="00E31028">
      <w:pPr>
        <w:spacing w:before="120" w:after="120"/>
        <w:ind w:left="1134" w:right="900"/>
        <w:jc w:val="both"/>
        <w:rPr>
          <w:rFonts w:ascii="Palatino Linotype" w:eastAsia="Palatino Linotype" w:hAnsi="Palatino Linotype" w:cs="Palatino Linotype"/>
          <w:i/>
          <w:sz w:val="22"/>
        </w:rPr>
      </w:pPr>
      <w:r w:rsidRPr="00BE3BD1">
        <w:rPr>
          <w:rFonts w:ascii="Palatino Linotype" w:eastAsia="Palatino Linotype" w:hAnsi="Palatino Linotype" w:cs="Palatino Linotype"/>
          <w:b/>
          <w:i/>
          <w:sz w:val="22"/>
        </w:rPr>
        <w:t>I.</w:t>
      </w:r>
      <w:r w:rsidRPr="00BE3BD1">
        <w:rPr>
          <w:rFonts w:ascii="Palatino Linotype" w:eastAsia="Palatino Linotype" w:hAnsi="Palatino Linotype" w:cs="Palatino Linotype"/>
          <w:i/>
          <w:sz w:val="22"/>
        </w:rPr>
        <w:t xml:space="preserve"> Fijar la fecha en que se elaboró la versión pública y la fecha en la cual el Comité de Transparencia confirmó dicha versión;</w:t>
      </w:r>
    </w:p>
    <w:p w14:paraId="1BEA63FB" w14:textId="77777777" w:rsidR="00E31028" w:rsidRPr="00BE3BD1" w:rsidRDefault="00E31028" w:rsidP="00E31028">
      <w:pPr>
        <w:spacing w:before="120" w:after="120"/>
        <w:ind w:left="1134" w:right="900"/>
        <w:jc w:val="both"/>
        <w:rPr>
          <w:rFonts w:ascii="Palatino Linotype" w:eastAsia="Palatino Linotype" w:hAnsi="Palatino Linotype" w:cs="Palatino Linotype"/>
          <w:i/>
          <w:sz w:val="22"/>
        </w:rPr>
      </w:pPr>
      <w:r w:rsidRPr="00BE3BD1">
        <w:rPr>
          <w:rFonts w:ascii="Palatino Linotype" w:eastAsia="Palatino Linotype" w:hAnsi="Palatino Linotype" w:cs="Palatino Linotype"/>
          <w:b/>
          <w:i/>
          <w:sz w:val="22"/>
        </w:rPr>
        <w:t>II.</w:t>
      </w:r>
      <w:r w:rsidRPr="00BE3BD1">
        <w:rPr>
          <w:rFonts w:ascii="Palatino Linotype" w:eastAsia="Palatino Linotype" w:hAnsi="Palatino Linotype" w:cs="Palatino Linotype"/>
          <w:i/>
          <w:sz w:val="22"/>
        </w:rPr>
        <w:t xml:space="preserve"> Señalar dentro del documento el tipo de información confidencial que fue testada en cada caso específico, de conformidad con el lineamiento trigésimo octavo; y</w:t>
      </w:r>
    </w:p>
    <w:p w14:paraId="0A0A5BE5" w14:textId="77777777" w:rsidR="00E31028" w:rsidRPr="00BE3BD1" w:rsidRDefault="00E31028" w:rsidP="00E31028">
      <w:pPr>
        <w:spacing w:before="120" w:after="120"/>
        <w:ind w:left="1134" w:right="900"/>
        <w:jc w:val="both"/>
        <w:rPr>
          <w:rFonts w:ascii="Palatino Linotype" w:eastAsia="Palatino Linotype" w:hAnsi="Palatino Linotype" w:cs="Palatino Linotype"/>
          <w:i/>
          <w:sz w:val="22"/>
        </w:rPr>
      </w:pPr>
      <w:r w:rsidRPr="00BE3BD1">
        <w:rPr>
          <w:rFonts w:ascii="Palatino Linotype" w:eastAsia="Palatino Linotype" w:hAnsi="Palatino Linotype" w:cs="Palatino Linotype"/>
          <w:b/>
          <w:i/>
          <w:sz w:val="22"/>
        </w:rPr>
        <w:t>III.</w:t>
      </w:r>
      <w:r w:rsidRPr="00BE3BD1">
        <w:rPr>
          <w:rFonts w:ascii="Palatino Linotype" w:eastAsia="Palatino Linotype" w:hAnsi="Palatino Linotype" w:cs="Palatino Linotype"/>
          <w:i/>
          <w:sz w:val="22"/>
        </w:rPr>
        <w:t xml:space="preserve"> Señalar las personas o instancias autorizadas a acceder a la información clasificada.</w:t>
      </w:r>
    </w:p>
    <w:p w14:paraId="4A740D26" w14:textId="77777777" w:rsidR="00E31028" w:rsidRPr="00BE3BD1" w:rsidRDefault="00E31028" w:rsidP="00E31028">
      <w:pPr>
        <w:spacing w:before="120" w:after="120"/>
        <w:ind w:left="851" w:right="900"/>
        <w:jc w:val="both"/>
        <w:rPr>
          <w:rFonts w:ascii="Palatino Linotype" w:eastAsia="Palatino Linotype" w:hAnsi="Palatino Linotype" w:cs="Palatino Linotype"/>
          <w:i/>
          <w:sz w:val="22"/>
        </w:rPr>
      </w:pPr>
      <w:r w:rsidRPr="00BE3BD1">
        <w:rPr>
          <w:rFonts w:ascii="Palatino Linotype" w:eastAsia="Palatino Linotype" w:hAnsi="Palatino Linotype" w:cs="Palatino Linotype"/>
          <w:i/>
          <w:sz w:val="22"/>
        </w:rPr>
        <w:t>En los documentos de difusión electrónica, señalar en la primera hoja y en el nombre del archivo, que la versión pública corresponde a un documento que contiene información confidencial.”</w:t>
      </w:r>
    </w:p>
    <w:p w14:paraId="6129440B" w14:textId="77777777" w:rsidR="00E31028" w:rsidRPr="00BE3BD1" w:rsidRDefault="00E31028" w:rsidP="00E31028">
      <w:pPr>
        <w:spacing w:before="240" w:after="240" w:line="360" w:lineRule="auto"/>
        <w:ind w:right="50"/>
        <w:jc w:val="both"/>
        <w:rPr>
          <w:rFonts w:ascii="Palatino Linotype" w:eastAsia="Palatino Linotype" w:hAnsi="Palatino Linotype" w:cs="Palatino Linotype"/>
        </w:rPr>
      </w:pPr>
      <w:r w:rsidRPr="00BE3BD1">
        <w:rPr>
          <w:rFonts w:ascii="Palatino Linotype" w:eastAsia="Palatino Linotype" w:hAnsi="Palatino Linotype" w:cs="Palatino Linotype"/>
        </w:rPr>
        <w:lastRenderedPageBreak/>
        <w:t xml:space="preserve">En relación directa con ello deberá observar el Lineamiento Quincuagésimo tercero de los Lineamientos Generales en Materia de Clasificación y Desclasificación de la Información </w:t>
      </w:r>
      <w:proofErr w:type="spellStart"/>
      <w:r w:rsidRPr="00BE3BD1">
        <w:rPr>
          <w:rFonts w:ascii="Palatino Linotype" w:eastAsia="Palatino Linotype" w:hAnsi="Palatino Linotype" w:cs="Palatino Linotype"/>
        </w:rPr>
        <w:t>supraindicados</w:t>
      </w:r>
      <w:proofErr w:type="spellEnd"/>
      <w:r w:rsidRPr="00BE3BD1">
        <w:rPr>
          <w:rFonts w:ascii="Palatino Linotype" w:eastAsia="Palatino Linotype" w:hAnsi="Palatino Linotype" w:cs="Palatino Linotype"/>
        </w:rPr>
        <w:t xml:space="preserve">, que establece los formatos para la clasificación de los documentos, conforme a lo siguiente: </w:t>
      </w:r>
    </w:p>
    <w:p w14:paraId="072440A7" w14:textId="77777777" w:rsidR="00E31028" w:rsidRPr="00BE3BD1" w:rsidRDefault="00E31028" w:rsidP="00E31028">
      <w:pPr>
        <w:ind w:left="851" w:right="900"/>
        <w:jc w:val="center"/>
        <w:rPr>
          <w:rFonts w:ascii="Palatino Linotype" w:eastAsia="Palatino Linotype" w:hAnsi="Palatino Linotype" w:cs="Palatino Linotype"/>
          <w:b/>
          <w:i/>
          <w:sz w:val="22"/>
        </w:rPr>
      </w:pPr>
      <w:r w:rsidRPr="00BE3BD1">
        <w:rPr>
          <w:rFonts w:ascii="Palatino Linotype" w:eastAsia="Palatino Linotype" w:hAnsi="Palatino Linotype" w:cs="Palatino Linotype"/>
          <w:b/>
          <w:i/>
          <w:sz w:val="22"/>
        </w:rPr>
        <w:t>CAPÍTULO VIII</w:t>
      </w:r>
    </w:p>
    <w:p w14:paraId="14D0F44D" w14:textId="77777777" w:rsidR="00E31028" w:rsidRPr="00BE3BD1" w:rsidRDefault="00E31028" w:rsidP="00E31028">
      <w:pPr>
        <w:ind w:left="851" w:right="900"/>
        <w:jc w:val="center"/>
        <w:rPr>
          <w:rFonts w:ascii="Palatino Linotype" w:eastAsia="Palatino Linotype" w:hAnsi="Palatino Linotype" w:cs="Palatino Linotype"/>
          <w:b/>
          <w:i/>
          <w:sz w:val="22"/>
        </w:rPr>
      </w:pPr>
      <w:r w:rsidRPr="00BE3BD1">
        <w:rPr>
          <w:rFonts w:ascii="Palatino Linotype" w:eastAsia="Palatino Linotype" w:hAnsi="Palatino Linotype" w:cs="Palatino Linotype"/>
          <w:b/>
          <w:i/>
          <w:sz w:val="22"/>
        </w:rPr>
        <w:t xml:space="preserve">DE LOS ELEMENTOS PARA LA CLASIFICACIÓN </w:t>
      </w:r>
    </w:p>
    <w:p w14:paraId="2F38F934" w14:textId="77777777" w:rsidR="00E31028" w:rsidRPr="00BE3BD1" w:rsidRDefault="00E31028" w:rsidP="00E31028">
      <w:pPr>
        <w:ind w:left="851" w:right="900"/>
        <w:rPr>
          <w:rFonts w:ascii="Palatino Linotype" w:eastAsia="Palatino Linotype" w:hAnsi="Palatino Linotype" w:cs="Palatino Linotype"/>
          <w:i/>
          <w:sz w:val="22"/>
        </w:rPr>
      </w:pPr>
      <w:r w:rsidRPr="00BE3BD1">
        <w:rPr>
          <w:rFonts w:ascii="Palatino Linotype" w:eastAsia="Palatino Linotype" w:hAnsi="Palatino Linotype" w:cs="Palatino Linotype"/>
          <w:i/>
          <w:sz w:val="22"/>
        </w:rPr>
        <w:t>…</w:t>
      </w:r>
    </w:p>
    <w:p w14:paraId="37BD0174" w14:textId="77777777" w:rsidR="00E31028" w:rsidRPr="00BE3BD1" w:rsidRDefault="00E31028" w:rsidP="00E31028">
      <w:pPr>
        <w:spacing w:before="120" w:after="120"/>
        <w:ind w:left="851" w:right="902"/>
        <w:jc w:val="both"/>
        <w:rPr>
          <w:rFonts w:ascii="Palatino Linotype" w:eastAsia="Palatino Linotype" w:hAnsi="Palatino Linotype" w:cs="Palatino Linotype"/>
          <w:i/>
          <w:sz w:val="22"/>
        </w:rPr>
      </w:pPr>
      <w:r w:rsidRPr="00BE3BD1">
        <w:rPr>
          <w:rFonts w:ascii="Palatino Linotype" w:eastAsia="Palatino Linotype" w:hAnsi="Palatino Linotype" w:cs="Palatino Linotype"/>
          <w:b/>
          <w:i/>
          <w:sz w:val="22"/>
        </w:rPr>
        <w:t xml:space="preserve">Quincuagésimo tercero. </w:t>
      </w:r>
      <w:r w:rsidRPr="00BE3BD1">
        <w:rPr>
          <w:rFonts w:ascii="Palatino Linotype" w:eastAsia="Palatino Linotype" w:hAnsi="Palatino Linotype" w:cs="Palatino Linotype"/>
          <w:b/>
          <w:i/>
          <w:sz w:val="22"/>
          <w:u w:val="single"/>
        </w:rPr>
        <w:t>El formato para señalar la clasificación de un documento o expediente que contenga información reservada</w:t>
      </w:r>
      <w:r w:rsidRPr="00BE3BD1">
        <w:rPr>
          <w:rFonts w:ascii="Palatino Linotype" w:eastAsia="Palatino Linotype" w:hAnsi="Palatino Linotype" w:cs="Palatino Linotype"/>
          <w:b/>
          <w:i/>
          <w:sz w:val="22"/>
        </w:rPr>
        <w:t xml:space="preserve">, </w:t>
      </w:r>
      <w:r w:rsidRPr="00BE3BD1">
        <w:rPr>
          <w:rFonts w:ascii="Palatino Linotype" w:eastAsia="Palatino Linotype" w:hAnsi="Palatino Linotype" w:cs="Palatino Linotype"/>
          <w:i/>
          <w:sz w:val="22"/>
        </w:rPr>
        <w:t xml:space="preserve">es el siguiente: </w:t>
      </w:r>
    </w:p>
    <w:p w14:paraId="68ED9681" w14:textId="77777777" w:rsidR="00E31028" w:rsidRPr="00BE3BD1" w:rsidRDefault="00E31028" w:rsidP="00DE31E2">
      <w:pPr>
        <w:spacing w:before="120" w:after="120"/>
        <w:ind w:left="851" w:right="902"/>
        <w:jc w:val="center"/>
        <w:rPr>
          <w:rFonts w:ascii="Palatino Linotype" w:eastAsia="Palatino Linotype" w:hAnsi="Palatino Linotype" w:cs="Palatino Linotype"/>
          <w:b/>
          <w:i/>
        </w:rPr>
      </w:pPr>
      <w:r w:rsidRPr="00BE3BD1">
        <w:rPr>
          <w:rFonts w:ascii="Palatino Linotype" w:eastAsia="Palatino Linotype" w:hAnsi="Palatino Linotype" w:cs="Palatino Linotype"/>
          <w:b/>
          <w:i/>
          <w:noProof/>
        </w:rPr>
        <w:drawing>
          <wp:inline distT="0" distB="0" distL="0" distR="0" wp14:anchorId="66CA6FAC" wp14:editId="79A327D2">
            <wp:extent cx="3960000" cy="272196"/>
            <wp:effectExtent l="0" t="0" r="254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ChangeAspect="1" noChangeArrowheads="1"/>
                    </pic:cNvPicPr>
                  </pic:nvPicPr>
                  <pic:blipFill>
                    <a:blip r:embed="rId14">
                      <a:extLst>
                        <a:ext uri="{28A0092B-C50C-407E-A947-70E740481C1C}">
                          <a14:useLocalDpi xmlns:a14="http://schemas.microsoft.com/office/drawing/2010/main" val="0"/>
                        </a:ext>
                      </a:extLst>
                    </a:blip>
                    <a:srcRect b="95731"/>
                    <a:stretch>
                      <a:fillRect/>
                    </a:stretch>
                  </pic:blipFill>
                  <pic:spPr bwMode="auto">
                    <a:xfrm>
                      <a:off x="0" y="0"/>
                      <a:ext cx="3960000" cy="272196"/>
                    </a:xfrm>
                    <a:prstGeom prst="rect">
                      <a:avLst/>
                    </a:prstGeom>
                    <a:noFill/>
                    <a:ln>
                      <a:noFill/>
                    </a:ln>
                  </pic:spPr>
                </pic:pic>
              </a:graphicData>
            </a:graphic>
          </wp:inline>
        </w:drawing>
      </w:r>
    </w:p>
    <w:p w14:paraId="7DB3CB1F" w14:textId="77777777" w:rsidR="00E31028" w:rsidRPr="00BE3BD1" w:rsidRDefault="00E31028" w:rsidP="00DE31E2">
      <w:pPr>
        <w:spacing w:before="120" w:after="120"/>
        <w:ind w:left="851" w:right="902"/>
        <w:jc w:val="center"/>
        <w:rPr>
          <w:rFonts w:ascii="Palatino Linotype" w:eastAsia="Palatino Linotype" w:hAnsi="Palatino Linotype" w:cs="Palatino Linotype"/>
          <w:b/>
          <w:i/>
        </w:rPr>
      </w:pPr>
      <w:r w:rsidRPr="00BE3BD1">
        <w:rPr>
          <w:rFonts w:ascii="Palatino Linotype" w:eastAsia="Palatino Linotype" w:hAnsi="Palatino Linotype" w:cs="Palatino Linotype"/>
          <w:b/>
          <w:i/>
          <w:noProof/>
        </w:rPr>
        <w:drawing>
          <wp:inline distT="0" distB="0" distL="0" distR="0" wp14:anchorId="2FFEAF38" wp14:editId="17CD95D7">
            <wp:extent cx="3960000" cy="4360352"/>
            <wp:effectExtent l="0" t="0" r="2540" b="254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14">
                      <a:extLst>
                        <a:ext uri="{28A0092B-C50C-407E-A947-70E740481C1C}">
                          <a14:useLocalDpi xmlns:a14="http://schemas.microsoft.com/office/drawing/2010/main" val="0"/>
                        </a:ext>
                      </a:extLst>
                    </a:blip>
                    <a:srcRect t="30908"/>
                    <a:stretch>
                      <a:fillRect/>
                    </a:stretch>
                  </pic:blipFill>
                  <pic:spPr bwMode="auto">
                    <a:xfrm>
                      <a:off x="0" y="0"/>
                      <a:ext cx="3960000" cy="4360352"/>
                    </a:xfrm>
                    <a:prstGeom prst="rect">
                      <a:avLst/>
                    </a:prstGeom>
                    <a:noFill/>
                    <a:ln>
                      <a:noFill/>
                    </a:ln>
                  </pic:spPr>
                </pic:pic>
              </a:graphicData>
            </a:graphic>
          </wp:inline>
        </w:drawing>
      </w:r>
    </w:p>
    <w:p w14:paraId="7584528E" w14:textId="77777777" w:rsidR="00E31028" w:rsidRPr="00BE3BD1" w:rsidRDefault="00E31028" w:rsidP="00E31028">
      <w:pPr>
        <w:spacing w:before="120" w:after="120"/>
        <w:ind w:left="851" w:right="902"/>
        <w:jc w:val="both"/>
        <w:rPr>
          <w:rFonts w:ascii="Palatino Linotype" w:eastAsia="Palatino Linotype" w:hAnsi="Palatino Linotype" w:cs="Palatino Linotype"/>
          <w:i/>
          <w:sz w:val="22"/>
        </w:rPr>
      </w:pPr>
      <w:r w:rsidRPr="00BE3BD1">
        <w:rPr>
          <w:rFonts w:ascii="Palatino Linotype" w:eastAsia="Palatino Linotype" w:hAnsi="Palatino Linotype" w:cs="Palatino Linotype"/>
          <w:i/>
          <w:sz w:val="22"/>
        </w:rPr>
        <w:lastRenderedPageBreak/>
        <w:t>Los documentos que integren un expediente reservado en su totalidad no deberán marcarse en lo individual.</w:t>
      </w:r>
    </w:p>
    <w:p w14:paraId="705FF9CF" w14:textId="77777777" w:rsidR="00E31028" w:rsidRPr="00BE3BD1" w:rsidRDefault="00E31028" w:rsidP="00E31028">
      <w:pPr>
        <w:spacing w:before="120" w:after="120"/>
        <w:ind w:left="851" w:right="902"/>
        <w:jc w:val="both"/>
        <w:rPr>
          <w:rFonts w:ascii="Palatino Linotype" w:eastAsia="Palatino Linotype" w:hAnsi="Palatino Linotype" w:cs="Palatino Linotype"/>
          <w:i/>
          <w:sz w:val="22"/>
        </w:rPr>
      </w:pPr>
      <w:r w:rsidRPr="00BE3BD1">
        <w:rPr>
          <w:rFonts w:ascii="Palatino Linotype" w:eastAsia="Palatino Linotype" w:hAnsi="Palatino Linotype" w:cs="Palatino Linotype"/>
          <w:i/>
          <w:sz w:val="22"/>
        </w:rPr>
        <w:t>Una vez desclasificados los expedientes, si existieren documentos que tuvieran el carácter de reservados deberán permanecer o ser marcados.”</w:t>
      </w:r>
    </w:p>
    <w:p w14:paraId="2CFF6D84" w14:textId="77777777" w:rsidR="00E31028" w:rsidRPr="00BE3BD1" w:rsidRDefault="00E31028" w:rsidP="00E31028">
      <w:pPr>
        <w:spacing w:before="240" w:after="240" w:line="360" w:lineRule="auto"/>
        <w:jc w:val="both"/>
        <w:rPr>
          <w:rFonts w:ascii="Palatino Linotype" w:eastAsia="Palatino Linotype" w:hAnsi="Palatino Linotype" w:cs="Palatino Linotype"/>
        </w:rPr>
      </w:pPr>
      <w:r w:rsidRPr="00BE3BD1">
        <w:rPr>
          <w:rFonts w:ascii="Palatino Linotype" w:eastAsia="Palatino Linotype" w:hAnsi="Palatino Linotype" w:cs="Palatino Linotype"/>
        </w:rPr>
        <w:t>Asimismo, deberá observar los Lineamientos Quincuagésimo cuarto, Quincuagésimo quinto, Quincuagésimo sexto, Quincuagésimo séptimo y Quincuagésimo octavo, establecen lo siguiente:</w:t>
      </w:r>
    </w:p>
    <w:p w14:paraId="5E192968" w14:textId="77777777" w:rsidR="00E31028" w:rsidRPr="00BE3BD1" w:rsidRDefault="00E31028" w:rsidP="00E31028">
      <w:pPr>
        <w:pBdr>
          <w:top w:val="nil"/>
          <w:left w:val="nil"/>
          <w:bottom w:val="nil"/>
          <w:right w:val="nil"/>
          <w:between w:val="nil"/>
        </w:pBdr>
        <w:spacing w:before="120" w:after="120"/>
        <w:ind w:left="851" w:right="900"/>
        <w:jc w:val="both"/>
        <w:rPr>
          <w:rFonts w:ascii="Palatino Linotype" w:eastAsia="Palatino Linotype" w:hAnsi="Palatino Linotype" w:cs="Palatino Linotype"/>
          <w:b/>
          <w:i/>
          <w:sz w:val="22"/>
        </w:rPr>
      </w:pPr>
      <w:r w:rsidRPr="00BE3BD1">
        <w:rPr>
          <w:rFonts w:ascii="Palatino Linotype" w:hAnsi="Palatino Linotype"/>
          <w:i/>
          <w:iCs/>
          <w:sz w:val="22"/>
        </w:rPr>
        <w:t>“</w:t>
      </w:r>
      <w:r w:rsidRPr="00BE3BD1">
        <w:rPr>
          <w:rFonts w:ascii="Palatino Linotype" w:eastAsia="Palatino Linotype" w:hAnsi="Palatino Linotype" w:cs="Palatino Linotype"/>
          <w:b/>
          <w:i/>
          <w:sz w:val="22"/>
        </w:rPr>
        <w:t xml:space="preserve">Quincuagésimo cuarto. </w:t>
      </w:r>
      <w:r w:rsidRPr="00BE3BD1">
        <w:rPr>
          <w:rFonts w:ascii="Palatino Linotype" w:eastAsia="Palatino Linotype" w:hAnsi="Palatino Linotype" w:cs="Palatino Linotype"/>
          <w:i/>
          <w:sz w:val="22"/>
        </w:rPr>
        <w:t>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r w:rsidRPr="00BE3BD1">
        <w:rPr>
          <w:rFonts w:ascii="Palatino Linotype" w:eastAsia="Palatino Linotype" w:hAnsi="Palatino Linotype" w:cs="Palatino Linotype"/>
          <w:b/>
          <w:i/>
          <w:sz w:val="22"/>
        </w:rPr>
        <w:t xml:space="preserve"> </w:t>
      </w:r>
    </w:p>
    <w:p w14:paraId="06566D6D" w14:textId="77777777" w:rsidR="00E31028" w:rsidRPr="00BE3BD1" w:rsidRDefault="00E31028" w:rsidP="00E31028">
      <w:pPr>
        <w:spacing w:before="120" w:after="120"/>
        <w:ind w:left="851" w:right="902"/>
        <w:jc w:val="both"/>
        <w:rPr>
          <w:rFonts w:ascii="Palatino Linotype" w:hAnsi="Palatino Linotype"/>
          <w:i/>
          <w:iCs/>
          <w:sz w:val="22"/>
        </w:rPr>
      </w:pPr>
      <w:r w:rsidRPr="00BE3BD1">
        <w:rPr>
          <w:rFonts w:ascii="Palatino Linotype" w:eastAsia="Palatino Linotype" w:hAnsi="Palatino Linotype" w:cs="Palatino Linotype"/>
          <w:b/>
          <w:i/>
          <w:sz w:val="22"/>
        </w:rPr>
        <w:t xml:space="preserve">Quincuagésimo quinto. </w:t>
      </w:r>
      <w:r w:rsidRPr="00BE3BD1">
        <w:rPr>
          <w:rFonts w:ascii="Palatino Linotype" w:eastAsia="Palatino Linotype" w:hAnsi="Palatino Linotype" w:cs="Palatino Linotype"/>
          <w:i/>
          <w:sz w:val="22"/>
        </w:rPr>
        <w:t xml:space="preserve">Cada área del sujeto obligado podrá designar formalmente a una o más personas como responsables del </w:t>
      </w:r>
      <w:proofErr w:type="spellStart"/>
      <w:r w:rsidRPr="00BE3BD1">
        <w:rPr>
          <w:rFonts w:ascii="Palatino Linotype" w:eastAsia="Palatino Linotype" w:hAnsi="Palatino Linotype" w:cs="Palatino Linotype"/>
          <w:i/>
          <w:sz w:val="22"/>
        </w:rPr>
        <w:t>testado</w:t>
      </w:r>
      <w:proofErr w:type="spellEnd"/>
      <w:r w:rsidRPr="00BE3BD1">
        <w:rPr>
          <w:rFonts w:ascii="Palatino Linotype" w:eastAsia="Palatino Linotype" w:hAnsi="Palatino Linotype" w:cs="Palatino Linotype"/>
          <w:i/>
          <w:sz w:val="22"/>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3CB09EA1" w14:textId="77777777" w:rsidR="00E31028" w:rsidRPr="00BE3BD1" w:rsidRDefault="00E31028" w:rsidP="00E31028">
      <w:pPr>
        <w:spacing w:before="120" w:after="120"/>
        <w:ind w:left="851" w:right="902"/>
        <w:jc w:val="both"/>
        <w:rPr>
          <w:rFonts w:ascii="Palatino Linotype" w:hAnsi="Palatino Linotype"/>
          <w:b/>
          <w:i/>
          <w:iCs/>
          <w:sz w:val="22"/>
        </w:rPr>
      </w:pPr>
      <w:r w:rsidRPr="00BE3BD1">
        <w:rPr>
          <w:rFonts w:ascii="Palatino Linotype" w:hAnsi="Palatino Linotype"/>
          <w:b/>
          <w:bCs/>
          <w:i/>
          <w:iCs/>
          <w:sz w:val="22"/>
        </w:rPr>
        <w:t>..</w:t>
      </w:r>
      <w:r w:rsidRPr="00BE3BD1">
        <w:rPr>
          <w:rFonts w:ascii="Palatino Linotype" w:hAnsi="Palatino Linotype"/>
          <w:b/>
          <w:i/>
          <w:iCs/>
          <w:sz w:val="22"/>
        </w:rPr>
        <w:t>.</w:t>
      </w:r>
    </w:p>
    <w:p w14:paraId="5EC24A86" w14:textId="77777777" w:rsidR="00E31028" w:rsidRPr="00BE3BD1" w:rsidRDefault="00E31028" w:rsidP="00E31028">
      <w:pPr>
        <w:spacing w:before="120" w:after="120"/>
        <w:ind w:left="851" w:right="902"/>
        <w:jc w:val="both"/>
        <w:rPr>
          <w:rFonts w:ascii="Palatino Linotype" w:hAnsi="Palatino Linotype"/>
          <w:i/>
          <w:iCs/>
          <w:sz w:val="22"/>
        </w:rPr>
      </w:pPr>
      <w:r w:rsidRPr="00BE3BD1">
        <w:rPr>
          <w:rFonts w:ascii="Palatino Linotype" w:hAnsi="Palatino Linotype"/>
          <w:b/>
          <w:bCs/>
          <w:i/>
          <w:iCs/>
          <w:sz w:val="22"/>
        </w:rPr>
        <w:t>Quincuagésimo séptimo</w:t>
      </w:r>
      <w:r w:rsidRPr="00BE3BD1">
        <w:rPr>
          <w:rFonts w:ascii="Palatino Linotype" w:hAnsi="Palatino Linotype"/>
          <w:i/>
          <w:iCs/>
          <w:sz w:val="22"/>
        </w:rPr>
        <w:t xml:space="preserve">. Se considera, en principio, como información pública y no podrá omitirse de las versiones públicas la siguiente: </w:t>
      </w:r>
    </w:p>
    <w:p w14:paraId="5EB1CDD2" w14:textId="77777777" w:rsidR="00E31028" w:rsidRPr="00BE3BD1" w:rsidRDefault="00E31028" w:rsidP="00E31028">
      <w:pPr>
        <w:spacing w:before="120" w:after="120"/>
        <w:ind w:left="1134" w:right="902"/>
        <w:jc w:val="both"/>
        <w:rPr>
          <w:rFonts w:ascii="Palatino Linotype" w:hAnsi="Palatino Linotype"/>
          <w:i/>
          <w:iCs/>
          <w:sz w:val="22"/>
        </w:rPr>
      </w:pPr>
      <w:r w:rsidRPr="00BE3BD1">
        <w:rPr>
          <w:rFonts w:ascii="Palatino Linotype" w:hAnsi="Palatino Linotype"/>
          <w:b/>
          <w:bCs/>
          <w:i/>
          <w:iCs/>
          <w:sz w:val="22"/>
        </w:rPr>
        <w:t>I</w:t>
      </w:r>
      <w:r w:rsidRPr="00BE3BD1">
        <w:rPr>
          <w:rFonts w:ascii="Palatino Linotype" w:hAnsi="Palatino Linotype"/>
          <w:i/>
          <w:iCs/>
          <w:sz w:val="22"/>
        </w:rPr>
        <w:t xml:space="preserve">. La relativa a las Obligaciones de Transparencia que contempla el Título V de la Ley General y las demás disposiciones legales aplicables; </w:t>
      </w:r>
    </w:p>
    <w:p w14:paraId="6631D4A4" w14:textId="77777777" w:rsidR="00E31028" w:rsidRPr="00BE3BD1" w:rsidRDefault="00E31028" w:rsidP="00E31028">
      <w:pPr>
        <w:spacing w:before="120" w:after="120"/>
        <w:ind w:left="1134" w:right="902"/>
        <w:jc w:val="both"/>
        <w:rPr>
          <w:rFonts w:ascii="Palatino Linotype" w:eastAsia="Palatino Linotype" w:hAnsi="Palatino Linotype" w:cs="Palatino Linotype"/>
          <w:i/>
          <w:iCs/>
          <w:sz w:val="22"/>
        </w:rPr>
      </w:pPr>
      <w:r w:rsidRPr="00BE3BD1">
        <w:rPr>
          <w:rFonts w:ascii="Palatino Linotype" w:hAnsi="Palatino Linotype"/>
          <w:b/>
          <w:bCs/>
          <w:i/>
          <w:iCs/>
          <w:sz w:val="22"/>
        </w:rPr>
        <w:t>II.</w:t>
      </w:r>
      <w:r w:rsidRPr="00BE3BD1">
        <w:rPr>
          <w:rFonts w:ascii="Palatino Linotype" w:hAnsi="Palatino Linotype"/>
          <w:i/>
          <w:iCs/>
          <w:sz w:val="22"/>
        </w:rPr>
        <w:t xml:space="preserve"> El nombre de los integrantes de los sujetos obligados en los documentos, y sus firmas autógrafas o digitales, cuando sean utilizados en el ejercicio de las facultades conferidas para el desempeño del servicio público, y</w:t>
      </w:r>
    </w:p>
    <w:p w14:paraId="20B7923D" w14:textId="77777777" w:rsidR="00E31028" w:rsidRPr="00BE3BD1" w:rsidRDefault="00E31028" w:rsidP="00E31028">
      <w:pPr>
        <w:spacing w:before="120" w:after="120"/>
        <w:ind w:left="1134" w:right="902"/>
        <w:jc w:val="both"/>
        <w:rPr>
          <w:rFonts w:ascii="Palatino Linotype" w:hAnsi="Palatino Linotype"/>
          <w:i/>
          <w:iCs/>
          <w:sz w:val="22"/>
        </w:rPr>
      </w:pPr>
      <w:r w:rsidRPr="00BE3BD1">
        <w:rPr>
          <w:rFonts w:ascii="Palatino Linotype" w:hAnsi="Palatino Linotype"/>
          <w:b/>
          <w:bCs/>
          <w:i/>
          <w:iCs/>
          <w:sz w:val="22"/>
        </w:rPr>
        <w:t>III</w:t>
      </w:r>
      <w:r w:rsidRPr="00BE3BD1">
        <w:rPr>
          <w:rFonts w:ascii="Palatino Linotype" w:hAnsi="Palatino Linotype"/>
          <w:i/>
          <w:iCs/>
          <w:sz w:val="22"/>
        </w:rPr>
        <w:t xml:space="preserve">. La información que documente decisiones y los actos de autoridad concluidos de los sujetos obligados, así como el ejercicio de las facultades o actividades de los servidores públicos, de manera que se pueda valorar el desempeño de los mismos. </w:t>
      </w:r>
    </w:p>
    <w:p w14:paraId="3D71EEE6" w14:textId="77777777" w:rsidR="00E31028" w:rsidRPr="00BE3BD1" w:rsidRDefault="00E31028" w:rsidP="00E31028">
      <w:pPr>
        <w:spacing w:before="120" w:after="120"/>
        <w:ind w:left="851" w:right="902"/>
        <w:jc w:val="both"/>
        <w:rPr>
          <w:rFonts w:ascii="Palatino Linotype" w:eastAsia="Palatino Linotype" w:hAnsi="Palatino Linotype" w:cs="Palatino Linotype"/>
          <w:i/>
          <w:iCs/>
          <w:sz w:val="22"/>
        </w:rPr>
      </w:pPr>
      <w:r w:rsidRPr="00BE3BD1">
        <w:rPr>
          <w:rFonts w:ascii="Palatino Linotype" w:hAnsi="Palatino Linotype"/>
          <w:i/>
          <w:iCs/>
          <w:sz w:val="22"/>
        </w:rPr>
        <w:lastRenderedPageBreak/>
        <w:t xml:space="preserve">Lo anterior, siempre y cuando no se acredite alguna causal de clasificación, prevista en las leyes o en los tratados internacionales suscritas por el Estado mexicano. </w:t>
      </w:r>
      <w:r w:rsidRPr="00BE3BD1">
        <w:rPr>
          <w:rFonts w:ascii="Palatino Linotype" w:eastAsia="Palatino Linotype" w:hAnsi="Palatino Linotype" w:cs="Palatino Linotype"/>
          <w:i/>
          <w:iCs/>
          <w:sz w:val="22"/>
        </w:rPr>
        <w:t xml:space="preserve"> </w:t>
      </w:r>
    </w:p>
    <w:p w14:paraId="56E6C4FF" w14:textId="77777777" w:rsidR="00E31028" w:rsidRPr="00BE3BD1" w:rsidRDefault="00E31028" w:rsidP="00E31028">
      <w:pPr>
        <w:spacing w:before="120" w:after="120"/>
        <w:ind w:left="851" w:right="902"/>
        <w:jc w:val="both"/>
        <w:rPr>
          <w:rFonts w:ascii="Palatino Linotype" w:eastAsia="Palatino Linotype" w:hAnsi="Palatino Linotype" w:cs="Palatino Linotype"/>
          <w:i/>
          <w:iCs/>
          <w:sz w:val="22"/>
        </w:rPr>
      </w:pPr>
      <w:r w:rsidRPr="00BE3BD1">
        <w:rPr>
          <w:rFonts w:ascii="Palatino Linotype" w:hAnsi="Palatino Linotype"/>
          <w:b/>
          <w:bCs/>
          <w:i/>
          <w:iCs/>
          <w:sz w:val="22"/>
        </w:rPr>
        <w:t>Quincuagésimo octavo</w:t>
      </w:r>
      <w:r w:rsidRPr="00BE3BD1">
        <w:rPr>
          <w:rFonts w:ascii="Palatino Linotype" w:hAnsi="Palatino Linotype"/>
          <w:i/>
          <w:iCs/>
          <w:sz w:val="22"/>
        </w:rPr>
        <w:t>. Los sujetos obligados garantizarán que los sistemas o medios empleados para eliminar la información en las versiones públicas sean irreversibles, de tal forma que no permitan su recuperación o la visualización de la misma.”</w:t>
      </w:r>
    </w:p>
    <w:p w14:paraId="6E204380" w14:textId="77777777" w:rsidR="00E31028" w:rsidRPr="00BE3BD1" w:rsidRDefault="00E31028" w:rsidP="00E31028">
      <w:pPr>
        <w:spacing w:before="240" w:after="240" w:line="360" w:lineRule="auto"/>
        <w:jc w:val="both"/>
        <w:rPr>
          <w:rFonts w:ascii="Palatino Linotype" w:eastAsia="Palatino Linotype" w:hAnsi="Palatino Linotype" w:cs="Palatino Linotype"/>
        </w:rPr>
      </w:pPr>
      <w:r w:rsidRPr="00BE3BD1">
        <w:rPr>
          <w:rFonts w:ascii="Palatino Linotype" w:eastAsia="Palatino Linotype" w:hAnsi="Palatino Linotype" w:cs="Palatino Linotype"/>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sidRPr="00BE3BD1">
        <w:rPr>
          <w:rFonts w:ascii="Palatino Linotype" w:eastAsia="Palatino Linotype" w:hAnsi="Palatino Linotype" w:cs="Palatino Linotype"/>
          <w:b/>
        </w:rPr>
        <w:t>Sujeto Obligado</w:t>
      </w:r>
      <w:r w:rsidRPr="00BE3BD1">
        <w:rPr>
          <w:rFonts w:ascii="Palatino Linotype" w:eastAsia="Palatino Linotype" w:hAnsi="Palatino Linotype" w:cs="Palatino Linotype"/>
        </w:rPr>
        <w:t xml:space="preserve">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095AE7C7" w14:textId="77777777" w:rsidR="00BB1403" w:rsidRPr="00BE3BD1" w:rsidRDefault="003A56BC">
      <w:pPr>
        <w:spacing w:before="240" w:after="240" w:line="360" w:lineRule="auto"/>
        <w:jc w:val="both"/>
        <w:rPr>
          <w:rFonts w:ascii="Palatino Linotype" w:eastAsia="Palatino Linotype" w:hAnsi="Palatino Linotype" w:cs="Palatino Linotype"/>
        </w:rPr>
      </w:pPr>
      <w:r w:rsidRPr="00BE3BD1">
        <w:rPr>
          <w:rFonts w:ascii="Palatino Linotype" w:eastAsia="Palatino Linotype" w:hAnsi="Palatino Linotype" w:cs="Palatino Linotype"/>
        </w:rPr>
        <w:t>Así, con fundamento en lo prescrito en los artículos 5 párrafos trigésimo tercero, trigésimo cuarto y trigésimo quinto de la Constitución Política del Estado Libre y Soberano de México; 2, fracción II; 29, 36 fracciones I y II; 176, 178, 181, 185 y 186 fracción II de la Ley de Transparencia y Acceso a la Información Pública del Estado de México y Municipios, este Pleno:</w:t>
      </w:r>
    </w:p>
    <w:p w14:paraId="7F7A7DF4" w14:textId="77777777" w:rsidR="00BB1403" w:rsidRPr="00BE3BD1" w:rsidRDefault="003A56BC">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BE3BD1">
        <w:rPr>
          <w:rFonts w:ascii="Palatino Linotype" w:eastAsia="Palatino Linotype" w:hAnsi="Palatino Linotype" w:cs="Palatino Linotype"/>
          <w:b/>
        </w:rPr>
        <w:t>III. R E S U E L V E</w:t>
      </w:r>
    </w:p>
    <w:p w14:paraId="193EF07B" w14:textId="7F2FF172" w:rsidR="00BB1403" w:rsidRPr="00BE3BD1" w:rsidRDefault="003A56BC">
      <w:pPr>
        <w:spacing w:before="240" w:after="240" w:line="360" w:lineRule="auto"/>
        <w:jc w:val="both"/>
        <w:rPr>
          <w:rFonts w:ascii="Palatino Linotype" w:eastAsia="Palatino Linotype" w:hAnsi="Palatino Linotype" w:cs="Palatino Linotype"/>
        </w:rPr>
      </w:pPr>
      <w:bookmarkStart w:id="10" w:name="_heading=h.1t3h5sf" w:colFirst="0" w:colLast="0"/>
      <w:bookmarkEnd w:id="10"/>
      <w:r w:rsidRPr="00BE3BD1">
        <w:rPr>
          <w:rFonts w:ascii="Palatino Linotype" w:eastAsia="Palatino Linotype" w:hAnsi="Palatino Linotype" w:cs="Palatino Linotype"/>
          <w:b/>
        </w:rPr>
        <w:t xml:space="preserve">Primero. </w:t>
      </w:r>
      <w:r w:rsidRPr="00BE3BD1">
        <w:rPr>
          <w:rFonts w:ascii="Palatino Linotype" w:eastAsia="Palatino Linotype" w:hAnsi="Palatino Linotype" w:cs="Palatino Linotype"/>
        </w:rPr>
        <w:t>Resultan</w:t>
      </w:r>
      <w:r w:rsidRPr="00BE3BD1">
        <w:rPr>
          <w:rFonts w:ascii="Palatino Linotype" w:eastAsia="Palatino Linotype" w:hAnsi="Palatino Linotype" w:cs="Palatino Linotype"/>
          <w:b/>
        </w:rPr>
        <w:t xml:space="preserve"> fundadas</w:t>
      </w:r>
      <w:r w:rsidRPr="00BE3BD1">
        <w:rPr>
          <w:rFonts w:ascii="Palatino Linotype" w:eastAsia="Palatino Linotype" w:hAnsi="Palatino Linotype" w:cs="Palatino Linotype"/>
        </w:rPr>
        <w:t xml:space="preserve"> las razones o motivos de inconformidad hechos valer por la parte</w:t>
      </w:r>
      <w:r w:rsidRPr="00BE3BD1">
        <w:rPr>
          <w:rFonts w:ascii="Palatino Linotype" w:eastAsia="Palatino Linotype" w:hAnsi="Palatino Linotype" w:cs="Palatino Linotype"/>
          <w:b/>
        </w:rPr>
        <w:t xml:space="preserve"> Recurrente</w:t>
      </w:r>
      <w:r w:rsidRPr="00BE3BD1">
        <w:rPr>
          <w:rFonts w:ascii="Palatino Linotype" w:eastAsia="Palatino Linotype" w:hAnsi="Palatino Linotype" w:cs="Palatino Linotype"/>
        </w:rPr>
        <w:t xml:space="preserve"> en el recurso de revisión </w:t>
      </w:r>
      <w:r w:rsidR="00DE31E2" w:rsidRPr="00BE3BD1">
        <w:rPr>
          <w:rFonts w:ascii="Palatino Linotype" w:eastAsia="Palatino Linotype" w:hAnsi="Palatino Linotype" w:cs="Palatino Linotype"/>
          <w:b/>
        </w:rPr>
        <w:t>01329</w:t>
      </w:r>
      <w:r w:rsidRPr="00BE3BD1">
        <w:rPr>
          <w:rFonts w:ascii="Palatino Linotype" w:eastAsia="Palatino Linotype" w:hAnsi="Palatino Linotype" w:cs="Palatino Linotype"/>
          <w:b/>
        </w:rPr>
        <w:t>/INFOEM/IP/RR/2025</w:t>
      </w:r>
      <w:r w:rsidRPr="00BE3BD1">
        <w:rPr>
          <w:rFonts w:ascii="Palatino Linotype" w:eastAsia="Palatino Linotype" w:hAnsi="Palatino Linotype" w:cs="Palatino Linotype"/>
        </w:rPr>
        <w:t xml:space="preserve">; por lo </w:t>
      </w:r>
      <w:r w:rsidRPr="00BE3BD1">
        <w:rPr>
          <w:rFonts w:ascii="Palatino Linotype" w:eastAsia="Palatino Linotype" w:hAnsi="Palatino Linotype" w:cs="Palatino Linotype"/>
        </w:rPr>
        <w:lastRenderedPageBreak/>
        <w:t xml:space="preserve">que, en términos del </w:t>
      </w:r>
      <w:r w:rsidRPr="00BE3BD1">
        <w:rPr>
          <w:rFonts w:ascii="Palatino Linotype" w:eastAsia="Palatino Linotype" w:hAnsi="Palatino Linotype" w:cs="Palatino Linotype"/>
          <w:b/>
        </w:rPr>
        <w:t>Considerando</w:t>
      </w:r>
      <w:r w:rsidRPr="00BE3BD1">
        <w:rPr>
          <w:rFonts w:ascii="Palatino Linotype" w:eastAsia="Palatino Linotype" w:hAnsi="Palatino Linotype" w:cs="Palatino Linotype"/>
        </w:rPr>
        <w:t xml:space="preserve"> </w:t>
      </w:r>
      <w:r w:rsidRPr="00BE3BD1">
        <w:rPr>
          <w:rFonts w:ascii="Palatino Linotype" w:eastAsia="Palatino Linotype" w:hAnsi="Palatino Linotype" w:cs="Palatino Linotype"/>
          <w:b/>
        </w:rPr>
        <w:t xml:space="preserve">Cuarto </w:t>
      </w:r>
      <w:r w:rsidRPr="00BE3BD1">
        <w:rPr>
          <w:rFonts w:ascii="Palatino Linotype" w:eastAsia="Palatino Linotype" w:hAnsi="Palatino Linotype" w:cs="Palatino Linotype"/>
        </w:rPr>
        <w:t xml:space="preserve">de esta resolución, se </w:t>
      </w:r>
      <w:r w:rsidR="0016576A" w:rsidRPr="00BE3BD1">
        <w:rPr>
          <w:rFonts w:ascii="Palatino Linotype" w:eastAsia="Palatino Linotype" w:hAnsi="Palatino Linotype" w:cs="Palatino Linotype"/>
          <w:b/>
        </w:rPr>
        <w:t xml:space="preserve">Modifica </w:t>
      </w:r>
      <w:r w:rsidRPr="00BE3BD1">
        <w:rPr>
          <w:rFonts w:ascii="Palatino Linotype" w:eastAsia="Palatino Linotype" w:hAnsi="Palatino Linotype" w:cs="Palatino Linotype"/>
        </w:rPr>
        <w:t xml:space="preserve">la respuesta emitida por el </w:t>
      </w:r>
      <w:r w:rsidRPr="00BE3BD1">
        <w:rPr>
          <w:rFonts w:ascii="Palatino Linotype" w:eastAsia="Palatino Linotype" w:hAnsi="Palatino Linotype" w:cs="Palatino Linotype"/>
          <w:b/>
        </w:rPr>
        <w:t xml:space="preserve">Sujeto Obligado. </w:t>
      </w:r>
    </w:p>
    <w:p w14:paraId="1E9C5575" w14:textId="6D4EA576" w:rsidR="00BB1403" w:rsidRPr="00BE3BD1" w:rsidRDefault="003A56BC">
      <w:pPr>
        <w:spacing w:before="240" w:after="240" w:line="360" w:lineRule="auto"/>
        <w:ind w:right="49"/>
        <w:jc w:val="both"/>
        <w:rPr>
          <w:rFonts w:ascii="Palatino Linotype" w:eastAsia="Palatino Linotype" w:hAnsi="Palatino Linotype" w:cs="Palatino Linotype"/>
        </w:rPr>
      </w:pPr>
      <w:r w:rsidRPr="00BE3BD1">
        <w:rPr>
          <w:rFonts w:ascii="Palatino Linotype" w:eastAsia="Palatino Linotype" w:hAnsi="Palatino Linotype" w:cs="Palatino Linotype"/>
          <w:b/>
        </w:rPr>
        <w:t xml:space="preserve">Segundo. </w:t>
      </w:r>
      <w:r w:rsidRPr="00BE3BD1">
        <w:rPr>
          <w:rFonts w:ascii="Palatino Linotype" w:eastAsia="Palatino Linotype" w:hAnsi="Palatino Linotype" w:cs="Palatino Linotype"/>
        </w:rPr>
        <w:t xml:space="preserve">Se </w:t>
      </w:r>
      <w:r w:rsidRPr="00BE3BD1">
        <w:rPr>
          <w:rFonts w:ascii="Palatino Linotype" w:eastAsia="Palatino Linotype" w:hAnsi="Palatino Linotype" w:cs="Palatino Linotype"/>
          <w:b/>
        </w:rPr>
        <w:t xml:space="preserve">Ordena </w:t>
      </w:r>
      <w:r w:rsidRPr="00BE3BD1">
        <w:rPr>
          <w:rFonts w:ascii="Palatino Linotype" w:eastAsia="Palatino Linotype" w:hAnsi="Palatino Linotype" w:cs="Palatino Linotype"/>
        </w:rPr>
        <w:t xml:space="preserve">al </w:t>
      </w:r>
      <w:r w:rsidRPr="00BE3BD1">
        <w:rPr>
          <w:rFonts w:ascii="Palatino Linotype" w:eastAsia="Palatino Linotype" w:hAnsi="Palatino Linotype" w:cs="Palatino Linotype"/>
          <w:b/>
        </w:rPr>
        <w:t xml:space="preserve">Sujeto Obligado, </w:t>
      </w:r>
      <w:r w:rsidRPr="00BE3BD1">
        <w:rPr>
          <w:rFonts w:ascii="Palatino Linotype" w:eastAsia="Palatino Linotype" w:hAnsi="Palatino Linotype" w:cs="Palatino Linotype"/>
        </w:rPr>
        <w:t xml:space="preserve">en términos de los </w:t>
      </w:r>
      <w:r w:rsidRPr="00BE3BD1">
        <w:rPr>
          <w:rFonts w:ascii="Palatino Linotype" w:eastAsia="Palatino Linotype" w:hAnsi="Palatino Linotype" w:cs="Palatino Linotype"/>
          <w:b/>
        </w:rPr>
        <w:t>Considerandos</w:t>
      </w:r>
      <w:r w:rsidRPr="00BE3BD1">
        <w:rPr>
          <w:rFonts w:ascii="Palatino Linotype" w:eastAsia="Palatino Linotype" w:hAnsi="Palatino Linotype" w:cs="Palatino Linotype"/>
        </w:rPr>
        <w:t xml:space="preserve"> </w:t>
      </w:r>
      <w:r w:rsidRPr="00BE3BD1">
        <w:rPr>
          <w:rFonts w:ascii="Palatino Linotype" w:eastAsia="Palatino Linotype" w:hAnsi="Palatino Linotype" w:cs="Palatino Linotype"/>
          <w:b/>
        </w:rPr>
        <w:t xml:space="preserve">Cuarto </w:t>
      </w:r>
      <w:r w:rsidRPr="00BE3BD1">
        <w:rPr>
          <w:rFonts w:ascii="Palatino Linotype" w:eastAsia="Palatino Linotype" w:hAnsi="Palatino Linotype" w:cs="Palatino Linotype"/>
        </w:rPr>
        <w:t xml:space="preserve">y </w:t>
      </w:r>
      <w:r w:rsidRPr="00BE3BD1">
        <w:rPr>
          <w:rFonts w:ascii="Palatino Linotype" w:eastAsia="Palatino Linotype" w:hAnsi="Palatino Linotype" w:cs="Palatino Linotype"/>
          <w:b/>
        </w:rPr>
        <w:t xml:space="preserve">Quinto </w:t>
      </w:r>
      <w:r w:rsidRPr="00BE3BD1">
        <w:rPr>
          <w:rFonts w:ascii="Palatino Linotype" w:eastAsia="Palatino Linotype" w:hAnsi="Palatino Linotype" w:cs="Palatino Linotype"/>
        </w:rPr>
        <w:t xml:space="preserve">de esta resolución, haga entrega, vía </w:t>
      </w:r>
      <w:r w:rsidRPr="00BE3BD1">
        <w:rPr>
          <w:rFonts w:ascii="Palatino Linotype" w:eastAsia="Palatino Linotype" w:hAnsi="Palatino Linotype" w:cs="Palatino Linotype"/>
          <w:b/>
        </w:rPr>
        <w:t>SAIMEX</w:t>
      </w:r>
      <w:r w:rsidRPr="00BE3BD1">
        <w:rPr>
          <w:rFonts w:ascii="Palatino Linotype" w:eastAsia="Palatino Linotype" w:hAnsi="Palatino Linotype" w:cs="Palatino Linotype"/>
        </w:rPr>
        <w:t>, en versión pública de ser procedente, de lo siguiente:</w:t>
      </w:r>
    </w:p>
    <w:p w14:paraId="6E873AE0" w14:textId="0AAC7487" w:rsidR="00BB1403" w:rsidRPr="00BE3BD1" w:rsidRDefault="003A56BC">
      <w:pPr>
        <w:pBdr>
          <w:top w:val="nil"/>
          <w:left w:val="nil"/>
          <w:bottom w:val="nil"/>
          <w:right w:val="nil"/>
          <w:between w:val="nil"/>
        </w:pBdr>
        <w:tabs>
          <w:tab w:val="left" w:pos="567"/>
        </w:tabs>
        <w:spacing w:before="240" w:line="360" w:lineRule="auto"/>
        <w:ind w:left="426" w:right="51"/>
        <w:jc w:val="both"/>
        <w:rPr>
          <w:rFonts w:ascii="Palatino Linotype" w:eastAsia="Palatino Linotype" w:hAnsi="Palatino Linotype" w:cs="Palatino Linotype"/>
        </w:rPr>
      </w:pPr>
      <w:bookmarkStart w:id="11" w:name="_heading=h.1fob9te" w:colFirst="0" w:colLast="0"/>
      <w:bookmarkEnd w:id="11"/>
      <w:r w:rsidRPr="00BE3BD1">
        <w:rPr>
          <w:rFonts w:ascii="Palatino Linotype" w:eastAsia="Palatino Linotype" w:hAnsi="Palatino Linotype" w:cs="Palatino Linotype"/>
        </w:rPr>
        <w:t xml:space="preserve">1. </w:t>
      </w:r>
      <w:r w:rsidR="005C2665" w:rsidRPr="00BE3BD1">
        <w:rPr>
          <w:rFonts w:ascii="Palatino Linotype" w:eastAsia="Palatino Linotype" w:hAnsi="Palatino Linotype" w:cs="Palatino Linotype"/>
        </w:rPr>
        <w:t>Carpeta de evidencias del cumplimiento de la Recomendación 04/2024 emitida a la Presidencia Municipal Constitucional de Toluca de Lerdo, Estado de México el 04 de diciembre de 2024, referida en respuesta.</w:t>
      </w:r>
    </w:p>
    <w:p w14:paraId="54EA8741" w14:textId="77777777" w:rsidR="00BB1403" w:rsidRPr="00BE3BD1" w:rsidRDefault="003A56BC">
      <w:pPr>
        <w:spacing w:before="120" w:after="120"/>
        <w:ind w:left="426" w:right="49"/>
        <w:jc w:val="both"/>
        <w:rPr>
          <w:rFonts w:ascii="Palatino Linotype" w:eastAsia="Palatino Linotype" w:hAnsi="Palatino Linotype" w:cs="Palatino Linotype"/>
          <w:i/>
          <w:sz w:val="20"/>
          <w:szCs w:val="20"/>
        </w:rPr>
      </w:pPr>
      <w:r w:rsidRPr="00BE3BD1">
        <w:rPr>
          <w:rFonts w:ascii="Palatino Linotype" w:eastAsia="Palatino Linotype" w:hAnsi="Palatino Linotype" w:cs="Palatino Linotype"/>
          <w:i/>
          <w:sz w:val="20"/>
          <w:szCs w:val="20"/>
        </w:rPr>
        <w:t>De ser necesaria la versión pública, se deberán proporcionar junto con el Acuerdo de Clasificación donde el Comité de Transparencia, confirme la eliminación de los datos clasificados como confidenciales, de conformidad con los artículos 49, fracciones II y VIII, 132, fracción II, 143, fracción I y 149 de la Ley de Transparencia y Acceso a la Información Pública del Estado de México y Municipios.</w:t>
      </w:r>
    </w:p>
    <w:p w14:paraId="4453A766" w14:textId="77777777" w:rsidR="00BB1403" w:rsidRPr="00BE3BD1" w:rsidRDefault="003A56BC">
      <w:pPr>
        <w:spacing w:before="240" w:after="240" w:line="360" w:lineRule="auto"/>
        <w:jc w:val="both"/>
        <w:rPr>
          <w:rFonts w:ascii="Palatino Linotype" w:eastAsia="Palatino Linotype" w:hAnsi="Palatino Linotype" w:cs="Palatino Linotype"/>
        </w:rPr>
      </w:pPr>
      <w:r w:rsidRPr="00BE3BD1">
        <w:rPr>
          <w:rFonts w:ascii="Palatino Linotype" w:eastAsia="Palatino Linotype" w:hAnsi="Palatino Linotype" w:cs="Palatino Linotype"/>
          <w:b/>
        </w:rPr>
        <w:t xml:space="preserve">Tercero. Notifíquese, </w:t>
      </w:r>
      <w:r w:rsidRPr="00BE3BD1">
        <w:rPr>
          <w:rFonts w:ascii="Palatino Linotype" w:eastAsia="Palatino Linotype" w:hAnsi="Palatino Linotype" w:cs="Palatino Linotype"/>
        </w:rPr>
        <w:t xml:space="preserve">vía </w:t>
      </w:r>
      <w:r w:rsidRPr="00BE3BD1">
        <w:rPr>
          <w:rFonts w:ascii="Palatino Linotype" w:eastAsia="Palatino Linotype" w:hAnsi="Palatino Linotype" w:cs="Palatino Linotype"/>
          <w:b/>
        </w:rPr>
        <w:t>SAIMEX</w:t>
      </w:r>
      <w:r w:rsidRPr="00BE3BD1">
        <w:rPr>
          <w:rFonts w:ascii="Palatino Linotype" w:eastAsia="Palatino Linotype" w:hAnsi="Palatino Linotype" w:cs="Palatino Linotype"/>
        </w:rPr>
        <w:t xml:space="preserve">, al Titular de la Unidad de Transparencia del </w:t>
      </w:r>
      <w:r w:rsidRPr="00BE3BD1">
        <w:rPr>
          <w:rFonts w:ascii="Palatino Linotype" w:eastAsia="Palatino Linotype" w:hAnsi="Palatino Linotype" w:cs="Palatino Linotype"/>
          <w:b/>
        </w:rPr>
        <w:t>Sujeto Obligado,</w:t>
      </w:r>
      <w:r w:rsidRPr="00BE3BD1">
        <w:rPr>
          <w:rFonts w:ascii="Palatino Linotype" w:eastAsia="Palatino Linotype" w:hAnsi="Palatino Linotype" w:cs="Palatino Linotype"/>
        </w:rPr>
        <w:t xml:space="preserve"> la presente resolución para que conforme a los artículos 186, último párrafo y 189, párrafo segundo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849C547" w14:textId="77777777" w:rsidR="00BB1403" w:rsidRPr="00BE3BD1" w:rsidRDefault="003A56BC">
      <w:pPr>
        <w:spacing w:before="240" w:after="240" w:line="360" w:lineRule="auto"/>
        <w:jc w:val="both"/>
        <w:rPr>
          <w:rFonts w:ascii="Palatino Linotype" w:eastAsia="Palatino Linotype" w:hAnsi="Palatino Linotype" w:cs="Palatino Linotype"/>
        </w:rPr>
      </w:pPr>
      <w:r w:rsidRPr="00BE3BD1">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w:t>
      </w:r>
      <w:r w:rsidRPr="00BE3BD1">
        <w:rPr>
          <w:rFonts w:ascii="Palatino Linotype" w:eastAsia="Palatino Linotype" w:hAnsi="Palatino Linotype" w:cs="Palatino Linotype"/>
        </w:rPr>
        <w:lastRenderedPageBreak/>
        <w:t xml:space="preserve">procedente, el </w:t>
      </w:r>
      <w:r w:rsidRPr="00BE3BD1">
        <w:rPr>
          <w:rFonts w:ascii="Palatino Linotype" w:eastAsia="Palatino Linotype" w:hAnsi="Palatino Linotype" w:cs="Palatino Linotype"/>
          <w:b/>
        </w:rPr>
        <w:t>Sujeto Obligado</w:t>
      </w:r>
      <w:r w:rsidRPr="00BE3BD1">
        <w:rPr>
          <w:rFonts w:ascii="Palatino Linotype" w:eastAsia="Palatino Linotype" w:hAnsi="Palatino Linotype" w:cs="Palatino Linotype"/>
        </w:rPr>
        <w:t xml:space="preserve"> de manera fundada y motivada, podrá solicitar una ampliación de plazo para el cumplimiento de la presente resolución.</w:t>
      </w:r>
    </w:p>
    <w:p w14:paraId="21220ABD" w14:textId="77777777" w:rsidR="00BB1403" w:rsidRPr="00BE3BD1" w:rsidRDefault="003A56BC">
      <w:pPr>
        <w:spacing w:before="240" w:after="240" w:line="360" w:lineRule="auto"/>
        <w:jc w:val="both"/>
        <w:rPr>
          <w:rFonts w:ascii="Palatino Linotype" w:eastAsia="Palatino Linotype" w:hAnsi="Palatino Linotype" w:cs="Palatino Linotype"/>
        </w:rPr>
      </w:pPr>
      <w:bookmarkStart w:id="12" w:name="_heading=h.ot3qq6vxa08f" w:colFirst="0" w:colLast="0"/>
      <w:bookmarkEnd w:id="12"/>
      <w:r w:rsidRPr="00BE3BD1">
        <w:rPr>
          <w:rFonts w:ascii="Palatino Linotype" w:eastAsia="Palatino Linotype" w:hAnsi="Palatino Linotype" w:cs="Palatino Linotype"/>
          <w:b/>
        </w:rPr>
        <w:t xml:space="preserve">Cuarto.  Notifíquese, </w:t>
      </w:r>
      <w:r w:rsidRPr="00BE3BD1">
        <w:rPr>
          <w:rFonts w:ascii="Palatino Linotype" w:eastAsia="Palatino Linotype" w:hAnsi="Palatino Linotype" w:cs="Palatino Linotype"/>
        </w:rPr>
        <w:t xml:space="preserve">vía </w:t>
      </w:r>
      <w:r w:rsidRPr="00BE3BD1">
        <w:rPr>
          <w:rFonts w:ascii="Palatino Linotype" w:eastAsia="Palatino Linotype" w:hAnsi="Palatino Linotype" w:cs="Palatino Linotype"/>
          <w:b/>
        </w:rPr>
        <w:t>SAIMEX</w:t>
      </w:r>
      <w:r w:rsidRPr="00BE3BD1">
        <w:rPr>
          <w:rFonts w:ascii="Palatino Linotype" w:eastAsia="Palatino Linotype" w:hAnsi="Palatino Linotype" w:cs="Palatino Linotype"/>
        </w:rPr>
        <w:t xml:space="preserve"> a la parte </w:t>
      </w:r>
      <w:r w:rsidRPr="00BE3BD1">
        <w:rPr>
          <w:rFonts w:ascii="Palatino Linotype" w:eastAsia="Palatino Linotype" w:hAnsi="Palatino Linotype" w:cs="Palatino Linotype"/>
          <w:b/>
        </w:rPr>
        <w:t>Recurrente</w:t>
      </w:r>
      <w:r w:rsidRPr="00BE3BD1">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podrá impugnarla vía Juicio de Amparo en los términos de las leyes aplicables.</w:t>
      </w:r>
    </w:p>
    <w:p w14:paraId="3202B540" w14:textId="77777777" w:rsidR="00BB1403" w:rsidRPr="00115700" w:rsidRDefault="003A56BC">
      <w:pPr>
        <w:tabs>
          <w:tab w:val="left" w:pos="8647"/>
        </w:tabs>
        <w:spacing w:before="240" w:after="240" w:line="360" w:lineRule="auto"/>
        <w:ind w:right="51"/>
        <w:jc w:val="both"/>
        <w:rPr>
          <w:rFonts w:ascii="Palatino Linotype" w:eastAsia="Palatino Linotype" w:hAnsi="Palatino Linotype" w:cs="Palatino Linotype"/>
        </w:rPr>
      </w:pPr>
      <w:bookmarkStart w:id="13" w:name="_heading=h.lnxbz9" w:colFirst="0" w:colLast="0"/>
      <w:bookmarkEnd w:id="13"/>
      <w:r w:rsidRPr="00BE3BD1">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2065FE" w:rsidRPr="00BE3BD1">
        <w:rPr>
          <w:rFonts w:ascii="Palatino Linotype" w:eastAsia="Palatino Linotype" w:hAnsi="Palatino Linotype" w:cs="Palatino Linotype"/>
        </w:rPr>
        <w:t>DÉCIMA</w:t>
      </w:r>
      <w:r w:rsidRPr="00BE3BD1">
        <w:rPr>
          <w:rFonts w:ascii="Palatino Linotype" w:eastAsia="Palatino Linotype" w:hAnsi="Palatino Linotype" w:cs="Palatino Linotype"/>
        </w:rPr>
        <w:t xml:space="preserve"> SESIÓN ORDINARIA CELEBRADA EL </w:t>
      </w:r>
      <w:r w:rsidR="002065FE" w:rsidRPr="00BE3BD1">
        <w:rPr>
          <w:rFonts w:ascii="Palatino Linotype" w:eastAsia="Palatino Linotype" w:hAnsi="Palatino Linotype" w:cs="Palatino Linotype"/>
        </w:rPr>
        <w:t>VEINTE DE MARZO</w:t>
      </w:r>
      <w:r w:rsidRPr="00BE3BD1">
        <w:rPr>
          <w:rFonts w:ascii="Palatino Linotype" w:eastAsia="Palatino Linotype" w:hAnsi="Palatino Linotype" w:cs="Palatino Linotype"/>
        </w:rPr>
        <w:t xml:space="preserve"> DE DOS MIL VEINTICINCO, ANTE EL SECRETARIO TÉCNICO DEL PLENO ALEXIS TAPIA RAMÍREZ.</w:t>
      </w:r>
    </w:p>
    <w:p w14:paraId="2CF021C2" w14:textId="77777777" w:rsidR="00BB1403" w:rsidRPr="00115700" w:rsidRDefault="00BB1403">
      <w:pPr>
        <w:spacing w:line="360" w:lineRule="auto"/>
        <w:jc w:val="both"/>
        <w:rPr>
          <w:rFonts w:ascii="Palatino Linotype" w:eastAsia="Palatino Linotype" w:hAnsi="Palatino Linotype" w:cs="Palatino Linotype"/>
        </w:rPr>
      </w:pPr>
    </w:p>
    <w:p w14:paraId="134BCA39" w14:textId="77777777" w:rsidR="00BB1403" w:rsidRPr="00115700" w:rsidRDefault="00BB1403">
      <w:pPr>
        <w:spacing w:line="360" w:lineRule="auto"/>
        <w:jc w:val="center"/>
        <w:rPr>
          <w:rFonts w:ascii="Palatino Linotype" w:eastAsia="Palatino Linotype" w:hAnsi="Palatino Linotype" w:cs="Palatino Linotype"/>
        </w:rPr>
      </w:pPr>
    </w:p>
    <w:p w14:paraId="5D99AFC4" w14:textId="77777777" w:rsidR="00BB1403" w:rsidRPr="00115700" w:rsidRDefault="00BB1403">
      <w:pPr>
        <w:spacing w:line="360" w:lineRule="auto"/>
        <w:jc w:val="both"/>
        <w:rPr>
          <w:rFonts w:ascii="Palatino Linotype" w:eastAsia="Palatino Linotype" w:hAnsi="Palatino Linotype" w:cs="Palatino Linotype"/>
        </w:rPr>
      </w:pPr>
    </w:p>
    <w:p w14:paraId="6BF8E1D8" w14:textId="77777777" w:rsidR="00BB1403" w:rsidRPr="00115700" w:rsidRDefault="00BB1403">
      <w:pPr>
        <w:spacing w:line="360" w:lineRule="auto"/>
        <w:jc w:val="both"/>
        <w:rPr>
          <w:rFonts w:ascii="Palatino Linotype" w:eastAsia="Palatino Linotype" w:hAnsi="Palatino Linotype" w:cs="Palatino Linotype"/>
        </w:rPr>
      </w:pPr>
    </w:p>
    <w:p w14:paraId="45FD0E09" w14:textId="77777777" w:rsidR="00BB1403" w:rsidRPr="00115700" w:rsidRDefault="00BB1403">
      <w:pPr>
        <w:spacing w:line="360" w:lineRule="auto"/>
        <w:jc w:val="both"/>
        <w:rPr>
          <w:rFonts w:ascii="Palatino Linotype" w:eastAsia="Palatino Linotype" w:hAnsi="Palatino Linotype" w:cs="Palatino Linotype"/>
        </w:rPr>
      </w:pPr>
    </w:p>
    <w:p w14:paraId="18103EC5" w14:textId="77777777" w:rsidR="00BB1403" w:rsidRPr="00115700" w:rsidRDefault="00BB1403">
      <w:pPr>
        <w:spacing w:line="360" w:lineRule="auto"/>
        <w:jc w:val="both"/>
        <w:rPr>
          <w:rFonts w:ascii="Palatino Linotype" w:eastAsia="Palatino Linotype" w:hAnsi="Palatino Linotype" w:cs="Palatino Linotype"/>
        </w:rPr>
      </w:pPr>
    </w:p>
    <w:p w14:paraId="4244DAB1" w14:textId="77777777" w:rsidR="00BB1403" w:rsidRPr="00115700" w:rsidRDefault="00BB1403">
      <w:pPr>
        <w:spacing w:line="360" w:lineRule="auto"/>
        <w:jc w:val="both"/>
        <w:rPr>
          <w:rFonts w:ascii="Palatino Linotype" w:eastAsia="Palatino Linotype" w:hAnsi="Palatino Linotype" w:cs="Palatino Linotype"/>
        </w:rPr>
      </w:pPr>
    </w:p>
    <w:p w14:paraId="66868AF2" w14:textId="77777777" w:rsidR="00BB1403" w:rsidRPr="00115700" w:rsidRDefault="00BB1403">
      <w:pPr>
        <w:spacing w:line="360" w:lineRule="auto"/>
        <w:jc w:val="both"/>
        <w:rPr>
          <w:rFonts w:ascii="Palatino Linotype" w:eastAsia="Palatino Linotype" w:hAnsi="Palatino Linotype" w:cs="Palatino Linotype"/>
        </w:rPr>
      </w:pPr>
    </w:p>
    <w:p w14:paraId="528D4D2A" w14:textId="77777777" w:rsidR="00BB1403" w:rsidRPr="00115700" w:rsidRDefault="00BB1403">
      <w:pPr>
        <w:spacing w:line="360" w:lineRule="auto"/>
        <w:jc w:val="both"/>
        <w:rPr>
          <w:rFonts w:ascii="Palatino Linotype" w:eastAsia="Palatino Linotype" w:hAnsi="Palatino Linotype" w:cs="Palatino Linotype"/>
        </w:rPr>
      </w:pPr>
    </w:p>
    <w:p w14:paraId="11D629A4" w14:textId="77777777" w:rsidR="00BB1403" w:rsidRPr="00115700" w:rsidRDefault="00BB1403">
      <w:pPr>
        <w:spacing w:line="360" w:lineRule="auto"/>
        <w:jc w:val="both"/>
        <w:rPr>
          <w:rFonts w:ascii="Palatino Linotype" w:eastAsia="Palatino Linotype" w:hAnsi="Palatino Linotype" w:cs="Palatino Linotype"/>
        </w:rPr>
      </w:pPr>
    </w:p>
    <w:p w14:paraId="600822D6" w14:textId="77777777" w:rsidR="00BB1403" w:rsidRPr="00115700" w:rsidRDefault="00BB1403">
      <w:pPr>
        <w:spacing w:line="360" w:lineRule="auto"/>
        <w:jc w:val="both"/>
        <w:rPr>
          <w:rFonts w:ascii="Palatino Linotype" w:eastAsia="Palatino Linotype" w:hAnsi="Palatino Linotype" w:cs="Palatino Linotype"/>
        </w:rPr>
      </w:pPr>
    </w:p>
    <w:p w14:paraId="332D56AA" w14:textId="77777777" w:rsidR="00BB1403" w:rsidRPr="00115700" w:rsidRDefault="00BB1403">
      <w:pPr>
        <w:spacing w:line="360" w:lineRule="auto"/>
        <w:jc w:val="both"/>
        <w:rPr>
          <w:rFonts w:ascii="Palatino Linotype" w:eastAsia="Palatino Linotype" w:hAnsi="Palatino Linotype" w:cs="Palatino Linotype"/>
        </w:rPr>
      </w:pPr>
    </w:p>
    <w:p w14:paraId="6D629950" w14:textId="77777777" w:rsidR="00BB1403" w:rsidRPr="00115700" w:rsidRDefault="00BB1403">
      <w:pPr>
        <w:spacing w:line="360" w:lineRule="auto"/>
        <w:jc w:val="both"/>
        <w:rPr>
          <w:rFonts w:ascii="Palatino Linotype" w:eastAsia="Palatino Linotype" w:hAnsi="Palatino Linotype" w:cs="Palatino Linotype"/>
        </w:rPr>
      </w:pPr>
    </w:p>
    <w:p w14:paraId="7AA07EEE" w14:textId="77777777" w:rsidR="00BB1403" w:rsidRPr="00115700" w:rsidRDefault="00BB1403">
      <w:pPr>
        <w:spacing w:line="360" w:lineRule="auto"/>
        <w:jc w:val="both"/>
        <w:rPr>
          <w:rFonts w:ascii="Palatino Linotype" w:eastAsia="Palatino Linotype" w:hAnsi="Palatino Linotype" w:cs="Palatino Linotype"/>
        </w:rPr>
      </w:pPr>
    </w:p>
    <w:p w14:paraId="7A326DD0" w14:textId="77777777" w:rsidR="00BB1403" w:rsidRPr="00115700" w:rsidRDefault="00BB1403">
      <w:pPr>
        <w:spacing w:line="360" w:lineRule="auto"/>
        <w:jc w:val="both"/>
        <w:rPr>
          <w:rFonts w:ascii="Palatino Linotype" w:eastAsia="Palatino Linotype" w:hAnsi="Palatino Linotype" w:cs="Palatino Linotype"/>
        </w:rPr>
      </w:pPr>
    </w:p>
    <w:p w14:paraId="47E67CA1" w14:textId="10DFAB2C" w:rsidR="00622A59" w:rsidRPr="00115700" w:rsidRDefault="00622A59">
      <w:pPr>
        <w:spacing w:line="360" w:lineRule="auto"/>
        <w:jc w:val="both"/>
        <w:rPr>
          <w:rFonts w:ascii="Palatino Linotype" w:eastAsia="Palatino Linotype" w:hAnsi="Palatino Linotype" w:cs="Palatino Linotype"/>
        </w:rPr>
      </w:pPr>
    </w:p>
    <w:sectPr w:rsidR="00622A59" w:rsidRPr="00115700">
      <w:headerReference w:type="default" r:id="rId15"/>
      <w:footerReference w:type="default" r:id="rId16"/>
      <w:headerReference w:type="first" r:id="rId17"/>
      <w:footerReference w:type="first" r:id="rId18"/>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7B08C" w14:textId="77777777" w:rsidR="001C033A" w:rsidRDefault="001C033A">
      <w:r>
        <w:separator/>
      </w:r>
    </w:p>
  </w:endnote>
  <w:endnote w:type="continuationSeparator" w:id="0">
    <w:p w14:paraId="3279FD19" w14:textId="77777777" w:rsidR="001C033A" w:rsidRDefault="001C0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7B88E" w14:textId="77777777" w:rsidR="0019764B" w:rsidRDefault="0019764B">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BE3BD1">
      <w:rPr>
        <w:rFonts w:ascii="Palatino Linotype" w:eastAsia="Palatino Linotype" w:hAnsi="Palatino Linotype" w:cs="Palatino Linotype"/>
        <w:b/>
        <w:noProof/>
        <w:color w:val="000000"/>
        <w:sz w:val="20"/>
        <w:szCs w:val="20"/>
      </w:rPr>
      <w:t>21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BE3BD1">
      <w:rPr>
        <w:rFonts w:ascii="Palatino Linotype" w:eastAsia="Palatino Linotype" w:hAnsi="Palatino Linotype" w:cs="Palatino Linotype"/>
        <w:b/>
        <w:noProof/>
        <w:color w:val="000000"/>
        <w:sz w:val="20"/>
        <w:szCs w:val="20"/>
      </w:rPr>
      <w:t>41</w:t>
    </w:r>
    <w:r>
      <w:rPr>
        <w:rFonts w:ascii="Palatino Linotype" w:eastAsia="Palatino Linotype" w:hAnsi="Palatino Linotype" w:cs="Palatino Linotype"/>
        <w:b/>
        <w:color w:val="000000"/>
        <w:sz w:val="20"/>
        <w:szCs w:val="20"/>
      </w:rPr>
      <w:fldChar w:fldCharType="end"/>
    </w:r>
  </w:p>
  <w:p w14:paraId="3E202A81" w14:textId="77777777" w:rsidR="0019764B" w:rsidRDefault="0019764B">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83BDF" w14:textId="77777777" w:rsidR="0019764B" w:rsidRDefault="0019764B">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BE3BD1">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BE3BD1">
      <w:rPr>
        <w:rFonts w:ascii="Palatino Linotype" w:eastAsia="Palatino Linotype" w:hAnsi="Palatino Linotype" w:cs="Palatino Linotype"/>
        <w:b/>
        <w:noProof/>
        <w:color w:val="000000"/>
        <w:sz w:val="20"/>
        <w:szCs w:val="20"/>
      </w:rPr>
      <w:t>41</w:t>
    </w:r>
    <w:r>
      <w:rPr>
        <w:rFonts w:ascii="Palatino Linotype" w:eastAsia="Palatino Linotype" w:hAnsi="Palatino Linotype" w:cs="Palatino Linotype"/>
        <w:b/>
        <w:color w:val="000000"/>
        <w:sz w:val="20"/>
        <w:szCs w:val="20"/>
      </w:rPr>
      <w:fldChar w:fldCharType="end"/>
    </w:r>
  </w:p>
  <w:p w14:paraId="57BDCF6C" w14:textId="77777777" w:rsidR="0019764B" w:rsidRDefault="0019764B">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869C7" w14:textId="77777777" w:rsidR="001C033A" w:rsidRDefault="001C033A">
      <w:r>
        <w:separator/>
      </w:r>
    </w:p>
  </w:footnote>
  <w:footnote w:type="continuationSeparator" w:id="0">
    <w:p w14:paraId="70A7D553" w14:textId="77777777" w:rsidR="001C033A" w:rsidRDefault="001C03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6D56D" w14:textId="77777777" w:rsidR="0019764B" w:rsidRDefault="0019764B">
    <w:pPr>
      <w:rPr>
        <w:rFonts w:ascii="Cambria" w:eastAsia="Cambria" w:hAnsi="Cambria" w:cs="Cambria"/>
        <w:color w:val="000000"/>
      </w:rPr>
    </w:pPr>
    <w:r>
      <w:rPr>
        <w:noProof/>
      </w:rPr>
      <w:drawing>
        <wp:anchor distT="0" distB="0" distL="0" distR="0" simplePos="0" relativeHeight="251658240" behindDoc="1" locked="0" layoutInCell="1" hidden="0" allowOverlap="1" wp14:anchorId="73C55979" wp14:editId="75067176">
          <wp:simplePos x="0" y="0"/>
          <wp:positionH relativeFrom="column">
            <wp:posOffset>-1080097</wp:posOffset>
          </wp:positionH>
          <wp:positionV relativeFrom="paragraph">
            <wp:posOffset>-488269</wp:posOffset>
          </wp:positionV>
          <wp:extent cx="7809865" cy="10165715"/>
          <wp:effectExtent l="0" t="0" r="0" b="0"/>
          <wp:wrapNone/>
          <wp:docPr id="208329643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f0"/>
      <w:tblW w:w="5953" w:type="dxa"/>
      <w:tblInd w:w="3261" w:type="dxa"/>
      <w:tblLayout w:type="fixed"/>
      <w:tblLook w:val="0400" w:firstRow="0" w:lastRow="0" w:firstColumn="0" w:lastColumn="0" w:noHBand="0" w:noVBand="1"/>
    </w:tblPr>
    <w:tblGrid>
      <w:gridCol w:w="2489"/>
      <w:gridCol w:w="3464"/>
    </w:tblGrid>
    <w:tr w:rsidR="0019764B" w14:paraId="36D5EACA" w14:textId="77777777">
      <w:tc>
        <w:tcPr>
          <w:tcW w:w="2489" w:type="dxa"/>
          <w:shd w:val="clear" w:color="auto" w:fill="auto"/>
        </w:tcPr>
        <w:p w14:paraId="5A36607B" w14:textId="77777777" w:rsidR="0019764B" w:rsidRDefault="0019764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73203D20" w14:textId="77777777" w:rsidR="0019764B" w:rsidRDefault="0019764B" w:rsidP="002065FE">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01329/INFOEM/IP/RR/2025</w:t>
          </w:r>
        </w:p>
      </w:tc>
    </w:tr>
    <w:tr w:rsidR="0019764B" w14:paraId="7EB11275" w14:textId="77777777">
      <w:trPr>
        <w:trHeight w:val="228"/>
      </w:trPr>
      <w:tc>
        <w:tcPr>
          <w:tcW w:w="2489" w:type="dxa"/>
          <w:shd w:val="clear" w:color="auto" w:fill="auto"/>
          <w:vAlign w:val="center"/>
        </w:tcPr>
        <w:p w14:paraId="479D0C18" w14:textId="77777777" w:rsidR="0019764B" w:rsidRDefault="0019764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6EE5BDD9" w14:textId="77777777" w:rsidR="0019764B" w:rsidRDefault="0019764B">
          <w:pPr>
            <w:ind w:left="-45" w:right="176"/>
            <w:jc w:val="both"/>
            <w:rPr>
              <w:rFonts w:ascii="Palatino Linotype" w:eastAsia="Palatino Linotype" w:hAnsi="Palatino Linotype" w:cs="Palatino Linotype"/>
              <w:b/>
              <w:sz w:val="22"/>
              <w:szCs w:val="22"/>
            </w:rPr>
          </w:pPr>
          <w:r w:rsidRPr="002065FE">
            <w:rPr>
              <w:rFonts w:ascii="Palatino Linotype" w:eastAsia="Palatino Linotype" w:hAnsi="Palatino Linotype" w:cs="Palatino Linotype"/>
              <w:b/>
              <w:sz w:val="22"/>
              <w:szCs w:val="22"/>
            </w:rPr>
            <w:t>Ayuntamiento de Toluca</w:t>
          </w:r>
        </w:p>
      </w:tc>
    </w:tr>
    <w:tr w:rsidR="0019764B" w14:paraId="499B28EB" w14:textId="77777777">
      <w:tc>
        <w:tcPr>
          <w:tcW w:w="2489" w:type="dxa"/>
          <w:shd w:val="clear" w:color="auto" w:fill="auto"/>
          <w:vAlign w:val="center"/>
        </w:tcPr>
        <w:p w14:paraId="6A1E109B" w14:textId="77777777" w:rsidR="0019764B" w:rsidRDefault="0019764B">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1E6FFF20" w14:textId="77777777" w:rsidR="0019764B" w:rsidRDefault="0019764B">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607DA559" w14:textId="77777777" w:rsidR="0019764B" w:rsidRDefault="0019764B">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68A96" w14:textId="77777777" w:rsidR="0019764B" w:rsidRDefault="0019764B">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133BBB79" wp14:editId="7593D151">
          <wp:simplePos x="0" y="0"/>
          <wp:positionH relativeFrom="column">
            <wp:posOffset>-1080122</wp:posOffset>
          </wp:positionH>
          <wp:positionV relativeFrom="paragraph">
            <wp:posOffset>-369898</wp:posOffset>
          </wp:positionV>
          <wp:extent cx="7809865" cy="10165715"/>
          <wp:effectExtent l="0" t="0" r="0" b="0"/>
          <wp:wrapNone/>
          <wp:docPr id="208329643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f1"/>
      <w:tblW w:w="5953" w:type="dxa"/>
      <w:tblInd w:w="3261" w:type="dxa"/>
      <w:tblLayout w:type="fixed"/>
      <w:tblLook w:val="0400" w:firstRow="0" w:lastRow="0" w:firstColumn="0" w:lastColumn="0" w:noHBand="0" w:noVBand="1"/>
    </w:tblPr>
    <w:tblGrid>
      <w:gridCol w:w="2489"/>
      <w:gridCol w:w="3464"/>
    </w:tblGrid>
    <w:tr w:rsidR="0019764B" w14:paraId="38AB9D27" w14:textId="77777777">
      <w:tc>
        <w:tcPr>
          <w:tcW w:w="2489" w:type="dxa"/>
          <w:shd w:val="clear" w:color="auto" w:fill="auto"/>
        </w:tcPr>
        <w:p w14:paraId="054F4B7A" w14:textId="77777777" w:rsidR="0019764B" w:rsidRDefault="0019764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4E0F3686" w14:textId="77777777" w:rsidR="0019764B" w:rsidRDefault="0019764B" w:rsidP="00466B7B">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01329/INFOEM/IP/RR/2025</w:t>
          </w:r>
        </w:p>
      </w:tc>
    </w:tr>
    <w:tr w:rsidR="0019764B" w14:paraId="611B6F36" w14:textId="77777777">
      <w:tc>
        <w:tcPr>
          <w:tcW w:w="2489" w:type="dxa"/>
          <w:shd w:val="clear" w:color="auto" w:fill="auto"/>
        </w:tcPr>
        <w:p w14:paraId="2AB8BF48" w14:textId="77777777" w:rsidR="0019764B" w:rsidRDefault="0019764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464" w:type="dxa"/>
          <w:shd w:val="clear" w:color="auto" w:fill="auto"/>
          <w:vAlign w:val="center"/>
        </w:tcPr>
        <w:p w14:paraId="0C8EE608" w14:textId="77777777" w:rsidR="0019764B" w:rsidRDefault="0019764B">
          <w:pPr>
            <w:ind w:right="175"/>
            <w:jc w:val="both"/>
            <w:rPr>
              <w:rFonts w:ascii="Palatino Linotype" w:eastAsia="Palatino Linotype" w:hAnsi="Palatino Linotype" w:cs="Palatino Linotype"/>
              <w:b/>
              <w:sz w:val="22"/>
              <w:szCs w:val="22"/>
            </w:rPr>
          </w:pPr>
        </w:p>
      </w:tc>
    </w:tr>
    <w:tr w:rsidR="0019764B" w14:paraId="4FD77386" w14:textId="77777777">
      <w:trPr>
        <w:trHeight w:val="228"/>
      </w:trPr>
      <w:tc>
        <w:tcPr>
          <w:tcW w:w="2489" w:type="dxa"/>
          <w:shd w:val="clear" w:color="auto" w:fill="auto"/>
          <w:vAlign w:val="center"/>
        </w:tcPr>
        <w:p w14:paraId="74864E32" w14:textId="77777777" w:rsidR="0019764B" w:rsidRDefault="0019764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5F72BD5D" w14:textId="77777777" w:rsidR="0019764B" w:rsidRDefault="0019764B">
          <w:pPr>
            <w:ind w:left="-45" w:right="176"/>
            <w:jc w:val="both"/>
            <w:rPr>
              <w:rFonts w:ascii="Palatino Linotype" w:eastAsia="Palatino Linotype" w:hAnsi="Palatino Linotype" w:cs="Palatino Linotype"/>
              <w:b/>
              <w:sz w:val="22"/>
              <w:szCs w:val="22"/>
            </w:rPr>
          </w:pPr>
          <w:r w:rsidRPr="002065FE">
            <w:rPr>
              <w:rFonts w:ascii="Palatino Linotype" w:eastAsia="Palatino Linotype" w:hAnsi="Palatino Linotype" w:cs="Palatino Linotype"/>
              <w:b/>
              <w:sz w:val="22"/>
              <w:szCs w:val="22"/>
            </w:rPr>
            <w:t>Ayuntamiento de Toluca</w:t>
          </w:r>
        </w:p>
      </w:tc>
    </w:tr>
    <w:tr w:rsidR="0019764B" w14:paraId="58633B28" w14:textId="77777777">
      <w:tc>
        <w:tcPr>
          <w:tcW w:w="2489" w:type="dxa"/>
          <w:shd w:val="clear" w:color="auto" w:fill="auto"/>
          <w:vAlign w:val="center"/>
        </w:tcPr>
        <w:p w14:paraId="1777B43F" w14:textId="77777777" w:rsidR="0019764B" w:rsidRDefault="0019764B">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664AA32F" w14:textId="77777777" w:rsidR="0019764B" w:rsidRDefault="0019764B">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1E15BBF" w14:textId="77777777" w:rsidR="0019764B" w:rsidRDefault="0019764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380739"/>
    <w:multiLevelType w:val="hybridMultilevel"/>
    <w:tmpl w:val="AF7EF1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72F1B7E"/>
    <w:multiLevelType w:val="multilevel"/>
    <w:tmpl w:val="D95A03A8"/>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403"/>
    <w:rsid w:val="000C4AC6"/>
    <w:rsid w:val="00101231"/>
    <w:rsid w:val="00115700"/>
    <w:rsid w:val="001307BB"/>
    <w:rsid w:val="00144A43"/>
    <w:rsid w:val="0016576A"/>
    <w:rsid w:val="00192AB3"/>
    <w:rsid w:val="00196BA4"/>
    <w:rsid w:val="0019764B"/>
    <w:rsid w:val="001A3B7F"/>
    <w:rsid w:val="001C033A"/>
    <w:rsid w:val="002065FE"/>
    <w:rsid w:val="00214B60"/>
    <w:rsid w:val="00256A8B"/>
    <w:rsid w:val="002A29AE"/>
    <w:rsid w:val="002D3C55"/>
    <w:rsid w:val="00344E8F"/>
    <w:rsid w:val="00374A66"/>
    <w:rsid w:val="003A56BC"/>
    <w:rsid w:val="003F1C4B"/>
    <w:rsid w:val="00415895"/>
    <w:rsid w:val="00435F53"/>
    <w:rsid w:val="00462831"/>
    <w:rsid w:val="0046594B"/>
    <w:rsid w:val="00466B7B"/>
    <w:rsid w:val="00482091"/>
    <w:rsid w:val="004E0B54"/>
    <w:rsid w:val="0054277C"/>
    <w:rsid w:val="0056063E"/>
    <w:rsid w:val="005C2665"/>
    <w:rsid w:val="005C6B18"/>
    <w:rsid w:val="005C771F"/>
    <w:rsid w:val="00622A59"/>
    <w:rsid w:val="00674587"/>
    <w:rsid w:val="006A0546"/>
    <w:rsid w:val="006A2FE2"/>
    <w:rsid w:val="006C30CE"/>
    <w:rsid w:val="00701610"/>
    <w:rsid w:val="00740FC4"/>
    <w:rsid w:val="00751E02"/>
    <w:rsid w:val="0077325C"/>
    <w:rsid w:val="00777E6F"/>
    <w:rsid w:val="00800FAB"/>
    <w:rsid w:val="00832DCD"/>
    <w:rsid w:val="008A41B4"/>
    <w:rsid w:val="008E3B34"/>
    <w:rsid w:val="008E5955"/>
    <w:rsid w:val="00930D60"/>
    <w:rsid w:val="0093122A"/>
    <w:rsid w:val="00941718"/>
    <w:rsid w:val="00970DF5"/>
    <w:rsid w:val="009A06F7"/>
    <w:rsid w:val="009A62DC"/>
    <w:rsid w:val="00A04930"/>
    <w:rsid w:val="00A1234A"/>
    <w:rsid w:val="00A32DA5"/>
    <w:rsid w:val="00A360C6"/>
    <w:rsid w:val="00AA699C"/>
    <w:rsid w:val="00AE49F0"/>
    <w:rsid w:val="00AF43CB"/>
    <w:rsid w:val="00B06543"/>
    <w:rsid w:val="00BB1403"/>
    <w:rsid w:val="00BB6011"/>
    <w:rsid w:val="00BC70D5"/>
    <w:rsid w:val="00BD7E44"/>
    <w:rsid w:val="00BE3BD1"/>
    <w:rsid w:val="00C075C4"/>
    <w:rsid w:val="00C41AE3"/>
    <w:rsid w:val="00C505FA"/>
    <w:rsid w:val="00C77CAB"/>
    <w:rsid w:val="00D147F9"/>
    <w:rsid w:val="00D64E6B"/>
    <w:rsid w:val="00DA0782"/>
    <w:rsid w:val="00DA4216"/>
    <w:rsid w:val="00DE31E2"/>
    <w:rsid w:val="00DE7F85"/>
    <w:rsid w:val="00E31028"/>
    <w:rsid w:val="00E367B1"/>
    <w:rsid w:val="00E91173"/>
    <w:rsid w:val="00EB0576"/>
    <w:rsid w:val="00EB7B5F"/>
    <w:rsid w:val="00EE7C0F"/>
    <w:rsid w:val="00EF5BB8"/>
    <w:rsid w:val="00F1081B"/>
    <w:rsid w:val="00F242E9"/>
    <w:rsid w:val="00F26AAA"/>
    <w:rsid w:val="00F37EA5"/>
    <w:rsid w:val="00FC515B"/>
    <w:rsid w:val="00FD23F3"/>
    <w:rsid w:val="00FD27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FE060"/>
  <w15:docId w15:val="{446F4D41-9D32-445B-A260-86D333921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F1A"/>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rPr>
  </w:style>
  <w:style w:type="paragraph" w:styleId="Ttulo6">
    <w:name w:val="heading 6"/>
    <w:basedOn w:val="Normal"/>
    <w:next w:val="Normal"/>
    <w:uiPriority w:val="9"/>
    <w:semiHidden/>
    <w:unhideWhenUsed/>
    <w:qFormat/>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c"/>
    <w:tblPr>
      <w:tblStyleRowBandSize w:val="1"/>
      <w:tblStyleColBandSize w:val="1"/>
      <w:tblCellMar>
        <w:left w:w="115" w:type="dxa"/>
        <w:right w:w="115" w:type="dxa"/>
      </w:tblCellMar>
    </w:tblPr>
  </w:style>
  <w:style w:type="table" w:customStyle="1" w:styleId="a0">
    <w:basedOn w:val="TableNormalc"/>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0D197B"/>
    <w:pPr>
      <w:tabs>
        <w:tab w:val="center" w:pos="4419"/>
        <w:tab w:val="right" w:pos="8838"/>
      </w:tabs>
    </w:pPr>
  </w:style>
  <w:style w:type="character" w:customStyle="1" w:styleId="EncabezadoCar">
    <w:name w:val="Encabezado Car"/>
    <w:basedOn w:val="Fuentedeprrafopredeter"/>
    <w:link w:val="Encabezado"/>
    <w:uiPriority w:val="99"/>
    <w:rsid w:val="000D197B"/>
  </w:style>
  <w:style w:type="paragraph" w:styleId="Piedepgina">
    <w:name w:val="footer"/>
    <w:basedOn w:val="Normal"/>
    <w:link w:val="PiedepginaCar"/>
    <w:uiPriority w:val="99"/>
    <w:unhideWhenUsed/>
    <w:rsid w:val="000D197B"/>
    <w:pPr>
      <w:tabs>
        <w:tab w:val="center" w:pos="4419"/>
        <w:tab w:val="right" w:pos="8838"/>
      </w:tabs>
    </w:pPr>
  </w:style>
  <w:style w:type="character" w:customStyle="1" w:styleId="PiedepginaCar">
    <w:name w:val="Pie de página Car"/>
    <w:basedOn w:val="Fuentedeprrafopredeter"/>
    <w:link w:val="Piedepgina"/>
    <w:uiPriority w:val="99"/>
    <w:rsid w:val="000D197B"/>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43334"/>
    <w:pPr>
      <w:ind w:left="720"/>
      <w:contextualSpacing/>
    </w:pPr>
  </w:style>
  <w:style w:type="paragraph" w:styleId="NormalWeb">
    <w:name w:val="Normal (Web)"/>
    <w:basedOn w:val="Normal"/>
    <w:uiPriority w:val="99"/>
    <w:semiHidden/>
    <w:unhideWhenUsed/>
    <w:rsid w:val="00476335"/>
    <w:pPr>
      <w:spacing w:before="100" w:beforeAutospacing="1" w:after="100" w:afterAutospacing="1"/>
    </w:p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06B5C"/>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806B5C"/>
    <w:rPr>
      <w:rFonts w:asciiTheme="minorHAnsi" w:eastAsiaTheme="minorHAnsi" w:hAnsiTheme="minorHAnsi" w:cstheme="minorBidi"/>
      <w:sz w:val="20"/>
      <w:szCs w:val="20"/>
      <w:lang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806B5C"/>
    <w:rPr>
      <w:vertAlign w:val="superscript"/>
    </w:rPr>
  </w:style>
  <w:style w:type="table" w:customStyle="1" w:styleId="a1">
    <w:basedOn w:val="TableNormalc"/>
    <w:tblPr>
      <w:tblStyleRowBandSize w:val="1"/>
      <w:tblStyleColBandSize w:val="1"/>
      <w:tblCellMar>
        <w:left w:w="115" w:type="dxa"/>
        <w:right w:w="115" w:type="dxa"/>
      </w:tblCellMar>
    </w:tblPr>
  </w:style>
  <w:style w:type="table" w:customStyle="1" w:styleId="a2">
    <w:basedOn w:val="TableNormalc"/>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504D6C"/>
    <w:rPr>
      <w:color w:val="0000FF" w:themeColor="hyperlink"/>
      <w:u w:val="single"/>
    </w:rPr>
  </w:style>
  <w:style w:type="character" w:styleId="Hipervnculovisitado">
    <w:name w:val="FollowedHyperlink"/>
    <w:basedOn w:val="Fuentedeprrafopredeter"/>
    <w:uiPriority w:val="99"/>
    <w:semiHidden/>
    <w:unhideWhenUsed/>
    <w:rsid w:val="00504D6C"/>
    <w:rPr>
      <w:color w:val="800080" w:themeColor="followedHyperlink"/>
      <w:u w:val="single"/>
    </w:rPr>
  </w:style>
  <w:style w:type="table" w:styleId="Tablaconcuadrcula">
    <w:name w:val="Table Grid"/>
    <w:basedOn w:val="Tablanormal"/>
    <w:uiPriority w:val="39"/>
    <w:rsid w:val="00134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3">
    <w:basedOn w:val="TableNormalb"/>
    <w:tblPr>
      <w:tblStyleRowBandSize w:val="1"/>
      <w:tblStyleColBandSize w:val="1"/>
      <w:tblCellMar>
        <w:left w:w="115" w:type="dxa"/>
        <w:right w:w="115" w:type="dxa"/>
      </w:tblCellMar>
    </w:tblPr>
  </w:style>
  <w:style w:type="table" w:customStyle="1" w:styleId="a4">
    <w:basedOn w:val="TableNormalb"/>
    <w:tblPr>
      <w:tblStyleRowBandSize w:val="1"/>
      <w:tblStyleColBandSize w:val="1"/>
      <w:tblCellMar>
        <w:left w:w="115" w:type="dxa"/>
        <w:right w:w="115" w:type="dxa"/>
      </w:tblCellMar>
    </w:tblPr>
  </w:style>
  <w:style w:type="paragraph" w:styleId="Listaconvietas3">
    <w:name w:val="List Bullet 3"/>
    <w:basedOn w:val="Normal"/>
    <w:uiPriority w:val="99"/>
    <w:unhideWhenUsed/>
    <w:rsid w:val="005E017B"/>
    <w:pPr>
      <w:numPr>
        <w:numId w:val="1"/>
      </w:numPr>
      <w:contextualSpacing/>
    </w:pPr>
  </w:style>
  <w:style w:type="character" w:customStyle="1" w:styleId="yt-core-attributed-string--link-inherit-color">
    <w:name w:val="yt-core-attributed-string--link-inherit-color"/>
    <w:basedOn w:val="Fuentedeprrafopredeter"/>
    <w:rsid w:val="00EA0BEF"/>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452086"/>
  </w:style>
  <w:style w:type="character" w:customStyle="1" w:styleId="Mencinsinresolver1">
    <w:name w:val="Mención sin resolver1"/>
    <w:basedOn w:val="Fuentedeprrafopredeter"/>
    <w:uiPriority w:val="99"/>
    <w:semiHidden/>
    <w:unhideWhenUsed/>
    <w:rsid w:val="00C64B15"/>
    <w:rPr>
      <w:color w:val="605E5C"/>
      <w:shd w:val="clear" w:color="auto" w:fill="E1DFDD"/>
    </w:rPr>
  </w:style>
  <w:style w:type="paragraph" w:customStyle="1" w:styleId="Default">
    <w:name w:val="Default"/>
    <w:rsid w:val="00B92077"/>
    <w:pPr>
      <w:autoSpaceDE w:val="0"/>
      <w:autoSpaceDN w:val="0"/>
      <w:adjustRightInd w:val="0"/>
    </w:pPr>
    <w:rPr>
      <w:rFonts w:ascii="Arial" w:hAnsi="Arial" w:cs="Arial"/>
      <w:color w:val="000000"/>
    </w:rPr>
  </w:style>
  <w:style w:type="character" w:customStyle="1" w:styleId="Mencinsinresolver2">
    <w:name w:val="Mención sin resolver2"/>
    <w:basedOn w:val="Fuentedeprrafopredeter"/>
    <w:uiPriority w:val="99"/>
    <w:semiHidden/>
    <w:unhideWhenUsed/>
    <w:rsid w:val="00251B93"/>
    <w:rPr>
      <w:color w:val="605E5C"/>
      <w:shd w:val="clear" w:color="auto" w:fill="E1DFDD"/>
    </w:rPr>
  </w:style>
  <w:style w:type="paragraph" w:styleId="Textodeglobo">
    <w:name w:val="Balloon Text"/>
    <w:basedOn w:val="Normal"/>
    <w:link w:val="TextodegloboCar"/>
    <w:uiPriority w:val="99"/>
    <w:semiHidden/>
    <w:unhideWhenUsed/>
    <w:rsid w:val="00DD0D6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0D64"/>
    <w:rPr>
      <w:rFonts w:ascii="Segoe UI" w:hAnsi="Segoe UI" w:cs="Segoe UI"/>
      <w:sz w:val="18"/>
      <w:szCs w:val="18"/>
    </w:rPr>
  </w:style>
  <w:style w:type="paragraph" w:styleId="Sinespaciado">
    <w:name w:val="No Spacing"/>
    <w:aliases w:val="Francesa"/>
    <w:link w:val="SinespaciadoCar"/>
    <w:uiPriority w:val="1"/>
    <w:qFormat/>
    <w:rsid w:val="000D0148"/>
    <w:rPr>
      <w:rFonts w:asciiTheme="minorHAnsi" w:eastAsiaTheme="minorHAnsi" w:hAnsiTheme="minorHAnsi" w:cstheme="minorBidi"/>
      <w:sz w:val="22"/>
      <w:szCs w:val="22"/>
      <w:lang w:eastAsia="en-US"/>
    </w:rPr>
  </w:style>
  <w:style w:type="character" w:customStyle="1" w:styleId="SinespaciadoCar">
    <w:name w:val="Sin espaciado Car"/>
    <w:aliases w:val="Francesa Car"/>
    <w:link w:val="Sinespaciado"/>
    <w:uiPriority w:val="1"/>
    <w:locked/>
    <w:rsid w:val="000D0148"/>
    <w:rPr>
      <w:rFonts w:asciiTheme="minorHAnsi" w:eastAsiaTheme="minorHAnsi" w:hAnsiTheme="minorHAnsi" w:cstheme="minorBidi"/>
      <w:sz w:val="22"/>
      <w:szCs w:val="22"/>
      <w:lang w:eastAsia="en-US"/>
    </w:rPr>
  </w:style>
  <w:style w:type="paragraph" w:customStyle="1" w:styleId="rtejustify">
    <w:name w:val="rtejustify"/>
    <w:basedOn w:val="Normal"/>
    <w:rsid w:val="00876EB7"/>
    <w:pPr>
      <w:spacing w:before="100" w:beforeAutospacing="1" w:after="100" w:afterAutospacing="1"/>
    </w:pPr>
  </w:style>
  <w:style w:type="table" w:customStyle="1" w:styleId="a5">
    <w:basedOn w:val="TableNormala"/>
    <w:tblPr>
      <w:tblStyleRowBandSize w:val="1"/>
      <w:tblStyleColBandSize w:val="1"/>
      <w:tblCellMar>
        <w:left w:w="108" w:type="dxa"/>
        <w:right w:w="108" w:type="dxa"/>
      </w:tblCellMar>
    </w:tblPr>
  </w:style>
  <w:style w:type="table" w:customStyle="1" w:styleId="a6">
    <w:basedOn w:val="TableNormala"/>
    <w:tblPr>
      <w:tblStyleRowBandSize w:val="1"/>
      <w:tblStyleColBandSize w:val="1"/>
      <w:tblCellMar>
        <w:left w:w="108" w:type="dxa"/>
        <w:right w:w="108" w:type="dxa"/>
      </w:tblCellMar>
    </w:tblPr>
  </w:style>
  <w:style w:type="table" w:customStyle="1" w:styleId="a7">
    <w:basedOn w:val="TableNormala"/>
    <w:tblPr>
      <w:tblStyleRowBandSize w:val="1"/>
      <w:tblStyleColBandSize w:val="1"/>
      <w:tblCellMar>
        <w:left w:w="108" w:type="dxa"/>
        <w:right w:w="108" w:type="dxa"/>
      </w:tblCellMar>
    </w:tblPr>
  </w:style>
  <w:style w:type="table" w:customStyle="1" w:styleId="a8">
    <w:basedOn w:val="TableNormala"/>
    <w:tblPr>
      <w:tblStyleRowBandSize w:val="1"/>
      <w:tblStyleColBandSize w:val="1"/>
      <w:tblCellMar>
        <w:left w:w="108" w:type="dxa"/>
        <w:right w:w="108" w:type="dxa"/>
      </w:tblCellMar>
    </w:tblPr>
  </w:style>
  <w:style w:type="table" w:customStyle="1" w:styleId="a9">
    <w:basedOn w:val="TableNormala"/>
    <w:tblPr>
      <w:tblStyleRowBandSize w:val="1"/>
      <w:tblStyleColBandSize w:val="1"/>
      <w:tblCellMar>
        <w:left w:w="108" w:type="dxa"/>
        <w:right w:w="108" w:type="dxa"/>
      </w:tblCellMar>
    </w:tblPr>
  </w:style>
  <w:style w:type="table" w:customStyle="1" w:styleId="aa">
    <w:basedOn w:val="TableNormala"/>
    <w:tblPr>
      <w:tblStyleRowBandSize w:val="1"/>
      <w:tblStyleColBandSize w:val="1"/>
      <w:tblCellMar>
        <w:left w:w="115" w:type="dxa"/>
        <w:right w:w="115" w:type="dxa"/>
      </w:tblCellMar>
    </w:tblPr>
  </w:style>
  <w:style w:type="table" w:customStyle="1" w:styleId="ab">
    <w:basedOn w:val="TableNormala"/>
    <w:tblPr>
      <w:tblStyleRowBandSize w:val="1"/>
      <w:tblStyleColBandSize w:val="1"/>
      <w:tblCellMar>
        <w:left w:w="115" w:type="dxa"/>
        <w:right w:w="115" w:type="dxa"/>
      </w:tblCellMar>
    </w:tblPr>
  </w:style>
  <w:style w:type="table" w:customStyle="1" w:styleId="ac">
    <w:basedOn w:val="TableNormal9"/>
    <w:tblPr>
      <w:tblStyleRowBandSize w:val="1"/>
      <w:tblStyleColBandSize w:val="1"/>
      <w:tblCellMar>
        <w:left w:w="108" w:type="dxa"/>
        <w:right w:w="108" w:type="dxa"/>
      </w:tblCellMar>
    </w:tblPr>
  </w:style>
  <w:style w:type="table" w:customStyle="1" w:styleId="ad">
    <w:basedOn w:val="TableNormal9"/>
    <w:tblPr>
      <w:tblStyleRowBandSize w:val="1"/>
      <w:tblStyleColBandSize w:val="1"/>
      <w:tblCellMar>
        <w:left w:w="115" w:type="dxa"/>
        <w:right w:w="115" w:type="dxa"/>
      </w:tblCellMar>
    </w:tblPr>
  </w:style>
  <w:style w:type="table" w:customStyle="1" w:styleId="ae">
    <w:basedOn w:val="TableNormal9"/>
    <w:tblPr>
      <w:tblStyleRowBandSize w:val="1"/>
      <w:tblStyleColBandSize w:val="1"/>
      <w:tblCellMar>
        <w:left w:w="115" w:type="dxa"/>
        <w:right w:w="115" w:type="dxa"/>
      </w:tblCellMar>
    </w:tblPr>
  </w:style>
  <w:style w:type="table" w:customStyle="1" w:styleId="af">
    <w:basedOn w:val="TableNormal8"/>
    <w:tblPr>
      <w:tblStyleRowBandSize w:val="1"/>
      <w:tblStyleColBandSize w:val="1"/>
      <w:tblCellMar>
        <w:left w:w="115" w:type="dxa"/>
        <w:right w:w="115" w:type="dxa"/>
      </w:tblCellMar>
    </w:tblPr>
  </w:style>
  <w:style w:type="table" w:customStyle="1" w:styleId="af0">
    <w:basedOn w:val="TableNormal8"/>
    <w:tblPr>
      <w:tblStyleRowBandSize w:val="1"/>
      <w:tblStyleColBandSize w:val="1"/>
      <w:tblCellMar>
        <w:left w:w="115" w:type="dxa"/>
        <w:right w:w="115" w:type="dxa"/>
      </w:tblCellMar>
    </w:tblPr>
  </w:style>
  <w:style w:type="table" w:customStyle="1" w:styleId="af1">
    <w:basedOn w:val="TableNormal8"/>
    <w:tblPr>
      <w:tblStyleRowBandSize w:val="1"/>
      <w:tblStyleColBandSize w:val="1"/>
      <w:tblCellMar>
        <w:left w:w="115" w:type="dxa"/>
        <w:right w:w="115" w:type="dxa"/>
      </w:tblCellMar>
    </w:tblPr>
  </w:style>
  <w:style w:type="table" w:customStyle="1" w:styleId="af2">
    <w:basedOn w:val="TableNormal7"/>
    <w:tblPr>
      <w:tblStyleRowBandSize w:val="1"/>
      <w:tblStyleColBandSize w:val="1"/>
      <w:tblCellMar>
        <w:left w:w="115" w:type="dxa"/>
        <w:right w:w="115" w:type="dxa"/>
      </w:tblCellMar>
    </w:tblPr>
  </w:style>
  <w:style w:type="table" w:customStyle="1" w:styleId="af3">
    <w:basedOn w:val="TableNormal7"/>
    <w:tblPr>
      <w:tblStyleRowBandSize w:val="1"/>
      <w:tblStyleColBandSize w:val="1"/>
      <w:tblCellMar>
        <w:left w:w="115" w:type="dxa"/>
        <w:right w:w="115" w:type="dxa"/>
      </w:tblCellMar>
    </w:tblPr>
  </w:style>
  <w:style w:type="table" w:customStyle="1" w:styleId="af4">
    <w:basedOn w:val="TableNormal6"/>
    <w:tblPr>
      <w:tblStyleRowBandSize w:val="1"/>
      <w:tblStyleColBandSize w:val="1"/>
      <w:tblCellMar>
        <w:left w:w="115" w:type="dxa"/>
        <w:right w:w="115" w:type="dxa"/>
      </w:tblCellMar>
    </w:tblPr>
  </w:style>
  <w:style w:type="table" w:customStyle="1" w:styleId="af5">
    <w:basedOn w:val="TableNormal6"/>
    <w:tblPr>
      <w:tblStyleRowBandSize w:val="1"/>
      <w:tblStyleColBandSize w:val="1"/>
      <w:tblCellMar>
        <w:left w:w="115" w:type="dxa"/>
        <w:right w:w="115" w:type="dxa"/>
      </w:tblCellMar>
    </w:tblPr>
  </w:style>
  <w:style w:type="table" w:customStyle="1" w:styleId="af6">
    <w:basedOn w:val="TableNormal5"/>
    <w:tblPr>
      <w:tblStyleRowBandSize w:val="1"/>
      <w:tblStyleColBandSize w:val="1"/>
      <w:tblCellMar>
        <w:left w:w="115" w:type="dxa"/>
        <w:right w:w="115" w:type="dxa"/>
      </w:tblCellMar>
    </w:tblPr>
  </w:style>
  <w:style w:type="table" w:customStyle="1" w:styleId="af7">
    <w:basedOn w:val="TableNormal5"/>
    <w:tblPr>
      <w:tblStyleRowBandSize w:val="1"/>
      <w:tblStyleColBandSize w:val="1"/>
      <w:tblCellMar>
        <w:left w:w="115" w:type="dxa"/>
        <w:right w:w="115" w:type="dxa"/>
      </w:tblCellMar>
    </w:tblPr>
  </w:style>
  <w:style w:type="character" w:styleId="Textoennegrita">
    <w:name w:val="Strong"/>
    <w:basedOn w:val="Fuentedeprrafopredeter"/>
    <w:uiPriority w:val="22"/>
    <w:qFormat/>
    <w:rsid w:val="002C02D7"/>
    <w:rPr>
      <w:b/>
      <w:bCs/>
    </w:rPr>
  </w:style>
  <w:style w:type="character" w:customStyle="1" w:styleId="object">
    <w:name w:val="object"/>
    <w:basedOn w:val="Fuentedeprrafopredeter"/>
    <w:rsid w:val="002C02D7"/>
  </w:style>
  <w:style w:type="table" w:customStyle="1" w:styleId="af8">
    <w:basedOn w:val="TableNormal4"/>
    <w:tblPr>
      <w:tblStyleRowBandSize w:val="1"/>
      <w:tblStyleColBandSize w:val="1"/>
      <w:tblCellMar>
        <w:left w:w="115" w:type="dxa"/>
        <w:right w:w="115" w:type="dxa"/>
      </w:tblCellMar>
    </w:tblPr>
  </w:style>
  <w:style w:type="table" w:customStyle="1" w:styleId="af9">
    <w:basedOn w:val="TableNormal4"/>
    <w:tblPr>
      <w:tblStyleRowBandSize w:val="1"/>
      <w:tblStyleColBandSize w:val="1"/>
      <w:tblCellMar>
        <w:left w:w="115" w:type="dxa"/>
        <w:right w:w="115" w:type="dxa"/>
      </w:tblCellMar>
    </w:tblPr>
  </w:style>
  <w:style w:type="table" w:customStyle="1" w:styleId="afa">
    <w:basedOn w:val="TableNormal3"/>
    <w:tblPr>
      <w:tblStyleRowBandSize w:val="1"/>
      <w:tblStyleColBandSize w:val="1"/>
      <w:tblCellMar>
        <w:left w:w="115" w:type="dxa"/>
        <w:right w:w="115" w:type="dxa"/>
      </w:tblCellMar>
    </w:tblPr>
  </w:style>
  <w:style w:type="table" w:customStyle="1" w:styleId="afb">
    <w:basedOn w:val="TableNormal3"/>
    <w:tblPr>
      <w:tblStyleRowBandSize w:val="1"/>
      <w:tblStyleColBandSize w:val="1"/>
      <w:tblCellMar>
        <w:left w:w="115" w:type="dxa"/>
        <w:right w:w="115" w:type="dxa"/>
      </w:tblCellMar>
    </w:tblPr>
  </w:style>
  <w:style w:type="table" w:customStyle="1" w:styleId="afc">
    <w:basedOn w:val="TableNormal2"/>
    <w:tblPr>
      <w:tblStyleRowBandSize w:val="1"/>
      <w:tblStyleColBandSize w:val="1"/>
      <w:tblCellMar>
        <w:left w:w="115" w:type="dxa"/>
        <w:right w:w="115" w:type="dxa"/>
      </w:tblCellMar>
    </w:tblPr>
  </w:style>
  <w:style w:type="table" w:customStyle="1" w:styleId="afd">
    <w:basedOn w:val="TableNormal2"/>
    <w:tblPr>
      <w:tblStyleRowBandSize w:val="1"/>
      <w:tblStyleColBandSize w:val="1"/>
      <w:tblCellMar>
        <w:left w:w="115" w:type="dxa"/>
        <w:right w:w="115" w:type="dxa"/>
      </w:tblCellMar>
    </w:tblPr>
  </w:style>
  <w:style w:type="table" w:customStyle="1" w:styleId="afe">
    <w:basedOn w:val="TableNormal1"/>
    <w:tblPr>
      <w:tblStyleRowBandSize w:val="1"/>
      <w:tblStyleColBandSize w:val="1"/>
      <w:tblCellMar>
        <w:left w:w="115" w:type="dxa"/>
        <w:right w:w="115" w:type="dxa"/>
      </w:tblCellMar>
    </w:tblPr>
  </w:style>
  <w:style w:type="table" w:customStyle="1" w:styleId="aff">
    <w:basedOn w:val="TableNormal1"/>
    <w:tblPr>
      <w:tblStyleRowBandSize w:val="1"/>
      <w:tblStyleColBandSize w:val="1"/>
      <w:tblCellMar>
        <w:left w:w="115" w:type="dxa"/>
        <w:right w:w="115" w:type="dxa"/>
      </w:tblCellMar>
    </w:tblPr>
  </w:style>
  <w:style w:type="table" w:customStyle="1" w:styleId="aff0">
    <w:basedOn w:val="TableNormal0"/>
    <w:tblPr>
      <w:tblStyleRowBandSize w:val="1"/>
      <w:tblStyleColBandSize w:val="1"/>
      <w:tblCellMar>
        <w:left w:w="115" w:type="dxa"/>
        <w:right w:w="115" w:type="dxa"/>
      </w:tblCellMar>
    </w:tblPr>
  </w:style>
  <w:style w:type="table" w:customStyle="1" w:styleId="aff1">
    <w:basedOn w:val="TableNormal0"/>
    <w:tblPr>
      <w:tblStyleRowBandSize w:val="1"/>
      <w:tblStyleColBandSize w:val="1"/>
      <w:tblCellMar>
        <w:left w:w="115" w:type="dxa"/>
        <w:right w:w="115" w:type="dxa"/>
      </w:tblCellMar>
    </w:tblPr>
  </w:style>
  <w:style w:type="character" w:customStyle="1" w:styleId="Mencinsinresolver3">
    <w:name w:val="Mención sin resolver3"/>
    <w:basedOn w:val="Fuentedeprrafopredeter"/>
    <w:uiPriority w:val="99"/>
    <w:semiHidden/>
    <w:unhideWhenUsed/>
    <w:rsid w:val="007016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45219">
      <w:bodyDiv w:val="1"/>
      <w:marLeft w:val="0"/>
      <w:marRight w:val="0"/>
      <w:marTop w:val="0"/>
      <w:marBottom w:val="0"/>
      <w:divBdr>
        <w:top w:val="none" w:sz="0" w:space="0" w:color="auto"/>
        <w:left w:val="none" w:sz="0" w:space="0" w:color="auto"/>
        <w:bottom w:val="none" w:sz="0" w:space="0" w:color="auto"/>
        <w:right w:val="none" w:sz="0" w:space="0" w:color="auto"/>
      </w:divBdr>
    </w:div>
    <w:div w:id="542329741">
      <w:bodyDiv w:val="1"/>
      <w:marLeft w:val="0"/>
      <w:marRight w:val="0"/>
      <w:marTop w:val="0"/>
      <w:marBottom w:val="0"/>
      <w:divBdr>
        <w:top w:val="none" w:sz="0" w:space="0" w:color="auto"/>
        <w:left w:val="none" w:sz="0" w:space="0" w:color="auto"/>
        <w:bottom w:val="none" w:sz="0" w:space="0" w:color="auto"/>
        <w:right w:val="none" w:sz="0" w:space="0" w:color="auto"/>
      </w:divBdr>
    </w:div>
    <w:div w:id="922757064">
      <w:bodyDiv w:val="1"/>
      <w:marLeft w:val="0"/>
      <w:marRight w:val="0"/>
      <w:marTop w:val="0"/>
      <w:marBottom w:val="0"/>
      <w:divBdr>
        <w:top w:val="none" w:sz="0" w:space="0" w:color="auto"/>
        <w:left w:val="none" w:sz="0" w:space="0" w:color="auto"/>
        <w:bottom w:val="none" w:sz="0" w:space="0" w:color="auto"/>
        <w:right w:val="none" w:sz="0" w:space="0" w:color="auto"/>
      </w:divBdr>
    </w:div>
    <w:div w:id="988249442">
      <w:bodyDiv w:val="1"/>
      <w:marLeft w:val="0"/>
      <w:marRight w:val="0"/>
      <w:marTop w:val="0"/>
      <w:marBottom w:val="0"/>
      <w:divBdr>
        <w:top w:val="none" w:sz="0" w:space="0" w:color="auto"/>
        <w:left w:val="none" w:sz="0" w:space="0" w:color="auto"/>
        <w:bottom w:val="none" w:sz="0" w:space="0" w:color="auto"/>
        <w:right w:val="none" w:sz="0" w:space="0" w:color="auto"/>
      </w:divBdr>
    </w:div>
    <w:div w:id="1433165137">
      <w:bodyDiv w:val="1"/>
      <w:marLeft w:val="0"/>
      <w:marRight w:val="0"/>
      <w:marTop w:val="0"/>
      <w:marBottom w:val="0"/>
      <w:divBdr>
        <w:top w:val="none" w:sz="0" w:space="0" w:color="auto"/>
        <w:left w:val="none" w:sz="0" w:space="0" w:color="auto"/>
        <w:bottom w:val="none" w:sz="0" w:space="0" w:color="auto"/>
        <w:right w:val="none" w:sz="0" w:space="0" w:color="auto"/>
      </w:divBdr>
    </w:div>
    <w:div w:id="1878201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hKzXOPNcoYNN/DXxZe8vV+ZTIQ==">CgMxLjAyCWguM3JkY3JqbjIJaC40ZDM0b2c4MghoLmdqZGd4czIJaC4zZHk2dmttMgloLjMwajB6bGwyCWguMnM4ZXlvMTIIaC50eWpjd3QyCWguM3pueXNoNzIJaC4yZXQ5MnAwMgloLjF0M2g1c2YyCWguMWZvYjl0ZTIOaC5vdDNxcTZ2eGEwOGYyCGgubG54Yno5OAByITFYdW9IU25kQmRCV0dNWmFOYWVkWi1FaGxhbHZRUlhWYw==</go:docsCustomData>
</go:gDocsCustomXmlDataStorage>
</file>

<file path=customXml/itemProps1.xml><?xml version="1.0" encoding="utf-8"?>
<ds:datastoreItem xmlns:ds="http://schemas.openxmlformats.org/officeDocument/2006/customXml" ds:itemID="{D51479B7-FBFE-4468-90DA-2A6C95D56BB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10576</Words>
  <Characters>58169</Characters>
  <Application>Microsoft Office Word</Application>
  <DocSecurity>0</DocSecurity>
  <Lines>484</Lines>
  <Paragraphs>137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2025-03-24T15:53:00Z</cp:lastPrinted>
  <dcterms:created xsi:type="dcterms:W3CDTF">2025-04-04T19:26:00Z</dcterms:created>
  <dcterms:modified xsi:type="dcterms:W3CDTF">2025-04-04T19:26:00Z</dcterms:modified>
</cp:coreProperties>
</file>