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14B8"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veintinueve de enero de dos mil veinticinco. </w:t>
      </w:r>
    </w:p>
    <w:p w14:paraId="4B35B421"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VISTO</w:t>
      </w:r>
      <w:r w:rsidRPr="00792306">
        <w:rPr>
          <w:rFonts w:ascii="Palatino Linotype" w:eastAsia="Palatino Linotype" w:hAnsi="Palatino Linotype" w:cs="Palatino Linotype"/>
        </w:rPr>
        <w:t xml:space="preserve"> el expediente formado con motivo del recurso de revisión </w:t>
      </w:r>
      <w:r w:rsidRPr="00792306">
        <w:rPr>
          <w:rFonts w:ascii="Palatino Linotype" w:eastAsia="Palatino Linotype" w:hAnsi="Palatino Linotype" w:cs="Palatino Linotype"/>
          <w:b/>
        </w:rPr>
        <w:t>07559/INFOEM/IP/RR/2024</w:t>
      </w:r>
      <w:r w:rsidRPr="00792306">
        <w:rPr>
          <w:rFonts w:ascii="Palatino Linotype" w:eastAsia="Palatino Linotype" w:hAnsi="Palatino Linotype" w:cs="Palatino Linotype"/>
        </w:rPr>
        <w:t>, interpuesto por</w:t>
      </w:r>
      <w:r w:rsidRPr="00792306">
        <w:rPr>
          <w:rFonts w:ascii="Palatino Linotype" w:eastAsia="Palatino Linotype" w:hAnsi="Palatino Linotype" w:cs="Palatino Linotype"/>
          <w:b/>
        </w:rPr>
        <w:t xml:space="preserve"> una persona usuario que no proporcionó nombre o seudónimo,</w:t>
      </w:r>
      <w:r w:rsidRPr="00792306">
        <w:rPr>
          <w:rFonts w:ascii="Palatino Linotype" w:eastAsia="Palatino Linotype" w:hAnsi="Palatino Linotype" w:cs="Palatino Linotype"/>
        </w:rPr>
        <w:t xml:space="preserve"> en lo sucesivo</w:t>
      </w:r>
      <w:r w:rsidRPr="00792306">
        <w:rPr>
          <w:rFonts w:ascii="Palatino Linotype" w:eastAsia="Palatino Linotype" w:hAnsi="Palatino Linotype" w:cs="Palatino Linotype"/>
          <w:b/>
        </w:rPr>
        <w:t xml:space="preserve"> </w:t>
      </w:r>
      <w:r w:rsidRPr="00792306">
        <w:rPr>
          <w:rFonts w:ascii="Palatino Linotype" w:eastAsia="Palatino Linotype" w:hAnsi="Palatino Linotype" w:cs="Palatino Linotype"/>
        </w:rPr>
        <w:t xml:space="preserve">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en contra de la respuesta a la solicitud de información con número de folio </w:t>
      </w:r>
      <w:r w:rsidRPr="00792306">
        <w:rPr>
          <w:rFonts w:ascii="Palatino Linotype" w:eastAsia="Palatino Linotype" w:hAnsi="Palatino Linotype" w:cs="Palatino Linotype"/>
          <w:b/>
        </w:rPr>
        <w:t xml:space="preserve">01337/INFOEM/IP/2024, </w:t>
      </w:r>
      <w:r w:rsidRPr="00792306">
        <w:rPr>
          <w:rFonts w:ascii="Palatino Linotype" w:eastAsia="Palatino Linotype" w:hAnsi="Palatino Linotype" w:cs="Palatino Linotype"/>
        </w:rPr>
        <w:t xml:space="preserve">por parte del </w:t>
      </w:r>
      <w:r w:rsidRPr="00792306">
        <w:rPr>
          <w:rFonts w:ascii="Palatino Linotype" w:eastAsia="Palatino Linotype" w:hAnsi="Palatino Linotype" w:cs="Palatino Linotype"/>
          <w:b/>
        </w:rPr>
        <w:t xml:space="preserve">Instituto de Transparencia, Acceso a la Información Pública y Protección de Datos Personales del Estado de México y Municipios, </w:t>
      </w:r>
      <w:r w:rsidRPr="00792306">
        <w:rPr>
          <w:rFonts w:ascii="Palatino Linotype" w:eastAsia="Palatino Linotype" w:hAnsi="Palatino Linotype" w:cs="Palatino Linotype"/>
        </w:rPr>
        <w:t xml:space="preserve">en lo sucesivo el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 xml:space="preserve">se procede a dictar la presente resolución con base en los siguientes: </w:t>
      </w:r>
    </w:p>
    <w:p w14:paraId="664C354C" w14:textId="77777777" w:rsidR="00526623" w:rsidRPr="00792306" w:rsidRDefault="00BF0235">
      <w:pPr>
        <w:spacing w:before="240" w:after="240" w:line="360" w:lineRule="auto"/>
        <w:jc w:val="center"/>
        <w:rPr>
          <w:rFonts w:ascii="Palatino Linotype" w:eastAsia="Palatino Linotype" w:hAnsi="Palatino Linotype" w:cs="Palatino Linotype"/>
          <w:b/>
        </w:rPr>
      </w:pPr>
      <w:r w:rsidRPr="00792306">
        <w:rPr>
          <w:rFonts w:ascii="Palatino Linotype" w:eastAsia="Palatino Linotype" w:hAnsi="Palatino Linotype" w:cs="Palatino Linotype"/>
          <w:b/>
        </w:rPr>
        <w:t>I. A N T E C E D E N T E S</w:t>
      </w:r>
    </w:p>
    <w:p w14:paraId="14A58040" w14:textId="77777777" w:rsidR="00526623" w:rsidRPr="00792306" w:rsidRDefault="00BF0235">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792306">
        <w:rPr>
          <w:rFonts w:ascii="Palatino Linotype" w:eastAsia="Palatino Linotype" w:hAnsi="Palatino Linotype" w:cs="Palatino Linotype"/>
          <w:b/>
        </w:rPr>
        <w:t>1. Solicitud de acceso a la información.</w:t>
      </w:r>
      <w:r w:rsidRPr="00792306">
        <w:rPr>
          <w:rFonts w:ascii="Palatino Linotype" w:eastAsia="Palatino Linotype" w:hAnsi="Palatino Linotype" w:cs="Palatino Linotype"/>
        </w:rPr>
        <w:t xml:space="preserve"> El </w:t>
      </w:r>
      <w:r w:rsidRPr="00792306">
        <w:rPr>
          <w:rFonts w:ascii="Palatino Linotype" w:eastAsia="Palatino Linotype" w:hAnsi="Palatino Linotype" w:cs="Palatino Linotype"/>
          <w:b/>
        </w:rPr>
        <w:t xml:space="preserve">catorce de noviembre de dos mil veinticuatro, </w:t>
      </w:r>
      <w:r w:rsidRPr="00792306">
        <w:rPr>
          <w:rFonts w:ascii="Palatino Linotype" w:eastAsia="Palatino Linotype" w:hAnsi="Palatino Linotype" w:cs="Palatino Linotype"/>
        </w:rPr>
        <w:t xml:space="preserve">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 xml:space="preserve">presentó, a través del Sistema de Acceso a la Información Mexiquense, en lo subsecuente el </w:t>
      </w:r>
      <w:r w:rsidRPr="00792306">
        <w:rPr>
          <w:rFonts w:ascii="Palatino Linotype" w:eastAsia="Palatino Linotype" w:hAnsi="Palatino Linotype" w:cs="Palatino Linotype"/>
          <w:b/>
        </w:rPr>
        <w:t xml:space="preserve">SAIMEX, </w:t>
      </w:r>
      <w:r w:rsidRPr="00792306">
        <w:rPr>
          <w:rFonts w:ascii="Palatino Linotype" w:eastAsia="Palatino Linotype" w:hAnsi="Palatino Linotype" w:cs="Palatino Linotype"/>
        </w:rPr>
        <w:t xml:space="preserve">ante 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la solicitud de acceso a la información pública, mediante la cual requirió la información siguiente: </w:t>
      </w:r>
    </w:p>
    <w:p w14:paraId="2C35D059" w14:textId="77777777" w:rsidR="00526623" w:rsidRPr="00792306" w:rsidRDefault="00BF0235">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792306">
        <w:rPr>
          <w:rFonts w:ascii="Palatino Linotype" w:eastAsia="Palatino Linotype" w:hAnsi="Palatino Linotype" w:cs="Palatino Linotype"/>
          <w:i/>
          <w:sz w:val="22"/>
          <w:szCs w:val="22"/>
        </w:rPr>
        <w:lastRenderedPageBreak/>
        <w:t xml:space="preserve"> “Documentos relacionados de la venta de vehículos institucionales Precio de venta de cada vehículo Nombre de los compradores o adjudicados Fichas de </w:t>
      </w:r>
      <w:proofErr w:type="spellStart"/>
      <w:r w:rsidRPr="00792306">
        <w:rPr>
          <w:rFonts w:ascii="Palatino Linotype" w:eastAsia="Palatino Linotype" w:hAnsi="Palatino Linotype" w:cs="Palatino Linotype"/>
          <w:i/>
          <w:sz w:val="22"/>
          <w:szCs w:val="22"/>
        </w:rPr>
        <w:t>despisitp</w:t>
      </w:r>
      <w:proofErr w:type="spellEnd"/>
      <w:r w:rsidRPr="00792306">
        <w:rPr>
          <w:rFonts w:ascii="Palatino Linotype" w:eastAsia="Palatino Linotype" w:hAnsi="Palatino Linotype" w:cs="Palatino Linotype"/>
          <w:i/>
          <w:sz w:val="22"/>
          <w:szCs w:val="22"/>
        </w:rPr>
        <w:t xml:space="preserve"> del pago de cada unidad.</w:t>
      </w:r>
      <w:r w:rsidRPr="00792306">
        <w:rPr>
          <w:rFonts w:ascii="Palatino Linotype" w:eastAsia="Palatino Linotype" w:hAnsi="Palatino Linotype" w:cs="Palatino Linotype"/>
          <w:b/>
          <w:i/>
          <w:sz w:val="22"/>
          <w:szCs w:val="22"/>
        </w:rPr>
        <w:t>”</w:t>
      </w:r>
      <w:r w:rsidRPr="00792306">
        <w:rPr>
          <w:rFonts w:ascii="Palatino Linotype" w:eastAsia="Palatino Linotype" w:hAnsi="Palatino Linotype" w:cs="Palatino Linotype"/>
          <w:i/>
          <w:sz w:val="22"/>
          <w:szCs w:val="22"/>
        </w:rPr>
        <w:t xml:space="preserve"> (sic) </w:t>
      </w:r>
    </w:p>
    <w:p w14:paraId="2786A98B" w14:textId="77777777" w:rsidR="00526623" w:rsidRPr="00792306" w:rsidRDefault="00BF0235">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792306">
        <w:rPr>
          <w:rFonts w:ascii="Palatino Linotype" w:eastAsia="Palatino Linotype" w:hAnsi="Palatino Linotype" w:cs="Palatino Linotype"/>
          <w:b/>
        </w:rPr>
        <w:t xml:space="preserve">Modalidad de Entrega: </w:t>
      </w:r>
      <w:r w:rsidRPr="00792306">
        <w:rPr>
          <w:rFonts w:ascii="Palatino Linotype" w:eastAsia="Palatino Linotype" w:hAnsi="Palatino Linotype" w:cs="Palatino Linotype"/>
        </w:rPr>
        <w:t xml:space="preserve">A través del SAIMEX. </w:t>
      </w:r>
    </w:p>
    <w:p w14:paraId="742310B6" w14:textId="77777777" w:rsidR="00526623" w:rsidRPr="00792306" w:rsidRDefault="00BF0235">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 xml:space="preserve">2. Respuesta. </w:t>
      </w:r>
      <w:r w:rsidRPr="00792306">
        <w:rPr>
          <w:rFonts w:ascii="Palatino Linotype" w:eastAsia="Palatino Linotype" w:hAnsi="Palatino Linotype" w:cs="Palatino Linotype"/>
        </w:rPr>
        <w:t xml:space="preserve">El </w:t>
      </w:r>
      <w:r w:rsidRPr="00792306">
        <w:rPr>
          <w:rFonts w:ascii="Palatino Linotype" w:eastAsia="Palatino Linotype" w:hAnsi="Palatino Linotype" w:cs="Palatino Linotype"/>
          <w:b/>
        </w:rPr>
        <w:t>seis de diciembre de dos mil veinticuatro</w:t>
      </w:r>
      <w:r w:rsidRPr="00792306">
        <w:rPr>
          <w:rFonts w:ascii="Palatino Linotype" w:eastAsia="Palatino Linotype" w:hAnsi="Palatino Linotype" w:cs="Palatino Linotype"/>
        </w:rPr>
        <w:t xml:space="preserve">, el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00450072" w14:textId="77777777" w:rsidR="00526623" w:rsidRPr="00792306" w:rsidRDefault="00BF0235">
      <w:pPr>
        <w:spacing w:before="240" w:after="24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“Con fundamento en el artículo 53 fracción II de la Ley de Transparencia y Acceso a la Información Pública del Estado de México y Municipios, se adjunta la respuesta a su solicitud de información pública.” (sic)</w:t>
      </w:r>
    </w:p>
    <w:p w14:paraId="722EBF4C" w14:textId="77777777" w:rsidR="00526623" w:rsidRPr="00792306" w:rsidRDefault="00BF0235">
      <w:pPr>
        <w:spacing w:before="240" w:after="24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adjuntó lo siguiente: </w:t>
      </w:r>
    </w:p>
    <w:p w14:paraId="066DB50F" w14:textId="77777777" w:rsidR="00526623" w:rsidRPr="00792306" w:rsidRDefault="00BF0235">
      <w:pPr>
        <w:spacing w:before="240" w:after="240" w:line="360" w:lineRule="auto"/>
        <w:ind w:right="49"/>
        <w:jc w:val="both"/>
        <w:rPr>
          <w:rFonts w:ascii="Palatino Linotype" w:eastAsia="Palatino Linotype" w:hAnsi="Palatino Linotype" w:cs="Palatino Linotype"/>
          <w:i/>
        </w:rPr>
      </w:pPr>
      <w:r w:rsidRPr="00792306">
        <w:rPr>
          <w:rFonts w:ascii="Palatino Linotype" w:eastAsia="Palatino Linotype" w:hAnsi="Palatino Linotype" w:cs="Palatino Linotype"/>
          <w:b/>
          <w:i/>
        </w:rPr>
        <w:t xml:space="preserve">“03ResumenRespuesta01337.pdf”: </w:t>
      </w:r>
      <w:r w:rsidRPr="00792306">
        <w:rPr>
          <w:rFonts w:ascii="Palatino Linotype" w:eastAsia="Palatino Linotype" w:hAnsi="Palatino Linotype" w:cs="Palatino Linotype"/>
        </w:rPr>
        <w:t>Contiene el documento identificado como “</w:t>
      </w:r>
      <w:r w:rsidRPr="00792306">
        <w:rPr>
          <w:rFonts w:ascii="Palatino Linotype" w:eastAsia="Palatino Linotype" w:hAnsi="Palatino Linotype" w:cs="Palatino Linotype"/>
          <w:i/>
        </w:rPr>
        <w:t xml:space="preserve">RESUMEN DE RESPUESTA A LA SOLICITUD DE ACCESO INFORMACIÓN PÚBLICA” </w:t>
      </w:r>
    </w:p>
    <w:p w14:paraId="39C7B846" w14:textId="77777777" w:rsidR="00526623" w:rsidRPr="00792306" w:rsidRDefault="00BF0235">
      <w:pPr>
        <w:spacing w:before="240" w:after="24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b/>
          <w:i/>
        </w:rPr>
        <w:t xml:space="preserve">“RespuestaSolicitud01337.2024.zip”: </w:t>
      </w:r>
      <w:r w:rsidRPr="00792306">
        <w:rPr>
          <w:rFonts w:ascii="Palatino Linotype" w:eastAsia="Palatino Linotype" w:hAnsi="Palatino Linotype" w:cs="Palatino Linotype"/>
        </w:rPr>
        <w:t xml:space="preserve"> Carpeta comprimida integrada por los documentos descritos en el siguiente orden: </w:t>
      </w:r>
    </w:p>
    <w:p w14:paraId="3DF51545" w14:textId="77777777" w:rsidR="00526623" w:rsidRPr="00792306" w:rsidRDefault="00BF0235">
      <w:pPr>
        <w:numPr>
          <w:ilvl w:val="0"/>
          <w:numId w:val="5"/>
        </w:numPr>
        <w:pBdr>
          <w:top w:val="nil"/>
          <w:left w:val="nil"/>
          <w:bottom w:val="nil"/>
          <w:right w:val="nil"/>
          <w:between w:val="nil"/>
        </w:pBdr>
        <w:spacing w:before="240" w:line="360" w:lineRule="auto"/>
        <w:ind w:right="49"/>
        <w:jc w:val="both"/>
        <w:rPr>
          <w:rFonts w:ascii="Palatino Linotype" w:eastAsia="Palatino Linotype" w:hAnsi="Palatino Linotype" w:cs="Palatino Linotype"/>
        </w:rPr>
      </w:pPr>
      <w:bookmarkStart w:id="3" w:name="_heading=h.2et92p0" w:colFirst="0" w:colLast="0"/>
      <w:bookmarkEnd w:id="3"/>
      <w:r w:rsidRPr="00792306">
        <w:rPr>
          <w:rFonts w:ascii="Palatino Linotype" w:eastAsia="Palatino Linotype" w:hAnsi="Palatino Linotype" w:cs="Palatino Linotype"/>
          <w:b/>
          <w:i/>
        </w:rPr>
        <w:t xml:space="preserve">“Anexo1Solicitud01337_2024”: </w:t>
      </w:r>
      <w:r w:rsidRPr="00792306">
        <w:rPr>
          <w:rFonts w:ascii="Palatino Linotype" w:eastAsia="Palatino Linotype" w:hAnsi="Palatino Linotype" w:cs="Palatino Linotype"/>
        </w:rPr>
        <w:t xml:space="preserve">Se trata del Acta de la Sesión Extraordinaria número INFOEM/DGAF/CAAIE/EXT-006/2024 del Comité de Arrendamientos, Adquisiciones de Inmuebles y Enajenaciones del Instituto de Transparencia, Acceso a la Información Pública y Protección de Datos Personales del Estado de México y Municipios, de fecha seis de octubre del </w:t>
      </w:r>
      <w:r w:rsidRPr="00792306">
        <w:rPr>
          <w:rFonts w:ascii="Palatino Linotype" w:eastAsia="Palatino Linotype" w:hAnsi="Palatino Linotype" w:cs="Palatino Linotype"/>
        </w:rPr>
        <w:lastRenderedPageBreak/>
        <w:t xml:space="preserve">año dos mil veinticuatro, en la que se aprueba por mayoría de votos el costo que tendrán los vehículos marca Honda Accord 2014 y la Ford </w:t>
      </w:r>
      <w:proofErr w:type="spellStart"/>
      <w:r w:rsidRPr="00792306">
        <w:rPr>
          <w:rFonts w:ascii="Palatino Linotype" w:eastAsia="Palatino Linotype" w:hAnsi="Palatino Linotype" w:cs="Palatino Linotype"/>
        </w:rPr>
        <w:t>Expedition</w:t>
      </w:r>
      <w:proofErr w:type="spellEnd"/>
      <w:r w:rsidRPr="00792306">
        <w:rPr>
          <w:rFonts w:ascii="Palatino Linotype" w:eastAsia="Palatino Linotype" w:hAnsi="Palatino Linotype" w:cs="Palatino Linotype"/>
        </w:rPr>
        <w:t xml:space="preserve"> para el procedimiento de adjudicación directa derivados de las partidas desiertas de la subasta pública número </w:t>
      </w:r>
      <w:r w:rsidRPr="00792306">
        <w:rPr>
          <w:rFonts w:ascii="Palatino Linotype" w:eastAsia="Palatino Linotype" w:hAnsi="Palatino Linotype" w:cs="Palatino Linotype"/>
          <w:b/>
        </w:rPr>
        <w:t xml:space="preserve">INFOEM/DGAF/´PAE-001/2024 </w:t>
      </w:r>
      <w:r w:rsidRPr="00792306">
        <w:rPr>
          <w:rFonts w:ascii="Palatino Linotype" w:eastAsia="Palatino Linotype" w:hAnsi="Palatino Linotype" w:cs="Palatino Linotype"/>
        </w:rPr>
        <w:t xml:space="preserve">referente al parque vehicular. </w:t>
      </w:r>
    </w:p>
    <w:p w14:paraId="7E3DC89C" w14:textId="77777777" w:rsidR="00526623" w:rsidRPr="00792306" w:rsidRDefault="00BF0235">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Asimismo, contiene el fallo del procedimiento administrativo de enajenación de bienes mediante adjudicación directa número INFOEM/AD-001/2024 de fecha veintidós de octubre de dos mil veinticuatro, suscrito y firmado por el Director General de Administración y Finanzas y Presidente del Comité de Arrendamientos, Adquisiciones de Inmuebles y Enajenaciones. </w:t>
      </w:r>
    </w:p>
    <w:p w14:paraId="234612FE" w14:textId="77777777" w:rsidR="00526623" w:rsidRPr="00792306" w:rsidRDefault="00BF0235">
      <w:pPr>
        <w:pBdr>
          <w:top w:val="nil"/>
          <w:left w:val="nil"/>
          <w:bottom w:val="nil"/>
          <w:right w:val="nil"/>
          <w:between w:val="nil"/>
        </w:pBdr>
        <w:spacing w:line="360" w:lineRule="auto"/>
        <w:ind w:left="720" w:right="49"/>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Documento remitido en versión pública en el que se advierten clasificados los nombres de los participantes; así como, de las personas a las que fueron adjudicados los vehículos. </w:t>
      </w:r>
    </w:p>
    <w:p w14:paraId="525359BD" w14:textId="77777777" w:rsidR="00526623" w:rsidRPr="00792306" w:rsidRDefault="00BF023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b/>
          <w:i/>
        </w:rPr>
        <w:t xml:space="preserve">“Anexo2Solicitud01337_2024”: </w:t>
      </w:r>
      <w:r w:rsidRPr="00792306">
        <w:rPr>
          <w:rFonts w:ascii="Palatino Linotype" w:eastAsia="Palatino Linotype" w:hAnsi="Palatino Linotype" w:cs="Palatino Linotype"/>
        </w:rPr>
        <w:t xml:space="preserve">En su contenido se advierte el cuadro de clasificación en el que se describe como información confidencial el nombre de particulares contenidos en las actas. </w:t>
      </w:r>
    </w:p>
    <w:p w14:paraId="62A67BBA" w14:textId="77777777" w:rsidR="00526623" w:rsidRPr="00792306" w:rsidRDefault="00BF023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b/>
          <w:i/>
        </w:rPr>
        <w:t xml:space="preserve">“Anexo3Solicitud01337_2024”: </w:t>
      </w:r>
      <w:r w:rsidRPr="00792306">
        <w:rPr>
          <w:rFonts w:ascii="Palatino Linotype" w:eastAsia="Palatino Linotype" w:hAnsi="Palatino Linotype" w:cs="Palatino Linotype"/>
        </w:rPr>
        <w:t xml:space="preserve">Archivo integrado por la versión pública de dos fichas de depósito y dos transferencias. </w:t>
      </w:r>
    </w:p>
    <w:p w14:paraId="27E58722" w14:textId="77777777" w:rsidR="00526623" w:rsidRPr="00792306" w:rsidRDefault="00BF023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b/>
          <w:i/>
        </w:rPr>
        <w:t xml:space="preserve">“Anexo4Solicitud01337_2024”: </w:t>
      </w:r>
      <w:r w:rsidRPr="00792306">
        <w:rPr>
          <w:rFonts w:ascii="Palatino Linotype" w:eastAsia="Palatino Linotype" w:hAnsi="Palatino Linotype" w:cs="Palatino Linotype"/>
        </w:rPr>
        <w:t xml:space="preserve">Se trata del cuadro de clasificación en el que se describe como información confidencial los datos patrimoniales y RFC contenidos en los comprobantes de pago. </w:t>
      </w:r>
    </w:p>
    <w:p w14:paraId="2B7DE0CB" w14:textId="77777777" w:rsidR="00526623" w:rsidRPr="00792306" w:rsidRDefault="00BF023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b/>
          <w:i/>
        </w:rPr>
        <w:lastRenderedPageBreak/>
        <w:t xml:space="preserve">“RES-18-INFOEM-ORD-COMT-23a-2024”: </w:t>
      </w:r>
      <w:r w:rsidRPr="00792306">
        <w:rPr>
          <w:rFonts w:ascii="Palatino Linotype" w:eastAsia="Palatino Linotype" w:hAnsi="Palatino Linotype" w:cs="Palatino Linotype"/>
        </w:rPr>
        <w:t xml:space="preserve">Acta del Comité de Transparencia RES/18/INFOEM/ORD/COM/23°/2024 de fecha tres de diciembre de dos mil veinticuatro en el que se aprueba la propuesta de clasificación como información confidencial del nombre, Registro Federal de Contribuyentes (RFC) y datos patrimoniales de las personas a quienes se vendieron los bienes, presentada por la Dirección General de Administración y Finanzas de este Instituto. </w:t>
      </w:r>
    </w:p>
    <w:p w14:paraId="1725A37D" w14:textId="77777777" w:rsidR="00526623" w:rsidRPr="00792306" w:rsidRDefault="00BF0235">
      <w:pPr>
        <w:numPr>
          <w:ilvl w:val="0"/>
          <w:numId w:val="5"/>
        </w:num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b/>
          <w:i/>
        </w:rPr>
        <w:t xml:space="preserve">“RespuestaSolicitud01337-2024”: </w:t>
      </w:r>
      <w:r w:rsidRPr="00792306">
        <w:rPr>
          <w:rFonts w:ascii="Palatino Linotype" w:eastAsia="Palatino Linotype" w:hAnsi="Palatino Linotype" w:cs="Palatino Linotype"/>
        </w:rPr>
        <w:t xml:space="preserve">Oficio número INFOEM/DGAF/892/2024  de fecha tres de diciembre de dos mil veinticuatro, suscrito y signado por el Director General de Administración y Finanzas por medio del cual respondió a la solicitud de información y remitió la información requerida por la persona solicitante. </w:t>
      </w:r>
    </w:p>
    <w:p w14:paraId="19FDC0CA" w14:textId="77777777" w:rsidR="00526623" w:rsidRPr="00792306" w:rsidRDefault="00BF0235">
      <w:pPr>
        <w:numPr>
          <w:ilvl w:val="0"/>
          <w:numId w:val="5"/>
        </w:num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b/>
          <w:i/>
        </w:rPr>
        <w:t xml:space="preserve">“RespuestaSolicitud1337UT2024”: </w:t>
      </w:r>
      <w:r w:rsidRPr="00792306">
        <w:rPr>
          <w:rFonts w:ascii="Palatino Linotype" w:eastAsia="Palatino Linotype" w:hAnsi="Palatino Linotype" w:cs="Palatino Linotype"/>
        </w:rPr>
        <w:t xml:space="preserve">Oficio número INFOEM/UT/1057/2024 de fecha seis de diciembre de dos mil veinticuatro, emitido por el Titular de la Unidad de Transparencia por medio del cual da respuesta a la solicitud de información número </w:t>
      </w:r>
      <w:r w:rsidRPr="00792306">
        <w:rPr>
          <w:rFonts w:ascii="Palatino Linotype" w:eastAsia="Palatino Linotype" w:hAnsi="Palatino Linotype" w:cs="Palatino Linotype"/>
          <w:b/>
        </w:rPr>
        <w:t xml:space="preserve">01337/INFOEM/IP/2024. </w:t>
      </w:r>
    </w:p>
    <w:p w14:paraId="36D9B8B6" w14:textId="77777777" w:rsidR="00526623" w:rsidRPr="00792306" w:rsidRDefault="00BF0235">
      <w:pPr>
        <w:spacing w:before="240" w:after="24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b/>
        </w:rPr>
        <w:t xml:space="preserve">3. Interposición del recurso de revisión. </w:t>
      </w:r>
      <w:r w:rsidRPr="00792306">
        <w:rPr>
          <w:rFonts w:ascii="Palatino Linotype" w:eastAsia="Palatino Linotype" w:hAnsi="Palatino Linotype" w:cs="Palatino Linotype"/>
        </w:rPr>
        <w:t xml:space="preserve">Inconforme con los términos de la respuesta emitida por parte del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el</w:t>
      </w:r>
      <w:r w:rsidRPr="00792306">
        <w:rPr>
          <w:rFonts w:ascii="Palatino Linotype" w:eastAsia="Palatino Linotype" w:hAnsi="Palatino Linotype" w:cs="Palatino Linotype"/>
          <w:b/>
        </w:rPr>
        <w:t xml:space="preserve"> nueve de diciembre de dos mil veinticuatro, </w:t>
      </w:r>
      <w:r w:rsidRPr="00792306">
        <w:rPr>
          <w:rFonts w:ascii="Palatino Linotype" w:eastAsia="Palatino Linotype" w:hAnsi="Palatino Linotype" w:cs="Palatino Linotype"/>
        </w:rPr>
        <w:t xml:space="preserve">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interpuso el recurso de revisión a través de </w:t>
      </w:r>
      <w:r w:rsidRPr="00792306">
        <w:rPr>
          <w:rFonts w:ascii="Palatino Linotype" w:eastAsia="Palatino Linotype" w:hAnsi="Palatino Linotype" w:cs="Palatino Linotype"/>
          <w:b/>
        </w:rPr>
        <w:t xml:space="preserve">SAIMEX, </w:t>
      </w:r>
      <w:r w:rsidRPr="00792306">
        <w:rPr>
          <w:rFonts w:ascii="Palatino Linotype" w:eastAsia="Palatino Linotype" w:hAnsi="Palatino Linotype" w:cs="Palatino Linotype"/>
        </w:rPr>
        <w:t>en donde se manifestó de la siguiente manera:</w:t>
      </w:r>
    </w:p>
    <w:p w14:paraId="598FE1DA" w14:textId="77777777" w:rsidR="00526623" w:rsidRPr="00792306" w:rsidRDefault="00526623">
      <w:pPr>
        <w:spacing w:before="240" w:after="240" w:line="360" w:lineRule="auto"/>
        <w:ind w:right="49"/>
        <w:jc w:val="both"/>
        <w:rPr>
          <w:rFonts w:ascii="Palatino Linotype" w:eastAsia="Palatino Linotype" w:hAnsi="Palatino Linotype" w:cs="Palatino Linotype"/>
        </w:rPr>
      </w:pPr>
    </w:p>
    <w:p w14:paraId="7FD849D3" w14:textId="77777777" w:rsidR="00526623" w:rsidRPr="00792306" w:rsidRDefault="00BF0235">
      <w:pPr>
        <w:tabs>
          <w:tab w:val="left" w:pos="2745"/>
        </w:tabs>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b/>
        </w:rPr>
        <w:lastRenderedPageBreak/>
        <w:t xml:space="preserve">Acto impugnado: </w:t>
      </w:r>
    </w:p>
    <w:p w14:paraId="2795177E" w14:textId="77777777" w:rsidR="00526623" w:rsidRPr="00792306" w:rsidRDefault="00BF0235">
      <w:pPr>
        <w:tabs>
          <w:tab w:val="left" w:pos="2745"/>
        </w:tabs>
        <w:spacing w:before="240" w:after="240"/>
        <w:ind w:left="851"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“el nombre de la persona a la que se adjudicaron los autos honda es </w:t>
      </w:r>
      <w:proofErr w:type="spellStart"/>
      <w:r w:rsidRPr="00792306">
        <w:rPr>
          <w:rFonts w:ascii="Palatino Linotype" w:eastAsia="Palatino Linotype" w:hAnsi="Palatino Linotype" w:cs="Palatino Linotype"/>
          <w:i/>
          <w:sz w:val="22"/>
          <w:szCs w:val="22"/>
        </w:rPr>
        <w:t>publico</w:t>
      </w:r>
      <w:proofErr w:type="spellEnd"/>
      <w:r w:rsidRPr="00792306">
        <w:rPr>
          <w:rFonts w:ascii="Palatino Linotype" w:eastAsia="Palatino Linotype" w:hAnsi="Palatino Linotype" w:cs="Palatino Linotype"/>
          <w:i/>
          <w:sz w:val="22"/>
          <w:szCs w:val="22"/>
        </w:rPr>
        <w:t xml:space="preserve"> no sean opacos.” (sic)</w:t>
      </w:r>
    </w:p>
    <w:p w14:paraId="1DB30FB9" w14:textId="77777777" w:rsidR="00526623" w:rsidRPr="00792306" w:rsidRDefault="00BF0235">
      <w:pPr>
        <w:spacing w:line="360" w:lineRule="auto"/>
        <w:jc w:val="both"/>
        <w:rPr>
          <w:rFonts w:ascii="Palatino Linotype" w:eastAsia="Palatino Linotype" w:hAnsi="Palatino Linotype" w:cs="Palatino Linotype"/>
        </w:rPr>
      </w:pPr>
      <w:bookmarkStart w:id="4" w:name="_heading=h.30j0zll" w:colFirst="0" w:colLast="0"/>
      <w:bookmarkEnd w:id="4"/>
      <w:r w:rsidRPr="00792306">
        <w:rPr>
          <w:rFonts w:ascii="Palatino Linotype" w:eastAsia="Palatino Linotype" w:hAnsi="Palatino Linotype" w:cs="Palatino Linotype"/>
          <w:b/>
        </w:rPr>
        <w:t>Y, Razones o motivos de inconformidad</w:t>
      </w:r>
      <w:r w:rsidRPr="00792306">
        <w:rPr>
          <w:rFonts w:ascii="Palatino Linotype" w:eastAsia="Palatino Linotype" w:hAnsi="Palatino Linotype" w:cs="Palatino Linotype"/>
        </w:rPr>
        <w:t>:</w:t>
      </w:r>
    </w:p>
    <w:p w14:paraId="796EE29A" w14:textId="77777777" w:rsidR="00526623" w:rsidRPr="00792306" w:rsidRDefault="00BF0235">
      <w:pPr>
        <w:tabs>
          <w:tab w:val="left" w:pos="2745"/>
        </w:tabs>
        <w:spacing w:before="240" w:after="240"/>
        <w:ind w:left="851"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“el nombre de la persona a la que se adjudicaron los autos honda es </w:t>
      </w:r>
      <w:proofErr w:type="spellStart"/>
      <w:r w:rsidRPr="00792306">
        <w:rPr>
          <w:rFonts w:ascii="Palatino Linotype" w:eastAsia="Palatino Linotype" w:hAnsi="Palatino Linotype" w:cs="Palatino Linotype"/>
          <w:i/>
          <w:sz w:val="22"/>
          <w:szCs w:val="22"/>
        </w:rPr>
        <w:t>publico</w:t>
      </w:r>
      <w:proofErr w:type="spellEnd"/>
      <w:r w:rsidRPr="00792306">
        <w:rPr>
          <w:rFonts w:ascii="Palatino Linotype" w:eastAsia="Palatino Linotype" w:hAnsi="Palatino Linotype" w:cs="Palatino Linotype"/>
          <w:i/>
          <w:sz w:val="22"/>
          <w:szCs w:val="22"/>
        </w:rPr>
        <w:t xml:space="preserve"> no sean opacos.” (sic)</w:t>
      </w:r>
    </w:p>
    <w:p w14:paraId="2DF82934" w14:textId="77777777" w:rsidR="00526623" w:rsidRPr="00792306" w:rsidRDefault="00BF0235">
      <w:pPr>
        <w:spacing w:before="240" w:after="240" w:line="360" w:lineRule="auto"/>
        <w:ind w:right="51"/>
        <w:jc w:val="both"/>
        <w:rPr>
          <w:rFonts w:ascii="Palatino Linotype" w:eastAsia="Palatino Linotype" w:hAnsi="Palatino Linotype" w:cs="Palatino Linotype"/>
        </w:rPr>
      </w:pPr>
      <w:r w:rsidRPr="00792306">
        <w:rPr>
          <w:rFonts w:ascii="Palatino Linotype" w:eastAsia="Palatino Linotype" w:hAnsi="Palatino Linotype" w:cs="Palatino Linotype"/>
          <w:b/>
        </w:rPr>
        <w:t xml:space="preserve">4. Turno. </w:t>
      </w:r>
      <w:r w:rsidRPr="00792306">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92306">
        <w:rPr>
          <w:rFonts w:ascii="Palatino Linotype" w:eastAsia="Palatino Linotype" w:hAnsi="Palatino Linotype" w:cs="Palatino Linotype"/>
          <w:b/>
        </w:rPr>
        <w:t xml:space="preserve">Guadalupe Ramírez Peña, </w:t>
      </w:r>
      <w:r w:rsidRPr="00792306">
        <w:rPr>
          <w:rFonts w:ascii="Palatino Linotype" w:eastAsia="Palatino Linotype" w:hAnsi="Palatino Linotype" w:cs="Palatino Linotype"/>
        </w:rPr>
        <w:t xml:space="preserve">a efecto de que analizara sobre su admisión o su </w:t>
      </w:r>
      <w:proofErr w:type="spellStart"/>
      <w:r w:rsidRPr="00792306">
        <w:rPr>
          <w:rFonts w:ascii="Palatino Linotype" w:eastAsia="Palatino Linotype" w:hAnsi="Palatino Linotype" w:cs="Palatino Linotype"/>
        </w:rPr>
        <w:t>desechamiento</w:t>
      </w:r>
      <w:proofErr w:type="spellEnd"/>
      <w:r w:rsidRPr="00792306">
        <w:rPr>
          <w:rFonts w:ascii="Palatino Linotype" w:eastAsia="Palatino Linotype" w:hAnsi="Palatino Linotype" w:cs="Palatino Linotype"/>
        </w:rPr>
        <w:t>.</w:t>
      </w:r>
    </w:p>
    <w:p w14:paraId="24518217"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5. Admisión del Recurso de revisión.</w:t>
      </w:r>
      <w:r w:rsidRPr="00792306">
        <w:rPr>
          <w:rFonts w:ascii="Palatino Linotype" w:eastAsia="Palatino Linotype" w:hAnsi="Palatino Linotype" w:cs="Palatino Linotype"/>
        </w:rPr>
        <w:t xml:space="preserve"> El</w:t>
      </w:r>
      <w:r w:rsidRPr="00792306">
        <w:rPr>
          <w:rFonts w:ascii="Palatino Linotype" w:eastAsia="Palatino Linotype" w:hAnsi="Palatino Linotype" w:cs="Palatino Linotype"/>
          <w:b/>
        </w:rPr>
        <w:t xml:space="preserve"> doce de diciembre de dos mil veinticuatro, </w:t>
      </w:r>
      <w:r w:rsidRPr="00792306">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presentara su informe justificado.</w:t>
      </w:r>
    </w:p>
    <w:p w14:paraId="65F869CB" w14:textId="77777777" w:rsidR="00526623" w:rsidRPr="00792306" w:rsidRDefault="00BF0235">
      <w:pPr>
        <w:widowControl w:val="0"/>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792306">
        <w:rPr>
          <w:rFonts w:ascii="Palatino Linotype" w:eastAsia="Palatino Linotype" w:hAnsi="Palatino Linotype" w:cs="Palatino Linotype"/>
          <w:b/>
        </w:rPr>
        <w:t>6. Manifestaciones</w:t>
      </w:r>
      <w:r w:rsidRPr="00792306">
        <w:rPr>
          <w:rFonts w:ascii="Palatino Linotype" w:eastAsia="Palatino Linotype" w:hAnsi="Palatino Linotype" w:cs="Palatino Linotype"/>
        </w:rPr>
        <w:t xml:space="preserve">. </w:t>
      </w:r>
      <w:r w:rsidRPr="00792306">
        <w:rPr>
          <w:rFonts w:ascii="Palatino Linotype" w:eastAsia="Palatino Linotype" w:hAnsi="Palatino Linotype" w:cs="Palatino Linotype"/>
          <w:sz w:val="22"/>
          <w:szCs w:val="22"/>
        </w:rPr>
        <w:t xml:space="preserve">De constancias del expediente electrónico del SAIMEX, se observa que el trece de enero de dos mil veinticinco el </w:t>
      </w:r>
      <w:r w:rsidRPr="00792306">
        <w:rPr>
          <w:rFonts w:ascii="Palatino Linotype" w:eastAsia="Palatino Linotype" w:hAnsi="Palatino Linotype" w:cs="Palatino Linotype"/>
          <w:b/>
          <w:sz w:val="22"/>
          <w:szCs w:val="22"/>
        </w:rPr>
        <w:t>Sujeto Obligado</w:t>
      </w:r>
      <w:r w:rsidRPr="00792306">
        <w:rPr>
          <w:rFonts w:ascii="Palatino Linotype" w:eastAsia="Palatino Linotype" w:hAnsi="Palatino Linotype" w:cs="Palatino Linotype"/>
          <w:sz w:val="22"/>
          <w:szCs w:val="22"/>
        </w:rPr>
        <w:t xml:space="preserve"> remitió el archivo </w:t>
      </w:r>
      <w:r w:rsidRPr="00792306">
        <w:rPr>
          <w:rFonts w:ascii="Palatino Linotype" w:eastAsia="Palatino Linotype" w:hAnsi="Palatino Linotype" w:cs="Palatino Linotype"/>
          <w:sz w:val="22"/>
          <w:szCs w:val="22"/>
        </w:rPr>
        <w:lastRenderedPageBreak/>
        <w:t xml:space="preserve">electrónico identificado como </w:t>
      </w:r>
      <w:r w:rsidRPr="00792306">
        <w:rPr>
          <w:rFonts w:ascii="Palatino Linotype" w:eastAsia="Palatino Linotype" w:hAnsi="Palatino Linotype" w:cs="Palatino Linotype"/>
          <w:i/>
          <w:sz w:val="22"/>
          <w:szCs w:val="22"/>
        </w:rPr>
        <w:t xml:space="preserve"> “InformeJustificadoRecursodeRevision07559_2024.pdf”  </w:t>
      </w:r>
      <w:r w:rsidRPr="00792306">
        <w:rPr>
          <w:rFonts w:ascii="Palatino Linotype" w:eastAsia="Palatino Linotype" w:hAnsi="Palatino Linotype" w:cs="Palatino Linotype"/>
          <w:sz w:val="22"/>
          <w:szCs w:val="22"/>
        </w:rPr>
        <w:t xml:space="preserve">en el que se advierte el memorándum número INFOEM/DGAF/481/2024 de fecha dieciocho de diciembre de dos mil veinticuatro, suscrito por el Director General de Administración y Finanzas en el que en su parte medular, ratifica la respuesta a la solicitud de información. </w:t>
      </w:r>
    </w:p>
    <w:p w14:paraId="05FF8EDB" w14:textId="77777777" w:rsidR="00526623" w:rsidRPr="00792306" w:rsidRDefault="00526623">
      <w:pPr>
        <w:widowControl w:val="0"/>
        <w:spacing w:line="360" w:lineRule="auto"/>
        <w:ind w:right="49"/>
        <w:jc w:val="both"/>
        <w:rPr>
          <w:rFonts w:ascii="Palatino Linotype" w:eastAsia="Palatino Linotype" w:hAnsi="Palatino Linotype" w:cs="Palatino Linotype"/>
          <w:sz w:val="22"/>
          <w:szCs w:val="22"/>
        </w:rPr>
      </w:pPr>
    </w:p>
    <w:p w14:paraId="38180F92" w14:textId="77777777" w:rsidR="00526623" w:rsidRPr="00792306" w:rsidRDefault="00BF0235">
      <w:pPr>
        <w:widowControl w:val="0"/>
        <w:spacing w:line="360" w:lineRule="auto"/>
        <w:ind w:right="49"/>
        <w:jc w:val="both"/>
        <w:rPr>
          <w:rFonts w:ascii="Palatino Linotype" w:eastAsia="Palatino Linotype" w:hAnsi="Palatino Linotype" w:cs="Palatino Linotype"/>
          <w:sz w:val="22"/>
          <w:szCs w:val="22"/>
        </w:rPr>
      </w:pPr>
      <w:r w:rsidRPr="00792306">
        <w:rPr>
          <w:rFonts w:ascii="Palatino Linotype" w:eastAsia="Palatino Linotype" w:hAnsi="Palatino Linotype" w:cs="Palatino Linotype"/>
          <w:sz w:val="22"/>
          <w:szCs w:val="22"/>
        </w:rPr>
        <w:t xml:space="preserve">Por otro lado, la parte </w:t>
      </w:r>
      <w:r w:rsidRPr="00792306">
        <w:rPr>
          <w:rFonts w:ascii="Palatino Linotype" w:eastAsia="Palatino Linotype" w:hAnsi="Palatino Linotype" w:cs="Palatino Linotype"/>
          <w:b/>
          <w:sz w:val="22"/>
          <w:szCs w:val="22"/>
        </w:rPr>
        <w:t xml:space="preserve">Recurrente </w:t>
      </w:r>
      <w:r w:rsidRPr="00792306">
        <w:rPr>
          <w:rFonts w:ascii="Palatino Linotype" w:eastAsia="Palatino Linotype" w:hAnsi="Palatino Linotype" w:cs="Palatino Linotype"/>
          <w:sz w:val="22"/>
          <w:szCs w:val="22"/>
        </w:rPr>
        <w:t xml:space="preserve">fue omisa en hacer valer manifestaciones o rendir alegatos que conforme a derecho resultaran procedentes. </w:t>
      </w:r>
    </w:p>
    <w:p w14:paraId="0E1A2DBB" w14:textId="705B1091" w:rsidR="00526623" w:rsidRPr="00792306" w:rsidRDefault="00BF0235">
      <w:pPr>
        <w:widowControl w:val="0"/>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 xml:space="preserve">7. Cierre de instrucción. </w:t>
      </w:r>
      <w:r w:rsidRPr="00792306">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792306">
        <w:rPr>
          <w:rFonts w:ascii="Palatino Linotype" w:eastAsia="Palatino Linotype" w:hAnsi="Palatino Linotype" w:cs="Palatino Linotype"/>
          <w:b/>
        </w:rPr>
        <w:t>veinti</w:t>
      </w:r>
      <w:r w:rsidR="00043ED9" w:rsidRPr="00792306">
        <w:rPr>
          <w:rFonts w:ascii="Palatino Linotype" w:eastAsia="Palatino Linotype" w:hAnsi="Palatino Linotype" w:cs="Palatino Linotype"/>
          <w:b/>
        </w:rPr>
        <w:t>nueve</w:t>
      </w:r>
      <w:r w:rsidRPr="00792306">
        <w:rPr>
          <w:rFonts w:ascii="Palatino Linotype" w:eastAsia="Palatino Linotype" w:hAnsi="Palatino Linotype" w:cs="Palatino Linotype"/>
          <w:b/>
        </w:rPr>
        <w:t xml:space="preserve"> de enero de dos mil veinticinco</w:t>
      </w:r>
      <w:r w:rsidRPr="00792306">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D5922AC" w14:textId="77777777" w:rsidR="00526623" w:rsidRPr="00792306" w:rsidRDefault="00BF0235">
      <w:pPr>
        <w:widowControl w:val="0"/>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F93DBC0" w14:textId="77777777" w:rsidR="00526623" w:rsidRPr="00792306" w:rsidRDefault="00BF0235">
      <w:pPr>
        <w:widowControl w:val="0"/>
        <w:spacing w:before="240" w:after="240" w:line="360" w:lineRule="auto"/>
        <w:jc w:val="center"/>
        <w:rPr>
          <w:rFonts w:ascii="Palatino Linotype" w:eastAsia="Palatino Linotype" w:hAnsi="Palatino Linotype" w:cs="Palatino Linotype"/>
          <w:b/>
        </w:rPr>
      </w:pPr>
      <w:r w:rsidRPr="00792306">
        <w:rPr>
          <w:rFonts w:ascii="Palatino Linotype" w:eastAsia="Palatino Linotype" w:hAnsi="Palatino Linotype" w:cs="Palatino Linotype"/>
          <w:b/>
        </w:rPr>
        <w:t>II. C O N S I D E R A N D O S</w:t>
      </w:r>
    </w:p>
    <w:p w14:paraId="66624896"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Primero. Competencia.</w:t>
      </w:r>
      <w:r w:rsidRPr="00792306">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w:t>
      </w:r>
      <w:r w:rsidRPr="00792306">
        <w:rPr>
          <w:rFonts w:ascii="Palatino Linotype" w:eastAsia="Palatino Linotype" w:hAnsi="Palatino Linotype" w:cs="Palatino Linotype"/>
        </w:rPr>
        <w:lastRenderedPageBreak/>
        <w:t>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3879BCD" w14:textId="77777777" w:rsidR="00526623" w:rsidRPr="00792306" w:rsidRDefault="00BF0235">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792306">
        <w:rPr>
          <w:rFonts w:ascii="Palatino Linotype" w:eastAsia="Palatino Linotype" w:hAnsi="Palatino Linotype" w:cs="Palatino Linotype"/>
          <w:b/>
        </w:rPr>
        <w:t>Segundo. Oportunidad y Procedibilidad del Recurso de Revisión</w:t>
      </w:r>
      <w:r w:rsidRPr="00792306">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470E43B"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 xml:space="preserve">remitió la respuesta a la solicitud de información el día </w:t>
      </w:r>
      <w:r w:rsidRPr="00792306">
        <w:rPr>
          <w:rFonts w:ascii="Palatino Linotype" w:eastAsia="Palatino Linotype" w:hAnsi="Palatino Linotype" w:cs="Palatino Linotype"/>
          <w:b/>
        </w:rPr>
        <w:t>seis de diciembre de dos mil veinticuatro</w:t>
      </w:r>
      <w:r w:rsidRPr="00792306">
        <w:rPr>
          <w:rFonts w:ascii="Palatino Linotype" w:eastAsia="Palatino Linotype" w:hAnsi="Palatino Linotype" w:cs="Palatino Linotype"/>
        </w:rPr>
        <w:t>,</w:t>
      </w:r>
      <w:r w:rsidRPr="00792306">
        <w:rPr>
          <w:rFonts w:ascii="Palatino Linotype" w:eastAsia="Palatino Linotype" w:hAnsi="Palatino Linotype" w:cs="Palatino Linotype"/>
          <w:b/>
        </w:rPr>
        <w:t xml:space="preserve"> </w:t>
      </w:r>
      <w:r w:rsidRPr="00792306">
        <w:rPr>
          <w:rFonts w:ascii="Palatino Linotype" w:eastAsia="Palatino Linotype" w:hAnsi="Palatino Linotype" w:cs="Palatino Linotype"/>
        </w:rPr>
        <w:t xml:space="preserve">mientras que el recurso de revisión interpuesto por 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se tuvo por presentado el día </w:t>
      </w:r>
      <w:r w:rsidRPr="00792306">
        <w:rPr>
          <w:rFonts w:ascii="Palatino Linotype" w:eastAsia="Palatino Linotype" w:hAnsi="Palatino Linotype" w:cs="Palatino Linotype"/>
          <w:b/>
        </w:rPr>
        <w:t>nueve de diciembre de dos mil veinticuatro</w:t>
      </w:r>
      <w:r w:rsidRPr="00792306">
        <w:rPr>
          <w:rFonts w:ascii="Palatino Linotype" w:eastAsia="Palatino Linotype" w:hAnsi="Palatino Linotype" w:cs="Palatino Linotype"/>
        </w:rPr>
        <w:t xml:space="preserve">, esto es al primer día hábil posterior a aquel en que tuvo conocimiento de la respuesta impugnada. En este sentido, se concluye que el presente recurso de </w:t>
      </w:r>
      <w:r w:rsidRPr="00792306">
        <w:rPr>
          <w:rFonts w:ascii="Palatino Linotype" w:eastAsia="Palatino Linotype" w:hAnsi="Palatino Linotype" w:cs="Palatino Linotype"/>
        </w:rPr>
        <w:lastRenderedPageBreak/>
        <w:t>revisión se encuentra dentro de los márgenes temporales previstos en las disposiciones legales referidas.</w:t>
      </w:r>
    </w:p>
    <w:p w14:paraId="59F0A6B0" w14:textId="77777777" w:rsidR="00526623" w:rsidRPr="00792306" w:rsidRDefault="00BF0235">
      <w:pPr>
        <w:spacing w:before="240" w:after="240" w:line="360" w:lineRule="auto"/>
        <w:ind w:right="49"/>
        <w:jc w:val="both"/>
        <w:rPr>
          <w:rFonts w:ascii="Palatino Linotype" w:eastAsia="Palatino Linotype" w:hAnsi="Palatino Linotype" w:cs="Palatino Linotype"/>
          <w:sz w:val="22"/>
          <w:szCs w:val="22"/>
        </w:rPr>
      </w:pPr>
      <w:r w:rsidRPr="00792306">
        <w:rPr>
          <w:rFonts w:ascii="Palatino Linotype" w:eastAsia="Palatino Linotype" w:hAnsi="Palatino Linotype" w:cs="Palatino Linotype"/>
          <w:sz w:val="22"/>
          <w:szCs w:val="22"/>
        </w:rPr>
        <w:t xml:space="preserve">Por otro lado, por cuanto hace a la procedibilidad del recurso de revisión, es de suma importancia señalar que </w:t>
      </w:r>
      <w:r w:rsidRPr="00792306">
        <w:rPr>
          <w:rFonts w:ascii="Palatino Linotype" w:eastAsia="Palatino Linotype" w:hAnsi="Palatino Linotype" w:cs="Palatino Linotype"/>
          <w:b/>
          <w:sz w:val="22"/>
          <w:szCs w:val="22"/>
        </w:rPr>
        <w:t>la parte</w:t>
      </w:r>
      <w:r w:rsidRPr="00792306">
        <w:rPr>
          <w:rFonts w:ascii="Palatino Linotype" w:eastAsia="Palatino Linotype" w:hAnsi="Palatino Linotype" w:cs="Palatino Linotype"/>
          <w:sz w:val="22"/>
          <w:szCs w:val="22"/>
        </w:rPr>
        <w:t xml:space="preserve"> </w:t>
      </w:r>
      <w:r w:rsidRPr="00792306">
        <w:rPr>
          <w:rFonts w:ascii="Palatino Linotype" w:eastAsia="Palatino Linotype" w:hAnsi="Palatino Linotype" w:cs="Palatino Linotype"/>
          <w:b/>
          <w:sz w:val="22"/>
          <w:szCs w:val="22"/>
        </w:rPr>
        <w:t>Recurrente</w:t>
      </w:r>
      <w:r w:rsidRPr="00792306">
        <w:rPr>
          <w:rFonts w:ascii="Palatino Linotype" w:eastAsia="Palatino Linotype" w:hAnsi="Palatino Linotype" w:cs="Palatino Linotype"/>
          <w:sz w:val="22"/>
          <w:szCs w:val="22"/>
        </w:rPr>
        <w:t>,</w:t>
      </w:r>
      <w:r w:rsidRPr="00792306">
        <w:rPr>
          <w:rFonts w:ascii="Palatino Linotype" w:eastAsia="Palatino Linotype" w:hAnsi="Palatino Linotype" w:cs="Palatino Linotype"/>
          <w:b/>
          <w:sz w:val="22"/>
          <w:szCs w:val="22"/>
        </w:rPr>
        <w:t xml:space="preserve"> </w:t>
      </w:r>
      <w:r w:rsidRPr="00792306">
        <w:rPr>
          <w:rFonts w:ascii="Palatino Linotype" w:eastAsia="Palatino Linotype" w:hAnsi="Palatino Linotype" w:cs="Palatino Linotype"/>
          <w:sz w:val="22"/>
          <w:szCs w:val="22"/>
        </w:rPr>
        <w:t>no proporcionó nombre o seudónimo con el que desea que se le identifique</w:t>
      </w:r>
      <w:r w:rsidRPr="00792306">
        <w:rPr>
          <w:rFonts w:ascii="Palatino Linotype" w:eastAsia="Palatino Linotype" w:hAnsi="Palatino Linotype" w:cs="Palatino Linotype"/>
          <w:b/>
          <w:sz w:val="22"/>
          <w:szCs w:val="22"/>
        </w:rPr>
        <w:t>,</w:t>
      </w:r>
      <w:r w:rsidRPr="00792306">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037A66D" w14:textId="77777777" w:rsidR="00526623" w:rsidRPr="00792306" w:rsidRDefault="00BF0235">
      <w:pPr>
        <w:spacing w:before="240" w:after="240" w:line="276" w:lineRule="auto"/>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r w:rsidRPr="00792306">
        <w:rPr>
          <w:rFonts w:ascii="Palatino Linotype" w:eastAsia="Palatino Linotype" w:hAnsi="Palatino Linotype" w:cs="Palatino Linotype"/>
          <w:b/>
          <w:i/>
          <w:sz w:val="22"/>
          <w:szCs w:val="22"/>
        </w:rPr>
        <w:t xml:space="preserve">Las solicitudes </w:t>
      </w:r>
      <w:r w:rsidRPr="00792306">
        <w:rPr>
          <w:rFonts w:ascii="Palatino Linotype" w:eastAsia="Palatino Linotype" w:hAnsi="Palatino Linotype" w:cs="Palatino Linotype"/>
          <w:i/>
          <w:sz w:val="22"/>
          <w:szCs w:val="22"/>
        </w:rPr>
        <w:t xml:space="preserve">anónimas, con </w:t>
      </w:r>
      <w:r w:rsidRPr="00792306">
        <w:rPr>
          <w:rFonts w:ascii="Palatino Linotype" w:eastAsia="Palatino Linotype" w:hAnsi="Palatino Linotype" w:cs="Palatino Linotype"/>
          <w:b/>
          <w:i/>
          <w:sz w:val="22"/>
          <w:szCs w:val="22"/>
        </w:rPr>
        <w:t>nombre incompleto o seudónimo</w:t>
      </w:r>
      <w:r w:rsidRPr="00792306">
        <w:rPr>
          <w:rFonts w:ascii="Palatino Linotype" w:eastAsia="Palatino Linotype" w:hAnsi="Palatino Linotype" w:cs="Palatino Linotype"/>
          <w:i/>
          <w:sz w:val="22"/>
          <w:szCs w:val="22"/>
        </w:rPr>
        <w:t xml:space="preserve"> </w:t>
      </w:r>
      <w:r w:rsidRPr="00792306">
        <w:rPr>
          <w:rFonts w:ascii="Palatino Linotype" w:eastAsia="Palatino Linotype" w:hAnsi="Palatino Linotype" w:cs="Palatino Linotype"/>
          <w:b/>
          <w:i/>
          <w:sz w:val="22"/>
          <w:szCs w:val="22"/>
        </w:rPr>
        <w:t>serán procedentes para su trámite por parte del sujeto obligado ante quien se presente</w:t>
      </w:r>
      <w:r w:rsidRPr="00792306">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71F85A11" w14:textId="77777777" w:rsidR="00526623" w:rsidRPr="00792306" w:rsidRDefault="00BF0235">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792306">
        <w:rPr>
          <w:rFonts w:ascii="Palatino Linotype" w:eastAsia="Palatino Linotype" w:hAnsi="Palatino Linotype" w:cs="Palatino Linotype"/>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5FA44067"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Finalmente, se advierte que resulta procedente la interposición del recurso, según lo manifestado por 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en sus motivos de inconformidad, de </w:t>
      </w:r>
      <w:r w:rsidRPr="00792306">
        <w:rPr>
          <w:rFonts w:ascii="Palatino Linotype" w:eastAsia="Palatino Linotype" w:hAnsi="Palatino Linotype" w:cs="Palatino Linotype"/>
        </w:rPr>
        <w:lastRenderedPageBreak/>
        <w:t>acuerdo al artículo 179, fracciones II del ordenamiento legal citado, que a la letra dice: </w:t>
      </w:r>
    </w:p>
    <w:p w14:paraId="3B478BCE"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r w:rsidRPr="00792306">
        <w:rPr>
          <w:rFonts w:ascii="Palatino Linotype" w:eastAsia="Palatino Linotype" w:hAnsi="Palatino Linotype" w:cs="Palatino Linotype"/>
          <w:b/>
          <w:i/>
          <w:sz w:val="22"/>
          <w:szCs w:val="22"/>
        </w:rPr>
        <w:t>Artículo 179.</w:t>
      </w:r>
      <w:r w:rsidRPr="0079230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2CB3640" w14:textId="77777777" w:rsidR="00526623" w:rsidRPr="00792306" w:rsidRDefault="00BF0235">
      <w:pPr>
        <w:spacing w:before="120" w:after="120"/>
        <w:ind w:left="1134"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08ED1BFB" w14:textId="77777777" w:rsidR="00526623" w:rsidRPr="00792306" w:rsidRDefault="00BF0235">
      <w:pPr>
        <w:spacing w:before="120" w:after="120"/>
        <w:ind w:left="1134"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 xml:space="preserve">II. </w:t>
      </w:r>
      <w:r w:rsidRPr="00792306">
        <w:rPr>
          <w:rFonts w:ascii="Palatino Linotype" w:eastAsia="Palatino Linotype" w:hAnsi="Palatino Linotype" w:cs="Palatino Linotype"/>
          <w:i/>
          <w:sz w:val="22"/>
          <w:szCs w:val="22"/>
        </w:rPr>
        <w:t>La clasificación de la información;</w:t>
      </w:r>
    </w:p>
    <w:p w14:paraId="0B5720C9" w14:textId="77777777" w:rsidR="00526623" w:rsidRPr="00792306" w:rsidRDefault="00BF0235">
      <w:pPr>
        <w:spacing w:before="120" w:after="120"/>
        <w:ind w:left="1134"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w:t>
      </w:r>
      <w:r w:rsidRPr="00792306">
        <w:rPr>
          <w:rFonts w:ascii="Palatino Linotype" w:eastAsia="Palatino Linotype" w:hAnsi="Palatino Linotype" w:cs="Palatino Linotype"/>
          <w:i/>
          <w:sz w:val="22"/>
          <w:szCs w:val="22"/>
        </w:rPr>
        <w:t>..</w:t>
      </w:r>
    </w:p>
    <w:p w14:paraId="28918621"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 xml:space="preserve">Tercero. Materia de la revisión. </w:t>
      </w:r>
      <w:r w:rsidRPr="00792306">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792306">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792306">
        <w:rPr>
          <w:rFonts w:ascii="Palatino Linotype" w:eastAsia="Palatino Linotype" w:hAnsi="Palatino Linotype" w:cs="Palatino Linotype"/>
        </w:rPr>
        <w:t xml:space="preserve">de 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o en su defecto, en caso de ser procedente, ordenar la entrega de información.</w:t>
      </w:r>
    </w:p>
    <w:p w14:paraId="71D361EC"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 xml:space="preserve">Cuarto. Estudio del asunto. </w:t>
      </w:r>
      <w:r w:rsidRPr="00792306">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556094F1"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lastRenderedPageBreak/>
        <w:t>“</w:t>
      </w:r>
      <w:r w:rsidRPr="00792306">
        <w:rPr>
          <w:rFonts w:ascii="Palatino Linotype" w:eastAsia="Palatino Linotype" w:hAnsi="Palatino Linotype" w:cs="Palatino Linotype"/>
          <w:b/>
          <w:i/>
          <w:sz w:val="22"/>
          <w:szCs w:val="22"/>
        </w:rPr>
        <w:t>Artículo 4</w:t>
      </w:r>
      <w:r w:rsidRPr="0079230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53EC547"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9230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4232BEF"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792306">
        <w:rPr>
          <w:rFonts w:ascii="Palatino Linotype" w:eastAsia="Palatino Linotype" w:hAnsi="Palatino Linotype" w:cs="Palatino Linotype"/>
          <w:i/>
          <w:sz w:val="22"/>
          <w:szCs w:val="22"/>
        </w:rPr>
        <w:t>.”</w:t>
      </w:r>
    </w:p>
    <w:p w14:paraId="54591C1B"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9981F0E"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“Artículo 12.-</w:t>
      </w:r>
      <w:r w:rsidRPr="0079230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BEC67D3"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792306">
        <w:rPr>
          <w:rFonts w:ascii="Palatino Linotype" w:eastAsia="Palatino Linotype" w:hAnsi="Palatino Linotype" w:cs="Palatino Linotype"/>
          <w:i/>
          <w:sz w:val="22"/>
          <w:szCs w:val="22"/>
        </w:rPr>
        <w:t xml:space="preserve">. </w:t>
      </w:r>
      <w:r w:rsidRPr="00792306">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175800B7" w14:textId="77777777" w:rsidR="00526623" w:rsidRPr="00792306" w:rsidRDefault="00BF0235">
      <w:pPr>
        <w:spacing w:before="240" w:after="240" w:line="360" w:lineRule="auto"/>
        <w:ind w:right="-93"/>
        <w:jc w:val="both"/>
        <w:rPr>
          <w:rFonts w:ascii="Palatino Linotype" w:eastAsia="Palatino Linotype" w:hAnsi="Palatino Linotype" w:cs="Palatino Linotype"/>
        </w:rPr>
      </w:pPr>
      <w:r w:rsidRPr="00792306">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6203803" w14:textId="77777777" w:rsidR="00526623" w:rsidRPr="00792306" w:rsidRDefault="00BF0235">
      <w:pPr>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792306">
        <w:rPr>
          <w:rFonts w:ascii="Palatino Linotype" w:eastAsia="Palatino Linotype" w:hAnsi="Palatino Linotype" w:cs="Palatino Linotype"/>
          <w:b/>
        </w:rPr>
        <w:t xml:space="preserve"> </w:t>
      </w:r>
    </w:p>
    <w:p w14:paraId="3D11822A"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r w:rsidRPr="00792306">
        <w:rPr>
          <w:rFonts w:ascii="Palatino Linotype" w:eastAsia="Palatino Linotype" w:hAnsi="Palatino Linotype" w:cs="Palatino Linotype"/>
          <w:b/>
          <w:i/>
          <w:sz w:val="22"/>
          <w:szCs w:val="22"/>
        </w:rPr>
        <w:t>No existe obligación de elaborar documentos ad hoc para atender las solicitudes de acceso a la información.</w:t>
      </w:r>
      <w:r w:rsidRPr="0079230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w:t>
      </w:r>
      <w:r w:rsidRPr="00792306">
        <w:rPr>
          <w:rFonts w:ascii="Palatino Linotype" w:eastAsia="Palatino Linotype" w:hAnsi="Palatino Linotype" w:cs="Palatino Linotype"/>
          <w:i/>
          <w:sz w:val="22"/>
          <w:szCs w:val="22"/>
        </w:rPr>
        <w:lastRenderedPageBreak/>
        <w:t>en que la misma obre en sus archivos; sin necesidad de elaborar documentos ad hoc para atender las solicitudes de información.” (Sic)</w:t>
      </w:r>
    </w:p>
    <w:p w14:paraId="63BB4C23" w14:textId="77777777" w:rsidR="00526623" w:rsidRPr="00792306" w:rsidRDefault="00BF0235">
      <w:pPr>
        <w:spacing w:before="120" w:after="12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364D47A" w14:textId="77777777" w:rsidR="00526623" w:rsidRPr="00792306" w:rsidRDefault="00BF0235">
      <w:pPr>
        <w:spacing w:before="120" w:after="12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E38062A"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r w:rsidRPr="00792306">
        <w:rPr>
          <w:rFonts w:ascii="Palatino Linotype" w:eastAsia="Palatino Linotype" w:hAnsi="Palatino Linotype" w:cs="Palatino Linotype"/>
          <w:b/>
          <w:i/>
          <w:sz w:val="22"/>
          <w:szCs w:val="22"/>
        </w:rPr>
        <w:t xml:space="preserve">Artículo 3. </w:t>
      </w:r>
      <w:r w:rsidRPr="00792306">
        <w:rPr>
          <w:rFonts w:ascii="Palatino Linotype" w:eastAsia="Palatino Linotype" w:hAnsi="Palatino Linotype" w:cs="Palatino Linotype"/>
          <w:i/>
          <w:sz w:val="22"/>
          <w:szCs w:val="22"/>
        </w:rPr>
        <w:t>Para los efectos de la presente Ley se entenderá por:</w:t>
      </w:r>
    </w:p>
    <w:p w14:paraId="76515BC9"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2A3B28D4"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XI. Documento:</w:t>
      </w:r>
      <w:r w:rsidRPr="00792306">
        <w:rPr>
          <w:rFonts w:ascii="Palatino Linotype" w:eastAsia="Palatino Linotype" w:hAnsi="Palatino Linotype" w:cs="Palatino Linotype"/>
          <w:i/>
          <w:sz w:val="22"/>
          <w:szCs w:val="22"/>
        </w:rPr>
        <w:t xml:space="preserve"> Los expedientes, reportes, estudios, actas</w:t>
      </w:r>
      <w:r w:rsidRPr="00792306">
        <w:rPr>
          <w:rFonts w:ascii="Palatino Linotype" w:eastAsia="Palatino Linotype" w:hAnsi="Palatino Linotype" w:cs="Palatino Linotype"/>
          <w:b/>
          <w:i/>
          <w:sz w:val="22"/>
          <w:szCs w:val="22"/>
        </w:rPr>
        <w:t>,</w:t>
      </w:r>
      <w:r w:rsidRPr="0079230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w:t>
      </w:r>
      <w:r w:rsidRPr="00792306">
        <w:rPr>
          <w:rFonts w:ascii="Palatino Linotype" w:eastAsia="Palatino Linotype" w:hAnsi="Palatino Linotype" w:cs="Palatino Linotype"/>
          <w:i/>
          <w:sz w:val="22"/>
          <w:szCs w:val="22"/>
        </w:rPr>
        <w:lastRenderedPageBreak/>
        <w:t>sin importar su fuente o fecha de elaboración. Los documentos podrán estar en cualquier medio, sea escrito, impreso, sonoro, visual, electrónico, informático u holográfico…” (Sic)</w:t>
      </w:r>
    </w:p>
    <w:p w14:paraId="3A9A1BC4"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528045F"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sz w:val="22"/>
          <w:szCs w:val="22"/>
        </w:rPr>
        <w:t>“</w:t>
      </w:r>
      <w:r w:rsidRPr="0079230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79230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B3C8602"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BEDB7DE"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79B3A1E0"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B561398"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303AACEC" w14:textId="77777777" w:rsidR="00526623" w:rsidRPr="00792306" w:rsidRDefault="00BF0235">
      <w:pPr>
        <w:spacing w:before="240" w:after="240" w:line="360" w:lineRule="auto"/>
        <w:ind w:right="51"/>
        <w:jc w:val="both"/>
        <w:rPr>
          <w:rFonts w:ascii="Palatino Linotype" w:eastAsia="Palatino Linotype" w:hAnsi="Palatino Linotype" w:cs="Palatino Linotype"/>
        </w:rPr>
      </w:pPr>
      <w:r w:rsidRPr="00792306">
        <w:rPr>
          <w:rFonts w:ascii="Palatino Linotype" w:eastAsia="Palatino Linotype" w:hAnsi="Palatino Linotype" w:cs="Palatino Linotype"/>
        </w:rPr>
        <w:lastRenderedPageBreak/>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608B991" w14:textId="77777777" w:rsidR="00526623" w:rsidRPr="00792306" w:rsidRDefault="00BF0235">
      <w:pPr>
        <w:spacing w:before="240" w:after="240" w:line="360" w:lineRule="auto"/>
        <w:ind w:right="51"/>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requirió al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de la venta de vehículos institucionales</w:t>
      </w:r>
      <w:r w:rsidRPr="00792306">
        <w:rPr>
          <w:rFonts w:ascii="Palatino Linotype" w:eastAsia="Palatino Linotype" w:hAnsi="Palatino Linotype" w:cs="Palatino Linotype"/>
          <w:b/>
        </w:rPr>
        <w:t xml:space="preserve"> </w:t>
      </w:r>
      <w:r w:rsidRPr="00792306">
        <w:rPr>
          <w:rFonts w:ascii="Palatino Linotype" w:eastAsia="Palatino Linotype" w:hAnsi="Palatino Linotype" w:cs="Palatino Linotype"/>
        </w:rPr>
        <w:t>lo siguiente:</w:t>
      </w:r>
    </w:p>
    <w:p w14:paraId="27C3D5BB" w14:textId="77777777" w:rsidR="00526623" w:rsidRPr="00792306" w:rsidRDefault="00BF0235">
      <w:pPr>
        <w:numPr>
          <w:ilvl w:val="0"/>
          <w:numId w:val="6"/>
        </w:numPr>
        <w:pBdr>
          <w:top w:val="nil"/>
          <w:left w:val="nil"/>
          <w:bottom w:val="nil"/>
          <w:right w:val="nil"/>
          <w:between w:val="nil"/>
        </w:pBdr>
        <w:spacing w:before="240" w:line="360" w:lineRule="auto"/>
        <w:ind w:right="51"/>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Precio de venta de cada vehículo; </w:t>
      </w:r>
    </w:p>
    <w:p w14:paraId="1EEB298C" w14:textId="77777777" w:rsidR="00526623" w:rsidRPr="00792306" w:rsidRDefault="00BF0235">
      <w:pPr>
        <w:numPr>
          <w:ilvl w:val="0"/>
          <w:numId w:val="6"/>
        </w:numPr>
        <w:pBdr>
          <w:top w:val="nil"/>
          <w:left w:val="nil"/>
          <w:bottom w:val="nil"/>
          <w:right w:val="nil"/>
          <w:between w:val="nil"/>
        </w:pBdr>
        <w:spacing w:line="360" w:lineRule="auto"/>
        <w:ind w:right="51"/>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Nombre de los compradores o adjudicados, y, </w:t>
      </w:r>
    </w:p>
    <w:p w14:paraId="3EA5A5B1" w14:textId="77777777" w:rsidR="00526623" w:rsidRPr="00792306" w:rsidRDefault="00BF0235">
      <w:pPr>
        <w:numPr>
          <w:ilvl w:val="0"/>
          <w:numId w:val="6"/>
        </w:numPr>
        <w:pBdr>
          <w:top w:val="nil"/>
          <w:left w:val="nil"/>
          <w:bottom w:val="nil"/>
          <w:right w:val="nil"/>
          <w:between w:val="nil"/>
        </w:pBdr>
        <w:spacing w:after="240" w:line="360" w:lineRule="auto"/>
        <w:ind w:right="51"/>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Fichas del pago de cada unidad </w:t>
      </w:r>
    </w:p>
    <w:p w14:paraId="73D25C3A" w14:textId="77777777" w:rsidR="00526623" w:rsidRPr="00792306" w:rsidRDefault="00BF0235">
      <w:pPr>
        <w:spacing w:before="240" w:after="24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respuesta, 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por conducto de la Unidad de Transparencia hizo del conocimiento de la persona solicitante el pronunciamiento emitido por el Director General de Administración y Finanzas, quien remitió el Acta de la Sesión Extraordinaria número INFOEM/DGAF/CAAIE/EXT-006/2024 del Comité de Arrendamientos, Adquisiciones de Inmuebles y Enajenaciones del Instituto de Transparencia, Acceso a la Información Pública y Protección de Datos Personales </w:t>
      </w:r>
      <w:r w:rsidRPr="00792306">
        <w:rPr>
          <w:rFonts w:ascii="Palatino Linotype" w:eastAsia="Palatino Linotype" w:hAnsi="Palatino Linotype" w:cs="Palatino Linotype"/>
        </w:rPr>
        <w:lastRenderedPageBreak/>
        <w:t xml:space="preserve">del Estado de México y Municipios, en la que se aprueba el costo de los vehículos marca Honda Accord 2014 y la Ford </w:t>
      </w:r>
      <w:proofErr w:type="spellStart"/>
      <w:r w:rsidRPr="00792306">
        <w:rPr>
          <w:rFonts w:ascii="Palatino Linotype" w:eastAsia="Palatino Linotype" w:hAnsi="Palatino Linotype" w:cs="Palatino Linotype"/>
        </w:rPr>
        <w:t>Expedition</w:t>
      </w:r>
      <w:proofErr w:type="spellEnd"/>
      <w:r w:rsidRPr="00792306">
        <w:rPr>
          <w:rFonts w:ascii="Palatino Linotype" w:eastAsia="Palatino Linotype" w:hAnsi="Palatino Linotype" w:cs="Palatino Linotype"/>
        </w:rPr>
        <w:t xml:space="preserve"> para el procedimiento de adjudicación directa derivados de las partidas desiertas de la subasta pública número </w:t>
      </w:r>
      <w:r w:rsidRPr="00792306">
        <w:rPr>
          <w:rFonts w:ascii="Palatino Linotype" w:eastAsia="Palatino Linotype" w:hAnsi="Palatino Linotype" w:cs="Palatino Linotype"/>
          <w:b/>
        </w:rPr>
        <w:t xml:space="preserve">INFOEM/DGAF/PAE-001/2024 </w:t>
      </w:r>
      <w:r w:rsidRPr="00792306">
        <w:rPr>
          <w:rFonts w:ascii="Palatino Linotype" w:eastAsia="Palatino Linotype" w:hAnsi="Palatino Linotype" w:cs="Palatino Linotype"/>
        </w:rPr>
        <w:t xml:space="preserve">referente al parque vehicular; asimismo remitió el fallo del procedimiento administrativo de enajenación de bienes mediante adjudicación directa y las fichas de depósito y transferencias en versión pública. </w:t>
      </w:r>
    </w:p>
    <w:p w14:paraId="6829109C" w14:textId="77777777" w:rsidR="00526623" w:rsidRPr="00792306" w:rsidRDefault="00BF0235">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No obstante, 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 xml:space="preserve">interpuso el recurso de revisión que se resuelve, en el que manifestó su inconformidad respecto a la clasificación del nombre de las personas a las que se adjudicaron los autos honda, señalando que el mismo es público. </w:t>
      </w:r>
    </w:p>
    <w:p w14:paraId="0A6F0E1C" w14:textId="77777777" w:rsidR="00526623" w:rsidRPr="00792306" w:rsidRDefault="00BF0235">
      <w:pPr>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rPr>
        <w:t xml:space="preserve">Es de señalar que de la lectura del motivo de inconformidad de 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 xml:space="preserve">no se advierte que este no verse sobre la totalidad de la información proporcionada por 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ya que no manifestó agravios respecto de la documentación remitida en la que consta el precio de venta de cada vehículo ni de las fichas de depósito del pago de cada unidad, únicamente se inconformó  por la clasificación del nombre de la o las personas que compraron o se les adjudicó el bien;  por tanto, esta parte de la respuesta, al no haber sido impugnada, debe declararse consentida, ya que al no haber realizado manifestaciones de inconformidad al respecto, no pueden producirse efectos jurídicos tendentes a revocar, confirmar o modificar el </w:t>
      </w:r>
      <w:r w:rsidRPr="00792306">
        <w:rPr>
          <w:rFonts w:ascii="Palatino Linotype" w:eastAsia="Palatino Linotype" w:hAnsi="Palatino Linotype" w:cs="Palatino Linotype"/>
        </w:rPr>
        <w:lastRenderedPageBreak/>
        <w:t>acto, pues en el caso concreto se infiere que la información proporcionada, satisface la solicitud presentada respecto de los requerimientos que no fueron combatidos.</w:t>
      </w:r>
    </w:p>
    <w:p w14:paraId="617D0F0D" w14:textId="77777777" w:rsidR="00526623" w:rsidRPr="00792306" w:rsidRDefault="00BF0235">
      <w:pPr>
        <w:spacing w:before="240" w:after="36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Lo anterior es así, debido a que cuando 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impugna la respuesta del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y este no expresa razón o motivo de inconformidad en contra de todos los rubros solicitados, dichos rubros deben declararse atendidos, pues se entiende que ésta conforme con la información entregada al no contravenir la misma. </w:t>
      </w:r>
    </w:p>
    <w:p w14:paraId="15B75F7C"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36D6D1E4" w14:textId="77777777" w:rsidR="00526623" w:rsidRPr="00792306" w:rsidRDefault="00BF023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r w:rsidRPr="00792306">
        <w:rPr>
          <w:rFonts w:ascii="Palatino Linotype" w:eastAsia="Palatino Linotype" w:hAnsi="Palatino Linotype" w:cs="Palatino Linotype"/>
          <w:b/>
          <w:i/>
          <w:sz w:val="22"/>
          <w:szCs w:val="22"/>
        </w:rPr>
        <w:t xml:space="preserve">Actos consentidos tácitamente. Improcedencia de su análisis. </w:t>
      </w:r>
      <w:r w:rsidRPr="00792306">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A3EFA5B"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0D176FCB" w14:textId="77777777" w:rsidR="00526623" w:rsidRPr="00792306" w:rsidRDefault="00BF0235">
      <w:pPr>
        <w:ind w:left="851"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mallCaps/>
          <w:sz w:val="22"/>
          <w:szCs w:val="22"/>
        </w:rPr>
        <w:t xml:space="preserve">“ACTOS CONSENTIDOS. SON LOS QUE NO SE IMPUGNAN MEDIANTE EL RECURSO IDÓNEO. </w:t>
      </w:r>
      <w:r w:rsidRPr="00792306">
        <w:rPr>
          <w:rFonts w:ascii="Palatino Linotype" w:eastAsia="Palatino Linotype" w:hAnsi="Palatino Linotype" w:cs="Palatino Linotype"/>
          <w:i/>
          <w:sz w:val="22"/>
          <w:szCs w:val="22"/>
        </w:rPr>
        <w:t xml:space="preserve">Debe reputarse como consentido el acto que no se impugnó por el medio establecido por la ley, ya que si se hizo uso </w:t>
      </w:r>
      <w:r w:rsidRPr="00792306">
        <w:rPr>
          <w:rFonts w:ascii="Palatino Linotype" w:eastAsia="Palatino Linotype" w:hAnsi="Palatino Linotype" w:cs="Palatino Linotype"/>
          <w:i/>
          <w:sz w:val="22"/>
          <w:szCs w:val="22"/>
        </w:rPr>
        <w:lastRenderedPageBreak/>
        <w:t>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7288674"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En consecuencia, se insiste, ante la falta de impugnación eficaz, la respuesta entregada debe declararse consentida por la persona solicitante, y, por consiguiente, no es procedente el análisis de fondo en la resolución.</w:t>
      </w:r>
    </w:p>
    <w:p w14:paraId="48BAE376" w14:textId="77777777" w:rsidR="00526623" w:rsidRPr="00792306" w:rsidRDefault="00BF0235">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792306">
        <w:rPr>
          <w:rFonts w:ascii="Palatino Linotype" w:eastAsia="Palatino Linotype" w:hAnsi="Palatino Linotype" w:cs="Palatino Linotype"/>
        </w:rPr>
        <w:t xml:space="preserve">Durante el periodo de manifestaciones el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remitió el archivo electrónico identificado como</w:t>
      </w:r>
      <w:r w:rsidRPr="00792306">
        <w:rPr>
          <w:rFonts w:ascii="Palatino Linotype" w:eastAsia="Palatino Linotype" w:hAnsi="Palatino Linotype" w:cs="Palatino Linotype"/>
          <w:i/>
        </w:rPr>
        <w:t xml:space="preserve"> “InformeJustificadoRecursodeRevision07559_2024.pdf”  </w:t>
      </w:r>
      <w:r w:rsidRPr="00792306">
        <w:rPr>
          <w:rFonts w:ascii="Palatino Linotype" w:eastAsia="Palatino Linotype" w:hAnsi="Palatino Linotype" w:cs="Palatino Linotype"/>
        </w:rPr>
        <w:t>en el que se advierte el memorándum número INFOEM/DGAF/481/2024 de fecha dieciocho de diciembre de dos mil veinticuatro, suscrito por el Director General de Administración de Finanzas quien en lo medular ratifica la respuesta a la solicitud de información</w:t>
      </w:r>
      <w:r w:rsidRPr="00792306">
        <w:rPr>
          <w:rFonts w:ascii="Palatino Linotype" w:eastAsia="Palatino Linotype" w:hAnsi="Palatino Linotype" w:cs="Palatino Linotype"/>
          <w:sz w:val="22"/>
          <w:szCs w:val="22"/>
        </w:rPr>
        <w:t>.</w:t>
      </w:r>
    </w:p>
    <w:p w14:paraId="44B4FF1B" w14:textId="77777777" w:rsidR="00526623" w:rsidRPr="00792306" w:rsidRDefault="00BF023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 Por otro lado, 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omitió hacer valer manifestaciones o rendir alegatos que conforme a derecho resultaran procedentes, por lo tanto, se tiene por precluido su derecho.</w:t>
      </w:r>
    </w:p>
    <w:p w14:paraId="6EAB9575"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Acotado lo anterior, es de señalar que derivado del análisis de las constancias que obran en el expediente electrónico en el que se actúa, se advirtió que la Unidad de Transparencia del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turnó la solicitud al servidor público habilitado de la Dirección General de Administración y Finanzas, quien de conformidad con lo dispuesto en el artículo, fracciones XV y XVIII del Reglamento Interior del Instituto de Transparencia, Acceso a la Información Pública y Protección de Datos </w:t>
      </w:r>
      <w:r w:rsidRPr="00792306">
        <w:rPr>
          <w:rFonts w:ascii="Palatino Linotype" w:eastAsia="Palatino Linotype" w:hAnsi="Palatino Linotype" w:cs="Palatino Linotype"/>
        </w:rPr>
        <w:lastRenderedPageBreak/>
        <w:t xml:space="preserve">Personales del Estado de México y Municipios, entre otras funciones se le atribuyen las siguientes: </w:t>
      </w:r>
    </w:p>
    <w:p w14:paraId="4791A3DD"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r w:rsidRPr="00792306">
        <w:rPr>
          <w:rFonts w:ascii="Palatino Linotype" w:eastAsia="Palatino Linotype" w:hAnsi="Palatino Linotype" w:cs="Palatino Linotype"/>
          <w:b/>
          <w:i/>
          <w:sz w:val="22"/>
          <w:szCs w:val="22"/>
        </w:rPr>
        <w:t>Artículo 26.</w:t>
      </w:r>
      <w:r w:rsidRPr="00792306">
        <w:rPr>
          <w:rFonts w:ascii="Palatino Linotype" w:eastAsia="Palatino Linotype" w:hAnsi="Palatino Linotype" w:cs="Palatino Linotype"/>
          <w:i/>
          <w:sz w:val="22"/>
          <w:szCs w:val="22"/>
        </w:rPr>
        <w:t xml:space="preserve"> Corresponde a la </w:t>
      </w:r>
      <w:r w:rsidRPr="00792306">
        <w:rPr>
          <w:rFonts w:ascii="Palatino Linotype" w:eastAsia="Palatino Linotype" w:hAnsi="Palatino Linotype" w:cs="Palatino Linotype"/>
          <w:b/>
          <w:i/>
          <w:sz w:val="22"/>
          <w:szCs w:val="22"/>
        </w:rPr>
        <w:t>Dirección General de Administración y Finanzas</w:t>
      </w:r>
      <w:r w:rsidRPr="00792306">
        <w:rPr>
          <w:rFonts w:ascii="Palatino Linotype" w:eastAsia="Palatino Linotype" w:hAnsi="Palatino Linotype" w:cs="Palatino Linotype"/>
          <w:i/>
          <w:sz w:val="22"/>
          <w:szCs w:val="22"/>
        </w:rPr>
        <w:t xml:space="preserve"> ejercer las atribuciones siguientes: </w:t>
      </w:r>
    </w:p>
    <w:p w14:paraId="39482097"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1F170963"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XV. </w:t>
      </w:r>
      <w:r w:rsidRPr="00792306">
        <w:rPr>
          <w:rFonts w:ascii="Palatino Linotype" w:eastAsia="Palatino Linotype" w:hAnsi="Palatino Linotype" w:cs="Palatino Linotype"/>
          <w:b/>
          <w:i/>
          <w:sz w:val="22"/>
          <w:szCs w:val="22"/>
        </w:rPr>
        <w:t>Formular el programa anual de adquisiciones</w:t>
      </w:r>
      <w:r w:rsidRPr="00792306">
        <w:rPr>
          <w:rFonts w:ascii="Palatino Linotype" w:eastAsia="Palatino Linotype" w:hAnsi="Palatino Linotype" w:cs="Palatino Linotype"/>
          <w:i/>
          <w:sz w:val="22"/>
          <w:szCs w:val="22"/>
        </w:rPr>
        <w:t xml:space="preserve">, de acuerdo con las necesidades operativas, someterlo a consideración del Pleno para su aprobación y coordinar las adquisiciones de bienes y servicios a solicitud de las Unidades Administrativas a través de los procedimientos que establezca la normatividad correspondiente; </w:t>
      </w:r>
      <w:r w:rsidRPr="00792306">
        <w:rPr>
          <w:rFonts w:ascii="Palatino Linotype" w:eastAsia="Palatino Linotype" w:hAnsi="Palatino Linotype" w:cs="Palatino Linotype"/>
          <w:i/>
          <w:sz w:val="22"/>
          <w:szCs w:val="22"/>
          <w:u w:val="single"/>
        </w:rPr>
        <w:t>además del programa anual de arrendamientos, adquisiciones de inmuebles y</w:t>
      </w:r>
      <w:r w:rsidRPr="00792306">
        <w:rPr>
          <w:rFonts w:ascii="Palatino Linotype" w:eastAsia="Palatino Linotype" w:hAnsi="Palatino Linotype" w:cs="Palatino Linotype"/>
          <w:b/>
          <w:i/>
          <w:sz w:val="22"/>
          <w:szCs w:val="22"/>
          <w:u w:val="single"/>
        </w:rPr>
        <w:t xml:space="preserve"> enajenaciones</w:t>
      </w:r>
      <w:r w:rsidRPr="00792306">
        <w:rPr>
          <w:rFonts w:ascii="Palatino Linotype" w:eastAsia="Palatino Linotype" w:hAnsi="Palatino Linotype" w:cs="Palatino Linotype"/>
          <w:i/>
          <w:sz w:val="22"/>
          <w:szCs w:val="22"/>
        </w:rPr>
        <w:t>;</w:t>
      </w:r>
    </w:p>
    <w:p w14:paraId="51CFEE36"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30F25FE4"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XVIII. </w:t>
      </w:r>
      <w:r w:rsidRPr="00792306">
        <w:rPr>
          <w:rFonts w:ascii="Palatino Linotype" w:eastAsia="Palatino Linotype" w:hAnsi="Palatino Linotype" w:cs="Palatino Linotype"/>
          <w:i/>
          <w:sz w:val="22"/>
          <w:szCs w:val="22"/>
          <w:u w:val="single"/>
        </w:rPr>
        <w:t>Resguardar, registrar y controlar el patrimonio del Instituto asignado a las Unidades Administrativas</w:t>
      </w:r>
      <w:r w:rsidRPr="00792306">
        <w:rPr>
          <w:rFonts w:ascii="Palatino Linotype" w:eastAsia="Palatino Linotype" w:hAnsi="Palatino Linotype" w:cs="Palatino Linotype"/>
          <w:i/>
          <w:sz w:val="22"/>
          <w:szCs w:val="22"/>
        </w:rPr>
        <w:t xml:space="preserve">, su mantenimiento y conservación; </w:t>
      </w:r>
    </w:p>
    <w:p w14:paraId="5D55723C"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320C61C8"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Asimismo, el Manual General de Organización del Instituto de Transparencia, Acceso a la Información Pública y Protección de Datos Personales del Estado de México y Municipios, establece como funciones de la Dirección General de Administración y Finanzas, las siguientes: </w:t>
      </w:r>
    </w:p>
    <w:p w14:paraId="20100468" w14:textId="77777777" w:rsidR="00526623" w:rsidRPr="00792306" w:rsidRDefault="00BF0235">
      <w:pPr>
        <w:spacing w:before="240" w:after="240" w:line="276" w:lineRule="auto"/>
        <w:ind w:left="851" w:right="616"/>
        <w:jc w:val="both"/>
        <w:rPr>
          <w:rFonts w:ascii="Palatino Linotype" w:eastAsia="Palatino Linotype" w:hAnsi="Palatino Linotype" w:cs="Palatino Linotype"/>
          <w:b/>
          <w:i/>
          <w:sz w:val="22"/>
          <w:szCs w:val="22"/>
        </w:rPr>
      </w:pPr>
      <w:r w:rsidRPr="00792306">
        <w:rPr>
          <w:rFonts w:ascii="Palatino Linotype" w:eastAsia="Palatino Linotype" w:hAnsi="Palatino Linotype" w:cs="Palatino Linotype"/>
          <w:b/>
          <w:i/>
          <w:sz w:val="22"/>
          <w:szCs w:val="22"/>
        </w:rPr>
        <w:t>“4092090000 DIRECCIÓN GENERAL DE ADMINISTRACIÓN Y FINANZA</w:t>
      </w:r>
    </w:p>
    <w:p w14:paraId="2185DFF3"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OBJETIVO:</w:t>
      </w:r>
      <w:r w:rsidRPr="00792306">
        <w:rPr>
          <w:rFonts w:ascii="Palatino Linotype" w:eastAsia="Palatino Linotype" w:hAnsi="Palatino Linotype" w:cs="Palatino Linotype"/>
          <w:i/>
          <w:sz w:val="22"/>
          <w:szCs w:val="22"/>
        </w:rPr>
        <w:t xml:space="preserve"> Planear, dirigir, supervisar y evaluar las actividades relacionadas con la administración y el control del capital humano, de los recursos materiales, </w:t>
      </w:r>
      <w:r w:rsidRPr="00792306">
        <w:rPr>
          <w:rFonts w:ascii="Palatino Linotype" w:eastAsia="Palatino Linotype" w:hAnsi="Palatino Linotype" w:cs="Palatino Linotype"/>
          <w:i/>
          <w:sz w:val="22"/>
          <w:szCs w:val="22"/>
        </w:rPr>
        <w:lastRenderedPageBreak/>
        <w:t>financieros y técnicos, así como la prestación de los servicios generales del Instituto; con base en los lineamientos, políticas y estrategias establecidas que coadyuven con las diferentes Unidades Administrativas del Instituto, en el cumplimiento de las metas y programas.</w:t>
      </w:r>
    </w:p>
    <w:p w14:paraId="27ED42C6" w14:textId="77777777" w:rsidR="00526623" w:rsidRPr="00792306" w:rsidRDefault="00BF0235">
      <w:pPr>
        <w:spacing w:before="240" w:after="240" w:line="276" w:lineRule="auto"/>
        <w:ind w:left="851" w:right="616"/>
        <w:jc w:val="both"/>
        <w:rPr>
          <w:rFonts w:ascii="Palatino Linotype" w:eastAsia="Palatino Linotype" w:hAnsi="Palatino Linotype" w:cs="Palatino Linotype"/>
          <w:b/>
          <w:i/>
          <w:sz w:val="22"/>
          <w:szCs w:val="22"/>
        </w:rPr>
      </w:pPr>
      <w:r w:rsidRPr="00792306">
        <w:rPr>
          <w:rFonts w:ascii="Palatino Linotype" w:eastAsia="Palatino Linotype" w:hAnsi="Palatino Linotype" w:cs="Palatino Linotype"/>
          <w:b/>
          <w:i/>
          <w:sz w:val="22"/>
          <w:szCs w:val="22"/>
        </w:rPr>
        <w:t>FUNCIONES:</w:t>
      </w:r>
    </w:p>
    <w:p w14:paraId="54276312"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06108BC6"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 </w:t>
      </w:r>
      <w:r w:rsidRPr="00792306">
        <w:rPr>
          <w:rFonts w:ascii="Palatino Linotype" w:eastAsia="Palatino Linotype" w:hAnsi="Palatino Linotype" w:cs="Palatino Linotype"/>
          <w:b/>
          <w:i/>
          <w:sz w:val="22"/>
          <w:szCs w:val="22"/>
        </w:rPr>
        <w:t>Dirigir y supervisar la integración y ejecución</w:t>
      </w:r>
      <w:r w:rsidRPr="00792306">
        <w:rPr>
          <w:rFonts w:ascii="Palatino Linotype" w:eastAsia="Palatino Linotype" w:hAnsi="Palatino Linotype" w:cs="Palatino Linotype"/>
          <w:i/>
          <w:sz w:val="22"/>
          <w:szCs w:val="22"/>
        </w:rPr>
        <w:t xml:space="preserve"> del programa anual de adquisición de bienes y contratación de servicios, del comité de arrendamientos, adquisición de inmuebles y enajenaciones; someterlos a consideración del comité correspondiente y del Pleno, así como vigilar su cumplimiento;</w:t>
      </w:r>
    </w:p>
    <w:p w14:paraId="43CEE36D"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72F7A4C9"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 </w:t>
      </w:r>
      <w:r w:rsidRPr="00792306">
        <w:rPr>
          <w:rFonts w:ascii="Palatino Linotype" w:eastAsia="Palatino Linotype" w:hAnsi="Palatino Linotype" w:cs="Palatino Linotype"/>
          <w:b/>
          <w:i/>
          <w:sz w:val="22"/>
          <w:szCs w:val="22"/>
          <w:u w:val="single"/>
        </w:rPr>
        <w:t>Realizar las funciones de Presidenta o Presidente en los Comités de Adquisiciones y Servicios y el de Arrendamientos, Adquisiciones de Inmuebles y Enajenaciones del Instituto</w:t>
      </w:r>
      <w:r w:rsidRPr="00792306">
        <w:rPr>
          <w:rFonts w:ascii="Palatino Linotype" w:eastAsia="Palatino Linotype" w:hAnsi="Palatino Linotype" w:cs="Palatino Linotype"/>
          <w:i/>
          <w:sz w:val="22"/>
          <w:szCs w:val="22"/>
        </w:rPr>
        <w:t>; para dar cumplimiento a la normatividad establecida en la materia;</w:t>
      </w:r>
    </w:p>
    <w:p w14:paraId="2179AB35"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53A9D137"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este sentido, tomando como referencia los preceptos normativos previamente transcritos, se tiene que el Director General de Administración y Finanzas de este Instituto, además de contar con atribuciones para formular el programa anual de arrendamientos, adquisiciones y enajenaciones, es el servidor público responsable de resguardar, registrar y controlar el patrimonio del Instituto, asignado a las Unidades Administrativas. </w:t>
      </w:r>
    </w:p>
    <w:p w14:paraId="34CC1754"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lastRenderedPageBreak/>
        <w:t xml:space="preserve">Correlativo a lo anterior, el Manual de Procedimientos de la Dirección General de Administración y Finanzas, establece como Responsabilidad de la Dirección presidir los Comités de Adquisiciones y Servicios y el de Arrendamientos, Adquisiciones de Inmuebles y </w:t>
      </w:r>
      <w:r w:rsidRPr="00792306">
        <w:rPr>
          <w:rFonts w:ascii="Palatino Linotype" w:eastAsia="Palatino Linotype" w:hAnsi="Palatino Linotype" w:cs="Palatino Linotype"/>
          <w:b/>
          <w:i/>
          <w:u w:val="single"/>
        </w:rPr>
        <w:t>Enajenaciones</w:t>
      </w:r>
      <w:r w:rsidRPr="00792306">
        <w:rPr>
          <w:rFonts w:ascii="Palatino Linotype" w:eastAsia="Palatino Linotype" w:hAnsi="Palatino Linotype" w:cs="Palatino Linotype"/>
          <w:b/>
        </w:rPr>
        <w:t xml:space="preserve"> </w:t>
      </w:r>
      <w:r w:rsidRPr="00792306">
        <w:rPr>
          <w:rFonts w:ascii="Palatino Linotype" w:eastAsia="Palatino Linotype" w:hAnsi="Palatino Linotype" w:cs="Palatino Linotype"/>
        </w:rPr>
        <w:t>del Instituto para dar cumplimiento a la normatividad establecida en la materia.</w:t>
      </w:r>
    </w:p>
    <w:p w14:paraId="14A7BE05" w14:textId="77777777" w:rsidR="00526623" w:rsidRPr="00792306" w:rsidRDefault="00BF0235">
      <w:pPr>
        <w:widowControl w:val="0"/>
        <w:tabs>
          <w:tab w:val="left" w:pos="1701"/>
          <w:tab w:val="left" w:pos="1843"/>
        </w:tabs>
        <w:spacing w:line="360" w:lineRule="auto"/>
        <w:ind w:right="49"/>
        <w:jc w:val="both"/>
      </w:pPr>
      <w:r w:rsidRPr="00792306">
        <w:rPr>
          <w:rFonts w:ascii="Palatino Linotype" w:eastAsia="Palatino Linotype" w:hAnsi="Palatino Linotype" w:cs="Palatino Linotype"/>
        </w:rPr>
        <w:t>En virtud de lo anterior, se tiene que, en el caso concreto, se dio cabal cumplimiento con el requisito de turnar la solicitud de información a las áreas competentes que pueden poseer, generar y/o administrar la información requerida, conforme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2318AC1" w14:textId="77777777" w:rsidR="00526623" w:rsidRPr="00792306" w:rsidRDefault="00526623">
      <w:pPr>
        <w:spacing w:line="360" w:lineRule="auto"/>
      </w:pPr>
    </w:p>
    <w:p w14:paraId="41A4C5C9" w14:textId="77777777" w:rsidR="00526623" w:rsidRPr="00792306" w:rsidRDefault="00BF0235">
      <w:pPr>
        <w:numPr>
          <w:ilvl w:val="0"/>
          <w:numId w:val="7"/>
        </w:numPr>
        <w:spacing w:line="276"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69448849" w14:textId="77777777" w:rsidR="00526623" w:rsidRPr="00792306" w:rsidRDefault="00526623">
      <w:pPr>
        <w:spacing w:line="276" w:lineRule="auto"/>
        <w:ind w:left="360"/>
        <w:jc w:val="both"/>
        <w:rPr>
          <w:rFonts w:ascii="Palatino Linotype" w:eastAsia="Palatino Linotype" w:hAnsi="Palatino Linotype" w:cs="Palatino Linotype"/>
        </w:rPr>
      </w:pPr>
    </w:p>
    <w:p w14:paraId="052D4851" w14:textId="77777777" w:rsidR="00526623" w:rsidRPr="00792306" w:rsidRDefault="00BF0235">
      <w:pPr>
        <w:numPr>
          <w:ilvl w:val="0"/>
          <w:numId w:val="7"/>
        </w:numPr>
        <w:spacing w:line="276"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53BFF34" w14:textId="77777777" w:rsidR="00526623" w:rsidRPr="00792306" w:rsidRDefault="00526623">
      <w:pPr>
        <w:spacing w:line="276" w:lineRule="auto"/>
        <w:ind w:left="720"/>
        <w:rPr>
          <w:rFonts w:ascii="Palatino Linotype" w:eastAsia="Palatino Linotype" w:hAnsi="Palatino Linotype" w:cs="Palatino Linotype"/>
        </w:rPr>
      </w:pPr>
    </w:p>
    <w:p w14:paraId="59BA3512" w14:textId="77777777" w:rsidR="00526623" w:rsidRPr="00792306" w:rsidRDefault="00BF0235">
      <w:pPr>
        <w:numPr>
          <w:ilvl w:val="0"/>
          <w:numId w:val="7"/>
        </w:numPr>
        <w:spacing w:line="276"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792306">
        <w:rPr>
          <w:rFonts w:ascii="Palatino Linotype" w:eastAsia="Palatino Linotype" w:hAnsi="Palatino Linotype" w:cs="Palatino Linotype"/>
          <w:b/>
        </w:rPr>
        <w:t>quince días, contados a partir del día siguiente a la presentación de ésta.</w:t>
      </w:r>
      <w:r w:rsidRPr="00792306">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5792E2CE" w14:textId="77777777" w:rsidR="00526623" w:rsidRPr="00792306" w:rsidRDefault="00526623">
      <w:pPr>
        <w:spacing w:line="276" w:lineRule="auto"/>
        <w:ind w:left="720"/>
        <w:rPr>
          <w:rFonts w:ascii="Palatino Linotype" w:eastAsia="Palatino Linotype" w:hAnsi="Palatino Linotype" w:cs="Palatino Linotype"/>
        </w:rPr>
      </w:pPr>
    </w:p>
    <w:p w14:paraId="3913EEEC" w14:textId="77777777" w:rsidR="00526623" w:rsidRPr="00792306" w:rsidRDefault="00BF0235">
      <w:pPr>
        <w:numPr>
          <w:ilvl w:val="0"/>
          <w:numId w:val="7"/>
        </w:numPr>
        <w:spacing w:line="276" w:lineRule="auto"/>
        <w:jc w:val="both"/>
        <w:rPr>
          <w:rFonts w:ascii="Palatino Linotype" w:eastAsia="Palatino Linotype" w:hAnsi="Palatino Linotype" w:cs="Palatino Linotype"/>
          <w:b/>
          <w:u w:val="single"/>
        </w:rPr>
      </w:pPr>
      <w:r w:rsidRPr="00792306">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CC1B7C3" w14:textId="77777777" w:rsidR="00526623" w:rsidRPr="00792306" w:rsidRDefault="00526623">
      <w:pPr>
        <w:spacing w:line="276" w:lineRule="auto"/>
        <w:ind w:left="720"/>
        <w:rPr>
          <w:rFonts w:ascii="Palatino Linotype" w:eastAsia="Palatino Linotype" w:hAnsi="Palatino Linotype" w:cs="Palatino Linotype"/>
          <w:b/>
          <w:u w:val="single"/>
        </w:rPr>
      </w:pPr>
    </w:p>
    <w:p w14:paraId="3EB3A07C" w14:textId="77777777" w:rsidR="00526623" w:rsidRPr="00792306" w:rsidRDefault="00BF0235">
      <w:pPr>
        <w:numPr>
          <w:ilvl w:val="0"/>
          <w:numId w:val="7"/>
        </w:numPr>
        <w:spacing w:line="276"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C209D6D" w14:textId="77777777" w:rsidR="00526623" w:rsidRPr="00792306" w:rsidRDefault="00526623">
      <w:pPr>
        <w:spacing w:line="276" w:lineRule="auto"/>
        <w:ind w:left="360"/>
        <w:jc w:val="both"/>
        <w:rPr>
          <w:rFonts w:ascii="Palatino Linotype" w:eastAsia="Palatino Linotype" w:hAnsi="Palatino Linotype" w:cs="Palatino Linotype"/>
          <w:b/>
        </w:rPr>
      </w:pPr>
    </w:p>
    <w:p w14:paraId="5A44130C" w14:textId="77777777" w:rsidR="00526623" w:rsidRPr="00792306" w:rsidRDefault="00BF0235">
      <w:pPr>
        <w:numPr>
          <w:ilvl w:val="0"/>
          <w:numId w:val="7"/>
        </w:numPr>
        <w:spacing w:line="276"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009B92E6" w14:textId="77777777" w:rsidR="00526623" w:rsidRPr="00792306" w:rsidRDefault="00526623">
      <w:pPr>
        <w:spacing w:line="360" w:lineRule="auto"/>
      </w:pPr>
    </w:p>
    <w:p w14:paraId="6B5F255E" w14:textId="77777777" w:rsidR="00526623" w:rsidRPr="00792306" w:rsidRDefault="00BF0235">
      <w:pPr>
        <w:spacing w:line="360" w:lineRule="auto"/>
        <w:ind w:right="49"/>
        <w:jc w:val="both"/>
        <w:rPr>
          <w:rFonts w:ascii="Palatino Linotype" w:eastAsia="Palatino Linotype" w:hAnsi="Palatino Linotype" w:cs="Palatino Linotype"/>
          <w:b/>
          <w:u w:val="single"/>
        </w:rPr>
      </w:pPr>
      <w:r w:rsidRPr="00792306">
        <w:rPr>
          <w:rFonts w:ascii="Palatino Linotype" w:eastAsia="Palatino Linotype" w:hAnsi="Palatino Linotype" w:cs="Palatino Linotype"/>
        </w:rPr>
        <w:t xml:space="preserve">En virtud de lo anterior, se tiene que, </w:t>
      </w:r>
      <w:r w:rsidRPr="00792306">
        <w:rPr>
          <w:rFonts w:ascii="Palatino Linotype" w:eastAsia="Palatino Linotype" w:hAnsi="Palatino Linotype" w:cs="Palatino Linotype"/>
          <w:b/>
          <w:u w:val="single"/>
        </w:rPr>
        <w:t>el procedimiento de búsqueda de la información se tiene por atendido.</w:t>
      </w:r>
    </w:p>
    <w:p w14:paraId="3C29809C"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lastRenderedPageBreak/>
        <w:t xml:space="preserve">Ahora bien, cabe reiterar que 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 xml:space="preserve">solicitó información relacionada con la enajenación de bienes muebles de este Instituto, relacionada con el procedimiento de adjudicación directa derivada de la partida desierta de la subasta pública número INFOEM/DGAF/PAE-001/2024 referente al “Parque vehicular”, y que si bien entregó información que atiende los puntos relativos a los precios y fichas de depósito; también lo es que, clasificó como información confidencial el nombre de las personas a las que se adjudicaron los vehículos. </w:t>
      </w:r>
    </w:p>
    <w:p w14:paraId="1F37B09F"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este sentido, a efecto de analizar la naturaleza jurídica de la información pública solicitada, es oportuno referir que de conformidad con lo dispuesto en los artículos 24, 56, 62 y 64 de la Ley de Contratación Pública del Estado de México y Municipios, son atribuciones del Comité de arrendamientos, adquisiciones de inmuebles y enajenaciones las siguientes: </w:t>
      </w:r>
    </w:p>
    <w:p w14:paraId="367F9655"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r w:rsidRPr="00792306">
        <w:rPr>
          <w:rFonts w:ascii="Palatino Linotype" w:eastAsia="Palatino Linotype" w:hAnsi="Palatino Linotype" w:cs="Palatino Linotype"/>
          <w:b/>
          <w:i/>
          <w:sz w:val="22"/>
          <w:szCs w:val="22"/>
        </w:rPr>
        <w:t>Artículo 24</w:t>
      </w:r>
      <w:r w:rsidRPr="00792306">
        <w:rPr>
          <w:rFonts w:ascii="Palatino Linotype" w:eastAsia="Palatino Linotype" w:hAnsi="Palatino Linotype" w:cs="Palatino Linotype"/>
          <w:i/>
          <w:sz w:val="22"/>
          <w:szCs w:val="22"/>
        </w:rPr>
        <w:t xml:space="preserve">.- El comité de arrendamientos, adquisiciones de inmuebles y enajenaciones tendrá las funciones siguientes: </w:t>
      </w:r>
    </w:p>
    <w:p w14:paraId="57B71B29"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I. Dictaminar sobre la procedencia de los casos de excepción al procedimiento de licitación pública, tratándose de adquisición de inmuebles y arrendamientos. </w:t>
      </w:r>
    </w:p>
    <w:p w14:paraId="2699DD65"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II. Participar en los procedimientos de licitación, invitación restringida y adjudicación directa, hasta dejarlos en estado de dictar el fallo correspondiente, tratándose de adquisición de inmuebles y arrendamientos.</w:t>
      </w:r>
    </w:p>
    <w:p w14:paraId="77CF3BF0"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III. Emitir los dictámenes de adjudicación, tratándose de adquisiciones de inmuebles y arrendamientos. </w:t>
      </w:r>
    </w:p>
    <w:p w14:paraId="643B54A1"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u w:val="single"/>
        </w:rPr>
        <w:lastRenderedPageBreak/>
        <w:t>IV. Participar en los procedimientos de subasta pública, hasta dejarlos en estado de dictar el fallo de adjudicación</w:t>
      </w:r>
      <w:r w:rsidRPr="00792306">
        <w:rPr>
          <w:rFonts w:ascii="Palatino Linotype" w:eastAsia="Palatino Linotype" w:hAnsi="Palatino Linotype" w:cs="Palatino Linotype"/>
          <w:i/>
          <w:sz w:val="22"/>
          <w:szCs w:val="22"/>
        </w:rPr>
        <w:t xml:space="preserve">. </w:t>
      </w:r>
    </w:p>
    <w:p w14:paraId="532A9ACD"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V. Las demás que establezca el reglamento de esta Ley.</w:t>
      </w:r>
    </w:p>
    <w:p w14:paraId="24817D0C"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“Artículo 56.-</w:t>
      </w:r>
      <w:r w:rsidRPr="00792306">
        <w:rPr>
          <w:rFonts w:ascii="Palatino Linotype" w:eastAsia="Palatino Linotype" w:hAnsi="Palatino Linotype" w:cs="Palatino Linotype"/>
          <w:i/>
          <w:sz w:val="22"/>
          <w:szCs w:val="22"/>
        </w:rPr>
        <w:t xml:space="preserve"> En el </w:t>
      </w:r>
      <w:r w:rsidRPr="00792306">
        <w:rPr>
          <w:rFonts w:ascii="Palatino Linotype" w:eastAsia="Palatino Linotype" w:hAnsi="Palatino Linotype" w:cs="Palatino Linotype"/>
          <w:b/>
          <w:i/>
          <w:sz w:val="22"/>
          <w:szCs w:val="22"/>
          <w:u w:val="single"/>
        </w:rPr>
        <w:t xml:space="preserve">procedimiento de subasta pública </w:t>
      </w:r>
      <w:r w:rsidRPr="00792306">
        <w:rPr>
          <w:rFonts w:ascii="Palatino Linotype" w:eastAsia="Palatino Linotype" w:hAnsi="Palatino Linotype" w:cs="Palatino Linotype"/>
          <w:i/>
          <w:sz w:val="22"/>
          <w:szCs w:val="22"/>
        </w:rPr>
        <w:t xml:space="preserve">de bienes muebles e inmuebles deberán establecerse los mismos requisitos y condiciones para todos los participantes. </w:t>
      </w:r>
    </w:p>
    <w:p w14:paraId="16A6EF48" w14:textId="77777777" w:rsidR="00526623" w:rsidRPr="00792306" w:rsidRDefault="00BF0235">
      <w:pPr>
        <w:spacing w:before="240" w:after="240" w:line="276" w:lineRule="auto"/>
        <w:ind w:left="851" w:right="616"/>
        <w:jc w:val="both"/>
      </w:pPr>
      <w:r w:rsidRPr="00792306">
        <w:rPr>
          <w:rFonts w:ascii="Palatino Linotype" w:eastAsia="Palatino Linotype" w:hAnsi="Palatino Linotype" w:cs="Palatino Linotype"/>
          <w:i/>
          <w:sz w:val="22"/>
          <w:szCs w:val="22"/>
          <w:u w:val="single"/>
        </w:rPr>
        <w:t>Toda persona que satisfaga los requisitos de la convocatoria y de las bases de la subasta pública tendrá derecho a presentar posturas</w:t>
      </w:r>
      <w:r w:rsidRPr="00792306">
        <w:rPr>
          <w:rFonts w:ascii="Palatino Linotype" w:eastAsia="Palatino Linotype" w:hAnsi="Palatino Linotype" w:cs="Palatino Linotype"/>
          <w:i/>
          <w:sz w:val="22"/>
          <w:szCs w:val="22"/>
        </w:rPr>
        <w:t xml:space="preserve">. La Oficialía Mayor, las entidades, los tribunales administrativos y los ayuntamientos </w:t>
      </w:r>
      <w:r w:rsidRPr="00792306">
        <w:rPr>
          <w:rFonts w:ascii="Palatino Linotype" w:eastAsia="Palatino Linotype" w:hAnsi="Palatino Linotype" w:cs="Palatino Linotype"/>
          <w:b/>
          <w:i/>
          <w:sz w:val="22"/>
          <w:szCs w:val="22"/>
          <w:u w:val="single"/>
        </w:rPr>
        <w:t>proporcionarán a los interesados igual acceso a la información relacionada con la subasta</w:t>
      </w:r>
      <w:r w:rsidRPr="00792306">
        <w:t>.</w:t>
      </w:r>
    </w:p>
    <w:p w14:paraId="1D36604B"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Artículo 62.- La Oficialía Mayor, las entidades, los tribunales administrativos y los ayuntamientos procederán a declarar </w:t>
      </w:r>
      <w:r w:rsidRPr="00792306">
        <w:rPr>
          <w:rFonts w:ascii="Palatino Linotype" w:eastAsia="Palatino Linotype" w:hAnsi="Palatino Linotype" w:cs="Palatino Linotype"/>
          <w:b/>
          <w:i/>
          <w:sz w:val="22"/>
          <w:szCs w:val="22"/>
        </w:rPr>
        <w:t>desierta la subasta pública, cuando no reciban propuesta alguna o las presentadas no reúnan los requisitos exigidos en las bases</w:t>
      </w:r>
      <w:r w:rsidRPr="00792306">
        <w:rPr>
          <w:rFonts w:ascii="Palatino Linotype" w:eastAsia="Palatino Linotype" w:hAnsi="Palatino Linotype" w:cs="Palatino Linotype"/>
          <w:i/>
          <w:sz w:val="22"/>
          <w:szCs w:val="22"/>
        </w:rPr>
        <w:t>.</w:t>
      </w:r>
    </w:p>
    <w:p w14:paraId="4A18ED7E" w14:textId="77777777" w:rsidR="00526623" w:rsidRPr="00792306" w:rsidRDefault="00BF0235">
      <w:pPr>
        <w:spacing w:before="240" w:after="240" w:line="276" w:lineRule="auto"/>
        <w:ind w:left="851" w:right="616"/>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Artículo 64</w:t>
      </w:r>
      <w:r w:rsidRPr="00792306">
        <w:rPr>
          <w:rFonts w:ascii="Palatino Linotype" w:eastAsia="Palatino Linotype" w:hAnsi="Palatino Linotype" w:cs="Palatino Linotype"/>
          <w:i/>
          <w:sz w:val="22"/>
          <w:szCs w:val="22"/>
        </w:rPr>
        <w:t xml:space="preserve">.- La Oficialía Mayor, las entidades, los tribunales administrativos y los ayuntamientos </w:t>
      </w:r>
      <w:r w:rsidRPr="00792306">
        <w:rPr>
          <w:rFonts w:ascii="Palatino Linotype" w:eastAsia="Palatino Linotype" w:hAnsi="Palatino Linotype" w:cs="Palatino Linotype"/>
          <w:b/>
          <w:i/>
          <w:sz w:val="22"/>
          <w:szCs w:val="22"/>
          <w:u w:val="single"/>
        </w:rPr>
        <w:t>podrán enajenar bienes mediante adjudicación directa</w:t>
      </w:r>
      <w:r w:rsidRPr="00792306">
        <w:rPr>
          <w:rFonts w:ascii="Palatino Linotype" w:eastAsia="Palatino Linotype" w:hAnsi="Palatino Linotype" w:cs="Palatino Linotype"/>
          <w:i/>
          <w:sz w:val="22"/>
          <w:szCs w:val="22"/>
        </w:rPr>
        <w:t xml:space="preserve"> en términos del reglamento de esta Ley, </w:t>
      </w:r>
      <w:r w:rsidRPr="00792306">
        <w:rPr>
          <w:rFonts w:ascii="Palatino Linotype" w:eastAsia="Palatino Linotype" w:hAnsi="Palatino Linotype" w:cs="Palatino Linotype"/>
          <w:b/>
          <w:i/>
          <w:sz w:val="22"/>
          <w:szCs w:val="22"/>
          <w:u w:val="single"/>
        </w:rPr>
        <w:t>cuando se hubiere declarado desierto un procedimiento de subasta pública</w:t>
      </w:r>
      <w:r w:rsidRPr="00792306">
        <w:rPr>
          <w:rFonts w:ascii="Palatino Linotype" w:eastAsia="Palatino Linotype" w:hAnsi="Palatino Linotype" w:cs="Palatino Linotype"/>
          <w:i/>
          <w:sz w:val="22"/>
          <w:szCs w:val="22"/>
        </w:rPr>
        <w:t>.</w:t>
      </w:r>
    </w:p>
    <w:p w14:paraId="395BE938"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Es así que, en cumplimiento a lo dispuesto por los artículos previamente trascritos, se tiene que, una vez que se declaró desierta la subasta pública número INFOEM/DGAF/PAE-001/2024 referente al “Parque vehicular” el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 xml:space="preserve">procedió a la enajenación de los bienes mediante adjudicación directa. </w:t>
      </w:r>
    </w:p>
    <w:p w14:paraId="160ED925"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este orden de ideas, a efecto de llevarse a cabo la adjudicación directa de los vehículos, el Comité de Arrendamientos, Adquisiciones de Inmuebles y </w:t>
      </w:r>
      <w:r w:rsidRPr="00792306">
        <w:rPr>
          <w:rFonts w:ascii="Palatino Linotype" w:eastAsia="Palatino Linotype" w:hAnsi="Palatino Linotype" w:cs="Palatino Linotype"/>
        </w:rPr>
        <w:lastRenderedPageBreak/>
        <w:t xml:space="preserve">Enajenaciones del Instituto de Trasparencia, Acceso a la Información Pública y Protección de Datos Personales del Estado de México y Municipios, en el Acta de la Sesión Extraordinaria número INFOEM/DGAF/CAAIE/EXT-006/2024, mediante acuerdo INFOEM/DGAF/CAAIE/EXT-003/3.1/2024 aprobó el costo que tendrían los vehículos de los que se solicita información. </w:t>
      </w:r>
    </w:p>
    <w:p w14:paraId="52AD2513"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noProof/>
        </w:rPr>
        <w:drawing>
          <wp:inline distT="0" distB="0" distL="0" distR="0" wp14:anchorId="6B94AD68" wp14:editId="41CD695D">
            <wp:extent cx="5612130" cy="198247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1982470"/>
                    </a:xfrm>
                    <a:prstGeom prst="rect">
                      <a:avLst/>
                    </a:prstGeom>
                    <a:ln/>
                  </pic:spPr>
                </pic:pic>
              </a:graphicData>
            </a:graphic>
          </wp:inline>
        </w:drawing>
      </w:r>
    </w:p>
    <w:p w14:paraId="5774326D"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Por lo que, una vez aprobados los costos que tendrían los vehículos y substanciado el procedimiento de enajenación de cuatro vehículos que en su momento formaron parte del parque vehicular del INFOEM, el veintidós de octubre de dos mil veinticuatro, el Director General de Administración y Finanzas y Presidente del Comité de Arrendamientos, Adquisiciones de Inmuebles y Enajenaciones emitió el fallo del procedimiento administrativo de enajenación de bienes mediante adjudicación directa número INFOEM/AD-001/2004. </w:t>
      </w:r>
    </w:p>
    <w:p w14:paraId="1FBF685A"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Documento que fue remitido en respuesta a la solicitud de información, siendo este, el documento idóneo para atender el punto relativo al nombre de las personas a las </w:t>
      </w:r>
      <w:r w:rsidRPr="00792306">
        <w:rPr>
          <w:rFonts w:ascii="Palatino Linotype" w:eastAsia="Palatino Linotype" w:hAnsi="Palatino Linotype" w:cs="Palatino Linotype"/>
        </w:rPr>
        <w:lastRenderedPageBreak/>
        <w:t xml:space="preserve">que se adjudicaron los multicitados vehículos; no obstante, el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 xml:space="preserve">clasificó el nombre de los postores a los que se adjudicaron los bienes como información confidencial. </w:t>
      </w:r>
    </w:p>
    <w:p w14:paraId="0D12F5A0" w14:textId="77777777" w:rsidR="00526623" w:rsidRPr="00792306" w:rsidRDefault="00BF0235">
      <w:pPr>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rPr>
        <w:t xml:space="preserve">Por consiguiente, es  preciso indicar que de conformidad con lo dispuesto en el artículo 20 de la Ley de Transparencia y Acceso a la Información Pública del Estado de México y Municipios, </w:t>
      </w:r>
      <w:r w:rsidRPr="00792306">
        <w:rPr>
          <w:rFonts w:ascii="Palatino Linotype" w:eastAsia="Palatino Linotype" w:hAnsi="Palatino Linotype" w:cs="Palatino Linotype"/>
          <w:b/>
        </w:rPr>
        <w:t>ante la negativa de acceso a la información o su inexistencia, el sujeto obligado deberá demostrar que encuentra en alguna de las excepciones establecidas en la normatividad aplicable.</w:t>
      </w:r>
    </w:p>
    <w:p w14:paraId="2B65C60E"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ese sentido, según Trujillo, Humberto (2019), en el “Diccionario de Transparencia y Acceso a la Información Pública” (p. 201), </w:t>
      </w:r>
      <w:r w:rsidRPr="00792306">
        <w:rPr>
          <w:rFonts w:ascii="Palatino Linotype" w:eastAsia="Palatino Linotype" w:hAnsi="Palatino Linotype" w:cs="Palatino Linotype"/>
          <w:b/>
        </w:rPr>
        <w:t xml:space="preserve">la negativa de acceso a la información </w:t>
      </w:r>
      <w:r w:rsidRPr="00792306">
        <w:rPr>
          <w:rFonts w:ascii="Palatino Linotype" w:eastAsia="Palatino Linotype" w:hAnsi="Palatino Linotype" w:cs="Palatino Linotype"/>
        </w:rPr>
        <w:t xml:space="preserve">ocurre cuando de manera fundada y motivada, una autoridad la niega o la limita, por alguna de las siguientes razones: </w:t>
      </w:r>
    </w:p>
    <w:p w14:paraId="7A6BD323" w14:textId="77777777" w:rsidR="00526623" w:rsidRPr="00792306" w:rsidRDefault="00BF0235">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b/>
        </w:rPr>
        <w:t xml:space="preserve">La inexistencia de la información (p. 171): </w:t>
      </w:r>
      <w:r w:rsidRPr="00792306">
        <w:rPr>
          <w:rFonts w:ascii="Palatino Linotype" w:eastAsia="Palatino Linotype" w:hAnsi="Palatino Linotype" w:cs="Palatino Linotype"/>
        </w:rPr>
        <w:t>Sucede cuando la información solicitada no se encuentra en los archivos públicos o clasificados de los entes sujetos a las Leyes de Transparencia.</w:t>
      </w:r>
    </w:p>
    <w:p w14:paraId="158FCD92" w14:textId="77777777" w:rsidR="00526623" w:rsidRPr="00792306" w:rsidRDefault="00BF0235">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b/>
        </w:rPr>
        <w:t xml:space="preserve">La incompetencia del Sujeto Obligado (p. 171): </w:t>
      </w:r>
      <w:r w:rsidRPr="00792306">
        <w:rPr>
          <w:rFonts w:ascii="Palatino Linotype" w:eastAsia="Palatino Linotype" w:hAnsi="Palatino Linotype" w:cs="Palatino Linotype"/>
        </w:rPr>
        <w:t>Ocurre cuando el Sujeto Obligado carece de atribuciones para poseer la información peticionada.</w:t>
      </w:r>
    </w:p>
    <w:p w14:paraId="48CE0439" w14:textId="77777777" w:rsidR="00526623" w:rsidRPr="00792306" w:rsidRDefault="00BF0235">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b/>
        </w:rPr>
        <w:t xml:space="preserve">La clasificación de la información (p. 70): </w:t>
      </w:r>
      <w:r w:rsidRPr="00792306">
        <w:rPr>
          <w:rFonts w:ascii="Palatino Linotype" w:eastAsia="Palatino Linotype" w:hAnsi="Palatino Linotype" w:cs="Palatino Linotype"/>
        </w:rPr>
        <w:t xml:space="preserve">Es el proceso o conjunto de acciones que realizan los sujetos obligados para establecer que determinada </w:t>
      </w:r>
      <w:r w:rsidRPr="00792306">
        <w:rPr>
          <w:rFonts w:ascii="Palatino Linotype" w:eastAsia="Palatino Linotype" w:hAnsi="Palatino Linotype" w:cs="Palatino Linotype"/>
        </w:rPr>
        <w:lastRenderedPageBreak/>
        <w:t>información se encuentra en alguno de los supuestos de reserva o confidencialidad establecidos en la legislación en materia de transparencia.</w:t>
      </w:r>
    </w:p>
    <w:p w14:paraId="2284E2AA" w14:textId="77777777" w:rsidR="00526623" w:rsidRPr="00792306" w:rsidRDefault="00BF0235">
      <w:pPr>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rPr>
        <w:t xml:space="preserve">En ese orden de ideas y en atención a lo anterior, es de señalar que las excepciones al derecho de acceso a la información, consisten en que la documentación sea inexistente, </w:t>
      </w:r>
      <w:r w:rsidRPr="00792306">
        <w:rPr>
          <w:rFonts w:ascii="Palatino Linotype" w:eastAsia="Palatino Linotype" w:hAnsi="Palatino Linotype" w:cs="Palatino Linotype"/>
          <w:b/>
        </w:rPr>
        <w:t>se encuentre clasificada</w:t>
      </w:r>
      <w:r w:rsidRPr="00792306">
        <w:rPr>
          <w:rFonts w:ascii="Palatino Linotype" w:eastAsia="Palatino Linotype" w:hAnsi="Palatino Linotype" w:cs="Palatino Linotype"/>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792306">
        <w:rPr>
          <w:rFonts w:ascii="Palatino Linotype" w:eastAsia="Palatino Linotype" w:hAnsi="Palatino Linotype" w:cs="Palatino Linotype"/>
          <w:b/>
        </w:rPr>
        <w:t>confidenciales o reservados.</w:t>
      </w:r>
    </w:p>
    <w:p w14:paraId="5EF85312"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Así, en los artículos 122, 128 y 130 de la Ley Transparencia y Acceso a la Información Pública del Estado de México y Municipios, se prevé que </w:t>
      </w:r>
      <w:r w:rsidRPr="00792306">
        <w:rPr>
          <w:rFonts w:ascii="Palatino Linotype" w:eastAsia="Palatino Linotype" w:hAnsi="Palatino Linotype" w:cs="Palatino Linotype"/>
          <w:b/>
        </w:rPr>
        <w:t xml:space="preserve">la clasificación </w:t>
      </w:r>
      <w:r w:rsidRPr="00792306">
        <w:rPr>
          <w:rFonts w:ascii="Palatino Linotype" w:eastAsia="Palatino Linotype" w:hAnsi="Palatino Linotype" w:cs="Palatino Linotype"/>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7797C608"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Por lo cual, en los casos en que se niegue el acceso a la información, por actualizarse alguno de los supuestos de clasificación, </w:t>
      </w:r>
      <w:r w:rsidRPr="00792306">
        <w:rPr>
          <w:rFonts w:ascii="Palatino Linotype" w:eastAsia="Palatino Linotype" w:hAnsi="Palatino Linotype" w:cs="Palatino Linotype"/>
          <w:b/>
        </w:rPr>
        <w:t xml:space="preserve">el Comité de Transparencia deberá confirmar, modificar o revocar la decisión; </w:t>
      </w:r>
      <w:r w:rsidRPr="00792306">
        <w:rPr>
          <w:rFonts w:ascii="Palatino Linotype" w:eastAsia="Palatino Linotype" w:hAnsi="Palatino Linotype" w:cs="Palatino Linotype"/>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149521B6" w14:textId="77777777" w:rsidR="00526623" w:rsidRPr="00792306" w:rsidRDefault="00BF0235">
      <w:pPr>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rPr>
        <w:lastRenderedPageBreak/>
        <w:t xml:space="preserve">Por su parte, según Bonifaz, Leticia (2016), en la “Ley General de Transparencia y Acceso a la Información Pública Comentada” (p. 342), la </w:t>
      </w:r>
      <w:r w:rsidRPr="00792306">
        <w:rPr>
          <w:rFonts w:ascii="Palatino Linotype" w:eastAsia="Palatino Linotype" w:hAnsi="Palatino Linotype" w:cs="Palatino Linotype"/>
          <w:b/>
        </w:rPr>
        <w:t>clasificación de la información</w:t>
      </w:r>
      <w:r w:rsidRPr="00792306">
        <w:rPr>
          <w:rFonts w:ascii="Palatino Linotype" w:eastAsia="Palatino Linotype" w:hAnsi="Palatino Linotype" w:cs="Palatino Linotype"/>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792306">
        <w:rPr>
          <w:rFonts w:ascii="Palatino Linotype" w:eastAsia="Palatino Linotype" w:hAnsi="Palatino Linotype" w:cs="Palatino Linotype"/>
          <w:b/>
        </w:rPr>
        <w:t>de manera adecuada la negativa de información.</w:t>
      </w:r>
    </w:p>
    <w:p w14:paraId="383AFFE3"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Conforme a lo anterior, se negó el acceso a la información peticionada por 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al considerar que estaba clasificada; tan es así, que mediante Resolución: RES/18/INFOEM/ORD/COMT/23°/2024 emitida por Comité de Transparencia, celebrada el tres de diciembre de dos mil veinticuatro, donde confirmó la clasificación como confidencial  de la información concerniente al nombre de las personas a quienes se vendieron los bienes, tal como se aprecia en el resolutivo SEGUNDO de la referida resolución, a saber: </w:t>
      </w:r>
    </w:p>
    <w:p w14:paraId="4A7766DB" w14:textId="77777777" w:rsidR="00526623" w:rsidRPr="00792306" w:rsidRDefault="00BF0235">
      <w:pPr>
        <w:spacing w:before="240" w:after="240" w:line="360" w:lineRule="auto"/>
        <w:ind w:left="851"/>
        <w:jc w:val="both"/>
        <w:rPr>
          <w:rFonts w:ascii="Palatino Linotype" w:eastAsia="Palatino Linotype" w:hAnsi="Palatino Linotype" w:cs="Palatino Linotype"/>
        </w:rPr>
      </w:pPr>
      <w:r w:rsidRPr="00792306">
        <w:rPr>
          <w:rFonts w:ascii="Palatino Linotype" w:eastAsia="Palatino Linotype" w:hAnsi="Palatino Linotype" w:cs="Palatino Linotype"/>
          <w:noProof/>
        </w:rPr>
        <w:lastRenderedPageBreak/>
        <w:drawing>
          <wp:inline distT="0" distB="0" distL="0" distR="0" wp14:anchorId="004FF4EC" wp14:editId="1673B6F0">
            <wp:extent cx="4619625" cy="298767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619625" cy="2987675"/>
                    </a:xfrm>
                    <a:prstGeom prst="rect">
                      <a:avLst/>
                    </a:prstGeom>
                    <a:ln/>
                  </pic:spPr>
                </pic:pic>
              </a:graphicData>
            </a:graphic>
          </wp:inline>
        </w:drawing>
      </w:r>
    </w:p>
    <w:p w14:paraId="61B1ACA8" w14:textId="77777777" w:rsidR="00526623" w:rsidRPr="00792306" w:rsidRDefault="00BF0235">
      <w:pPr>
        <w:spacing w:before="240" w:after="240"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rP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792306">
        <w:rPr>
          <w:rFonts w:ascii="Palatino Linotype" w:eastAsia="Palatino Linotype" w:hAnsi="Palatino Linotype" w:cs="Palatino Linotype"/>
          <w:b/>
        </w:rPr>
        <w:t>análisis caso por caso.</w:t>
      </w:r>
    </w:p>
    <w:p w14:paraId="7839A5B5"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Además, el artículo 131 de la Ley referida, así como el Quinto de los Lineamientos Generales, establecen que los sujetos obligados </w:t>
      </w:r>
      <w:r w:rsidRPr="00792306">
        <w:rPr>
          <w:rFonts w:ascii="Palatino Linotype" w:eastAsia="Palatino Linotype" w:hAnsi="Palatino Linotype" w:cs="Palatino Linotype"/>
          <w:b/>
        </w:rPr>
        <w:t>deberán fundar y motivar</w:t>
      </w:r>
      <w:r w:rsidRPr="00792306">
        <w:rPr>
          <w:rFonts w:ascii="Palatino Linotype" w:eastAsia="Palatino Linotype" w:hAnsi="Palatino Linotype" w:cs="Palatino Linotype"/>
        </w:rPr>
        <w:t xml:space="preserve"> debidamente la clasificación de la información.</w:t>
      </w:r>
    </w:p>
    <w:p w14:paraId="56971A8C"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Al respecto, el Octavo de los Lineamientos Generales, precisa lo siguiente:</w:t>
      </w:r>
    </w:p>
    <w:p w14:paraId="7DE24832" w14:textId="77777777" w:rsidR="00526623" w:rsidRPr="00792306" w:rsidRDefault="00BF0235">
      <w:pPr>
        <w:numPr>
          <w:ilvl w:val="0"/>
          <w:numId w:val="3"/>
        </w:numPr>
        <w:tabs>
          <w:tab w:val="left" w:pos="567"/>
        </w:tabs>
        <w:spacing w:before="240" w:after="240" w:line="360" w:lineRule="auto"/>
        <w:ind w:left="284" w:firstLine="0"/>
        <w:jc w:val="both"/>
        <w:rPr>
          <w:rFonts w:ascii="Palatino Linotype" w:eastAsia="Palatino Linotype" w:hAnsi="Palatino Linotype" w:cs="Palatino Linotype"/>
        </w:rPr>
      </w:pPr>
      <w:r w:rsidRPr="00792306">
        <w:rPr>
          <w:rFonts w:ascii="Palatino Linotype" w:eastAsia="Palatino Linotype" w:hAnsi="Palatino Linotype" w:cs="Palatino Linotype"/>
          <w:b/>
        </w:rPr>
        <w:lastRenderedPageBreak/>
        <w:t>Para fundar la clasificación</w:t>
      </w:r>
      <w:r w:rsidRPr="00792306">
        <w:rPr>
          <w:rFonts w:ascii="Palatino Linotype" w:eastAsia="Palatino Linotype" w:hAnsi="Palatino Linotype" w:cs="Palatino Linotype"/>
        </w:rPr>
        <w:t xml:space="preserve"> de la información se deberán señalar el artículo, fracción, inciso, párrafo o numeral de la Ley aplicable;</w:t>
      </w:r>
    </w:p>
    <w:p w14:paraId="6CF8901C" w14:textId="77777777" w:rsidR="00526623" w:rsidRPr="00792306" w:rsidRDefault="00BF0235">
      <w:pPr>
        <w:numPr>
          <w:ilvl w:val="0"/>
          <w:numId w:val="3"/>
        </w:numPr>
        <w:tabs>
          <w:tab w:val="left" w:pos="567"/>
        </w:tabs>
        <w:spacing w:before="240" w:after="240" w:line="360" w:lineRule="auto"/>
        <w:ind w:left="284" w:firstLine="0"/>
        <w:jc w:val="both"/>
        <w:rPr>
          <w:rFonts w:ascii="Palatino Linotype" w:eastAsia="Palatino Linotype" w:hAnsi="Palatino Linotype" w:cs="Palatino Linotype"/>
        </w:rPr>
      </w:pPr>
      <w:r w:rsidRPr="00792306">
        <w:rPr>
          <w:rFonts w:ascii="Palatino Linotype" w:eastAsia="Palatino Linotype" w:hAnsi="Palatino Linotype" w:cs="Palatino Linotype"/>
          <w:b/>
        </w:rPr>
        <w:t>Para motivar la clasificación</w:t>
      </w:r>
      <w:r w:rsidRPr="00792306">
        <w:rPr>
          <w:rFonts w:ascii="Palatino Linotype" w:eastAsia="Palatino Linotype" w:hAnsi="Palatino Linotype" w:cs="Palatino Linotype"/>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16BD7C62"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7E5978F7"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 xml:space="preserve">“FUNDAMENTACION Y MOTIVACION, CONCEPTO DE. </w:t>
      </w:r>
      <w:r w:rsidRPr="00792306">
        <w:rPr>
          <w:rFonts w:ascii="Palatino Linotype" w:eastAsia="Palatino Linotype" w:hAnsi="Palatino Linotype" w:cs="Palatino Linotype"/>
          <w:i/>
          <w:sz w:val="22"/>
          <w:szCs w:val="22"/>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498292DE"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lastRenderedPageBreak/>
        <w:t>Conforme a lo anterior, se advierte lo siguiente:</w:t>
      </w:r>
    </w:p>
    <w:p w14:paraId="3149214C" w14:textId="77777777" w:rsidR="00526623" w:rsidRPr="00792306" w:rsidRDefault="00BF0235">
      <w:pPr>
        <w:numPr>
          <w:ilvl w:val="0"/>
          <w:numId w:val="4"/>
        </w:numPr>
        <w:tabs>
          <w:tab w:val="left" w:pos="709"/>
        </w:tabs>
        <w:spacing w:before="240" w:after="240" w:line="360" w:lineRule="auto"/>
        <w:ind w:left="284" w:firstLine="0"/>
        <w:jc w:val="both"/>
        <w:rPr>
          <w:rFonts w:ascii="Palatino Linotype" w:eastAsia="Palatino Linotype" w:hAnsi="Palatino Linotype" w:cs="Palatino Linotype"/>
          <w:b/>
        </w:rPr>
      </w:pPr>
      <w:r w:rsidRPr="00792306">
        <w:rPr>
          <w:rFonts w:ascii="Palatino Linotype" w:eastAsia="Palatino Linotype" w:hAnsi="Palatino Linotype" w:cs="Palatino Linotype"/>
          <w:b/>
        </w:rPr>
        <w:t xml:space="preserve">Fundamentación: </w:t>
      </w:r>
      <w:r w:rsidRPr="00792306">
        <w:rPr>
          <w:rFonts w:ascii="Palatino Linotype" w:eastAsia="Palatino Linotype" w:hAnsi="Palatino Linotype" w:cs="Palatino Linotype"/>
        </w:rPr>
        <w:t>Obligación de la autoridad que emite un acto, para citar los preceptos legales, sustantivos y adjetivos, en que se apoye para la determinación tomada.</w:t>
      </w:r>
    </w:p>
    <w:p w14:paraId="5D8F217F" w14:textId="77777777" w:rsidR="00526623" w:rsidRPr="00792306" w:rsidRDefault="00BF0235">
      <w:pPr>
        <w:numPr>
          <w:ilvl w:val="0"/>
          <w:numId w:val="4"/>
        </w:numPr>
        <w:tabs>
          <w:tab w:val="left" w:pos="709"/>
        </w:tabs>
        <w:spacing w:before="240" w:after="240" w:line="360" w:lineRule="auto"/>
        <w:ind w:left="284" w:firstLine="0"/>
        <w:jc w:val="both"/>
        <w:rPr>
          <w:rFonts w:ascii="Palatino Linotype" w:eastAsia="Palatino Linotype" w:hAnsi="Palatino Linotype" w:cs="Palatino Linotype"/>
          <w:b/>
        </w:rPr>
      </w:pPr>
      <w:r w:rsidRPr="00792306">
        <w:rPr>
          <w:rFonts w:ascii="Palatino Linotype" w:eastAsia="Palatino Linotype" w:hAnsi="Palatino Linotype" w:cs="Palatino Linotype"/>
          <w:b/>
        </w:rPr>
        <w:t xml:space="preserve">Motivación: </w:t>
      </w:r>
      <w:r w:rsidRPr="00792306">
        <w:rPr>
          <w:rFonts w:ascii="Palatino Linotype" w:eastAsia="Palatino Linotype" w:hAnsi="Palatino Linotype" w:cs="Palatino Linotype"/>
        </w:rPr>
        <w:t>Razonamientos lógico-jurídicos sobre porque se consideró en el caso en concreto, que se ajusta a la hipótesis normativa.</w:t>
      </w:r>
    </w:p>
    <w:p w14:paraId="5704EA83" w14:textId="77777777" w:rsidR="00526623" w:rsidRPr="00792306" w:rsidRDefault="00BF0235">
      <w:pPr>
        <w:tabs>
          <w:tab w:val="left" w:pos="2835"/>
        </w:tabs>
        <w:spacing w:before="120" w:after="12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este sentido, respecto al nombre de las personas a quienes se vendieron los bienes, determinó que se considera su confidencialidad bajo la premisa de que la adquisición que realizaron lo fue mediante recursos económicos propios, circunstancia que deja patente de un bien adquirido desde una posición de la vida privada de la persona y como una decisión de índole patrimonial que en determinado momento llevaron a cabo. </w:t>
      </w:r>
    </w:p>
    <w:p w14:paraId="72A59A93" w14:textId="77777777" w:rsidR="00526623" w:rsidRPr="00792306" w:rsidRDefault="00BF0235">
      <w:pPr>
        <w:tabs>
          <w:tab w:val="left" w:pos="2835"/>
        </w:tabs>
        <w:spacing w:before="120" w:after="12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Por lo anterior, es importante precisar que si bien, los bienes se adquirieron con recursos económicos propios; también lo es, que el costo aprobado para el procedimiento de adjudicación fue únicamente del 15% del valor del avaluó, </w:t>
      </w:r>
      <w:r w:rsidRPr="00792306">
        <w:rPr>
          <w:rFonts w:ascii="Palatino Linotype" w:eastAsia="Palatino Linotype" w:hAnsi="Palatino Linotype" w:cs="Palatino Linotype"/>
          <w:b/>
          <w:u w:val="single"/>
        </w:rPr>
        <w:t>para el personal del Instituto</w:t>
      </w:r>
      <w:r w:rsidRPr="00792306">
        <w:rPr>
          <w:rFonts w:ascii="Palatino Linotype" w:eastAsia="Palatino Linotype" w:hAnsi="Palatino Linotype" w:cs="Palatino Linotype"/>
        </w:rPr>
        <w:t xml:space="preserve"> ($33,000.00) y del 50% del valor del avaluó para el </w:t>
      </w:r>
      <w:r w:rsidRPr="00792306">
        <w:rPr>
          <w:rFonts w:ascii="Palatino Linotype" w:eastAsia="Palatino Linotype" w:hAnsi="Palatino Linotype" w:cs="Palatino Linotype"/>
          <w:b/>
          <w:u w:val="single"/>
        </w:rPr>
        <w:t>personal externo</w:t>
      </w:r>
      <w:r w:rsidRPr="00792306">
        <w:rPr>
          <w:rFonts w:ascii="Palatino Linotype" w:eastAsia="Palatino Linotype" w:hAnsi="Palatino Linotype" w:cs="Palatino Linotype"/>
        </w:rPr>
        <w:t xml:space="preserve"> ($110,000.00); es decir que, al no ser cubierto el total del valor del avaluó del vehículo, además de implicar un detrimento al patrimonio del Instituto, los postores a los que se adjudicaron los vehículos resultaron beneficiados. </w:t>
      </w:r>
    </w:p>
    <w:p w14:paraId="5627E453" w14:textId="77777777" w:rsidR="00526623" w:rsidRPr="00792306" w:rsidRDefault="00526623">
      <w:pPr>
        <w:tabs>
          <w:tab w:val="left" w:pos="2835"/>
        </w:tabs>
        <w:spacing w:before="120" w:after="120" w:line="360" w:lineRule="auto"/>
        <w:ind w:right="49"/>
        <w:jc w:val="both"/>
        <w:rPr>
          <w:rFonts w:ascii="Palatino Linotype" w:eastAsia="Palatino Linotype" w:hAnsi="Palatino Linotype" w:cs="Palatino Linotype"/>
        </w:rPr>
      </w:pPr>
    </w:p>
    <w:p w14:paraId="536F25C8" w14:textId="77777777" w:rsidR="00526623" w:rsidRPr="00792306" w:rsidRDefault="00BF0235">
      <w:pPr>
        <w:tabs>
          <w:tab w:val="left" w:pos="2835"/>
        </w:tabs>
        <w:spacing w:before="120" w:after="12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rPr>
        <w:lastRenderedPageBreak/>
        <w:t xml:space="preserve">Ahora bien, tomando como referencia las posturas presentadas, el fallo y de las fichas de depósito remitidas en respuesta se advierte que los cuatro vehículos se adjudicaron con un costo del 15%  del avaluó, tal como se  advierte en la siguiente imagen: </w:t>
      </w:r>
    </w:p>
    <w:p w14:paraId="6A095D7E" w14:textId="77777777" w:rsidR="00526623" w:rsidRPr="00792306" w:rsidRDefault="00BF0235">
      <w:pPr>
        <w:tabs>
          <w:tab w:val="left" w:pos="2835"/>
        </w:tabs>
        <w:spacing w:before="120" w:after="12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noProof/>
        </w:rPr>
        <w:drawing>
          <wp:inline distT="0" distB="0" distL="0" distR="0" wp14:anchorId="703DC750" wp14:editId="0D144421">
            <wp:extent cx="5612130" cy="390588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3905885"/>
                    </a:xfrm>
                    <a:prstGeom prst="rect">
                      <a:avLst/>
                    </a:prstGeom>
                    <a:ln/>
                  </pic:spPr>
                </pic:pic>
              </a:graphicData>
            </a:graphic>
          </wp:inline>
        </w:drawing>
      </w:r>
    </w:p>
    <w:p w14:paraId="0454A3F0" w14:textId="77777777" w:rsidR="00526623" w:rsidRPr="00792306" w:rsidRDefault="00BF0235">
      <w:pPr>
        <w:tabs>
          <w:tab w:val="left" w:pos="2835"/>
        </w:tabs>
        <w:spacing w:before="120" w:after="12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este sentido, es oportuno reiterar que el motivo de inconformidad de 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 xml:space="preserve">derivó de la clasificación del nombre de la persona a la que se adjudicaron los vehículos, información que a su consideración es de carácter público. </w:t>
      </w:r>
    </w:p>
    <w:p w14:paraId="3E21D6A6" w14:textId="77777777" w:rsidR="00526623" w:rsidRPr="00792306" w:rsidRDefault="00BF0235">
      <w:pPr>
        <w:spacing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rPr>
        <w:lastRenderedPageBreak/>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792306">
        <w:rPr>
          <w:rFonts w:ascii="Palatino Linotype" w:eastAsia="Palatino Linotype" w:hAnsi="Palatino Linotype" w:cs="Palatino Linotype"/>
          <w:i/>
        </w:rPr>
        <w:t>per se</w:t>
      </w:r>
      <w:r w:rsidRPr="00792306">
        <w:rPr>
          <w:rFonts w:ascii="Palatino Linotype" w:eastAsia="Palatino Linotype" w:hAnsi="Palatino Linotype" w:cs="Palatino Linotype"/>
        </w:rPr>
        <w:t xml:space="preserve"> es un elemento que hace a una persona física identificada o identificable, por lo que, </w:t>
      </w:r>
      <w:r w:rsidRPr="00792306">
        <w:rPr>
          <w:rFonts w:ascii="Palatino Linotype" w:eastAsia="Palatino Linotype" w:hAnsi="Palatino Linotype" w:cs="Palatino Linotype"/>
          <w:b/>
        </w:rPr>
        <w:t>se considera un dato personal.</w:t>
      </w:r>
    </w:p>
    <w:p w14:paraId="33347B71" w14:textId="77777777" w:rsidR="00526623" w:rsidRPr="00792306" w:rsidRDefault="00526623">
      <w:pPr>
        <w:spacing w:line="360" w:lineRule="auto"/>
        <w:jc w:val="both"/>
        <w:rPr>
          <w:rFonts w:ascii="Palatino Linotype" w:eastAsia="Palatino Linotype" w:hAnsi="Palatino Linotype" w:cs="Palatino Linotype"/>
        </w:rPr>
      </w:pPr>
    </w:p>
    <w:p w14:paraId="7F706F6B"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Ante tales circunstancias, se desprende que, en el caso concreto, sobreviene una </w:t>
      </w:r>
      <w:r w:rsidRPr="00792306">
        <w:rPr>
          <w:rFonts w:ascii="Palatino Linotype" w:eastAsia="Palatino Linotype" w:hAnsi="Palatino Linotype" w:cs="Palatino Linotype"/>
          <w:b/>
        </w:rPr>
        <w:t>colisión de derechos fundamentales,</w:t>
      </w:r>
      <w:r w:rsidRPr="00792306">
        <w:rPr>
          <w:rFonts w:ascii="Palatino Linotype" w:eastAsia="Palatino Linotype" w:hAnsi="Palatino Linotype" w:cs="Palatino Linotype"/>
        </w:rPr>
        <w:t xml:space="preserve"> esto es, por una parte, se tiene el derecho de acceso a la información de 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para conocer el nombre de las personas a las cuales se adjudicaron los vehículos, y por la otra, el derecho a la protección de los nombres de aquellas que obtuvieron los vehículos una vez determinado el costo, lo cual implica dar a conocer datos personales confidenciales consistentes, en el nombre de personas físicas y este vincularlo con los bienes muebles propiedad del Sujeto Obligado cuya enajenación fue mediante el procedimiento de adjudicación directa.</w:t>
      </w:r>
    </w:p>
    <w:p w14:paraId="176F661E" w14:textId="77777777" w:rsidR="00526623" w:rsidRPr="00792306" w:rsidRDefault="00526623">
      <w:pPr>
        <w:spacing w:line="360" w:lineRule="auto"/>
        <w:jc w:val="both"/>
        <w:rPr>
          <w:rFonts w:ascii="Palatino Linotype" w:eastAsia="Palatino Linotype" w:hAnsi="Palatino Linotype" w:cs="Palatino Linotype"/>
        </w:rPr>
      </w:pPr>
    </w:p>
    <w:p w14:paraId="27AD4552"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3D492C03" w14:textId="77777777" w:rsidR="00526623" w:rsidRPr="00792306" w:rsidRDefault="00526623">
      <w:pPr>
        <w:spacing w:line="360" w:lineRule="auto"/>
        <w:jc w:val="both"/>
        <w:rPr>
          <w:rFonts w:ascii="Palatino Linotype" w:eastAsia="Palatino Linotype" w:hAnsi="Palatino Linotype" w:cs="Palatino Linotype"/>
        </w:rPr>
      </w:pPr>
    </w:p>
    <w:p w14:paraId="3B2A4509"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Por cuanto hace a la colisión entre el derecho a la información y el derecho a la intimidad o a la vida privada, el Poder Judicial de la Federación ha sostenido la </w:t>
      </w:r>
      <w:r w:rsidRPr="00792306">
        <w:rPr>
          <w:rFonts w:ascii="Palatino Linotype" w:eastAsia="Palatino Linotype" w:hAnsi="Palatino Linotype" w:cs="Palatino Linotype"/>
          <w:b/>
        </w:rPr>
        <w:t xml:space="preserve">necesidad de resolver el conflicto apuntado mediante el ejercicio de ponderación; además, que el interés público que tenga cierta información, será concepto legitimador de las intromisiones en la intimidad o la vida privada, </w:t>
      </w:r>
      <w:r w:rsidRPr="00792306">
        <w:rPr>
          <w:rFonts w:ascii="Palatino Linotype" w:eastAsia="Palatino Linotype" w:hAnsi="Palatino Linotype" w:cs="Palatino Linotype"/>
          <w:b/>
          <w:u w:val="single"/>
        </w:rPr>
        <w:t>en donde este derecho debe ceder a favor del derecho a comunicar y recibir información, atendiendo a las circunstancias de cada caso en concreto</w:t>
      </w:r>
      <w:r w:rsidRPr="00792306">
        <w:rPr>
          <w:rFonts w:ascii="Palatino Linotype" w:eastAsia="Palatino Linotype" w:hAnsi="Palatino Linotype" w:cs="Palatino Linotype"/>
          <w:b/>
        </w:rPr>
        <w:t xml:space="preserve">, </w:t>
      </w:r>
      <w:r w:rsidRPr="00792306">
        <w:rPr>
          <w:rFonts w:ascii="Palatino Linotype" w:eastAsia="Palatino Linotype" w:hAnsi="Palatino Linotype" w:cs="Palatino Linotype"/>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5FA72ADB" w14:textId="77777777" w:rsidR="00526623" w:rsidRPr="00792306" w:rsidRDefault="00526623">
      <w:pPr>
        <w:spacing w:line="360" w:lineRule="auto"/>
        <w:jc w:val="both"/>
        <w:rPr>
          <w:rFonts w:ascii="Palatino Linotype" w:eastAsia="Palatino Linotype" w:hAnsi="Palatino Linotype" w:cs="Palatino Linotype"/>
        </w:rPr>
      </w:pPr>
    </w:p>
    <w:p w14:paraId="2B24036E"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ese mismo sentido y atendiendo a la naturaleza del derecho a la protección de datos personales, por analogía, este debe ceder cuando exista un interés público mayor de acuerdo a las circunstancias del caso. </w:t>
      </w:r>
    </w:p>
    <w:p w14:paraId="1FA44DB5" w14:textId="77777777" w:rsidR="00526623" w:rsidRPr="00792306" w:rsidRDefault="00526623">
      <w:pPr>
        <w:spacing w:line="360" w:lineRule="auto"/>
        <w:jc w:val="both"/>
        <w:rPr>
          <w:rFonts w:ascii="Palatino Linotype" w:eastAsia="Palatino Linotype" w:hAnsi="Palatino Linotype" w:cs="Palatino Linotype"/>
        </w:rPr>
      </w:pPr>
    </w:p>
    <w:p w14:paraId="7D45DBD0"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w:t>
      </w:r>
    </w:p>
    <w:p w14:paraId="7C0EAA34" w14:textId="77777777" w:rsidR="00526623" w:rsidRPr="00792306" w:rsidRDefault="00526623">
      <w:pPr>
        <w:spacing w:line="360" w:lineRule="auto"/>
        <w:jc w:val="both"/>
        <w:rPr>
          <w:rFonts w:ascii="Palatino Linotype" w:eastAsia="Palatino Linotype" w:hAnsi="Palatino Linotype" w:cs="Palatino Linotype"/>
        </w:rPr>
      </w:pPr>
    </w:p>
    <w:p w14:paraId="59A47F9B" w14:textId="77777777" w:rsidR="00526623" w:rsidRPr="00792306" w:rsidRDefault="00BF0235">
      <w:pPr>
        <w:spacing w:line="276" w:lineRule="auto"/>
        <w:ind w:left="851" w:right="567"/>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lastRenderedPageBreak/>
        <w:t>“Artículo 184</w:t>
      </w:r>
      <w:r w:rsidRPr="00792306">
        <w:rPr>
          <w:rFonts w:ascii="Palatino Linotype" w:eastAsia="Palatino Linotype" w:hAnsi="Palatino Linotype" w:cs="Palatino Linotype"/>
          <w:i/>
          <w:sz w:val="22"/>
          <w:szCs w:val="22"/>
        </w:rPr>
        <w:t xml:space="preserve">. El Instituto, al resolver el recurso de revisión y tratándose de información clasificada como confidencial, deberá aplicar una prueba de interés público con base en elementos de idoneidad, necesidad y proporcionalidad, cuando exista una colisión de derechos. </w:t>
      </w:r>
    </w:p>
    <w:p w14:paraId="16C03ABF" w14:textId="77777777" w:rsidR="00526623" w:rsidRPr="00792306" w:rsidRDefault="00BF0235">
      <w:pPr>
        <w:spacing w:line="276" w:lineRule="auto"/>
        <w:ind w:left="851" w:right="567"/>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Para estos efectos, se entenderá por: </w:t>
      </w:r>
    </w:p>
    <w:p w14:paraId="679A7844" w14:textId="77777777" w:rsidR="00526623" w:rsidRPr="00792306" w:rsidRDefault="00BF0235">
      <w:pPr>
        <w:spacing w:line="276" w:lineRule="auto"/>
        <w:ind w:left="851" w:right="567"/>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 Idoneidad</w:t>
      </w:r>
      <w:r w:rsidRPr="00792306">
        <w:rPr>
          <w:rFonts w:ascii="Palatino Linotype" w:eastAsia="Palatino Linotype" w:hAnsi="Palatino Linotype" w:cs="Palatino Linotype"/>
          <w:i/>
          <w:sz w:val="22"/>
          <w:szCs w:val="22"/>
        </w:rPr>
        <w:t xml:space="preserve">: La legitimidad del derecho adoptado como preferente, que sea el adecuado para el logro de un fin constitucionalmente válido o apto para conseguir el fin pretendido; </w:t>
      </w:r>
    </w:p>
    <w:p w14:paraId="2C04C277" w14:textId="77777777" w:rsidR="00526623" w:rsidRPr="00792306" w:rsidRDefault="00BF0235">
      <w:pPr>
        <w:spacing w:line="276" w:lineRule="auto"/>
        <w:ind w:left="851" w:right="567"/>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 Necesidad:</w:t>
      </w:r>
      <w:r w:rsidRPr="00792306">
        <w:rPr>
          <w:rFonts w:ascii="Palatino Linotype" w:eastAsia="Palatino Linotype" w:hAnsi="Palatino Linotype" w:cs="Palatino Linotype"/>
          <w:i/>
          <w:sz w:val="22"/>
          <w:szCs w:val="22"/>
        </w:rPr>
        <w:t xml:space="preserve"> La falta de un medio alternativo menos lesivo a la apertura de la información para satisfacer el interés público; y </w:t>
      </w:r>
    </w:p>
    <w:p w14:paraId="4DA50913" w14:textId="77777777" w:rsidR="00526623" w:rsidRPr="00792306" w:rsidRDefault="00BF0235">
      <w:pPr>
        <w:spacing w:line="276" w:lineRule="auto"/>
        <w:ind w:left="851" w:right="567"/>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III. Proporcionalidad:</w:t>
      </w:r>
      <w:r w:rsidRPr="00792306">
        <w:rPr>
          <w:rFonts w:ascii="Palatino Linotype" w:eastAsia="Palatino Linotype" w:hAnsi="Palatino Linotype" w:cs="Palatino Linotype"/>
          <w:i/>
          <w:sz w:val="22"/>
          <w:szCs w:val="22"/>
        </w:rPr>
        <w:t xml:space="preserve"> El equilibrio entre el perjuicio y beneficio a favor del interés público, a fin de que la decisión tomada represente un beneficio mayor al perjuicio que podría causar a la población.”</w:t>
      </w:r>
    </w:p>
    <w:p w14:paraId="4F5A006F" w14:textId="77777777" w:rsidR="00526623" w:rsidRPr="00792306" w:rsidRDefault="00526623">
      <w:pPr>
        <w:spacing w:line="360" w:lineRule="auto"/>
        <w:jc w:val="both"/>
        <w:rPr>
          <w:rFonts w:ascii="Palatino Linotype" w:eastAsia="Palatino Linotype" w:hAnsi="Palatino Linotype" w:cs="Palatino Linotype"/>
        </w:rPr>
      </w:pPr>
    </w:p>
    <w:p w14:paraId="4ACF76B1"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En ese orden de ideas, resulta procedente analizar cada uno de los elementos referidos, bajo las consideraciones que se verterán a continuación.</w:t>
      </w:r>
    </w:p>
    <w:p w14:paraId="14095260" w14:textId="77777777" w:rsidR="00526623" w:rsidRPr="00792306" w:rsidRDefault="00526623">
      <w:pPr>
        <w:spacing w:line="360" w:lineRule="auto"/>
        <w:jc w:val="both"/>
        <w:rPr>
          <w:rFonts w:ascii="Palatino Linotype" w:eastAsia="Palatino Linotype" w:hAnsi="Palatino Linotype" w:cs="Palatino Linotype"/>
        </w:rPr>
      </w:pPr>
    </w:p>
    <w:p w14:paraId="44A9D9D5" w14:textId="77777777" w:rsidR="00526623" w:rsidRPr="00792306" w:rsidRDefault="00BF0235">
      <w:pPr>
        <w:spacing w:line="360" w:lineRule="auto"/>
        <w:jc w:val="both"/>
        <w:rPr>
          <w:rFonts w:ascii="Palatino Linotype" w:eastAsia="Palatino Linotype" w:hAnsi="Palatino Linotype" w:cs="Palatino Linotype"/>
          <w:b/>
        </w:rPr>
      </w:pPr>
      <w:r w:rsidRPr="00792306">
        <w:rPr>
          <w:rFonts w:ascii="Palatino Linotype" w:eastAsia="Palatino Linotype" w:hAnsi="Palatino Linotype" w:cs="Palatino Linotype"/>
          <w:b/>
        </w:rPr>
        <w:t>a) Idoneidad</w:t>
      </w:r>
      <w:r w:rsidRPr="00792306">
        <w:rPr>
          <w:rFonts w:ascii="Palatino Linotype" w:eastAsia="Palatino Linotype" w:hAnsi="Palatino Linotype" w:cs="Palatino Linotype"/>
        </w:rPr>
        <w:t>. En cuanto al primer elemento de ponderación, se debe elegir el principio que será adoptado como preferente, buscando su justificación a partir de la valoración adecuada para satisfacer el fin constitucionalmente válido o pretendido.</w:t>
      </w:r>
    </w:p>
    <w:p w14:paraId="4316999E" w14:textId="77777777" w:rsidR="00526623" w:rsidRPr="00792306" w:rsidRDefault="00526623">
      <w:pPr>
        <w:spacing w:line="360" w:lineRule="auto"/>
        <w:jc w:val="both"/>
        <w:rPr>
          <w:rFonts w:ascii="Palatino Linotype" w:eastAsia="Palatino Linotype" w:hAnsi="Palatino Linotype" w:cs="Palatino Linotype"/>
          <w:b/>
        </w:rPr>
      </w:pPr>
    </w:p>
    <w:p w14:paraId="5510290D"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Al respecto, se considera que debe prevalecer el derecho de acceso a la información pública de 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por encima del derecho a la protección del dato personal de los postores a los que se adjudicaron los bienes muebles, toda vez que en el presente caso, se advierte un aprovechamiento de bienes del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w:t>
      </w:r>
      <w:r w:rsidRPr="00792306">
        <w:rPr>
          <w:rFonts w:ascii="Palatino Linotype" w:eastAsia="Palatino Linotype" w:hAnsi="Palatino Linotype" w:cs="Palatino Linotype"/>
        </w:rPr>
        <w:lastRenderedPageBreak/>
        <w:t>o bien, de recursos públicos, pues en el presente caso, se trata de vehículos que en su momento integraron el inventario de bienes muebles del Instituto y que fueron adjudicados únicamente por un costo del 15% del valor de su avaluó, obteniendo el beneficio de dicho precio exclusivamente por tener la condición de servidores públicos del Sujeto Obligado.</w:t>
      </w:r>
    </w:p>
    <w:p w14:paraId="6803ABB7" w14:textId="77777777" w:rsidR="00526623" w:rsidRPr="00792306" w:rsidRDefault="00526623">
      <w:pPr>
        <w:spacing w:line="360" w:lineRule="auto"/>
        <w:jc w:val="both"/>
        <w:rPr>
          <w:rFonts w:ascii="Palatino Linotype" w:eastAsia="Palatino Linotype" w:hAnsi="Palatino Linotype" w:cs="Palatino Linotype"/>
        </w:rPr>
      </w:pPr>
    </w:p>
    <w:p w14:paraId="6FDF7D12"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Ahora bien, tomando como referencia que, en el Acta del Comité de Adquisiciones referida en antecedentes, se aprobó como preció el 15% del valor del avaluó, para el personal del Instituto; que corresponde con las cantidades determinadas en el fallo y con las fichas de depósito y transferencias entregadas en respuesta; por lo que, se infiere que las adjudicaciones se realizaron a servidores públicos de este Instituto.   </w:t>
      </w:r>
    </w:p>
    <w:p w14:paraId="6BCE0376" w14:textId="77777777" w:rsidR="00526623" w:rsidRPr="00792306" w:rsidRDefault="00526623">
      <w:pPr>
        <w:spacing w:line="360" w:lineRule="auto"/>
        <w:jc w:val="both"/>
        <w:rPr>
          <w:rFonts w:ascii="Palatino Linotype" w:eastAsia="Palatino Linotype" w:hAnsi="Palatino Linotype" w:cs="Palatino Linotype"/>
        </w:rPr>
      </w:pPr>
    </w:p>
    <w:p w14:paraId="5967C3AC"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este sentido, al tratarse de servidores públicos las personas a las que se adjudicaron los bienes, es importante referir que están sujetos a un régimen de protección menor respecto a los datos personales, ya que los mismos se encuentran expuestos al escrutinio público, cuando estos datos se relacionan con la función pública que desempeñan, aunado a que en el caso particular se les otorgó precisamente un precio preferencial por su calidad de servidores públicos del Sujeto Obligado. </w:t>
      </w:r>
    </w:p>
    <w:p w14:paraId="7CCA766C" w14:textId="77777777" w:rsidR="00526623" w:rsidRPr="00792306" w:rsidRDefault="00526623">
      <w:pPr>
        <w:spacing w:line="360" w:lineRule="auto"/>
        <w:jc w:val="both"/>
        <w:rPr>
          <w:rFonts w:ascii="Palatino Linotype" w:eastAsia="Palatino Linotype" w:hAnsi="Palatino Linotype" w:cs="Palatino Linotype"/>
          <w:b/>
        </w:rPr>
      </w:pPr>
    </w:p>
    <w:p w14:paraId="7E2DFE5F"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Por lo que, clasificar el nombre de las personas a quienes mediate el procedimiento de adjudicación directa se enajenaron los vehículos con un precio preferencial por </w:t>
      </w:r>
      <w:r w:rsidRPr="00792306">
        <w:rPr>
          <w:rFonts w:ascii="Palatino Linotype" w:eastAsia="Palatino Linotype" w:hAnsi="Palatino Linotype" w:cs="Palatino Linotype"/>
        </w:rPr>
        <w:lastRenderedPageBreak/>
        <w:t xml:space="preserve">cumplir con una cualidad especial, va en contra del derecho de acceso a la información pública, pues se restringe el derecho de 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 xml:space="preserve">a conocer el resultado derivado del procedimiento de adjudicación, el cual constituye entre otras cosas un mecanismo de trasparencia,  rendición de cuentas y principalmente la verificación de que se cumplió con la condición establecida al momento de fijar los costos en el Acta emitida por el Comité.  </w:t>
      </w:r>
    </w:p>
    <w:p w14:paraId="45848D81" w14:textId="77777777" w:rsidR="00526623" w:rsidRPr="00792306" w:rsidRDefault="00526623">
      <w:pPr>
        <w:spacing w:line="360" w:lineRule="auto"/>
        <w:jc w:val="both"/>
        <w:rPr>
          <w:rFonts w:ascii="Palatino Linotype" w:eastAsia="Palatino Linotype" w:hAnsi="Palatino Linotype" w:cs="Palatino Linotype"/>
        </w:rPr>
      </w:pPr>
    </w:p>
    <w:p w14:paraId="0935659C"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Es bajo tales consideraciones, que se determina que la publicidad del nombre de las personas a las que se adjudicaron los bienes muebles motivo de análisis del presente asunto debe prevalecer frente a la protección del nombre de los postores ganadores, pues transparenta la gestión pública y la correcta actuación del Sujeto Obligado, pues dicha situación se acreditaría al revelar la determinación adoptada respecto a la enajenación de bienes que en su momento formaron parte del patrimonio de este Instituto, más aún cuando se adquirieron a un precio preferencial, por lo que a efecto de verificar que efectivamente se trató de servidores públicos del Sujeto Obligado y se cumplió con la condición señalada en el Acta de la Sesión Extraordinaria número INFOEM/DGAF/CAAIE/EXT-006/2024 del Comité de Arrendamientos, Adquisiciones de Inmuebles y Enajenaciones del Instituto es que en este caso necesario y proporcional dar a conocer el nombre de los mismos. </w:t>
      </w:r>
    </w:p>
    <w:p w14:paraId="6087B9AF" w14:textId="77777777" w:rsidR="00526623" w:rsidRPr="00792306" w:rsidRDefault="00526623">
      <w:pPr>
        <w:spacing w:line="360" w:lineRule="auto"/>
        <w:jc w:val="both"/>
        <w:rPr>
          <w:rFonts w:ascii="Palatino Linotype" w:eastAsia="Palatino Linotype" w:hAnsi="Palatino Linotype" w:cs="Palatino Linotype"/>
        </w:rPr>
      </w:pPr>
    </w:p>
    <w:p w14:paraId="51EB4843"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b) Necesidad.</w:t>
      </w:r>
      <w:r w:rsidRPr="00792306">
        <w:rPr>
          <w:rFonts w:ascii="Palatino Linotype" w:eastAsia="Palatino Linotype" w:hAnsi="Palatino Linotype" w:cs="Palatino Linotype"/>
        </w:rPr>
        <w:t xml:space="preserve"> El juicio o principio de necesidad, tienen como finalidad acreditar que no existan medios alternativos igualmente adecuados o idóneos para la </w:t>
      </w:r>
      <w:r w:rsidRPr="00792306">
        <w:rPr>
          <w:rFonts w:ascii="Palatino Linotype" w:eastAsia="Palatino Linotype" w:hAnsi="Palatino Linotype" w:cs="Palatino Linotype"/>
        </w:rPr>
        <w:lastRenderedPageBreak/>
        <w:t>obtención del fin, pero menos restrictivos de los principios afectados,</w:t>
      </w:r>
      <w:r w:rsidRPr="00792306">
        <w:rPr>
          <w:rFonts w:ascii="Palatino Linotype" w:eastAsia="Palatino Linotype" w:hAnsi="Palatino Linotype" w:cs="Palatino Linotype"/>
          <w:i/>
        </w:rPr>
        <w:t xml:space="preserve"> </w:t>
      </w:r>
      <w:r w:rsidRPr="00792306">
        <w:rPr>
          <w:rFonts w:ascii="Palatino Linotype" w:eastAsia="Palatino Linotype" w:hAnsi="Palatino Linotype" w:cs="Palatino Linotype"/>
        </w:rPr>
        <w:t>o bien, corresponde analizar si la misma es necesaria o si, por el contrario, existen medidas alternativas que también sean idóneas pero que afecten</w:t>
      </w:r>
      <w:r w:rsidRPr="00792306">
        <w:rPr>
          <w:rFonts w:ascii="Verdana" w:eastAsia="Verdana" w:hAnsi="Verdana" w:cs="Verdana"/>
          <w:sz w:val="34"/>
          <w:szCs w:val="34"/>
        </w:rPr>
        <w:t xml:space="preserve"> </w:t>
      </w:r>
      <w:r w:rsidRPr="00792306">
        <w:rPr>
          <w:rFonts w:ascii="Palatino Linotype" w:eastAsia="Palatino Linotype" w:hAnsi="Palatino Linotype" w:cs="Palatino Linotype"/>
        </w:rPr>
        <w:t xml:space="preserve">en menor grado el derecho fundamental. </w:t>
      </w:r>
    </w:p>
    <w:p w14:paraId="4A401C70" w14:textId="77777777" w:rsidR="00526623" w:rsidRPr="00792306" w:rsidRDefault="00526623">
      <w:pPr>
        <w:spacing w:line="360" w:lineRule="auto"/>
        <w:jc w:val="both"/>
        <w:rPr>
          <w:rFonts w:ascii="Palatino Linotype" w:eastAsia="Palatino Linotype" w:hAnsi="Palatino Linotype" w:cs="Palatino Linotype"/>
        </w:rPr>
      </w:pPr>
    </w:p>
    <w:p w14:paraId="188FD652"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En este sentido, el fallo del procedimiento administrativo de enajenación de bienes mediante adjudicación directa número INFOEM/AD-001/2024 el que fue clasificada la información requerida por el particular relativa al nombre de los postores a los que se adjudicaron los vehículos, no puede sustituirse por otro, en principio de cuentas porque contiene el resultado o la determinación derivada de dicho procedimiento y en segundo lugar es el medio para verificar que se cumplió con la condición establecida; es decir, el 15% del costo del avaluó para servidores públicos del Instituto. </w:t>
      </w:r>
    </w:p>
    <w:p w14:paraId="611DD543" w14:textId="77777777" w:rsidR="00526623" w:rsidRPr="00792306" w:rsidRDefault="00526623">
      <w:pPr>
        <w:spacing w:line="360" w:lineRule="auto"/>
        <w:jc w:val="both"/>
        <w:rPr>
          <w:rFonts w:ascii="Palatino Linotype" w:eastAsia="Palatino Linotype" w:hAnsi="Palatino Linotype" w:cs="Palatino Linotype"/>
        </w:rPr>
      </w:pPr>
    </w:p>
    <w:p w14:paraId="508B6480"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Por consiguiente, acceder a los nombres de las personas a las que se adjudicaron los bienes, es estrictamente necesario a efecto transparentar la gestión pública y la correcta actuación del Sujeto Obligado, descartando un posible conflicto de intereses. </w:t>
      </w:r>
    </w:p>
    <w:p w14:paraId="0E9B5154" w14:textId="77777777" w:rsidR="00526623" w:rsidRPr="00792306" w:rsidRDefault="00526623">
      <w:pPr>
        <w:spacing w:line="360" w:lineRule="auto"/>
        <w:jc w:val="both"/>
        <w:rPr>
          <w:rFonts w:ascii="Palatino Linotype" w:eastAsia="Palatino Linotype" w:hAnsi="Palatino Linotype" w:cs="Palatino Linotype"/>
        </w:rPr>
      </w:pPr>
    </w:p>
    <w:p w14:paraId="778BBA49"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c) Estricta proporcionalidad</w:t>
      </w:r>
      <w:r w:rsidRPr="00792306">
        <w:rPr>
          <w:rFonts w:ascii="Palatino Linotype" w:eastAsia="Palatino Linotype" w:hAnsi="Palatino Linotype" w:cs="Palatino Linotype"/>
        </w:rPr>
        <w:t xml:space="preserve">. En el presente caso se considera, que la vida privada de las personas a las que se les adjudicó el bien no se ve afectada con la entrega de sus nombres, por lo que a través de esta resolución se ordena la entrega la entrega </w:t>
      </w:r>
      <w:r w:rsidRPr="00792306">
        <w:rPr>
          <w:rFonts w:ascii="Palatino Linotype" w:eastAsia="Palatino Linotype" w:hAnsi="Palatino Linotype" w:cs="Palatino Linotype"/>
        </w:rPr>
        <w:lastRenderedPageBreak/>
        <w:t xml:space="preserve">del documento en el que consten y se dejen visibles los nombres de los servidores públicos beneficiados con la adjudicación de los bienes muebles, en su momento propiedad del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 xml:space="preserve">pues resulta ser la medida idónea y necesaria para garantizar el derecho de acceso a la información de 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 xml:space="preserve">siendo la subasta y la adjudicación de bienes un mecanismo de transparencia y el cual se concreta al conocer el nombre de los postores a los que se adjudicaron los bienes motivo de la solicitud que ahora se analiza; toda vez que, publicar dicha información es el medio para conocer si la adjudicación con el </w:t>
      </w:r>
      <w:proofErr w:type="spellStart"/>
      <w:r w:rsidRPr="00792306">
        <w:rPr>
          <w:rFonts w:ascii="Palatino Linotype" w:eastAsia="Palatino Linotype" w:hAnsi="Palatino Linotype" w:cs="Palatino Linotype"/>
        </w:rPr>
        <w:t>preció</w:t>
      </w:r>
      <w:proofErr w:type="spellEnd"/>
      <w:r w:rsidRPr="00792306">
        <w:rPr>
          <w:rFonts w:ascii="Palatino Linotype" w:eastAsia="Palatino Linotype" w:hAnsi="Palatino Linotype" w:cs="Palatino Linotype"/>
        </w:rPr>
        <w:t xml:space="preserve"> del 15 % del valor del avaluó de los vehículos se hizo a servidores públicos, tal como se aprobó por el Comité de Adquisiciones para tal efecto. </w:t>
      </w:r>
    </w:p>
    <w:p w14:paraId="46767A41" w14:textId="77777777" w:rsidR="00526623" w:rsidRPr="00792306" w:rsidRDefault="00526623">
      <w:pPr>
        <w:spacing w:line="360" w:lineRule="auto"/>
        <w:jc w:val="both"/>
        <w:rPr>
          <w:rFonts w:ascii="Palatino Linotype" w:eastAsia="Palatino Linotype" w:hAnsi="Palatino Linotype" w:cs="Palatino Linotype"/>
        </w:rPr>
      </w:pPr>
    </w:p>
    <w:p w14:paraId="4A3CF3A4"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Ahora bien, sin contrariar lo anterior, es de reconocer que si bien, aun y cuando en ese supuesto podría encuadrar en información confidencial, pues al hacer público  el nombre también se daría a conocer su información patrimonial, también lo es que, al tratarse de servidores públicos del Instituto, que además de haber adquirido el bien a un precio preferencial por su condición, el legislador estableció que la información patrimonial, deben registrarse en la declaración de situación patrimonial, lo que se sustenta en el hecho de que los bienes adquiridos en este caso los vehículos por  un servidor público del propio Sujeto Obligado, constituye información que en su momento deberá publicarse; toda vez que, se trata de información que será visible en las declaraciones patrimoniales tal como lo señala el CAPÍTULO CUARTO SOBRE LA TRANSPARENCIA, CONFIDENCIALIDAD Y </w:t>
      </w:r>
      <w:r w:rsidRPr="00792306">
        <w:rPr>
          <w:rFonts w:ascii="Palatino Linotype" w:eastAsia="Palatino Linotype" w:hAnsi="Palatino Linotype" w:cs="Palatino Linotype"/>
        </w:rPr>
        <w:lastRenderedPageBreak/>
        <w:t xml:space="preserve">RESERVA DE LA INFORMACIÓN CONTENIDA EN LAS DECLARACIONES PATRIMONIAL Y DE INTERESES, NUMERAL DECIMONOVENO DE LAS NORMAS E INSTRUCTIVO PARA EL LLENADO Y PRESENTACIÓN DEL FORMATO DE DECLARACIONES: DE SITUACIÓN PATRIMONIAL Y DE INTERESES consultadas en : </w:t>
      </w:r>
      <w:hyperlink r:id="rId11">
        <w:r w:rsidRPr="00792306">
          <w:rPr>
            <w:rFonts w:ascii="Palatino Linotype" w:eastAsia="Palatino Linotype" w:hAnsi="Palatino Linotype" w:cs="Palatino Linotype"/>
            <w:u w:val="single"/>
          </w:rPr>
          <w:t>https://seduc.edomex.gob.mx/sites/seduc.edomex.gob.mx/files/files/tramites_servicios/declaracion/Instructivo_llenado_DeclaraNET.pdf</w:t>
        </w:r>
      </w:hyperlink>
      <w:r w:rsidRPr="00792306">
        <w:rPr>
          <w:rFonts w:ascii="Palatino Linotype" w:eastAsia="Palatino Linotype" w:hAnsi="Palatino Linotype" w:cs="Palatino Linotype"/>
        </w:rPr>
        <w:t xml:space="preserve"> , en las que se establece que respecto a los la información patrimonial relacionada con vehículos, únicamente NO será de acceso público, la siguiente: </w:t>
      </w:r>
    </w:p>
    <w:p w14:paraId="1F5BC73A" w14:textId="77777777" w:rsidR="00526623" w:rsidRPr="00792306" w:rsidRDefault="00BF0235">
      <w:pPr>
        <w:spacing w:line="360" w:lineRule="auto"/>
        <w:jc w:val="both"/>
        <w:rPr>
          <w:rFonts w:ascii="Palatino Linotype" w:eastAsia="Palatino Linotype" w:hAnsi="Palatino Linotype" w:cs="Palatino Linotype"/>
        </w:rPr>
      </w:pPr>
      <w:r w:rsidRPr="00792306">
        <w:rPr>
          <w:noProof/>
        </w:rPr>
        <w:drawing>
          <wp:inline distT="0" distB="0" distL="0" distR="0" wp14:anchorId="5D86599D" wp14:editId="0628BBA6">
            <wp:extent cx="5581015" cy="182626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581015" cy="1826260"/>
                    </a:xfrm>
                    <a:prstGeom prst="rect">
                      <a:avLst/>
                    </a:prstGeom>
                    <a:ln/>
                  </pic:spPr>
                </pic:pic>
              </a:graphicData>
            </a:graphic>
          </wp:inline>
        </w:drawing>
      </w:r>
    </w:p>
    <w:p w14:paraId="1EF6BE16"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 </w:t>
      </w:r>
    </w:p>
    <w:p w14:paraId="7AE70670"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Por tanto, la circunstancia que implica mayor beneficio y menos perjuicios es entregar los nombres solicitados, testando, en su caso, el nombre de participantes que no resultaron beneficiados o que no son servidores públicos del Instituto, con el fin que el ahora recurrente pueda constatar que se cumplieron al momento de la adjudicación con los términos señalados en el Acta de la Sesión Extraordinaria </w:t>
      </w:r>
      <w:r w:rsidRPr="00792306">
        <w:rPr>
          <w:rFonts w:ascii="Palatino Linotype" w:eastAsia="Palatino Linotype" w:hAnsi="Palatino Linotype" w:cs="Palatino Linotype"/>
        </w:rPr>
        <w:lastRenderedPageBreak/>
        <w:t>número INFOEM/DGAF/CAAIE/EXT-006/2024 del Comité de Arrendamientos, Adquisiciones de Inmuebles y Enajenaciones del Instituto.</w:t>
      </w:r>
    </w:p>
    <w:p w14:paraId="0BEEFC96" w14:textId="77777777" w:rsidR="00526623" w:rsidRPr="00792306" w:rsidRDefault="00526623">
      <w:pPr>
        <w:spacing w:line="360" w:lineRule="auto"/>
        <w:jc w:val="both"/>
        <w:rPr>
          <w:rFonts w:ascii="Palatino Linotype" w:eastAsia="Palatino Linotype" w:hAnsi="Palatino Linotype" w:cs="Palatino Linotype"/>
        </w:rPr>
      </w:pPr>
    </w:p>
    <w:p w14:paraId="6A5CD0BE"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Por tales circunstancias, se considera que debe prevalecer publicidad de la información solicitada, frente a la protección del nombre de las personas servidoras públicas del Instituto a las que se adjudicó el bien, pues este no se ve disminuido. </w:t>
      </w:r>
    </w:p>
    <w:p w14:paraId="05C10974" w14:textId="77777777" w:rsidR="00526623" w:rsidRPr="00792306" w:rsidRDefault="00526623">
      <w:pPr>
        <w:spacing w:line="360" w:lineRule="auto"/>
        <w:jc w:val="both"/>
        <w:rPr>
          <w:rFonts w:ascii="Palatino Linotype" w:eastAsia="Palatino Linotype" w:hAnsi="Palatino Linotype" w:cs="Palatino Linotype"/>
        </w:rPr>
      </w:pPr>
    </w:p>
    <w:p w14:paraId="5994675A" w14:textId="77777777" w:rsidR="00526623" w:rsidRPr="00792306" w:rsidRDefault="00BF0235">
      <w:pPr>
        <w:spacing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Por todo lo expuesto, el nombre de los servidores públicos del sujeto obligado ganadores en el procedimiento de adjudicación directa de los vehículos,  NO actualizan la causal de clasificación prevista en el artículo 143, fracción I de la Ley de Transparencia y Acceso a la Información Pública del Estado de México y Municipios.</w:t>
      </w:r>
    </w:p>
    <w:p w14:paraId="2D4DDB16"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Por consiguiente, para tener por satisfecho el Derecho de acceso de la persona solicitante, se estima dable ordenar la entrega del Fallo del Procedimiento Administrativo de Enajenación de Bienes mediante Adjudicación Directa número INFOEM/AD-001/2024, remitido en respuesta, en versión pública correcta. </w:t>
      </w:r>
    </w:p>
    <w:p w14:paraId="1EDAAA58" w14:textId="77777777" w:rsidR="00526623" w:rsidRPr="00792306" w:rsidRDefault="00BF023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De lo hasta aquí expuesto, se concluye que los motivos de inconformidad de 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 xml:space="preserve">devienen fundados, siendo procedente </w:t>
      </w:r>
      <w:r w:rsidRPr="00792306">
        <w:rPr>
          <w:rFonts w:ascii="Palatino Linotype" w:eastAsia="Palatino Linotype" w:hAnsi="Palatino Linotype" w:cs="Palatino Linotype"/>
          <w:i/>
        </w:rPr>
        <w:t xml:space="preserve">Modificar </w:t>
      </w:r>
      <w:r w:rsidRPr="00792306">
        <w:rPr>
          <w:rFonts w:ascii="Palatino Linotype" w:eastAsia="Palatino Linotype" w:hAnsi="Palatino Linotype" w:cs="Palatino Linotype"/>
        </w:rPr>
        <w:t xml:space="preserve">la respuesta proporcionada por el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45C5B328" w14:textId="77777777" w:rsidR="00526623" w:rsidRPr="00792306" w:rsidRDefault="00BF023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lastRenderedPageBreak/>
        <w:t xml:space="preserve">Quinto. Versión Pública. </w:t>
      </w:r>
      <w:r w:rsidRPr="00792306">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esto es, el nombre de participantes en el procedimiento de adjudicación que no hayan resultado ganadores o no sean servidores públicos del Instituto, 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792306">
        <w:rPr>
          <w:rFonts w:ascii="Palatino Linotype" w:eastAsia="Palatino Linotype" w:hAnsi="Palatino Linotype" w:cs="Palatino Linotype"/>
          <w:b/>
        </w:rPr>
        <w:t>Recurrente</w:t>
      </w:r>
      <w:r w:rsidRPr="00792306">
        <w:rPr>
          <w:rFonts w:ascii="Palatino Linotype" w:eastAsia="Palatino Linotype" w:hAnsi="Palatino Linotype" w:cs="Palatino Linotype"/>
        </w:rPr>
        <w:t xml:space="preserve"> sin menoscabo al derecho a la protección de los datos personales de terceros.</w:t>
      </w:r>
    </w:p>
    <w:p w14:paraId="4C76E06B"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Para efectos de la elaboración de la versión pública se deberá observar lo dispuesto por los artículos 3 fracciones IX, XX, XXI y XLV, 91, 132, 137 y 143, fracción I de la Ley de Transparencia y Acceso a la Información Pública del Estado de México y Municipios que establecen:</w:t>
      </w:r>
    </w:p>
    <w:p w14:paraId="078C4F60"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r w:rsidRPr="00792306">
        <w:rPr>
          <w:rFonts w:ascii="Palatino Linotype" w:eastAsia="Palatino Linotype" w:hAnsi="Palatino Linotype" w:cs="Palatino Linotype"/>
          <w:b/>
          <w:i/>
          <w:sz w:val="22"/>
          <w:szCs w:val="22"/>
        </w:rPr>
        <w:t>Artículo 3</w:t>
      </w:r>
      <w:r w:rsidRPr="00792306">
        <w:rPr>
          <w:rFonts w:ascii="Palatino Linotype" w:eastAsia="Palatino Linotype" w:hAnsi="Palatino Linotype" w:cs="Palatino Linotype"/>
          <w:i/>
          <w:sz w:val="22"/>
          <w:szCs w:val="22"/>
        </w:rPr>
        <w:t>. Para los efectos de la presente Ley se entenderá por:</w:t>
      </w:r>
    </w:p>
    <w:p w14:paraId="2CCDDBEF"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707B334B"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IX. Datos personales</w:t>
      </w:r>
      <w:r w:rsidRPr="00792306">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16BAB6C"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XX. Información clasificada</w:t>
      </w:r>
      <w:r w:rsidRPr="00792306">
        <w:rPr>
          <w:rFonts w:ascii="Palatino Linotype" w:eastAsia="Palatino Linotype" w:hAnsi="Palatino Linotype" w:cs="Palatino Linotype"/>
          <w:i/>
          <w:sz w:val="22"/>
          <w:szCs w:val="22"/>
        </w:rPr>
        <w:t>: Aquella considerada por la presente Ley como reservada o confidencial;</w:t>
      </w:r>
    </w:p>
    <w:p w14:paraId="5A9C2CB8"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 xml:space="preserve">XXI. Información confidencial: </w:t>
      </w:r>
      <w:r w:rsidRPr="00792306">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46C6A8F"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lastRenderedPageBreak/>
        <w:t>XLV. Versión pública:</w:t>
      </w:r>
      <w:r w:rsidRPr="00792306">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E40B003"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52AD488B"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Artículo 91.</w:t>
      </w:r>
      <w:r w:rsidRPr="0079230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CC4D416"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Artículo 132.</w:t>
      </w:r>
      <w:r w:rsidRPr="00792306">
        <w:rPr>
          <w:rFonts w:ascii="Palatino Linotype" w:eastAsia="Palatino Linotype" w:hAnsi="Palatino Linotype" w:cs="Palatino Linotype"/>
          <w:i/>
          <w:sz w:val="22"/>
          <w:szCs w:val="22"/>
        </w:rPr>
        <w:t xml:space="preserve"> La clasificación de la información se llevará a cabo en el momento en que:</w:t>
      </w:r>
    </w:p>
    <w:p w14:paraId="060936CC"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w:t>
      </w:r>
      <w:r w:rsidRPr="00792306">
        <w:rPr>
          <w:rFonts w:ascii="Palatino Linotype" w:eastAsia="Palatino Linotype" w:hAnsi="Palatino Linotype" w:cs="Palatino Linotype"/>
          <w:i/>
          <w:sz w:val="22"/>
          <w:szCs w:val="22"/>
        </w:rPr>
        <w:t>. Se reciba una solicitud de acceso a la información;</w:t>
      </w:r>
    </w:p>
    <w:p w14:paraId="2A87EBAE"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w:t>
      </w:r>
      <w:r w:rsidRPr="00792306">
        <w:rPr>
          <w:rFonts w:ascii="Palatino Linotype" w:eastAsia="Palatino Linotype" w:hAnsi="Palatino Linotype" w:cs="Palatino Linotype"/>
          <w:i/>
          <w:sz w:val="22"/>
          <w:szCs w:val="22"/>
        </w:rPr>
        <w:t xml:space="preserve"> Se determine mediante resolución de autoridad competente; o</w:t>
      </w:r>
    </w:p>
    <w:p w14:paraId="3B693533"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III.</w:t>
      </w:r>
      <w:r w:rsidRPr="00792306">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4E2AA7D7"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w:t>
      </w:r>
    </w:p>
    <w:p w14:paraId="5575B36D"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Artículo 137.</w:t>
      </w:r>
      <w:r w:rsidRPr="00792306">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F715203" w14:textId="77777777" w:rsidR="00526623" w:rsidRPr="00792306" w:rsidRDefault="00BF0235">
      <w:pPr>
        <w:spacing w:before="120" w:after="120"/>
        <w:ind w:left="851" w:right="902"/>
        <w:jc w:val="both"/>
        <w:rPr>
          <w:rFonts w:ascii="Palatino Linotype" w:eastAsia="Palatino Linotype" w:hAnsi="Palatino Linotype" w:cs="Palatino Linotype"/>
          <w:b/>
          <w:i/>
          <w:sz w:val="22"/>
          <w:szCs w:val="22"/>
        </w:rPr>
      </w:pPr>
      <w:r w:rsidRPr="00792306">
        <w:rPr>
          <w:rFonts w:ascii="Palatino Linotype" w:eastAsia="Palatino Linotype" w:hAnsi="Palatino Linotype" w:cs="Palatino Linotype"/>
          <w:b/>
          <w:i/>
          <w:sz w:val="22"/>
          <w:szCs w:val="22"/>
        </w:rPr>
        <w:t>…</w:t>
      </w:r>
    </w:p>
    <w:p w14:paraId="596408C4"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Artículo 143</w:t>
      </w:r>
      <w:r w:rsidRPr="0079230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DB13293"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w:t>
      </w:r>
      <w:r w:rsidRPr="00792306">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1EE1668"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w:t>
      </w:r>
      <w:r w:rsidRPr="00792306">
        <w:rPr>
          <w:rFonts w:ascii="Palatino Linotype" w:eastAsia="Palatino Linotype" w:hAnsi="Palatino Linotype" w:cs="Palatino Linotype"/>
        </w:rPr>
        <w:lastRenderedPageBreak/>
        <w:t>obligados clasificarán como reservada o confidencial la información que posean, desclasificarán y generarán, en su caso, versiones públicas de expedientes o documentos que contengan partes o secciones clasificadas.</w:t>
      </w:r>
    </w:p>
    <w:p w14:paraId="65DE67EC"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045C844" w14:textId="77777777" w:rsidR="00526623" w:rsidRPr="00792306" w:rsidRDefault="00BF0235">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Respecto a las formalidades que deberá llevar el acuerdo de clasificación que deberá emitir 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 señalan lo siguiente:</w:t>
      </w:r>
    </w:p>
    <w:p w14:paraId="30209206"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 xml:space="preserve"> “Quincuagésimo. </w:t>
      </w:r>
      <w:r w:rsidRPr="00792306">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w:t>
      </w:r>
      <w:r w:rsidRPr="00792306">
        <w:rPr>
          <w:rFonts w:ascii="Palatino Linotype" w:eastAsia="Palatino Linotype" w:hAnsi="Palatino Linotype" w:cs="Palatino Linotype"/>
          <w:i/>
          <w:sz w:val="22"/>
          <w:szCs w:val="22"/>
        </w:rPr>
        <w:lastRenderedPageBreak/>
        <w:t xml:space="preserve">públicas de documentos o expedientes, siempre y cuando cumplan lo establecido en los presentes Lineamientos, así como en las correspondientes Leyes Generales. </w:t>
      </w:r>
    </w:p>
    <w:p w14:paraId="6C8EC84B" w14:textId="77777777" w:rsidR="00526623" w:rsidRPr="00792306" w:rsidRDefault="00BF023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 xml:space="preserve">Quincuagésimo primero. </w:t>
      </w:r>
      <w:r w:rsidRPr="00792306">
        <w:rPr>
          <w:rFonts w:ascii="Palatino Linotype" w:eastAsia="Palatino Linotype" w:hAnsi="Palatino Linotype" w:cs="Palatino Linotype"/>
          <w:i/>
          <w:sz w:val="22"/>
          <w:szCs w:val="22"/>
        </w:rPr>
        <w:t xml:space="preserve">Toda acta del Comité de Transparencia deberá contener: </w:t>
      </w:r>
    </w:p>
    <w:p w14:paraId="3CA6D677" w14:textId="77777777" w:rsidR="00526623" w:rsidRPr="00792306" w:rsidRDefault="00BF023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w:t>
      </w:r>
      <w:r w:rsidRPr="00792306">
        <w:rPr>
          <w:rFonts w:ascii="Palatino Linotype" w:eastAsia="Palatino Linotype" w:hAnsi="Palatino Linotype" w:cs="Palatino Linotype"/>
          <w:i/>
          <w:sz w:val="22"/>
          <w:szCs w:val="22"/>
        </w:rPr>
        <w:t xml:space="preserve"> El número de sesión y fecha; </w:t>
      </w:r>
    </w:p>
    <w:p w14:paraId="677E5863" w14:textId="77777777" w:rsidR="00526623" w:rsidRPr="00792306" w:rsidRDefault="00BF023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w:t>
      </w:r>
      <w:r w:rsidRPr="00792306">
        <w:rPr>
          <w:rFonts w:ascii="Palatino Linotype" w:eastAsia="Palatino Linotype" w:hAnsi="Palatino Linotype" w:cs="Palatino Linotype"/>
          <w:i/>
          <w:sz w:val="22"/>
          <w:szCs w:val="22"/>
        </w:rPr>
        <w:t xml:space="preserve">. El nombre del área que solicitó la clasificación de información; </w:t>
      </w:r>
    </w:p>
    <w:p w14:paraId="7511C0E7" w14:textId="77777777" w:rsidR="00526623" w:rsidRPr="00792306" w:rsidRDefault="00BF023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III</w:t>
      </w:r>
      <w:r w:rsidRPr="00792306">
        <w:rPr>
          <w:rFonts w:ascii="Palatino Linotype" w:eastAsia="Palatino Linotype" w:hAnsi="Palatino Linotype" w:cs="Palatino Linotype"/>
          <w:i/>
          <w:sz w:val="22"/>
          <w:szCs w:val="22"/>
        </w:rPr>
        <w:t xml:space="preserve">. La fundamentación legal y motivación correspondiente; </w:t>
      </w:r>
    </w:p>
    <w:p w14:paraId="4522502F" w14:textId="77777777" w:rsidR="00526623" w:rsidRPr="00792306" w:rsidRDefault="00BF023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IV</w:t>
      </w:r>
      <w:r w:rsidRPr="00792306">
        <w:rPr>
          <w:rFonts w:ascii="Palatino Linotype" w:eastAsia="Palatino Linotype" w:hAnsi="Palatino Linotype" w:cs="Palatino Linotype"/>
          <w:i/>
          <w:sz w:val="22"/>
          <w:szCs w:val="22"/>
        </w:rPr>
        <w:t xml:space="preserve">. La resolución o resoluciones aprobadas; y </w:t>
      </w:r>
    </w:p>
    <w:p w14:paraId="506AF510" w14:textId="77777777" w:rsidR="00526623" w:rsidRPr="00792306" w:rsidRDefault="00BF023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V</w:t>
      </w:r>
      <w:r w:rsidRPr="00792306">
        <w:rPr>
          <w:rFonts w:ascii="Palatino Linotype" w:eastAsia="Palatino Linotype" w:hAnsi="Palatino Linotype" w:cs="Palatino Linotype"/>
          <w:i/>
          <w:sz w:val="22"/>
          <w:szCs w:val="22"/>
        </w:rPr>
        <w:t xml:space="preserve">. La rúbrica o firma digital de cada integrante del Comité de Transparencia. </w:t>
      </w:r>
    </w:p>
    <w:p w14:paraId="3248466C" w14:textId="77777777" w:rsidR="00526623" w:rsidRPr="00792306" w:rsidRDefault="00BF023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19C26E62" w14:textId="77777777" w:rsidR="00526623" w:rsidRPr="00792306" w:rsidRDefault="00BF023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w:t>
      </w:r>
      <w:r w:rsidRPr="00792306">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3117493" w14:textId="77777777" w:rsidR="00526623" w:rsidRPr="00792306" w:rsidRDefault="00BF0235">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792306">
        <w:rPr>
          <w:rFonts w:ascii="Palatino Linotype" w:eastAsia="Palatino Linotype" w:hAnsi="Palatino Linotype" w:cs="Palatino Linotype"/>
          <w:b/>
          <w:i/>
          <w:sz w:val="22"/>
          <w:szCs w:val="22"/>
        </w:rPr>
        <w:t>II</w:t>
      </w:r>
      <w:r w:rsidRPr="00792306">
        <w:rPr>
          <w:rFonts w:ascii="Palatino Linotype" w:eastAsia="Palatino Linotype" w:hAnsi="Palatino Linotype" w:cs="Palatino Linotype"/>
          <w:i/>
          <w:sz w:val="22"/>
          <w:szCs w:val="22"/>
        </w:rPr>
        <w:t>. Descripción de las partes o secciones reservadas, en caso de clasificación parcial</w:t>
      </w:r>
      <w:r w:rsidRPr="00792306">
        <w:rPr>
          <w:rFonts w:ascii="Palatino Linotype" w:eastAsia="Palatino Linotype" w:hAnsi="Palatino Linotype" w:cs="Palatino Linotype"/>
          <w:b/>
          <w:i/>
          <w:sz w:val="22"/>
          <w:szCs w:val="22"/>
        </w:rPr>
        <w:t xml:space="preserve">; </w:t>
      </w:r>
    </w:p>
    <w:p w14:paraId="5FB21679" w14:textId="77777777" w:rsidR="00526623" w:rsidRPr="00792306" w:rsidRDefault="00BF023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III.</w:t>
      </w:r>
      <w:r w:rsidRPr="00792306">
        <w:rPr>
          <w:rFonts w:ascii="Palatino Linotype" w:eastAsia="Palatino Linotype" w:hAnsi="Palatino Linotype" w:cs="Palatino Linotype"/>
          <w:i/>
          <w:sz w:val="22"/>
          <w:szCs w:val="22"/>
        </w:rPr>
        <w:t xml:space="preserve"> El periodo por el que mantendrá su clasificación y fecha de expiración; y </w:t>
      </w:r>
    </w:p>
    <w:p w14:paraId="4E150F73" w14:textId="77777777" w:rsidR="00526623" w:rsidRPr="00792306" w:rsidRDefault="00BF0235">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IV.</w:t>
      </w:r>
      <w:r w:rsidRPr="00792306">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18FE9369" w14:textId="77777777" w:rsidR="00526623" w:rsidRPr="00792306" w:rsidRDefault="00BF023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969D472" w14:textId="77777777" w:rsidR="00526623" w:rsidRPr="00792306" w:rsidRDefault="00BF0235">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C08072F" w14:textId="77777777" w:rsidR="00526623" w:rsidRPr="00792306" w:rsidRDefault="00BF0235">
      <w:pPr>
        <w:spacing w:before="120" w:after="120"/>
        <w:ind w:left="851"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Quincuagésimo segundo</w:t>
      </w:r>
      <w:r w:rsidRPr="00792306">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B0873F7" w14:textId="77777777" w:rsidR="00526623" w:rsidRPr="00792306" w:rsidRDefault="00BF0235">
      <w:pPr>
        <w:spacing w:before="120" w:after="120"/>
        <w:ind w:left="851"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lastRenderedPageBreak/>
        <w:t xml:space="preserve">En el caso </w:t>
      </w:r>
      <w:proofErr w:type="spellStart"/>
      <w:r w:rsidRPr="00792306">
        <w:rPr>
          <w:rFonts w:ascii="Palatino Linotype" w:eastAsia="Palatino Linotype" w:hAnsi="Palatino Linotype" w:cs="Palatino Linotype"/>
          <w:i/>
          <w:sz w:val="22"/>
          <w:szCs w:val="22"/>
        </w:rPr>
        <w:t>especifico</w:t>
      </w:r>
      <w:proofErr w:type="spellEnd"/>
      <w:r w:rsidRPr="00792306">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5E556EC5" w14:textId="77777777" w:rsidR="00526623" w:rsidRPr="00792306" w:rsidRDefault="00BF0235">
      <w:pPr>
        <w:spacing w:before="120" w:after="120"/>
        <w:ind w:left="1134"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w:t>
      </w:r>
      <w:r w:rsidRPr="00792306">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0E876392" w14:textId="77777777" w:rsidR="00526623" w:rsidRPr="00792306" w:rsidRDefault="00BF0235">
      <w:pPr>
        <w:spacing w:before="120" w:after="120"/>
        <w:ind w:left="1134"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w:t>
      </w:r>
      <w:r w:rsidRPr="00792306">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7B039002" w14:textId="77777777" w:rsidR="00526623" w:rsidRPr="00792306" w:rsidRDefault="00BF0235">
      <w:pPr>
        <w:spacing w:before="120" w:after="120"/>
        <w:ind w:left="1134"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III.</w:t>
      </w:r>
      <w:r w:rsidRPr="00792306">
        <w:rPr>
          <w:rFonts w:ascii="Palatino Linotype" w:eastAsia="Palatino Linotype" w:hAnsi="Palatino Linotype" w:cs="Palatino Linotype"/>
          <w:i/>
          <w:sz w:val="22"/>
          <w:szCs w:val="22"/>
        </w:rPr>
        <w:t xml:space="preserve"> Señalar las personas o instancias autorizadas a acceder a la información clasificada.</w:t>
      </w:r>
    </w:p>
    <w:p w14:paraId="52B890DD" w14:textId="77777777" w:rsidR="00526623" w:rsidRPr="00792306" w:rsidRDefault="00BF0235">
      <w:pPr>
        <w:spacing w:before="120" w:after="120"/>
        <w:ind w:left="851" w:right="900"/>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D9A5D1C"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Asimismo, deberá observar los Lineamientos Quincuagésimo cuarto, Quincuagésimo quinto, Quincuagésimo séptimo y Quincuagésimo octavo, establecen lo siguiente:</w:t>
      </w:r>
    </w:p>
    <w:p w14:paraId="75F2A115" w14:textId="77777777" w:rsidR="00526623" w:rsidRPr="00792306" w:rsidRDefault="00BF0235">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792306">
        <w:rPr>
          <w:rFonts w:ascii="Palatino Linotype" w:eastAsia="Palatino Linotype" w:hAnsi="Palatino Linotype" w:cs="Palatino Linotype"/>
          <w:i/>
          <w:sz w:val="22"/>
          <w:szCs w:val="22"/>
        </w:rPr>
        <w:t>“</w:t>
      </w:r>
      <w:r w:rsidRPr="00792306">
        <w:rPr>
          <w:rFonts w:ascii="Palatino Linotype" w:eastAsia="Palatino Linotype" w:hAnsi="Palatino Linotype" w:cs="Palatino Linotype"/>
          <w:b/>
          <w:i/>
          <w:sz w:val="22"/>
          <w:szCs w:val="22"/>
        </w:rPr>
        <w:t xml:space="preserve">Quincuagésimo cuarto. </w:t>
      </w:r>
      <w:r w:rsidRPr="00792306">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792306">
        <w:rPr>
          <w:rFonts w:ascii="Palatino Linotype" w:eastAsia="Palatino Linotype" w:hAnsi="Palatino Linotype" w:cs="Palatino Linotype"/>
          <w:b/>
          <w:i/>
          <w:sz w:val="22"/>
          <w:szCs w:val="22"/>
        </w:rPr>
        <w:t xml:space="preserve"> </w:t>
      </w:r>
    </w:p>
    <w:p w14:paraId="781A9F62"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 xml:space="preserve">Quincuagésimo quinto. </w:t>
      </w:r>
      <w:r w:rsidRPr="00792306">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792306">
        <w:rPr>
          <w:rFonts w:ascii="Palatino Linotype" w:eastAsia="Palatino Linotype" w:hAnsi="Palatino Linotype" w:cs="Palatino Linotype"/>
          <w:i/>
          <w:sz w:val="22"/>
          <w:szCs w:val="22"/>
        </w:rPr>
        <w:t>testado</w:t>
      </w:r>
      <w:proofErr w:type="spellEnd"/>
      <w:r w:rsidRPr="0079230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0615D13" w14:textId="77777777" w:rsidR="00526623" w:rsidRPr="00792306" w:rsidRDefault="00BF0235">
      <w:pPr>
        <w:spacing w:before="120" w:after="120"/>
        <w:ind w:left="851" w:right="902"/>
        <w:jc w:val="both"/>
        <w:rPr>
          <w:rFonts w:ascii="Palatino Linotype" w:eastAsia="Palatino Linotype" w:hAnsi="Palatino Linotype" w:cs="Palatino Linotype"/>
          <w:b/>
          <w:i/>
          <w:sz w:val="22"/>
          <w:szCs w:val="22"/>
        </w:rPr>
      </w:pPr>
      <w:r w:rsidRPr="00792306">
        <w:rPr>
          <w:rFonts w:ascii="Palatino Linotype" w:eastAsia="Palatino Linotype" w:hAnsi="Palatino Linotype" w:cs="Palatino Linotype"/>
          <w:b/>
          <w:i/>
          <w:sz w:val="22"/>
          <w:szCs w:val="22"/>
        </w:rPr>
        <w:t>...</w:t>
      </w:r>
    </w:p>
    <w:p w14:paraId="223C8017"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lastRenderedPageBreak/>
        <w:t>Quincuagésimo séptimo</w:t>
      </w:r>
      <w:r w:rsidRPr="00792306">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60AB233"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w:t>
      </w:r>
      <w:r w:rsidRPr="00792306">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362F8B6"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w:t>
      </w:r>
      <w:r w:rsidRPr="00792306">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6EC4212" w14:textId="77777777" w:rsidR="00526623" w:rsidRPr="00792306" w:rsidRDefault="00BF0235">
      <w:pPr>
        <w:spacing w:before="120" w:after="120"/>
        <w:ind w:left="1134"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III</w:t>
      </w:r>
      <w:r w:rsidRPr="00792306">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0AF9238"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A89347A" w14:textId="77777777" w:rsidR="00526623" w:rsidRPr="00792306" w:rsidRDefault="00BF0235">
      <w:pPr>
        <w:spacing w:before="120" w:after="120"/>
        <w:ind w:left="851" w:right="902"/>
        <w:jc w:val="both"/>
        <w:rPr>
          <w:rFonts w:ascii="Palatino Linotype" w:eastAsia="Palatino Linotype" w:hAnsi="Palatino Linotype" w:cs="Palatino Linotype"/>
          <w:i/>
          <w:sz w:val="22"/>
          <w:szCs w:val="22"/>
        </w:rPr>
      </w:pPr>
      <w:r w:rsidRPr="00792306">
        <w:rPr>
          <w:rFonts w:ascii="Palatino Linotype" w:eastAsia="Palatino Linotype" w:hAnsi="Palatino Linotype" w:cs="Palatino Linotype"/>
          <w:b/>
          <w:i/>
          <w:sz w:val="22"/>
          <w:szCs w:val="22"/>
        </w:rPr>
        <w:t>Quincuagésimo octavo</w:t>
      </w:r>
      <w:r w:rsidRPr="00792306">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3CAF06C2"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21A32389" w14:textId="77777777" w:rsidR="00526623" w:rsidRPr="00792306" w:rsidRDefault="00526623">
      <w:pPr>
        <w:spacing w:before="240" w:after="240" w:line="360" w:lineRule="auto"/>
        <w:jc w:val="both"/>
        <w:rPr>
          <w:rFonts w:ascii="Palatino Linotype" w:eastAsia="Palatino Linotype" w:hAnsi="Palatino Linotype" w:cs="Palatino Linotype"/>
        </w:rPr>
      </w:pPr>
    </w:p>
    <w:p w14:paraId="0A96F732" w14:textId="77777777" w:rsidR="00526623" w:rsidRPr="00792306" w:rsidRDefault="00526623">
      <w:pPr>
        <w:spacing w:before="240" w:after="240" w:line="360" w:lineRule="auto"/>
        <w:jc w:val="both"/>
        <w:rPr>
          <w:rFonts w:ascii="Palatino Linotype" w:eastAsia="Palatino Linotype" w:hAnsi="Palatino Linotype" w:cs="Palatino Linotype"/>
        </w:rPr>
      </w:pPr>
    </w:p>
    <w:p w14:paraId="5C95E406" w14:textId="77777777" w:rsidR="00526623" w:rsidRPr="00792306" w:rsidRDefault="00526623">
      <w:pPr>
        <w:spacing w:before="240" w:after="240" w:line="360" w:lineRule="auto"/>
        <w:jc w:val="both"/>
        <w:rPr>
          <w:rFonts w:ascii="Palatino Linotype" w:eastAsia="Palatino Linotype" w:hAnsi="Palatino Linotype" w:cs="Palatino Linotype"/>
        </w:rPr>
      </w:pPr>
    </w:p>
    <w:p w14:paraId="7D59901E" w14:textId="77777777" w:rsidR="00526623" w:rsidRPr="00792306" w:rsidRDefault="00BF0235">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792306">
        <w:rPr>
          <w:rFonts w:ascii="Palatino Linotype" w:eastAsia="Palatino Linotype" w:hAnsi="Palatino Linotype" w:cs="Palatino Linotype"/>
          <w:b/>
        </w:rPr>
        <w:lastRenderedPageBreak/>
        <w:t>III. R E S U E L V E</w:t>
      </w:r>
    </w:p>
    <w:p w14:paraId="6FFADC36" w14:textId="77777777" w:rsidR="00526623" w:rsidRPr="00792306" w:rsidRDefault="00BF0235">
      <w:pPr>
        <w:spacing w:before="240" w:after="240" w:line="360" w:lineRule="auto"/>
        <w:jc w:val="both"/>
        <w:rPr>
          <w:rFonts w:ascii="Palatino Linotype" w:eastAsia="Palatino Linotype" w:hAnsi="Palatino Linotype" w:cs="Palatino Linotype"/>
        </w:rPr>
      </w:pPr>
      <w:bookmarkStart w:id="8" w:name="_heading=h.26in1rg" w:colFirst="0" w:colLast="0"/>
      <w:bookmarkEnd w:id="8"/>
      <w:r w:rsidRPr="00792306">
        <w:rPr>
          <w:rFonts w:ascii="Palatino Linotype" w:eastAsia="Palatino Linotype" w:hAnsi="Palatino Linotype" w:cs="Palatino Linotype"/>
          <w:b/>
        </w:rPr>
        <w:t xml:space="preserve">Primero. </w:t>
      </w:r>
      <w:r w:rsidRPr="00792306">
        <w:rPr>
          <w:rFonts w:ascii="Palatino Linotype" w:eastAsia="Palatino Linotype" w:hAnsi="Palatino Linotype" w:cs="Palatino Linotype"/>
        </w:rPr>
        <w:t>Resultan</w:t>
      </w:r>
      <w:r w:rsidRPr="00792306">
        <w:rPr>
          <w:rFonts w:ascii="Palatino Linotype" w:eastAsia="Palatino Linotype" w:hAnsi="Palatino Linotype" w:cs="Palatino Linotype"/>
          <w:b/>
        </w:rPr>
        <w:t xml:space="preserve"> fundadas</w:t>
      </w:r>
      <w:r w:rsidRPr="00792306">
        <w:rPr>
          <w:rFonts w:ascii="Palatino Linotype" w:eastAsia="Palatino Linotype" w:hAnsi="Palatino Linotype" w:cs="Palatino Linotype"/>
        </w:rPr>
        <w:t xml:space="preserve"> las razones o motivos de inconformidad hechos valer por la parte</w:t>
      </w:r>
      <w:r w:rsidRPr="00792306">
        <w:rPr>
          <w:rFonts w:ascii="Palatino Linotype" w:eastAsia="Palatino Linotype" w:hAnsi="Palatino Linotype" w:cs="Palatino Linotype"/>
          <w:b/>
        </w:rPr>
        <w:t xml:space="preserve"> Recurrente</w:t>
      </w:r>
      <w:r w:rsidRPr="00792306">
        <w:rPr>
          <w:rFonts w:ascii="Palatino Linotype" w:eastAsia="Palatino Linotype" w:hAnsi="Palatino Linotype" w:cs="Palatino Linotype"/>
        </w:rPr>
        <w:t xml:space="preserve"> en el recurso de revisión </w:t>
      </w:r>
      <w:r w:rsidRPr="00792306">
        <w:rPr>
          <w:rFonts w:ascii="Palatino Linotype" w:eastAsia="Palatino Linotype" w:hAnsi="Palatino Linotype" w:cs="Palatino Linotype"/>
          <w:b/>
        </w:rPr>
        <w:t>07559/INFOEM/IP/RR/2024</w:t>
      </w:r>
      <w:r w:rsidRPr="00792306">
        <w:rPr>
          <w:rFonts w:ascii="Palatino Linotype" w:eastAsia="Palatino Linotype" w:hAnsi="Palatino Linotype" w:cs="Palatino Linotype"/>
        </w:rPr>
        <w:t xml:space="preserve">; por lo que, en términos del </w:t>
      </w:r>
      <w:r w:rsidRPr="00792306">
        <w:rPr>
          <w:rFonts w:ascii="Palatino Linotype" w:eastAsia="Palatino Linotype" w:hAnsi="Palatino Linotype" w:cs="Palatino Linotype"/>
          <w:b/>
        </w:rPr>
        <w:t>Considerando</w:t>
      </w:r>
      <w:r w:rsidRPr="00792306">
        <w:rPr>
          <w:rFonts w:ascii="Palatino Linotype" w:eastAsia="Palatino Linotype" w:hAnsi="Palatino Linotype" w:cs="Palatino Linotype"/>
        </w:rPr>
        <w:t xml:space="preserve"> </w:t>
      </w:r>
      <w:r w:rsidRPr="00792306">
        <w:rPr>
          <w:rFonts w:ascii="Palatino Linotype" w:eastAsia="Palatino Linotype" w:hAnsi="Palatino Linotype" w:cs="Palatino Linotype"/>
          <w:b/>
        </w:rPr>
        <w:t xml:space="preserve">Cuarto </w:t>
      </w:r>
      <w:r w:rsidRPr="00792306">
        <w:rPr>
          <w:rFonts w:ascii="Palatino Linotype" w:eastAsia="Palatino Linotype" w:hAnsi="Palatino Linotype" w:cs="Palatino Linotype"/>
        </w:rPr>
        <w:t xml:space="preserve">de esta resolución, se </w:t>
      </w:r>
      <w:r w:rsidRPr="00792306">
        <w:rPr>
          <w:rFonts w:ascii="Palatino Linotype" w:eastAsia="Palatino Linotype" w:hAnsi="Palatino Linotype" w:cs="Palatino Linotype"/>
          <w:b/>
        </w:rPr>
        <w:t xml:space="preserve">Modifica </w:t>
      </w:r>
      <w:r w:rsidRPr="00792306">
        <w:rPr>
          <w:rFonts w:ascii="Palatino Linotype" w:eastAsia="Palatino Linotype" w:hAnsi="Palatino Linotype" w:cs="Palatino Linotype"/>
        </w:rPr>
        <w:t xml:space="preserve">la respuesta emitida por el </w:t>
      </w:r>
      <w:r w:rsidRPr="00792306">
        <w:rPr>
          <w:rFonts w:ascii="Palatino Linotype" w:eastAsia="Palatino Linotype" w:hAnsi="Palatino Linotype" w:cs="Palatino Linotype"/>
          <w:b/>
        </w:rPr>
        <w:t xml:space="preserve">Sujeto Obligado. </w:t>
      </w:r>
    </w:p>
    <w:p w14:paraId="05DEF3A4" w14:textId="77777777" w:rsidR="00526623" w:rsidRPr="00792306" w:rsidRDefault="00BF0235">
      <w:pPr>
        <w:tabs>
          <w:tab w:val="left" w:pos="5040"/>
        </w:tabs>
        <w:spacing w:before="240" w:after="240" w:line="360" w:lineRule="auto"/>
        <w:ind w:right="49"/>
        <w:jc w:val="both"/>
        <w:rPr>
          <w:rFonts w:ascii="Palatino Linotype" w:eastAsia="Palatino Linotype" w:hAnsi="Palatino Linotype" w:cs="Palatino Linotype"/>
        </w:rPr>
      </w:pPr>
      <w:r w:rsidRPr="00792306">
        <w:rPr>
          <w:rFonts w:ascii="Palatino Linotype" w:eastAsia="Palatino Linotype" w:hAnsi="Palatino Linotype" w:cs="Palatino Linotype"/>
          <w:b/>
        </w:rPr>
        <w:t xml:space="preserve">Segundo. </w:t>
      </w:r>
      <w:r w:rsidRPr="00792306">
        <w:rPr>
          <w:rFonts w:ascii="Palatino Linotype" w:eastAsia="Palatino Linotype" w:hAnsi="Palatino Linotype" w:cs="Palatino Linotype"/>
        </w:rPr>
        <w:t xml:space="preserve">Se </w:t>
      </w:r>
      <w:r w:rsidRPr="00792306">
        <w:rPr>
          <w:rFonts w:ascii="Palatino Linotype" w:eastAsia="Palatino Linotype" w:hAnsi="Palatino Linotype" w:cs="Palatino Linotype"/>
          <w:b/>
        </w:rPr>
        <w:t xml:space="preserve">Ordena </w:t>
      </w:r>
      <w:r w:rsidRPr="00792306">
        <w:rPr>
          <w:rFonts w:ascii="Palatino Linotype" w:eastAsia="Palatino Linotype" w:hAnsi="Palatino Linotype" w:cs="Palatino Linotype"/>
        </w:rPr>
        <w:t xml:space="preserve">al </w:t>
      </w:r>
      <w:r w:rsidRPr="00792306">
        <w:rPr>
          <w:rFonts w:ascii="Palatino Linotype" w:eastAsia="Palatino Linotype" w:hAnsi="Palatino Linotype" w:cs="Palatino Linotype"/>
          <w:b/>
        </w:rPr>
        <w:t xml:space="preserve">Sujeto Obligado, </w:t>
      </w:r>
      <w:r w:rsidRPr="00792306">
        <w:rPr>
          <w:rFonts w:ascii="Palatino Linotype" w:eastAsia="Palatino Linotype" w:hAnsi="Palatino Linotype" w:cs="Palatino Linotype"/>
        </w:rPr>
        <w:t xml:space="preserve">en términos de los </w:t>
      </w:r>
      <w:r w:rsidRPr="00792306">
        <w:rPr>
          <w:rFonts w:ascii="Palatino Linotype" w:eastAsia="Palatino Linotype" w:hAnsi="Palatino Linotype" w:cs="Palatino Linotype"/>
          <w:b/>
        </w:rPr>
        <w:t>Considerandos</w:t>
      </w:r>
      <w:r w:rsidRPr="00792306">
        <w:rPr>
          <w:rFonts w:ascii="Palatino Linotype" w:eastAsia="Palatino Linotype" w:hAnsi="Palatino Linotype" w:cs="Palatino Linotype"/>
        </w:rPr>
        <w:t xml:space="preserve"> </w:t>
      </w:r>
      <w:r w:rsidRPr="00792306">
        <w:rPr>
          <w:rFonts w:ascii="Palatino Linotype" w:eastAsia="Palatino Linotype" w:hAnsi="Palatino Linotype" w:cs="Palatino Linotype"/>
          <w:b/>
        </w:rPr>
        <w:t xml:space="preserve">Cuarto </w:t>
      </w:r>
      <w:r w:rsidRPr="00792306">
        <w:rPr>
          <w:rFonts w:ascii="Palatino Linotype" w:eastAsia="Palatino Linotype" w:hAnsi="Palatino Linotype" w:cs="Palatino Linotype"/>
        </w:rPr>
        <w:t>y</w:t>
      </w:r>
      <w:r w:rsidRPr="00792306">
        <w:rPr>
          <w:rFonts w:ascii="Palatino Linotype" w:eastAsia="Palatino Linotype" w:hAnsi="Palatino Linotype" w:cs="Palatino Linotype"/>
          <w:b/>
        </w:rPr>
        <w:t xml:space="preserve"> Quinto </w:t>
      </w:r>
      <w:r w:rsidRPr="00792306">
        <w:rPr>
          <w:rFonts w:ascii="Palatino Linotype" w:eastAsia="Palatino Linotype" w:hAnsi="Palatino Linotype" w:cs="Palatino Linotype"/>
        </w:rPr>
        <w:t xml:space="preserve">de esta resolución, haga entrega, vía </w:t>
      </w:r>
      <w:r w:rsidRPr="00792306">
        <w:rPr>
          <w:rFonts w:ascii="Palatino Linotype" w:eastAsia="Palatino Linotype" w:hAnsi="Palatino Linotype" w:cs="Palatino Linotype"/>
          <w:b/>
        </w:rPr>
        <w:t>SAIMEX,</w:t>
      </w:r>
      <w:r w:rsidRPr="00792306">
        <w:rPr>
          <w:rFonts w:ascii="Palatino Linotype" w:eastAsia="Palatino Linotype" w:hAnsi="Palatino Linotype" w:cs="Palatino Linotype"/>
        </w:rPr>
        <w:t xml:space="preserve"> de ser procedente en versión pública, lo siguiente:</w:t>
      </w:r>
    </w:p>
    <w:p w14:paraId="55357CF8" w14:textId="77777777" w:rsidR="00526623" w:rsidRPr="00792306" w:rsidRDefault="00BF0235">
      <w:pPr>
        <w:numPr>
          <w:ilvl w:val="0"/>
          <w:numId w:val="1"/>
        </w:numPr>
        <w:pBdr>
          <w:top w:val="nil"/>
          <w:left w:val="nil"/>
          <w:bottom w:val="nil"/>
          <w:right w:val="nil"/>
          <w:between w:val="nil"/>
        </w:pBdr>
        <w:tabs>
          <w:tab w:val="left" w:pos="567"/>
        </w:tabs>
        <w:spacing w:after="240" w:line="276" w:lineRule="auto"/>
        <w:ind w:left="284" w:right="51" w:firstLine="0"/>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Fallo del Procedimiento Administrativo de Enajenación de Bienes mediante Adjudicación Directa número INFOEM/AD-001/2024, remitido en respuesta. </w:t>
      </w:r>
    </w:p>
    <w:p w14:paraId="00081E40" w14:textId="77777777" w:rsidR="00526623" w:rsidRPr="00792306" w:rsidRDefault="00BF0235">
      <w:pPr>
        <w:spacing w:before="240" w:after="240"/>
        <w:ind w:left="284" w:firstLine="1"/>
        <w:jc w:val="both"/>
        <w:rPr>
          <w:rFonts w:ascii="Palatino Linotype" w:eastAsia="Palatino Linotype" w:hAnsi="Palatino Linotype" w:cs="Palatino Linotype"/>
          <w:sz w:val="20"/>
          <w:szCs w:val="20"/>
        </w:rPr>
      </w:pPr>
      <w:bookmarkStart w:id="9" w:name="_heading=h.1ksv4uv" w:colFirst="0" w:colLast="0"/>
      <w:bookmarkEnd w:id="9"/>
      <w:r w:rsidRPr="00792306">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que se deberá poner a disposición de la parte </w:t>
      </w:r>
      <w:r w:rsidRPr="00792306">
        <w:rPr>
          <w:rFonts w:ascii="Palatino Linotype" w:eastAsia="Palatino Linotype" w:hAnsi="Palatino Linotype" w:cs="Palatino Linotype"/>
          <w:b/>
          <w:i/>
          <w:sz w:val="20"/>
          <w:szCs w:val="20"/>
        </w:rPr>
        <w:t>Recurrente</w:t>
      </w:r>
      <w:r w:rsidRPr="00792306">
        <w:rPr>
          <w:rFonts w:ascii="Palatino Linotype" w:eastAsia="Palatino Linotype" w:hAnsi="Palatino Linotype" w:cs="Palatino Linotype"/>
          <w:i/>
          <w:sz w:val="20"/>
          <w:szCs w:val="20"/>
        </w:rPr>
        <w:t>.</w:t>
      </w:r>
    </w:p>
    <w:p w14:paraId="527D1CCB"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b/>
        </w:rPr>
        <w:t xml:space="preserve">Tercero. Notifíquese, </w:t>
      </w:r>
      <w:r w:rsidRPr="00792306">
        <w:rPr>
          <w:rFonts w:ascii="Palatino Linotype" w:eastAsia="Palatino Linotype" w:hAnsi="Palatino Linotype" w:cs="Palatino Linotype"/>
        </w:rPr>
        <w:t xml:space="preserve">vía </w:t>
      </w:r>
      <w:r w:rsidRPr="00792306">
        <w:rPr>
          <w:rFonts w:ascii="Palatino Linotype" w:eastAsia="Palatino Linotype" w:hAnsi="Palatino Linotype" w:cs="Palatino Linotype"/>
          <w:b/>
        </w:rPr>
        <w:t>SAIMEX</w:t>
      </w:r>
      <w:r w:rsidRPr="00792306">
        <w:rPr>
          <w:rFonts w:ascii="Palatino Linotype" w:eastAsia="Palatino Linotype" w:hAnsi="Palatino Linotype" w:cs="Palatino Linotype"/>
        </w:rPr>
        <w:t xml:space="preserve">, al Titular de la Unidad de Transparencia del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792306">
        <w:rPr>
          <w:rFonts w:ascii="Palatino Linotype" w:eastAsia="Palatino Linotype" w:hAnsi="Palatino Linotype" w:cs="Palatino Linotype"/>
        </w:rPr>
        <w:lastRenderedPageBreak/>
        <w:t>previsto en los artículos 198, 200, fracción III; 214, 215 y 216 de la Ley  de Transparencia y Acceso a la Información Pública del Estado de México y Municipios.</w:t>
      </w:r>
    </w:p>
    <w:p w14:paraId="24C683A5" w14:textId="77777777" w:rsidR="00526623" w:rsidRPr="00792306"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792306">
        <w:rPr>
          <w:rFonts w:ascii="Palatino Linotype" w:eastAsia="Palatino Linotype" w:hAnsi="Palatino Linotype" w:cs="Palatino Linotype"/>
          <w:b/>
        </w:rPr>
        <w:t>Sujeto Obligado</w:t>
      </w:r>
      <w:r w:rsidRPr="00792306">
        <w:rPr>
          <w:rFonts w:ascii="Palatino Linotype" w:eastAsia="Palatino Linotype" w:hAnsi="Palatino Linotype" w:cs="Palatino Linotype"/>
        </w:rPr>
        <w:t xml:space="preserve"> de manera fundada y motivada, podrá solicitar una ampliación de plazo para el cumplimiento de la presente resolución.</w:t>
      </w:r>
    </w:p>
    <w:p w14:paraId="6EB527A2" w14:textId="77777777" w:rsidR="00526623" w:rsidRPr="00792306" w:rsidRDefault="00BF0235">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792306">
        <w:rPr>
          <w:rFonts w:ascii="Palatino Linotype" w:eastAsia="Palatino Linotype" w:hAnsi="Palatino Linotype" w:cs="Palatino Linotype"/>
          <w:b/>
        </w:rPr>
        <w:t>Cuarto.  Notifíquese, vía SAIMEX</w:t>
      </w:r>
      <w:r w:rsidRPr="00792306">
        <w:rPr>
          <w:rFonts w:ascii="Palatino Linotype" w:eastAsia="Palatino Linotype" w:hAnsi="Palatino Linotype" w:cs="Palatino Linotype"/>
        </w:rPr>
        <w:t xml:space="preserve"> a la parte </w:t>
      </w:r>
      <w:r w:rsidRPr="00792306">
        <w:rPr>
          <w:rFonts w:ascii="Palatino Linotype" w:eastAsia="Palatino Linotype" w:hAnsi="Palatino Linotype" w:cs="Palatino Linotype"/>
          <w:b/>
        </w:rPr>
        <w:t xml:space="preserve">Recurrente </w:t>
      </w:r>
      <w:r w:rsidRPr="00792306">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36BE51C3" w14:textId="77777777" w:rsidR="00526623" w:rsidRPr="00043ED9" w:rsidRDefault="00BF0235">
      <w:pPr>
        <w:spacing w:before="240" w:after="240" w:line="360" w:lineRule="auto"/>
        <w:jc w:val="both"/>
        <w:rPr>
          <w:rFonts w:ascii="Palatino Linotype" w:eastAsia="Palatino Linotype" w:hAnsi="Palatino Linotype" w:cs="Palatino Linotype"/>
        </w:rPr>
      </w:pPr>
      <w:r w:rsidRPr="0079230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14:paraId="3E536C7F" w14:textId="77777777" w:rsidR="00526623" w:rsidRPr="00043ED9" w:rsidRDefault="00526623">
      <w:pPr>
        <w:spacing w:line="360" w:lineRule="auto"/>
        <w:jc w:val="both"/>
        <w:rPr>
          <w:rFonts w:ascii="Palatino Linotype" w:eastAsia="Palatino Linotype" w:hAnsi="Palatino Linotype" w:cs="Palatino Linotype"/>
        </w:rPr>
      </w:pPr>
      <w:bookmarkStart w:id="11" w:name="_heading=h.1fob9te" w:colFirst="0" w:colLast="0"/>
      <w:bookmarkEnd w:id="11"/>
    </w:p>
    <w:p w14:paraId="217628FE" w14:textId="77777777" w:rsidR="00526623" w:rsidRPr="00043ED9" w:rsidRDefault="00526623">
      <w:pPr>
        <w:rPr>
          <w:rFonts w:ascii="Palatino Linotype" w:eastAsia="Palatino Linotype" w:hAnsi="Palatino Linotype" w:cs="Palatino Linotype"/>
        </w:rPr>
      </w:pPr>
    </w:p>
    <w:p w14:paraId="4D0F5E7B" w14:textId="77777777" w:rsidR="00526623" w:rsidRPr="00043ED9" w:rsidRDefault="00526623">
      <w:pPr>
        <w:rPr>
          <w:rFonts w:ascii="Palatino Linotype" w:eastAsia="Palatino Linotype" w:hAnsi="Palatino Linotype" w:cs="Palatino Linotype"/>
        </w:rPr>
      </w:pPr>
    </w:p>
    <w:p w14:paraId="61A87617" w14:textId="77777777" w:rsidR="00526623" w:rsidRPr="00043ED9" w:rsidRDefault="00526623">
      <w:pPr>
        <w:rPr>
          <w:rFonts w:ascii="Palatino Linotype" w:eastAsia="Palatino Linotype" w:hAnsi="Palatino Linotype" w:cs="Palatino Linotype"/>
        </w:rPr>
      </w:pPr>
    </w:p>
    <w:p w14:paraId="16C72F4B" w14:textId="77777777" w:rsidR="00526623" w:rsidRPr="00043ED9" w:rsidRDefault="00526623">
      <w:pPr>
        <w:rPr>
          <w:rFonts w:ascii="Palatino Linotype" w:eastAsia="Palatino Linotype" w:hAnsi="Palatino Linotype" w:cs="Palatino Linotype"/>
        </w:rPr>
      </w:pPr>
    </w:p>
    <w:p w14:paraId="726E090A" w14:textId="77777777" w:rsidR="00526623" w:rsidRPr="00043ED9" w:rsidRDefault="00526623">
      <w:pPr>
        <w:rPr>
          <w:rFonts w:ascii="Palatino Linotype" w:eastAsia="Palatino Linotype" w:hAnsi="Palatino Linotype" w:cs="Palatino Linotype"/>
        </w:rPr>
      </w:pPr>
    </w:p>
    <w:p w14:paraId="025DB8B3" w14:textId="77777777" w:rsidR="00526623" w:rsidRPr="00043ED9" w:rsidRDefault="00526623">
      <w:pPr>
        <w:rPr>
          <w:rFonts w:ascii="Palatino Linotype" w:eastAsia="Palatino Linotype" w:hAnsi="Palatino Linotype" w:cs="Palatino Linotype"/>
        </w:rPr>
      </w:pPr>
    </w:p>
    <w:p w14:paraId="60836C70" w14:textId="77777777" w:rsidR="00526623" w:rsidRPr="00043ED9" w:rsidRDefault="00526623">
      <w:pPr>
        <w:rPr>
          <w:rFonts w:ascii="Palatino Linotype" w:eastAsia="Palatino Linotype" w:hAnsi="Palatino Linotype" w:cs="Palatino Linotype"/>
        </w:rPr>
      </w:pPr>
    </w:p>
    <w:p w14:paraId="2CE3F47C" w14:textId="77777777" w:rsidR="00526623" w:rsidRPr="00043ED9" w:rsidRDefault="00526623">
      <w:pPr>
        <w:rPr>
          <w:rFonts w:ascii="Palatino Linotype" w:eastAsia="Palatino Linotype" w:hAnsi="Palatino Linotype" w:cs="Palatino Linotype"/>
        </w:rPr>
      </w:pPr>
    </w:p>
    <w:p w14:paraId="402703D3" w14:textId="77777777" w:rsidR="00526623" w:rsidRPr="00043ED9" w:rsidRDefault="00526623">
      <w:pPr>
        <w:rPr>
          <w:rFonts w:ascii="Palatino Linotype" w:eastAsia="Palatino Linotype" w:hAnsi="Palatino Linotype" w:cs="Palatino Linotype"/>
        </w:rPr>
      </w:pPr>
    </w:p>
    <w:p w14:paraId="33CA9A22" w14:textId="77777777" w:rsidR="00526623" w:rsidRPr="00043ED9" w:rsidRDefault="00526623">
      <w:pPr>
        <w:spacing w:line="360" w:lineRule="auto"/>
        <w:jc w:val="both"/>
        <w:rPr>
          <w:rFonts w:ascii="Palatino Linotype" w:eastAsia="Palatino Linotype" w:hAnsi="Palatino Linotype" w:cs="Palatino Linotype"/>
        </w:rPr>
      </w:pPr>
      <w:bookmarkStart w:id="12" w:name="_heading=h.3rdcrjn" w:colFirst="0" w:colLast="0"/>
      <w:bookmarkEnd w:id="12"/>
    </w:p>
    <w:p w14:paraId="7E87D414" w14:textId="77777777" w:rsidR="00526623" w:rsidRPr="00043ED9" w:rsidRDefault="00526623">
      <w:pPr>
        <w:spacing w:line="360" w:lineRule="auto"/>
        <w:jc w:val="both"/>
        <w:rPr>
          <w:rFonts w:ascii="Palatino Linotype" w:eastAsia="Palatino Linotype" w:hAnsi="Palatino Linotype" w:cs="Palatino Linotype"/>
        </w:rPr>
      </w:pPr>
    </w:p>
    <w:p w14:paraId="3BDFF947" w14:textId="77777777" w:rsidR="00526623" w:rsidRPr="00043ED9" w:rsidRDefault="00526623">
      <w:pPr>
        <w:spacing w:line="360" w:lineRule="auto"/>
        <w:jc w:val="both"/>
        <w:rPr>
          <w:rFonts w:ascii="Palatino Linotype" w:eastAsia="Palatino Linotype" w:hAnsi="Palatino Linotype" w:cs="Palatino Linotype"/>
        </w:rPr>
      </w:pPr>
    </w:p>
    <w:p w14:paraId="1A6AF5EE" w14:textId="77777777" w:rsidR="00526623" w:rsidRPr="00043ED9" w:rsidRDefault="00526623">
      <w:pPr>
        <w:spacing w:line="360" w:lineRule="auto"/>
        <w:jc w:val="both"/>
        <w:rPr>
          <w:rFonts w:ascii="Palatino Linotype" w:eastAsia="Palatino Linotype" w:hAnsi="Palatino Linotype" w:cs="Palatino Linotype"/>
        </w:rPr>
      </w:pPr>
      <w:bookmarkStart w:id="13" w:name="_heading=h.1t3h5sf" w:colFirst="0" w:colLast="0"/>
      <w:bookmarkEnd w:id="13"/>
    </w:p>
    <w:p w14:paraId="14697CD6" w14:textId="77777777" w:rsidR="00526623" w:rsidRPr="00043ED9" w:rsidRDefault="00526623">
      <w:pPr>
        <w:spacing w:line="360" w:lineRule="auto"/>
        <w:jc w:val="both"/>
        <w:rPr>
          <w:rFonts w:ascii="Palatino Linotype" w:eastAsia="Palatino Linotype" w:hAnsi="Palatino Linotype" w:cs="Palatino Linotype"/>
        </w:rPr>
      </w:pPr>
    </w:p>
    <w:p w14:paraId="2DE6DB42" w14:textId="77777777" w:rsidR="00526623" w:rsidRPr="00043ED9" w:rsidRDefault="00526623">
      <w:pPr>
        <w:spacing w:line="360" w:lineRule="auto"/>
        <w:jc w:val="both"/>
        <w:rPr>
          <w:rFonts w:ascii="Palatino Linotype" w:eastAsia="Palatino Linotype" w:hAnsi="Palatino Linotype" w:cs="Palatino Linotype"/>
        </w:rPr>
      </w:pPr>
    </w:p>
    <w:p w14:paraId="0C7651B0" w14:textId="77777777" w:rsidR="00526623" w:rsidRPr="00043ED9" w:rsidRDefault="00526623">
      <w:pPr>
        <w:spacing w:line="360" w:lineRule="auto"/>
        <w:jc w:val="both"/>
        <w:rPr>
          <w:rFonts w:ascii="Palatino Linotype" w:eastAsia="Palatino Linotype" w:hAnsi="Palatino Linotype" w:cs="Palatino Linotype"/>
        </w:rPr>
      </w:pPr>
    </w:p>
    <w:p w14:paraId="32289731" w14:textId="77777777" w:rsidR="00526623" w:rsidRPr="00043ED9" w:rsidRDefault="00526623">
      <w:pPr>
        <w:spacing w:line="360" w:lineRule="auto"/>
        <w:jc w:val="both"/>
        <w:rPr>
          <w:rFonts w:ascii="Palatino Linotype" w:eastAsia="Palatino Linotype" w:hAnsi="Palatino Linotype" w:cs="Palatino Linotype"/>
        </w:rPr>
      </w:pPr>
    </w:p>
    <w:p w14:paraId="5A3D0CDD" w14:textId="77777777" w:rsidR="00526623" w:rsidRPr="00043ED9" w:rsidRDefault="00526623">
      <w:pPr>
        <w:spacing w:line="360" w:lineRule="auto"/>
        <w:jc w:val="both"/>
        <w:rPr>
          <w:rFonts w:ascii="Palatino Linotype" w:eastAsia="Palatino Linotype" w:hAnsi="Palatino Linotype" w:cs="Palatino Linotype"/>
        </w:rPr>
      </w:pPr>
    </w:p>
    <w:p w14:paraId="732360DC" w14:textId="77777777" w:rsidR="00526623" w:rsidRPr="00043ED9" w:rsidRDefault="00526623">
      <w:pPr>
        <w:spacing w:line="360" w:lineRule="auto"/>
        <w:jc w:val="both"/>
        <w:rPr>
          <w:rFonts w:ascii="Palatino Linotype" w:eastAsia="Palatino Linotype" w:hAnsi="Palatino Linotype" w:cs="Palatino Linotype"/>
        </w:rPr>
      </w:pPr>
    </w:p>
    <w:p w14:paraId="2F47CB50" w14:textId="77777777" w:rsidR="00526623" w:rsidRPr="00043ED9" w:rsidRDefault="00526623">
      <w:pPr>
        <w:spacing w:line="360" w:lineRule="auto"/>
        <w:jc w:val="both"/>
        <w:rPr>
          <w:rFonts w:ascii="Palatino Linotype" w:eastAsia="Palatino Linotype" w:hAnsi="Palatino Linotype" w:cs="Palatino Linotype"/>
        </w:rPr>
      </w:pPr>
    </w:p>
    <w:p w14:paraId="704F8B69" w14:textId="77777777" w:rsidR="00526623" w:rsidRPr="00043ED9" w:rsidRDefault="00526623">
      <w:pPr>
        <w:spacing w:line="360" w:lineRule="auto"/>
        <w:jc w:val="both"/>
        <w:rPr>
          <w:rFonts w:ascii="Palatino Linotype" w:eastAsia="Palatino Linotype" w:hAnsi="Palatino Linotype" w:cs="Palatino Linotype"/>
        </w:rPr>
      </w:pPr>
    </w:p>
    <w:p w14:paraId="36A422B2" w14:textId="77777777" w:rsidR="00526623" w:rsidRPr="00043ED9" w:rsidRDefault="00526623">
      <w:pPr>
        <w:spacing w:line="360" w:lineRule="auto"/>
        <w:jc w:val="both"/>
        <w:rPr>
          <w:rFonts w:ascii="Palatino Linotype" w:eastAsia="Palatino Linotype" w:hAnsi="Palatino Linotype" w:cs="Palatino Linotype"/>
        </w:rPr>
      </w:pPr>
    </w:p>
    <w:p w14:paraId="51D3E1B4" w14:textId="77777777" w:rsidR="00526623" w:rsidRPr="00043ED9" w:rsidRDefault="00526623">
      <w:pPr>
        <w:spacing w:line="360" w:lineRule="auto"/>
        <w:jc w:val="both"/>
        <w:rPr>
          <w:rFonts w:ascii="Palatino Linotype" w:eastAsia="Palatino Linotype" w:hAnsi="Palatino Linotype" w:cs="Palatino Linotype"/>
        </w:rPr>
      </w:pPr>
    </w:p>
    <w:p w14:paraId="48868477" w14:textId="77777777" w:rsidR="00526623" w:rsidRPr="00043ED9" w:rsidRDefault="00526623">
      <w:pPr>
        <w:spacing w:line="360" w:lineRule="auto"/>
        <w:jc w:val="both"/>
        <w:rPr>
          <w:rFonts w:ascii="Palatino Linotype" w:eastAsia="Palatino Linotype" w:hAnsi="Palatino Linotype" w:cs="Palatino Linotype"/>
        </w:rPr>
      </w:pPr>
    </w:p>
    <w:sectPr w:rsidR="00526623" w:rsidRPr="00043ED9">
      <w:headerReference w:type="default" r:id="rId13"/>
      <w:footerReference w:type="default" r:id="rId14"/>
      <w:headerReference w:type="first" r:id="rId15"/>
      <w:footerReference w:type="first" r:id="rId16"/>
      <w:pgSz w:w="12240" w:h="15840"/>
      <w:pgMar w:top="1985" w:right="1750"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4200" w14:textId="77777777" w:rsidR="0034142E" w:rsidRDefault="0034142E">
      <w:r>
        <w:separator/>
      </w:r>
    </w:p>
  </w:endnote>
  <w:endnote w:type="continuationSeparator" w:id="0">
    <w:p w14:paraId="087504B2" w14:textId="77777777" w:rsidR="0034142E" w:rsidRDefault="0034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EC70" w14:textId="77777777" w:rsidR="00526623" w:rsidRDefault="00BF023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465E0">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465E0">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4EB94E91" w14:textId="77777777" w:rsidR="00526623" w:rsidRDefault="0052662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0918" w14:textId="77777777" w:rsidR="00526623" w:rsidRDefault="00BF023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465E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465E0">
      <w:rPr>
        <w:rFonts w:ascii="Palatino Linotype" w:eastAsia="Palatino Linotype" w:hAnsi="Palatino Linotype" w:cs="Palatino Linotype"/>
        <w:b/>
        <w:noProof/>
        <w:color w:val="000000"/>
        <w:sz w:val="20"/>
        <w:szCs w:val="20"/>
      </w:rPr>
      <w:t>49</w:t>
    </w:r>
    <w:r>
      <w:rPr>
        <w:rFonts w:ascii="Palatino Linotype" w:eastAsia="Palatino Linotype" w:hAnsi="Palatino Linotype" w:cs="Palatino Linotype"/>
        <w:b/>
        <w:color w:val="000000"/>
        <w:sz w:val="20"/>
        <w:szCs w:val="20"/>
      </w:rPr>
      <w:fldChar w:fldCharType="end"/>
    </w:r>
  </w:p>
  <w:p w14:paraId="23B8AE7E" w14:textId="77777777" w:rsidR="00526623" w:rsidRDefault="0052662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A227" w14:textId="77777777" w:rsidR="0034142E" w:rsidRDefault="0034142E">
      <w:r>
        <w:separator/>
      </w:r>
    </w:p>
  </w:footnote>
  <w:footnote w:type="continuationSeparator" w:id="0">
    <w:p w14:paraId="1939A997" w14:textId="77777777" w:rsidR="0034142E" w:rsidRDefault="0034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E691" w14:textId="77777777" w:rsidR="00526623" w:rsidRDefault="00BF0235">
    <w:pPr>
      <w:rPr>
        <w:rFonts w:ascii="Cambria" w:eastAsia="Cambria" w:hAnsi="Cambria" w:cs="Cambria"/>
        <w:color w:val="000000"/>
      </w:rPr>
    </w:pPr>
    <w:r>
      <w:rPr>
        <w:noProof/>
      </w:rPr>
      <w:drawing>
        <wp:anchor distT="0" distB="0" distL="0" distR="0" simplePos="0" relativeHeight="251658240" behindDoc="1" locked="0" layoutInCell="1" hidden="0" allowOverlap="1" wp14:anchorId="47FBA0DC" wp14:editId="1B56E7CC">
          <wp:simplePos x="0" y="0"/>
          <wp:positionH relativeFrom="column">
            <wp:posOffset>-1080101</wp:posOffset>
          </wp:positionH>
          <wp:positionV relativeFrom="paragraph">
            <wp:posOffset>-488275</wp:posOffset>
          </wp:positionV>
          <wp:extent cx="7809865" cy="1016571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3"/>
      <w:tblW w:w="5953" w:type="dxa"/>
      <w:tblInd w:w="3261" w:type="dxa"/>
      <w:tblLayout w:type="fixed"/>
      <w:tblLook w:val="0400" w:firstRow="0" w:lastRow="0" w:firstColumn="0" w:lastColumn="0" w:noHBand="0" w:noVBand="1"/>
    </w:tblPr>
    <w:tblGrid>
      <w:gridCol w:w="2489"/>
      <w:gridCol w:w="3464"/>
    </w:tblGrid>
    <w:tr w:rsidR="00526623" w14:paraId="25FC1F41" w14:textId="77777777">
      <w:tc>
        <w:tcPr>
          <w:tcW w:w="2489" w:type="dxa"/>
          <w:shd w:val="clear" w:color="auto" w:fill="auto"/>
        </w:tcPr>
        <w:p w14:paraId="6A800956" w14:textId="77777777" w:rsidR="00526623" w:rsidRDefault="00BF023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CF31F14" w14:textId="77777777" w:rsidR="00526623" w:rsidRDefault="00BF023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07559/INFOEM/IP/RR/2024</w:t>
          </w:r>
        </w:p>
      </w:tc>
    </w:tr>
    <w:tr w:rsidR="00526623" w14:paraId="02D508A6" w14:textId="77777777">
      <w:trPr>
        <w:trHeight w:val="228"/>
      </w:trPr>
      <w:tc>
        <w:tcPr>
          <w:tcW w:w="2489" w:type="dxa"/>
          <w:shd w:val="clear" w:color="auto" w:fill="auto"/>
          <w:vAlign w:val="center"/>
        </w:tcPr>
        <w:p w14:paraId="5447C40C" w14:textId="77777777" w:rsidR="00526623" w:rsidRDefault="00BF023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038EC7B" w14:textId="77777777" w:rsidR="00526623" w:rsidRDefault="00BF023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526623" w14:paraId="07B65460" w14:textId="77777777">
      <w:tc>
        <w:tcPr>
          <w:tcW w:w="2489" w:type="dxa"/>
          <w:shd w:val="clear" w:color="auto" w:fill="auto"/>
          <w:vAlign w:val="center"/>
        </w:tcPr>
        <w:p w14:paraId="41B9733D" w14:textId="77777777" w:rsidR="00526623" w:rsidRDefault="00BF023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286C814" w14:textId="77777777" w:rsidR="00526623" w:rsidRDefault="00BF023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8CFA7B0" w14:textId="77777777" w:rsidR="00526623" w:rsidRDefault="00BF023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5528" w14:textId="77777777" w:rsidR="00526623" w:rsidRDefault="00BF023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700748B6" wp14:editId="627D5285">
          <wp:simplePos x="0" y="0"/>
          <wp:positionH relativeFrom="column">
            <wp:posOffset>-1080127</wp:posOffset>
          </wp:positionH>
          <wp:positionV relativeFrom="paragraph">
            <wp:posOffset>-369902</wp:posOffset>
          </wp:positionV>
          <wp:extent cx="7809865" cy="1016571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5953" w:type="dxa"/>
      <w:tblInd w:w="3261" w:type="dxa"/>
      <w:tblLayout w:type="fixed"/>
      <w:tblLook w:val="0400" w:firstRow="0" w:lastRow="0" w:firstColumn="0" w:lastColumn="0" w:noHBand="0" w:noVBand="1"/>
    </w:tblPr>
    <w:tblGrid>
      <w:gridCol w:w="2489"/>
      <w:gridCol w:w="3464"/>
    </w:tblGrid>
    <w:tr w:rsidR="00526623" w14:paraId="2A0FF0EA" w14:textId="77777777">
      <w:tc>
        <w:tcPr>
          <w:tcW w:w="2489" w:type="dxa"/>
          <w:shd w:val="clear" w:color="auto" w:fill="auto"/>
        </w:tcPr>
        <w:p w14:paraId="306BD10D" w14:textId="77777777" w:rsidR="00526623" w:rsidRDefault="00BF023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33F9A51" w14:textId="77777777" w:rsidR="00526623" w:rsidRDefault="00BF023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07559/INFOEM/IP/RR/2024</w:t>
          </w:r>
        </w:p>
      </w:tc>
    </w:tr>
    <w:tr w:rsidR="00526623" w14:paraId="4904EC64" w14:textId="77777777">
      <w:tc>
        <w:tcPr>
          <w:tcW w:w="2489" w:type="dxa"/>
          <w:shd w:val="clear" w:color="auto" w:fill="auto"/>
        </w:tcPr>
        <w:p w14:paraId="409A1288" w14:textId="77777777" w:rsidR="00526623" w:rsidRDefault="00BF023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71C5B6DB" w14:textId="77777777" w:rsidR="00526623" w:rsidRDefault="00526623">
          <w:pPr>
            <w:ind w:right="175"/>
            <w:jc w:val="both"/>
            <w:rPr>
              <w:rFonts w:ascii="Palatino Linotype" w:eastAsia="Palatino Linotype" w:hAnsi="Palatino Linotype" w:cs="Palatino Linotype"/>
              <w:b/>
              <w:sz w:val="22"/>
              <w:szCs w:val="22"/>
            </w:rPr>
          </w:pPr>
        </w:p>
      </w:tc>
    </w:tr>
    <w:tr w:rsidR="00526623" w14:paraId="2871FD11" w14:textId="77777777">
      <w:trPr>
        <w:trHeight w:val="228"/>
      </w:trPr>
      <w:tc>
        <w:tcPr>
          <w:tcW w:w="2489" w:type="dxa"/>
          <w:shd w:val="clear" w:color="auto" w:fill="auto"/>
          <w:vAlign w:val="center"/>
        </w:tcPr>
        <w:p w14:paraId="5CED837B" w14:textId="77777777" w:rsidR="00526623" w:rsidRDefault="00BF023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ED9E6A5" w14:textId="77777777" w:rsidR="00526623" w:rsidRDefault="00BF0235">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Transparencia, Acceso a la Información Pública y Protección de Datos Personales del Estado de México y Municipios</w:t>
          </w:r>
        </w:p>
      </w:tc>
    </w:tr>
    <w:tr w:rsidR="00526623" w14:paraId="3292A127" w14:textId="77777777">
      <w:tc>
        <w:tcPr>
          <w:tcW w:w="2489" w:type="dxa"/>
          <w:shd w:val="clear" w:color="auto" w:fill="auto"/>
          <w:vAlign w:val="center"/>
        </w:tcPr>
        <w:p w14:paraId="380646B3" w14:textId="77777777" w:rsidR="00526623" w:rsidRDefault="00BF023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3D30C7A" w14:textId="77777777" w:rsidR="00526623" w:rsidRDefault="00BF023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E3D202C" w14:textId="77777777" w:rsidR="00526623" w:rsidRDefault="005266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B65"/>
    <w:multiLevelType w:val="multilevel"/>
    <w:tmpl w:val="883E45BE"/>
    <w:lvl w:ilvl="0">
      <w:start w:val="1"/>
      <w:numFmt w:val="bullet"/>
      <w:pStyle w:val="Listaconvietas"/>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070F770A"/>
    <w:multiLevelType w:val="multilevel"/>
    <w:tmpl w:val="1F66F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AB5BFE"/>
    <w:multiLevelType w:val="multilevel"/>
    <w:tmpl w:val="F37A3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F954E7"/>
    <w:multiLevelType w:val="multilevel"/>
    <w:tmpl w:val="C218AB8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BB5F52"/>
    <w:multiLevelType w:val="multilevel"/>
    <w:tmpl w:val="512C620A"/>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663C501E"/>
    <w:multiLevelType w:val="multilevel"/>
    <w:tmpl w:val="883C08D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671432B8"/>
    <w:multiLevelType w:val="multilevel"/>
    <w:tmpl w:val="D3922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23"/>
    <w:rsid w:val="00043ED9"/>
    <w:rsid w:val="002B06EA"/>
    <w:rsid w:val="0034142E"/>
    <w:rsid w:val="00526623"/>
    <w:rsid w:val="00792306"/>
    <w:rsid w:val="00BF0235"/>
    <w:rsid w:val="00C465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3FD2"/>
  <w15:docId w15:val="{D779F1A6-3D6B-4AF3-AD1A-9D7A31CC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71"/>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character" w:customStyle="1" w:styleId="object">
    <w:name w:val="object"/>
    <w:basedOn w:val="Fuentedeprrafopredeter"/>
    <w:rsid w:val="003E1B7B"/>
  </w:style>
  <w:style w:type="character" w:styleId="Textoennegrita">
    <w:name w:val="Strong"/>
    <w:basedOn w:val="Fuentedeprrafopredeter"/>
    <w:uiPriority w:val="22"/>
    <w:qFormat/>
    <w:rsid w:val="003E1B7B"/>
    <w:rPr>
      <w:b/>
      <w:bCs/>
    </w:r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576276"/>
    <w:rPr>
      <w:color w:val="605E5C"/>
      <w:shd w:val="clear" w:color="auto" w:fill="E1DFDD"/>
    </w:rPr>
  </w:style>
  <w:style w:type="paragraph" w:styleId="Textoindependiente">
    <w:name w:val="Body Text"/>
    <w:basedOn w:val="Normal"/>
    <w:link w:val="TextoindependienteCar"/>
    <w:uiPriority w:val="1"/>
    <w:qFormat/>
    <w:rsid w:val="001E4A02"/>
    <w:pPr>
      <w:widowControl w:val="0"/>
      <w:autoSpaceDE w:val="0"/>
      <w:autoSpaceDN w:val="0"/>
    </w:pPr>
    <w:rPr>
      <w:rFonts w:ascii="Arial" w:eastAsia="Arial" w:hAnsi="Arial" w:cs="Arial"/>
      <w:sz w:val="19"/>
      <w:szCs w:val="19"/>
      <w:lang w:val="es-ES" w:eastAsia="en-US"/>
    </w:rPr>
  </w:style>
  <w:style w:type="character" w:customStyle="1" w:styleId="TextoindependienteCar">
    <w:name w:val="Texto independiente Car"/>
    <w:basedOn w:val="Fuentedeprrafopredeter"/>
    <w:link w:val="Textoindependiente"/>
    <w:uiPriority w:val="1"/>
    <w:rsid w:val="001E4A02"/>
    <w:rPr>
      <w:rFonts w:ascii="Arial" w:eastAsia="Arial" w:hAnsi="Arial" w:cs="Arial"/>
      <w:sz w:val="19"/>
      <w:szCs w:val="19"/>
      <w:lang w:val="es-ES" w:eastAsia="en-US"/>
    </w:r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paragraph" w:styleId="Listaconvietas">
    <w:name w:val="List Bullet"/>
    <w:basedOn w:val="Normal"/>
    <w:uiPriority w:val="99"/>
    <w:semiHidden/>
    <w:unhideWhenUsed/>
    <w:rsid w:val="001020EC"/>
    <w:pPr>
      <w:numPr>
        <w:numId w:val="4"/>
      </w:numPr>
      <w:contextualSpacing/>
    </w:p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207287"/>
    <w:rPr>
      <w:color w:val="605E5C"/>
      <w:shd w:val="clear" w:color="auto" w:fill="E1DFDD"/>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uc.edomex.gob.mx/sites/seduc.edomex.gob.mx/files/files/tramites_servicios/declaracion/Instructivo_llenado_DeclaraNE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jJM/CPW57utBueUMkHxJ09u7A==">CgMxLjAyCWguNGQzNG9nODIIaC5namRneHMyCWguM2R5NnZrbTIJaC4yZXQ5MnAwMgloLjMwajB6bGwyCWguMnM4ZXlvMTIIaC50eWpjd3QyCWguM3pueXNoNzIJaC4yNmluMXJnMgloLjFrc3Y0dXYyCWguMTdkcDh2dTIJaC4xZm9iOXRlMgloLjNyZGNyam4yCWguMXQzaDVzZjgAciExYnZkRnRCdWNIVmVSaWZVT0xIUWtuZ1Y5blIxY0FQdEE=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10719</Words>
  <Characters>58956</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2025-01-31T19:42:00Z</cp:lastPrinted>
  <dcterms:created xsi:type="dcterms:W3CDTF">2025-02-05T23:44:00Z</dcterms:created>
  <dcterms:modified xsi:type="dcterms:W3CDTF">2025-02-05T23:44:00Z</dcterms:modified>
</cp:coreProperties>
</file>