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1004510878"/>
        <w:docPartObj>
          <w:docPartGallery w:val="Table of Contents"/>
          <w:docPartUnique/>
        </w:docPartObj>
      </w:sdtPr>
      <w:sdtEndPr>
        <w:rPr>
          <w:b/>
          <w:bCs/>
        </w:rPr>
      </w:sdtEndPr>
      <w:sdtContent>
        <w:p w14:paraId="6E7275A2" w14:textId="791CD47C" w:rsidR="003C0099" w:rsidRDefault="003C0099">
          <w:pPr>
            <w:pStyle w:val="TtulodeTDC"/>
          </w:pPr>
          <w:r>
            <w:rPr>
              <w:lang w:val="es-ES"/>
            </w:rPr>
            <w:t>Tabla de contenido</w:t>
          </w:r>
        </w:p>
        <w:p w14:paraId="65591417" w14:textId="2470DF3D" w:rsidR="00727033" w:rsidRDefault="003C0099">
          <w:pPr>
            <w:pStyle w:val="TDC1"/>
            <w:tabs>
              <w:tab w:val="right" w:leader="dot" w:pos="920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4613788" w:history="1">
            <w:r w:rsidR="00727033" w:rsidRPr="00AF33D7">
              <w:rPr>
                <w:rStyle w:val="Hipervnculo"/>
                <w:noProof/>
              </w:rPr>
              <w:t>A N T E C E D E N T E S</w:t>
            </w:r>
            <w:r w:rsidR="00727033">
              <w:rPr>
                <w:noProof/>
                <w:webHidden/>
              </w:rPr>
              <w:tab/>
            </w:r>
            <w:r w:rsidR="00727033">
              <w:rPr>
                <w:noProof/>
                <w:webHidden/>
              </w:rPr>
              <w:fldChar w:fldCharType="begin"/>
            </w:r>
            <w:r w:rsidR="00727033">
              <w:rPr>
                <w:noProof/>
                <w:webHidden/>
              </w:rPr>
              <w:instrText xml:space="preserve"> PAGEREF _Toc214613788 \h </w:instrText>
            </w:r>
            <w:r w:rsidR="00727033">
              <w:rPr>
                <w:noProof/>
                <w:webHidden/>
              </w:rPr>
            </w:r>
            <w:r w:rsidR="00727033">
              <w:rPr>
                <w:noProof/>
                <w:webHidden/>
              </w:rPr>
              <w:fldChar w:fldCharType="separate"/>
            </w:r>
            <w:r w:rsidR="00A0302A">
              <w:rPr>
                <w:noProof/>
                <w:webHidden/>
              </w:rPr>
              <w:t>2</w:t>
            </w:r>
            <w:r w:rsidR="00727033">
              <w:rPr>
                <w:noProof/>
                <w:webHidden/>
              </w:rPr>
              <w:fldChar w:fldCharType="end"/>
            </w:r>
          </w:hyperlink>
        </w:p>
        <w:p w14:paraId="25649FEE" w14:textId="070619ED" w:rsidR="00727033" w:rsidRDefault="0084719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789" w:history="1">
            <w:r w:rsidR="00727033" w:rsidRPr="00AF33D7">
              <w:rPr>
                <w:rStyle w:val="Hipervnculo"/>
                <w:noProof/>
              </w:rPr>
              <w:t>I. Presentación de la solicitud de información</w:t>
            </w:r>
            <w:r w:rsidR="00727033">
              <w:rPr>
                <w:noProof/>
                <w:webHidden/>
              </w:rPr>
              <w:tab/>
            </w:r>
            <w:r w:rsidR="00727033">
              <w:rPr>
                <w:noProof/>
                <w:webHidden/>
              </w:rPr>
              <w:fldChar w:fldCharType="begin"/>
            </w:r>
            <w:r w:rsidR="00727033">
              <w:rPr>
                <w:noProof/>
                <w:webHidden/>
              </w:rPr>
              <w:instrText xml:space="preserve"> PAGEREF _Toc214613789 \h </w:instrText>
            </w:r>
            <w:r w:rsidR="00727033">
              <w:rPr>
                <w:noProof/>
                <w:webHidden/>
              </w:rPr>
            </w:r>
            <w:r w:rsidR="00727033">
              <w:rPr>
                <w:noProof/>
                <w:webHidden/>
              </w:rPr>
              <w:fldChar w:fldCharType="separate"/>
            </w:r>
            <w:r w:rsidR="00A0302A">
              <w:rPr>
                <w:noProof/>
                <w:webHidden/>
              </w:rPr>
              <w:t>2</w:t>
            </w:r>
            <w:r w:rsidR="00727033">
              <w:rPr>
                <w:noProof/>
                <w:webHidden/>
              </w:rPr>
              <w:fldChar w:fldCharType="end"/>
            </w:r>
          </w:hyperlink>
        </w:p>
        <w:p w14:paraId="205844AE" w14:textId="50FAFEF5" w:rsidR="00727033" w:rsidRDefault="0084719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790" w:history="1">
            <w:r w:rsidR="00727033" w:rsidRPr="00AF33D7">
              <w:rPr>
                <w:rStyle w:val="Hipervnculo"/>
                <w:noProof/>
              </w:rPr>
              <w:t>II. Respuesta del Sujeto Obligado</w:t>
            </w:r>
            <w:r w:rsidR="00727033">
              <w:rPr>
                <w:noProof/>
                <w:webHidden/>
              </w:rPr>
              <w:tab/>
            </w:r>
            <w:r w:rsidR="00727033">
              <w:rPr>
                <w:noProof/>
                <w:webHidden/>
              </w:rPr>
              <w:fldChar w:fldCharType="begin"/>
            </w:r>
            <w:r w:rsidR="00727033">
              <w:rPr>
                <w:noProof/>
                <w:webHidden/>
              </w:rPr>
              <w:instrText xml:space="preserve"> PAGEREF _Toc214613790 \h </w:instrText>
            </w:r>
            <w:r w:rsidR="00727033">
              <w:rPr>
                <w:noProof/>
                <w:webHidden/>
              </w:rPr>
            </w:r>
            <w:r w:rsidR="00727033">
              <w:rPr>
                <w:noProof/>
                <w:webHidden/>
              </w:rPr>
              <w:fldChar w:fldCharType="separate"/>
            </w:r>
            <w:r w:rsidR="00A0302A">
              <w:rPr>
                <w:noProof/>
                <w:webHidden/>
              </w:rPr>
              <w:t>3</w:t>
            </w:r>
            <w:r w:rsidR="00727033">
              <w:rPr>
                <w:noProof/>
                <w:webHidden/>
              </w:rPr>
              <w:fldChar w:fldCharType="end"/>
            </w:r>
          </w:hyperlink>
        </w:p>
        <w:p w14:paraId="754F8B2B" w14:textId="3FB52525" w:rsidR="00727033" w:rsidRDefault="0084719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791" w:history="1">
            <w:r w:rsidR="00727033" w:rsidRPr="00AF33D7">
              <w:rPr>
                <w:rStyle w:val="Hipervnculo"/>
                <w:noProof/>
              </w:rPr>
              <w:t>III. Interposición del Recurso de Revisión</w:t>
            </w:r>
            <w:r w:rsidR="00727033">
              <w:rPr>
                <w:noProof/>
                <w:webHidden/>
              </w:rPr>
              <w:tab/>
            </w:r>
            <w:r w:rsidR="00727033">
              <w:rPr>
                <w:noProof/>
                <w:webHidden/>
              </w:rPr>
              <w:fldChar w:fldCharType="begin"/>
            </w:r>
            <w:r w:rsidR="00727033">
              <w:rPr>
                <w:noProof/>
                <w:webHidden/>
              </w:rPr>
              <w:instrText xml:space="preserve"> PAGEREF _Toc214613791 \h </w:instrText>
            </w:r>
            <w:r w:rsidR="00727033">
              <w:rPr>
                <w:noProof/>
                <w:webHidden/>
              </w:rPr>
            </w:r>
            <w:r w:rsidR="00727033">
              <w:rPr>
                <w:noProof/>
                <w:webHidden/>
              </w:rPr>
              <w:fldChar w:fldCharType="separate"/>
            </w:r>
            <w:r w:rsidR="00A0302A">
              <w:rPr>
                <w:noProof/>
                <w:webHidden/>
              </w:rPr>
              <w:t>4</w:t>
            </w:r>
            <w:r w:rsidR="00727033">
              <w:rPr>
                <w:noProof/>
                <w:webHidden/>
              </w:rPr>
              <w:fldChar w:fldCharType="end"/>
            </w:r>
          </w:hyperlink>
        </w:p>
        <w:p w14:paraId="079AE729" w14:textId="07F07E19" w:rsidR="00727033" w:rsidRDefault="0084719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792" w:history="1">
            <w:r w:rsidR="00727033" w:rsidRPr="00AF33D7">
              <w:rPr>
                <w:rStyle w:val="Hipervnculo"/>
                <w:noProof/>
              </w:rPr>
              <w:t>IV. Trámite del Recurso de Revisión ante este Instituto</w:t>
            </w:r>
            <w:r w:rsidR="00727033">
              <w:rPr>
                <w:noProof/>
                <w:webHidden/>
              </w:rPr>
              <w:tab/>
            </w:r>
            <w:r w:rsidR="00727033">
              <w:rPr>
                <w:noProof/>
                <w:webHidden/>
              </w:rPr>
              <w:fldChar w:fldCharType="begin"/>
            </w:r>
            <w:r w:rsidR="00727033">
              <w:rPr>
                <w:noProof/>
                <w:webHidden/>
              </w:rPr>
              <w:instrText xml:space="preserve"> PAGEREF _Toc214613792 \h </w:instrText>
            </w:r>
            <w:r w:rsidR="00727033">
              <w:rPr>
                <w:noProof/>
                <w:webHidden/>
              </w:rPr>
            </w:r>
            <w:r w:rsidR="00727033">
              <w:rPr>
                <w:noProof/>
                <w:webHidden/>
              </w:rPr>
              <w:fldChar w:fldCharType="separate"/>
            </w:r>
            <w:r w:rsidR="00A0302A">
              <w:rPr>
                <w:noProof/>
                <w:webHidden/>
              </w:rPr>
              <w:t>4</w:t>
            </w:r>
            <w:r w:rsidR="00727033">
              <w:rPr>
                <w:noProof/>
                <w:webHidden/>
              </w:rPr>
              <w:fldChar w:fldCharType="end"/>
            </w:r>
          </w:hyperlink>
        </w:p>
        <w:p w14:paraId="5CA2D128" w14:textId="2EF15451" w:rsidR="00727033" w:rsidRDefault="0084719D">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4613793" w:history="1">
            <w:r w:rsidR="00727033" w:rsidRPr="00AF33D7">
              <w:rPr>
                <w:rStyle w:val="Hipervnculo"/>
                <w:noProof/>
              </w:rPr>
              <w:t>C O N S I D E R A N D O S</w:t>
            </w:r>
            <w:r w:rsidR="00727033">
              <w:rPr>
                <w:noProof/>
                <w:webHidden/>
              </w:rPr>
              <w:tab/>
            </w:r>
            <w:r w:rsidR="00727033">
              <w:rPr>
                <w:noProof/>
                <w:webHidden/>
              </w:rPr>
              <w:fldChar w:fldCharType="begin"/>
            </w:r>
            <w:r w:rsidR="00727033">
              <w:rPr>
                <w:noProof/>
                <w:webHidden/>
              </w:rPr>
              <w:instrText xml:space="preserve"> PAGEREF _Toc214613793 \h </w:instrText>
            </w:r>
            <w:r w:rsidR="00727033">
              <w:rPr>
                <w:noProof/>
                <w:webHidden/>
              </w:rPr>
            </w:r>
            <w:r w:rsidR="00727033">
              <w:rPr>
                <w:noProof/>
                <w:webHidden/>
              </w:rPr>
              <w:fldChar w:fldCharType="separate"/>
            </w:r>
            <w:r w:rsidR="00A0302A">
              <w:rPr>
                <w:noProof/>
                <w:webHidden/>
              </w:rPr>
              <w:t>7</w:t>
            </w:r>
            <w:r w:rsidR="00727033">
              <w:rPr>
                <w:noProof/>
                <w:webHidden/>
              </w:rPr>
              <w:fldChar w:fldCharType="end"/>
            </w:r>
          </w:hyperlink>
        </w:p>
        <w:p w14:paraId="6D3ECD63" w14:textId="594695BF" w:rsidR="00727033" w:rsidRDefault="0084719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794" w:history="1">
            <w:r w:rsidR="00727033" w:rsidRPr="00AF33D7">
              <w:rPr>
                <w:rStyle w:val="Hipervnculo"/>
                <w:noProof/>
              </w:rPr>
              <w:t>PRIMERO. Competencia</w:t>
            </w:r>
            <w:r w:rsidR="00727033">
              <w:rPr>
                <w:noProof/>
                <w:webHidden/>
              </w:rPr>
              <w:tab/>
            </w:r>
            <w:r w:rsidR="00727033">
              <w:rPr>
                <w:noProof/>
                <w:webHidden/>
              </w:rPr>
              <w:fldChar w:fldCharType="begin"/>
            </w:r>
            <w:r w:rsidR="00727033">
              <w:rPr>
                <w:noProof/>
                <w:webHidden/>
              </w:rPr>
              <w:instrText xml:space="preserve"> PAGEREF _Toc214613794 \h </w:instrText>
            </w:r>
            <w:r w:rsidR="00727033">
              <w:rPr>
                <w:noProof/>
                <w:webHidden/>
              </w:rPr>
            </w:r>
            <w:r w:rsidR="00727033">
              <w:rPr>
                <w:noProof/>
                <w:webHidden/>
              </w:rPr>
              <w:fldChar w:fldCharType="separate"/>
            </w:r>
            <w:r w:rsidR="00A0302A">
              <w:rPr>
                <w:noProof/>
                <w:webHidden/>
              </w:rPr>
              <w:t>7</w:t>
            </w:r>
            <w:r w:rsidR="00727033">
              <w:rPr>
                <w:noProof/>
                <w:webHidden/>
              </w:rPr>
              <w:fldChar w:fldCharType="end"/>
            </w:r>
          </w:hyperlink>
        </w:p>
        <w:p w14:paraId="1D5A3159" w14:textId="03D58EB9" w:rsidR="00727033" w:rsidRDefault="0084719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795" w:history="1">
            <w:r w:rsidR="00727033" w:rsidRPr="00AF33D7">
              <w:rPr>
                <w:rStyle w:val="Hipervnculo"/>
                <w:noProof/>
              </w:rPr>
              <w:t>SEGUNDO. Causales de improcedencia</w:t>
            </w:r>
            <w:r w:rsidR="00727033">
              <w:rPr>
                <w:noProof/>
                <w:webHidden/>
              </w:rPr>
              <w:tab/>
            </w:r>
            <w:r w:rsidR="00727033">
              <w:rPr>
                <w:noProof/>
                <w:webHidden/>
              </w:rPr>
              <w:fldChar w:fldCharType="begin"/>
            </w:r>
            <w:r w:rsidR="00727033">
              <w:rPr>
                <w:noProof/>
                <w:webHidden/>
              </w:rPr>
              <w:instrText xml:space="preserve"> PAGEREF _Toc214613795 \h </w:instrText>
            </w:r>
            <w:r w:rsidR="00727033">
              <w:rPr>
                <w:noProof/>
                <w:webHidden/>
              </w:rPr>
            </w:r>
            <w:r w:rsidR="00727033">
              <w:rPr>
                <w:noProof/>
                <w:webHidden/>
              </w:rPr>
              <w:fldChar w:fldCharType="separate"/>
            </w:r>
            <w:r w:rsidR="00A0302A">
              <w:rPr>
                <w:noProof/>
                <w:webHidden/>
              </w:rPr>
              <w:t>8</w:t>
            </w:r>
            <w:r w:rsidR="00727033">
              <w:rPr>
                <w:noProof/>
                <w:webHidden/>
              </w:rPr>
              <w:fldChar w:fldCharType="end"/>
            </w:r>
          </w:hyperlink>
        </w:p>
        <w:p w14:paraId="2823E9D7" w14:textId="19B6AA59" w:rsidR="00727033" w:rsidRDefault="0084719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796" w:history="1">
            <w:r w:rsidR="00727033" w:rsidRPr="00AF33D7">
              <w:rPr>
                <w:rStyle w:val="Hipervnculo"/>
                <w:noProof/>
              </w:rPr>
              <w:t>CUARTOO. Decisión</w:t>
            </w:r>
            <w:r w:rsidR="00727033">
              <w:rPr>
                <w:noProof/>
                <w:webHidden/>
              </w:rPr>
              <w:tab/>
            </w:r>
            <w:r w:rsidR="00727033">
              <w:rPr>
                <w:noProof/>
                <w:webHidden/>
              </w:rPr>
              <w:fldChar w:fldCharType="begin"/>
            </w:r>
            <w:r w:rsidR="00727033">
              <w:rPr>
                <w:noProof/>
                <w:webHidden/>
              </w:rPr>
              <w:instrText xml:space="preserve"> PAGEREF _Toc214613796 \h </w:instrText>
            </w:r>
            <w:r w:rsidR="00727033">
              <w:rPr>
                <w:noProof/>
                <w:webHidden/>
              </w:rPr>
            </w:r>
            <w:r w:rsidR="00727033">
              <w:rPr>
                <w:noProof/>
                <w:webHidden/>
              </w:rPr>
              <w:fldChar w:fldCharType="separate"/>
            </w:r>
            <w:r w:rsidR="00A0302A">
              <w:rPr>
                <w:noProof/>
                <w:webHidden/>
              </w:rPr>
              <w:t>14</w:t>
            </w:r>
            <w:r w:rsidR="00727033">
              <w:rPr>
                <w:noProof/>
                <w:webHidden/>
              </w:rPr>
              <w:fldChar w:fldCharType="end"/>
            </w:r>
          </w:hyperlink>
        </w:p>
        <w:p w14:paraId="04CEB407" w14:textId="36992B32" w:rsidR="00727033" w:rsidRDefault="0084719D">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4613797" w:history="1">
            <w:r w:rsidR="00727033" w:rsidRPr="00AF33D7">
              <w:rPr>
                <w:rStyle w:val="Hipervnculo"/>
                <w:noProof/>
              </w:rPr>
              <w:t>R E S U E L V E</w:t>
            </w:r>
            <w:r w:rsidR="00727033">
              <w:rPr>
                <w:noProof/>
                <w:webHidden/>
              </w:rPr>
              <w:tab/>
            </w:r>
            <w:r w:rsidR="00727033">
              <w:rPr>
                <w:noProof/>
                <w:webHidden/>
              </w:rPr>
              <w:fldChar w:fldCharType="begin"/>
            </w:r>
            <w:r w:rsidR="00727033">
              <w:rPr>
                <w:noProof/>
                <w:webHidden/>
              </w:rPr>
              <w:instrText xml:space="preserve"> PAGEREF _Toc214613797 \h </w:instrText>
            </w:r>
            <w:r w:rsidR="00727033">
              <w:rPr>
                <w:noProof/>
                <w:webHidden/>
              </w:rPr>
            </w:r>
            <w:r w:rsidR="00727033">
              <w:rPr>
                <w:noProof/>
                <w:webHidden/>
              </w:rPr>
              <w:fldChar w:fldCharType="separate"/>
            </w:r>
            <w:r w:rsidR="00A0302A">
              <w:rPr>
                <w:noProof/>
                <w:webHidden/>
              </w:rPr>
              <w:t>15</w:t>
            </w:r>
            <w:r w:rsidR="00727033">
              <w:rPr>
                <w:noProof/>
                <w:webHidden/>
              </w:rPr>
              <w:fldChar w:fldCharType="end"/>
            </w:r>
          </w:hyperlink>
        </w:p>
        <w:p w14:paraId="3817AAAF" w14:textId="08DD18A2" w:rsidR="003C0099" w:rsidRDefault="003C0099">
          <w:r>
            <w:rPr>
              <w:b/>
              <w:bCs/>
              <w:lang w:val="es-ES"/>
            </w:rPr>
            <w:fldChar w:fldCharType="end"/>
          </w:r>
        </w:p>
      </w:sdtContent>
    </w:sdt>
    <w:p w14:paraId="04272B2B" w14:textId="77777777" w:rsidR="00323E01" w:rsidRPr="003C0099" w:rsidRDefault="0084719D">
      <w:pPr>
        <w:spacing w:after="0" w:line="360" w:lineRule="auto"/>
      </w:pPr>
      <w:r w:rsidRPr="003C0099">
        <w:br w:type="page"/>
      </w:r>
    </w:p>
    <w:p w14:paraId="6DAFB6B8" w14:textId="77777777" w:rsidR="00323E01" w:rsidRPr="003C0099" w:rsidRDefault="0084719D">
      <w:pPr>
        <w:spacing w:after="0" w:line="360" w:lineRule="auto"/>
      </w:pPr>
      <w:r w:rsidRPr="003C0099">
        <w:lastRenderedPageBreak/>
        <w:t>Resolución del Pleno del Instituto de Transparencia, Acceso a la Información Pública y Protección de Datos Personales del Estado de México y Municipios, con domicilio en Metepec, Esta</w:t>
      </w:r>
      <w:r w:rsidRPr="003C0099">
        <w:t>do de México, de fecha veinte de noviembre de dos mil veinticinco.</w:t>
      </w:r>
    </w:p>
    <w:p w14:paraId="0901ABD8" w14:textId="77777777" w:rsidR="00323E01" w:rsidRPr="003C0099" w:rsidRDefault="00323E01">
      <w:pPr>
        <w:spacing w:after="0" w:line="360" w:lineRule="auto"/>
        <w:rPr>
          <w:b/>
          <w:bCs/>
        </w:rPr>
      </w:pPr>
    </w:p>
    <w:p w14:paraId="202A240F" w14:textId="77777777" w:rsidR="00323E01" w:rsidRPr="003C0099" w:rsidRDefault="0084719D">
      <w:pPr>
        <w:spacing w:after="0" w:line="360" w:lineRule="auto"/>
      </w:pPr>
      <w:r w:rsidRPr="003C0099">
        <w:rPr>
          <w:b/>
          <w:bCs/>
        </w:rPr>
        <w:t>VISTO</w:t>
      </w:r>
      <w:r w:rsidRPr="003C0099">
        <w:t xml:space="preserve"> el expediente conformado con motivo del Recurso de Revisión </w:t>
      </w:r>
      <w:r w:rsidRPr="00B26C7E">
        <w:rPr>
          <w:b/>
        </w:rPr>
        <w:t>09571/INFOEM/IP/RR/2025</w:t>
      </w:r>
      <w:r w:rsidRPr="003C0099">
        <w:t>, interpuesto por la persona Recurrente o Particular, en contra de la respuesta del Sujeto Obligado</w:t>
      </w:r>
      <w:r w:rsidRPr="003C0099">
        <w:t xml:space="preserve">, </w:t>
      </w:r>
      <w:r w:rsidRPr="00B26C7E">
        <w:rPr>
          <w:b/>
        </w:rPr>
        <w:t>Secretaría de Salud</w:t>
      </w:r>
      <w:r w:rsidRPr="003C0099">
        <w:t>, se emite la presente Resolución, con base en los antecedentes y considerandos que se exponen a continuación:</w:t>
      </w:r>
    </w:p>
    <w:p w14:paraId="0BB61BD5" w14:textId="77777777" w:rsidR="00323E01" w:rsidRPr="003C0099" w:rsidRDefault="00323E01">
      <w:pPr>
        <w:spacing w:after="0" w:line="360" w:lineRule="auto"/>
      </w:pPr>
    </w:p>
    <w:p w14:paraId="64567FB0" w14:textId="77777777" w:rsidR="00323E01" w:rsidRPr="003C0099" w:rsidRDefault="0084719D">
      <w:pPr>
        <w:pStyle w:val="Ttulo1"/>
        <w:spacing w:before="0" w:after="0"/>
        <w:rPr>
          <w:sz w:val="22"/>
          <w:szCs w:val="22"/>
        </w:rPr>
      </w:pPr>
      <w:bookmarkStart w:id="0" w:name="_Toc214613788"/>
      <w:r w:rsidRPr="003C0099">
        <w:rPr>
          <w:sz w:val="22"/>
          <w:szCs w:val="22"/>
        </w:rPr>
        <w:t>A N T E C E D E N T E S</w:t>
      </w:r>
      <w:bookmarkEnd w:id="0"/>
    </w:p>
    <w:p w14:paraId="656D5D73" w14:textId="77777777" w:rsidR="00323E01" w:rsidRPr="003C0099" w:rsidRDefault="00323E01">
      <w:pPr>
        <w:spacing w:after="0" w:line="360" w:lineRule="auto"/>
      </w:pPr>
      <w:bookmarkStart w:id="1" w:name="_heading=h.gjdgxs" w:colFirst="0" w:colLast="0"/>
      <w:bookmarkEnd w:id="1"/>
    </w:p>
    <w:p w14:paraId="2FA6EECD" w14:textId="77777777" w:rsidR="00323E01" w:rsidRPr="003C0099" w:rsidRDefault="0084719D">
      <w:pPr>
        <w:pStyle w:val="Ttulo2"/>
        <w:spacing w:before="0" w:after="0"/>
      </w:pPr>
      <w:bookmarkStart w:id="2" w:name="_Toc214613789"/>
      <w:r w:rsidRPr="003C0099">
        <w:t>I. Presentación de la solicitud de información</w:t>
      </w:r>
      <w:bookmarkEnd w:id="2"/>
    </w:p>
    <w:p w14:paraId="32240923" w14:textId="77777777" w:rsidR="00323E01" w:rsidRPr="003C0099" w:rsidRDefault="00323E01">
      <w:pPr>
        <w:tabs>
          <w:tab w:val="left" w:pos="567"/>
        </w:tabs>
        <w:spacing w:after="0" w:line="360" w:lineRule="auto"/>
      </w:pPr>
    </w:p>
    <w:p w14:paraId="2B7F5550" w14:textId="77777777" w:rsidR="00323E01" w:rsidRPr="003C0099" w:rsidRDefault="0084719D">
      <w:pPr>
        <w:spacing w:after="0" w:line="360" w:lineRule="auto"/>
      </w:pPr>
      <w:r w:rsidRPr="003C0099">
        <w:t xml:space="preserve">Con fecha seis de agosto de dos mil veinticinco, la parte Solicitante presentó una solicitud de acceso a la información pública, a través del Sistema de Acceso a la Información Mexiquense, en lo sucesivo el SAIMEX, ante el </w:t>
      </w:r>
      <w:r w:rsidRPr="003C0099">
        <w:rPr>
          <w:b/>
          <w:bCs/>
        </w:rPr>
        <w:t>Secretaría de Salud</w:t>
      </w:r>
      <w:r w:rsidRPr="003C0099">
        <w:t>, en la que re</w:t>
      </w:r>
      <w:r w:rsidRPr="003C0099">
        <w:t>quirió lo siguiente:</w:t>
      </w:r>
    </w:p>
    <w:p w14:paraId="4EF8B07C" w14:textId="77777777" w:rsidR="00323E01" w:rsidRPr="003C0099" w:rsidRDefault="00323E01">
      <w:pPr>
        <w:spacing w:after="0" w:line="360" w:lineRule="auto"/>
      </w:pPr>
    </w:p>
    <w:p w14:paraId="35975765" w14:textId="77777777" w:rsidR="00323E01" w:rsidRPr="003C0099" w:rsidRDefault="0084719D">
      <w:pPr>
        <w:tabs>
          <w:tab w:val="left" w:pos="567"/>
        </w:tabs>
        <w:spacing w:after="0" w:line="360" w:lineRule="auto"/>
        <w:ind w:left="567" w:right="709"/>
        <w:rPr>
          <w:b/>
          <w:bCs/>
          <w:sz w:val="20"/>
          <w:szCs w:val="20"/>
        </w:rPr>
      </w:pPr>
      <w:r w:rsidRPr="003C0099">
        <w:rPr>
          <w:b/>
          <w:bCs/>
          <w:sz w:val="20"/>
          <w:szCs w:val="20"/>
        </w:rPr>
        <w:t>Folio de la solicitud: 00252/SSALUD/IP/2025</w:t>
      </w:r>
    </w:p>
    <w:p w14:paraId="0A008913" w14:textId="77777777" w:rsidR="00323E01" w:rsidRPr="003C0099" w:rsidRDefault="0084719D">
      <w:pPr>
        <w:tabs>
          <w:tab w:val="left" w:pos="567"/>
        </w:tabs>
        <w:spacing w:after="0" w:line="360" w:lineRule="auto"/>
        <w:ind w:left="567" w:right="709"/>
        <w:rPr>
          <w:b/>
          <w:bCs/>
          <w:sz w:val="20"/>
          <w:szCs w:val="20"/>
        </w:rPr>
      </w:pPr>
      <w:r w:rsidRPr="003C0099">
        <w:rPr>
          <w:b/>
          <w:bCs/>
          <w:sz w:val="20"/>
          <w:szCs w:val="20"/>
        </w:rPr>
        <w:t>DESCRIPCIÓN CLARA Y PRECISA DE LA INFORMACIÓN SOLICITADA</w:t>
      </w:r>
    </w:p>
    <w:p w14:paraId="5197470A" w14:textId="77777777" w:rsidR="00323E01" w:rsidRPr="003C0099" w:rsidRDefault="0084719D">
      <w:pPr>
        <w:tabs>
          <w:tab w:val="left" w:pos="4667"/>
        </w:tabs>
        <w:spacing w:after="0" w:line="360" w:lineRule="auto"/>
        <w:ind w:left="567" w:right="709"/>
        <w:rPr>
          <w:i/>
          <w:iCs/>
          <w:sz w:val="20"/>
          <w:szCs w:val="20"/>
        </w:rPr>
      </w:pPr>
      <w:r w:rsidRPr="003C0099">
        <w:rPr>
          <w:i/>
          <w:iCs/>
          <w:sz w:val="20"/>
          <w:szCs w:val="20"/>
        </w:rPr>
        <w:t xml:space="preserve">“¿Quiero saber por qué en el Centro Médico "Lic. Adolfo López Mateos", no le han pagado su sueldo al personal de </w:t>
      </w:r>
      <w:r w:rsidRPr="003C0099">
        <w:rPr>
          <w:i/>
          <w:iCs/>
          <w:sz w:val="20"/>
          <w:szCs w:val="20"/>
        </w:rPr>
        <w:t>limpieza/intendencia, por qué siempre sus pagos los hacen con mora? ¿Por qué razón el personal de limpieza/intendencia tiene años trabajando sin seguridad social ni servicios de salud violentando así sus derechos ?” (Sic.)</w:t>
      </w:r>
    </w:p>
    <w:p w14:paraId="338D19C2" w14:textId="77777777" w:rsidR="00323E01" w:rsidRPr="003C0099" w:rsidRDefault="00323E01">
      <w:pPr>
        <w:tabs>
          <w:tab w:val="left" w:pos="4667"/>
        </w:tabs>
        <w:spacing w:after="0" w:line="360" w:lineRule="auto"/>
        <w:ind w:left="567" w:right="709"/>
        <w:rPr>
          <w:b/>
          <w:bCs/>
          <w:sz w:val="20"/>
          <w:szCs w:val="20"/>
        </w:rPr>
      </w:pPr>
    </w:p>
    <w:p w14:paraId="4721FA1F" w14:textId="77777777" w:rsidR="00323E01" w:rsidRPr="003C0099" w:rsidRDefault="0084719D">
      <w:pPr>
        <w:tabs>
          <w:tab w:val="left" w:pos="4667"/>
        </w:tabs>
        <w:spacing w:after="0" w:line="360" w:lineRule="auto"/>
        <w:ind w:left="567" w:right="709"/>
        <w:rPr>
          <w:b/>
          <w:bCs/>
          <w:sz w:val="20"/>
          <w:szCs w:val="20"/>
        </w:rPr>
      </w:pPr>
      <w:r w:rsidRPr="003C0099">
        <w:rPr>
          <w:b/>
          <w:bCs/>
          <w:sz w:val="20"/>
          <w:szCs w:val="20"/>
        </w:rPr>
        <w:t xml:space="preserve">MODALIDAD DE ENTREGA </w:t>
      </w:r>
      <w:r w:rsidRPr="003C0099">
        <w:rPr>
          <w:i/>
          <w:iCs/>
          <w:sz w:val="20"/>
          <w:szCs w:val="20"/>
        </w:rPr>
        <w:t>“A través d</w:t>
      </w:r>
      <w:r w:rsidRPr="003C0099">
        <w:rPr>
          <w:i/>
          <w:iCs/>
          <w:sz w:val="20"/>
          <w:szCs w:val="20"/>
        </w:rPr>
        <w:t>el SAIMEX.”</w:t>
      </w:r>
    </w:p>
    <w:p w14:paraId="7D855E82" w14:textId="77777777" w:rsidR="00323E01" w:rsidRPr="003C0099" w:rsidRDefault="00323E01">
      <w:pPr>
        <w:tabs>
          <w:tab w:val="left" w:pos="4667"/>
        </w:tabs>
        <w:spacing w:after="0" w:line="360" w:lineRule="auto"/>
        <w:ind w:right="709"/>
        <w:rPr>
          <w:i/>
          <w:iCs/>
        </w:rPr>
      </w:pPr>
    </w:p>
    <w:p w14:paraId="0087ACF9" w14:textId="77777777" w:rsidR="00323E01" w:rsidRPr="003C0099" w:rsidRDefault="0084719D">
      <w:pPr>
        <w:pStyle w:val="Ttulo2"/>
        <w:spacing w:before="0" w:after="0"/>
      </w:pPr>
      <w:bookmarkStart w:id="3" w:name="_Toc214613790"/>
      <w:r w:rsidRPr="003C0099">
        <w:lastRenderedPageBreak/>
        <w:t>II. Respuesta del Sujeto Obligado</w:t>
      </w:r>
      <w:bookmarkEnd w:id="3"/>
    </w:p>
    <w:p w14:paraId="700376CA" w14:textId="77777777" w:rsidR="00323E01" w:rsidRPr="003C0099" w:rsidRDefault="00323E01">
      <w:pPr>
        <w:spacing w:after="0" w:line="360" w:lineRule="auto"/>
      </w:pPr>
    </w:p>
    <w:p w14:paraId="4FF11546" w14:textId="77777777" w:rsidR="00323E01" w:rsidRPr="003C0099" w:rsidRDefault="0084719D">
      <w:pPr>
        <w:spacing w:after="0" w:line="360" w:lineRule="auto"/>
      </w:pPr>
      <w:r w:rsidRPr="003C0099">
        <w:t>El ocho de agosto de dos mil veinticinco, el Sujeto Obligado a través de SAIMEX, dio respuesta, en los siguientes términos:</w:t>
      </w:r>
    </w:p>
    <w:p w14:paraId="6ECA0767" w14:textId="77777777" w:rsidR="00323E01" w:rsidRPr="003C0099" w:rsidRDefault="00323E01">
      <w:pPr>
        <w:spacing w:after="0" w:line="360" w:lineRule="auto"/>
      </w:pPr>
    </w:p>
    <w:p w14:paraId="578AE69D" w14:textId="77777777" w:rsidR="00323E01" w:rsidRPr="003C0099" w:rsidRDefault="0084719D">
      <w:pPr>
        <w:numPr>
          <w:ilvl w:val="0"/>
          <w:numId w:val="1"/>
        </w:numPr>
        <w:pBdr>
          <w:top w:val="nil"/>
          <w:left w:val="nil"/>
          <w:bottom w:val="nil"/>
          <w:right w:val="nil"/>
          <w:between w:val="nil"/>
        </w:pBdr>
        <w:spacing w:after="0" w:line="360" w:lineRule="auto"/>
        <w:ind w:left="567" w:right="709"/>
        <w:rPr>
          <w:b/>
          <w:bCs/>
          <w:i/>
          <w:iCs/>
          <w:color w:val="000000"/>
        </w:rPr>
      </w:pPr>
      <w:r w:rsidRPr="003C0099">
        <w:rPr>
          <w:b/>
          <w:bCs/>
          <w:i/>
          <w:iCs/>
          <w:color w:val="000000"/>
        </w:rPr>
        <w:t xml:space="preserve">sol 00252.2025.pdf; </w:t>
      </w:r>
      <w:r w:rsidRPr="003C0099">
        <w:rPr>
          <w:color w:val="000000"/>
        </w:rPr>
        <w:t xml:space="preserve">del que se advierte un oficio emitido por la Titular de la </w:t>
      </w:r>
      <w:r w:rsidRPr="003C0099">
        <w:rPr>
          <w:color w:val="000000"/>
        </w:rPr>
        <w:t>Unidad de Información, Planeación, Programación y Evaluación en el que informó medularmente que no era competente para conocer de la información solicitada, en los siguientes términos:</w:t>
      </w:r>
    </w:p>
    <w:p w14:paraId="22C58614" w14:textId="77777777" w:rsidR="004A3C8A" w:rsidRPr="003C0099" w:rsidRDefault="004A3C8A">
      <w:pPr>
        <w:pBdr>
          <w:top w:val="nil"/>
          <w:left w:val="nil"/>
          <w:bottom w:val="nil"/>
          <w:right w:val="nil"/>
          <w:between w:val="nil"/>
        </w:pBdr>
        <w:spacing w:after="0" w:line="360" w:lineRule="auto"/>
        <w:ind w:left="567" w:right="709"/>
        <w:rPr>
          <w:b/>
          <w:bCs/>
          <w:i/>
          <w:iCs/>
          <w:color w:val="000000"/>
          <w:sz w:val="20"/>
          <w:szCs w:val="20"/>
        </w:rPr>
      </w:pPr>
    </w:p>
    <w:p w14:paraId="06BDF9F8" w14:textId="2BEF9F78" w:rsidR="00323E01" w:rsidRPr="003C0099" w:rsidRDefault="0084719D">
      <w:pPr>
        <w:pBdr>
          <w:top w:val="nil"/>
          <w:left w:val="nil"/>
          <w:bottom w:val="nil"/>
          <w:right w:val="nil"/>
          <w:between w:val="nil"/>
        </w:pBdr>
        <w:spacing w:after="0" w:line="360" w:lineRule="auto"/>
        <w:ind w:left="567" w:right="709"/>
        <w:rPr>
          <w:b/>
          <w:bCs/>
          <w:i/>
          <w:iCs/>
          <w:color w:val="000000"/>
          <w:sz w:val="20"/>
          <w:szCs w:val="20"/>
        </w:rPr>
      </w:pPr>
      <w:r w:rsidRPr="003C0099">
        <w:rPr>
          <w:b/>
          <w:bCs/>
          <w:i/>
          <w:iCs/>
          <w:color w:val="000000"/>
          <w:sz w:val="20"/>
          <w:szCs w:val="20"/>
        </w:rPr>
        <w:t>“…</w:t>
      </w:r>
    </w:p>
    <w:p w14:paraId="412B45E8" w14:textId="77777777" w:rsidR="00323E01" w:rsidRPr="003C0099" w:rsidRDefault="0084719D">
      <w:pPr>
        <w:spacing w:after="0" w:line="360" w:lineRule="auto"/>
        <w:ind w:left="567" w:right="709"/>
        <w:rPr>
          <w:i/>
          <w:iCs/>
          <w:sz w:val="20"/>
          <w:szCs w:val="20"/>
        </w:rPr>
      </w:pPr>
      <w:r w:rsidRPr="003C0099">
        <w:rPr>
          <w:i/>
          <w:iCs/>
          <w:sz w:val="20"/>
          <w:szCs w:val="20"/>
        </w:rPr>
        <w:t>Derivado del análisis realizado, se identificó que la información q</w:t>
      </w:r>
      <w:r w:rsidRPr="003C0099">
        <w:rPr>
          <w:i/>
          <w:iCs/>
          <w:sz w:val="20"/>
          <w:szCs w:val="20"/>
        </w:rPr>
        <w:t xml:space="preserve">ue describe, no es administrada por unidades administrativas u órganos desconcentrados pertenecientes a esta Secretaría de Salud del Estado de México, una vez cotejado con las atribuciones establecidas en el marco jurídico de actuación de la Secretaría de </w:t>
      </w:r>
      <w:r w:rsidRPr="003C0099">
        <w:rPr>
          <w:i/>
          <w:iCs/>
          <w:sz w:val="20"/>
          <w:szCs w:val="20"/>
        </w:rPr>
        <w:t>Salud del Estado de México, en particular en el Código Administrativo del Estado de México, así como su Reglamento Interior de la Secretaría de Salud del Estado de México y las funciones descritas en el Manual General de Organización de la Secretaría de Sa</w:t>
      </w:r>
      <w:r w:rsidRPr="003C0099">
        <w:rPr>
          <w:i/>
          <w:iCs/>
          <w:sz w:val="20"/>
          <w:szCs w:val="20"/>
        </w:rPr>
        <w:t xml:space="preserve">lud del Estado de México; por razón de que el tipo específico de datos que están solicitando es responsabilidad </w:t>
      </w:r>
      <w:r w:rsidRPr="003C0099">
        <w:rPr>
          <w:b/>
          <w:bCs/>
          <w:i/>
          <w:iCs/>
          <w:sz w:val="20"/>
          <w:szCs w:val="20"/>
        </w:rPr>
        <w:t>del área operativa del Instituto de Salud del Estado de México (ISEM),</w:t>
      </w:r>
      <w:r w:rsidRPr="003C0099">
        <w:rPr>
          <w:i/>
          <w:iCs/>
          <w:sz w:val="20"/>
          <w:szCs w:val="20"/>
        </w:rPr>
        <w:t xml:space="preserve"> por tal motivo y de conformidad con lo expuesto en el Código Administrati</w:t>
      </w:r>
      <w:r w:rsidRPr="003C0099">
        <w:rPr>
          <w:i/>
          <w:iCs/>
          <w:sz w:val="20"/>
          <w:szCs w:val="20"/>
        </w:rPr>
        <w:t xml:space="preserve">vo del Estado de México, en su CAPÍTULO CUARTO Del Instituto de Salud del Estado de México Artículo 2.5., el Instituto de </w:t>
      </w:r>
      <w:r w:rsidRPr="003C0099">
        <w:rPr>
          <w:b/>
          <w:bCs/>
          <w:i/>
          <w:iCs/>
          <w:sz w:val="20"/>
          <w:szCs w:val="20"/>
        </w:rPr>
        <w:t>Salud del Estado de México es un organismo público descentralizado, con personalidad jurídica y patrimonio propios</w:t>
      </w:r>
      <w:r w:rsidRPr="003C0099">
        <w:rPr>
          <w:i/>
          <w:iCs/>
          <w:sz w:val="20"/>
          <w:szCs w:val="20"/>
        </w:rPr>
        <w:t>, que tiene por obje</w:t>
      </w:r>
      <w:r w:rsidRPr="003C0099">
        <w:rPr>
          <w:i/>
          <w:iCs/>
          <w:sz w:val="20"/>
          <w:szCs w:val="20"/>
        </w:rPr>
        <w:t xml:space="preserve">to la prestación de los servicios de salud en la Entidad, por lo que este sujeto obligado está imposibilitado de dar atención a su petición; respetuosamente sugiero canalizar su solicitud de información al Instituto de Salud del Estado de México, a través </w:t>
      </w:r>
      <w:r w:rsidRPr="003C0099">
        <w:rPr>
          <w:i/>
          <w:iCs/>
          <w:sz w:val="20"/>
          <w:szCs w:val="20"/>
        </w:rPr>
        <w:t xml:space="preserve">de la dirección electrónica: https://salud.edomex.gob.mx/isem/, o en modo presencial en el Módulo de Acceso a la Información Pública del ISEM, ubicado en Avenida </w:t>
      </w:r>
      <w:r w:rsidRPr="003C0099">
        <w:rPr>
          <w:i/>
          <w:iCs/>
          <w:sz w:val="20"/>
          <w:szCs w:val="20"/>
        </w:rPr>
        <w:lastRenderedPageBreak/>
        <w:t>Independencia Oriente número 1009, Colonia Reforma y Ferrocarriles Nacionales, Toluca Estado d</w:t>
      </w:r>
      <w:r w:rsidRPr="003C0099">
        <w:rPr>
          <w:i/>
          <w:iCs/>
          <w:sz w:val="20"/>
          <w:szCs w:val="20"/>
        </w:rPr>
        <w:t>e México, C.P. 50070, en días y horas hábiles.</w:t>
      </w:r>
    </w:p>
    <w:p w14:paraId="3425B291" w14:textId="77777777" w:rsidR="00323E01" w:rsidRPr="003C0099" w:rsidRDefault="0084719D">
      <w:pPr>
        <w:spacing w:after="0" w:line="360" w:lineRule="auto"/>
        <w:ind w:left="567" w:right="709"/>
        <w:rPr>
          <w:i/>
          <w:iCs/>
          <w:sz w:val="20"/>
          <w:szCs w:val="20"/>
        </w:rPr>
      </w:pPr>
      <w:r w:rsidRPr="003C0099">
        <w:rPr>
          <w:i/>
          <w:iCs/>
          <w:sz w:val="20"/>
          <w:szCs w:val="20"/>
        </w:rPr>
        <w:t>…” (Énfasis añadido)</w:t>
      </w:r>
    </w:p>
    <w:p w14:paraId="254043FD" w14:textId="77777777" w:rsidR="00323E01" w:rsidRPr="003C0099" w:rsidRDefault="00323E01">
      <w:pPr>
        <w:spacing w:after="0" w:line="360" w:lineRule="auto"/>
        <w:rPr>
          <w:b/>
          <w:bCs/>
          <w:i/>
          <w:iCs/>
        </w:rPr>
      </w:pPr>
    </w:p>
    <w:p w14:paraId="2D7CF630" w14:textId="77777777" w:rsidR="00323E01" w:rsidRPr="003C0099" w:rsidRDefault="0084719D">
      <w:pPr>
        <w:pStyle w:val="Ttulo2"/>
        <w:spacing w:before="0" w:after="0"/>
      </w:pPr>
      <w:bookmarkStart w:id="4" w:name="_Toc214613791"/>
      <w:r w:rsidRPr="003C0099">
        <w:t>III. Interposición del Recurso de Revisión</w:t>
      </w:r>
      <w:bookmarkEnd w:id="4"/>
    </w:p>
    <w:p w14:paraId="2DFD4889" w14:textId="77777777" w:rsidR="00323E01" w:rsidRPr="003C0099" w:rsidRDefault="00323E01">
      <w:pPr>
        <w:spacing w:after="0" w:line="360" w:lineRule="auto"/>
        <w:rPr>
          <w:b/>
          <w:bCs/>
        </w:rPr>
      </w:pPr>
    </w:p>
    <w:p w14:paraId="68D472FA" w14:textId="77777777" w:rsidR="00323E01" w:rsidRPr="003C0099" w:rsidRDefault="0084719D">
      <w:pPr>
        <w:spacing w:after="0" w:line="360" w:lineRule="auto"/>
      </w:pPr>
      <w:bookmarkStart w:id="5" w:name="_heading=h.2et92p0" w:colFirst="0" w:colLast="0"/>
      <w:bookmarkEnd w:id="5"/>
      <w:r w:rsidRPr="003C0099">
        <w:t xml:space="preserve">Con fecha catorce de agosto de dos mil veinticinco, se recibió en este Instituto, a través del SAIMEX, el Recurso de Revisión interpuesto por </w:t>
      </w:r>
      <w:r w:rsidRPr="003C0099">
        <w:t>la persona Recurrente, en los siguientes términos:</w:t>
      </w:r>
    </w:p>
    <w:p w14:paraId="394BDE67" w14:textId="77777777" w:rsidR="00323E01" w:rsidRPr="003C0099" w:rsidRDefault="00323E01">
      <w:pPr>
        <w:spacing w:after="0" w:line="360" w:lineRule="auto"/>
      </w:pPr>
    </w:p>
    <w:p w14:paraId="2E9FD961" w14:textId="77777777" w:rsidR="00323E01" w:rsidRPr="003C0099" w:rsidRDefault="0084719D">
      <w:pPr>
        <w:spacing w:after="0" w:line="360" w:lineRule="auto"/>
        <w:ind w:left="567" w:right="709"/>
        <w:rPr>
          <w:b/>
          <w:bCs/>
          <w:sz w:val="20"/>
          <w:szCs w:val="20"/>
        </w:rPr>
      </w:pPr>
      <w:r w:rsidRPr="003C0099">
        <w:rPr>
          <w:b/>
          <w:bCs/>
          <w:sz w:val="20"/>
          <w:szCs w:val="20"/>
        </w:rPr>
        <w:t>ACTO IMPUGNADO</w:t>
      </w:r>
      <w:r w:rsidRPr="003C0099">
        <w:rPr>
          <w:b/>
          <w:bCs/>
          <w:sz w:val="20"/>
          <w:szCs w:val="20"/>
        </w:rPr>
        <w:tab/>
      </w:r>
    </w:p>
    <w:p w14:paraId="45632E69" w14:textId="77777777" w:rsidR="00323E01" w:rsidRPr="003C0099" w:rsidRDefault="0084719D">
      <w:pPr>
        <w:spacing w:after="0" w:line="360" w:lineRule="auto"/>
        <w:ind w:left="567" w:right="709"/>
        <w:rPr>
          <w:i/>
          <w:iCs/>
          <w:sz w:val="20"/>
          <w:szCs w:val="20"/>
        </w:rPr>
      </w:pPr>
      <w:r w:rsidRPr="003C0099">
        <w:rPr>
          <w:i/>
          <w:iCs/>
          <w:sz w:val="20"/>
          <w:szCs w:val="20"/>
        </w:rPr>
        <w:t xml:space="preserve">“La autoridad no solicitada ha sido </w:t>
      </w:r>
      <w:proofErr w:type="spellStart"/>
      <w:r w:rsidRPr="003C0099">
        <w:rPr>
          <w:i/>
          <w:iCs/>
          <w:sz w:val="20"/>
          <w:szCs w:val="20"/>
        </w:rPr>
        <w:t>omida</w:t>
      </w:r>
      <w:proofErr w:type="spellEnd"/>
      <w:r w:rsidRPr="003C0099">
        <w:rPr>
          <w:i/>
          <w:iCs/>
          <w:sz w:val="20"/>
          <w:szCs w:val="20"/>
        </w:rPr>
        <w:t xml:space="preserve"> en dar una respuesta a la petición.” (Sic.)</w:t>
      </w:r>
    </w:p>
    <w:p w14:paraId="08F859A0" w14:textId="77777777" w:rsidR="00323E01" w:rsidRPr="003C0099" w:rsidRDefault="00323E01">
      <w:pPr>
        <w:spacing w:after="0" w:line="360" w:lineRule="auto"/>
        <w:ind w:left="567" w:right="709"/>
        <w:rPr>
          <w:sz w:val="20"/>
          <w:szCs w:val="20"/>
        </w:rPr>
      </w:pPr>
    </w:p>
    <w:p w14:paraId="3A92FCAF" w14:textId="77777777" w:rsidR="00323E01" w:rsidRPr="003C0099" w:rsidRDefault="0084719D">
      <w:pPr>
        <w:spacing w:after="0" w:line="360" w:lineRule="auto"/>
        <w:ind w:left="567" w:right="709"/>
        <w:rPr>
          <w:b/>
          <w:bCs/>
          <w:sz w:val="20"/>
          <w:szCs w:val="20"/>
        </w:rPr>
      </w:pPr>
      <w:r w:rsidRPr="003C0099">
        <w:rPr>
          <w:b/>
          <w:bCs/>
          <w:sz w:val="20"/>
          <w:szCs w:val="20"/>
        </w:rPr>
        <w:t>RAZONES O MOTIVOS DE LA INCONFORMIDAD</w:t>
      </w:r>
      <w:r w:rsidRPr="003C0099">
        <w:rPr>
          <w:b/>
          <w:bCs/>
          <w:sz w:val="20"/>
          <w:szCs w:val="20"/>
        </w:rPr>
        <w:tab/>
      </w:r>
    </w:p>
    <w:p w14:paraId="33F489D6" w14:textId="77777777" w:rsidR="00323E01" w:rsidRPr="003C0099" w:rsidRDefault="0084719D">
      <w:pPr>
        <w:tabs>
          <w:tab w:val="left" w:pos="4667"/>
        </w:tabs>
        <w:spacing w:after="0" w:line="360" w:lineRule="auto"/>
        <w:ind w:left="567" w:right="709"/>
        <w:rPr>
          <w:i/>
          <w:iCs/>
          <w:sz w:val="20"/>
          <w:szCs w:val="20"/>
        </w:rPr>
      </w:pPr>
      <w:r w:rsidRPr="003C0099">
        <w:rPr>
          <w:i/>
          <w:iCs/>
          <w:sz w:val="20"/>
          <w:szCs w:val="20"/>
        </w:rPr>
        <w:t xml:space="preserve">“La autoridad responsable es omisa en dar una respuesta a la solicitud de información, ya que si bien dio cumplimiento lo hace con una respuesta sin fundamento ni motivación lo que deja entrever que trata de evadir la responsabilidad de dar cumplimiento a </w:t>
      </w:r>
      <w:r w:rsidRPr="003C0099">
        <w:rPr>
          <w:i/>
          <w:iCs/>
          <w:sz w:val="20"/>
          <w:szCs w:val="20"/>
        </w:rPr>
        <w:t xml:space="preserve">la solicitud” </w:t>
      </w:r>
    </w:p>
    <w:p w14:paraId="47589C6D" w14:textId="77777777" w:rsidR="00323E01" w:rsidRPr="003C0099" w:rsidRDefault="00323E01">
      <w:pPr>
        <w:tabs>
          <w:tab w:val="left" w:pos="4667"/>
        </w:tabs>
        <w:spacing w:after="0" w:line="360" w:lineRule="auto"/>
      </w:pPr>
    </w:p>
    <w:p w14:paraId="2D75D897" w14:textId="77777777" w:rsidR="00323E01" w:rsidRPr="003C0099" w:rsidRDefault="0084719D">
      <w:pPr>
        <w:pStyle w:val="Ttulo2"/>
        <w:spacing w:before="0" w:after="0"/>
      </w:pPr>
      <w:bookmarkStart w:id="6" w:name="_Toc214613792"/>
      <w:r w:rsidRPr="003C0099">
        <w:t>IV. Trámite del Recurso de Revisión ante este Instituto</w:t>
      </w:r>
      <w:bookmarkEnd w:id="6"/>
    </w:p>
    <w:p w14:paraId="1D02EE47" w14:textId="77777777" w:rsidR="00323E01" w:rsidRPr="003C0099" w:rsidRDefault="00323E01">
      <w:pPr>
        <w:spacing w:after="0" w:line="360" w:lineRule="auto"/>
        <w:rPr>
          <w:b/>
          <w:bCs/>
        </w:rPr>
      </w:pPr>
    </w:p>
    <w:p w14:paraId="147BCFF8" w14:textId="77777777" w:rsidR="00323E01" w:rsidRPr="003C0099" w:rsidRDefault="0084719D">
      <w:pPr>
        <w:spacing w:after="0" w:line="360" w:lineRule="auto"/>
      </w:pPr>
      <w:r w:rsidRPr="003C0099">
        <w:rPr>
          <w:b/>
          <w:bCs/>
        </w:rPr>
        <w:t>a) Turno del Medio de Impugnación.</w:t>
      </w:r>
      <w:r w:rsidRPr="003C0099">
        <w:t xml:space="preserve"> El catorce de agosto de dos mil veinticinco, el SAIMEX, asignó el número de expediente</w:t>
      </w:r>
      <w:r w:rsidRPr="003C0099">
        <w:rPr>
          <w:b/>
          <w:bCs/>
        </w:rPr>
        <w:t xml:space="preserve"> 09571/INFOEM/IP/RR/2025, </w:t>
      </w:r>
      <w:r w:rsidRPr="003C0099">
        <w:t>al medio de impugnación que nos ocup</w:t>
      </w:r>
      <w:r w:rsidRPr="003C0099">
        <w:t>an, con base en el sistema aprobado por el Pleno de este Órgano Garante y se turnó al Comisionado Ponente Luis Gustavo Parra Noriega, para los efectos del artículo 185, fracción I de la Ley de Transparencia y Acceso a la Información Pública del Estado de M</w:t>
      </w:r>
      <w:r w:rsidRPr="003C0099">
        <w:t>éxico y Municipios.</w:t>
      </w:r>
    </w:p>
    <w:p w14:paraId="6CE61D15" w14:textId="77777777" w:rsidR="00323E01" w:rsidRPr="003C0099" w:rsidRDefault="00323E01">
      <w:pPr>
        <w:spacing w:after="0" w:line="360" w:lineRule="auto"/>
      </w:pPr>
    </w:p>
    <w:p w14:paraId="52F68D1D" w14:textId="77777777" w:rsidR="00323E01" w:rsidRPr="003C0099" w:rsidRDefault="0084719D">
      <w:pPr>
        <w:spacing w:after="0" w:line="360" w:lineRule="auto"/>
      </w:pPr>
      <w:r w:rsidRPr="003C0099">
        <w:rPr>
          <w:b/>
          <w:bCs/>
        </w:rPr>
        <w:lastRenderedPageBreak/>
        <w:t>b) Admisión del Recurso de Revisión.</w:t>
      </w:r>
      <w:r w:rsidRPr="003C0099">
        <w:t xml:space="preserve"> El diecinueve de agosto de dos mil veinticinco, se notificó a través del SAIMEX, el acuerdo de admisión del Recurso de Revisión interpuesto por la persona Recurrente en contra del Sujeto Obligado, e</w:t>
      </w:r>
      <w:r w:rsidRPr="003C0099">
        <w:t>n términos del artículo 185, fracciones I y II de la Ley de Transparencia y Acceso a la Información Pública del Estado de México y Municipios, en el que se les otorgó un plazo de siete días hábiles posteriores a la misma, para que manifestara lo que a su d</w:t>
      </w:r>
      <w:r w:rsidRPr="003C0099">
        <w:t>erecho conviniera y formularán alegatos.</w:t>
      </w:r>
    </w:p>
    <w:p w14:paraId="57906D52" w14:textId="77777777" w:rsidR="00323E01" w:rsidRPr="003C0099" w:rsidRDefault="00323E01">
      <w:pPr>
        <w:spacing w:after="0" w:line="360" w:lineRule="auto"/>
      </w:pPr>
    </w:p>
    <w:p w14:paraId="5ABED02F" w14:textId="77777777" w:rsidR="00323E01" w:rsidRPr="003C0099" w:rsidRDefault="0084719D">
      <w:pPr>
        <w:spacing w:after="0" w:line="360" w:lineRule="auto"/>
        <w:rPr>
          <w:color w:val="000000"/>
        </w:rPr>
      </w:pPr>
      <w:r w:rsidRPr="003C0099">
        <w:rPr>
          <w:b/>
          <w:bCs/>
        </w:rPr>
        <w:t xml:space="preserve">c) </w:t>
      </w:r>
      <w:r w:rsidRPr="003C0099">
        <w:rPr>
          <w:b/>
          <w:bCs/>
          <w:color w:val="000000"/>
        </w:rPr>
        <w:t xml:space="preserve">Informe Justificado. </w:t>
      </w:r>
      <w:r w:rsidRPr="003C0099">
        <w:rPr>
          <w:color w:val="000000"/>
        </w:rPr>
        <w:t>En fecha veintiséis de agosto de dos mil veinticinco, se recibió en este Instituto, a través del Sistema de Acceso a la Información Mexiquense (SAIMEX), el Informe Justificado, por parte del</w:t>
      </w:r>
      <w:r w:rsidRPr="003C0099">
        <w:rPr>
          <w:color w:val="000000"/>
        </w:rPr>
        <w:t xml:space="preserve"> Sujeto Obligado, en los siguientes términos:</w:t>
      </w:r>
    </w:p>
    <w:p w14:paraId="65457C67" w14:textId="77777777" w:rsidR="00323E01" w:rsidRPr="003C0099" w:rsidRDefault="00323E01">
      <w:pPr>
        <w:spacing w:after="0" w:line="360" w:lineRule="auto"/>
        <w:rPr>
          <w:color w:val="000000"/>
        </w:rPr>
      </w:pPr>
    </w:p>
    <w:p w14:paraId="35C279BF" w14:textId="77777777" w:rsidR="00323E01" w:rsidRPr="003C0099" w:rsidRDefault="0084719D">
      <w:pPr>
        <w:numPr>
          <w:ilvl w:val="0"/>
          <w:numId w:val="2"/>
        </w:numPr>
        <w:pBdr>
          <w:top w:val="nil"/>
          <w:left w:val="nil"/>
          <w:bottom w:val="nil"/>
          <w:right w:val="nil"/>
          <w:between w:val="nil"/>
        </w:pBdr>
        <w:spacing w:after="0" w:line="360" w:lineRule="auto"/>
        <w:rPr>
          <w:b/>
          <w:bCs/>
          <w:color w:val="000000"/>
        </w:rPr>
      </w:pPr>
      <w:proofErr w:type="spellStart"/>
      <w:r w:rsidRPr="003C0099">
        <w:rPr>
          <w:b/>
          <w:bCs/>
          <w:i/>
          <w:iCs/>
          <w:color w:val="000000"/>
        </w:rPr>
        <w:t>saimex</w:t>
      </w:r>
      <w:proofErr w:type="spellEnd"/>
      <w:r w:rsidRPr="003C0099">
        <w:rPr>
          <w:b/>
          <w:bCs/>
          <w:i/>
          <w:iCs/>
          <w:color w:val="000000"/>
        </w:rPr>
        <w:t xml:space="preserve"> 00252.pdf;</w:t>
      </w:r>
      <w:r w:rsidRPr="003C0099">
        <w:rPr>
          <w:b/>
          <w:bCs/>
          <w:color w:val="000000"/>
        </w:rPr>
        <w:t xml:space="preserve"> </w:t>
      </w:r>
      <w:r w:rsidRPr="003C0099">
        <w:rPr>
          <w:color w:val="000000"/>
        </w:rPr>
        <w:t>del que se desprenden los siguientes:</w:t>
      </w:r>
    </w:p>
    <w:p w14:paraId="00C577AC" w14:textId="77777777" w:rsidR="00323E01" w:rsidRPr="003C0099" w:rsidRDefault="00323E01">
      <w:pPr>
        <w:pBdr>
          <w:top w:val="nil"/>
          <w:left w:val="nil"/>
          <w:bottom w:val="nil"/>
          <w:right w:val="nil"/>
          <w:between w:val="nil"/>
        </w:pBdr>
        <w:spacing w:after="0" w:line="360" w:lineRule="auto"/>
        <w:ind w:left="720"/>
        <w:rPr>
          <w:b/>
          <w:bCs/>
          <w:color w:val="000000"/>
        </w:rPr>
      </w:pPr>
    </w:p>
    <w:p w14:paraId="328CA873" w14:textId="77777777" w:rsidR="00323E01" w:rsidRPr="003C0099" w:rsidRDefault="0084719D">
      <w:pPr>
        <w:numPr>
          <w:ilvl w:val="1"/>
          <w:numId w:val="2"/>
        </w:numPr>
        <w:pBdr>
          <w:top w:val="nil"/>
          <w:left w:val="nil"/>
          <w:bottom w:val="nil"/>
          <w:right w:val="nil"/>
          <w:between w:val="nil"/>
        </w:pBdr>
        <w:spacing w:after="0" w:line="360" w:lineRule="auto"/>
        <w:rPr>
          <w:b/>
          <w:bCs/>
          <w:color w:val="000000"/>
        </w:rPr>
      </w:pPr>
      <w:r w:rsidRPr="003C0099">
        <w:rPr>
          <w:color w:val="000000"/>
        </w:rPr>
        <w:t>Oficio suscrito por la Coordinadora Administrativa de la Secretaría de Salud, en el que señaló:</w:t>
      </w:r>
    </w:p>
    <w:p w14:paraId="592708A3" w14:textId="77777777" w:rsidR="00323E01" w:rsidRPr="003C0099" w:rsidRDefault="00323E01">
      <w:pPr>
        <w:pBdr>
          <w:top w:val="nil"/>
          <w:left w:val="nil"/>
          <w:bottom w:val="nil"/>
          <w:right w:val="nil"/>
          <w:between w:val="nil"/>
        </w:pBdr>
        <w:spacing w:after="0" w:line="360" w:lineRule="auto"/>
        <w:rPr>
          <w:b/>
          <w:bCs/>
          <w:color w:val="000000"/>
        </w:rPr>
      </w:pPr>
    </w:p>
    <w:p w14:paraId="498337C8" w14:textId="77777777" w:rsidR="00323E01" w:rsidRPr="003C0099" w:rsidRDefault="0084719D">
      <w:pPr>
        <w:pBdr>
          <w:top w:val="nil"/>
          <w:left w:val="nil"/>
          <w:bottom w:val="nil"/>
          <w:right w:val="nil"/>
          <w:between w:val="nil"/>
        </w:pBdr>
        <w:spacing w:after="0" w:line="360" w:lineRule="auto"/>
        <w:ind w:left="1134" w:right="709"/>
        <w:rPr>
          <w:i/>
          <w:iCs/>
          <w:color w:val="000000"/>
          <w:sz w:val="20"/>
          <w:szCs w:val="20"/>
        </w:rPr>
      </w:pPr>
      <w:r w:rsidRPr="003C0099">
        <w:rPr>
          <w:i/>
          <w:iCs/>
          <w:color w:val="000000"/>
          <w:sz w:val="20"/>
          <w:szCs w:val="20"/>
        </w:rPr>
        <w:t>“…</w:t>
      </w:r>
    </w:p>
    <w:p w14:paraId="49FFDEA7" w14:textId="77777777" w:rsidR="00323E01" w:rsidRPr="003C0099" w:rsidRDefault="0084719D">
      <w:pPr>
        <w:pBdr>
          <w:top w:val="nil"/>
          <w:left w:val="nil"/>
          <w:bottom w:val="nil"/>
          <w:right w:val="nil"/>
          <w:between w:val="nil"/>
        </w:pBdr>
        <w:spacing w:after="0" w:line="360" w:lineRule="auto"/>
        <w:ind w:left="1134" w:right="709"/>
        <w:rPr>
          <w:i/>
          <w:iCs/>
          <w:color w:val="000000"/>
          <w:sz w:val="20"/>
          <w:szCs w:val="20"/>
        </w:rPr>
      </w:pPr>
      <w:r w:rsidRPr="003C0099">
        <w:rPr>
          <w:i/>
          <w:iCs/>
          <w:color w:val="000000"/>
          <w:sz w:val="20"/>
          <w:szCs w:val="20"/>
        </w:rPr>
        <w:t xml:space="preserve">hago la aclaración que la solicitud del Sistema de </w:t>
      </w:r>
      <w:r w:rsidRPr="003C0099">
        <w:rPr>
          <w:i/>
          <w:iCs/>
          <w:color w:val="000000"/>
          <w:sz w:val="20"/>
          <w:szCs w:val="20"/>
        </w:rPr>
        <w:t>Acceso a la Información Mexiquense (SAIMEX 00252/SSALUD/IP/2025, no me fue asignada y atendida por esta Coordinación Administrativa, como puede verificar en el anexo que se remite del "Tablero de requerimientos atendidos"</w:t>
      </w:r>
    </w:p>
    <w:p w14:paraId="780D9531" w14:textId="77777777" w:rsidR="00323E01" w:rsidRPr="003C0099" w:rsidRDefault="0084719D">
      <w:pPr>
        <w:pBdr>
          <w:top w:val="nil"/>
          <w:left w:val="nil"/>
          <w:bottom w:val="nil"/>
          <w:right w:val="nil"/>
          <w:between w:val="nil"/>
        </w:pBdr>
        <w:spacing w:after="0" w:line="360" w:lineRule="auto"/>
        <w:ind w:left="1134" w:right="709"/>
        <w:rPr>
          <w:i/>
          <w:iCs/>
          <w:color w:val="000000"/>
          <w:sz w:val="20"/>
          <w:szCs w:val="20"/>
        </w:rPr>
      </w:pPr>
      <w:r w:rsidRPr="003C0099">
        <w:rPr>
          <w:i/>
          <w:iCs/>
          <w:color w:val="000000"/>
          <w:sz w:val="20"/>
          <w:szCs w:val="20"/>
        </w:rPr>
        <w:t xml:space="preserve"> No obstante, hago de su conocimie</w:t>
      </w:r>
      <w:r w:rsidRPr="003C0099">
        <w:rPr>
          <w:i/>
          <w:iCs/>
          <w:color w:val="000000"/>
          <w:sz w:val="20"/>
          <w:szCs w:val="20"/>
        </w:rPr>
        <w:t>nto que:</w:t>
      </w:r>
    </w:p>
    <w:p w14:paraId="3C21618D" w14:textId="77777777" w:rsidR="00323E01" w:rsidRPr="003C0099" w:rsidRDefault="0084719D">
      <w:pPr>
        <w:numPr>
          <w:ilvl w:val="0"/>
          <w:numId w:val="3"/>
        </w:numPr>
        <w:pBdr>
          <w:top w:val="nil"/>
          <w:left w:val="nil"/>
          <w:bottom w:val="nil"/>
          <w:right w:val="nil"/>
          <w:between w:val="nil"/>
        </w:pBdr>
        <w:spacing w:after="0" w:line="360" w:lineRule="auto"/>
        <w:ind w:left="1134" w:right="709" w:firstLine="0"/>
        <w:rPr>
          <w:i/>
          <w:iCs/>
          <w:color w:val="000000"/>
          <w:sz w:val="20"/>
          <w:szCs w:val="20"/>
        </w:rPr>
      </w:pPr>
      <w:r w:rsidRPr="003C0099">
        <w:rPr>
          <w:i/>
          <w:iCs/>
          <w:color w:val="000000"/>
          <w:sz w:val="20"/>
          <w:szCs w:val="20"/>
        </w:rPr>
        <w:t>Con base en el apartado "V. Estructura Orgánica" del Manual General de Organización del Instituto de Salud del Estado de México, el Centro Médico “Lic. Adolfo López Mateos", es un organismo de salud pública dependiente del Instituto de Salud del E</w:t>
      </w:r>
      <w:r w:rsidRPr="003C0099">
        <w:rPr>
          <w:i/>
          <w:iCs/>
          <w:color w:val="000000"/>
          <w:sz w:val="20"/>
          <w:szCs w:val="20"/>
        </w:rPr>
        <w:t xml:space="preserve">stado de México, (se anexa enlace para mayor referencia: </w:t>
      </w:r>
      <w:hyperlink r:id="rId9">
        <w:r w:rsidR="00323E01" w:rsidRPr="003C0099">
          <w:rPr>
            <w:i/>
            <w:iCs/>
            <w:color w:val="0563C1"/>
            <w:sz w:val="20"/>
            <w:szCs w:val="20"/>
            <w:u w:val="single"/>
          </w:rPr>
          <w:t>https://legislacion.edomex.gob.mx/sites/legislacion.edomex.gob.mx/files/files/vigentes/dic185.PDF</w:t>
        </w:r>
      </w:hyperlink>
      <w:r w:rsidRPr="003C0099">
        <w:rPr>
          <w:i/>
          <w:iCs/>
          <w:color w:val="000000"/>
          <w:sz w:val="20"/>
          <w:szCs w:val="20"/>
        </w:rPr>
        <w:t>),</w:t>
      </w:r>
    </w:p>
    <w:p w14:paraId="67A835A9" w14:textId="77777777" w:rsidR="00323E01" w:rsidRPr="003C0099" w:rsidRDefault="0084719D">
      <w:pPr>
        <w:pBdr>
          <w:top w:val="nil"/>
          <w:left w:val="nil"/>
          <w:bottom w:val="nil"/>
          <w:right w:val="nil"/>
          <w:between w:val="nil"/>
        </w:pBdr>
        <w:spacing w:after="0" w:line="360" w:lineRule="auto"/>
        <w:ind w:left="1134" w:right="709"/>
        <w:rPr>
          <w:i/>
          <w:iCs/>
          <w:color w:val="000000"/>
          <w:sz w:val="20"/>
          <w:szCs w:val="20"/>
        </w:rPr>
      </w:pPr>
      <w:r w:rsidRPr="003C0099">
        <w:rPr>
          <w:i/>
          <w:iCs/>
          <w:color w:val="000000"/>
          <w:sz w:val="20"/>
          <w:szCs w:val="20"/>
        </w:rPr>
        <w:t xml:space="preserve"> razón por la cual estamos imposibilitados para remitir la información solicitada, con base en el artículo 12, segundo párrafo de la Ley de Transparencia y Acceso a la Información Pública del Estado de México vigente, la cual se encuentra</w:t>
      </w:r>
      <w:r w:rsidRPr="003C0099">
        <w:rPr>
          <w:i/>
          <w:iCs/>
          <w:color w:val="000000"/>
          <w:sz w:val="20"/>
          <w:szCs w:val="20"/>
        </w:rPr>
        <w:t xml:space="preserve"> en el siguiente enlace: https://www.infoem.org.mx/doc/normatividad/L_Ley de Transparencia Acceso a </w:t>
      </w:r>
      <w:proofErr w:type="spellStart"/>
      <w:r w:rsidRPr="003C0099">
        <w:rPr>
          <w:i/>
          <w:iCs/>
          <w:color w:val="000000"/>
          <w:sz w:val="20"/>
          <w:szCs w:val="20"/>
        </w:rPr>
        <w:t>la_Informacion</w:t>
      </w:r>
      <w:proofErr w:type="spellEnd"/>
      <w:r w:rsidRPr="003C0099">
        <w:rPr>
          <w:i/>
          <w:iCs/>
          <w:color w:val="000000"/>
          <w:sz w:val="20"/>
          <w:szCs w:val="20"/>
        </w:rPr>
        <w:t xml:space="preserve"> P </w:t>
      </w:r>
      <w:proofErr w:type="spellStart"/>
      <w:r w:rsidRPr="003C0099">
        <w:rPr>
          <w:i/>
          <w:iCs/>
          <w:color w:val="000000"/>
          <w:sz w:val="20"/>
          <w:szCs w:val="20"/>
        </w:rPr>
        <w:t>ublica</w:t>
      </w:r>
      <w:proofErr w:type="spellEnd"/>
      <w:r w:rsidRPr="003C0099">
        <w:rPr>
          <w:i/>
          <w:iCs/>
          <w:color w:val="000000"/>
          <w:sz w:val="20"/>
          <w:szCs w:val="20"/>
        </w:rPr>
        <w:t xml:space="preserve"> del Estado_ de </w:t>
      </w:r>
      <w:proofErr w:type="spellStart"/>
      <w:r w:rsidRPr="003C0099">
        <w:rPr>
          <w:i/>
          <w:iCs/>
          <w:color w:val="000000"/>
          <w:sz w:val="20"/>
          <w:szCs w:val="20"/>
        </w:rPr>
        <w:t>Mexico</w:t>
      </w:r>
      <w:proofErr w:type="spellEnd"/>
      <w:r w:rsidRPr="003C0099">
        <w:rPr>
          <w:i/>
          <w:iCs/>
          <w:color w:val="000000"/>
          <w:sz w:val="20"/>
          <w:szCs w:val="20"/>
        </w:rPr>
        <w:t xml:space="preserve"> y Municipios.pdf  </w:t>
      </w:r>
    </w:p>
    <w:p w14:paraId="3B1F93A0" w14:textId="77777777" w:rsidR="00323E01" w:rsidRPr="003C0099" w:rsidRDefault="0084719D">
      <w:pPr>
        <w:numPr>
          <w:ilvl w:val="0"/>
          <w:numId w:val="3"/>
        </w:numPr>
        <w:pBdr>
          <w:top w:val="nil"/>
          <w:left w:val="nil"/>
          <w:bottom w:val="nil"/>
          <w:right w:val="nil"/>
          <w:between w:val="nil"/>
        </w:pBdr>
        <w:spacing w:after="0" w:line="360" w:lineRule="auto"/>
        <w:ind w:left="1134" w:right="709" w:firstLine="0"/>
        <w:rPr>
          <w:i/>
          <w:iCs/>
          <w:color w:val="000000"/>
          <w:sz w:val="20"/>
          <w:szCs w:val="20"/>
        </w:rPr>
      </w:pPr>
      <w:r w:rsidRPr="003C0099">
        <w:rPr>
          <w:i/>
          <w:iCs/>
          <w:color w:val="000000"/>
          <w:sz w:val="20"/>
          <w:szCs w:val="20"/>
        </w:rPr>
        <w:t xml:space="preserve">En la Secretaría de Salud, no realizamos directamente pago a los empleados de limpieza, ya </w:t>
      </w:r>
      <w:r w:rsidRPr="003C0099">
        <w:rPr>
          <w:i/>
          <w:iCs/>
          <w:color w:val="000000"/>
          <w:sz w:val="20"/>
          <w:szCs w:val="20"/>
        </w:rPr>
        <w:t xml:space="preserve">que la Dirección General de Recursos Materiales contrata a nivel estatal en forma consolidada a una empresa que cubre la partida 3581 "Servicio de lavandería, limpieza e higiene", y ha esta, se le van realizando los pagos correspondientes, se anexa oficio </w:t>
      </w:r>
      <w:r w:rsidRPr="003C0099">
        <w:rPr>
          <w:i/>
          <w:iCs/>
          <w:color w:val="000000"/>
          <w:sz w:val="20"/>
          <w:szCs w:val="20"/>
        </w:rPr>
        <w:t xml:space="preserve">22340000503000OL/1568/2024, referente a la solicitud de autorización para que la Dirección en mención lleve a cabo los trámites administrativos para el procedimiento de contratación. </w:t>
      </w:r>
    </w:p>
    <w:p w14:paraId="456F24EF" w14:textId="77777777" w:rsidR="00323E01" w:rsidRPr="003C0099" w:rsidRDefault="0084719D">
      <w:pPr>
        <w:pBdr>
          <w:top w:val="nil"/>
          <w:left w:val="nil"/>
          <w:bottom w:val="nil"/>
          <w:right w:val="nil"/>
          <w:between w:val="nil"/>
        </w:pBdr>
        <w:spacing w:after="0" w:line="360" w:lineRule="auto"/>
        <w:ind w:left="1134" w:right="709"/>
        <w:rPr>
          <w:i/>
          <w:iCs/>
          <w:color w:val="000000"/>
          <w:sz w:val="20"/>
          <w:szCs w:val="20"/>
        </w:rPr>
      </w:pPr>
      <w:r w:rsidRPr="003C0099">
        <w:rPr>
          <w:i/>
          <w:iCs/>
          <w:color w:val="000000"/>
          <w:sz w:val="20"/>
          <w:szCs w:val="20"/>
        </w:rPr>
        <w:t>…”</w:t>
      </w:r>
    </w:p>
    <w:p w14:paraId="53E8CD6C" w14:textId="77777777" w:rsidR="00323E01" w:rsidRPr="003C0099" w:rsidRDefault="00323E01">
      <w:pPr>
        <w:pBdr>
          <w:top w:val="nil"/>
          <w:left w:val="nil"/>
          <w:bottom w:val="nil"/>
          <w:right w:val="nil"/>
          <w:between w:val="nil"/>
        </w:pBdr>
        <w:spacing w:after="0" w:line="360" w:lineRule="auto"/>
        <w:ind w:left="972" w:right="709"/>
        <w:rPr>
          <w:i/>
          <w:iCs/>
          <w:color w:val="000000"/>
        </w:rPr>
      </w:pPr>
    </w:p>
    <w:p w14:paraId="251D97F4" w14:textId="77777777" w:rsidR="00323E01" w:rsidRPr="003C0099" w:rsidRDefault="0084719D">
      <w:pPr>
        <w:numPr>
          <w:ilvl w:val="1"/>
          <w:numId w:val="2"/>
        </w:numPr>
        <w:pBdr>
          <w:top w:val="nil"/>
          <w:left w:val="nil"/>
          <w:bottom w:val="nil"/>
          <w:right w:val="nil"/>
          <w:between w:val="nil"/>
        </w:pBdr>
        <w:spacing w:after="0" w:line="360" w:lineRule="auto"/>
        <w:ind w:right="709"/>
        <w:rPr>
          <w:color w:val="000000"/>
        </w:rPr>
      </w:pPr>
      <w:r w:rsidRPr="003C0099">
        <w:rPr>
          <w:color w:val="000000"/>
        </w:rPr>
        <w:t>Oficio suscrito por la Directora General de Recursos Materiales de la Oficialía Mayor, dirigido a los Titulares de las Coordinaciones Administrativas, Direcciones Generales de Administración y/o Equivalentes de las Dependencias del Sector Central del Poder</w:t>
      </w:r>
      <w:r w:rsidRPr="003C0099">
        <w:rPr>
          <w:color w:val="000000"/>
        </w:rPr>
        <w:t xml:space="preserve"> Ejecutivo Estatal, en el que les informa sobre el proceso de contratación de “Servicios de Lavandería, Limpieza e Higiene” y se especifica que dicha Dirección es quién realiza el procedimiento correspondiente. </w:t>
      </w:r>
    </w:p>
    <w:p w14:paraId="7B5B3ECF" w14:textId="77777777" w:rsidR="00323E01" w:rsidRPr="003C0099" w:rsidRDefault="00323E01">
      <w:pPr>
        <w:spacing w:after="0" w:line="360" w:lineRule="auto"/>
        <w:rPr>
          <w:b/>
          <w:bCs/>
          <w:color w:val="000000"/>
        </w:rPr>
      </w:pPr>
    </w:p>
    <w:p w14:paraId="76857CDD" w14:textId="77777777" w:rsidR="00323E01" w:rsidRPr="003C0099" w:rsidRDefault="0084719D">
      <w:pPr>
        <w:spacing w:after="0" w:line="360" w:lineRule="auto"/>
        <w:rPr>
          <w:color w:val="000000"/>
        </w:rPr>
      </w:pPr>
      <w:r w:rsidRPr="003C0099">
        <w:rPr>
          <w:b/>
          <w:bCs/>
          <w:color w:val="000000"/>
        </w:rPr>
        <w:t xml:space="preserve">d) Vista de Informe Justificado. </w:t>
      </w:r>
      <w:r w:rsidRPr="003C0099">
        <w:rPr>
          <w:color w:val="000000"/>
        </w:rPr>
        <w:t>El once de</w:t>
      </w:r>
      <w:r w:rsidRPr="003C0099">
        <w:rPr>
          <w:color w:val="000000"/>
        </w:rPr>
        <w:t xml:space="preserve"> noviembre de dos mil veinticinco, se notificó a través del SAIMEX, el acuerdo mediante el cual se puso a la vista de la parte Recurrente el Informe Justificado, proveído por el cual se le otorgó a este último, un término de tres días hábiles </w:t>
      </w:r>
      <w:r w:rsidRPr="003C0099">
        <w:rPr>
          <w:color w:val="000000"/>
        </w:rPr>
        <w:lastRenderedPageBreak/>
        <w:t>contados a pa</w:t>
      </w:r>
      <w:r w:rsidRPr="003C0099">
        <w:rPr>
          <w:color w:val="000000"/>
        </w:rPr>
        <w:t>rtir del día siguiente a la notificación, para que emitiera las manifestaciones que conforme a sus intereses convenga.</w:t>
      </w:r>
    </w:p>
    <w:p w14:paraId="7A141940" w14:textId="77777777" w:rsidR="00323E01" w:rsidRPr="003C0099" w:rsidRDefault="00323E01">
      <w:pPr>
        <w:widowControl w:val="0"/>
        <w:spacing w:after="0" w:line="360" w:lineRule="auto"/>
        <w:rPr>
          <w:b/>
          <w:bCs/>
        </w:rPr>
      </w:pPr>
    </w:p>
    <w:p w14:paraId="7019ACE6" w14:textId="77777777" w:rsidR="00323E01" w:rsidRPr="003C0099" w:rsidRDefault="0084719D">
      <w:pPr>
        <w:spacing w:after="0" w:line="360" w:lineRule="auto"/>
      </w:pPr>
      <w:r w:rsidRPr="003C0099">
        <w:rPr>
          <w:b/>
          <w:bCs/>
        </w:rPr>
        <w:t xml:space="preserve">e) Manifestaciones de la parte Recurrente. </w:t>
      </w:r>
      <w:r w:rsidRPr="003C0099">
        <w:t>De las constancias que integran el expediente se advierte que la parte Recurrente no añadió m</w:t>
      </w:r>
      <w:r w:rsidRPr="003C0099">
        <w:t>anifestaciones.</w:t>
      </w:r>
    </w:p>
    <w:p w14:paraId="240AEF1D" w14:textId="77777777" w:rsidR="00323E01" w:rsidRPr="003C0099" w:rsidRDefault="00323E01">
      <w:pPr>
        <w:spacing w:after="0" w:line="360" w:lineRule="auto"/>
      </w:pPr>
    </w:p>
    <w:p w14:paraId="5283F33E" w14:textId="77777777" w:rsidR="00323E01" w:rsidRPr="003C0099" w:rsidRDefault="0084719D">
      <w:pPr>
        <w:spacing w:after="0" w:line="360" w:lineRule="auto"/>
        <w:rPr>
          <w:b/>
          <w:bCs/>
          <w:color w:val="000000"/>
        </w:rPr>
      </w:pPr>
      <w:r w:rsidRPr="003C0099">
        <w:rPr>
          <w:b/>
          <w:bCs/>
          <w:color w:val="000000"/>
        </w:rPr>
        <w:t>f)</w:t>
      </w:r>
      <w:r w:rsidRPr="003C0099">
        <w:rPr>
          <w:color w:val="000000"/>
        </w:rPr>
        <w:t xml:space="preserve"> </w:t>
      </w:r>
      <w:r w:rsidRPr="003C0099">
        <w:rPr>
          <w:b/>
          <w:bCs/>
          <w:color w:val="000000"/>
        </w:rPr>
        <w:t>Ampliación de plazo para resolver</w:t>
      </w:r>
      <w:r w:rsidRPr="003C0099">
        <w:rPr>
          <w:color w:val="000000"/>
        </w:rPr>
        <w:t>. El once de noviembre de dos mil veinticinco, el Comisionado Ponente, con fundamento en lo dispuesto por el artículo 181, párrafo tercero, de la Ley de Transparencia y Acceso a la Información Pública de</w:t>
      </w:r>
      <w:r w:rsidRPr="003C0099">
        <w:rPr>
          <w:color w:val="000000"/>
        </w:rPr>
        <w:t>l Estado de México y Municipios, acordó ampliar por un periodo razonable, el plazo para resolver el Recurso de Revisión que nos ocupa; acto que fue notificado a las partes en la misma fecha, mediante el SAIMEX.</w:t>
      </w:r>
    </w:p>
    <w:p w14:paraId="2B1764D8" w14:textId="77777777" w:rsidR="00323E01" w:rsidRPr="003C0099" w:rsidRDefault="00323E01">
      <w:pPr>
        <w:spacing w:after="0" w:line="360" w:lineRule="auto"/>
      </w:pPr>
    </w:p>
    <w:p w14:paraId="3B848BB5" w14:textId="77777777" w:rsidR="00323E01" w:rsidRPr="003C0099" w:rsidRDefault="0084719D">
      <w:pPr>
        <w:spacing w:after="0" w:line="360" w:lineRule="auto"/>
      </w:pPr>
      <w:r w:rsidRPr="003C0099">
        <w:rPr>
          <w:b/>
          <w:bCs/>
        </w:rPr>
        <w:t>g) Cierre de instrucción.</w:t>
      </w:r>
      <w:r w:rsidRPr="003C0099">
        <w:t xml:space="preserve"> El dieciocho de no</w:t>
      </w:r>
      <w:r w:rsidRPr="003C0099">
        <w:t>viembre de dos mil veinticinco, al no existir diligencias pendientes por desahogar, se emitió el acuerdo por medio del cual se declaró cerrada la instrucción y se determinó pasar los expedientes a resolución, en términos de lo dispuesto en los artículos 18</w:t>
      </w:r>
      <w:r w:rsidRPr="003C0099">
        <w:t>5, fracciones VI y VIII, de la Ley de Transparencia y Acceso a la Información Pública del Estado de México y Municipios, acto que fue notificado a las partes en la misma fecha, mediante el SAIMEX.</w:t>
      </w:r>
    </w:p>
    <w:p w14:paraId="66F08567" w14:textId="77777777" w:rsidR="00323E01" w:rsidRPr="003C0099" w:rsidRDefault="00323E01">
      <w:pPr>
        <w:spacing w:after="0" w:line="360" w:lineRule="auto"/>
      </w:pPr>
    </w:p>
    <w:p w14:paraId="343ABAC7" w14:textId="77777777" w:rsidR="00323E01" w:rsidRPr="003C0099" w:rsidRDefault="0084719D">
      <w:pPr>
        <w:spacing w:after="0" w:line="360" w:lineRule="auto"/>
      </w:pPr>
      <w:r w:rsidRPr="003C0099">
        <w:t>En razón de que fue debidamente sustanciado e integrado el</w:t>
      </w:r>
      <w:r w:rsidRPr="003C0099">
        <w:t xml:space="preserve"> expediente electrónico y no existir diligencia pendiente de desahogo, se emite la resolución que conforme a Derecho proceda, de acuerdo a los siguientes: </w:t>
      </w:r>
    </w:p>
    <w:p w14:paraId="4C1C2F85" w14:textId="77777777" w:rsidR="00323E01" w:rsidRPr="003C0099" w:rsidRDefault="00323E01">
      <w:pPr>
        <w:spacing w:after="0" w:line="360" w:lineRule="auto"/>
      </w:pPr>
    </w:p>
    <w:p w14:paraId="7057E93D" w14:textId="77777777" w:rsidR="00323E01" w:rsidRPr="003C0099" w:rsidRDefault="0084719D">
      <w:pPr>
        <w:pStyle w:val="Ttulo1"/>
        <w:spacing w:before="0" w:after="0"/>
        <w:rPr>
          <w:sz w:val="22"/>
          <w:szCs w:val="22"/>
        </w:rPr>
      </w:pPr>
      <w:bookmarkStart w:id="7" w:name="_Toc214613793"/>
      <w:r w:rsidRPr="003C0099">
        <w:rPr>
          <w:sz w:val="22"/>
          <w:szCs w:val="22"/>
        </w:rPr>
        <w:t>C O N S I D E R A N D O S</w:t>
      </w:r>
      <w:bookmarkEnd w:id="7"/>
    </w:p>
    <w:p w14:paraId="779BC6E3" w14:textId="77777777" w:rsidR="00323E01" w:rsidRPr="003C0099" w:rsidRDefault="00323E01">
      <w:pPr>
        <w:spacing w:after="0" w:line="360" w:lineRule="auto"/>
        <w:rPr>
          <w:b/>
          <w:bCs/>
        </w:rPr>
      </w:pPr>
    </w:p>
    <w:p w14:paraId="2E29EAE0" w14:textId="77777777" w:rsidR="00323E01" w:rsidRPr="003C0099" w:rsidRDefault="0084719D">
      <w:pPr>
        <w:pStyle w:val="Ttulo2"/>
        <w:spacing w:before="0" w:after="0"/>
        <w:rPr>
          <w:b w:val="0"/>
          <w:bCs w:val="0"/>
          <w:color w:val="000000"/>
        </w:rPr>
      </w:pPr>
      <w:bookmarkStart w:id="8" w:name="_Toc214613794"/>
      <w:r w:rsidRPr="003C0099">
        <w:rPr>
          <w:color w:val="000000"/>
        </w:rPr>
        <w:t>PRIMERO. Competencia</w:t>
      </w:r>
      <w:bookmarkEnd w:id="8"/>
    </w:p>
    <w:p w14:paraId="19246952" w14:textId="77777777" w:rsidR="00323E01" w:rsidRPr="003C0099" w:rsidRDefault="00323E01">
      <w:pPr>
        <w:spacing w:after="0" w:line="360" w:lineRule="auto"/>
        <w:rPr>
          <w:b/>
          <w:bCs/>
          <w:color w:val="000000"/>
        </w:rPr>
      </w:pPr>
    </w:p>
    <w:p w14:paraId="24E92F61" w14:textId="0BBC9767" w:rsidR="00323E01" w:rsidRPr="003C0099" w:rsidRDefault="00727033">
      <w:pPr>
        <w:spacing w:after="0" w:line="360" w:lineRule="auto"/>
        <w:rPr>
          <w:color w:val="000000"/>
        </w:rPr>
      </w:pPr>
      <w:r w:rsidRPr="00727033">
        <w:rPr>
          <w:color w:val="000000"/>
        </w:rPr>
        <w:lastRenderedPageBreak/>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r w:rsidR="003C0099" w:rsidRPr="003C0099">
        <w:rPr>
          <w:color w:val="000000"/>
        </w:rPr>
        <w:t>.</w:t>
      </w:r>
    </w:p>
    <w:p w14:paraId="2A913B22" w14:textId="77777777" w:rsidR="003C0099" w:rsidRPr="003C0099" w:rsidRDefault="003C0099" w:rsidP="003C0099"/>
    <w:p w14:paraId="360B0B22" w14:textId="77777777" w:rsidR="00323E01" w:rsidRPr="003C0099" w:rsidRDefault="0084719D">
      <w:pPr>
        <w:pStyle w:val="Ttulo2"/>
        <w:spacing w:before="0" w:after="0"/>
        <w:rPr>
          <w:b w:val="0"/>
          <w:bCs w:val="0"/>
          <w:color w:val="000000"/>
        </w:rPr>
      </w:pPr>
      <w:bookmarkStart w:id="9" w:name="_Toc214613795"/>
      <w:r w:rsidRPr="003C0099">
        <w:rPr>
          <w:color w:val="000000"/>
        </w:rPr>
        <w:t>SEGUNDO. Causales de improcedencia</w:t>
      </w:r>
      <w:bookmarkEnd w:id="9"/>
      <w:r w:rsidRPr="003C0099">
        <w:rPr>
          <w:color w:val="000000"/>
        </w:rPr>
        <w:t xml:space="preserve"> </w:t>
      </w:r>
    </w:p>
    <w:p w14:paraId="60B6DA69" w14:textId="77777777" w:rsidR="00323E01" w:rsidRPr="003C0099" w:rsidRDefault="00323E01">
      <w:pPr>
        <w:spacing w:after="0" w:line="360" w:lineRule="auto"/>
        <w:rPr>
          <w:color w:val="000000"/>
        </w:rPr>
      </w:pPr>
    </w:p>
    <w:p w14:paraId="61E5DDC9" w14:textId="77777777" w:rsidR="00323E01" w:rsidRPr="003C0099" w:rsidRDefault="0084719D">
      <w:pPr>
        <w:spacing w:after="0" w:line="360" w:lineRule="auto"/>
        <w:rPr>
          <w:color w:val="000000"/>
        </w:rPr>
      </w:pPr>
      <w:r w:rsidRPr="003C0099">
        <w:rPr>
          <w:color w:val="000000"/>
        </w:rPr>
        <w:t>Este Instituto realiza el estudio oficioso de</w:t>
      </w:r>
      <w:r w:rsidRPr="003C0099">
        <w:rPr>
          <w:color w:val="000000"/>
        </w:rPr>
        <w:t xml:space="preserve"> las causales de improcedencia, por tratarse de una cuestión de orden público y de estudio preferente (acorde con el Criterio orientador en la Tesis de Jurisprudencia “IMPROCEDENCIA.” (Semanario Judicial de la Federación, Quinta Época, 1985, pág. 262), el </w:t>
      </w:r>
      <w:r w:rsidRPr="003C0099">
        <w:rPr>
          <w:color w:val="000000"/>
        </w:rPr>
        <w:t>cual establece que debe examinarse previamente la procedencia del juicio de amparo, sea que las partes lo soliciten o no, por ser una cuestión de orden público; de tal suerte, deberá ser desechado cualquier Recurso de Revisión que actualice alguno de los s</w:t>
      </w:r>
      <w:r w:rsidRPr="003C0099">
        <w:rPr>
          <w:color w:val="000000"/>
        </w:rPr>
        <w:t>upuestos establecidos en el artículo 191 de la Ley de Transparencia y Acceso a la Información Pública del Estado de México y Municipios, por ser improcedente.</w:t>
      </w:r>
    </w:p>
    <w:p w14:paraId="4A7A5A96" w14:textId="77777777" w:rsidR="00323E01" w:rsidRPr="003C0099" w:rsidRDefault="00323E01">
      <w:pPr>
        <w:spacing w:after="0" w:line="360" w:lineRule="auto"/>
        <w:rPr>
          <w:color w:val="000000"/>
        </w:rPr>
      </w:pPr>
    </w:p>
    <w:p w14:paraId="52F1FBEA" w14:textId="77777777" w:rsidR="00323E01" w:rsidRPr="003C0099" w:rsidRDefault="0084719D">
      <w:pPr>
        <w:spacing w:after="0" w:line="360" w:lineRule="auto"/>
        <w:rPr>
          <w:color w:val="000000"/>
        </w:rPr>
      </w:pPr>
      <w:r w:rsidRPr="003C0099">
        <w:rPr>
          <w:color w:val="000000"/>
        </w:rPr>
        <w:t xml:space="preserve">En el presente caso, no se actualizan las causales de improcedencia establecidas en el artículo </w:t>
      </w:r>
      <w:r w:rsidRPr="003C0099">
        <w:rPr>
          <w:color w:val="000000"/>
        </w:rPr>
        <w:t>191, fracciones I a la II, y V, toda vez que: este Instituto no tiene conocimiento de que se haya presentado el Recurso de manera extemporánea; se encuentre en trámite algún medio de defensa presentado por el Recurrente ante otra instancia; no existió prev</w:t>
      </w:r>
      <w:r w:rsidRPr="003C0099">
        <w:rPr>
          <w:color w:val="000000"/>
        </w:rPr>
        <w:t xml:space="preserve">ención alguna; la </w:t>
      </w:r>
      <w:r w:rsidRPr="003C0099">
        <w:rPr>
          <w:color w:val="000000"/>
        </w:rPr>
        <w:lastRenderedPageBreak/>
        <w:t>veracidad de la respuesta no formó parte del agravio; ni se realizó un trámite mediante el pedimento de información o se haya ampliado la solicitud.</w:t>
      </w:r>
    </w:p>
    <w:p w14:paraId="285A2E87" w14:textId="77777777" w:rsidR="00323E01" w:rsidRPr="003C0099" w:rsidRDefault="00323E01">
      <w:pPr>
        <w:spacing w:after="0" w:line="360" w:lineRule="auto"/>
        <w:rPr>
          <w:color w:val="000000"/>
        </w:rPr>
      </w:pPr>
    </w:p>
    <w:p w14:paraId="26B7C7D0" w14:textId="77777777" w:rsidR="00323E01" w:rsidRPr="003C0099" w:rsidRDefault="0084719D">
      <w:pPr>
        <w:spacing w:after="0" w:line="360" w:lineRule="auto"/>
        <w:rPr>
          <w:color w:val="000000"/>
        </w:rPr>
      </w:pPr>
      <w:r w:rsidRPr="003C0099">
        <w:rPr>
          <w:color w:val="000000"/>
        </w:rPr>
        <w:t>Por lo cual, se actualiza la causal de procedencia del Recurso de Revisión señalada en e</w:t>
      </w:r>
      <w:r w:rsidRPr="003C0099">
        <w:rPr>
          <w:color w:val="000000"/>
        </w:rPr>
        <w:t>l artículo 179, fracción V, de la Ley en cita, pues la persona Recurrente se inconformó de la entrega de información incompleta.</w:t>
      </w:r>
    </w:p>
    <w:p w14:paraId="73793713" w14:textId="77777777" w:rsidR="00323E01" w:rsidRPr="003C0099" w:rsidRDefault="00323E01">
      <w:pPr>
        <w:spacing w:after="0" w:line="360" w:lineRule="auto"/>
        <w:rPr>
          <w:color w:val="000000"/>
        </w:rPr>
      </w:pPr>
    </w:p>
    <w:p w14:paraId="0C42BCCE" w14:textId="77777777" w:rsidR="00323E01" w:rsidRPr="003C0099" w:rsidRDefault="0084719D">
      <w:pPr>
        <w:keepNext/>
        <w:keepLines/>
        <w:spacing w:after="0" w:line="360" w:lineRule="auto"/>
        <w:rPr>
          <w:b/>
          <w:bCs/>
          <w:color w:val="000000"/>
        </w:rPr>
      </w:pPr>
      <w:bookmarkStart w:id="10" w:name="_heading=h.hx7agk66bqhu" w:colFirst="0" w:colLast="0"/>
      <w:bookmarkEnd w:id="10"/>
      <w:r w:rsidRPr="003C0099">
        <w:rPr>
          <w:b/>
          <w:bCs/>
          <w:color w:val="000000"/>
        </w:rPr>
        <w:t>TERCERO. Causales de sobreseimiento</w:t>
      </w:r>
    </w:p>
    <w:p w14:paraId="7751E9B3" w14:textId="77777777" w:rsidR="00323E01" w:rsidRPr="003C0099" w:rsidRDefault="00323E01">
      <w:pPr>
        <w:spacing w:after="0" w:line="360" w:lineRule="auto"/>
        <w:rPr>
          <w:color w:val="000000"/>
        </w:rPr>
      </w:pPr>
    </w:p>
    <w:p w14:paraId="1C7F6114" w14:textId="77777777" w:rsidR="00323E01" w:rsidRPr="003C0099" w:rsidRDefault="0084719D">
      <w:pPr>
        <w:spacing w:after="0" w:line="360" w:lineRule="auto"/>
        <w:rPr>
          <w:color w:val="000000"/>
        </w:rPr>
      </w:pPr>
      <w:r w:rsidRPr="003C0099">
        <w:rPr>
          <w:color w:val="000000"/>
        </w:rPr>
        <w:t>Por ser de previo y especial pronunciamiento, este Instituto analiza si se actualiza algu</w:t>
      </w:r>
      <w:r w:rsidRPr="003C0099">
        <w:rPr>
          <w:color w:val="000000"/>
        </w:rPr>
        <w:t>na causal de sobreseimiento.</w:t>
      </w:r>
    </w:p>
    <w:p w14:paraId="5DBC0937" w14:textId="77777777" w:rsidR="00323E01" w:rsidRPr="003C0099" w:rsidRDefault="00323E01">
      <w:pPr>
        <w:spacing w:after="0" w:line="360" w:lineRule="auto"/>
        <w:rPr>
          <w:color w:val="000000"/>
        </w:rPr>
      </w:pPr>
    </w:p>
    <w:p w14:paraId="11BA71BA" w14:textId="77777777" w:rsidR="00323E01" w:rsidRPr="003C0099" w:rsidRDefault="0084719D">
      <w:pPr>
        <w:spacing w:after="0" w:line="360" w:lineRule="auto"/>
        <w:rPr>
          <w:color w:val="000000"/>
        </w:rPr>
      </w:pPr>
      <w:r w:rsidRPr="003C0099">
        <w:rPr>
          <w:color w:val="000000"/>
        </w:rPr>
        <w:t>El artículo 192 de la Ley Transparencia y Acceso a la Información Pública del Estado de México y Municipios, señala las causales por las cuales se puede sobreseer en todo o en parte el Recurso de Revisión; así, del análisis re</w:t>
      </w:r>
      <w:r w:rsidRPr="003C0099">
        <w:rPr>
          <w:color w:val="000000"/>
        </w:rPr>
        <w:t>alizado por este Instituto, se advierte que</w:t>
      </w:r>
      <w:r w:rsidRPr="003C0099">
        <w:rPr>
          <w:b/>
          <w:bCs/>
          <w:color w:val="000000"/>
        </w:rPr>
        <w:t xml:space="preserve"> no se configuran las causales establecidas en las fracciones I, II, III, y V, </w:t>
      </w:r>
      <w:r w:rsidRPr="003C0099">
        <w:rPr>
          <w:color w:val="000000"/>
        </w:rPr>
        <w:t>toda vez que no hay constancias en el expediente en que se actúa, de que el Recurrente se haya desistido, fallecido, que el Sujeto Obl</w:t>
      </w:r>
      <w:r w:rsidRPr="003C0099">
        <w:rPr>
          <w:color w:val="000000"/>
        </w:rPr>
        <w:t>igado hubiese modificado o revocado el acto impugnado o bien, haya quedado sin materia.</w:t>
      </w:r>
    </w:p>
    <w:p w14:paraId="38A9B1E1" w14:textId="77777777" w:rsidR="00323E01" w:rsidRPr="003C0099" w:rsidRDefault="00323E01">
      <w:pPr>
        <w:spacing w:after="0" w:line="360" w:lineRule="auto"/>
        <w:rPr>
          <w:color w:val="000000"/>
        </w:rPr>
      </w:pPr>
    </w:p>
    <w:p w14:paraId="6119DF40" w14:textId="77777777" w:rsidR="00323E01" w:rsidRPr="003C0099" w:rsidRDefault="0084719D">
      <w:pPr>
        <w:spacing w:after="0" w:line="360" w:lineRule="auto"/>
        <w:rPr>
          <w:color w:val="000000"/>
        </w:rPr>
      </w:pPr>
      <w:r w:rsidRPr="003C0099">
        <w:rPr>
          <w:color w:val="000000"/>
        </w:rPr>
        <w:t>No obstante, por lo que hace a la hipótesis prevista en el artículo 192, fracción IV</w:t>
      </w:r>
      <w:r w:rsidRPr="003C0099">
        <w:rPr>
          <w:b/>
          <w:bCs/>
          <w:color w:val="000000"/>
        </w:rPr>
        <w:t>,</w:t>
      </w:r>
      <w:r w:rsidRPr="003C0099">
        <w:rPr>
          <w:color w:val="000000"/>
        </w:rPr>
        <w:t xml:space="preserve"> a saber, que, una vez admitido el Recurso de Revisión, aparezca alguna causal de </w:t>
      </w:r>
      <w:r w:rsidRPr="003C0099">
        <w:rPr>
          <w:color w:val="000000"/>
        </w:rPr>
        <w:t>improcedencia en términos de la presente Ley, resulta necesario traer a colación el artículo 191, fracción VI, del ordenamiento jurídico referido, que establecen lo siguiente:</w:t>
      </w:r>
    </w:p>
    <w:p w14:paraId="38968446" w14:textId="77777777" w:rsidR="00323E01" w:rsidRPr="003C0099" w:rsidRDefault="00323E01">
      <w:pPr>
        <w:spacing w:after="0" w:line="360" w:lineRule="auto"/>
        <w:rPr>
          <w:color w:val="000000"/>
          <w:sz w:val="20"/>
          <w:szCs w:val="20"/>
        </w:rPr>
      </w:pPr>
    </w:p>
    <w:p w14:paraId="015D4C19" w14:textId="77777777" w:rsidR="00323E01" w:rsidRPr="003C0099" w:rsidRDefault="0084719D">
      <w:pPr>
        <w:spacing w:after="0" w:line="360" w:lineRule="auto"/>
        <w:ind w:left="567" w:right="567"/>
        <w:rPr>
          <w:i/>
          <w:iCs/>
          <w:color w:val="000000"/>
          <w:sz w:val="20"/>
          <w:szCs w:val="20"/>
        </w:rPr>
      </w:pPr>
      <w:r w:rsidRPr="003C0099">
        <w:rPr>
          <w:b/>
          <w:bCs/>
          <w:i/>
          <w:iCs/>
          <w:color w:val="000000"/>
          <w:sz w:val="20"/>
          <w:szCs w:val="20"/>
        </w:rPr>
        <w:t>“Artículo 191.</w:t>
      </w:r>
      <w:r w:rsidRPr="003C0099">
        <w:rPr>
          <w:i/>
          <w:iCs/>
          <w:color w:val="000000"/>
          <w:sz w:val="20"/>
          <w:szCs w:val="20"/>
        </w:rPr>
        <w:t xml:space="preserve"> El recurso será desechado por improcedente cuando:</w:t>
      </w:r>
    </w:p>
    <w:p w14:paraId="733D0650" w14:textId="77777777" w:rsidR="00323E01" w:rsidRPr="003C0099" w:rsidRDefault="0084719D">
      <w:pPr>
        <w:spacing w:after="0" w:line="360" w:lineRule="auto"/>
        <w:ind w:left="567" w:right="567"/>
        <w:rPr>
          <w:i/>
          <w:iCs/>
          <w:color w:val="000000"/>
          <w:sz w:val="20"/>
          <w:szCs w:val="20"/>
        </w:rPr>
      </w:pPr>
      <w:r w:rsidRPr="003C0099">
        <w:rPr>
          <w:i/>
          <w:iCs/>
          <w:color w:val="000000"/>
          <w:sz w:val="20"/>
          <w:szCs w:val="20"/>
        </w:rPr>
        <w:t>…</w:t>
      </w:r>
    </w:p>
    <w:p w14:paraId="072823DA" w14:textId="77777777" w:rsidR="00323E01" w:rsidRPr="003C0099" w:rsidRDefault="0084719D">
      <w:pPr>
        <w:spacing w:after="0" w:line="360" w:lineRule="auto"/>
        <w:ind w:left="567" w:right="567"/>
        <w:rPr>
          <w:b/>
          <w:bCs/>
          <w:i/>
          <w:iCs/>
          <w:color w:val="000000"/>
          <w:sz w:val="20"/>
          <w:szCs w:val="20"/>
        </w:rPr>
      </w:pPr>
      <w:r w:rsidRPr="003C0099">
        <w:rPr>
          <w:b/>
          <w:bCs/>
          <w:i/>
          <w:iCs/>
          <w:color w:val="000000"/>
          <w:sz w:val="20"/>
          <w:szCs w:val="20"/>
        </w:rPr>
        <w:t xml:space="preserve">VI. Se </w:t>
      </w:r>
      <w:r w:rsidRPr="003C0099">
        <w:rPr>
          <w:b/>
          <w:bCs/>
          <w:i/>
          <w:iCs/>
          <w:color w:val="000000"/>
          <w:sz w:val="20"/>
          <w:szCs w:val="20"/>
        </w:rPr>
        <w:t>trate de una consulta, o trámite en específico; y</w:t>
      </w:r>
    </w:p>
    <w:p w14:paraId="29F419B8" w14:textId="77777777" w:rsidR="00323E01" w:rsidRPr="003C0099" w:rsidRDefault="0084719D">
      <w:pPr>
        <w:spacing w:after="0" w:line="360" w:lineRule="auto"/>
        <w:ind w:left="567" w:right="567"/>
        <w:rPr>
          <w:i/>
          <w:iCs/>
          <w:color w:val="000000"/>
          <w:sz w:val="20"/>
          <w:szCs w:val="20"/>
        </w:rPr>
      </w:pPr>
      <w:r w:rsidRPr="003C0099">
        <w:rPr>
          <w:i/>
          <w:iCs/>
          <w:color w:val="000000"/>
          <w:sz w:val="20"/>
          <w:szCs w:val="20"/>
        </w:rPr>
        <w:lastRenderedPageBreak/>
        <w:t>....”</w:t>
      </w:r>
    </w:p>
    <w:p w14:paraId="148B722D" w14:textId="77777777" w:rsidR="00323E01" w:rsidRPr="003C0099" w:rsidRDefault="00323E01">
      <w:pPr>
        <w:spacing w:after="0" w:line="360" w:lineRule="auto"/>
        <w:rPr>
          <w:color w:val="000000"/>
        </w:rPr>
      </w:pPr>
    </w:p>
    <w:p w14:paraId="44A7E304" w14:textId="77777777" w:rsidR="00323E01" w:rsidRPr="003C0099" w:rsidRDefault="0084719D">
      <w:pPr>
        <w:spacing w:after="0" w:line="360" w:lineRule="auto"/>
        <w:rPr>
          <w:color w:val="000000"/>
        </w:rPr>
      </w:pPr>
      <w:r w:rsidRPr="003C0099">
        <w:rPr>
          <w:color w:val="000000"/>
        </w:rPr>
        <w:t>Conforme a lo anterior, se logra advertir que la fracción VI del artículo 191, de la Ley de Transparencia y Acceso a la Información Pública del Estado de México y Municipios, precisa que el Recurso d</w:t>
      </w:r>
      <w:r w:rsidRPr="003C0099">
        <w:rPr>
          <w:color w:val="000000"/>
        </w:rPr>
        <w:t>e Revisión será desechado por improcedente, cuando lo solicitado se trate de una consulta.</w:t>
      </w:r>
    </w:p>
    <w:p w14:paraId="77BCF2E8" w14:textId="77777777" w:rsidR="00323E01" w:rsidRPr="003C0099" w:rsidRDefault="00323E01">
      <w:pPr>
        <w:spacing w:after="0" w:line="360" w:lineRule="auto"/>
        <w:rPr>
          <w:color w:val="000000"/>
        </w:rPr>
      </w:pPr>
    </w:p>
    <w:p w14:paraId="26BFA20C" w14:textId="77777777" w:rsidR="00323E01" w:rsidRPr="003C0099" w:rsidRDefault="0084719D">
      <w:pPr>
        <w:tabs>
          <w:tab w:val="left" w:pos="4962"/>
        </w:tabs>
        <w:spacing w:after="0" w:line="360" w:lineRule="auto"/>
        <w:rPr>
          <w:color w:val="000000"/>
        </w:rPr>
      </w:pPr>
      <w:r w:rsidRPr="003C0099">
        <w:rPr>
          <w:color w:val="000000"/>
        </w:rPr>
        <w:t>En ese orden de ideas, de las constancias que obran en el expediente respectivo, se advierte que la parte Recurrente, pretende conocer lo siguiente:</w:t>
      </w:r>
    </w:p>
    <w:p w14:paraId="20B87244" w14:textId="77777777" w:rsidR="00323E01" w:rsidRPr="003C0099" w:rsidRDefault="00323E01">
      <w:pPr>
        <w:tabs>
          <w:tab w:val="left" w:pos="4962"/>
        </w:tabs>
        <w:spacing w:after="0" w:line="360" w:lineRule="auto"/>
        <w:rPr>
          <w:color w:val="000000"/>
        </w:rPr>
      </w:pPr>
    </w:p>
    <w:p w14:paraId="5F044E41" w14:textId="77777777" w:rsidR="00323E01" w:rsidRPr="003C0099" w:rsidRDefault="0084719D">
      <w:pPr>
        <w:numPr>
          <w:ilvl w:val="0"/>
          <w:numId w:val="4"/>
        </w:numPr>
        <w:pBdr>
          <w:top w:val="nil"/>
          <w:left w:val="nil"/>
          <w:bottom w:val="nil"/>
          <w:right w:val="nil"/>
          <w:between w:val="nil"/>
        </w:pBdr>
        <w:tabs>
          <w:tab w:val="left" w:pos="4962"/>
        </w:tabs>
        <w:spacing w:after="0" w:line="360" w:lineRule="auto"/>
        <w:rPr>
          <w:color w:val="000000"/>
        </w:rPr>
      </w:pPr>
      <w:r w:rsidRPr="003C0099">
        <w:rPr>
          <w:color w:val="000000"/>
        </w:rPr>
        <w:t xml:space="preserve">¿Quiero saber por qué en el Centro Médico "Lic. Adolfo López Mateos", no le han pagado su sueldo al personal de limpieza/intendencia, por qué siempre sus pagos los hacen con mora? </w:t>
      </w:r>
    </w:p>
    <w:p w14:paraId="433AEC41" w14:textId="77777777" w:rsidR="00323E01" w:rsidRPr="003C0099" w:rsidRDefault="0084719D">
      <w:pPr>
        <w:numPr>
          <w:ilvl w:val="0"/>
          <w:numId w:val="4"/>
        </w:numPr>
        <w:pBdr>
          <w:top w:val="nil"/>
          <w:left w:val="nil"/>
          <w:bottom w:val="nil"/>
          <w:right w:val="nil"/>
          <w:between w:val="nil"/>
        </w:pBdr>
        <w:tabs>
          <w:tab w:val="left" w:pos="4962"/>
        </w:tabs>
        <w:spacing w:after="0" w:line="360" w:lineRule="auto"/>
        <w:rPr>
          <w:color w:val="000000"/>
        </w:rPr>
      </w:pPr>
      <w:r w:rsidRPr="003C0099">
        <w:rPr>
          <w:color w:val="000000"/>
        </w:rPr>
        <w:t>¿Por qué razón el personal de limpieza/intendencia tiene años trabajando si</w:t>
      </w:r>
      <w:r w:rsidRPr="003C0099">
        <w:rPr>
          <w:color w:val="000000"/>
        </w:rPr>
        <w:t>n seguridad social ni servicios de salud violentando así sus derechos ?</w:t>
      </w:r>
    </w:p>
    <w:p w14:paraId="46864EE2" w14:textId="77777777" w:rsidR="00323E01" w:rsidRPr="003C0099" w:rsidRDefault="00323E01">
      <w:pPr>
        <w:tabs>
          <w:tab w:val="left" w:pos="4962"/>
        </w:tabs>
        <w:spacing w:after="0" w:line="360" w:lineRule="auto"/>
        <w:rPr>
          <w:color w:val="000000"/>
        </w:rPr>
      </w:pPr>
    </w:p>
    <w:p w14:paraId="24CD90AA" w14:textId="3C1A3413" w:rsidR="004A3C8A" w:rsidRPr="003C0099" w:rsidRDefault="0084719D" w:rsidP="004A3C8A">
      <w:pPr>
        <w:spacing w:after="0" w:line="360" w:lineRule="auto"/>
        <w:rPr>
          <w:color w:val="000000"/>
        </w:rPr>
      </w:pPr>
      <w:r w:rsidRPr="003C0099">
        <w:t xml:space="preserve">De lo solicitado por la Persona Recurrente, se advierte que pretende conocer razones, aclaraciones o motivos por los que tienen lugar ciertas situaciones, </w:t>
      </w:r>
      <w:r w:rsidR="004A3C8A" w:rsidRPr="003C0099">
        <w:rPr>
          <w:color w:val="000000"/>
        </w:rPr>
        <w:t>lo que implicaría que el Sujeto Obligado investigara y elaborara una expresión documental, en la cual diera una contestación categórica y específica a cada uno de los cuestionamientos; sobre dicha situación, es necesario traer a colación los artículos 2°, fracción II; 3°, fracción XI y 18 de la Ley de Transparencia y Acceso a la Información Pública del Estado de México y Municipios, los cuales disponen lo siguiente:</w:t>
      </w:r>
    </w:p>
    <w:p w14:paraId="7D3386F9" w14:textId="77777777" w:rsidR="004A3C8A" w:rsidRPr="003C0099" w:rsidRDefault="004A3C8A" w:rsidP="004A3C8A">
      <w:pPr>
        <w:spacing w:after="0" w:line="360" w:lineRule="auto"/>
        <w:rPr>
          <w:color w:val="000000"/>
        </w:rPr>
      </w:pPr>
    </w:p>
    <w:p w14:paraId="3CFBD9BA" w14:textId="77777777" w:rsidR="004A3C8A" w:rsidRPr="003C0099" w:rsidRDefault="004A3C8A" w:rsidP="004A3C8A">
      <w:pPr>
        <w:numPr>
          <w:ilvl w:val="0"/>
          <w:numId w:val="6"/>
        </w:numPr>
        <w:shd w:val="clear" w:color="auto" w:fill="FFFFFF"/>
        <w:spacing w:after="0" w:line="360" w:lineRule="auto"/>
        <w:contextualSpacing/>
        <w:rPr>
          <w:color w:val="0D0D0D" w:themeColor="text1" w:themeTint="F2"/>
          <w:szCs w:val="24"/>
        </w:rPr>
      </w:pPr>
      <w:r w:rsidRPr="003C0099">
        <w:rPr>
          <w:color w:val="0D0D0D" w:themeColor="text1" w:themeTint="F2"/>
          <w:szCs w:val="24"/>
        </w:rPr>
        <w:t>Que uno de los objetivos de la Ley es proveer lo necesario para garantizar a toda persona el derecho de acceso a la información pública;</w:t>
      </w:r>
    </w:p>
    <w:p w14:paraId="24DC8532" w14:textId="77777777" w:rsidR="004A3C8A" w:rsidRPr="003C0099" w:rsidRDefault="004A3C8A" w:rsidP="004A3C8A">
      <w:pPr>
        <w:shd w:val="clear" w:color="auto" w:fill="FFFFFF"/>
        <w:spacing w:line="360" w:lineRule="auto"/>
        <w:ind w:left="720"/>
        <w:contextualSpacing/>
        <w:rPr>
          <w:color w:val="0D0D0D" w:themeColor="text1" w:themeTint="F2"/>
          <w:sz w:val="24"/>
          <w:szCs w:val="24"/>
        </w:rPr>
      </w:pPr>
    </w:p>
    <w:p w14:paraId="3AEE93B9" w14:textId="77777777" w:rsidR="004A3C8A" w:rsidRPr="003C0099" w:rsidRDefault="004A3C8A" w:rsidP="004A3C8A">
      <w:pPr>
        <w:numPr>
          <w:ilvl w:val="0"/>
          <w:numId w:val="6"/>
        </w:numPr>
        <w:shd w:val="clear" w:color="auto" w:fill="FFFFFF"/>
        <w:spacing w:after="0" w:line="360" w:lineRule="auto"/>
        <w:contextualSpacing/>
        <w:rPr>
          <w:color w:val="0D0D0D" w:themeColor="text1" w:themeTint="F2"/>
          <w:szCs w:val="24"/>
        </w:rPr>
      </w:pPr>
      <w:r w:rsidRPr="003C0099">
        <w:rPr>
          <w:color w:val="0D0D0D" w:themeColor="text1" w:themeTint="F2"/>
          <w:szCs w:val="24"/>
        </w:rPr>
        <w:lastRenderedPageBreak/>
        <w:t>Que los </w:t>
      </w:r>
      <w:r w:rsidRPr="003C0099">
        <w:rPr>
          <w:b/>
          <w:bCs/>
          <w:color w:val="0D0D0D" w:themeColor="text1" w:themeTint="F2"/>
          <w:szCs w:val="24"/>
        </w:rPr>
        <w:t>documentos </w:t>
      </w:r>
      <w:r w:rsidRPr="003C0099">
        <w:rPr>
          <w:color w:val="0D0D0D" w:themeColor="text1" w:themeTint="F2"/>
          <w:szCs w:val="24"/>
        </w:rPr>
        <w:t>son los expedientes, reportes, estudios, actas, resoluciones, contratos, convenios, instructivos, notas, memorandos, estadísticas o </w:t>
      </w:r>
      <w:r w:rsidRPr="003C0099">
        <w:rPr>
          <w:b/>
          <w:bCs/>
          <w:color w:val="0D0D0D" w:themeColor="text1" w:themeTint="F2"/>
          <w:szCs w:val="24"/>
        </w:rPr>
        <w:t>cualquier registro que documente el ejercicio de facultades, funciones y competencia</w:t>
      </w:r>
      <w:r w:rsidRPr="003C0099">
        <w:rPr>
          <w:color w:val="0D0D0D" w:themeColor="text1" w:themeTint="F2"/>
          <w:szCs w:val="24"/>
        </w:rPr>
        <w:t> de los Sujetos Obligados, sin importar su fuente y fecha de elaboración, y</w:t>
      </w:r>
    </w:p>
    <w:p w14:paraId="6DA601C3" w14:textId="77777777" w:rsidR="004A3C8A" w:rsidRPr="003C0099" w:rsidRDefault="004A3C8A" w:rsidP="004A3C8A">
      <w:pPr>
        <w:pStyle w:val="Prrafodelista"/>
        <w:spacing w:line="360" w:lineRule="auto"/>
        <w:rPr>
          <w:color w:val="0D0D0D" w:themeColor="text1" w:themeTint="F2"/>
          <w:sz w:val="24"/>
          <w:lang w:eastAsia="es-MX"/>
        </w:rPr>
      </w:pPr>
    </w:p>
    <w:p w14:paraId="149E82B7" w14:textId="77777777" w:rsidR="004A3C8A" w:rsidRPr="003C0099" w:rsidRDefault="004A3C8A" w:rsidP="004A3C8A">
      <w:pPr>
        <w:numPr>
          <w:ilvl w:val="0"/>
          <w:numId w:val="6"/>
        </w:numPr>
        <w:shd w:val="clear" w:color="auto" w:fill="FFFFFF"/>
        <w:spacing w:after="0" w:line="360" w:lineRule="auto"/>
        <w:contextualSpacing/>
        <w:rPr>
          <w:color w:val="0D0D0D" w:themeColor="text1" w:themeTint="F2"/>
          <w:szCs w:val="24"/>
        </w:rPr>
      </w:pPr>
      <w:r w:rsidRPr="003C0099">
        <w:rPr>
          <w:color w:val="0D0D0D" w:themeColor="text1" w:themeTint="F2"/>
          <w:szCs w:val="24"/>
        </w:rPr>
        <w:t>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51EE0EA7" w14:textId="77777777" w:rsidR="004A3C8A" w:rsidRPr="003C0099" w:rsidRDefault="004A3C8A" w:rsidP="004A3C8A">
      <w:pPr>
        <w:spacing w:after="0" w:line="360" w:lineRule="auto"/>
        <w:rPr>
          <w:color w:val="0D0D0D"/>
        </w:rPr>
      </w:pPr>
    </w:p>
    <w:p w14:paraId="2B8E7348" w14:textId="77777777" w:rsidR="004A3C8A" w:rsidRPr="003C0099" w:rsidRDefault="004A3C8A" w:rsidP="004A3C8A">
      <w:pPr>
        <w:shd w:val="clear" w:color="auto" w:fill="FFFFFF"/>
        <w:spacing w:after="0" w:line="360" w:lineRule="auto"/>
        <w:rPr>
          <w:rFonts w:eastAsia="Times New Roman" w:cs="Times New Roman"/>
          <w:b/>
          <w:bCs/>
          <w:color w:val="0D0D0D" w:themeColor="text1" w:themeTint="F2"/>
        </w:rPr>
      </w:pPr>
      <w:r w:rsidRPr="003C0099">
        <w:rPr>
          <w:rFonts w:eastAsia="Times New Roman" w:cs="Times New Roman"/>
          <w:color w:val="0D0D0D" w:themeColor="text1" w:themeTint="F2"/>
        </w:rPr>
        <w:t>Aunado a lo anterior, el artículo 4° de dicho ordenamiento jurídico, establece que la información es aquella </w:t>
      </w:r>
      <w:r w:rsidRPr="003C0099">
        <w:rPr>
          <w:rFonts w:eastAsia="Times New Roman" w:cs="Times New Roman"/>
          <w:b/>
          <w:bCs/>
          <w:color w:val="0D0D0D" w:themeColor="text1" w:themeTint="F2"/>
        </w:rPr>
        <w:t>generada, obtenida, adquirida, transformada</w:t>
      </w:r>
      <w:r w:rsidRPr="003C0099">
        <w:rPr>
          <w:rFonts w:eastAsia="Times New Roman" w:cs="Times New Roman"/>
          <w:color w:val="0D0D0D" w:themeColor="text1" w:themeTint="F2"/>
        </w:rPr>
        <w:t> por los sujetos obligados, o en su caso, </w:t>
      </w:r>
      <w:r w:rsidRPr="003C0099">
        <w:rPr>
          <w:rFonts w:eastAsia="Times New Roman" w:cs="Times New Roman"/>
          <w:b/>
          <w:bCs/>
          <w:color w:val="0D0D0D" w:themeColor="text1" w:themeTint="F2"/>
        </w:rPr>
        <w:t>la tengan en su posesión, será pública y accesible para cualquier persona.</w:t>
      </w:r>
    </w:p>
    <w:p w14:paraId="12E9654E" w14:textId="77777777" w:rsidR="004A3C8A" w:rsidRPr="003C0099" w:rsidRDefault="004A3C8A" w:rsidP="004A3C8A">
      <w:pPr>
        <w:shd w:val="clear" w:color="auto" w:fill="FFFFFF"/>
        <w:spacing w:after="0" w:line="360" w:lineRule="auto"/>
        <w:rPr>
          <w:rFonts w:eastAsia="Times New Roman" w:cs="Times New Roman"/>
          <w:b/>
          <w:bCs/>
          <w:color w:val="0D0D0D" w:themeColor="text1" w:themeTint="F2"/>
          <w:sz w:val="24"/>
        </w:rPr>
      </w:pPr>
    </w:p>
    <w:p w14:paraId="1EE01424" w14:textId="77777777" w:rsidR="004A3C8A" w:rsidRPr="003C0099" w:rsidRDefault="004A3C8A" w:rsidP="004A3C8A">
      <w:pPr>
        <w:shd w:val="clear" w:color="auto" w:fill="FFFFFF"/>
        <w:spacing w:after="0" w:line="360" w:lineRule="auto"/>
        <w:rPr>
          <w:rFonts w:ascii="Times New Roman" w:eastAsia="Times New Roman" w:hAnsi="Times New Roman" w:cs="Times New Roman"/>
          <w:b/>
          <w:color w:val="0D0D0D" w:themeColor="text1" w:themeTint="F2"/>
        </w:rPr>
      </w:pPr>
      <w:r w:rsidRPr="003C0099">
        <w:rPr>
          <w:rFonts w:eastAsia="Times New Roman" w:cs="Times New Roman"/>
          <w:color w:val="0D0D0D" w:themeColor="text1" w:themeTint="F2"/>
          <w:lang w:val="es-ES"/>
        </w:rPr>
        <w:t xml:space="preserve">Así, se advierte que el derecho de acceso a la información, consiste en una prerrogativa de cualquier persona, a solicitar información pública que conste en </w:t>
      </w:r>
      <w:r w:rsidRPr="003C0099">
        <w:rPr>
          <w:rFonts w:eastAsia="Times New Roman" w:cs="Times New Roman"/>
          <w:b/>
          <w:color w:val="0D0D0D" w:themeColor="text1" w:themeTint="F2"/>
          <w:lang w:val="es-ES"/>
        </w:rPr>
        <w:t>documentos generados, obtenidos, adquiridos, transformados o que tengan en posesión los sujetos obligados.</w:t>
      </w:r>
    </w:p>
    <w:p w14:paraId="15716267" w14:textId="77777777" w:rsidR="004A3C8A" w:rsidRPr="003C0099" w:rsidRDefault="004A3C8A" w:rsidP="004A3C8A">
      <w:pPr>
        <w:shd w:val="clear" w:color="auto" w:fill="FFFFFF"/>
        <w:spacing w:after="0" w:line="360" w:lineRule="auto"/>
        <w:rPr>
          <w:rFonts w:ascii="Times New Roman" w:eastAsia="Times New Roman" w:hAnsi="Times New Roman" w:cs="Times New Roman"/>
          <w:color w:val="0D0D0D" w:themeColor="text1" w:themeTint="F2"/>
        </w:rPr>
      </w:pPr>
      <w:r w:rsidRPr="003C0099">
        <w:rPr>
          <w:rFonts w:eastAsia="Times New Roman" w:cs="Times New Roman"/>
          <w:color w:val="0D0D0D" w:themeColor="text1" w:themeTint="F2"/>
          <w:lang w:val="es-ES"/>
        </w:rPr>
        <w:t> </w:t>
      </w:r>
    </w:p>
    <w:p w14:paraId="39D8BB2C" w14:textId="77777777" w:rsidR="004A3C8A" w:rsidRPr="003C0099" w:rsidRDefault="004A3C8A" w:rsidP="004A3C8A">
      <w:pPr>
        <w:shd w:val="clear" w:color="auto" w:fill="FFFFFF"/>
        <w:spacing w:after="0" w:line="360" w:lineRule="auto"/>
        <w:rPr>
          <w:rFonts w:eastAsia="Times New Roman" w:cs="Times New Roman"/>
          <w:color w:val="0D0D0D" w:themeColor="text1" w:themeTint="F2"/>
          <w:lang w:val="es-ES"/>
        </w:rPr>
      </w:pPr>
      <w:r w:rsidRPr="003C0099">
        <w:rPr>
          <w:rFonts w:eastAsia="Times New Roman" w:cs="Times New Roman"/>
          <w:color w:val="0D0D0D" w:themeColor="text1" w:themeTint="F2"/>
          <w:lang w:val="es-ES"/>
        </w:rPr>
        <w:t xml:space="preserve">Situación que es acorde con los artículos 12, 24, último párrafo, y 160 de la Ley de Transparencia y Acceso a la Información Pública del Estado de México y Municipios, los cuales disponen que los Sujetos Obligados sólo entregarán la información que obre en sus archivos y no estarán obligados a procesarla, resumirla, efectuar cálculos o practicar investigaciones. </w:t>
      </w:r>
    </w:p>
    <w:p w14:paraId="4A9151D6" w14:textId="77777777" w:rsidR="004A3C8A" w:rsidRPr="003C0099" w:rsidRDefault="004A3C8A" w:rsidP="004A3C8A">
      <w:pPr>
        <w:shd w:val="clear" w:color="auto" w:fill="FFFFFF"/>
        <w:spacing w:after="0" w:line="360" w:lineRule="auto"/>
        <w:rPr>
          <w:rFonts w:eastAsia="Times New Roman" w:cs="Times New Roman"/>
          <w:color w:val="0D0D0D" w:themeColor="text1" w:themeTint="F2"/>
          <w:lang w:val="es-ES"/>
        </w:rPr>
      </w:pPr>
    </w:p>
    <w:p w14:paraId="43FD6A30" w14:textId="77777777" w:rsidR="004A3C8A" w:rsidRPr="003C0099" w:rsidRDefault="004A3C8A" w:rsidP="004A3C8A">
      <w:pPr>
        <w:shd w:val="clear" w:color="auto" w:fill="FFFFFF"/>
        <w:spacing w:after="0" w:line="360" w:lineRule="auto"/>
        <w:rPr>
          <w:rFonts w:eastAsia="Times New Roman" w:cs="Times New Roman"/>
          <w:color w:val="0D0D0D" w:themeColor="text1" w:themeTint="F2"/>
          <w:lang w:val="es-ES"/>
        </w:rPr>
      </w:pPr>
      <w:r w:rsidRPr="003C0099">
        <w:rPr>
          <w:rFonts w:eastAsia="Times New Roman" w:cs="Times New Roman"/>
          <w:color w:val="0D0D0D" w:themeColor="text1" w:themeTint="F2"/>
          <w:lang w:val="es-ES"/>
        </w:rPr>
        <w:t xml:space="preserve">De tales circunstancias, se colige que los sujetos obligados únicamente están constreñidos a proporcionar </w:t>
      </w:r>
      <w:r w:rsidRPr="003C0099">
        <w:rPr>
          <w:rFonts w:eastAsia="Times New Roman" w:cs="Times New Roman"/>
          <w:b/>
          <w:color w:val="0D0D0D" w:themeColor="text1" w:themeTint="F2"/>
          <w:lang w:val="es-ES"/>
        </w:rPr>
        <w:t>la documentación que obre en sus archivos</w:t>
      </w:r>
      <w:r w:rsidRPr="003C0099">
        <w:rPr>
          <w:rFonts w:eastAsia="Times New Roman" w:cs="Times New Roman"/>
          <w:color w:val="0D0D0D" w:themeColor="text1" w:themeTint="F2"/>
          <w:lang w:val="es-ES"/>
        </w:rPr>
        <w:t xml:space="preserve">; por lo que, no están obligados a </w:t>
      </w:r>
      <w:r w:rsidRPr="003C0099">
        <w:rPr>
          <w:rFonts w:eastAsia="Times New Roman" w:cs="Times New Roman"/>
          <w:color w:val="0D0D0D" w:themeColor="text1" w:themeTint="F2"/>
          <w:lang w:val="es-ES"/>
        </w:rPr>
        <w:lastRenderedPageBreak/>
        <w:t>generar o elaborar documentos </w:t>
      </w:r>
      <w:r w:rsidRPr="003C0099">
        <w:rPr>
          <w:rFonts w:eastAsia="Times New Roman" w:cs="Times New Roman"/>
          <w:i/>
          <w:iCs/>
          <w:color w:val="0D0D0D" w:themeColor="text1" w:themeTint="F2"/>
          <w:lang w:val="es-ES"/>
        </w:rPr>
        <w:t>ad hoc, </w:t>
      </w:r>
      <w:r w:rsidRPr="003C0099">
        <w:rPr>
          <w:rFonts w:eastAsia="Times New Roman" w:cs="Times New Roman"/>
          <w:color w:val="0D0D0D" w:themeColor="text1" w:themeTint="F2"/>
          <w:lang w:val="es-ES"/>
        </w:rPr>
        <w:t xml:space="preserve">como es el caso de proporcionar respuesta a un cuestionamiento. </w:t>
      </w:r>
    </w:p>
    <w:p w14:paraId="6BDF9F68" w14:textId="77777777" w:rsidR="004A3C8A" w:rsidRPr="003C0099" w:rsidRDefault="004A3C8A" w:rsidP="004A3C8A">
      <w:pPr>
        <w:shd w:val="clear" w:color="auto" w:fill="FFFFFF"/>
        <w:spacing w:after="0" w:line="360" w:lineRule="auto"/>
        <w:rPr>
          <w:rFonts w:eastAsia="Times New Roman" w:cs="Times New Roman"/>
          <w:color w:val="0D0D0D" w:themeColor="text1" w:themeTint="F2"/>
          <w:sz w:val="24"/>
          <w:lang w:val="es-ES"/>
        </w:rPr>
      </w:pPr>
    </w:p>
    <w:p w14:paraId="7CF34F2A" w14:textId="77777777" w:rsidR="004A3C8A" w:rsidRPr="003C0099" w:rsidRDefault="004A3C8A" w:rsidP="004A3C8A">
      <w:pPr>
        <w:shd w:val="clear" w:color="auto" w:fill="FFFFFF"/>
        <w:spacing w:after="0" w:line="360" w:lineRule="auto"/>
        <w:rPr>
          <w:rFonts w:eastAsia="Times New Roman" w:cs="Times New Roman"/>
          <w:color w:val="0D0D0D" w:themeColor="text1" w:themeTint="F2"/>
          <w:lang w:val="es-ES"/>
        </w:rPr>
      </w:pPr>
      <w:r w:rsidRPr="003C0099">
        <w:rPr>
          <w:rFonts w:eastAsia="Times New Roman" w:cs="Times New Roman"/>
          <w:color w:val="0D0D0D" w:themeColor="text1" w:themeTint="F2"/>
          <w:lang w:val="es-ES"/>
        </w:rPr>
        <w:t>Robustece lo anterior el</w:t>
      </w:r>
      <w:r w:rsidRPr="003C0099">
        <w:rPr>
          <w:rFonts w:eastAsia="Calibri" w:cs="Tahoma"/>
          <w:bCs/>
          <w:lang w:val="es-ES" w:eastAsia="en-US"/>
        </w:rPr>
        <w:t xml:space="preserve"> Criterio Orientador, de la Segunda Época, con número de registro </w:t>
      </w:r>
      <w:r w:rsidRPr="003C0099">
        <w:rPr>
          <w:rFonts w:eastAsia="Calibri" w:cs="Tahoma"/>
          <w:bCs/>
          <w:lang w:eastAsia="en-US"/>
        </w:rPr>
        <w:t>SO/003/2017</w:t>
      </w:r>
      <w:r w:rsidRPr="003C0099">
        <w:rPr>
          <w:rFonts w:eastAsia="Calibri" w:cs="Tahoma"/>
          <w:lang w:val="es-ES" w:eastAsia="en-US"/>
        </w:rPr>
        <w:t xml:space="preserve">, </w:t>
      </w:r>
      <w:r w:rsidRPr="003C0099">
        <w:rPr>
          <w:rFonts w:eastAsia="Calibri" w:cs="Tahoma"/>
          <w:lang w:eastAsia="en-US"/>
        </w:rPr>
        <w:t>emitido</w:t>
      </w:r>
      <w:r w:rsidRPr="003C0099">
        <w:rPr>
          <w:rFonts w:eastAsia="Times New Roman" w:cs="Times New Roman"/>
          <w:color w:val="0D0D0D" w:themeColor="text1" w:themeTint="F2"/>
          <w:lang w:val="es-ES"/>
        </w:rPr>
        <w:t xml:space="preserve"> por el entonces Instituto Nacional de Transparencia, Acceso a la Información y Protección de Datos Personales, vigente a la fecha de la solicitud, que a continuación se cita:</w:t>
      </w:r>
    </w:p>
    <w:p w14:paraId="1D30FE2A" w14:textId="77777777" w:rsidR="004A3C8A" w:rsidRPr="003C0099" w:rsidRDefault="004A3C8A" w:rsidP="004A3C8A">
      <w:pPr>
        <w:shd w:val="clear" w:color="auto" w:fill="FFFFFF"/>
        <w:spacing w:after="0" w:line="360" w:lineRule="auto"/>
        <w:rPr>
          <w:rFonts w:eastAsia="Times New Roman" w:cs="Times New Roman"/>
          <w:color w:val="0D0D0D" w:themeColor="text1" w:themeTint="F2"/>
          <w:sz w:val="24"/>
          <w:lang w:val="es-ES"/>
        </w:rPr>
      </w:pPr>
    </w:p>
    <w:p w14:paraId="7B934721" w14:textId="77777777" w:rsidR="004A3C8A" w:rsidRPr="003C0099" w:rsidRDefault="004A3C8A" w:rsidP="004A3C8A">
      <w:pPr>
        <w:shd w:val="clear" w:color="auto" w:fill="FFFFFF"/>
        <w:spacing w:after="0" w:line="360" w:lineRule="auto"/>
        <w:ind w:left="567" w:right="567"/>
        <w:rPr>
          <w:rFonts w:ascii="Times New Roman" w:eastAsia="Times New Roman" w:hAnsi="Times New Roman" w:cs="Times New Roman"/>
          <w:i/>
          <w:color w:val="0D0D0D" w:themeColor="text1" w:themeTint="F2"/>
          <w:sz w:val="20"/>
          <w:szCs w:val="20"/>
        </w:rPr>
      </w:pPr>
      <w:r w:rsidRPr="003C0099">
        <w:rPr>
          <w:rFonts w:eastAsia="Times New Roman" w:cs="Times New Roman"/>
          <w:b/>
          <w:bCs/>
          <w:i/>
          <w:color w:val="0D0D0D" w:themeColor="text1" w:themeTint="F2"/>
          <w:sz w:val="20"/>
          <w:szCs w:val="20"/>
        </w:rPr>
        <w:t>“No existe obligación de elaborar </w:t>
      </w:r>
      <w:r w:rsidRPr="003C0099">
        <w:rPr>
          <w:rFonts w:eastAsia="Times New Roman" w:cs="Times New Roman"/>
          <w:b/>
          <w:bCs/>
          <w:i/>
          <w:color w:val="0D0D0D" w:themeColor="text1" w:themeTint="F2"/>
          <w:spacing w:val="-3"/>
          <w:sz w:val="20"/>
          <w:szCs w:val="20"/>
        </w:rPr>
        <w:t>d</w:t>
      </w:r>
      <w:r w:rsidRPr="003C0099">
        <w:rPr>
          <w:rFonts w:eastAsia="Times New Roman" w:cs="Times New Roman"/>
          <w:b/>
          <w:bCs/>
          <w:i/>
          <w:color w:val="0D0D0D" w:themeColor="text1" w:themeTint="F2"/>
          <w:sz w:val="20"/>
          <w:szCs w:val="20"/>
        </w:rPr>
        <w:t>ocum</w:t>
      </w:r>
      <w:r w:rsidRPr="003C0099">
        <w:rPr>
          <w:rFonts w:eastAsia="Times New Roman" w:cs="Times New Roman"/>
          <w:b/>
          <w:bCs/>
          <w:i/>
          <w:color w:val="0D0D0D" w:themeColor="text1" w:themeTint="F2"/>
          <w:spacing w:val="1"/>
          <w:sz w:val="20"/>
          <w:szCs w:val="20"/>
        </w:rPr>
        <w:t>e</w:t>
      </w:r>
      <w:r w:rsidRPr="003C0099">
        <w:rPr>
          <w:rFonts w:eastAsia="Times New Roman" w:cs="Times New Roman"/>
          <w:b/>
          <w:bCs/>
          <w:i/>
          <w:color w:val="0D0D0D" w:themeColor="text1" w:themeTint="F2"/>
          <w:sz w:val="20"/>
          <w:szCs w:val="20"/>
        </w:rPr>
        <w:t>n</w:t>
      </w:r>
      <w:r w:rsidRPr="003C0099">
        <w:rPr>
          <w:rFonts w:eastAsia="Times New Roman" w:cs="Times New Roman"/>
          <w:b/>
          <w:bCs/>
          <w:i/>
          <w:color w:val="0D0D0D" w:themeColor="text1" w:themeTint="F2"/>
          <w:spacing w:val="-1"/>
          <w:sz w:val="20"/>
          <w:szCs w:val="20"/>
        </w:rPr>
        <w:t>t</w:t>
      </w:r>
      <w:r w:rsidRPr="003C0099">
        <w:rPr>
          <w:rFonts w:eastAsia="Times New Roman" w:cs="Times New Roman"/>
          <w:b/>
          <w:bCs/>
          <w:i/>
          <w:color w:val="0D0D0D" w:themeColor="text1" w:themeTint="F2"/>
          <w:sz w:val="20"/>
          <w:szCs w:val="20"/>
        </w:rPr>
        <w:t>os </w:t>
      </w:r>
      <w:r w:rsidRPr="003C0099">
        <w:rPr>
          <w:rFonts w:eastAsia="Times New Roman" w:cs="Times New Roman"/>
          <w:b/>
          <w:bCs/>
          <w:i/>
          <w:iCs/>
          <w:color w:val="0D0D0D" w:themeColor="text1" w:themeTint="F2"/>
          <w:spacing w:val="-1"/>
          <w:sz w:val="20"/>
          <w:szCs w:val="20"/>
        </w:rPr>
        <w:t>ad </w:t>
      </w:r>
      <w:r w:rsidRPr="003C0099">
        <w:rPr>
          <w:rFonts w:eastAsia="Times New Roman" w:cs="Times New Roman"/>
          <w:b/>
          <w:bCs/>
          <w:i/>
          <w:iCs/>
          <w:color w:val="0D0D0D" w:themeColor="text1" w:themeTint="F2"/>
          <w:sz w:val="20"/>
          <w:szCs w:val="20"/>
        </w:rPr>
        <w:t>hoc </w:t>
      </w:r>
      <w:r w:rsidRPr="003C0099">
        <w:rPr>
          <w:rFonts w:eastAsia="Times New Roman" w:cs="Times New Roman"/>
          <w:b/>
          <w:bCs/>
          <w:i/>
          <w:color w:val="0D0D0D" w:themeColor="text1" w:themeTint="F2"/>
          <w:sz w:val="20"/>
          <w:szCs w:val="20"/>
        </w:rPr>
        <w:t>para atender las sol</w:t>
      </w:r>
      <w:r w:rsidRPr="003C0099">
        <w:rPr>
          <w:rFonts w:eastAsia="Times New Roman" w:cs="Times New Roman"/>
          <w:b/>
          <w:bCs/>
          <w:i/>
          <w:color w:val="0D0D0D" w:themeColor="text1" w:themeTint="F2"/>
          <w:spacing w:val="-2"/>
          <w:sz w:val="20"/>
          <w:szCs w:val="20"/>
        </w:rPr>
        <w:t>i</w:t>
      </w:r>
      <w:r w:rsidRPr="003C0099">
        <w:rPr>
          <w:rFonts w:eastAsia="Times New Roman" w:cs="Times New Roman"/>
          <w:b/>
          <w:bCs/>
          <w:i/>
          <w:color w:val="0D0D0D" w:themeColor="text1" w:themeTint="F2"/>
          <w:spacing w:val="1"/>
          <w:sz w:val="20"/>
          <w:szCs w:val="20"/>
        </w:rPr>
        <w:t>c</w:t>
      </w:r>
      <w:r w:rsidRPr="003C0099">
        <w:rPr>
          <w:rFonts w:eastAsia="Times New Roman" w:cs="Times New Roman"/>
          <w:b/>
          <w:bCs/>
          <w:i/>
          <w:color w:val="0D0D0D" w:themeColor="text1" w:themeTint="F2"/>
          <w:sz w:val="20"/>
          <w:szCs w:val="20"/>
        </w:rPr>
        <w:t>itudes de </w:t>
      </w:r>
      <w:r w:rsidRPr="003C0099">
        <w:rPr>
          <w:rFonts w:eastAsia="Times New Roman" w:cs="Times New Roman"/>
          <w:b/>
          <w:bCs/>
          <w:i/>
          <w:color w:val="0D0D0D" w:themeColor="text1" w:themeTint="F2"/>
          <w:spacing w:val="1"/>
          <w:sz w:val="20"/>
          <w:szCs w:val="20"/>
        </w:rPr>
        <w:t>ac</w:t>
      </w:r>
      <w:r w:rsidRPr="003C0099">
        <w:rPr>
          <w:rFonts w:eastAsia="Times New Roman" w:cs="Times New Roman"/>
          <w:b/>
          <w:bCs/>
          <w:i/>
          <w:color w:val="0D0D0D" w:themeColor="text1" w:themeTint="F2"/>
          <w:spacing w:val="-1"/>
          <w:sz w:val="20"/>
          <w:szCs w:val="20"/>
        </w:rPr>
        <w:t>c</w:t>
      </w:r>
      <w:r w:rsidRPr="003C0099">
        <w:rPr>
          <w:rFonts w:eastAsia="Times New Roman" w:cs="Times New Roman"/>
          <w:b/>
          <w:bCs/>
          <w:i/>
          <w:color w:val="0D0D0D" w:themeColor="text1" w:themeTint="F2"/>
          <w:spacing w:val="1"/>
          <w:sz w:val="20"/>
          <w:szCs w:val="20"/>
        </w:rPr>
        <w:t>es</w:t>
      </w:r>
      <w:r w:rsidRPr="003C0099">
        <w:rPr>
          <w:rFonts w:eastAsia="Times New Roman" w:cs="Times New Roman"/>
          <w:b/>
          <w:bCs/>
          <w:i/>
          <w:color w:val="0D0D0D" w:themeColor="text1" w:themeTint="F2"/>
          <w:sz w:val="20"/>
          <w:szCs w:val="20"/>
        </w:rPr>
        <w:t>o a la informa</w:t>
      </w:r>
      <w:r w:rsidRPr="003C0099">
        <w:rPr>
          <w:rFonts w:eastAsia="Times New Roman" w:cs="Times New Roman"/>
          <w:b/>
          <w:bCs/>
          <w:i/>
          <w:color w:val="0D0D0D" w:themeColor="text1" w:themeTint="F2"/>
          <w:spacing w:val="1"/>
          <w:sz w:val="20"/>
          <w:szCs w:val="20"/>
        </w:rPr>
        <w:t>c</w:t>
      </w:r>
      <w:r w:rsidRPr="003C0099">
        <w:rPr>
          <w:rFonts w:eastAsia="Times New Roman" w:cs="Times New Roman"/>
          <w:b/>
          <w:bCs/>
          <w:i/>
          <w:color w:val="0D0D0D" w:themeColor="text1" w:themeTint="F2"/>
          <w:sz w:val="20"/>
          <w:szCs w:val="20"/>
        </w:rPr>
        <w:t>ió</w:t>
      </w:r>
      <w:r w:rsidRPr="003C0099">
        <w:rPr>
          <w:rFonts w:eastAsia="Times New Roman" w:cs="Times New Roman"/>
          <w:b/>
          <w:bCs/>
          <w:i/>
          <w:color w:val="0D0D0D" w:themeColor="text1" w:themeTint="F2"/>
          <w:spacing w:val="-2"/>
          <w:sz w:val="20"/>
          <w:szCs w:val="20"/>
        </w:rPr>
        <w:t>n</w:t>
      </w:r>
      <w:r w:rsidRPr="003C0099">
        <w:rPr>
          <w:rFonts w:eastAsia="Times New Roman" w:cs="Times New Roman"/>
          <w:b/>
          <w:bCs/>
          <w:i/>
          <w:color w:val="0D0D0D" w:themeColor="text1" w:themeTint="F2"/>
          <w:sz w:val="20"/>
          <w:szCs w:val="20"/>
        </w:rPr>
        <w:t>. </w:t>
      </w:r>
      <w:r w:rsidRPr="003C0099">
        <w:rPr>
          <w:rFonts w:eastAsia="Times New Roman" w:cs="Times New Roman"/>
          <w:i/>
          <w:color w:val="0D0D0D" w:themeColor="text1" w:themeTint="F2"/>
          <w:spacing w:val="18"/>
          <w:sz w:val="20"/>
          <w:szCs w:val="20"/>
        </w:rPr>
        <w:t>L</w:t>
      </w:r>
      <w:r w:rsidRPr="003C0099">
        <w:rPr>
          <w:rFonts w:eastAsia="Times New Roman" w:cs="Times New Roman"/>
          <w:i/>
          <w:color w:val="0D0D0D" w:themeColor="text1" w:themeTint="F2"/>
          <w:spacing w:val="-1"/>
          <w:sz w:val="20"/>
          <w:szCs w:val="20"/>
        </w:rPr>
        <w:t>os </w:t>
      </w:r>
      <w:r w:rsidRPr="003C0099">
        <w:rPr>
          <w:rFonts w:eastAsia="Times New Roman" w:cs="Times New Roman"/>
          <w:i/>
          <w:color w:val="0D0D0D" w:themeColor="text1" w:themeTint="F2"/>
          <w:spacing w:val="1"/>
          <w:sz w:val="20"/>
          <w:szCs w:val="20"/>
        </w:rPr>
        <w:t>a</w:t>
      </w:r>
      <w:r w:rsidRPr="003C0099">
        <w:rPr>
          <w:rFonts w:eastAsia="Times New Roman" w:cs="Times New Roman"/>
          <w:i/>
          <w:color w:val="0D0D0D" w:themeColor="text1" w:themeTint="F2"/>
          <w:sz w:val="20"/>
          <w:szCs w:val="20"/>
        </w:rPr>
        <w:t>rt</w:t>
      </w:r>
      <w:r w:rsidRPr="003C0099">
        <w:rPr>
          <w:rFonts w:eastAsia="Times New Roman" w:cs="Times New Roman"/>
          <w:i/>
          <w:color w:val="0D0D0D" w:themeColor="text1" w:themeTint="F2"/>
          <w:spacing w:val="-2"/>
          <w:sz w:val="20"/>
          <w:szCs w:val="20"/>
        </w:rPr>
        <w:t>í</w:t>
      </w:r>
      <w:r w:rsidRPr="003C0099">
        <w:rPr>
          <w:rFonts w:eastAsia="Times New Roman" w:cs="Times New Roman"/>
          <w:i/>
          <w:color w:val="0D0D0D" w:themeColor="text1" w:themeTint="F2"/>
          <w:sz w:val="20"/>
          <w:szCs w:val="20"/>
        </w:rPr>
        <w:t>c</w:t>
      </w:r>
      <w:r w:rsidRPr="003C0099">
        <w:rPr>
          <w:rFonts w:eastAsia="Times New Roman" w:cs="Times New Roman"/>
          <w:i/>
          <w:color w:val="0D0D0D" w:themeColor="text1" w:themeTint="F2"/>
          <w:spacing w:val="1"/>
          <w:sz w:val="20"/>
          <w:szCs w:val="20"/>
        </w:rPr>
        <w:t>u</w:t>
      </w:r>
      <w:r w:rsidRPr="003C0099">
        <w:rPr>
          <w:rFonts w:eastAsia="Times New Roman" w:cs="Times New Roman"/>
          <w:i/>
          <w:color w:val="0D0D0D" w:themeColor="text1" w:themeTint="F2"/>
          <w:sz w:val="20"/>
          <w:szCs w:val="20"/>
        </w:rPr>
        <w:t>los</w:t>
      </w:r>
      <w:r w:rsidRPr="003C0099">
        <w:rPr>
          <w:rFonts w:eastAsia="Times New Roman" w:cs="Times New Roman"/>
          <w:i/>
          <w:color w:val="0D0D0D" w:themeColor="text1" w:themeTint="F2"/>
          <w:spacing w:val="8"/>
          <w:sz w:val="20"/>
          <w:szCs w:val="20"/>
        </w:rPr>
        <w:t> 129 </w:t>
      </w:r>
      <w:r w:rsidRPr="003C0099">
        <w:rPr>
          <w:rFonts w:eastAsia="Times New Roman" w:cs="Times New Roman"/>
          <w:i/>
          <w:color w:val="0D0D0D" w:themeColor="text1" w:themeTint="F2"/>
          <w:spacing w:val="1"/>
          <w:sz w:val="20"/>
          <w:szCs w:val="20"/>
        </w:rPr>
        <w:t>d</w:t>
      </w:r>
      <w:r w:rsidRPr="003C0099">
        <w:rPr>
          <w:rFonts w:eastAsia="Times New Roman" w:cs="Times New Roman"/>
          <w:i/>
          <w:color w:val="0D0D0D" w:themeColor="text1" w:themeTint="F2"/>
          <w:sz w:val="20"/>
          <w:szCs w:val="20"/>
        </w:rPr>
        <w:t>e la </w:t>
      </w:r>
      <w:r w:rsidRPr="003C0099">
        <w:rPr>
          <w:rFonts w:eastAsia="Times New Roman" w:cs="Times New Roman"/>
          <w:i/>
          <w:color w:val="0D0D0D" w:themeColor="text1" w:themeTint="F2"/>
          <w:spacing w:val="-1"/>
          <w:sz w:val="20"/>
          <w:szCs w:val="20"/>
        </w:rPr>
        <w:t>L</w:t>
      </w:r>
      <w:r w:rsidRPr="003C0099">
        <w:rPr>
          <w:rFonts w:eastAsia="Times New Roman" w:cs="Times New Roman"/>
          <w:i/>
          <w:color w:val="0D0D0D" w:themeColor="text1" w:themeTint="F2"/>
          <w:spacing w:val="1"/>
          <w:sz w:val="20"/>
          <w:szCs w:val="20"/>
        </w:rPr>
        <w:t>e</w:t>
      </w:r>
      <w:r w:rsidRPr="003C0099">
        <w:rPr>
          <w:rFonts w:eastAsia="Times New Roman" w:cs="Times New Roman"/>
          <w:i/>
          <w:color w:val="0D0D0D" w:themeColor="text1" w:themeTint="F2"/>
          <w:sz w:val="20"/>
          <w:szCs w:val="20"/>
        </w:rPr>
        <w:t>y General </w:t>
      </w:r>
      <w:r w:rsidRPr="003C0099">
        <w:rPr>
          <w:rFonts w:eastAsia="Times New Roman" w:cs="Times New Roman"/>
          <w:i/>
          <w:color w:val="0D0D0D" w:themeColor="text1" w:themeTint="F2"/>
          <w:spacing w:val="-1"/>
          <w:sz w:val="20"/>
          <w:szCs w:val="20"/>
        </w:rPr>
        <w:t>d</w:t>
      </w:r>
      <w:r w:rsidRPr="003C0099">
        <w:rPr>
          <w:rFonts w:eastAsia="Times New Roman" w:cs="Times New Roman"/>
          <w:i/>
          <w:color w:val="0D0D0D" w:themeColor="text1" w:themeTint="F2"/>
          <w:sz w:val="20"/>
          <w:szCs w:val="20"/>
        </w:rPr>
        <w:t xml:space="preserve">e </w:t>
      </w:r>
      <w:r w:rsidRPr="003C0099">
        <w:rPr>
          <w:rFonts w:eastAsia="Times New Roman" w:cs="Times New Roman"/>
          <w:i/>
          <w:color w:val="0D0D0D" w:themeColor="text1" w:themeTint="F2"/>
          <w:spacing w:val="2"/>
          <w:sz w:val="20"/>
          <w:szCs w:val="20"/>
        </w:rPr>
        <w:t>T</w:t>
      </w:r>
      <w:r w:rsidRPr="003C0099">
        <w:rPr>
          <w:rFonts w:eastAsia="Times New Roman" w:cs="Times New Roman"/>
          <w:i/>
          <w:color w:val="0D0D0D" w:themeColor="text1" w:themeTint="F2"/>
          <w:sz w:val="20"/>
          <w:szCs w:val="20"/>
        </w:rPr>
        <w:t>r</w:t>
      </w:r>
      <w:r w:rsidRPr="003C0099">
        <w:rPr>
          <w:rFonts w:eastAsia="Times New Roman" w:cs="Times New Roman"/>
          <w:i/>
          <w:color w:val="0D0D0D" w:themeColor="text1" w:themeTint="F2"/>
          <w:spacing w:val="-2"/>
          <w:sz w:val="20"/>
          <w:szCs w:val="20"/>
        </w:rPr>
        <w:t>a</w:t>
      </w:r>
      <w:r w:rsidRPr="003C0099">
        <w:rPr>
          <w:rFonts w:eastAsia="Times New Roman" w:cs="Times New Roman"/>
          <w:i/>
          <w:color w:val="0D0D0D" w:themeColor="text1" w:themeTint="F2"/>
          <w:spacing w:val="1"/>
          <w:sz w:val="20"/>
          <w:szCs w:val="20"/>
        </w:rPr>
        <w:t>n</w:t>
      </w:r>
      <w:r w:rsidRPr="003C0099">
        <w:rPr>
          <w:rFonts w:eastAsia="Times New Roman" w:cs="Times New Roman"/>
          <w:i/>
          <w:color w:val="0D0D0D" w:themeColor="text1" w:themeTint="F2"/>
          <w:sz w:val="20"/>
          <w:szCs w:val="20"/>
        </w:rPr>
        <w:t>s</w:t>
      </w:r>
      <w:r w:rsidRPr="003C0099">
        <w:rPr>
          <w:rFonts w:eastAsia="Times New Roman" w:cs="Times New Roman"/>
          <w:i/>
          <w:color w:val="0D0D0D" w:themeColor="text1" w:themeTint="F2"/>
          <w:spacing w:val="1"/>
          <w:sz w:val="20"/>
          <w:szCs w:val="20"/>
        </w:rPr>
        <w:t>pa</w:t>
      </w:r>
      <w:r w:rsidRPr="003C0099">
        <w:rPr>
          <w:rFonts w:eastAsia="Times New Roman" w:cs="Times New Roman"/>
          <w:i/>
          <w:color w:val="0D0D0D" w:themeColor="text1" w:themeTint="F2"/>
          <w:sz w:val="20"/>
          <w:szCs w:val="20"/>
        </w:rPr>
        <w:t>r</w:t>
      </w:r>
      <w:r w:rsidRPr="003C0099">
        <w:rPr>
          <w:rFonts w:eastAsia="Times New Roman" w:cs="Times New Roman"/>
          <w:i/>
          <w:color w:val="0D0D0D" w:themeColor="text1" w:themeTint="F2"/>
          <w:spacing w:val="-2"/>
          <w:sz w:val="20"/>
          <w:szCs w:val="20"/>
        </w:rPr>
        <w:t>e</w:t>
      </w:r>
      <w:r w:rsidRPr="003C0099">
        <w:rPr>
          <w:rFonts w:eastAsia="Times New Roman" w:cs="Times New Roman"/>
          <w:i/>
          <w:color w:val="0D0D0D" w:themeColor="text1" w:themeTint="F2"/>
          <w:spacing w:val="1"/>
          <w:sz w:val="20"/>
          <w:szCs w:val="20"/>
        </w:rPr>
        <w:t>n</w:t>
      </w:r>
      <w:r w:rsidRPr="003C0099">
        <w:rPr>
          <w:rFonts w:eastAsia="Times New Roman" w:cs="Times New Roman"/>
          <w:i/>
          <w:color w:val="0D0D0D" w:themeColor="text1" w:themeTint="F2"/>
          <w:sz w:val="20"/>
          <w:szCs w:val="20"/>
        </w:rPr>
        <w:t>cia y Acc</w:t>
      </w:r>
      <w:r w:rsidRPr="003C0099">
        <w:rPr>
          <w:rFonts w:eastAsia="Times New Roman" w:cs="Times New Roman"/>
          <w:i/>
          <w:color w:val="0D0D0D" w:themeColor="text1" w:themeTint="F2"/>
          <w:spacing w:val="1"/>
          <w:sz w:val="20"/>
          <w:szCs w:val="20"/>
        </w:rPr>
        <w:t>e</w:t>
      </w:r>
      <w:r w:rsidRPr="003C0099">
        <w:rPr>
          <w:rFonts w:eastAsia="Times New Roman" w:cs="Times New Roman"/>
          <w:i/>
          <w:color w:val="0D0D0D" w:themeColor="text1" w:themeTint="F2"/>
          <w:sz w:val="20"/>
          <w:szCs w:val="20"/>
        </w:rPr>
        <w:t>so a la I</w:t>
      </w:r>
      <w:r w:rsidRPr="003C0099">
        <w:rPr>
          <w:rFonts w:eastAsia="Times New Roman" w:cs="Times New Roman"/>
          <w:i/>
          <w:color w:val="0D0D0D" w:themeColor="text1" w:themeTint="F2"/>
          <w:spacing w:val="-1"/>
          <w:sz w:val="20"/>
          <w:szCs w:val="20"/>
        </w:rPr>
        <w:t>n</w:t>
      </w:r>
      <w:r w:rsidRPr="003C0099">
        <w:rPr>
          <w:rFonts w:eastAsia="Times New Roman" w:cs="Times New Roman"/>
          <w:i/>
          <w:color w:val="0D0D0D" w:themeColor="text1" w:themeTint="F2"/>
          <w:sz w:val="20"/>
          <w:szCs w:val="20"/>
        </w:rPr>
        <w:t>f</w:t>
      </w:r>
      <w:r w:rsidRPr="003C0099">
        <w:rPr>
          <w:rFonts w:eastAsia="Times New Roman" w:cs="Times New Roman"/>
          <w:i/>
          <w:color w:val="0D0D0D" w:themeColor="text1" w:themeTint="F2"/>
          <w:spacing w:val="1"/>
          <w:sz w:val="20"/>
          <w:szCs w:val="20"/>
        </w:rPr>
        <w:t>o</w:t>
      </w:r>
      <w:r w:rsidRPr="003C0099">
        <w:rPr>
          <w:rFonts w:eastAsia="Times New Roman" w:cs="Times New Roman"/>
          <w:i/>
          <w:color w:val="0D0D0D" w:themeColor="text1" w:themeTint="F2"/>
          <w:spacing w:val="-3"/>
          <w:sz w:val="20"/>
          <w:szCs w:val="20"/>
        </w:rPr>
        <w:t>r</w:t>
      </w:r>
      <w:r w:rsidRPr="003C0099">
        <w:rPr>
          <w:rFonts w:eastAsia="Times New Roman" w:cs="Times New Roman"/>
          <w:i/>
          <w:color w:val="0D0D0D" w:themeColor="text1" w:themeTint="F2"/>
          <w:spacing w:val="1"/>
          <w:sz w:val="20"/>
          <w:szCs w:val="20"/>
        </w:rPr>
        <w:t>ma</w:t>
      </w:r>
      <w:r w:rsidRPr="003C0099">
        <w:rPr>
          <w:rFonts w:eastAsia="Times New Roman" w:cs="Times New Roman"/>
          <w:i/>
          <w:color w:val="0D0D0D" w:themeColor="text1" w:themeTint="F2"/>
          <w:sz w:val="20"/>
          <w:szCs w:val="20"/>
        </w:rPr>
        <w:t>ci</w:t>
      </w:r>
      <w:r w:rsidRPr="003C0099">
        <w:rPr>
          <w:rFonts w:eastAsia="Times New Roman" w:cs="Times New Roman"/>
          <w:i/>
          <w:color w:val="0D0D0D" w:themeColor="text1" w:themeTint="F2"/>
          <w:spacing w:val="-2"/>
          <w:sz w:val="20"/>
          <w:szCs w:val="20"/>
        </w:rPr>
        <w:t>ó</w:t>
      </w:r>
      <w:r w:rsidRPr="003C0099">
        <w:rPr>
          <w:rFonts w:eastAsia="Times New Roman" w:cs="Times New Roman"/>
          <w:i/>
          <w:color w:val="0D0D0D" w:themeColor="text1" w:themeTint="F2"/>
          <w:sz w:val="20"/>
          <w:szCs w:val="20"/>
        </w:rPr>
        <w:t>n </w:t>
      </w:r>
      <w:r w:rsidRPr="003C0099">
        <w:rPr>
          <w:rFonts w:eastAsia="Times New Roman" w:cs="Times New Roman"/>
          <w:i/>
          <w:color w:val="0D0D0D" w:themeColor="text1" w:themeTint="F2"/>
          <w:spacing w:val="-2"/>
          <w:sz w:val="20"/>
          <w:szCs w:val="20"/>
        </w:rPr>
        <w:t>P</w:t>
      </w:r>
      <w:r w:rsidRPr="003C0099">
        <w:rPr>
          <w:rFonts w:eastAsia="Times New Roman" w:cs="Times New Roman"/>
          <w:i/>
          <w:color w:val="0D0D0D" w:themeColor="text1" w:themeTint="F2"/>
          <w:spacing w:val="1"/>
          <w:sz w:val="20"/>
          <w:szCs w:val="20"/>
        </w:rPr>
        <w:t>úb</w:t>
      </w:r>
      <w:r w:rsidRPr="003C0099">
        <w:rPr>
          <w:rFonts w:eastAsia="Times New Roman" w:cs="Times New Roman"/>
          <w:i/>
          <w:color w:val="0D0D0D" w:themeColor="text1" w:themeTint="F2"/>
          <w:sz w:val="20"/>
          <w:szCs w:val="20"/>
        </w:rPr>
        <w:t>l</w:t>
      </w:r>
      <w:r w:rsidRPr="003C0099">
        <w:rPr>
          <w:rFonts w:eastAsia="Times New Roman" w:cs="Times New Roman"/>
          <w:i/>
          <w:color w:val="0D0D0D" w:themeColor="text1" w:themeTint="F2"/>
          <w:spacing w:val="-1"/>
          <w:sz w:val="20"/>
          <w:szCs w:val="20"/>
        </w:rPr>
        <w:t>i</w:t>
      </w:r>
      <w:r w:rsidRPr="003C0099">
        <w:rPr>
          <w:rFonts w:eastAsia="Times New Roman" w:cs="Times New Roman"/>
          <w:i/>
          <w:color w:val="0D0D0D" w:themeColor="text1" w:themeTint="F2"/>
          <w:sz w:val="20"/>
          <w:szCs w:val="20"/>
        </w:rPr>
        <w:t>ca y </w:t>
      </w:r>
      <w:r w:rsidRPr="003C0099">
        <w:rPr>
          <w:rFonts w:eastAsia="Times New Roman" w:cs="Times New Roman"/>
          <w:i/>
          <w:color w:val="0D0D0D" w:themeColor="text1" w:themeTint="F2"/>
          <w:spacing w:val="8"/>
          <w:sz w:val="20"/>
          <w:szCs w:val="20"/>
        </w:rPr>
        <w:t>130, párrafo cuarto, </w:t>
      </w:r>
      <w:r w:rsidRPr="003C0099">
        <w:rPr>
          <w:rFonts w:eastAsia="Times New Roman" w:cs="Times New Roman"/>
          <w:i/>
          <w:color w:val="0D0D0D" w:themeColor="text1" w:themeTint="F2"/>
          <w:spacing w:val="1"/>
          <w:sz w:val="20"/>
          <w:szCs w:val="20"/>
        </w:rPr>
        <w:t>d</w:t>
      </w:r>
      <w:r w:rsidRPr="003C0099">
        <w:rPr>
          <w:rFonts w:eastAsia="Times New Roman" w:cs="Times New Roman"/>
          <w:i/>
          <w:color w:val="0D0D0D" w:themeColor="text1" w:themeTint="F2"/>
          <w:sz w:val="20"/>
          <w:szCs w:val="20"/>
        </w:rPr>
        <w:t xml:space="preserve">e la </w:t>
      </w:r>
      <w:r w:rsidRPr="003C0099">
        <w:rPr>
          <w:rFonts w:eastAsia="Times New Roman" w:cs="Times New Roman"/>
          <w:i/>
          <w:color w:val="0D0D0D" w:themeColor="text1" w:themeTint="F2"/>
          <w:spacing w:val="-1"/>
          <w:sz w:val="20"/>
          <w:szCs w:val="20"/>
        </w:rPr>
        <w:t>L</w:t>
      </w:r>
      <w:r w:rsidRPr="003C0099">
        <w:rPr>
          <w:rFonts w:eastAsia="Times New Roman" w:cs="Times New Roman"/>
          <w:i/>
          <w:color w:val="0D0D0D" w:themeColor="text1" w:themeTint="F2"/>
          <w:spacing w:val="1"/>
          <w:sz w:val="20"/>
          <w:szCs w:val="20"/>
        </w:rPr>
        <w:t>e</w:t>
      </w:r>
      <w:r w:rsidRPr="003C0099">
        <w:rPr>
          <w:rFonts w:eastAsia="Times New Roman" w:cs="Times New Roman"/>
          <w:i/>
          <w:color w:val="0D0D0D" w:themeColor="text1" w:themeTint="F2"/>
          <w:sz w:val="20"/>
          <w:szCs w:val="20"/>
        </w:rPr>
        <w:t>y Fe</w:t>
      </w:r>
      <w:r w:rsidRPr="003C0099">
        <w:rPr>
          <w:rFonts w:eastAsia="Times New Roman" w:cs="Times New Roman"/>
          <w:i/>
          <w:color w:val="0D0D0D" w:themeColor="text1" w:themeTint="F2"/>
          <w:spacing w:val="1"/>
          <w:sz w:val="20"/>
          <w:szCs w:val="20"/>
        </w:rPr>
        <w:t>de</w:t>
      </w:r>
      <w:r w:rsidRPr="003C0099">
        <w:rPr>
          <w:rFonts w:eastAsia="Times New Roman" w:cs="Times New Roman"/>
          <w:i/>
          <w:color w:val="0D0D0D" w:themeColor="text1" w:themeTint="F2"/>
          <w:sz w:val="20"/>
          <w:szCs w:val="20"/>
        </w:rPr>
        <w:t>ral </w:t>
      </w:r>
      <w:r w:rsidRPr="003C0099">
        <w:rPr>
          <w:rFonts w:eastAsia="Times New Roman" w:cs="Times New Roman"/>
          <w:i/>
          <w:color w:val="0D0D0D" w:themeColor="text1" w:themeTint="F2"/>
          <w:spacing w:val="-1"/>
          <w:sz w:val="20"/>
          <w:szCs w:val="20"/>
        </w:rPr>
        <w:t>d</w:t>
      </w:r>
      <w:r w:rsidRPr="003C0099">
        <w:rPr>
          <w:rFonts w:eastAsia="Times New Roman" w:cs="Times New Roman"/>
          <w:i/>
          <w:color w:val="0D0D0D" w:themeColor="text1" w:themeTint="F2"/>
          <w:sz w:val="20"/>
          <w:szCs w:val="20"/>
        </w:rPr>
        <w:t>e </w:t>
      </w:r>
      <w:r w:rsidRPr="003C0099">
        <w:rPr>
          <w:rFonts w:eastAsia="Times New Roman" w:cs="Times New Roman"/>
          <w:i/>
          <w:color w:val="0D0D0D" w:themeColor="text1" w:themeTint="F2"/>
          <w:spacing w:val="2"/>
          <w:sz w:val="20"/>
          <w:szCs w:val="20"/>
        </w:rPr>
        <w:t>T</w:t>
      </w:r>
      <w:r w:rsidRPr="003C0099">
        <w:rPr>
          <w:rFonts w:eastAsia="Times New Roman" w:cs="Times New Roman"/>
          <w:i/>
          <w:color w:val="0D0D0D" w:themeColor="text1" w:themeTint="F2"/>
          <w:sz w:val="20"/>
          <w:szCs w:val="20"/>
        </w:rPr>
        <w:t>r</w:t>
      </w:r>
      <w:r w:rsidRPr="003C0099">
        <w:rPr>
          <w:rFonts w:eastAsia="Times New Roman" w:cs="Times New Roman"/>
          <w:i/>
          <w:color w:val="0D0D0D" w:themeColor="text1" w:themeTint="F2"/>
          <w:spacing w:val="-2"/>
          <w:sz w:val="20"/>
          <w:szCs w:val="20"/>
        </w:rPr>
        <w:t>a</w:t>
      </w:r>
      <w:r w:rsidRPr="003C0099">
        <w:rPr>
          <w:rFonts w:eastAsia="Times New Roman" w:cs="Times New Roman"/>
          <w:i/>
          <w:color w:val="0D0D0D" w:themeColor="text1" w:themeTint="F2"/>
          <w:spacing w:val="1"/>
          <w:sz w:val="20"/>
          <w:szCs w:val="20"/>
        </w:rPr>
        <w:t>n</w:t>
      </w:r>
      <w:r w:rsidRPr="003C0099">
        <w:rPr>
          <w:rFonts w:eastAsia="Times New Roman" w:cs="Times New Roman"/>
          <w:i/>
          <w:color w:val="0D0D0D" w:themeColor="text1" w:themeTint="F2"/>
          <w:sz w:val="20"/>
          <w:szCs w:val="20"/>
        </w:rPr>
        <w:t>s</w:t>
      </w:r>
      <w:r w:rsidRPr="003C0099">
        <w:rPr>
          <w:rFonts w:eastAsia="Times New Roman" w:cs="Times New Roman"/>
          <w:i/>
          <w:color w:val="0D0D0D" w:themeColor="text1" w:themeTint="F2"/>
          <w:spacing w:val="1"/>
          <w:sz w:val="20"/>
          <w:szCs w:val="20"/>
        </w:rPr>
        <w:t>pa</w:t>
      </w:r>
      <w:r w:rsidRPr="003C0099">
        <w:rPr>
          <w:rFonts w:eastAsia="Times New Roman" w:cs="Times New Roman"/>
          <w:i/>
          <w:color w:val="0D0D0D" w:themeColor="text1" w:themeTint="F2"/>
          <w:sz w:val="20"/>
          <w:szCs w:val="20"/>
        </w:rPr>
        <w:t>r</w:t>
      </w:r>
      <w:r w:rsidRPr="003C0099">
        <w:rPr>
          <w:rFonts w:eastAsia="Times New Roman" w:cs="Times New Roman"/>
          <w:i/>
          <w:color w:val="0D0D0D" w:themeColor="text1" w:themeTint="F2"/>
          <w:spacing w:val="-2"/>
          <w:sz w:val="20"/>
          <w:szCs w:val="20"/>
        </w:rPr>
        <w:t>e</w:t>
      </w:r>
      <w:r w:rsidRPr="003C0099">
        <w:rPr>
          <w:rFonts w:eastAsia="Times New Roman" w:cs="Times New Roman"/>
          <w:i/>
          <w:color w:val="0D0D0D" w:themeColor="text1" w:themeTint="F2"/>
          <w:spacing w:val="1"/>
          <w:sz w:val="20"/>
          <w:szCs w:val="20"/>
        </w:rPr>
        <w:t>n</w:t>
      </w:r>
      <w:r w:rsidRPr="003C0099">
        <w:rPr>
          <w:rFonts w:eastAsia="Times New Roman" w:cs="Times New Roman"/>
          <w:i/>
          <w:color w:val="0D0D0D" w:themeColor="text1" w:themeTint="F2"/>
          <w:sz w:val="20"/>
          <w:szCs w:val="20"/>
        </w:rPr>
        <w:t>cia y Acc</w:t>
      </w:r>
      <w:r w:rsidRPr="003C0099">
        <w:rPr>
          <w:rFonts w:eastAsia="Times New Roman" w:cs="Times New Roman"/>
          <w:i/>
          <w:color w:val="0D0D0D" w:themeColor="text1" w:themeTint="F2"/>
          <w:spacing w:val="1"/>
          <w:sz w:val="20"/>
          <w:szCs w:val="20"/>
        </w:rPr>
        <w:t>e</w:t>
      </w:r>
      <w:r w:rsidRPr="003C0099">
        <w:rPr>
          <w:rFonts w:eastAsia="Times New Roman" w:cs="Times New Roman"/>
          <w:i/>
          <w:color w:val="0D0D0D" w:themeColor="text1" w:themeTint="F2"/>
          <w:sz w:val="20"/>
          <w:szCs w:val="20"/>
        </w:rPr>
        <w:t>so a la I</w:t>
      </w:r>
      <w:r w:rsidRPr="003C0099">
        <w:rPr>
          <w:rFonts w:eastAsia="Times New Roman" w:cs="Times New Roman"/>
          <w:i/>
          <w:color w:val="0D0D0D" w:themeColor="text1" w:themeTint="F2"/>
          <w:spacing w:val="-1"/>
          <w:sz w:val="20"/>
          <w:szCs w:val="20"/>
        </w:rPr>
        <w:t>n</w:t>
      </w:r>
      <w:r w:rsidRPr="003C0099">
        <w:rPr>
          <w:rFonts w:eastAsia="Times New Roman" w:cs="Times New Roman"/>
          <w:i/>
          <w:color w:val="0D0D0D" w:themeColor="text1" w:themeTint="F2"/>
          <w:sz w:val="20"/>
          <w:szCs w:val="20"/>
        </w:rPr>
        <w:t>f</w:t>
      </w:r>
      <w:r w:rsidRPr="003C0099">
        <w:rPr>
          <w:rFonts w:eastAsia="Times New Roman" w:cs="Times New Roman"/>
          <w:i/>
          <w:color w:val="0D0D0D" w:themeColor="text1" w:themeTint="F2"/>
          <w:spacing w:val="1"/>
          <w:sz w:val="20"/>
          <w:szCs w:val="20"/>
        </w:rPr>
        <w:t>o</w:t>
      </w:r>
      <w:r w:rsidRPr="003C0099">
        <w:rPr>
          <w:rFonts w:eastAsia="Times New Roman" w:cs="Times New Roman"/>
          <w:i/>
          <w:color w:val="0D0D0D" w:themeColor="text1" w:themeTint="F2"/>
          <w:spacing w:val="-3"/>
          <w:sz w:val="20"/>
          <w:szCs w:val="20"/>
        </w:rPr>
        <w:t>r</w:t>
      </w:r>
      <w:r w:rsidRPr="003C0099">
        <w:rPr>
          <w:rFonts w:eastAsia="Times New Roman" w:cs="Times New Roman"/>
          <w:i/>
          <w:color w:val="0D0D0D" w:themeColor="text1" w:themeTint="F2"/>
          <w:spacing w:val="1"/>
          <w:sz w:val="20"/>
          <w:szCs w:val="20"/>
        </w:rPr>
        <w:t>ma</w:t>
      </w:r>
      <w:r w:rsidRPr="003C0099">
        <w:rPr>
          <w:rFonts w:eastAsia="Times New Roman" w:cs="Times New Roman"/>
          <w:i/>
          <w:color w:val="0D0D0D" w:themeColor="text1" w:themeTint="F2"/>
          <w:sz w:val="20"/>
          <w:szCs w:val="20"/>
        </w:rPr>
        <w:t>ci</w:t>
      </w:r>
      <w:r w:rsidRPr="003C0099">
        <w:rPr>
          <w:rFonts w:eastAsia="Times New Roman" w:cs="Times New Roman"/>
          <w:i/>
          <w:color w:val="0D0D0D" w:themeColor="text1" w:themeTint="F2"/>
          <w:spacing w:val="-2"/>
          <w:sz w:val="20"/>
          <w:szCs w:val="20"/>
        </w:rPr>
        <w:t>ó</w:t>
      </w:r>
      <w:r w:rsidRPr="003C0099">
        <w:rPr>
          <w:rFonts w:eastAsia="Times New Roman" w:cs="Times New Roman"/>
          <w:i/>
          <w:color w:val="0D0D0D" w:themeColor="text1" w:themeTint="F2"/>
          <w:sz w:val="20"/>
          <w:szCs w:val="20"/>
        </w:rPr>
        <w:t>n </w:t>
      </w:r>
      <w:r w:rsidRPr="003C0099">
        <w:rPr>
          <w:rFonts w:eastAsia="Times New Roman" w:cs="Times New Roman"/>
          <w:i/>
          <w:color w:val="0D0D0D" w:themeColor="text1" w:themeTint="F2"/>
          <w:spacing w:val="-2"/>
          <w:sz w:val="20"/>
          <w:szCs w:val="20"/>
        </w:rPr>
        <w:t>P</w:t>
      </w:r>
      <w:r w:rsidRPr="003C0099">
        <w:rPr>
          <w:rFonts w:eastAsia="Times New Roman" w:cs="Times New Roman"/>
          <w:i/>
          <w:color w:val="0D0D0D" w:themeColor="text1" w:themeTint="F2"/>
          <w:spacing w:val="1"/>
          <w:sz w:val="20"/>
          <w:szCs w:val="20"/>
        </w:rPr>
        <w:t>úb</w:t>
      </w:r>
      <w:r w:rsidRPr="003C0099">
        <w:rPr>
          <w:rFonts w:eastAsia="Times New Roman" w:cs="Times New Roman"/>
          <w:i/>
          <w:color w:val="0D0D0D" w:themeColor="text1" w:themeTint="F2"/>
          <w:sz w:val="20"/>
          <w:szCs w:val="20"/>
        </w:rPr>
        <w:t>l</w:t>
      </w:r>
      <w:r w:rsidRPr="003C0099">
        <w:rPr>
          <w:rFonts w:eastAsia="Times New Roman" w:cs="Times New Roman"/>
          <w:i/>
          <w:color w:val="0D0D0D" w:themeColor="text1" w:themeTint="F2"/>
          <w:spacing w:val="-1"/>
          <w:sz w:val="20"/>
          <w:szCs w:val="20"/>
        </w:rPr>
        <w:t>i</w:t>
      </w:r>
      <w:r w:rsidRPr="003C0099">
        <w:rPr>
          <w:rFonts w:eastAsia="Times New Roman" w:cs="Times New Roman"/>
          <w:i/>
          <w:color w:val="0D0D0D" w:themeColor="text1" w:themeTint="F2"/>
          <w:sz w:val="20"/>
          <w:szCs w:val="20"/>
        </w:rPr>
        <w:t>ca, </w:t>
      </w:r>
      <w:r w:rsidRPr="003C0099">
        <w:rPr>
          <w:rFonts w:eastAsia="Times New Roman" w:cs="Times New Roman"/>
          <w:i/>
          <w:color w:val="0D0D0D" w:themeColor="text1" w:themeTint="F2"/>
          <w:spacing w:val="-1"/>
          <w:sz w:val="20"/>
          <w:szCs w:val="20"/>
        </w:rPr>
        <w:t>señalan q</w:t>
      </w:r>
      <w:r w:rsidRPr="003C0099">
        <w:rPr>
          <w:rFonts w:eastAsia="Times New Roman" w:cs="Times New Roman"/>
          <w:i/>
          <w:color w:val="0D0D0D" w:themeColor="text1" w:themeTint="F2"/>
          <w:spacing w:val="1"/>
          <w:sz w:val="20"/>
          <w:szCs w:val="20"/>
        </w:rPr>
        <w:t>u</w:t>
      </w:r>
      <w:r w:rsidRPr="003C0099">
        <w:rPr>
          <w:rFonts w:eastAsia="Times New Roman" w:cs="Times New Roman"/>
          <w:i/>
          <w:color w:val="0D0D0D" w:themeColor="text1" w:themeTint="F2"/>
          <w:sz w:val="20"/>
          <w:szCs w:val="20"/>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3C0099">
        <w:rPr>
          <w:rFonts w:eastAsia="Times New Roman" w:cs="Times New Roman"/>
          <w:i/>
          <w:color w:val="0D0D0D" w:themeColor="text1" w:themeTint="F2"/>
          <w:spacing w:val="-1"/>
          <w:sz w:val="20"/>
          <w:szCs w:val="20"/>
        </w:rPr>
        <w:t> sin necesidad de</w:t>
      </w:r>
      <w:r w:rsidRPr="003C0099">
        <w:rPr>
          <w:rFonts w:eastAsia="Times New Roman" w:cs="Times New Roman"/>
          <w:i/>
          <w:color w:val="0D0D0D" w:themeColor="text1" w:themeTint="F2"/>
          <w:spacing w:val="1"/>
          <w:sz w:val="20"/>
          <w:szCs w:val="20"/>
        </w:rPr>
        <w:t> e</w:t>
      </w:r>
      <w:r w:rsidRPr="003C0099">
        <w:rPr>
          <w:rFonts w:eastAsia="Times New Roman" w:cs="Times New Roman"/>
          <w:i/>
          <w:color w:val="0D0D0D" w:themeColor="text1" w:themeTint="F2"/>
          <w:sz w:val="20"/>
          <w:szCs w:val="20"/>
        </w:rPr>
        <w:t>la</w:t>
      </w:r>
      <w:r w:rsidRPr="003C0099">
        <w:rPr>
          <w:rFonts w:eastAsia="Times New Roman" w:cs="Times New Roman"/>
          <w:i/>
          <w:color w:val="0D0D0D" w:themeColor="text1" w:themeTint="F2"/>
          <w:spacing w:val="1"/>
          <w:sz w:val="20"/>
          <w:szCs w:val="20"/>
        </w:rPr>
        <w:t>bo</w:t>
      </w:r>
      <w:r w:rsidRPr="003C0099">
        <w:rPr>
          <w:rFonts w:eastAsia="Times New Roman" w:cs="Times New Roman"/>
          <w:i/>
          <w:color w:val="0D0D0D" w:themeColor="text1" w:themeTint="F2"/>
          <w:sz w:val="20"/>
          <w:szCs w:val="20"/>
        </w:rPr>
        <w:t>rar </w:t>
      </w:r>
      <w:r w:rsidRPr="003C0099">
        <w:rPr>
          <w:rFonts w:eastAsia="Times New Roman" w:cs="Times New Roman"/>
          <w:i/>
          <w:color w:val="0D0D0D" w:themeColor="text1" w:themeTint="F2"/>
          <w:spacing w:val="1"/>
          <w:sz w:val="20"/>
          <w:szCs w:val="20"/>
        </w:rPr>
        <w:t>do</w:t>
      </w:r>
      <w:r w:rsidRPr="003C0099">
        <w:rPr>
          <w:rFonts w:eastAsia="Times New Roman" w:cs="Times New Roman"/>
          <w:i/>
          <w:color w:val="0D0D0D" w:themeColor="text1" w:themeTint="F2"/>
          <w:spacing w:val="-2"/>
          <w:sz w:val="20"/>
          <w:szCs w:val="20"/>
        </w:rPr>
        <w:t>c</w:t>
      </w:r>
      <w:r w:rsidRPr="003C0099">
        <w:rPr>
          <w:rFonts w:eastAsia="Times New Roman" w:cs="Times New Roman"/>
          <w:i/>
          <w:color w:val="0D0D0D" w:themeColor="text1" w:themeTint="F2"/>
          <w:spacing w:val="1"/>
          <w:sz w:val="20"/>
          <w:szCs w:val="20"/>
        </w:rPr>
        <w:t>u</w:t>
      </w:r>
      <w:r w:rsidRPr="003C0099">
        <w:rPr>
          <w:rFonts w:eastAsia="Times New Roman" w:cs="Times New Roman"/>
          <w:i/>
          <w:color w:val="0D0D0D" w:themeColor="text1" w:themeTint="F2"/>
          <w:spacing w:val="-1"/>
          <w:sz w:val="20"/>
          <w:szCs w:val="20"/>
        </w:rPr>
        <w:t>m</w:t>
      </w:r>
      <w:r w:rsidRPr="003C0099">
        <w:rPr>
          <w:rFonts w:eastAsia="Times New Roman" w:cs="Times New Roman"/>
          <w:i/>
          <w:color w:val="0D0D0D" w:themeColor="text1" w:themeTint="F2"/>
          <w:spacing w:val="1"/>
          <w:sz w:val="20"/>
          <w:szCs w:val="20"/>
        </w:rPr>
        <w:t>en</w:t>
      </w:r>
      <w:r w:rsidRPr="003C0099">
        <w:rPr>
          <w:rFonts w:eastAsia="Times New Roman" w:cs="Times New Roman"/>
          <w:i/>
          <w:color w:val="0D0D0D" w:themeColor="text1" w:themeTint="F2"/>
          <w:spacing w:val="-2"/>
          <w:sz w:val="20"/>
          <w:szCs w:val="20"/>
        </w:rPr>
        <w:t>t</w:t>
      </w:r>
      <w:r w:rsidRPr="003C0099">
        <w:rPr>
          <w:rFonts w:eastAsia="Times New Roman" w:cs="Times New Roman"/>
          <w:i/>
          <w:color w:val="0D0D0D" w:themeColor="text1" w:themeTint="F2"/>
          <w:spacing w:val="1"/>
          <w:sz w:val="20"/>
          <w:szCs w:val="20"/>
        </w:rPr>
        <w:t>o</w:t>
      </w:r>
      <w:r w:rsidRPr="003C0099">
        <w:rPr>
          <w:rFonts w:eastAsia="Times New Roman" w:cs="Times New Roman"/>
          <w:i/>
          <w:color w:val="0D0D0D" w:themeColor="text1" w:themeTint="F2"/>
          <w:sz w:val="20"/>
          <w:szCs w:val="20"/>
        </w:rPr>
        <w:t>s </w:t>
      </w:r>
      <w:r w:rsidRPr="003C0099">
        <w:rPr>
          <w:rFonts w:eastAsia="Times New Roman" w:cs="Times New Roman"/>
          <w:i/>
          <w:iCs/>
          <w:color w:val="0D0D0D" w:themeColor="text1" w:themeTint="F2"/>
          <w:spacing w:val="1"/>
          <w:sz w:val="20"/>
          <w:szCs w:val="20"/>
        </w:rPr>
        <w:t>a</w:t>
      </w:r>
      <w:r w:rsidRPr="003C0099">
        <w:rPr>
          <w:rFonts w:eastAsia="Times New Roman" w:cs="Times New Roman"/>
          <w:i/>
          <w:iCs/>
          <w:color w:val="0D0D0D" w:themeColor="text1" w:themeTint="F2"/>
          <w:sz w:val="20"/>
          <w:szCs w:val="20"/>
        </w:rPr>
        <w:t>d</w:t>
      </w:r>
      <w:r w:rsidRPr="003C0099">
        <w:rPr>
          <w:rFonts w:eastAsia="Times New Roman" w:cs="Times New Roman"/>
          <w:i/>
          <w:iCs/>
          <w:color w:val="0D0D0D" w:themeColor="text1" w:themeTint="F2"/>
          <w:spacing w:val="1"/>
          <w:sz w:val="20"/>
          <w:szCs w:val="20"/>
        </w:rPr>
        <w:t> ho</w:t>
      </w:r>
      <w:r w:rsidRPr="003C0099">
        <w:rPr>
          <w:rFonts w:eastAsia="Times New Roman" w:cs="Times New Roman"/>
          <w:i/>
          <w:iCs/>
          <w:color w:val="0D0D0D" w:themeColor="text1" w:themeTint="F2"/>
          <w:sz w:val="20"/>
          <w:szCs w:val="20"/>
        </w:rPr>
        <w:t>c </w:t>
      </w:r>
      <w:r w:rsidRPr="003C0099">
        <w:rPr>
          <w:rFonts w:eastAsia="Times New Roman" w:cs="Times New Roman"/>
          <w:i/>
          <w:color w:val="0D0D0D" w:themeColor="text1" w:themeTint="F2"/>
          <w:spacing w:val="1"/>
          <w:sz w:val="20"/>
          <w:szCs w:val="20"/>
        </w:rPr>
        <w:t>pa</w:t>
      </w:r>
      <w:r w:rsidRPr="003C0099">
        <w:rPr>
          <w:rFonts w:eastAsia="Times New Roman" w:cs="Times New Roman"/>
          <w:i/>
          <w:color w:val="0D0D0D" w:themeColor="text1" w:themeTint="F2"/>
          <w:sz w:val="20"/>
          <w:szCs w:val="20"/>
        </w:rPr>
        <w:t xml:space="preserve">ra </w:t>
      </w:r>
      <w:r w:rsidRPr="003C0099">
        <w:rPr>
          <w:rFonts w:eastAsia="Times New Roman" w:cs="Times New Roman"/>
          <w:i/>
          <w:color w:val="0D0D0D" w:themeColor="text1" w:themeTint="F2"/>
          <w:spacing w:val="1"/>
          <w:sz w:val="20"/>
          <w:szCs w:val="20"/>
        </w:rPr>
        <w:t>a</w:t>
      </w:r>
      <w:r w:rsidRPr="003C0099">
        <w:rPr>
          <w:rFonts w:eastAsia="Times New Roman" w:cs="Times New Roman"/>
          <w:i/>
          <w:color w:val="0D0D0D" w:themeColor="text1" w:themeTint="F2"/>
          <w:sz w:val="20"/>
          <w:szCs w:val="20"/>
        </w:rPr>
        <w:t>t</w:t>
      </w:r>
      <w:r w:rsidRPr="003C0099">
        <w:rPr>
          <w:rFonts w:eastAsia="Times New Roman" w:cs="Times New Roman"/>
          <w:i/>
          <w:color w:val="0D0D0D" w:themeColor="text1" w:themeTint="F2"/>
          <w:spacing w:val="-1"/>
          <w:sz w:val="20"/>
          <w:szCs w:val="20"/>
        </w:rPr>
        <w:t>e</w:t>
      </w:r>
      <w:r w:rsidRPr="003C0099">
        <w:rPr>
          <w:rFonts w:eastAsia="Times New Roman" w:cs="Times New Roman"/>
          <w:i/>
          <w:color w:val="0D0D0D" w:themeColor="text1" w:themeTint="F2"/>
          <w:spacing w:val="1"/>
          <w:sz w:val="20"/>
          <w:szCs w:val="20"/>
        </w:rPr>
        <w:t>n</w:t>
      </w:r>
      <w:r w:rsidRPr="003C0099">
        <w:rPr>
          <w:rFonts w:eastAsia="Times New Roman" w:cs="Times New Roman"/>
          <w:i/>
          <w:color w:val="0D0D0D" w:themeColor="text1" w:themeTint="F2"/>
          <w:spacing w:val="-1"/>
          <w:sz w:val="20"/>
          <w:szCs w:val="20"/>
        </w:rPr>
        <w:t>d</w:t>
      </w:r>
      <w:r w:rsidRPr="003C0099">
        <w:rPr>
          <w:rFonts w:eastAsia="Times New Roman" w:cs="Times New Roman"/>
          <w:i/>
          <w:color w:val="0D0D0D" w:themeColor="text1" w:themeTint="F2"/>
          <w:spacing w:val="1"/>
          <w:sz w:val="20"/>
          <w:szCs w:val="20"/>
        </w:rPr>
        <w:t>e</w:t>
      </w:r>
      <w:r w:rsidRPr="003C0099">
        <w:rPr>
          <w:rFonts w:eastAsia="Times New Roman" w:cs="Times New Roman"/>
          <w:i/>
          <w:color w:val="0D0D0D" w:themeColor="text1" w:themeTint="F2"/>
          <w:sz w:val="20"/>
          <w:szCs w:val="20"/>
        </w:rPr>
        <w:t>rl</w:t>
      </w:r>
      <w:r w:rsidRPr="003C0099">
        <w:rPr>
          <w:rFonts w:eastAsia="Times New Roman" w:cs="Times New Roman"/>
          <w:i/>
          <w:color w:val="0D0D0D" w:themeColor="text1" w:themeTint="F2"/>
          <w:spacing w:val="-2"/>
          <w:sz w:val="20"/>
          <w:szCs w:val="20"/>
        </w:rPr>
        <w:t>a</w:t>
      </w:r>
      <w:r w:rsidRPr="003C0099">
        <w:rPr>
          <w:rFonts w:eastAsia="Times New Roman" w:cs="Times New Roman"/>
          <w:i/>
          <w:color w:val="0D0D0D" w:themeColor="text1" w:themeTint="F2"/>
          <w:sz w:val="20"/>
          <w:szCs w:val="20"/>
        </w:rPr>
        <w:t>s s</w:t>
      </w:r>
      <w:r w:rsidRPr="003C0099">
        <w:rPr>
          <w:rFonts w:eastAsia="Times New Roman" w:cs="Times New Roman"/>
          <w:i/>
          <w:color w:val="0D0D0D" w:themeColor="text1" w:themeTint="F2"/>
          <w:spacing w:val="1"/>
          <w:sz w:val="20"/>
          <w:szCs w:val="20"/>
        </w:rPr>
        <w:t>o</w:t>
      </w:r>
      <w:r w:rsidRPr="003C0099">
        <w:rPr>
          <w:rFonts w:eastAsia="Times New Roman" w:cs="Times New Roman"/>
          <w:i/>
          <w:color w:val="0D0D0D" w:themeColor="text1" w:themeTint="F2"/>
          <w:sz w:val="20"/>
          <w:szCs w:val="20"/>
        </w:rPr>
        <w:t>l</w:t>
      </w:r>
      <w:r w:rsidRPr="003C0099">
        <w:rPr>
          <w:rFonts w:eastAsia="Times New Roman" w:cs="Times New Roman"/>
          <w:i/>
          <w:color w:val="0D0D0D" w:themeColor="text1" w:themeTint="F2"/>
          <w:spacing w:val="-1"/>
          <w:sz w:val="20"/>
          <w:szCs w:val="20"/>
        </w:rPr>
        <w:t>i</w:t>
      </w:r>
      <w:r w:rsidRPr="003C0099">
        <w:rPr>
          <w:rFonts w:eastAsia="Times New Roman" w:cs="Times New Roman"/>
          <w:i/>
          <w:color w:val="0D0D0D" w:themeColor="text1" w:themeTint="F2"/>
          <w:sz w:val="20"/>
          <w:szCs w:val="20"/>
        </w:rPr>
        <w:t>cit</w:t>
      </w:r>
      <w:r w:rsidRPr="003C0099">
        <w:rPr>
          <w:rFonts w:eastAsia="Times New Roman" w:cs="Times New Roman"/>
          <w:i/>
          <w:color w:val="0D0D0D" w:themeColor="text1" w:themeTint="F2"/>
          <w:spacing w:val="1"/>
          <w:sz w:val="20"/>
          <w:szCs w:val="20"/>
        </w:rPr>
        <w:t>ude</w:t>
      </w:r>
      <w:r w:rsidRPr="003C0099">
        <w:rPr>
          <w:rFonts w:eastAsia="Times New Roman" w:cs="Times New Roman"/>
          <w:i/>
          <w:color w:val="0D0D0D" w:themeColor="text1" w:themeTint="F2"/>
          <w:sz w:val="20"/>
          <w:szCs w:val="20"/>
        </w:rPr>
        <w:t>s </w:t>
      </w:r>
      <w:r w:rsidRPr="003C0099">
        <w:rPr>
          <w:rFonts w:eastAsia="Times New Roman" w:cs="Times New Roman"/>
          <w:i/>
          <w:color w:val="0D0D0D" w:themeColor="text1" w:themeTint="F2"/>
          <w:spacing w:val="-1"/>
          <w:sz w:val="20"/>
          <w:szCs w:val="20"/>
        </w:rPr>
        <w:t>d</w:t>
      </w:r>
      <w:r w:rsidRPr="003C0099">
        <w:rPr>
          <w:rFonts w:eastAsia="Times New Roman" w:cs="Times New Roman"/>
          <w:i/>
          <w:color w:val="0D0D0D" w:themeColor="text1" w:themeTint="F2"/>
          <w:sz w:val="20"/>
          <w:szCs w:val="20"/>
        </w:rPr>
        <w:t>e i</w:t>
      </w:r>
      <w:r w:rsidRPr="003C0099">
        <w:rPr>
          <w:rFonts w:eastAsia="Times New Roman" w:cs="Times New Roman"/>
          <w:i/>
          <w:color w:val="0D0D0D" w:themeColor="text1" w:themeTint="F2"/>
          <w:spacing w:val="-2"/>
          <w:sz w:val="20"/>
          <w:szCs w:val="20"/>
        </w:rPr>
        <w:t>n</w:t>
      </w:r>
      <w:r w:rsidRPr="003C0099">
        <w:rPr>
          <w:rFonts w:eastAsia="Times New Roman" w:cs="Times New Roman"/>
          <w:i/>
          <w:color w:val="0D0D0D" w:themeColor="text1" w:themeTint="F2"/>
          <w:sz w:val="20"/>
          <w:szCs w:val="20"/>
        </w:rPr>
        <w:t>f</w:t>
      </w:r>
      <w:r w:rsidRPr="003C0099">
        <w:rPr>
          <w:rFonts w:eastAsia="Times New Roman" w:cs="Times New Roman"/>
          <w:i/>
          <w:color w:val="0D0D0D" w:themeColor="text1" w:themeTint="F2"/>
          <w:spacing w:val="1"/>
          <w:sz w:val="20"/>
          <w:szCs w:val="20"/>
        </w:rPr>
        <w:t>o</w:t>
      </w:r>
      <w:r w:rsidRPr="003C0099">
        <w:rPr>
          <w:rFonts w:eastAsia="Times New Roman" w:cs="Times New Roman"/>
          <w:i/>
          <w:color w:val="0D0D0D" w:themeColor="text1" w:themeTint="F2"/>
          <w:sz w:val="20"/>
          <w:szCs w:val="20"/>
        </w:rPr>
        <w:t>r</w:t>
      </w:r>
      <w:r w:rsidRPr="003C0099">
        <w:rPr>
          <w:rFonts w:eastAsia="Times New Roman" w:cs="Times New Roman"/>
          <w:i/>
          <w:color w:val="0D0D0D" w:themeColor="text1" w:themeTint="F2"/>
          <w:spacing w:val="-1"/>
          <w:sz w:val="20"/>
          <w:szCs w:val="20"/>
        </w:rPr>
        <w:t>m</w:t>
      </w:r>
      <w:r w:rsidRPr="003C0099">
        <w:rPr>
          <w:rFonts w:eastAsia="Times New Roman" w:cs="Times New Roman"/>
          <w:i/>
          <w:color w:val="0D0D0D" w:themeColor="text1" w:themeTint="F2"/>
          <w:spacing w:val="1"/>
          <w:sz w:val="20"/>
          <w:szCs w:val="20"/>
        </w:rPr>
        <w:t>a</w:t>
      </w:r>
      <w:r w:rsidRPr="003C0099">
        <w:rPr>
          <w:rFonts w:eastAsia="Times New Roman" w:cs="Times New Roman"/>
          <w:i/>
          <w:color w:val="0D0D0D" w:themeColor="text1" w:themeTint="F2"/>
          <w:sz w:val="20"/>
          <w:szCs w:val="20"/>
        </w:rPr>
        <w:t>ció</w:t>
      </w:r>
      <w:r w:rsidRPr="003C0099">
        <w:rPr>
          <w:rFonts w:eastAsia="Times New Roman" w:cs="Times New Roman"/>
          <w:i/>
          <w:color w:val="0D0D0D" w:themeColor="text1" w:themeTint="F2"/>
          <w:spacing w:val="1"/>
          <w:sz w:val="20"/>
          <w:szCs w:val="20"/>
        </w:rPr>
        <w:t>n</w:t>
      </w:r>
      <w:r w:rsidRPr="003C0099">
        <w:rPr>
          <w:rFonts w:eastAsia="Times New Roman" w:cs="Times New Roman"/>
          <w:i/>
          <w:color w:val="0D0D0D" w:themeColor="text1" w:themeTint="F2"/>
          <w:sz w:val="20"/>
          <w:szCs w:val="20"/>
        </w:rPr>
        <w:t>.”</w:t>
      </w:r>
    </w:p>
    <w:p w14:paraId="5C1CADD4" w14:textId="77777777" w:rsidR="004A3C8A" w:rsidRPr="003C0099" w:rsidRDefault="004A3C8A" w:rsidP="004A3C8A">
      <w:pPr>
        <w:spacing w:after="0" w:line="360" w:lineRule="auto"/>
        <w:rPr>
          <w:rFonts w:eastAsia="Calibri" w:cs="Arial"/>
          <w:bCs/>
          <w:color w:val="0D0D0D" w:themeColor="text1" w:themeTint="F2"/>
          <w:sz w:val="24"/>
          <w:lang w:val="es-ES" w:eastAsia="en-US"/>
        </w:rPr>
      </w:pPr>
    </w:p>
    <w:p w14:paraId="53458D22" w14:textId="77777777" w:rsidR="004A3C8A" w:rsidRPr="003C0099" w:rsidRDefault="004A3C8A" w:rsidP="004A3C8A">
      <w:pPr>
        <w:spacing w:after="0" w:line="360" w:lineRule="auto"/>
        <w:rPr>
          <w:rFonts w:eastAsia="Calibri" w:cs="Arial"/>
          <w:bCs/>
          <w:i/>
          <w:color w:val="0D0D0D" w:themeColor="text1" w:themeTint="F2"/>
          <w:lang w:val="es-ES" w:eastAsia="en-US"/>
        </w:rPr>
      </w:pPr>
      <w:r w:rsidRPr="003C0099">
        <w:rPr>
          <w:rFonts w:eastAsia="Calibri" w:cs="Arial"/>
          <w:bCs/>
          <w:color w:val="0D0D0D" w:themeColor="text1" w:themeTint="F2"/>
          <w:lang w:val="es-ES" w:eastAsia="en-US"/>
        </w:rPr>
        <w:t>Conforme a lo anterior, se advierte que la respuesta al cuestionamiento establecido en el requerimiento de información</w:t>
      </w:r>
      <w:r w:rsidRPr="003C0099">
        <w:rPr>
          <w:rFonts w:eastAsia="Calibri" w:cs="Arial"/>
          <w:b/>
          <w:bCs/>
          <w:color w:val="0D0D0D" w:themeColor="text1" w:themeTint="F2"/>
          <w:lang w:val="es-ES" w:eastAsia="en-US"/>
        </w:rPr>
        <w:t xml:space="preserve">, corresponde a un derecho de petición </w:t>
      </w:r>
      <w:r w:rsidRPr="003C0099">
        <w:rPr>
          <w:rFonts w:eastAsia="Calibri" w:cs="Arial"/>
          <w:bCs/>
          <w:color w:val="0D0D0D" w:themeColor="text1" w:themeTint="F2"/>
          <w:lang w:val="es-ES" w:eastAsia="en-US"/>
        </w:rPr>
        <w:t>y no así una solicitud de acceso a información pública que pueda ser atendida mediante una expresión documental; pues se requiere un pronunciamiento específico, sobre una situación de un servidor público</w:t>
      </w:r>
      <w:r w:rsidRPr="003C0099">
        <w:rPr>
          <w:rFonts w:eastAsia="Calibri" w:cs="Arial"/>
          <w:bCs/>
          <w:i/>
          <w:color w:val="0D0D0D" w:themeColor="text1" w:themeTint="F2"/>
          <w:lang w:val="es-ES" w:eastAsia="en-US"/>
        </w:rPr>
        <w:t>.</w:t>
      </w:r>
    </w:p>
    <w:p w14:paraId="2E443981" w14:textId="77777777" w:rsidR="004A3C8A" w:rsidRPr="003C0099" w:rsidRDefault="004A3C8A" w:rsidP="004A3C8A">
      <w:pPr>
        <w:spacing w:after="0" w:line="360" w:lineRule="auto"/>
        <w:rPr>
          <w:rFonts w:eastAsia="Calibri" w:cs="Arial"/>
          <w:bCs/>
          <w:i/>
          <w:color w:val="0D0D0D" w:themeColor="text1" w:themeTint="F2"/>
          <w:sz w:val="24"/>
          <w:lang w:val="es-ES" w:eastAsia="en-US"/>
        </w:rPr>
      </w:pPr>
    </w:p>
    <w:p w14:paraId="0A5ECFC6" w14:textId="77777777" w:rsidR="004A3C8A" w:rsidRPr="003C0099" w:rsidRDefault="004A3C8A" w:rsidP="004A3C8A">
      <w:pPr>
        <w:spacing w:after="0" w:line="360" w:lineRule="auto"/>
        <w:rPr>
          <w:rFonts w:eastAsia="Calibri" w:cs="Arial"/>
          <w:bCs/>
          <w:color w:val="0D0D0D" w:themeColor="text1" w:themeTint="F2"/>
          <w:lang w:val="es-ES" w:eastAsia="en-US"/>
        </w:rPr>
      </w:pPr>
      <w:r w:rsidRPr="003C0099">
        <w:rPr>
          <w:rFonts w:eastAsia="Calibri" w:cs="Arial"/>
          <w:bCs/>
          <w:color w:val="0D0D0D" w:themeColor="text1" w:themeTint="F2"/>
          <w:lang w:val="es-ES" w:eastAsia="en-US"/>
        </w:rPr>
        <w:t xml:space="preserve">Lo anterior toma relevancia, pues según Trujillo, Humberto (2019), en el “Diccionario de Transparencia y Acceso a la Información Pública” (p. 122), el derecho de petición, es una </w:t>
      </w:r>
      <w:r w:rsidRPr="003C0099">
        <w:rPr>
          <w:rFonts w:eastAsia="Calibri" w:cs="Arial"/>
          <w:bCs/>
          <w:color w:val="0D0D0D" w:themeColor="text1" w:themeTint="F2"/>
          <w:lang w:val="es-ES" w:eastAsia="en-US"/>
        </w:rPr>
        <w:lastRenderedPageBreak/>
        <w:t xml:space="preserve">prerrogativa constitucional que tienen las personas para solicitar o reclamar a las autoridades públicas; por lo que, las instancias deben recibirlas y realizar una respuesta. </w:t>
      </w:r>
    </w:p>
    <w:p w14:paraId="7255A476" w14:textId="77777777" w:rsidR="004A3C8A" w:rsidRPr="003C0099" w:rsidRDefault="004A3C8A" w:rsidP="004A3C8A">
      <w:pPr>
        <w:spacing w:after="0" w:line="360" w:lineRule="auto"/>
        <w:rPr>
          <w:rFonts w:eastAsia="Calibri" w:cs="Arial"/>
          <w:bCs/>
          <w:color w:val="0D0D0D" w:themeColor="text1" w:themeTint="F2"/>
          <w:lang w:val="es-ES" w:eastAsia="en-US"/>
        </w:rPr>
      </w:pPr>
    </w:p>
    <w:p w14:paraId="5A933249" w14:textId="77777777" w:rsidR="004A3C8A" w:rsidRPr="003C0099" w:rsidRDefault="004A3C8A" w:rsidP="004A3C8A">
      <w:pPr>
        <w:spacing w:after="0" w:line="360" w:lineRule="auto"/>
        <w:rPr>
          <w:rFonts w:eastAsia="Calibri" w:cs="Arial"/>
          <w:bCs/>
          <w:color w:val="0D0D0D" w:themeColor="text1" w:themeTint="F2"/>
          <w:lang w:eastAsia="en-US"/>
        </w:rPr>
      </w:pPr>
      <w:r w:rsidRPr="003C0099">
        <w:rPr>
          <w:rFonts w:eastAsia="Calibri" w:cs="Arial"/>
          <w:bCs/>
          <w:color w:val="0D0D0D" w:themeColor="text1" w:themeTint="F2"/>
          <w:lang w:val="es-ES" w:eastAsia="en-US"/>
        </w:rPr>
        <w:t xml:space="preserve">Además, </w:t>
      </w:r>
      <w:r w:rsidRPr="003C0099">
        <w:rPr>
          <w:rFonts w:eastAsia="Calibri" w:cs="Arial"/>
          <w:bCs/>
          <w:color w:val="0D0D0D" w:themeColor="text1" w:themeTint="F2"/>
          <w:lang w:eastAsia="en-US"/>
        </w:rPr>
        <w:t xml:space="preserve">la Jurisprudencia XXI.1o.P.A. J/27, de los Tribunales Colegiados de Circuito, localizada en la página 1406, del Semanario Judicial de la Federación y su Gaceta, Tomo </w:t>
      </w:r>
      <w:r w:rsidRPr="003C0099">
        <w:rPr>
          <w:rFonts w:ascii="Calibri" w:eastAsia="Calibri" w:hAnsi="Calibri" w:cs="Calibri"/>
          <w:color w:val="0D0D0D" w:themeColor="text1" w:themeTint="F2"/>
          <w:lang w:val="es-ES" w:eastAsia="en-US"/>
        </w:rPr>
        <w:t>XXXIII</w:t>
      </w:r>
      <w:r w:rsidRPr="003C0099">
        <w:rPr>
          <w:rFonts w:eastAsia="Calibri" w:cs="Arial"/>
          <w:bCs/>
          <w:color w:val="0D0D0D" w:themeColor="text1" w:themeTint="F2"/>
          <w:lang w:eastAsia="en-US"/>
        </w:rPr>
        <w:t>, marzo 2011, Novena Época, establece lo siguiente:</w:t>
      </w:r>
    </w:p>
    <w:p w14:paraId="5BFCF841" w14:textId="77777777" w:rsidR="004A3C8A" w:rsidRPr="003C0099" w:rsidRDefault="004A3C8A" w:rsidP="004A3C8A">
      <w:pPr>
        <w:spacing w:after="0" w:line="360" w:lineRule="auto"/>
        <w:rPr>
          <w:rFonts w:eastAsia="Calibri" w:cs="Arial"/>
          <w:bCs/>
          <w:color w:val="0D0D0D" w:themeColor="text1" w:themeTint="F2"/>
          <w:lang w:eastAsia="en-US"/>
        </w:rPr>
      </w:pPr>
    </w:p>
    <w:p w14:paraId="12CCB85F" w14:textId="77777777" w:rsidR="004A3C8A" w:rsidRPr="003C0099" w:rsidRDefault="004A3C8A" w:rsidP="004A3C8A">
      <w:pPr>
        <w:spacing w:after="0" w:line="360" w:lineRule="auto"/>
        <w:ind w:left="567" w:right="567"/>
        <w:rPr>
          <w:rFonts w:eastAsia="Calibri" w:cs="Arial"/>
          <w:bCs/>
          <w:i/>
          <w:color w:val="0D0D0D" w:themeColor="text1" w:themeTint="F2"/>
          <w:sz w:val="20"/>
          <w:szCs w:val="20"/>
          <w:lang w:val="es-ES" w:eastAsia="en-US"/>
        </w:rPr>
      </w:pPr>
      <w:r w:rsidRPr="003C0099">
        <w:rPr>
          <w:rFonts w:eastAsia="Calibri" w:cs="Arial"/>
          <w:b/>
          <w:bCs/>
          <w:i/>
          <w:color w:val="0D0D0D" w:themeColor="text1" w:themeTint="F2"/>
          <w:sz w:val="20"/>
          <w:szCs w:val="20"/>
          <w:lang w:val="es-ES" w:eastAsia="en-US"/>
        </w:rPr>
        <w:t xml:space="preserve">“DERECHO DE PETICIÓN. SUS ELEMENTOS. </w:t>
      </w:r>
      <w:r w:rsidRPr="003C0099">
        <w:rPr>
          <w:rFonts w:eastAsia="Calibri" w:cs="Arial"/>
          <w:bCs/>
          <w:i/>
          <w:color w:val="0D0D0D" w:themeColor="text1" w:themeTint="F2"/>
          <w:sz w:val="20"/>
          <w:szCs w:val="20"/>
          <w:lang w:val="es-ES" w:eastAsia="en-US"/>
        </w:rPr>
        <w:t>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14:paraId="52C9D76C" w14:textId="77777777" w:rsidR="004A3C8A" w:rsidRPr="003C0099" w:rsidRDefault="004A3C8A" w:rsidP="004A3C8A">
      <w:pPr>
        <w:spacing w:after="0" w:line="360" w:lineRule="auto"/>
        <w:rPr>
          <w:rFonts w:eastAsia="Calibri" w:cs="Arial"/>
          <w:bCs/>
          <w:color w:val="0D0D0D" w:themeColor="text1" w:themeTint="F2"/>
          <w:sz w:val="24"/>
          <w:lang w:val="es-ES" w:eastAsia="en-US"/>
        </w:rPr>
      </w:pPr>
    </w:p>
    <w:p w14:paraId="245A2BF1" w14:textId="77777777" w:rsidR="004A3C8A" w:rsidRPr="003C0099" w:rsidRDefault="004A3C8A" w:rsidP="004A3C8A">
      <w:pPr>
        <w:spacing w:after="0" w:line="360" w:lineRule="auto"/>
        <w:rPr>
          <w:rFonts w:eastAsia="Calibri" w:cs="Arial"/>
          <w:bCs/>
          <w:color w:val="0D0D0D" w:themeColor="text1" w:themeTint="F2"/>
          <w:lang w:val="es-ES" w:eastAsia="en-US"/>
        </w:rPr>
      </w:pPr>
      <w:r w:rsidRPr="003C0099">
        <w:rPr>
          <w:rFonts w:eastAsia="Calibri" w:cs="Arial"/>
          <w:bCs/>
          <w:color w:val="0D0D0D" w:themeColor="text1" w:themeTint="F2"/>
          <w:lang w:val="es-ES" w:eastAsia="en-US"/>
        </w:rPr>
        <w:t>Así, se advierte que el derecho de petición, es una prerrogativa consagrada en el artículo 8° de la Constitución Política de los Estados Unidos Mexicanos, con el fin de que cualquier ciudadano o persona, presente una petición de manera pacífica y respetuosa (pregunta, consulta, duda, entre otros), ante una autoridad, por lo que, tiene derecho de recibir una respuesta.</w:t>
      </w:r>
    </w:p>
    <w:p w14:paraId="325490FF" w14:textId="77777777" w:rsidR="004A3C8A" w:rsidRPr="003C0099" w:rsidRDefault="004A3C8A" w:rsidP="004A3C8A">
      <w:pPr>
        <w:spacing w:after="0" w:line="360" w:lineRule="auto"/>
        <w:rPr>
          <w:rFonts w:eastAsia="Calibri" w:cs="Arial"/>
          <w:bCs/>
          <w:i/>
          <w:color w:val="0D0D0D" w:themeColor="text1" w:themeTint="F2"/>
          <w:sz w:val="24"/>
          <w:lang w:val="es-ES" w:eastAsia="en-US"/>
        </w:rPr>
      </w:pPr>
    </w:p>
    <w:p w14:paraId="714B554F" w14:textId="3E315E34" w:rsidR="004A3C8A" w:rsidRPr="003C0099" w:rsidRDefault="004A3C8A" w:rsidP="004A3C8A">
      <w:pPr>
        <w:spacing w:after="0" w:line="360" w:lineRule="auto"/>
        <w:rPr>
          <w:rFonts w:eastAsia="Calibri" w:cs="Arial"/>
          <w:b/>
          <w:bCs/>
          <w:color w:val="0D0D0D" w:themeColor="text1" w:themeTint="F2"/>
          <w:lang w:val="es-ES" w:eastAsia="en-US"/>
        </w:rPr>
      </w:pPr>
      <w:r w:rsidRPr="003C0099">
        <w:rPr>
          <w:rFonts w:eastAsia="Calibri" w:cs="Arial"/>
          <w:b/>
          <w:bCs/>
          <w:color w:val="0D0D0D" w:themeColor="text1" w:themeTint="F2"/>
          <w:lang w:val="es-ES" w:eastAsia="en-US"/>
        </w:rPr>
        <w:t xml:space="preserve">De tal circunstancia, se puede colegir que los requerimientos realizados por el ahora Recurrente, se tratan de una consulta, que implicaría que el Sujeto Obligado realizara un pronunciamiento categórico y emitiera un documento </w:t>
      </w:r>
      <w:r w:rsidRPr="003C0099">
        <w:rPr>
          <w:rFonts w:eastAsia="Calibri" w:cs="Arial"/>
          <w:b/>
          <w:bCs/>
          <w:i/>
          <w:color w:val="0D0D0D" w:themeColor="text1" w:themeTint="F2"/>
          <w:lang w:val="es-ES" w:eastAsia="en-US"/>
        </w:rPr>
        <w:t xml:space="preserve">ad hoc, </w:t>
      </w:r>
      <w:r w:rsidRPr="003C0099">
        <w:rPr>
          <w:rFonts w:eastAsia="Calibri" w:cs="Arial"/>
          <w:b/>
          <w:bCs/>
          <w:color w:val="0D0D0D" w:themeColor="text1" w:themeTint="F2"/>
          <w:lang w:val="es-ES" w:eastAsia="en-US"/>
        </w:rPr>
        <w:t>en atención a la petición, y, por lo tanto, no puede ser atendido por vía del derecho de acceso a la información pública.</w:t>
      </w:r>
    </w:p>
    <w:p w14:paraId="4BFC3016" w14:textId="77777777" w:rsidR="004A3C8A" w:rsidRPr="003C0099" w:rsidRDefault="004A3C8A">
      <w:pPr>
        <w:spacing w:after="0" w:line="360" w:lineRule="auto"/>
        <w:rPr>
          <w:lang w:val="es-ES"/>
        </w:rPr>
      </w:pPr>
    </w:p>
    <w:p w14:paraId="437E3DCC" w14:textId="5E638F53" w:rsidR="004A3C8A" w:rsidRPr="003C0099" w:rsidRDefault="004A3C8A" w:rsidP="004A3C8A">
      <w:pPr>
        <w:spacing w:after="0" w:line="360" w:lineRule="auto"/>
        <w:rPr>
          <w:rFonts w:eastAsia="Calibri" w:cs="Arial"/>
          <w:b/>
          <w:color w:val="0D0D0D" w:themeColor="text1" w:themeTint="F2"/>
          <w:lang w:val="es-ES" w:eastAsia="en-US"/>
        </w:rPr>
      </w:pPr>
      <w:r w:rsidRPr="003C0099">
        <w:rPr>
          <w:rFonts w:eastAsia="Calibri" w:cs="Arial"/>
          <w:color w:val="0D0D0D" w:themeColor="text1" w:themeTint="F2"/>
          <w:lang w:val="es-ES" w:eastAsia="en-US"/>
        </w:rPr>
        <w:t>En consecuencia, en virtud de que la solicitud de acceso a la información se trata de un derecho de petición, que implicaría que el Sujeto Obligado realizará un pronunciamiento específico y elaborara un documento que dé contestación a dicha consulta</w:t>
      </w:r>
      <w:r w:rsidRPr="003C0099">
        <w:rPr>
          <w:rFonts w:eastAsia="Calibri" w:cs="Arial"/>
          <w:b/>
          <w:color w:val="0D0D0D" w:themeColor="text1" w:themeTint="F2"/>
          <w:lang w:val="es-ES" w:eastAsia="en-US"/>
        </w:rPr>
        <w:t>, se</w:t>
      </w:r>
      <w:r w:rsidRPr="003C0099">
        <w:rPr>
          <w:rFonts w:eastAsia="Calibri" w:cs="Arial"/>
          <w:color w:val="0D0D0D" w:themeColor="text1" w:themeTint="F2"/>
          <w:lang w:val="es-ES" w:eastAsia="en-US"/>
        </w:rPr>
        <w:t xml:space="preserve"> </w:t>
      </w:r>
      <w:r w:rsidRPr="003C0099">
        <w:rPr>
          <w:rFonts w:eastAsia="Calibri" w:cs="Arial"/>
          <w:b/>
          <w:color w:val="0D0D0D" w:themeColor="text1" w:themeTint="F2"/>
          <w:lang w:val="es-ES" w:eastAsia="en-US"/>
        </w:rPr>
        <w:t>actualiza la causal de desechamiento establecida en el artículo 191, fracción VI, de la Ley de Transparencia y Acceso a la Información Pública del Estado de México y Municipios; sin embargo, toda vez que fue necesario admitir el Recurso, para tomar la determinación adecuada, lo procedente es sobreseer el mismo.</w:t>
      </w:r>
    </w:p>
    <w:p w14:paraId="3B88C52E" w14:textId="77777777" w:rsidR="00323E01" w:rsidRPr="003C0099" w:rsidRDefault="00323E01">
      <w:pPr>
        <w:tabs>
          <w:tab w:val="left" w:pos="4962"/>
        </w:tabs>
        <w:spacing w:after="0" w:line="360" w:lineRule="auto"/>
        <w:rPr>
          <w:color w:val="000000"/>
        </w:rPr>
      </w:pPr>
    </w:p>
    <w:p w14:paraId="09013CE6" w14:textId="2C7E399F" w:rsidR="00323E01" w:rsidRPr="003C0099" w:rsidRDefault="0084719D">
      <w:pPr>
        <w:tabs>
          <w:tab w:val="left" w:pos="4962"/>
        </w:tabs>
        <w:spacing w:after="0" w:line="360" w:lineRule="auto"/>
        <w:rPr>
          <w:color w:val="000000"/>
        </w:rPr>
      </w:pPr>
      <w:r w:rsidRPr="003C0099">
        <w:rPr>
          <w:color w:val="000000"/>
        </w:rPr>
        <w:t>No se omite mencionar que tanto en respuesta</w:t>
      </w:r>
      <w:r w:rsidR="004A3C8A" w:rsidRPr="003C0099">
        <w:rPr>
          <w:color w:val="000000"/>
        </w:rPr>
        <w:t>,</w:t>
      </w:r>
      <w:r w:rsidRPr="003C0099">
        <w:rPr>
          <w:color w:val="000000"/>
        </w:rPr>
        <w:t xml:space="preserve"> como en informe justificado el Sujeto Obligado indic</w:t>
      </w:r>
      <w:r w:rsidRPr="003C0099">
        <w:rPr>
          <w:color w:val="000000"/>
        </w:rPr>
        <w:t>ó que era incompetente para conocer de la información requerida, por tanto, se dejan a salvo sus derechos para que, en caso de así atender a sus intereses realice una nueva solicitud de información, en la que requiera documentos que obren en los archivos d</w:t>
      </w:r>
      <w:r w:rsidRPr="003C0099">
        <w:rPr>
          <w:color w:val="000000"/>
        </w:rPr>
        <w:t>e la Secretaría de Salud, o del Instituto de Salud del Estado de México (ISEM) o bien, ante la Oficialía Mayor.</w:t>
      </w:r>
    </w:p>
    <w:p w14:paraId="0F89E61A" w14:textId="77777777" w:rsidR="00323E01" w:rsidRPr="003C0099" w:rsidRDefault="00323E01">
      <w:pPr>
        <w:tabs>
          <w:tab w:val="left" w:pos="4962"/>
        </w:tabs>
        <w:spacing w:after="0" w:line="360" w:lineRule="auto"/>
        <w:rPr>
          <w:color w:val="000000"/>
        </w:rPr>
      </w:pPr>
    </w:p>
    <w:p w14:paraId="384D1CCE" w14:textId="2F708145" w:rsidR="00323E01" w:rsidRPr="003C0099" w:rsidRDefault="004A3C8A">
      <w:pPr>
        <w:pStyle w:val="Ttulo2"/>
        <w:spacing w:before="0" w:after="0"/>
        <w:rPr>
          <w:b w:val="0"/>
          <w:bCs w:val="0"/>
        </w:rPr>
      </w:pPr>
      <w:bookmarkStart w:id="11" w:name="_Toc214613796"/>
      <w:r w:rsidRPr="003C0099">
        <w:t>CUARTOO. Decisión</w:t>
      </w:r>
      <w:bookmarkEnd w:id="11"/>
    </w:p>
    <w:p w14:paraId="0156EEDF" w14:textId="77777777" w:rsidR="00323E01" w:rsidRPr="003C0099" w:rsidRDefault="00323E01">
      <w:pPr>
        <w:spacing w:after="0" w:line="360" w:lineRule="auto"/>
        <w:rPr>
          <w:b/>
          <w:bCs/>
        </w:rPr>
      </w:pPr>
    </w:p>
    <w:p w14:paraId="7F1680ED" w14:textId="77777777" w:rsidR="00323E01" w:rsidRPr="003C0099" w:rsidRDefault="0084719D">
      <w:pPr>
        <w:spacing w:after="0" w:line="360" w:lineRule="auto"/>
      </w:pPr>
      <w:bookmarkStart w:id="12" w:name="_heading=h.vwfyvmk8gqqw" w:colFirst="0" w:colLast="0"/>
      <w:bookmarkEnd w:id="12"/>
      <w:r w:rsidRPr="003C0099">
        <w:t xml:space="preserve">Con fundamento en los artículos 186, fracción I y 192 fracción IV; en relación con el 191, fracción VI, de la Ley de Transparencia y Acceso a la Información Pública del Estado de México y Municipios, este Instituto considera procedente </w:t>
      </w:r>
      <w:r w:rsidRPr="003C0099">
        <w:rPr>
          <w:b/>
          <w:bCs/>
        </w:rPr>
        <w:t xml:space="preserve">SOBRESEER </w:t>
      </w:r>
      <w:r w:rsidRPr="003C0099">
        <w:t>el Recurso</w:t>
      </w:r>
      <w:r w:rsidRPr="003C0099">
        <w:t xml:space="preserve"> de Revisión </w:t>
      </w:r>
      <w:r w:rsidRPr="003C0099">
        <w:rPr>
          <w:b/>
          <w:bCs/>
        </w:rPr>
        <w:t>09571/INFOEM/IP/RR/2025</w:t>
      </w:r>
      <w:r w:rsidRPr="003C0099">
        <w:t xml:space="preserve">, ya que, una vez admitido el Recurso de Revisión surgió una causal de improcedencia, dado que lo solicitado se trata de una consulta. </w:t>
      </w:r>
    </w:p>
    <w:p w14:paraId="1D5D12D7" w14:textId="77777777" w:rsidR="00323E01" w:rsidRPr="003C0099" w:rsidRDefault="00323E01">
      <w:pPr>
        <w:tabs>
          <w:tab w:val="left" w:pos="4962"/>
        </w:tabs>
        <w:spacing w:after="0" w:line="360" w:lineRule="auto"/>
      </w:pPr>
    </w:p>
    <w:p w14:paraId="16A8822C" w14:textId="77777777" w:rsidR="00323E01" w:rsidRPr="003C0099" w:rsidRDefault="0084719D">
      <w:pPr>
        <w:spacing w:after="0" w:line="360" w:lineRule="auto"/>
        <w:rPr>
          <w:b/>
          <w:bCs/>
          <w:u w:val="single"/>
        </w:rPr>
      </w:pPr>
      <w:r w:rsidRPr="003C0099">
        <w:rPr>
          <w:b/>
          <w:bCs/>
          <w:u w:val="single"/>
        </w:rPr>
        <w:t>Términos de la Resolución para conocimiento de la parte Recurrente</w:t>
      </w:r>
    </w:p>
    <w:p w14:paraId="59969113" w14:textId="77777777" w:rsidR="00323E01" w:rsidRPr="003C0099" w:rsidRDefault="00323E01">
      <w:pPr>
        <w:spacing w:after="0" w:line="360" w:lineRule="auto"/>
        <w:rPr>
          <w:b/>
          <w:bCs/>
          <w:u w:val="single"/>
        </w:rPr>
      </w:pPr>
    </w:p>
    <w:p w14:paraId="00485D7F" w14:textId="77777777" w:rsidR="00323E01" w:rsidRPr="003C0099" w:rsidRDefault="0084719D">
      <w:pPr>
        <w:widowControl w:val="0"/>
        <w:spacing w:after="0" w:line="360" w:lineRule="auto"/>
        <w:rPr>
          <w:color w:val="000000"/>
          <w:u w:val="single"/>
        </w:rPr>
      </w:pPr>
      <w:r w:rsidRPr="003C0099">
        <w:rPr>
          <w:color w:val="000000"/>
          <w:u w:val="single"/>
        </w:rPr>
        <w:t xml:space="preserve">Se le hace del </w:t>
      </w:r>
      <w:r w:rsidRPr="003C0099">
        <w:rPr>
          <w:color w:val="000000"/>
          <w:u w:val="single"/>
        </w:rPr>
        <w:t>conocimiento a la parte Recurrente que, el derecho de acceso a la información pública consiste en que la población pueda obtener la información o documentación que ya fue generada y deba existir en los archivos del Sujeto Obligado; es decir, que la Secreta</w:t>
      </w:r>
      <w:r w:rsidRPr="003C0099">
        <w:rPr>
          <w:color w:val="000000"/>
          <w:u w:val="single"/>
        </w:rPr>
        <w:t xml:space="preserve">ría de Salud no deba generar documentos nuevos, o contestar cuestionamientos, ya que, esta actividad corresponde al derecho de petición, que se ejerce mediante otras vías. </w:t>
      </w:r>
    </w:p>
    <w:p w14:paraId="73379192" w14:textId="77777777" w:rsidR="00323E01" w:rsidRPr="003C0099" w:rsidRDefault="00323E01">
      <w:pPr>
        <w:widowControl w:val="0"/>
        <w:spacing w:after="0" w:line="360" w:lineRule="auto"/>
        <w:rPr>
          <w:color w:val="000000"/>
          <w:u w:val="single"/>
        </w:rPr>
      </w:pPr>
    </w:p>
    <w:p w14:paraId="35D89656" w14:textId="77777777" w:rsidR="00323E01" w:rsidRPr="003C0099" w:rsidRDefault="0084719D">
      <w:pPr>
        <w:widowControl w:val="0"/>
        <w:spacing w:after="0" w:line="360" w:lineRule="auto"/>
        <w:rPr>
          <w:color w:val="000000"/>
          <w:u w:val="single"/>
        </w:rPr>
      </w:pPr>
      <w:r w:rsidRPr="003C0099">
        <w:rPr>
          <w:color w:val="000000"/>
          <w:u w:val="single"/>
        </w:rPr>
        <w:t>Se dejan a salvo sus derechos para que, en caso de así atender a sus intereses rea</w:t>
      </w:r>
      <w:r w:rsidRPr="003C0099">
        <w:rPr>
          <w:color w:val="000000"/>
          <w:u w:val="single"/>
        </w:rPr>
        <w:t>lice una nueva solicitud de información, en la que requiera documentos que obren en los archivos de la Secretaría de Salud, o del Instituto de Salud del Estado de México (ISEM) o bien, ante la Oficialía Mayor.</w:t>
      </w:r>
    </w:p>
    <w:p w14:paraId="510C32B0" w14:textId="77777777" w:rsidR="00323E01" w:rsidRPr="003C0099" w:rsidRDefault="00323E01">
      <w:pPr>
        <w:widowControl w:val="0"/>
        <w:spacing w:after="0" w:line="360" w:lineRule="auto"/>
        <w:rPr>
          <w:color w:val="000000"/>
          <w:u w:val="single"/>
        </w:rPr>
      </w:pPr>
    </w:p>
    <w:p w14:paraId="5C0174C9" w14:textId="77777777" w:rsidR="00323E01" w:rsidRPr="003C0099" w:rsidRDefault="0084719D">
      <w:pPr>
        <w:widowControl w:val="0"/>
        <w:spacing w:after="0" w:line="360" w:lineRule="auto"/>
        <w:rPr>
          <w:u w:val="single"/>
        </w:rPr>
      </w:pPr>
      <w:r w:rsidRPr="003C0099">
        <w:rPr>
          <w:color w:val="000000"/>
          <w:u w:val="single"/>
        </w:rPr>
        <w:t>La</w:t>
      </w:r>
      <w:r w:rsidRPr="003C0099">
        <w:rPr>
          <w:u w:val="single"/>
        </w:rPr>
        <w:t xml:space="preserve"> labor del Instituto es apoyar a la poblaci</w:t>
      </w:r>
      <w:r w:rsidRPr="003C0099">
        <w:rPr>
          <w:u w:val="single"/>
        </w:rPr>
        <w:t>ón a acceder a la información y garantizar la protección de sus datos.</w:t>
      </w:r>
    </w:p>
    <w:p w14:paraId="3EEA1D9C" w14:textId="77777777" w:rsidR="00323E01" w:rsidRPr="003C0099" w:rsidRDefault="00323E01">
      <w:pPr>
        <w:widowControl w:val="0"/>
        <w:spacing w:after="0" w:line="360" w:lineRule="auto"/>
      </w:pPr>
    </w:p>
    <w:p w14:paraId="367EB44D" w14:textId="77777777" w:rsidR="00323E01" w:rsidRPr="003C0099" w:rsidRDefault="0084719D">
      <w:pPr>
        <w:spacing w:after="0" w:line="360" w:lineRule="auto"/>
      </w:pPr>
      <w:r w:rsidRPr="003C0099">
        <w:t>Por lo expuesto y fundado, este Pleno:</w:t>
      </w:r>
    </w:p>
    <w:p w14:paraId="35D7C484" w14:textId="77777777" w:rsidR="00323E01" w:rsidRPr="003C0099" w:rsidRDefault="00323E01">
      <w:pPr>
        <w:spacing w:after="0" w:line="360" w:lineRule="auto"/>
      </w:pPr>
    </w:p>
    <w:p w14:paraId="319ACDED" w14:textId="77777777" w:rsidR="00323E01" w:rsidRPr="003C0099" w:rsidRDefault="0084719D">
      <w:pPr>
        <w:pStyle w:val="Ttulo1"/>
        <w:spacing w:before="0" w:after="0"/>
        <w:rPr>
          <w:b w:val="0"/>
          <w:bCs w:val="0"/>
          <w:sz w:val="22"/>
          <w:szCs w:val="22"/>
        </w:rPr>
      </w:pPr>
      <w:bookmarkStart w:id="13" w:name="_Toc214613797"/>
      <w:r w:rsidRPr="003C0099">
        <w:rPr>
          <w:sz w:val="22"/>
          <w:szCs w:val="22"/>
        </w:rPr>
        <w:t>R E S U E L V E</w:t>
      </w:r>
      <w:bookmarkEnd w:id="13"/>
    </w:p>
    <w:p w14:paraId="1ADACC00" w14:textId="77777777" w:rsidR="00323E01" w:rsidRPr="003C0099" w:rsidRDefault="00323E01">
      <w:pPr>
        <w:spacing w:after="0" w:line="360" w:lineRule="auto"/>
      </w:pPr>
    </w:p>
    <w:p w14:paraId="56D0D9BD" w14:textId="1B9DCBDF" w:rsidR="00323E01" w:rsidRPr="003C0099" w:rsidRDefault="0084719D">
      <w:pPr>
        <w:spacing w:after="0" w:line="360" w:lineRule="auto"/>
      </w:pPr>
      <w:r w:rsidRPr="003C0099">
        <w:rPr>
          <w:b/>
          <w:bCs/>
        </w:rPr>
        <w:t xml:space="preserve">PRIMERO. </w:t>
      </w:r>
      <w:r w:rsidRPr="003C0099">
        <w:t xml:space="preserve">Se </w:t>
      </w:r>
      <w:r w:rsidRPr="003C0099">
        <w:rPr>
          <w:b/>
          <w:bCs/>
        </w:rPr>
        <w:t xml:space="preserve">SOBRESEE </w:t>
      </w:r>
      <w:r w:rsidRPr="003C0099">
        <w:t xml:space="preserve">el Recurso de Revisión </w:t>
      </w:r>
      <w:r w:rsidRPr="003C0099">
        <w:rPr>
          <w:b/>
          <w:bCs/>
        </w:rPr>
        <w:t>09571/INFOEM/IP/RR/2025</w:t>
      </w:r>
      <w:r w:rsidRPr="003C0099">
        <w:t>, de conformidad con el artículo 192, fracción IV, por actua</w:t>
      </w:r>
      <w:r w:rsidRPr="003C0099">
        <w:t xml:space="preserve">lizarse la causal de improcedencia, establecida en el artículo 191, fracción VI, de la Ley de Transparencia y Acceso a la Información Pública del Estado de México y Municipios, en términos de los Considerandos </w:t>
      </w:r>
      <w:r w:rsidRPr="003C0099">
        <w:rPr>
          <w:b/>
          <w:bCs/>
        </w:rPr>
        <w:t>TERCERO</w:t>
      </w:r>
      <w:r w:rsidR="004A3C8A" w:rsidRPr="003C0099">
        <w:rPr>
          <w:b/>
          <w:bCs/>
        </w:rPr>
        <w:t xml:space="preserve"> y CUARTO</w:t>
      </w:r>
      <w:r w:rsidRPr="003C0099">
        <w:t xml:space="preserve"> de esta Resolución, </w:t>
      </w:r>
    </w:p>
    <w:p w14:paraId="253E1B47" w14:textId="77777777" w:rsidR="00323E01" w:rsidRPr="003C0099" w:rsidRDefault="00323E01">
      <w:pPr>
        <w:spacing w:after="0" w:line="360" w:lineRule="auto"/>
      </w:pPr>
    </w:p>
    <w:p w14:paraId="5AA930AF" w14:textId="77777777" w:rsidR="00323E01" w:rsidRPr="003C0099" w:rsidRDefault="0084719D">
      <w:pPr>
        <w:spacing w:after="0" w:line="360" w:lineRule="auto"/>
        <w:ind w:right="-28"/>
        <w:rPr>
          <w:b/>
          <w:bCs/>
          <w:color w:val="000000"/>
        </w:rPr>
      </w:pPr>
      <w:r w:rsidRPr="003C0099">
        <w:rPr>
          <w:b/>
          <w:bCs/>
          <w:color w:val="000000"/>
        </w:rPr>
        <w:lastRenderedPageBreak/>
        <w:t xml:space="preserve">SEGUNDO. NOTIFÍQUESE POR SAIMEX </w:t>
      </w:r>
      <w:r w:rsidRPr="003C0099">
        <w:rPr>
          <w:color w:val="000000"/>
        </w:rPr>
        <w:t>la presente resolución al Titular de la Unidad de Transparencia del Sujeto Obligado.</w:t>
      </w:r>
    </w:p>
    <w:p w14:paraId="27BD84C4" w14:textId="77777777" w:rsidR="00323E01" w:rsidRPr="003C0099" w:rsidRDefault="00323E01">
      <w:pPr>
        <w:spacing w:after="0" w:line="360" w:lineRule="auto"/>
        <w:rPr>
          <w:color w:val="000000"/>
        </w:rPr>
      </w:pPr>
    </w:p>
    <w:p w14:paraId="2C9B08DA" w14:textId="77777777" w:rsidR="00323E01" w:rsidRPr="003C0099" w:rsidRDefault="0084719D">
      <w:pPr>
        <w:spacing w:after="0" w:line="360" w:lineRule="auto"/>
      </w:pPr>
      <w:r w:rsidRPr="003C0099">
        <w:rPr>
          <w:b/>
          <w:bCs/>
          <w:color w:val="000000"/>
        </w:rPr>
        <w:t xml:space="preserve">TERCERO. </w:t>
      </w:r>
      <w:r w:rsidRPr="003C0099">
        <w:rPr>
          <w:b/>
          <w:bCs/>
        </w:rPr>
        <w:t xml:space="preserve">NOTIFÍQUESE POR SAIMEX </w:t>
      </w:r>
      <w:r w:rsidRPr="003C0099">
        <w:t xml:space="preserve">a </w:t>
      </w:r>
      <w:r w:rsidRPr="003C0099">
        <w:rPr>
          <w:color w:val="000000"/>
        </w:rPr>
        <w:t xml:space="preserve">la persona </w:t>
      </w:r>
      <w:r w:rsidRPr="003C0099">
        <w:t xml:space="preserve">Recurrente la presente Resolución, asimismo, se hace de su conocimiento que de conformidad </w:t>
      </w:r>
      <w:r w:rsidRPr="003C0099">
        <w:t>con lo establecido en el artículo 196 de la Ley de Transparencia y Acceso a la Información Pública del Estado de México y Municipios podrá promover el Juicio de Amparo en los términos de las leyes aplicables.</w:t>
      </w:r>
    </w:p>
    <w:p w14:paraId="52AF6F22" w14:textId="77777777" w:rsidR="00323E01" w:rsidRPr="003C0099" w:rsidRDefault="00323E01">
      <w:pPr>
        <w:spacing w:after="0" w:line="360" w:lineRule="auto"/>
      </w:pPr>
    </w:p>
    <w:p w14:paraId="2F474052" w14:textId="20A72B32" w:rsidR="00323E01" w:rsidRDefault="0084719D">
      <w:pPr>
        <w:spacing w:after="0" w:line="360" w:lineRule="auto"/>
      </w:pPr>
      <w:r w:rsidRPr="003C0099">
        <w:t xml:space="preserve">ASÍ LO RESUELVE, POR </w:t>
      </w:r>
      <w:r w:rsidRPr="003C0099">
        <w:rPr>
          <w:b/>
          <w:bCs/>
        </w:rPr>
        <w:t>UNANIMIDAD</w:t>
      </w:r>
      <w:r w:rsidRPr="003C0099">
        <w:t xml:space="preserve"> DE VOTOS EL PL</w:t>
      </w:r>
      <w:r w:rsidRPr="003C0099">
        <w:t xml:space="preserve">ENO DEL INSTITUTO DE TRANSPARENCIA, ACCESO A LA INFORMACIÓN PÚBLICA Y PROTECCIÓN DE DATOS PERSONALES DEL ESTADO DE MÉXICO Y MUNICIPIOS, CONFORMADO POR LOS COMISIONADOS JOSÉ MARTÍNEZ VILCHIS, MARÍA DEL ROSARIO MEJÍA AYALA, SHARON CRISTINA MORALES MARTÍNEZ, </w:t>
      </w:r>
      <w:r w:rsidRPr="003C0099">
        <w:t>LUIS GUSTAVO PARRA</w:t>
      </w:r>
      <w:r w:rsidR="00B26C7E">
        <w:t xml:space="preserve"> NORIEGA</w:t>
      </w:r>
      <w:bookmarkStart w:id="14" w:name="_GoBack"/>
      <w:bookmarkEnd w:id="14"/>
      <w:r w:rsidRPr="003C0099">
        <w:t xml:space="preserve"> Y GUADALUPE RAMÍREZ PEÑA, EN LA CUADRAGÉSIMA PRIMERA SESIÓN ORDINARIA, CELEBRADA EL VEINTE DE NOVIEMBRE DE DOS MIL VEINTICINCO, ANTE EL SECRETARIO TÉCNICO DEL PLENO, ALEXIS TAPIA RAMÍREZ.</w:t>
      </w:r>
    </w:p>
    <w:p w14:paraId="5B7B62E1" w14:textId="77777777" w:rsidR="00323E01" w:rsidRDefault="00323E01">
      <w:pPr>
        <w:pStyle w:val="Ttulo2"/>
        <w:spacing w:before="0" w:after="0"/>
        <w:rPr>
          <w:b w:val="0"/>
          <w:bCs w:val="0"/>
        </w:rPr>
      </w:pPr>
    </w:p>
    <w:p w14:paraId="278D2A75" w14:textId="77777777" w:rsidR="00323E01" w:rsidRDefault="00323E01">
      <w:pPr>
        <w:spacing w:after="0" w:line="360" w:lineRule="auto"/>
      </w:pPr>
    </w:p>
    <w:p w14:paraId="6DA28060" w14:textId="77777777" w:rsidR="00323E01" w:rsidRDefault="00323E01">
      <w:pPr>
        <w:spacing w:after="0" w:line="360" w:lineRule="auto"/>
      </w:pPr>
    </w:p>
    <w:p w14:paraId="0E23D3B8" w14:textId="77777777" w:rsidR="00323E01" w:rsidRDefault="00323E01">
      <w:pPr>
        <w:spacing w:after="0" w:line="360" w:lineRule="auto"/>
      </w:pPr>
    </w:p>
    <w:p w14:paraId="0F7E029A" w14:textId="77777777" w:rsidR="00323E01" w:rsidRDefault="00323E01">
      <w:pPr>
        <w:spacing w:after="0" w:line="360" w:lineRule="auto"/>
      </w:pPr>
    </w:p>
    <w:p w14:paraId="70368FBB" w14:textId="77777777" w:rsidR="00323E01" w:rsidRDefault="00323E01">
      <w:pPr>
        <w:spacing w:after="0" w:line="360" w:lineRule="auto"/>
      </w:pPr>
    </w:p>
    <w:p w14:paraId="7834E534" w14:textId="77777777" w:rsidR="00323E01" w:rsidRDefault="00323E01">
      <w:pPr>
        <w:spacing w:after="0" w:line="360" w:lineRule="auto"/>
      </w:pPr>
    </w:p>
    <w:p w14:paraId="2049E7DD" w14:textId="77777777" w:rsidR="00323E01" w:rsidRDefault="00323E01">
      <w:pPr>
        <w:spacing w:after="0" w:line="360" w:lineRule="auto"/>
      </w:pPr>
    </w:p>
    <w:p w14:paraId="4E50D962" w14:textId="77777777" w:rsidR="00323E01" w:rsidRDefault="00323E01">
      <w:pPr>
        <w:spacing w:after="0" w:line="360" w:lineRule="auto"/>
      </w:pPr>
    </w:p>
    <w:p w14:paraId="0EB0651D" w14:textId="77777777" w:rsidR="00323E01" w:rsidRDefault="00323E01">
      <w:pPr>
        <w:spacing w:after="0" w:line="360" w:lineRule="auto"/>
      </w:pPr>
    </w:p>
    <w:p w14:paraId="2023BB37" w14:textId="77777777" w:rsidR="00323E01" w:rsidRDefault="00323E01">
      <w:pPr>
        <w:spacing w:after="0" w:line="360" w:lineRule="auto"/>
      </w:pPr>
    </w:p>
    <w:p w14:paraId="15D1F0DE" w14:textId="77777777" w:rsidR="00323E01" w:rsidRDefault="00323E01">
      <w:pPr>
        <w:spacing w:after="0" w:line="360" w:lineRule="auto"/>
      </w:pPr>
    </w:p>
    <w:p w14:paraId="32123DDB" w14:textId="77777777" w:rsidR="00323E01" w:rsidRDefault="00323E01">
      <w:pPr>
        <w:spacing w:after="0" w:line="360" w:lineRule="auto"/>
      </w:pPr>
    </w:p>
    <w:p w14:paraId="00DBBFCC" w14:textId="77777777" w:rsidR="00323E01" w:rsidRDefault="00323E01">
      <w:pPr>
        <w:spacing w:after="0" w:line="360" w:lineRule="auto"/>
      </w:pPr>
    </w:p>
    <w:p w14:paraId="0959A24B" w14:textId="77777777" w:rsidR="00323E01" w:rsidRDefault="00323E01">
      <w:pPr>
        <w:spacing w:after="0" w:line="360" w:lineRule="auto"/>
      </w:pPr>
    </w:p>
    <w:p w14:paraId="4EB3DF07" w14:textId="77777777" w:rsidR="00323E01" w:rsidRDefault="00323E01">
      <w:pPr>
        <w:spacing w:after="0" w:line="360" w:lineRule="auto"/>
      </w:pPr>
    </w:p>
    <w:p w14:paraId="657FF555" w14:textId="77777777" w:rsidR="00323E01" w:rsidRDefault="00323E01">
      <w:pPr>
        <w:spacing w:after="0" w:line="360" w:lineRule="auto"/>
      </w:pPr>
    </w:p>
    <w:p w14:paraId="78F3A1AE" w14:textId="77777777" w:rsidR="00323E01" w:rsidRDefault="00323E01">
      <w:pPr>
        <w:spacing w:after="0" w:line="360" w:lineRule="auto"/>
      </w:pPr>
    </w:p>
    <w:p w14:paraId="358E8E51" w14:textId="77777777" w:rsidR="00323E01" w:rsidRDefault="00323E01">
      <w:pPr>
        <w:spacing w:after="0" w:line="360" w:lineRule="auto"/>
      </w:pPr>
    </w:p>
    <w:p w14:paraId="38F687E0" w14:textId="77777777" w:rsidR="00323E01" w:rsidRDefault="00323E01">
      <w:pPr>
        <w:spacing w:after="0" w:line="360" w:lineRule="auto"/>
      </w:pPr>
    </w:p>
    <w:p w14:paraId="64C77D08" w14:textId="77777777" w:rsidR="00323E01" w:rsidRDefault="00323E01">
      <w:pPr>
        <w:spacing w:after="0" w:line="360" w:lineRule="auto"/>
      </w:pPr>
    </w:p>
    <w:p w14:paraId="541481E2" w14:textId="77777777" w:rsidR="00323E01" w:rsidRDefault="00323E01">
      <w:pPr>
        <w:spacing w:after="0" w:line="360" w:lineRule="auto"/>
      </w:pPr>
    </w:p>
    <w:p w14:paraId="31C79D1C" w14:textId="77777777" w:rsidR="00323E01" w:rsidRDefault="00323E01">
      <w:pPr>
        <w:spacing w:after="0" w:line="360" w:lineRule="auto"/>
      </w:pPr>
    </w:p>
    <w:p w14:paraId="51E30520" w14:textId="77777777" w:rsidR="00323E01" w:rsidRDefault="00323E01">
      <w:pPr>
        <w:spacing w:after="0" w:line="360" w:lineRule="auto"/>
      </w:pPr>
    </w:p>
    <w:sectPr w:rsidR="00323E01">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92828" w14:textId="77777777" w:rsidR="0084719D" w:rsidRDefault="0084719D">
      <w:pPr>
        <w:spacing w:after="0" w:line="240" w:lineRule="auto"/>
      </w:pPr>
      <w:r>
        <w:separator/>
      </w:r>
    </w:p>
  </w:endnote>
  <w:endnote w:type="continuationSeparator" w:id="0">
    <w:p w14:paraId="652FB431" w14:textId="77777777" w:rsidR="0084719D" w:rsidRDefault="00847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171ECC94-9D8D-4226-B860-D353F3B2CC1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7417067E-0AC9-4BDF-92E1-C6D93A8B22E2}"/>
    <w:embedBold r:id="rId3" w:fontKey="{F7FC6F66-B664-4F77-BE4A-5B8851652CE4}"/>
    <w:embedItalic r:id="rId4" w:fontKey="{52DF41EF-7F64-4EA7-A993-647E817C3150}"/>
    <w:embedBoldItalic r:id="rId5" w:fontKey="{0F55CAE5-44E8-4902-A99C-6C453269B9E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CE6647B7-1A60-46E1-A72A-930105BD13D2}"/>
  </w:font>
  <w:font w:name="Georgia">
    <w:panose1 w:val="02040502050405020303"/>
    <w:charset w:val="00"/>
    <w:family w:val="roman"/>
    <w:pitch w:val="variable"/>
    <w:sig w:usb0="00000287" w:usb1="00000000" w:usb2="00000000" w:usb3="00000000" w:csb0="0000009F" w:csb1="00000000"/>
    <w:embedItalic r:id="rId7" w:fontKey="{347A1BF2-92FF-4FDD-852D-2251EEB52BFB}"/>
  </w:font>
  <w:font w:name="Calibri">
    <w:panose1 w:val="020F0502020204030204"/>
    <w:charset w:val="00"/>
    <w:family w:val="swiss"/>
    <w:pitch w:val="variable"/>
    <w:sig w:usb0="E4002EFF" w:usb1="C200247B" w:usb2="00000009" w:usb3="00000000" w:csb0="000001FF" w:csb1="00000000"/>
    <w:embedRegular r:id="rId8" w:fontKey="{337A5512-F3C8-4088-8F6B-D0A0DA97EA31}"/>
    <w:embedBold r:id="rId9" w:fontKey="{F0D60394-408E-4CFB-80B1-F88E7F7DF50D}"/>
    <w:embedItalic r:id="rId10" w:fontKey="{E7E82AC8-FC1F-4592-B98A-81F64A8C45FA}"/>
    <w:embedBoldItalic r:id="rId11" w:fontKey="{A6252415-787B-4498-A7F5-FC0C158D5677}"/>
  </w:font>
  <w:font w:name="Tahoma">
    <w:panose1 w:val="020B0604030504040204"/>
    <w:charset w:val="00"/>
    <w:family w:val="swiss"/>
    <w:pitch w:val="variable"/>
    <w:sig w:usb0="E1002EFF" w:usb1="C000605B" w:usb2="00000029" w:usb3="00000000" w:csb0="000101FF" w:csb1="00000000"/>
    <w:embedRegular r:id="rId12" w:fontKey="{D576BA68-DF3C-4D24-B034-C8C2C07E4684}"/>
    <w:embedBold r:id="rId13" w:fontKey="{A652F97A-B786-4CE9-B22E-B3146C2305E6}"/>
  </w:font>
  <w:font w:name="Garamond">
    <w:panose1 w:val="02020404030301010803"/>
    <w:charset w:val="00"/>
    <w:family w:val="roman"/>
    <w:pitch w:val="variable"/>
    <w:sig w:usb0="00000287" w:usb1="00000000" w:usb2="00000000" w:usb3="00000000" w:csb0="0000009F" w:csb1="00000000"/>
    <w:embedRegular r:id="rId14" w:fontKey="{41E2CA29-E0D0-48BB-A36F-94CE0646FD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917A3" w14:textId="77777777" w:rsidR="00323E01" w:rsidRDefault="0084719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A0302A">
      <w:rPr>
        <w:b/>
        <w:bCs/>
        <w:color w:val="000000"/>
        <w:sz w:val="24"/>
        <w:szCs w:val="24"/>
      </w:rPr>
      <w:fldChar w:fldCharType="separate"/>
    </w:r>
    <w:r w:rsidR="00A0302A">
      <w:rPr>
        <w:b/>
        <w:bCs/>
        <w:noProof/>
        <w:color w:val="000000"/>
        <w:sz w:val="24"/>
        <w:szCs w:val="24"/>
      </w:rPr>
      <w:t>17</w:t>
    </w:r>
    <w:r>
      <w:rPr>
        <w:b/>
        <w:bCs/>
        <w:color w:val="000000"/>
        <w:sz w:val="24"/>
        <w:szCs w:val="24"/>
      </w:rPr>
      <w:fldChar w:fldCharType="end"/>
    </w:r>
  </w:p>
  <w:p w14:paraId="01CCA475" w14:textId="77777777" w:rsidR="00323E01" w:rsidRDefault="00323E0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35C5F" w14:textId="77777777" w:rsidR="00323E01" w:rsidRDefault="0084719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A0302A">
      <w:rPr>
        <w:b/>
        <w:bCs/>
        <w:noProof/>
        <w:color w:val="000000"/>
        <w:sz w:val="24"/>
        <w:szCs w:val="24"/>
      </w:rPr>
      <w:t>17</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0302A">
      <w:rPr>
        <w:b/>
        <w:bCs/>
        <w:noProof/>
        <w:color w:val="000000"/>
        <w:sz w:val="24"/>
        <w:szCs w:val="24"/>
      </w:rPr>
      <w:t>17</w:t>
    </w:r>
    <w:r>
      <w:rPr>
        <w:b/>
        <w:bCs/>
        <w:color w:val="000000"/>
        <w:sz w:val="24"/>
        <w:szCs w:val="24"/>
      </w:rPr>
      <w:fldChar w:fldCharType="end"/>
    </w:r>
  </w:p>
  <w:p w14:paraId="60DB735D" w14:textId="77777777" w:rsidR="00323E01" w:rsidRDefault="00323E0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DDC61" w14:textId="77777777" w:rsidR="00323E01" w:rsidRDefault="0084719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A0302A">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0302A">
      <w:rPr>
        <w:b/>
        <w:bCs/>
        <w:noProof/>
        <w:color w:val="000000"/>
        <w:sz w:val="24"/>
        <w:szCs w:val="24"/>
      </w:rPr>
      <w:t>17</w:t>
    </w:r>
    <w:r>
      <w:rPr>
        <w:b/>
        <w:bCs/>
        <w:color w:val="000000"/>
        <w:sz w:val="24"/>
        <w:szCs w:val="24"/>
      </w:rPr>
      <w:fldChar w:fldCharType="end"/>
    </w:r>
  </w:p>
  <w:p w14:paraId="530C5F69" w14:textId="77777777" w:rsidR="00323E01" w:rsidRDefault="00323E0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D4C0F4" w14:textId="77777777" w:rsidR="0084719D" w:rsidRDefault="0084719D">
      <w:pPr>
        <w:spacing w:after="0" w:line="240" w:lineRule="auto"/>
      </w:pPr>
      <w:r>
        <w:separator/>
      </w:r>
    </w:p>
  </w:footnote>
  <w:footnote w:type="continuationSeparator" w:id="0">
    <w:p w14:paraId="7725D97C" w14:textId="77777777" w:rsidR="0084719D" w:rsidRDefault="008471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DECA3" w14:textId="77777777" w:rsidR="00323E01" w:rsidRDefault="00323E01">
    <w:pPr>
      <w:widowControl w:val="0"/>
      <w:pBdr>
        <w:top w:val="nil"/>
        <w:left w:val="nil"/>
        <w:bottom w:val="nil"/>
        <w:right w:val="nil"/>
        <w:between w:val="nil"/>
      </w:pBdr>
      <w:spacing w:after="0" w:line="276" w:lineRule="auto"/>
      <w:jc w:val="left"/>
      <w:rPr>
        <w:color w:val="000000"/>
      </w:rPr>
    </w:pPr>
  </w:p>
  <w:tbl>
    <w:tblPr>
      <w:tblStyle w:val="afffffff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323E01" w14:paraId="76478C64" w14:textId="77777777">
      <w:trPr>
        <w:trHeight w:val="141"/>
      </w:trPr>
      <w:tc>
        <w:tcPr>
          <w:tcW w:w="2404" w:type="dxa"/>
        </w:tcPr>
        <w:p w14:paraId="536BF86A" w14:textId="77777777" w:rsidR="00323E01" w:rsidRDefault="0084719D">
          <w:pPr>
            <w:tabs>
              <w:tab w:val="right" w:pos="8838"/>
            </w:tabs>
            <w:ind w:right="-105"/>
            <w:rPr>
              <w:b/>
              <w:bCs/>
            </w:rPr>
          </w:pPr>
          <w:r>
            <w:rPr>
              <w:b/>
              <w:bCs/>
            </w:rPr>
            <w:t>Recurso de Revisión:</w:t>
          </w:r>
        </w:p>
      </w:tc>
      <w:tc>
        <w:tcPr>
          <w:tcW w:w="3587" w:type="dxa"/>
        </w:tcPr>
        <w:p w14:paraId="7025D41F" w14:textId="77777777" w:rsidR="00323E01" w:rsidRDefault="0084719D">
          <w:pPr>
            <w:tabs>
              <w:tab w:val="right" w:pos="8838"/>
            </w:tabs>
            <w:ind w:left="-28" w:right="683"/>
          </w:pPr>
          <w:r>
            <w:t>04196/INFOEM/IP/RR/2020</w:t>
          </w:r>
        </w:p>
      </w:tc>
    </w:tr>
    <w:tr w:rsidR="00323E01" w14:paraId="51AD3E03" w14:textId="77777777">
      <w:trPr>
        <w:trHeight w:val="276"/>
      </w:trPr>
      <w:tc>
        <w:tcPr>
          <w:tcW w:w="2404" w:type="dxa"/>
        </w:tcPr>
        <w:p w14:paraId="31E1BE28" w14:textId="77777777" w:rsidR="00323E01" w:rsidRDefault="0084719D">
          <w:pPr>
            <w:tabs>
              <w:tab w:val="right" w:pos="8838"/>
            </w:tabs>
            <w:ind w:right="-105"/>
            <w:rPr>
              <w:b/>
              <w:bCs/>
            </w:rPr>
          </w:pPr>
          <w:r>
            <w:rPr>
              <w:b/>
              <w:bCs/>
            </w:rPr>
            <w:t>Sujeto Obligado:</w:t>
          </w:r>
        </w:p>
      </w:tc>
      <w:tc>
        <w:tcPr>
          <w:tcW w:w="3587" w:type="dxa"/>
        </w:tcPr>
        <w:p w14:paraId="3C48D8AD" w14:textId="77777777" w:rsidR="00323E01" w:rsidRDefault="0084719D">
          <w:pPr>
            <w:tabs>
              <w:tab w:val="right" w:pos="8838"/>
            </w:tabs>
            <w:ind w:right="116"/>
          </w:pPr>
          <w:r>
            <w:t>Ayuntamiento de Chapultepec</w:t>
          </w:r>
        </w:p>
      </w:tc>
    </w:tr>
    <w:tr w:rsidR="00323E01" w14:paraId="14EA2337" w14:textId="77777777">
      <w:trPr>
        <w:trHeight w:val="276"/>
      </w:trPr>
      <w:tc>
        <w:tcPr>
          <w:tcW w:w="2404" w:type="dxa"/>
        </w:tcPr>
        <w:p w14:paraId="7E30D8C5" w14:textId="77777777" w:rsidR="00323E01" w:rsidRDefault="0084719D">
          <w:pPr>
            <w:tabs>
              <w:tab w:val="right" w:pos="8838"/>
            </w:tabs>
            <w:ind w:right="-105"/>
            <w:rPr>
              <w:b/>
              <w:bCs/>
            </w:rPr>
          </w:pPr>
          <w:r>
            <w:rPr>
              <w:b/>
              <w:bCs/>
            </w:rPr>
            <w:t>Comisionado Ponente:</w:t>
          </w:r>
        </w:p>
      </w:tc>
      <w:tc>
        <w:tcPr>
          <w:tcW w:w="3587" w:type="dxa"/>
        </w:tcPr>
        <w:p w14:paraId="32F8FC0C" w14:textId="77777777" w:rsidR="00323E01" w:rsidRDefault="0084719D">
          <w:pPr>
            <w:tabs>
              <w:tab w:val="right" w:pos="8838"/>
            </w:tabs>
            <w:ind w:right="-32"/>
          </w:pPr>
          <w:r>
            <w:t>Luis Gustavo Parra Noriega</w:t>
          </w:r>
        </w:p>
      </w:tc>
    </w:tr>
  </w:tbl>
  <w:p w14:paraId="7555BA10" w14:textId="77777777" w:rsidR="00323E01" w:rsidRDefault="0084719D">
    <w:pPr>
      <w:pBdr>
        <w:top w:val="nil"/>
        <w:left w:val="nil"/>
        <w:bottom w:val="nil"/>
        <w:right w:val="nil"/>
        <w:between w:val="nil"/>
      </w:pBdr>
      <w:tabs>
        <w:tab w:val="center" w:pos="4419"/>
        <w:tab w:val="right" w:pos="8838"/>
      </w:tabs>
      <w:spacing w:after="0" w:line="240" w:lineRule="auto"/>
      <w:rPr>
        <w:color w:val="000000"/>
      </w:rPr>
    </w:pPr>
    <w:r>
      <w:rPr>
        <w:color w:val="000000"/>
      </w:rPr>
      <w:pict w14:anchorId="6DF11D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2661E" w14:textId="77777777" w:rsidR="00323E01" w:rsidRDefault="00323E01">
    <w:pPr>
      <w:rPr>
        <w:sz w:val="16"/>
        <w:szCs w:val="16"/>
      </w:rPr>
    </w:pPr>
  </w:p>
  <w:tbl>
    <w:tblPr>
      <w:tblStyle w:val="afffffff1"/>
      <w:tblW w:w="6095"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323E01" w14:paraId="0156FA6F" w14:textId="77777777">
      <w:trPr>
        <w:trHeight w:val="141"/>
      </w:trPr>
      <w:tc>
        <w:tcPr>
          <w:tcW w:w="2409" w:type="dxa"/>
        </w:tcPr>
        <w:p w14:paraId="67F46D7B" w14:textId="77777777" w:rsidR="00323E01" w:rsidRDefault="0084719D">
          <w:pPr>
            <w:tabs>
              <w:tab w:val="right" w:pos="8838"/>
            </w:tabs>
            <w:ind w:left="-395" w:right="-105" w:firstLine="395"/>
            <w:rPr>
              <w:b/>
              <w:bCs/>
            </w:rPr>
          </w:pPr>
          <w:r>
            <w:rPr>
              <w:b/>
              <w:bCs/>
            </w:rPr>
            <w:t>Recurso de Revisión:</w:t>
          </w:r>
        </w:p>
      </w:tc>
      <w:tc>
        <w:tcPr>
          <w:tcW w:w="3686" w:type="dxa"/>
        </w:tcPr>
        <w:p w14:paraId="2718E6B2" w14:textId="77777777" w:rsidR="00323E01" w:rsidRDefault="0084719D">
          <w:pPr>
            <w:tabs>
              <w:tab w:val="right" w:pos="8838"/>
            </w:tabs>
            <w:ind w:right="176"/>
            <w:rPr>
              <w:b/>
              <w:bCs/>
            </w:rPr>
          </w:pPr>
          <w:r>
            <w:rPr>
              <w:b/>
              <w:bCs/>
            </w:rPr>
            <w:t>09571/INFOEM/IP/RR/2025</w:t>
          </w:r>
        </w:p>
      </w:tc>
    </w:tr>
    <w:tr w:rsidR="00323E01" w14:paraId="5B7B6F0E" w14:textId="77777777">
      <w:trPr>
        <w:trHeight w:val="276"/>
      </w:trPr>
      <w:tc>
        <w:tcPr>
          <w:tcW w:w="2409" w:type="dxa"/>
        </w:tcPr>
        <w:p w14:paraId="00D2178B" w14:textId="77777777" w:rsidR="00323E01" w:rsidRDefault="0084719D">
          <w:pPr>
            <w:tabs>
              <w:tab w:val="right" w:pos="8838"/>
            </w:tabs>
            <w:ind w:right="-105"/>
            <w:rPr>
              <w:b/>
              <w:bCs/>
            </w:rPr>
          </w:pPr>
          <w:r>
            <w:rPr>
              <w:b/>
              <w:bCs/>
            </w:rPr>
            <w:t>Sujeto Obligado:</w:t>
          </w:r>
        </w:p>
      </w:tc>
      <w:tc>
        <w:tcPr>
          <w:tcW w:w="3686" w:type="dxa"/>
        </w:tcPr>
        <w:p w14:paraId="16DDF136" w14:textId="77777777" w:rsidR="00323E01" w:rsidRDefault="0084719D">
          <w:pPr>
            <w:tabs>
              <w:tab w:val="left" w:pos="3158"/>
              <w:tab w:val="left" w:pos="4292"/>
              <w:tab w:val="right" w:pos="8838"/>
            </w:tabs>
            <w:ind w:right="176"/>
          </w:pPr>
          <w:r>
            <w:t>Secretaría de Salud</w:t>
          </w:r>
        </w:p>
      </w:tc>
    </w:tr>
    <w:tr w:rsidR="00323E01" w14:paraId="036359C6" w14:textId="77777777">
      <w:trPr>
        <w:trHeight w:val="276"/>
      </w:trPr>
      <w:tc>
        <w:tcPr>
          <w:tcW w:w="2409" w:type="dxa"/>
        </w:tcPr>
        <w:p w14:paraId="296053C0" w14:textId="77777777" w:rsidR="00323E01" w:rsidRDefault="0084719D">
          <w:pPr>
            <w:tabs>
              <w:tab w:val="right" w:pos="8838"/>
            </w:tabs>
            <w:ind w:right="-105"/>
            <w:rPr>
              <w:b/>
              <w:bCs/>
            </w:rPr>
          </w:pPr>
          <w:r>
            <w:rPr>
              <w:b/>
              <w:bCs/>
            </w:rPr>
            <w:t>Comisionado Ponente:</w:t>
          </w:r>
        </w:p>
      </w:tc>
      <w:tc>
        <w:tcPr>
          <w:tcW w:w="3686" w:type="dxa"/>
        </w:tcPr>
        <w:p w14:paraId="6F79BEDE" w14:textId="77777777" w:rsidR="00323E01" w:rsidRDefault="0084719D">
          <w:pPr>
            <w:tabs>
              <w:tab w:val="right" w:pos="8838"/>
            </w:tabs>
            <w:ind w:right="176"/>
          </w:pPr>
          <w:r>
            <w:t>Luis Gustavo Parra Noriega</w:t>
          </w:r>
        </w:p>
        <w:p w14:paraId="2C9C4DD9" w14:textId="77777777" w:rsidR="00323E01" w:rsidRDefault="00323E01">
          <w:pPr>
            <w:tabs>
              <w:tab w:val="right" w:pos="8838"/>
            </w:tabs>
            <w:ind w:right="176"/>
          </w:pPr>
        </w:p>
      </w:tc>
    </w:tr>
  </w:tbl>
  <w:p w14:paraId="1577AF8A" w14:textId="77777777" w:rsidR="00323E01" w:rsidRDefault="0084719D">
    <w:pPr>
      <w:pBdr>
        <w:top w:val="nil"/>
        <w:left w:val="nil"/>
        <w:bottom w:val="nil"/>
        <w:right w:val="nil"/>
        <w:between w:val="nil"/>
      </w:pBdr>
      <w:tabs>
        <w:tab w:val="center" w:pos="4419"/>
        <w:tab w:val="right" w:pos="8838"/>
      </w:tabs>
      <w:spacing w:after="0" w:line="240" w:lineRule="auto"/>
      <w:rPr>
        <w:color w:val="000000"/>
      </w:rPr>
    </w:pPr>
    <w:r>
      <w:rPr>
        <w:color w:val="000000"/>
      </w:rPr>
      <w:pict w14:anchorId="55F5A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D9D68" w14:textId="77777777" w:rsidR="00323E01" w:rsidRDefault="0084719D">
    <w:pPr>
      <w:widowControl w:val="0"/>
      <w:pBdr>
        <w:top w:val="nil"/>
        <w:left w:val="nil"/>
        <w:bottom w:val="nil"/>
        <w:right w:val="nil"/>
        <w:between w:val="nil"/>
      </w:pBdr>
      <w:spacing w:after="0" w:line="276" w:lineRule="auto"/>
      <w:jc w:val="left"/>
      <w:rPr>
        <w:color w:val="000000"/>
      </w:rPr>
    </w:pPr>
    <w:r>
      <w:rPr>
        <w:color w:val="000000"/>
      </w:rPr>
      <w:pict w14:anchorId="4B248B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fffffff2"/>
      <w:tblW w:w="9214" w:type="dxa"/>
      <w:tblInd w:w="0" w:type="dxa"/>
      <w:tblLayout w:type="fixed"/>
      <w:tblLook w:val="0400" w:firstRow="0" w:lastRow="0" w:firstColumn="0" w:lastColumn="0" w:noHBand="0" w:noVBand="1"/>
    </w:tblPr>
    <w:tblGrid>
      <w:gridCol w:w="2127"/>
      <w:gridCol w:w="7087"/>
    </w:tblGrid>
    <w:tr w:rsidR="00323E01" w14:paraId="42684269" w14:textId="77777777">
      <w:trPr>
        <w:trHeight w:val="1546"/>
      </w:trPr>
      <w:tc>
        <w:tcPr>
          <w:tcW w:w="2127" w:type="dxa"/>
        </w:tcPr>
        <w:p w14:paraId="4CDC6ECE" w14:textId="77777777" w:rsidR="00323E01" w:rsidRDefault="00323E01">
          <w:pPr>
            <w:tabs>
              <w:tab w:val="right" w:pos="4273"/>
            </w:tabs>
            <w:rPr>
              <w:rFonts w:ascii="Garamond" w:eastAsia="Garamond" w:hAnsi="Garamond" w:cs="Garamond"/>
              <w:sz w:val="16"/>
              <w:szCs w:val="16"/>
            </w:rPr>
          </w:pPr>
        </w:p>
      </w:tc>
      <w:tc>
        <w:tcPr>
          <w:tcW w:w="7087" w:type="dxa"/>
        </w:tcPr>
        <w:p w14:paraId="3F93AE60" w14:textId="77777777" w:rsidR="00323E01" w:rsidRDefault="00323E01">
          <w:pPr>
            <w:rPr>
              <w:sz w:val="10"/>
              <w:szCs w:val="10"/>
            </w:rPr>
          </w:pPr>
        </w:p>
        <w:tbl>
          <w:tblPr>
            <w:tblStyle w:val="afffffff3"/>
            <w:tblW w:w="5812" w:type="dxa"/>
            <w:tblInd w:w="1601" w:type="dxa"/>
            <w:tblLayout w:type="fixed"/>
            <w:tblLook w:val="0400" w:firstRow="0" w:lastRow="0" w:firstColumn="0" w:lastColumn="0" w:noHBand="0" w:noVBand="1"/>
          </w:tblPr>
          <w:tblGrid>
            <w:gridCol w:w="2410"/>
            <w:gridCol w:w="3402"/>
          </w:tblGrid>
          <w:tr w:rsidR="00323E01" w14:paraId="3CCA2776" w14:textId="77777777">
            <w:trPr>
              <w:trHeight w:val="427"/>
            </w:trPr>
            <w:tc>
              <w:tcPr>
                <w:tcW w:w="2410" w:type="dxa"/>
                <w:vAlign w:val="bottom"/>
              </w:tcPr>
              <w:p w14:paraId="1F95750A" w14:textId="77777777" w:rsidR="00323E01" w:rsidRDefault="0084719D">
                <w:pPr>
                  <w:tabs>
                    <w:tab w:val="right" w:pos="8838"/>
                  </w:tabs>
                  <w:ind w:right="-105"/>
                  <w:rPr>
                    <w:b/>
                    <w:bCs/>
                  </w:rPr>
                </w:pPr>
                <w:r>
                  <w:rPr>
                    <w:b/>
                    <w:bCs/>
                  </w:rPr>
                  <w:t>Recurso de Revisión:</w:t>
                </w:r>
              </w:p>
            </w:tc>
            <w:tc>
              <w:tcPr>
                <w:tcW w:w="3402" w:type="dxa"/>
              </w:tcPr>
              <w:p w14:paraId="43B7C425" w14:textId="77777777" w:rsidR="00323E01" w:rsidRDefault="00323E01">
                <w:pPr>
                  <w:tabs>
                    <w:tab w:val="right" w:pos="8838"/>
                  </w:tabs>
                  <w:ind w:left="-28" w:right="-107"/>
                  <w:rPr>
                    <w:b/>
                    <w:bCs/>
                  </w:rPr>
                </w:pPr>
              </w:p>
              <w:p w14:paraId="7BEC8C2A" w14:textId="77777777" w:rsidR="00323E01" w:rsidRDefault="0084719D">
                <w:pPr>
                  <w:tabs>
                    <w:tab w:val="right" w:pos="8838"/>
                  </w:tabs>
                  <w:ind w:left="-28" w:right="-107"/>
                  <w:rPr>
                    <w:b/>
                    <w:bCs/>
                  </w:rPr>
                </w:pPr>
                <w:r>
                  <w:rPr>
                    <w:b/>
                    <w:bCs/>
                  </w:rPr>
                  <w:t>09571/INFOEM/IP/RR/2025</w:t>
                </w:r>
              </w:p>
            </w:tc>
          </w:tr>
          <w:tr w:rsidR="00323E01" w14:paraId="717C9ACB" w14:textId="77777777">
            <w:trPr>
              <w:trHeight w:val="141"/>
            </w:trPr>
            <w:tc>
              <w:tcPr>
                <w:tcW w:w="2410" w:type="dxa"/>
              </w:tcPr>
              <w:p w14:paraId="3258AB9D" w14:textId="77777777" w:rsidR="00323E01" w:rsidRDefault="0084719D">
                <w:pPr>
                  <w:tabs>
                    <w:tab w:val="right" w:pos="8838"/>
                  </w:tabs>
                  <w:ind w:right="-105"/>
                  <w:rPr>
                    <w:b/>
                    <w:bCs/>
                  </w:rPr>
                </w:pPr>
                <w:r>
                  <w:rPr>
                    <w:b/>
                    <w:bCs/>
                  </w:rPr>
                  <w:t>Recurrente:</w:t>
                </w:r>
              </w:p>
            </w:tc>
            <w:tc>
              <w:tcPr>
                <w:tcW w:w="3402" w:type="dxa"/>
              </w:tcPr>
              <w:p w14:paraId="0EBC8665" w14:textId="77777777" w:rsidR="00323E01" w:rsidRDefault="00323E01">
                <w:pPr>
                  <w:tabs>
                    <w:tab w:val="right" w:pos="8838"/>
                  </w:tabs>
                  <w:ind w:right="-107"/>
                </w:pPr>
              </w:p>
            </w:tc>
          </w:tr>
          <w:tr w:rsidR="00323E01" w14:paraId="2C5505AD" w14:textId="77777777">
            <w:trPr>
              <w:trHeight w:val="276"/>
            </w:trPr>
            <w:tc>
              <w:tcPr>
                <w:tcW w:w="2410" w:type="dxa"/>
              </w:tcPr>
              <w:p w14:paraId="544B503C" w14:textId="77777777" w:rsidR="00323E01" w:rsidRDefault="0084719D">
                <w:pPr>
                  <w:tabs>
                    <w:tab w:val="right" w:pos="8838"/>
                  </w:tabs>
                  <w:ind w:right="-105"/>
                  <w:rPr>
                    <w:b/>
                    <w:bCs/>
                  </w:rPr>
                </w:pPr>
                <w:r>
                  <w:rPr>
                    <w:b/>
                    <w:bCs/>
                  </w:rPr>
                  <w:t>Sujeto Obligado:</w:t>
                </w:r>
              </w:p>
            </w:tc>
            <w:tc>
              <w:tcPr>
                <w:tcW w:w="3402" w:type="dxa"/>
              </w:tcPr>
              <w:p w14:paraId="6851FC9D" w14:textId="77777777" w:rsidR="00323E01" w:rsidRDefault="0084719D">
                <w:pPr>
                  <w:tabs>
                    <w:tab w:val="right" w:pos="8838"/>
                  </w:tabs>
                  <w:ind w:right="33"/>
                </w:pPr>
                <w:r>
                  <w:t>Secretaría de Salud</w:t>
                </w:r>
              </w:p>
            </w:tc>
          </w:tr>
          <w:tr w:rsidR="00323E01" w14:paraId="0D308F18" w14:textId="77777777">
            <w:trPr>
              <w:trHeight w:val="276"/>
            </w:trPr>
            <w:tc>
              <w:tcPr>
                <w:tcW w:w="2410" w:type="dxa"/>
              </w:tcPr>
              <w:p w14:paraId="54C7943D" w14:textId="77777777" w:rsidR="00323E01" w:rsidRDefault="0084719D">
                <w:pPr>
                  <w:tabs>
                    <w:tab w:val="right" w:pos="8838"/>
                  </w:tabs>
                  <w:ind w:right="-105"/>
                  <w:rPr>
                    <w:b/>
                    <w:bCs/>
                  </w:rPr>
                </w:pPr>
                <w:r>
                  <w:rPr>
                    <w:b/>
                    <w:bCs/>
                  </w:rPr>
                  <w:t>Comisionado Ponente:</w:t>
                </w:r>
              </w:p>
            </w:tc>
            <w:tc>
              <w:tcPr>
                <w:tcW w:w="3402" w:type="dxa"/>
              </w:tcPr>
              <w:p w14:paraId="078ED290" w14:textId="77777777" w:rsidR="00323E01" w:rsidRDefault="0084719D">
                <w:pPr>
                  <w:tabs>
                    <w:tab w:val="right" w:pos="8838"/>
                  </w:tabs>
                  <w:ind w:right="-107"/>
                </w:pPr>
                <w:r>
                  <w:t>Luis Gustavo Parra Noriega</w:t>
                </w:r>
              </w:p>
            </w:tc>
          </w:tr>
        </w:tbl>
        <w:p w14:paraId="1AEE48B7" w14:textId="77777777" w:rsidR="00323E01" w:rsidRDefault="00323E01">
          <w:pPr>
            <w:tabs>
              <w:tab w:val="right" w:pos="8838"/>
            </w:tabs>
            <w:ind w:left="-28"/>
            <w:rPr>
              <w:rFonts w:ascii="Arial" w:eastAsia="Arial" w:hAnsi="Arial" w:cs="Arial"/>
              <w:b/>
              <w:bCs/>
            </w:rPr>
          </w:pPr>
        </w:p>
      </w:tc>
    </w:tr>
  </w:tbl>
  <w:p w14:paraId="34C89D3F" w14:textId="77777777" w:rsidR="00323E01" w:rsidRDefault="00323E01">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25C25"/>
    <w:multiLevelType w:val="multilevel"/>
    <w:tmpl w:val="8246376E"/>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D43588"/>
    <w:multiLevelType w:val="multilevel"/>
    <w:tmpl w:val="E6C6B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CE27C7"/>
    <w:multiLevelType w:val="multilevel"/>
    <w:tmpl w:val="6B062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A0A2012"/>
    <w:multiLevelType w:val="multilevel"/>
    <w:tmpl w:val="0E843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A920F5F"/>
    <w:multiLevelType w:val="multilevel"/>
    <w:tmpl w:val="DB82B8D4"/>
    <w:lvl w:ilvl="0">
      <w:start w:val="1"/>
      <w:numFmt w:val="decimal"/>
      <w:lvlText w:val="%1)"/>
      <w:lvlJc w:val="left"/>
      <w:pPr>
        <w:ind w:left="972" w:hanging="360"/>
      </w:pPr>
    </w:lvl>
    <w:lvl w:ilvl="1">
      <w:start w:val="1"/>
      <w:numFmt w:val="lowerLetter"/>
      <w:lvlText w:val="%2."/>
      <w:lvlJc w:val="left"/>
      <w:pPr>
        <w:ind w:left="1692" w:hanging="360"/>
      </w:pPr>
    </w:lvl>
    <w:lvl w:ilvl="2">
      <w:start w:val="1"/>
      <w:numFmt w:val="lowerRoman"/>
      <w:lvlText w:val="%3."/>
      <w:lvlJc w:val="right"/>
      <w:pPr>
        <w:ind w:left="2412" w:hanging="180"/>
      </w:pPr>
    </w:lvl>
    <w:lvl w:ilvl="3">
      <w:start w:val="1"/>
      <w:numFmt w:val="decimal"/>
      <w:lvlText w:val="%4."/>
      <w:lvlJc w:val="left"/>
      <w:pPr>
        <w:ind w:left="3132" w:hanging="360"/>
      </w:pPr>
    </w:lvl>
    <w:lvl w:ilvl="4">
      <w:start w:val="1"/>
      <w:numFmt w:val="lowerLetter"/>
      <w:lvlText w:val="%5."/>
      <w:lvlJc w:val="left"/>
      <w:pPr>
        <w:ind w:left="3852" w:hanging="360"/>
      </w:pPr>
    </w:lvl>
    <w:lvl w:ilvl="5">
      <w:start w:val="1"/>
      <w:numFmt w:val="lowerRoman"/>
      <w:lvlText w:val="%6."/>
      <w:lvlJc w:val="right"/>
      <w:pPr>
        <w:ind w:left="4572" w:hanging="180"/>
      </w:pPr>
    </w:lvl>
    <w:lvl w:ilvl="6">
      <w:start w:val="1"/>
      <w:numFmt w:val="decimal"/>
      <w:lvlText w:val="%7."/>
      <w:lvlJc w:val="left"/>
      <w:pPr>
        <w:ind w:left="5292" w:hanging="360"/>
      </w:pPr>
    </w:lvl>
    <w:lvl w:ilvl="7">
      <w:start w:val="1"/>
      <w:numFmt w:val="lowerLetter"/>
      <w:lvlText w:val="%8."/>
      <w:lvlJc w:val="left"/>
      <w:pPr>
        <w:ind w:left="6012" w:hanging="360"/>
      </w:pPr>
    </w:lvl>
    <w:lvl w:ilvl="8">
      <w:start w:val="1"/>
      <w:numFmt w:val="lowerRoman"/>
      <w:lvlText w:val="%9."/>
      <w:lvlJc w:val="right"/>
      <w:pPr>
        <w:ind w:left="6732" w:hanging="180"/>
      </w:p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E01"/>
    <w:rsid w:val="00323E01"/>
    <w:rsid w:val="003C0099"/>
    <w:rsid w:val="004A3C8A"/>
    <w:rsid w:val="00727033"/>
    <w:rsid w:val="0084719D"/>
    <w:rsid w:val="00961022"/>
    <w:rsid w:val="00982532"/>
    <w:rsid w:val="00A0302A"/>
    <w:rsid w:val="00AA0219"/>
    <w:rsid w:val="00B26C7E"/>
    <w:rsid w:val="00DF3634"/>
    <w:rsid w:val="00EE29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5A9189"/>
  <w15:docId w15:val="{531D3FDA-DD0D-47B8-A1B4-4A44E641A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5"/>
    <w:pPr>
      <w:spacing w:after="0" w:line="240" w:lineRule="auto"/>
    </w:pPr>
    <w:tblPr>
      <w:tblStyleRowBandSize w:val="1"/>
      <w:tblStyleColBandSize w:val="1"/>
      <w:tblCellMar>
        <w:left w:w="108" w:type="dxa"/>
        <w:right w:w="108" w:type="dxa"/>
      </w:tblCellMar>
    </w:tblPr>
  </w:style>
  <w:style w:type="table" w:customStyle="1" w:styleId="a0">
    <w:basedOn w:val="TableNormalf5"/>
    <w:pPr>
      <w:spacing w:after="0" w:line="240" w:lineRule="auto"/>
    </w:pPr>
    <w:tblPr>
      <w:tblStyleRowBandSize w:val="1"/>
      <w:tblStyleColBandSize w:val="1"/>
      <w:tblCellMar>
        <w:left w:w="108" w:type="dxa"/>
        <w:right w:w="108" w:type="dxa"/>
      </w:tblCellMar>
    </w:tblPr>
  </w:style>
  <w:style w:type="table" w:customStyle="1" w:styleId="a1">
    <w:basedOn w:val="TableNormalf5"/>
    <w:tblPr>
      <w:tblStyleRowBandSize w:val="1"/>
      <w:tblStyleColBandSize w:val="1"/>
      <w:tblCellMar>
        <w:left w:w="115" w:type="dxa"/>
        <w:right w:w="115" w:type="dxa"/>
      </w:tblCellMar>
    </w:tblPr>
  </w:style>
  <w:style w:type="table" w:customStyle="1" w:styleId="a2">
    <w:basedOn w:val="TableNormalf5"/>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5"/>
    <w:pPr>
      <w:spacing w:after="0" w:line="240" w:lineRule="auto"/>
    </w:pPr>
    <w:tblPr>
      <w:tblStyleRowBandSize w:val="1"/>
      <w:tblStyleColBandSize w:val="1"/>
      <w:tblCellMar>
        <w:left w:w="108" w:type="dxa"/>
        <w:right w:w="108" w:type="dxa"/>
      </w:tblCellMar>
    </w:tblPr>
  </w:style>
  <w:style w:type="table" w:customStyle="1" w:styleId="a4">
    <w:basedOn w:val="TableNormalf5"/>
    <w:pPr>
      <w:spacing w:after="0" w:line="240" w:lineRule="auto"/>
    </w:pPr>
    <w:tblPr>
      <w:tblStyleRowBandSize w:val="1"/>
      <w:tblStyleColBandSize w:val="1"/>
      <w:tblCellMar>
        <w:left w:w="108" w:type="dxa"/>
        <w:right w:w="108" w:type="dxa"/>
      </w:tblCellMar>
    </w:tblPr>
  </w:style>
  <w:style w:type="table" w:customStyle="1" w:styleId="a5">
    <w:basedOn w:val="TableNormalf5"/>
    <w:pPr>
      <w:spacing w:after="0" w:line="240" w:lineRule="auto"/>
    </w:pPr>
    <w:tblPr>
      <w:tblStyleRowBandSize w:val="1"/>
      <w:tblStyleColBandSize w:val="1"/>
      <w:tblCellMar>
        <w:left w:w="108" w:type="dxa"/>
        <w:right w:w="108" w:type="dxa"/>
      </w:tblCellMar>
    </w:tblPr>
  </w:style>
  <w:style w:type="table" w:customStyle="1" w:styleId="a6">
    <w:basedOn w:val="TableNormalf5"/>
    <w:pPr>
      <w:spacing w:after="0" w:line="240" w:lineRule="auto"/>
    </w:pPr>
    <w:tblPr>
      <w:tblStyleRowBandSize w:val="1"/>
      <w:tblStyleColBandSize w:val="1"/>
      <w:tblCellMar>
        <w:left w:w="108" w:type="dxa"/>
        <w:right w:w="108" w:type="dxa"/>
      </w:tblCellMar>
    </w:tblPr>
  </w:style>
  <w:style w:type="table" w:customStyle="1" w:styleId="a7">
    <w:basedOn w:val="TableNormalf4"/>
    <w:pPr>
      <w:spacing w:after="0" w:line="240" w:lineRule="auto"/>
    </w:pPr>
    <w:tblPr>
      <w:tblStyleRowBandSize w:val="1"/>
      <w:tblStyleColBandSize w:val="1"/>
      <w:tblCellMar>
        <w:left w:w="108" w:type="dxa"/>
        <w:right w:w="108" w:type="dxa"/>
      </w:tblCellMar>
    </w:tblPr>
  </w:style>
  <w:style w:type="table" w:customStyle="1" w:styleId="a8">
    <w:basedOn w:val="TableNormalf4"/>
    <w:pPr>
      <w:spacing w:after="0" w:line="240" w:lineRule="auto"/>
    </w:pPr>
    <w:tblPr>
      <w:tblStyleRowBandSize w:val="1"/>
      <w:tblStyleColBandSize w:val="1"/>
      <w:tblCellMar>
        <w:left w:w="108" w:type="dxa"/>
        <w:right w:w="108" w:type="dxa"/>
      </w:tblCellMar>
    </w:tblPr>
  </w:style>
  <w:style w:type="table" w:customStyle="1" w:styleId="a9">
    <w:basedOn w:val="TableNormalf4"/>
    <w:pPr>
      <w:spacing w:after="0" w:line="240" w:lineRule="auto"/>
    </w:pPr>
    <w:tblPr>
      <w:tblStyleRowBandSize w:val="1"/>
      <w:tblStyleColBandSize w:val="1"/>
      <w:tblCellMar>
        <w:left w:w="108" w:type="dxa"/>
        <w:right w:w="108" w:type="dxa"/>
      </w:tblCellMar>
    </w:tblPr>
  </w:style>
  <w:style w:type="table" w:customStyle="1" w:styleId="aa">
    <w:basedOn w:val="TableNormalf4"/>
    <w:pPr>
      <w:spacing w:after="0" w:line="240" w:lineRule="auto"/>
    </w:pPr>
    <w:tblPr>
      <w:tblStyleRowBandSize w:val="1"/>
      <w:tblStyleColBandSize w:val="1"/>
      <w:tblCellMar>
        <w:left w:w="108" w:type="dxa"/>
        <w:right w:w="108" w:type="dxa"/>
      </w:tblCellMar>
    </w:tblPr>
  </w:style>
  <w:style w:type="table" w:customStyle="1" w:styleId="ab">
    <w:basedOn w:val="TableNormalf3"/>
    <w:pPr>
      <w:spacing w:after="0" w:line="240" w:lineRule="auto"/>
    </w:pPr>
    <w:tblPr>
      <w:tblStyleRowBandSize w:val="1"/>
      <w:tblStyleColBandSize w:val="1"/>
      <w:tblCellMar>
        <w:left w:w="108" w:type="dxa"/>
        <w:right w:w="108" w:type="dxa"/>
      </w:tblCellMar>
    </w:tblPr>
  </w:style>
  <w:style w:type="table" w:customStyle="1" w:styleId="ac">
    <w:basedOn w:val="TableNormalf3"/>
    <w:pPr>
      <w:spacing w:after="0" w:line="240" w:lineRule="auto"/>
    </w:pPr>
    <w:tblPr>
      <w:tblStyleRowBandSize w:val="1"/>
      <w:tblStyleColBandSize w:val="1"/>
      <w:tblCellMar>
        <w:left w:w="108" w:type="dxa"/>
        <w:right w:w="108" w:type="dxa"/>
      </w:tblCellMar>
    </w:tblPr>
  </w:style>
  <w:style w:type="table" w:customStyle="1" w:styleId="ad">
    <w:basedOn w:val="TableNormalf3"/>
    <w:pPr>
      <w:spacing w:after="0" w:line="240" w:lineRule="auto"/>
    </w:pPr>
    <w:tblPr>
      <w:tblStyleRowBandSize w:val="1"/>
      <w:tblStyleColBandSize w:val="1"/>
      <w:tblCellMar>
        <w:left w:w="108" w:type="dxa"/>
        <w:right w:w="108" w:type="dxa"/>
      </w:tblCellMar>
    </w:tblPr>
  </w:style>
  <w:style w:type="table" w:customStyle="1" w:styleId="ae">
    <w:basedOn w:val="TableNormalf3"/>
    <w:pPr>
      <w:spacing w:after="0" w:line="240" w:lineRule="auto"/>
    </w:pPr>
    <w:tblPr>
      <w:tblStyleRowBandSize w:val="1"/>
      <w:tblStyleColBandSize w:val="1"/>
      <w:tblCellMar>
        <w:left w:w="108" w:type="dxa"/>
        <w:right w:w="108" w:type="dxa"/>
      </w:tblCellMar>
    </w:tblPr>
  </w:style>
  <w:style w:type="table" w:customStyle="1" w:styleId="af">
    <w:basedOn w:val="TableNormalf2"/>
    <w:pPr>
      <w:spacing w:after="0" w:line="240" w:lineRule="auto"/>
    </w:pPr>
    <w:tblPr>
      <w:tblStyleRowBandSize w:val="1"/>
      <w:tblStyleColBandSize w:val="1"/>
      <w:tblCellMar>
        <w:left w:w="108" w:type="dxa"/>
        <w:right w:w="108" w:type="dxa"/>
      </w:tblCellMar>
    </w:tblPr>
  </w:style>
  <w:style w:type="table" w:customStyle="1" w:styleId="af0">
    <w:basedOn w:val="TableNormalf2"/>
    <w:pPr>
      <w:spacing w:after="0" w:line="240" w:lineRule="auto"/>
    </w:pPr>
    <w:tblPr>
      <w:tblStyleRowBandSize w:val="1"/>
      <w:tblStyleColBandSize w:val="1"/>
      <w:tblCellMar>
        <w:left w:w="108" w:type="dxa"/>
        <w:right w:w="108" w:type="dxa"/>
      </w:tblCellMar>
    </w:tblPr>
  </w:style>
  <w:style w:type="table" w:customStyle="1" w:styleId="af1">
    <w:basedOn w:val="TableNormalf2"/>
    <w:pPr>
      <w:spacing w:after="0" w:line="240" w:lineRule="auto"/>
    </w:pPr>
    <w:tblPr>
      <w:tblStyleRowBandSize w:val="1"/>
      <w:tblStyleColBandSize w:val="1"/>
      <w:tblCellMar>
        <w:left w:w="108" w:type="dxa"/>
        <w:right w:w="108" w:type="dxa"/>
      </w:tblCellMar>
    </w:tblPr>
  </w:style>
  <w:style w:type="table" w:customStyle="1" w:styleId="af2">
    <w:basedOn w:val="TableNormalf2"/>
    <w:pPr>
      <w:spacing w:after="0" w:line="240" w:lineRule="auto"/>
    </w:pPr>
    <w:tblPr>
      <w:tblStyleRowBandSize w:val="1"/>
      <w:tblStyleColBandSize w:val="1"/>
      <w:tblCellMar>
        <w:left w:w="108" w:type="dxa"/>
        <w:right w:w="108" w:type="dxa"/>
      </w:tblCellMar>
    </w:tblPr>
  </w:style>
  <w:style w:type="table" w:customStyle="1" w:styleId="af3">
    <w:basedOn w:val="TableNormalf1"/>
    <w:pPr>
      <w:spacing w:after="0" w:line="240" w:lineRule="auto"/>
    </w:pPr>
    <w:tblPr>
      <w:tblStyleRowBandSize w:val="1"/>
      <w:tblStyleColBandSize w:val="1"/>
      <w:tblCellMar>
        <w:left w:w="108" w:type="dxa"/>
        <w:right w:w="108" w:type="dxa"/>
      </w:tblCellMar>
    </w:tblPr>
  </w:style>
  <w:style w:type="table" w:customStyle="1" w:styleId="af4">
    <w:basedOn w:val="TableNormalf1"/>
    <w:pPr>
      <w:spacing w:after="0" w:line="240" w:lineRule="auto"/>
    </w:pPr>
    <w:tblPr>
      <w:tblStyleRowBandSize w:val="1"/>
      <w:tblStyleColBandSize w:val="1"/>
      <w:tblCellMar>
        <w:left w:w="108" w:type="dxa"/>
        <w:right w:w="108" w:type="dxa"/>
      </w:tblCellMar>
    </w:tblPr>
  </w:style>
  <w:style w:type="table" w:customStyle="1" w:styleId="af5">
    <w:basedOn w:val="TableNormalf1"/>
    <w:pPr>
      <w:spacing w:after="0" w:line="240" w:lineRule="auto"/>
    </w:pPr>
    <w:tblPr>
      <w:tblStyleRowBandSize w:val="1"/>
      <w:tblStyleColBandSize w:val="1"/>
      <w:tblCellMar>
        <w:left w:w="108" w:type="dxa"/>
        <w:right w:w="108" w:type="dxa"/>
      </w:tblCellMar>
    </w:tblPr>
  </w:style>
  <w:style w:type="table" w:customStyle="1" w:styleId="af6">
    <w:basedOn w:val="TableNormalf1"/>
    <w:pPr>
      <w:spacing w:after="0" w:line="240" w:lineRule="auto"/>
    </w:pPr>
    <w:tblPr>
      <w:tblStyleRowBandSize w:val="1"/>
      <w:tblStyleColBandSize w:val="1"/>
      <w:tblCellMar>
        <w:left w:w="108" w:type="dxa"/>
        <w:right w:w="108" w:type="dxa"/>
      </w:tblCellMar>
    </w:tblPr>
  </w:style>
  <w:style w:type="table" w:customStyle="1" w:styleId="af7">
    <w:basedOn w:val="TableNormalf0"/>
    <w:pPr>
      <w:spacing w:after="0" w:line="240" w:lineRule="auto"/>
    </w:pPr>
    <w:tblPr>
      <w:tblStyleRowBandSize w:val="1"/>
      <w:tblStyleColBandSize w:val="1"/>
      <w:tblCellMar>
        <w:left w:w="108" w:type="dxa"/>
        <w:right w:w="108" w:type="dxa"/>
      </w:tblCellMar>
    </w:tblPr>
  </w:style>
  <w:style w:type="table" w:customStyle="1" w:styleId="af8">
    <w:basedOn w:val="TableNormalf0"/>
    <w:pPr>
      <w:spacing w:after="0" w:line="240" w:lineRule="auto"/>
    </w:pPr>
    <w:tblPr>
      <w:tblStyleRowBandSize w:val="1"/>
      <w:tblStyleColBandSize w:val="1"/>
      <w:tblCellMar>
        <w:left w:w="108" w:type="dxa"/>
        <w:right w:w="108" w:type="dxa"/>
      </w:tblCellMar>
    </w:tblPr>
  </w:style>
  <w:style w:type="table" w:customStyle="1" w:styleId="af9">
    <w:basedOn w:val="TableNormalf0"/>
    <w:pPr>
      <w:spacing w:after="0" w:line="240" w:lineRule="auto"/>
    </w:pPr>
    <w:tblPr>
      <w:tblStyleRowBandSize w:val="1"/>
      <w:tblStyleColBandSize w:val="1"/>
      <w:tblCellMar>
        <w:left w:w="108" w:type="dxa"/>
        <w:right w:w="108" w:type="dxa"/>
      </w:tblCellMar>
    </w:tblPr>
  </w:style>
  <w:style w:type="table" w:customStyle="1" w:styleId="afa">
    <w:basedOn w:val="TableNormalf0"/>
    <w:pPr>
      <w:spacing w:after="0" w:line="240" w:lineRule="auto"/>
    </w:pPr>
    <w:tblPr>
      <w:tblStyleRowBandSize w:val="1"/>
      <w:tblStyleColBandSize w:val="1"/>
      <w:tblCellMar>
        <w:left w:w="108" w:type="dxa"/>
        <w:right w:w="108" w:type="dxa"/>
      </w:tblCellMar>
    </w:tblPr>
  </w:style>
  <w:style w:type="table" w:customStyle="1" w:styleId="afb">
    <w:basedOn w:val="TableNormalf"/>
    <w:pPr>
      <w:spacing w:after="0" w:line="240" w:lineRule="auto"/>
    </w:pPr>
    <w:tblPr>
      <w:tblStyleRowBandSize w:val="1"/>
      <w:tblStyleColBandSize w:val="1"/>
      <w:tblCellMar>
        <w:left w:w="108" w:type="dxa"/>
        <w:right w:w="108" w:type="dxa"/>
      </w:tblCellMar>
    </w:tblPr>
  </w:style>
  <w:style w:type="table" w:customStyle="1" w:styleId="afc">
    <w:basedOn w:val="TableNormalf"/>
    <w:pPr>
      <w:spacing w:after="0" w:line="240" w:lineRule="auto"/>
    </w:pPr>
    <w:tblPr>
      <w:tblStyleRowBandSize w:val="1"/>
      <w:tblStyleColBandSize w:val="1"/>
      <w:tblCellMar>
        <w:left w:w="108" w:type="dxa"/>
        <w:right w:w="108" w:type="dxa"/>
      </w:tblCellMar>
    </w:tblPr>
  </w:style>
  <w:style w:type="table" w:customStyle="1" w:styleId="afd">
    <w:basedOn w:val="TableNormalf"/>
    <w:pPr>
      <w:spacing w:after="0" w:line="240" w:lineRule="auto"/>
    </w:pPr>
    <w:tblPr>
      <w:tblStyleRowBandSize w:val="1"/>
      <w:tblStyleColBandSize w:val="1"/>
      <w:tblCellMar>
        <w:left w:w="108" w:type="dxa"/>
        <w:right w:w="108" w:type="dxa"/>
      </w:tblCellMar>
    </w:tblPr>
  </w:style>
  <w:style w:type="table" w:customStyle="1" w:styleId="afe">
    <w:basedOn w:val="TableNormalf"/>
    <w:pPr>
      <w:spacing w:after="0" w:line="240" w:lineRule="auto"/>
    </w:pPr>
    <w:tblPr>
      <w:tblStyleRowBandSize w:val="1"/>
      <w:tblStyleColBandSize w:val="1"/>
      <w:tblCellMar>
        <w:left w:w="108" w:type="dxa"/>
        <w:right w:w="108" w:type="dxa"/>
      </w:tblCellMar>
    </w:tblPr>
  </w:style>
  <w:style w:type="table" w:customStyle="1" w:styleId="aff">
    <w:basedOn w:val="TableNormale"/>
    <w:pPr>
      <w:spacing w:after="0" w:line="240" w:lineRule="auto"/>
    </w:pPr>
    <w:tblPr>
      <w:tblStyleRowBandSize w:val="1"/>
      <w:tblStyleColBandSize w:val="1"/>
      <w:tblCellMar>
        <w:left w:w="108" w:type="dxa"/>
        <w:right w:w="108" w:type="dxa"/>
      </w:tblCellMar>
    </w:tblPr>
  </w:style>
  <w:style w:type="table" w:customStyle="1" w:styleId="aff0">
    <w:basedOn w:val="TableNormale"/>
    <w:pPr>
      <w:spacing w:after="0" w:line="240" w:lineRule="auto"/>
    </w:pPr>
    <w:tblPr>
      <w:tblStyleRowBandSize w:val="1"/>
      <w:tblStyleColBandSize w:val="1"/>
      <w:tblCellMar>
        <w:left w:w="108" w:type="dxa"/>
        <w:right w:w="108" w:type="dxa"/>
      </w:tblCellMar>
    </w:tblPr>
  </w:style>
  <w:style w:type="table" w:customStyle="1" w:styleId="aff1">
    <w:basedOn w:val="TableNormale"/>
    <w:pPr>
      <w:spacing w:after="0" w:line="240" w:lineRule="auto"/>
    </w:pPr>
    <w:tblPr>
      <w:tblStyleRowBandSize w:val="1"/>
      <w:tblStyleColBandSize w:val="1"/>
      <w:tblCellMar>
        <w:left w:w="108" w:type="dxa"/>
        <w:right w:w="108" w:type="dxa"/>
      </w:tblCellMar>
    </w:tblPr>
  </w:style>
  <w:style w:type="table" w:customStyle="1" w:styleId="aff2">
    <w:basedOn w:val="TableNormale"/>
    <w:pPr>
      <w:spacing w:after="0" w:line="240" w:lineRule="auto"/>
    </w:pPr>
    <w:tblPr>
      <w:tblStyleRowBandSize w:val="1"/>
      <w:tblStyleColBandSize w:val="1"/>
      <w:tblCellMar>
        <w:left w:w="108" w:type="dxa"/>
        <w:right w:w="108" w:type="dxa"/>
      </w:tblCellMar>
    </w:tblPr>
  </w:style>
  <w:style w:type="table" w:customStyle="1" w:styleId="aff3">
    <w:basedOn w:val="TableNormald"/>
    <w:pPr>
      <w:spacing w:after="0" w:line="240" w:lineRule="auto"/>
    </w:pPr>
    <w:tblPr>
      <w:tblStyleRowBandSize w:val="1"/>
      <w:tblStyleColBandSize w:val="1"/>
      <w:tblCellMar>
        <w:left w:w="108" w:type="dxa"/>
        <w:right w:w="108" w:type="dxa"/>
      </w:tblCellMar>
    </w:tblPr>
  </w:style>
  <w:style w:type="table" w:customStyle="1" w:styleId="aff4">
    <w:basedOn w:val="TableNormald"/>
    <w:pPr>
      <w:spacing w:after="0" w:line="240" w:lineRule="auto"/>
    </w:pPr>
    <w:tblPr>
      <w:tblStyleRowBandSize w:val="1"/>
      <w:tblStyleColBandSize w:val="1"/>
      <w:tblCellMar>
        <w:left w:w="108" w:type="dxa"/>
        <w:right w:w="108" w:type="dxa"/>
      </w:tblCellMar>
    </w:tblPr>
  </w:style>
  <w:style w:type="table" w:customStyle="1" w:styleId="aff5">
    <w:basedOn w:val="TableNormald"/>
    <w:pPr>
      <w:spacing w:after="0" w:line="240" w:lineRule="auto"/>
    </w:pPr>
    <w:tblPr>
      <w:tblStyleRowBandSize w:val="1"/>
      <w:tblStyleColBandSize w:val="1"/>
      <w:tblCellMar>
        <w:left w:w="108" w:type="dxa"/>
        <w:right w:w="108" w:type="dxa"/>
      </w:tblCellMar>
    </w:tblPr>
  </w:style>
  <w:style w:type="table" w:customStyle="1" w:styleId="aff6">
    <w:basedOn w:val="TableNormald"/>
    <w:pPr>
      <w:spacing w:after="0" w:line="240" w:lineRule="auto"/>
    </w:pPr>
    <w:tblPr>
      <w:tblStyleRowBandSize w:val="1"/>
      <w:tblStyleColBandSize w:val="1"/>
      <w:tblCellMar>
        <w:left w:w="108" w:type="dxa"/>
        <w:right w:w="108" w:type="dxa"/>
      </w:tblCellMar>
    </w:tblPr>
  </w:style>
  <w:style w:type="table" w:customStyle="1" w:styleId="aff7">
    <w:basedOn w:val="TableNormalc"/>
    <w:pPr>
      <w:spacing w:after="0" w:line="240" w:lineRule="auto"/>
    </w:pPr>
    <w:tblPr>
      <w:tblStyleRowBandSize w:val="1"/>
      <w:tblStyleColBandSize w:val="1"/>
      <w:tblCellMar>
        <w:left w:w="108" w:type="dxa"/>
        <w:right w:w="108" w:type="dxa"/>
      </w:tblCellMar>
    </w:tblPr>
  </w:style>
  <w:style w:type="table" w:customStyle="1" w:styleId="aff8">
    <w:basedOn w:val="TableNormalc"/>
    <w:pPr>
      <w:spacing w:after="0" w:line="240" w:lineRule="auto"/>
    </w:pPr>
    <w:tblPr>
      <w:tblStyleRowBandSize w:val="1"/>
      <w:tblStyleColBandSize w:val="1"/>
      <w:tblCellMar>
        <w:left w:w="108" w:type="dxa"/>
        <w:right w:w="108" w:type="dxa"/>
      </w:tblCellMar>
    </w:tblPr>
  </w:style>
  <w:style w:type="table" w:customStyle="1" w:styleId="aff9">
    <w:basedOn w:val="TableNormalc"/>
    <w:pPr>
      <w:spacing w:after="0" w:line="240" w:lineRule="auto"/>
    </w:pPr>
    <w:tblPr>
      <w:tblStyleRowBandSize w:val="1"/>
      <w:tblStyleColBandSize w:val="1"/>
      <w:tblCellMar>
        <w:left w:w="108" w:type="dxa"/>
        <w:right w:w="108" w:type="dxa"/>
      </w:tblCellMar>
    </w:tblPr>
  </w:style>
  <w:style w:type="table" w:customStyle="1" w:styleId="affa">
    <w:basedOn w:val="TableNormalc"/>
    <w:pPr>
      <w:spacing w:after="0" w:line="240" w:lineRule="auto"/>
    </w:pPr>
    <w:tblPr>
      <w:tblStyleRowBandSize w:val="1"/>
      <w:tblStyleColBandSize w:val="1"/>
      <w:tblCellMar>
        <w:left w:w="108" w:type="dxa"/>
        <w:right w:w="108" w:type="dxa"/>
      </w:tblCellMar>
    </w:tblPr>
  </w:style>
  <w:style w:type="table" w:customStyle="1" w:styleId="affb">
    <w:basedOn w:val="TableNormalc"/>
    <w:pPr>
      <w:spacing w:after="0" w:line="240" w:lineRule="auto"/>
    </w:pPr>
    <w:tblPr>
      <w:tblStyleRowBandSize w:val="1"/>
      <w:tblStyleColBandSize w:val="1"/>
      <w:tblCellMar>
        <w:left w:w="108" w:type="dxa"/>
        <w:right w:w="108" w:type="dxa"/>
      </w:tblCellMar>
    </w:tblPr>
  </w:style>
  <w:style w:type="table" w:customStyle="1" w:styleId="affc">
    <w:basedOn w:val="TableNormalc"/>
    <w:pPr>
      <w:spacing w:after="0" w:line="240" w:lineRule="auto"/>
    </w:pPr>
    <w:tblPr>
      <w:tblStyleRowBandSize w:val="1"/>
      <w:tblStyleColBandSize w:val="1"/>
      <w:tblCellMar>
        <w:left w:w="108" w:type="dxa"/>
        <w:right w:w="108" w:type="dxa"/>
      </w:tblCellMar>
    </w:tblPr>
  </w:style>
  <w:style w:type="table" w:customStyle="1" w:styleId="affd">
    <w:basedOn w:val="TableNormalc"/>
    <w:pPr>
      <w:spacing w:after="0" w:line="240" w:lineRule="auto"/>
    </w:pPr>
    <w:tblPr>
      <w:tblStyleRowBandSize w:val="1"/>
      <w:tblStyleColBandSize w:val="1"/>
      <w:tblCellMar>
        <w:left w:w="108" w:type="dxa"/>
        <w:right w:w="108" w:type="dxa"/>
      </w:tblCellMar>
    </w:tblPr>
  </w:style>
  <w:style w:type="table" w:customStyle="1" w:styleId="affe">
    <w:basedOn w:val="TableNormalc"/>
    <w:pPr>
      <w:spacing w:after="0" w:line="240" w:lineRule="auto"/>
    </w:pPr>
    <w:tblPr>
      <w:tblStyleRowBandSize w:val="1"/>
      <w:tblStyleColBandSize w:val="1"/>
      <w:tblCellMar>
        <w:left w:w="108" w:type="dxa"/>
        <w:right w:w="108" w:type="dxa"/>
      </w:tblCellMar>
    </w:tblPr>
  </w:style>
  <w:style w:type="table" w:customStyle="1" w:styleId="afff">
    <w:basedOn w:val="TableNormalc"/>
    <w:pPr>
      <w:spacing w:after="0" w:line="240" w:lineRule="auto"/>
    </w:pPr>
    <w:tblPr>
      <w:tblStyleRowBandSize w:val="1"/>
      <w:tblStyleColBandSize w:val="1"/>
      <w:tblCellMar>
        <w:left w:w="108" w:type="dxa"/>
        <w:right w:w="108" w:type="dxa"/>
      </w:tblCellMar>
    </w:tblPr>
  </w:style>
  <w:style w:type="table" w:customStyle="1" w:styleId="afff0">
    <w:basedOn w:val="TableNormalc"/>
    <w:pPr>
      <w:spacing w:after="0" w:line="240" w:lineRule="auto"/>
    </w:pPr>
    <w:tblPr>
      <w:tblStyleRowBandSize w:val="1"/>
      <w:tblStyleColBandSize w:val="1"/>
      <w:tblCellMar>
        <w:left w:w="108" w:type="dxa"/>
        <w:right w:w="108" w:type="dxa"/>
      </w:tblCellMar>
    </w:tblPr>
  </w:style>
  <w:style w:type="table" w:customStyle="1" w:styleId="afff1">
    <w:basedOn w:val="TableNormalc"/>
    <w:pPr>
      <w:spacing w:after="0" w:line="240" w:lineRule="auto"/>
    </w:pPr>
    <w:tblPr>
      <w:tblStyleRowBandSize w:val="1"/>
      <w:tblStyleColBandSize w:val="1"/>
      <w:tblCellMar>
        <w:left w:w="108" w:type="dxa"/>
        <w:right w:w="108" w:type="dxa"/>
      </w:tblCellMar>
    </w:tblPr>
  </w:style>
  <w:style w:type="table" w:customStyle="1" w:styleId="afff2">
    <w:basedOn w:val="TableNormalc"/>
    <w:pPr>
      <w:spacing w:after="0" w:line="240" w:lineRule="auto"/>
    </w:pPr>
    <w:tblPr>
      <w:tblStyleRowBandSize w:val="1"/>
      <w:tblStyleColBandSize w:val="1"/>
      <w:tblCellMar>
        <w:left w:w="108" w:type="dxa"/>
        <w:right w:w="108" w:type="dxa"/>
      </w:tblCellMar>
    </w:tblPr>
  </w:style>
  <w:style w:type="table" w:customStyle="1" w:styleId="afff3">
    <w:basedOn w:val="TableNormalc"/>
    <w:pPr>
      <w:spacing w:after="0" w:line="240" w:lineRule="auto"/>
    </w:pPr>
    <w:tblPr>
      <w:tblStyleRowBandSize w:val="1"/>
      <w:tblStyleColBandSize w:val="1"/>
      <w:tblCellMar>
        <w:left w:w="108" w:type="dxa"/>
        <w:right w:w="108" w:type="dxa"/>
      </w:tblCellMar>
    </w:tblPr>
  </w:style>
  <w:style w:type="table" w:customStyle="1" w:styleId="afff4">
    <w:basedOn w:val="TableNormalc"/>
    <w:pPr>
      <w:spacing w:after="0" w:line="240" w:lineRule="auto"/>
    </w:pPr>
    <w:tblPr>
      <w:tblStyleRowBandSize w:val="1"/>
      <w:tblStyleColBandSize w:val="1"/>
      <w:tblCellMar>
        <w:left w:w="108" w:type="dxa"/>
        <w:right w:w="108" w:type="dxa"/>
      </w:tblCellMar>
    </w:tblPr>
  </w:style>
  <w:style w:type="table" w:customStyle="1" w:styleId="afff5">
    <w:basedOn w:val="TableNormalc"/>
    <w:pPr>
      <w:spacing w:after="0" w:line="240" w:lineRule="auto"/>
    </w:pPr>
    <w:tblPr>
      <w:tblStyleRowBandSize w:val="1"/>
      <w:tblStyleColBandSize w:val="1"/>
      <w:tblCellMar>
        <w:left w:w="108" w:type="dxa"/>
        <w:right w:w="108" w:type="dxa"/>
      </w:tblCellMar>
    </w:tblPr>
  </w:style>
  <w:style w:type="table" w:customStyle="1" w:styleId="afff6">
    <w:basedOn w:val="TableNormalc"/>
    <w:pPr>
      <w:spacing w:after="0" w:line="240" w:lineRule="auto"/>
    </w:pPr>
    <w:tblPr>
      <w:tblStyleRowBandSize w:val="1"/>
      <w:tblStyleColBandSize w:val="1"/>
      <w:tblCellMar>
        <w:left w:w="108" w:type="dxa"/>
        <w:right w:w="108" w:type="dxa"/>
      </w:tblCellMar>
    </w:tblPr>
  </w:style>
  <w:style w:type="table" w:customStyle="1" w:styleId="afff7">
    <w:basedOn w:val="TableNormalc"/>
    <w:pPr>
      <w:spacing w:after="0" w:line="240" w:lineRule="auto"/>
    </w:pPr>
    <w:tblPr>
      <w:tblStyleRowBandSize w:val="1"/>
      <w:tblStyleColBandSize w:val="1"/>
      <w:tblCellMar>
        <w:left w:w="108" w:type="dxa"/>
        <w:right w:w="108" w:type="dxa"/>
      </w:tblCellMar>
    </w:tblPr>
  </w:style>
  <w:style w:type="table" w:customStyle="1" w:styleId="afff8">
    <w:basedOn w:val="TableNormalc"/>
    <w:pPr>
      <w:spacing w:after="0" w:line="240" w:lineRule="auto"/>
    </w:pPr>
    <w:tblPr>
      <w:tblStyleRowBandSize w:val="1"/>
      <w:tblStyleColBandSize w:val="1"/>
      <w:tblCellMar>
        <w:left w:w="108" w:type="dxa"/>
        <w:right w:w="108" w:type="dxa"/>
      </w:tblCellMar>
    </w:tblPr>
  </w:style>
  <w:style w:type="table" w:customStyle="1" w:styleId="afff9">
    <w:basedOn w:val="TableNormalc"/>
    <w:pPr>
      <w:spacing w:after="0" w:line="240" w:lineRule="auto"/>
    </w:pPr>
    <w:tblPr>
      <w:tblStyleRowBandSize w:val="1"/>
      <w:tblStyleColBandSize w:val="1"/>
      <w:tblCellMar>
        <w:left w:w="108" w:type="dxa"/>
        <w:right w:w="108" w:type="dxa"/>
      </w:tblCellMar>
    </w:tblPr>
  </w:style>
  <w:style w:type="table" w:customStyle="1" w:styleId="afffa">
    <w:basedOn w:val="TableNormalc"/>
    <w:pPr>
      <w:spacing w:after="0" w:line="240" w:lineRule="auto"/>
    </w:pPr>
    <w:tblPr>
      <w:tblStyleRowBandSize w:val="1"/>
      <w:tblStyleColBandSize w:val="1"/>
      <w:tblCellMar>
        <w:left w:w="108" w:type="dxa"/>
        <w:right w:w="108" w:type="dxa"/>
      </w:tblCellMar>
    </w:tblPr>
  </w:style>
  <w:style w:type="table" w:customStyle="1" w:styleId="afffb">
    <w:basedOn w:val="TableNormalc"/>
    <w:pPr>
      <w:spacing w:after="0" w:line="240" w:lineRule="auto"/>
    </w:pPr>
    <w:tblPr>
      <w:tblStyleRowBandSize w:val="1"/>
      <w:tblStyleColBandSize w:val="1"/>
      <w:tblCellMar>
        <w:left w:w="108" w:type="dxa"/>
        <w:right w:w="108" w:type="dxa"/>
      </w:tblCellMar>
    </w:tblPr>
  </w:style>
  <w:style w:type="table" w:customStyle="1" w:styleId="afffc">
    <w:basedOn w:val="TableNormalc"/>
    <w:pPr>
      <w:spacing w:after="0" w:line="240" w:lineRule="auto"/>
    </w:pPr>
    <w:tblPr>
      <w:tblStyleRowBandSize w:val="1"/>
      <w:tblStyleColBandSize w:val="1"/>
      <w:tblCellMar>
        <w:left w:w="108" w:type="dxa"/>
        <w:right w:w="108" w:type="dxa"/>
      </w:tblCellMar>
    </w:tblPr>
  </w:style>
  <w:style w:type="table" w:customStyle="1" w:styleId="afffd">
    <w:basedOn w:val="TableNormalb"/>
    <w:pPr>
      <w:spacing w:after="0" w:line="240" w:lineRule="auto"/>
    </w:pPr>
    <w:tblPr>
      <w:tblStyleRowBandSize w:val="1"/>
      <w:tblStyleColBandSize w:val="1"/>
      <w:tblCellMar>
        <w:left w:w="108" w:type="dxa"/>
        <w:right w:w="108" w:type="dxa"/>
      </w:tblCellMar>
    </w:tblPr>
  </w:style>
  <w:style w:type="table" w:customStyle="1" w:styleId="afffe">
    <w:basedOn w:val="TableNormalb"/>
    <w:pPr>
      <w:spacing w:after="0" w:line="240" w:lineRule="auto"/>
    </w:pPr>
    <w:tblPr>
      <w:tblStyleRowBandSize w:val="1"/>
      <w:tblStyleColBandSize w:val="1"/>
      <w:tblCellMar>
        <w:left w:w="108" w:type="dxa"/>
        <w:right w:w="108" w:type="dxa"/>
      </w:tblCellMar>
    </w:tblPr>
  </w:style>
  <w:style w:type="table" w:customStyle="1" w:styleId="affff">
    <w:basedOn w:val="TableNormalb"/>
    <w:pPr>
      <w:spacing w:after="0" w:line="240" w:lineRule="auto"/>
    </w:pPr>
    <w:tblPr>
      <w:tblStyleRowBandSize w:val="1"/>
      <w:tblStyleColBandSize w:val="1"/>
      <w:tblCellMar>
        <w:left w:w="108" w:type="dxa"/>
        <w:right w:w="108" w:type="dxa"/>
      </w:tblCellMar>
    </w:tblPr>
  </w:style>
  <w:style w:type="table" w:customStyle="1" w:styleId="affff0">
    <w:basedOn w:val="TableNormalb"/>
    <w:pPr>
      <w:spacing w:after="0" w:line="240" w:lineRule="auto"/>
    </w:pPr>
    <w:tblPr>
      <w:tblStyleRowBandSize w:val="1"/>
      <w:tblStyleColBandSize w:val="1"/>
      <w:tblCellMar>
        <w:left w:w="108" w:type="dxa"/>
        <w:right w:w="108" w:type="dxa"/>
      </w:tblCellMar>
    </w:tblPr>
  </w:style>
  <w:style w:type="table" w:customStyle="1" w:styleId="affff1">
    <w:basedOn w:val="TableNormalb"/>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a"/>
    <w:pPr>
      <w:spacing w:after="0" w:line="240" w:lineRule="auto"/>
    </w:pPr>
    <w:tblPr>
      <w:tblStyleRowBandSize w:val="1"/>
      <w:tblStyleColBandSize w:val="1"/>
      <w:tblCellMar>
        <w:left w:w="108" w:type="dxa"/>
        <w:right w:w="108" w:type="dxa"/>
      </w:tblCellMar>
    </w:tblPr>
  </w:style>
  <w:style w:type="table" w:customStyle="1" w:styleId="affff3">
    <w:basedOn w:val="TableNormala"/>
    <w:pPr>
      <w:spacing w:after="0" w:line="240" w:lineRule="auto"/>
    </w:pPr>
    <w:tblPr>
      <w:tblStyleRowBandSize w:val="1"/>
      <w:tblStyleColBandSize w:val="1"/>
      <w:tblCellMar>
        <w:left w:w="108" w:type="dxa"/>
        <w:right w:w="108" w:type="dxa"/>
      </w:tblCellMar>
    </w:tblPr>
  </w:style>
  <w:style w:type="table" w:customStyle="1" w:styleId="affff4">
    <w:basedOn w:val="TableNormala"/>
    <w:pPr>
      <w:spacing w:after="0" w:line="240" w:lineRule="auto"/>
    </w:pPr>
    <w:tblPr>
      <w:tblStyleRowBandSize w:val="1"/>
      <w:tblStyleColBandSize w:val="1"/>
      <w:tblCellMar>
        <w:left w:w="108" w:type="dxa"/>
        <w:right w:w="108" w:type="dxa"/>
      </w:tblCellMar>
    </w:tblPr>
  </w:style>
  <w:style w:type="table" w:customStyle="1" w:styleId="affff5">
    <w:basedOn w:val="TableNormala"/>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9"/>
    <w:pPr>
      <w:spacing w:after="0" w:line="240" w:lineRule="auto"/>
    </w:pPr>
    <w:tblPr>
      <w:tblStyleRowBandSize w:val="1"/>
      <w:tblStyleColBandSize w:val="1"/>
      <w:tblCellMar>
        <w:left w:w="108" w:type="dxa"/>
        <w:right w:w="108" w:type="dxa"/>
      </w:tblCellMar>
    </w:tblPr>
  </w:style>
  <w:style w:type="table" w:customStyle="1" w:styleId="affff7">
    <w:basedOn w:val="TableNormal9"/>
    <w:pPr>
      <w:spacing w:after="0" w:line="240" w:lineRule="auto"/>
    </w:pPr>
    <w:tblPr>
      <w:tblStyleRowBandSize w:val="1"/>
      <w:tblStyleColBandSize w:val="1"/>
      <w:tblCellMar>
        <w:left w:w="108" w:type="dxa"/>
        <w:right w:w="108" w:type="dxa"/>
      </w:tblCellMar>
    </w:tblPr>
  </w:style>
  <w:style w:type="table" w:customStyle="1" w:styleId="affff8">
    <w:basedOn w:val="TableNormal9"/>
    <w:pPr>
      <w:spacing w:after="0" w:line="240" w:lineRule="auto"/>
    </w:pPr>
    <w:tblPr>
      <w:tblStyleRowBandSize w:val="1"/>
      <w:tblStyleColBandSize w:val="1"/>
      <w:tblCellMar>
        <w:left w:w="108" w:type="dxa"/>
        <w:right w:w="108" w:type="dxa"/>
      </w:tblCellMar>
    </w:tblPr>
  </w:style>
  <w:style w:type="table" w:customStyle="1" w:styleId="affff9">
    <w:basedOn w:val="TableNormal9"/>
    <w:pPr>
      <w:spacing w:after="0" w:line="240" w:lineRule="auto"/>
    </w:pPr>
    <w:tblPr>
      <w:tblStyleRowBandSize w:val="1"/>
      <w:tblStyleColBandSize w:val="1"/>
      <w:tblCellMar>
        <w:left w:w="108" w:type="dxa"/>
        <w:right w:w="108" w:type="dxa"/>
      </w:tblCellMar>
    </w:tblPr>
  </w:style>
  <w:style w:type="table" w:customStyle="1" w:styleId="affffa">
    <w:basedOn w:val="TableNormal9"/>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8"/>
    <w:pPr>
      <w:spacing w:after="0" w:line="240" w:lineRule="auto"/>
    </w:pPr>
    <w:tblPr>
      <w:tblStyleRowBandSize w:val="1"/>
      <w:tblStyleColBandSize w:val="1"/>
      <w:tblCellMar>
        <w:left w:w="108" w:type="dxa"/>
        <w:right w:w="108" w:type="dxa"/>
      </w:tblCellMar>
    </w:tblPr>
  </w:style>
  <w:style w:type="table" w:customStyle="1" w:styleId="affffc">
    <w:basedOn w:val="TableNormal8"/>
    <w:pPr>
      <w:spacing w:after="0" w:line="240" w:lineRule="auto"/>
    </w:pPr>
    <w:tblPr>
      <w:tblStyleRowBandSize w:val="1"/>
      <w:tblStyleColBandSize w:val="1"/>
      <w:tblCellMar>
        <w:left w:w="108" w:type="dxa"/>
        <w:right w:w="108" w:type="dxa"/>
      </w:tblCellMar>
    </w:tblPr>
  </w:style>
  <w:style w:type="table" w:customStyle="1" w:styleId="affffd">
    <w:basedOn w:val="TableNormal8"/>
    <w:pPr>
      <w:spacing w:after="0" w:line="240" w:lineRule="auto"/>
    </w:pPr>
    <w:tblPr>
      <w:tblStyleRowBandSize w:val="1"/>
      <w:tblStyleColBandSize w:val="1"/>
      <w:tblCellMar>
        <w:left w:w="108" w:type="dxa"/>
        <w:right w:w="108" w:type="dxa"/>
      </w:tblCellMar>
    </w:tblPr>
  </w:style>
  <w:style w:type="table" w:customStyle="1" w:styleId="affffe">
    <w:basedOn w:val="TableNormal8"/>
    <w:pPr>
      <w:spacing w:after="0" w:line="240" w:lineRule="auto"/>
    </w:pPr>
    <w:tblPr>
      <w:tblStyleRowBandSize w:val="1"/>
      <w:tblStyleColBandSize w:val="1"/>
      <w:tblCellMar>
        <w:left w:w="108" w:type="dxa"/>
        <w:right w:w="108" w:type="dxa"/>
      </w:tblCellMar>
    </w:tblPr>
  </w:style>
  <w:style w:type="table" w:customStyle="1" w:styleId="afffff">
    <w:basedOn w:val="TableNormal7"/>
    <w:pPr>
      <w:spacing w:after="0" w:line="240" w:lineRule="auto"/>
    </w:pPr>
    <w:tblPr>
      <w:tblStyleRowBandSize w:val="1"/>
      <w:tblStyleColBandSize w:val="1"/>
      <w:tblCellMar>
        <w:left w:w="108" w:type="dxa"/>
        <w:right w:w="108" w:type="dxa"/>
      </w:tblCellMar>
    </w:tblPr>
  </w:style>
  <w:style w:type="table" w:customStyle="1" w:styleId="afffff0">
    <w:basedOn w:val="TableNormal7"/>
    <w:pPr>
      <w:spacing w:after="0" w:line="240" w:lineRule="auto"/>
    </w:pPr>
    <w:tblPr>
      <w:tblStyleRowBandSize w:val="1"/>
      <w:tblStyleColBandSize w:val="1"/>
      <w:tblCellMar>
        <w:left w:w="108" w:type="dxa"/>
        <w:right w:w="108" w:type="dxa"/>
      </w:tblCellMar>
    </w:tblPr>
  </w:style>
  <w:style w:type="table" w:customStyle="1" w:styleId="afffff1">
    <w:basedOn w:val="TableNormal7"/>
    <w:pPr>
      <w:spacing w:after="0" w:line="240" w:lineRule="auto"/>
    </w:pPr>
    <w:tblPr>
      <w:tblStyleRowBandSize w:val="1"/>
      <w:tblStyleColBandSize w:val="1"/>
      <w:tblCellMar>
        <w:left w:w="108" w:type="dxa"/>
        <w:right w:w="108" w:type="dxa"/>
      </w:tblCellMar>
    </w:tblPr>
  </w:style>
  <w:style w:type="table" w:customStyle="1" w:styleId="afffff2">
    <w:basedOn w:val="TableNormal7"/>
    <w:pPr>
      <w:spacing w:after="0" w:line="240" w:lineRule="auto"/>
    </w:pPr>
    <w:tblPr>
      <w:tblStyleRowBandSize w:val="1"/>
      <w:tblStyleColBandSize w:val="1"/>
      <w:tblCellMar>
        <w:left w:w="108" w:type="dxa"/>
        <w:right w:w="108" w:type="dxa"/>
      </w:tblCellMar>
    </w:tblPr>
  </w:style>
  <w:style w:type="table" w:customStyle="1" w:styleId="afffff3">
    <w:basedOn w:val="TableNormal7"/>
    <w:pPr>
      <w:spacing w:after="0" w:line="240" w:lineRule="auto"/>
    </w:pPr>
    <w:tblPr>
      <w:tblStyleRowBandSize w:val="1"/>
      <w:tblStyleColBandSize w:val="1"/>
      <w:tblCellMar>
        <w:left w:w="108" w:type="dxa"/>
        <w:right w:w="108" w:type="dxa"/>
      </w:tblCellMar>
    </w:tblPr>
  </w:style>
  <w:style w:type="table" w:customStyle="1" w:styleId="afffff4">
    <w:basedOn w:val="TableNormal6"/>
    <w:pPr>
      <w:spacing w:after="0" w:line="240" w:lineRule="auto"/>
    </w:pPr>
    <w:tblPr>
      <w:tblStyleRowBandSize w:val="1"/>
      <w:tblStyleColBandSize w:val="1"/>
      <w:tblCellMar>
        <w:left w:w="108" w:type="dxa"/>
        <w:right w:w="108" w:type="dxa"/>
      </w:tblCellMar>
    </w:tblPr>
  </w:style>
  <w:style w:type="table" w:customStyle="1" w:styleId="afffff5">
    <w:basedOn w:val="TableNormal6"/>
    <w:pPr>
      <w:spacing w:after="0" w:line="240" w:lineRule="auto"/>
    </w:pPr>
    <w:tblPr>
      <w:tblStyleRowBandSize w:val="1"/>
      <w:tblStyleColBandSize w:val="1"/>
      <w:tblCellMar>
        <w:left w:w="108" w:type="dxa"/>
        <w:right w:w="108" w:type="dxa"/>
      </w:tblCellMar>
    </w:tblPr>
  </w:style>
  <w:style w:type="table" w:customStyle="1" w:styleId="afffff6">
    <w:basedOn w:val="TableNormal6"/>
    <w:pPr>
      <w:spacing w:after="0" w:line="240" w:lineRule="auto"/>
    </w:pPr>
    <w:tblPr>
      <w:tblStyleRowBandSize w:val="1"/>
      <w:tblStyleColBandSize w:val="1"/>
      <w:tblCellMar>
        <w:left w:w="108" w:type="dxa"/>
        <w:right w:w="108" w:type="dxa"/>
      </w:tblCellMar>
    </w:tblPr>
  </w:style>
  <w:style w:type="table" w:customStyle="1" w:styleId="afffff7">
    <w:basedOn w:val="TableNormal6"/>
    <w:pPr>
      <w:spacing w:after="0" w:line="240" w:lineRule="auto"/>
    </w:pPr>
    <w:tblPr>
      <w:tblStyleRowBandSize w:val="1"/>
      <w:tblStyleColBandSize w:val="1"/>
      <w:tblCellMar>
        <w:left w:w="108" w:type="dxa"/>
        <w:right w:w="108" w:type="dxa"/>
      </w:tblCellMar>
    </w:tblPr>
  </w:style>
  <w:style w:type="table" w:customStyle="1" w:styleId="afffff8">
    <w:basedOn w:val="TableNormal5"/>
    <w:pPr>
      <w:spacing w:after="0" w:line="240" w:lineRule="auto"/>
    </w:pPr>
    <w:tblPr>
      <w:tblStyleRowBandSize w:val="1"/>
      <w:tblStyleColBandSize w:val="1"/>
      <w:tblCellMar>
        <w:left w:w="108" w:type="dxa"/>
        <w:right w:w="108" w:type="dxa"/>
      </w:tblCellMar>
    </w:tblPr>
  </w:style>
  <w:style w:type="table" w:customStyle="1" w:styleId="afffff9">
    <w:basedOn w:val="TableNormal5"/>
    <w:pPr>
      <w:spacing w:after="0" w:line="240" w:lineRule="auto"/>
    </w:pPr>
    <w:tblPr>
      <w:tblStyleRowBandSize w:val="1"/>
      <w:tblStyleColBandSize w:val="1"/>
      <w:tblCellMar>
        <w:left w:w="108" w:type="dxa"/>
        <w:right w:w="108" w:type="dxa"/>
      </w:tblCellMar>
    </w:tblPr>
  </w:style>
  <w:style w:type="table" w:customStyle="1" w:styleId="afffffa">
    <w:basedOn w:val="TableNormal5"/>
    <w:pPr>
      <w:spacing w:after="0" w:line="240" w:lineRule="auto"/>
    </w:pPr>
    <w:tblPr>
      <w:tblStyleRowBandSize w:val="1"/>
      <w:tblStyleColBandSize w:val="1"/>
      <w:tblCellMar>
        <w:left w:w="108" w:type="dxa"/>
        <w:right w:w="108" w:type="dxa"/>
      </w:tblCellMar>
    </w:tblPr>
  </w:style>
  <w:style w:type="table" w:customStyle="1" w:styleId="afffffb">
    <w:basedOn w:val="TableNormal5"/>
    <w:pPr>
      <w:spacing w:after="0" w:line="240" w:lineRule="auto"/>
    </w:pPr>
    <w:tblPr>
      <w:tblStyleRowBandSize w:val="1"/>
      <w:tblStyleColBandSize w:val="1"/>
      <w:tblCellMar>
        <w:left w:w="108" w:type="dxa"/>
        <w:right w:w="108" w:type="dxa"/>
      </w:tblCellMar>
    </w:tblPr>
  </w:style>
  <w:style w:type="table" w:customStyle="1" w:styleId="afffffc">
    <w:basedOn w:val="TableNormal5"/>
    <w:pPr>
      <w:spacing w:after="0" w:line="240" w:lineRule="auto"/>
    </w:pPr>
    <w:tblPr>
      <w:tblStyleRowBandSize w:val="1"/>
      <w:tblStyleColBandSize w:val="1"/>
      <w:tblCellMar>
        <w:left w:w="108" w:type="dxa"/>
        <w:right w:w="108" w:type="dxa"/>
      </w:tblCellMar>
    </w:tblPr>
  </w:style>
  <w:style w:type="table" w:customStyle="1" w:styleId="afffffd">
    <w:basedOn w:val="TableNormal5"/>
    <w:pPr>
      <w:spacing w:after="0" w:line="240" w:lineRule="auto"/>
    </w:pPr>
    <w:tblPr>
      <w:tblStyleRowBandSize w:val="1"/>
      <w:tblStyleColBandSize w:val="1"/>
      <w:tblCellMar>
        <w:left w:w="108" w:type="dxa"/>
        <w:right w:w="108" w:type="dxa"/>
      </w:tblCellMar>
    </w:tblPr>
  </w:style>
  <w:style w:type="table" w:customStyle="1" w:styleId="afffffe">
    <w:basedOn w:val="TableNormal4"/>
    <w:pPr>
      <w:spacing w:after="0" w:line="240" w:lineRule="auto"/>
    </w:pPr>
    <w:tblPr>
      <w:tblStyleRowBandSize w:val="1"/>
      <w:tblStyleColBandSize w:val="1"/>
      <w:tblCellMar>
        <w:left w:w="108" w:type="dxa"/>
        <w:right w:w="108" w:type="dxa"/>
      </w:tblCellMar>
    </w:tblPr>
  </w:style>
  <w:style w:type="table" w:customStyle="1" w:styleId="affffff">
    <w:basedOn w:val="TableNormal4"/>
    <w:pPr>
      <w:spacing w:after="0" w:line="240" w:lineRule="auto"/>
    </w:pPr>
    <w:tblPr>
      <w:tblStyleRowBandSize w:val="1"/>
      <w:tblStyleColBandSize w:val="1"/>
      <w:tblCellMar>
        <w:left w:w="108" w:type="dxa"/>
        <w:right w:w="108" w:type="dxa"/>
      </w:tblCellMar>
    </w:tblPr>
  </w:style>
  <w:style w:type="table" w:customStyle="1" w:styleId="affffff0">
    <w:basedOn w:val="TableNormal4"/>
    <w:pPr>
      <w:spacing w:after="0" w:line="240" w:lineRule="auto"/>
    </w:pPr>
    <w:tblPr>
      <w:tblStyleRowBandSize w:val="1"/>
      <w:tblStyleColBandSize w:val="1"/>
      <w:tblCellMar>
        <w:left w:w="108" w:type="dxa"/>
        <w:right w:w="108" w:type="dxa"/>
      </w:tblCellMar>
    </w:tblPr>
  </w:style>
  <w:style w:type="table" w:customStyle="1" w:styleId="affffff1">
    <w:basedOn w:val="TableNormal4"/>
    <w:pPr>
      <w:spacing w:after="0" w:line="240" w:lineRule="auto"/>
    </w:pPr>
    <w:tblPr>
      <w:tblStyleRowBandSize w:val="1"/>
      <w:tblStyleColBandSize w:val="1"/>
      <w:tblCellMar>
        <w:left w:w="108" w:type="dxa"/>
        <w:right w:w="108" w:type="dxa"/>
      </w:tblCellMar>
    </w:tblPr>
  </w:style>
  <w:style w:type="table" w:customStyle="1" w:styleId="affffff2">
    <w:basedOn w:val="TableNormal4"/>
    <w:pPr>
      <w:spacing w:after="0" w:line="240" w:lineRule="auto"/>
    </w:pPr>
    <w:tblPr>
      <w:tblStyleRowBandSize w:val="1"/>
      <w:tblStyleColBandSize w:val="1"/>
      <w:tblCellMar>
        <w:left w:w="108" w:type="dxa"/>
        <w:right w:w="108" w:type="dxa"/>
      </w:tblCellMar>
    </w:tblPr>
  </w:style>
  <w:style w:type="table" w:customStyle="1" w:styleId="affffff3">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00432B"/>
    <w:rPr>
      <w:color w:val="605E5C"/>
      <w:shd w:val="clear" w:color="auto" w:fill="E1DFDD"/>
    </w:rPr>
  </w:style>
  <w:style w:type="table" w:customStyle="1" w:styleId="affffff4">
    <w:basedOn w:val="TableNormal3"/>
    <w:pPr>
      <w:spacing w:after="0" w:line="240" w:lineRule="auto"/>
    </w:pPr>
    <w:tblPr>
      <w:tblStyleRowBandSize w:val="1"/>
      <w:tblStyleColBandSize w:val="1"/>
      <w:tblCellMar>
        <w:left w:w="108" w:type="dxa"/>
        <w:right w:w="108" w:type="dxa"/>
      </w:tblCellMar>
    </w:tblPr>
  </w:style>
  <w:style w:type="table" w:customStyle="1" w:styleId="affffff5">
    <w:basedOn w:val="TableNormal3"/>
    <w:pPr>
      <w:spacing w:after="0" w:line="240" w:lineRule="auto"/>
    </w:pPr>
    <w:tblPr>
      <w:tblStyleRowBandSize w:val="1"/>
      <w:tblStyleColBandSize w:val="1"/>
      <w:tblCellMar>
        <w:left w:w="108" w:type="dxa"/>
        <w:right w:w="108" w:type="dxa"/>
      </w:tblCellMar>
    </w:tblPr>
  </w:style>
  <w:style w:type="table" w:customStyle="1" w:styleId="affffff6">
    <w:basedOn w:val="TableNormal3"/>
    <w:pPr>
      <w:spacing w:after="0" w:line="240" w:lineRule="auto"/>
    </w:pPr>
    <w:tblPr>
      <w:tblStyleRowBandSize w:val="1"/>
      <w:tblStyleColBandSize w:val="1"/>
      <w:tblCellMar>
        <w:left w:w="108" w:type="dxa"/>
        <w:right w:w="108" w:type="dxa"/>
      </w:tblCellMar>
    </w:tblPr>
  </w:style>
  <w:style w:type="table" w:customStyle="1" w:styleId="affffff7">
    <w:basedOn w:val="TableNormal3"/>
    <w:pPr>
      <w:spacing w:after="0" w:line="240" w:lineRule="auto"/>
    </w:pPr>
    <w:tblPr>
      <w:tblStyleRowBandSize w:val="1"/>
      <w:tblStyleColBandSize w:val="1"/>
      <w:tblCellMar>
        <w:left w:w="108" w:type="dxa"/>
        <w:right w:w="108" w:type="dxa"/>
      </w:tblCellMar>
    </w:tblPr>
  </w:style>
  <w:style w:type="table" w:customStyle="1" w:styleId="affffff8">
    <w:basedOn w:val="TableNormal2"/>
    <w:pPr>
      <w:spacing w:after="0" w:line="240" w:lineRule="auto"/>
    </w:pPr>
    <w:tblPr>
      <w:tblStyleRowBandSize w:val="1"/>
      <w:tblStyleColBandSize w:val="1"/>
      <w:tblCellMar>
        <w:left w:w="108" w:type="dxa"/>
        <w:right w:w="108" w:type="dxa"/>
      </w:tblCellMar>
    </w:tblPr>
  </w:style>
  <w:style w:type="table" w:customStyle="1" w:styleId="affffff9">
    <w:basedOn w:val="TableNormal2"/>
    <w:pPr>
      <w:spacing w:after="0" w:line="240" w:lineRule="auto"/>
    </w:pPr>
    <w:tblPr>
      <w:tblStyleRowBandSize w:val="1"/>
      <w:tblStyleColBandSize w:val="1"/>
      <w:tblCellMar>
        <w:left w:w="108" w:type="dxa"/>
        <w:right w:w="108" w:type="dxa"/>
      </w:tblCellMar>
    </w:tblPr>
  </w:style>
  <w:style w:type="table" w:customStyle="1" w:styleId="affffffa">
    <w:basedOn w:val="TableNormal2"/>
    <w:pPr>
      <w:spacing w:after="0" w:line="240" w:lineRule="auto"/>
    </w:pPr>
    <w:tblPr>
      <w:tblStyleRowBandSize w:val="1"/>
      <w:tblStyleColBandSize w:val="1"/>
      <w:tblCellMar>
        <w:left w:w="108" w:type="dxa"/>
        <w:right w:w="108" w:type="dxa"/>
      </w:tblCellMar>
    </w:tblPr>
  </w:style>
  <w:style w:type="table" w:customStyle="1" w:styleId="affffffb">
    <w:basedOn w:val="TableNormal2"/>
    <w:pPr>
      <w:spacing w:after="0" w:line="240" w:lineRule="auto"/>
    </w:pPr>
    <w:tblPr>
      <w:tblStyleRowBandSize w:val="1"/>
      <w:tblStyleColBandSize w:val="1"/>
      <w:tblCellMar>
        <w:left w:w="108" w:type="dxa"/>
        <w:right w:w="108" w:type="dxa"/>
      </w:tblCellMar>
    </w:tblPr>
  </w:style>
  <w:style w:type="table" w:customStyle="1" w:styleId="affffffc">
    <w:basedOn w:val="TableNormal1"/>
    <w:pPr>
      <w:spacing w:after="0" w:line="240" w:lineRule="auto"/>
    </w:pPr>
    <w:tblPr>
      <w:tblStyleRowBandSize w:val="1"/>
      <w:tblStyleColBandSize w:val="1"/>
      <w:tblCellMar>
        <w:left w:w="108" w:type="dxa"/>
        <w:right w:w="108" w:type="dxa"/>
      </w:tblCellMar>
    </w:tblPr>
  </w:style>
  <w:style w:type="table" w:customStyle="1" w:styleId="affffffd">
    <w:basedOn w:val="TableNormal1"/>
    <w:pPr>
      <w:spacing w:after="0" w:line="240" w:lineRule="auto"/>
    </w:pPr>
    <w:tblPr>
      <w:tblStyleRowBandSize w:val="1"/>
      <w:tblStyleColBandSize w:val="1"/>
      <w:tblCellMar>
        <w:left w:w="108" w:type="dxa"/>
        <w:right w:w="108" w:type="dxa"/>
      </w:tblCellMar>
    </w:tblPr>
  </w:style>
  <w:style w:type="table" w:customStyle="1" w:styleId="affffffe">
    <w:basedOn w:val="TableNormal1"/>
    <w:pPr>
      <w:spacing w:after="0" w:line="240" w:lineRule="auto"/>
    </w:pPr>
    <w:tblPr>
      <w:tblStyleRowBandSize w:val="1"/>
      <w:tblStyleColBandSize w:val="1"/>
      <w:tblCellMar>
        <w:left w:w="108" w:type="dxa"/>
        <w:right w:w="108" w:type="dxa"/>
      </w:tblCellMar>
    </w:tblPr>
  </w:style>
  <w:style w:type="table" w:customStyle="1" w:styleId="afffffff">
    <w:basedOn w:val="TableNormal1"/>
    <w:pPr>
      <w:spacing w:after="0" w:line="240" w:lineRule="auto"/>
    </w:pPr>
    <w:tblPr>
      <w:tblStyleRowBandSize w:val="1"/>
      <w:tblStyleColBandSize w:val="1"/>
      <w:tblCellMar>
        <w:left w:w="108" w:type="dxa"/>
        <w:right w:w="108" w:type="dxa"/>
      </w:tblCellMar>
    </w:tblPr>
  </w:style>
  <w:style w:type="character" w:customStyle="1" w:styleId="UnresolvedMention">
    <w:name w:val="Unresolved Mention"/>
    <w:basedOn w:val="Fuentedeprrafopredeter"/>
    <w:uiPriority w:val="99"/>
    <w:semiHidden/>
    <w:unhideWhenUsed/>
    <w:rsid w:val="00D53A41"/>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legislacion.edomex.gob.mx/sites/legislacion.edomex.gob.mx/files/files/vigentes/dic185.PDF"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x2Efde5yfdb3Df0cvSGJc1Nyxg==">CgMxLjAyDmguejAycTl0MW11NW5kMghoLmdqZGd4czINaC4xNGZ3bXBieHhxODIOaC5zdnF6ZDA2aWdweHUyDmguZzFibnV4bDM1dDVuMgloLjJldDkycDAyDmguM3RrdWhrbGhsYzUzMg5oLjNraXV6dXBsbmQxajIOaC51N2h2cmxwb3gyaHYyDmgucm8yOGN6MWt2a2s3Mg5oLjc3NWxrY3B5a3JiaTIOaC5oeDdhZ2s2NmJxaHUyDmguOTcwdG5vcmx5OTh1Mg5oLnZ3Znl2bWs4Z3FxdzIOaC51YjVtdDNucWI4bmc4AHIhMTRtOXEtWmZLTzhsajA5WG9oN0E2elJjaVJfWTQyaTY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855CA4-F918-489E-88FB-476C92EC6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3989</Words>
  <Characters>21944</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2025-11-21T19:55:00Z</cp:lastPrinted>
  <dcterms:created xsi:type="dcterms:W3CDTF">2025-11-21T19:55:00Z</dcterms:created>
  <dcterms:modified xsi:type="dcterms:W3CDTF">2025-11-21T19:56:00Z</dcterms:modified>
</cp:coreProperties>
</file>