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C963FE" w:rsidRDefault="00AE370C" w:rsidP="006331CD">
          <w:pPr>
            <w:pStyle w:val="TtulodeTDC"/>
            <w:spacing w:line="360" w:lineRule="auto"/>
            <w:rPr>
              <w:color w:val="auto"/>
            </w:rPr>
          </w:pPr>
          <w:r w:rsidRPr="00C963FE">
            <w:rPr>
              <w:color w:val="auto"/>
              <w:lang w:val="es-ES"/>
            </w:rPr>
            <w:t>Contenido</w:t>
          </w:r>
        </w:p>
        <w:p w14:paraId="1569E8D8" w14:textId="77777777" w:rsidR="006331CD" w:rsidRPr="00C963FE" w:rsidRDefault="00AE370C" w:rsidP="006331CD">
          <w:pPr>
            <w:pStyle w:val="TDC1"/>
            <w:tabs>
              <w:tab w:val="right" w:leader="dot" w:pos="9034"/>
            </w:tabs>
            <w:rPr>
              <w:rFonts w:asciiTheme="minorHAnsi" w:eastAsiaTheme="minorEastAsia" w:hAnsiTheme="minorHAnsi" w:cstheme="minorBidi"/>
              <w:noProof/>
              <w:szCs w:val="22"/>
              <w:lang w:eastAsia="es-MX"/>
            </w:rPr>
          </w:pPr>
          <w:r w:rsidRPr="00C963FE">
            <w:rPr>
              <w:b/>
              <w:bCs/>
              <w:lang w:val="es-ES"/>
            </w:rPr>
            <w:fldChar w:fldCharType="begin"/>
          </w:r>
          <w:r w:rsidRPr="00C963FE">
            <w:rPr>
              <w:b/>
              <w:bCs/>
              <w:lang w:val="es-ES"/>
            </w:rPr>
            <w:instrText xml:space="preserve"> TOC \o "1-3" \h \z \u </w:instrText>
          </w:r>
          <w:r w:rsidRPr="00C963FE">
            <w:rPr>
              <w:b/>
              <w:bCs/>
              <w:lang w:val="es-ES"/>
            </w:rPr>
            <w:fldChar w:fldCharType="separate"/>
          </w:r>
          <w:hyperlink w:anchor="_Toc210805581" w:history="1">
            <w:r w:rsidR="006331CD" w:rsidRPr="00C963FE">
              <w:rPr>
                <w:rStyle w:val="Hipervnculo"/>
                <w:rFonts w:eastAsiaTheme="majorEastAsia"/>
                <w:noProof/>
                <w:color w:val="auto"/>
              </w:rPr>
              <w:t>ANTECEDENTES</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_Toc210805581 \h </w:instrText>
            </w:r>
            <w:r w:rsidR="006331CD" w:rsidRPr="00C963FE">
              <w:rPr>
                <w:noProof/>
                <w:webHidden/>
              </w:rPr>
            </w:r>
            <w:r w:rsidR="006331CD" w:rsidRPr="00C963FE">
              <w:rPr>
                <w:noProof/>
                <w:webHidden/>
              </w:rPr>
              <w:fldChar w:fldCharType="separate"/>
            </w:r>
            <w:r w:rsidR="00C963FE">
              <w:rPr>
                <w:noProof/>
                <w:webHidden/>
              </w:rPr>
              <w:t>1</w:t>
            </w:r>
            <w:r w:rsidR="006331CD" w:rsidRPr="00C963FE">
              <w:rPr>
                <w:noProof/>
                <w:webHidden/>
              </w:rPr>
              <w:fldChar w:fldCharType="end"/>
            </w:r>
          </w:hyperlink>
        </w:p>
        <w:p w14:paraId="1B165F58" w14:textId="77777777" w:rsidR="006331CD" w:rsidRPr="00C963FE" w:rsidRDefault="006F38A9" w:rsidP="006331CD">
          <w:pPr>
            <w:pStyle w:val="TDC2"/>
            <w:rPr>
              <w:rFonts w:asciiTheme="minorHAnsi" w:eastAsiaTheme="minorEastAsia" w:hAnsiTheme="minorHAnsi" w:cstheme="minorBidi"/>
              <w:noProof/>
              <w:szCs w:val="22"/>
              <w:lang w:eastAsia="es-MX"/>
            </w:rPr>
          </w:pPr>
          <w:hyperlink w:anchor="_Toc210805582" w:history="1">
            <w:r w:rsidR="006331CD" w:rsidRPr="00C963FE">
              <w:rPr>
                <w:rStyle w:val="Hipervnculo"/>
                <w:rFonts w:eastAsiaTheme="majorEastAsia"/>
                <w:noProof/>
                <w:color w:val="auto"/>
              </w:rPr>
              <w:t>DE LA SOLICITUD DE INFORMACIÓN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_Toc210805582 \h </w:instrText>
            </w:r>
            <w:r w:rsidR="006331CD" w:rsidRPr="00C963FE">
              <w:rPr>
                <w:noProof/>
                <w:webHidden/>
              </w:rPr>
            </w:r>
            <w:r w:rsidR="006331CD" w:rsidRPr="00C963FE">
              <w:rPr>
                <w:noProof/>
                <w:webHidden/>
              </w:rPr>
              <w:fldChar w:fldCharType="separate"/>
            </w:r>
            <w:r w:rsidR="00C963FE">
              <w:rPr>
                <w:noProof/>
                <w:webHidden/>
              </w:rPr>
              <w:t>1</w:t>
            </w:r>
            <w:r w:rsidR="006331CD" w:rsidRPr="00C963FE">
              <w:rPr>
                <w:noProof/>
                <w:webHidden/>
              </w:rPr>
              <w:fldChar w:fldCharType="end"/>
            </w:r>
          </w:hyperlink>
        </w:p>
        <w:p w14:paraId="44546146"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83" w:history="1">
            <w:r w:rsidR="006331CD" w:rsidRPr="00C963FE">
              <w:rPr>
                <w:rStyle w:val="Hipervnculo"/>
                <w:rFonts w:eastAsiaTheme="majorEastAsia"/>
                <w:noProof/>
                <w:color w:val="auto"/>
              </w:rPr>
              <w:t>a) Solicitud de información.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_Toc210805583 \h </w:instrText>
            </w:r>
            <w:r w:rsidR="006331CD" w:rsidRPr="00C963FE">
              <w:rPr>
                <w:noProof/>
                <w:webHidden/>
              </w:rPr>
            </w:r>
            <w:r w:rsidR="006331CD" w:rsidRPr="00C963FE">
              <w:rPr>
                <w:noProof/>
                <w:webHidden/>
              </w:rPr>
              <w:fldChar w:fldCharType="separate"/>
            </w:r>
            <w:r w:rsidR="00C963FE">
              <w:rPr>
                <w:noProof/>
                <w:webHidden/>
              </w:rPr>
              <w:t>1</w:t>
            </w:r>
            <w:r w:rsidR="006331CD" w:rsidRPr="00C963FE">
              <w:rPr>
                <w:noProof/>
                <w:webHidden/>
              </w:rPr>
              <w:fldChar w:fldCharType="end"/>
            </w:r>
          </w:hyperlink>
        </w:p>
        <w:p w14:paraId="74249E02"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84" w:history="1">
            <w:r w:rsidR="006331CD" w:rsidRPr="00C963FE">
              <w:rPr>
                <w:rStyle w:val="Hipervnculo"/>
                <w:rFonts w:eastAsiaTheme="majorEastAsia"/>
                <w:noProof/>
                <w:color w:val="auto"/>
              </w:rPr>
              <w:t>b) Turno de la solicitud de información.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_Toc210805584 \h </w:instrText>
            </w:r>
            <w:r w:rsidR="006331CD" w:rsidRPr="00C963FE">
              <w:rPr>
                <w:noProof/>
                <w:webHidden/>
              </w:rPr>
            </w:r>
            <w:r w:rsidR="006331CD" w:rsidRPr="00C963FE">
              <w:rPr>
                <w:noProof/>
                <w:webHidden/>
              </w:rPr>
              <w:fldChar w:fldCharType="separate"/>
            </w:r>
            <w:r w:rsidR="00C963FE">
              <w:rPr>
                <w:noProof/>
                <w:webHidden/>
              </w:rPr>
              <w:t>2</w:t>
            </w:r>
            <w:r w:rsidR="006331CD" w:rsidRPr="00C963FE">
              <w:rPr>
                <w:noProof/>
                <w:webHidden/>
              </w:rPr>
              <w:fldChar w:fldCharType="end"/>
            </w:r>
          </w:hyperlink>
        </w:p>
        <w:p w14:paraId="3BCE9BED"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85" w:history="1">
            <w:r w:rsidR="006331CD" w:rsidRPr="00C963FE">
              <w:rPr>
                <w:rStyle w:val="Hipervnculo"/>
                <w:rFonts w:eastAsiaTheme="majorEastAsia"/>
                <w:noProof/>
                <w:color w:val="auto"/>
              </w:rPr>
              <w:t>c) Respuesta del Sujeto Obligado.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_Toc210805585 \h </w:instrText>
            </w:r>
            <w:r w:rsidR="006331CD" w:rsidRPr="00C963FE">
              <w:rPr>
                <w:noProof/>
                <w:webHidden/>
              </w:rPr>
            </w:r>
            <w:r w:rsidR="006331CD" w:rsidRPr="00C963FE">
              <w:rPr>
                <w:noProof/>
                <w:webHidden/>
              </w:rPr>
              <w:fldChar w:fldCharType="separate"/>
            </w:r>
            <w:r w:rsidR="00C963FE">
              <w:rPr>
                <w:noProof/>
                <w:webHidden/>
              </w:rPr>
              <w:t>2</w:t>
            </w:r>
            <w:r w:rsidR="006331CD" w:rsidRPr="00C963FE">
              <w:rPr>
                <w:noProof/>
                <w:webHidden/>
              </w:rPr>
              <w:fldChar w:fldCharType="end"/>
            </w:r>
          </w:hyperlink>
        </w:p>
        <w:p w14:paraId="0040ADD7" w14:textId="77777777" w:rsidR="006331CD" w:rsidRPr="00C963FE" w:rsidRDefault="006F38A9" w:rsidP="006331CD">
          <w:pPr>
            <w:pStyle w:val="TDC2"/>
            <w:rPr>
              <w:rFonts w:asciiTheme="minorHAnsi" w:eastAsiaTheme="minorEastAsia" w:hAnsiTheme="minorHAnsi" w:cstheme="minorBidi"/>
              <w:noProof/>
              <w:szCs w:val="22"/>
              <w:lang w:eastAsia="es-MX"/>
            </w:rPr>
          </w:pPr>
          <w:hyperlink w:anchor="_Toc210805586" w:history="1">
            <w:r w:rsidR="006331CD" w:rsidRPr="00C963FE">
              <w:rPr>
                <w:rStyle w:val="Hipervnculo"/>
                <w:rFonts w:eastAsiaTheme="majorEastAsia"/>
                <w:noProof/>
                <w:color w:val="auto"/>
              </w:rPr>
              <w:t>DEL RECURSO DE REVISIÓN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_Toc210805586 \h </w:instrText>
            </w:r>
            <w:r w:rsidR="006331CD" w:rsidRPr="00C963FE">
              <w:rPr>
                <w:noProof/>
                <w:webHidden/>
              </w:rPr>
            </w:r>
            <w:r w:rsidR="006331CD" w:rsidRPr="00C963FE">
              <w:rPr>
                <w:noProof/>
                <w:webHidden/>
              </w:rPr>
              <w:fldChar w:fldCharType="separate"/>
            </w:r>
            <w:r w:rsidR="00C963FE">
              <w:rPr>
                <w:noProof/>
                <w:webHidden/>
              </w:rPr>
              <w:t>3</w:t>
            </w:r>
            <w:r w:rsidR="006331CD" w:rsidRPr="00C963FE">
              <w:rPr>
                <w:noProof/>
                <w:webHidden/>
              </w:rPr>
              <w:fldChar w:fldCharType="end"/>
            </w:r>
          </w:hyperlink>
        </w:p>
        <w:p w14:paraId="4C59C34F"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87" w:history="1">
            <w:r w:rsidR="006331CD" w:rsidRPr="00C963FE">
              <w:rPr>
                <w:rStyle w:val="Hipervnculo"/>
                <w:rFonts w:eastAsiaTheme="majorEastAsia"/>
                <w:noProof/>
                <w:color w:val="auto"/>
              </w:rPr>
              <w:t>a) Interposición del Recurso de Revisión.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_Toc210805587 \h </w:instrText>
            </w:r>
            <w:r w:rsidR="006331CD" w:rsidRPr="00C963FE">
              <w:rPr>
                <w:noProof/>
                <w:webHidden/>
              </w:rPr>
            </w:r>
            <w:r w:rsidR="006331CD" w:rsidRPr="00C963FE">
              <w:rPr>
                <w:noProof/>
                <w:webHidden/>
              </w:rPr>
              <w:fldChar w:fldCharType="separate"/>
            </w:r>
            <w:r w:rsidR="00C963FE">
              <w:rPr>
                <w:noProof/>
                <w:webHidden/>
              </w:rPr>
              <w:t>3</w:t>
            </w:r>
            <w:r w:rsidR="006331CD" w:rsidRPr="00C963FE">
              <w:rPr>
                <w:noProof/>
                <w:webHidden/>
              </w:rPr>
              <w:fldChar w:fldCharType="end"/>
            </w:r>
          </w:hyperlink>
        </w:p>
        <w:p w14:paraId="2AA67C01"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88" w:history="1">
            <w:r w:rsidR="006331CD" w:rsidRPr="00C963FE">
              <w:rPr>
                <w:rStyle w:val="Hipervnculo"/>
                <w:rFonts w:eastAsiaTheme="majorEastAsia"/>
                <w:noProof/>
                <w:color w:val="auto"/>
              </w:rPr>
              <w:t>b) Turno del Recurso de Revisión.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_Toc210805588 \h </w:instrText>
            </w:r>
            <w:r w:rsidR="006331CD" w:rsidRPr="00C963FE">
              <w:rPr>
                <w:noProof/>
                <w:webHidden/>
              </w:rPr>
            </w:r>
            <w:r w:rsidR="006331CD" w:rsidRPr="00C963FE">
              <w:rPr>
                <w:noProof/>
                <w:webHidden/>
              </w:rPr>
              <w:fldChar w:fldCharType="separate"/>
            </w:r>
            <w:r w:rsidR="00C963FE">
              <w:rPr>
                <w:noProof/>
                <w:webHidden/>
              </w:rPr>
              <w:t>4</w:t>
            </w:r>
            <w:r w:rsidR="006331CD" w:rsidRPr="00C963FE">
              <w:rPr>
                <w:noProof/>
                <w:webHidden/>
              </w:rPr>
              <w:fldChar w:fldCharType="end"/>
            </w:r>
          </w:hyperlink>
        </w:p>
        <w:p w14:paraId="4FEFED1B"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89" w:history="1">
            <w:r w:rsidR="006331CD" w:rsidRPr="00C963FE">
              <w:rPr>
                <w:rStyle w:val="Hipervnculo"/>
                <w:rFonts w:eastAsiaTheme="majorEastAsia"/>
                <w:noProof/>
                <w:color w:val="auto"/>
              </w:rPr>
              <w:t>c) Admisión del Recurso de Revisión.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_Toc210805589 \h </w:instrText>
            </w:r>
            <w:r w:rsidR="006331CD" w:rsidRPr="00C963FE">
              <w:rPr>
                <w:noProof/>
                <w:webHidden/>
              </w:rPr>
            </w:r>
            <w:r w:rsidR="006331CD" w:rsidRPr="00C963FE">
              <w:rPr>
                <w:noProof/>
                <w:webHidden/>
              </w:rPr>
              <w:fldChar w:fldCharType="separate"/>
            </w:r>
            <w:r w:rsidR="00C963FE">
              <w:rPr>
                <w:noProof/>
                <w:webHidden/>
              </w:rPr>
              <w:t>4</w:t>
            </w:r>
            <w:r w:rsidR="006331CD" w:rsidRPr="00C963FE">
              <w:rPr>
                <w:noProof/>
                <w:webHidden/>
              </w:rPr>
              <w:fldChar w:fldCharType="end"/>
            </w:r>
          </w:hyperlink>
        </w:p>
        <w:p w14:paraId="42680E3C"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0" w:history="1">
            <w:r w:rsidR="006331CD" w:rsidRPr="00C963FE">
              <w:rPr>
                <w:rStyle w:val="Hipervnculo"/>
                <w:rFonts w:eastAsiaTheme="majorEastAsia"/>
                <w:noProof/>
                <w:color w:val="auto"/>
              </w:rPr>
              <w:t>d) Manifestaciones de la Parte Recurrente.</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_Toc210805590 \h </w:instrText>
            </w:r>
            <w:r w:rsidR="006331CD" w:rsidRPr="00C963FE">
              <w:rPr>
                <w:noProof/>
                <w:webHidden/>
              </w:rPr>
            </w:r>
            <w:r w:rsidR="006331CD" w:rsidRPr="00C963FE">
              <w:rPr>
                <w:noProof/>
                <w:webHidden/>
              </w:rPr>
              <w:fldChar w:fldCharType="separate"/>
            </w:r>
            <w:r w:rsidR="00C963FE">
              <w:rPr>
                <w:noProof/>
                <w:webHidden/>
              </w:rPr>
              <w:t>4</w:t>
            </w:r>
            <w:r w:rsidR="006331CD" w:rsidRPr="00C963FE">
              <w:rPr>
                <w:noProof/>
                <w:webHidden/>
              </w:rPr>
              <w:fldChar w:fldCharType="end"/>
            </w:r>
          </w:hyperlink>
        </w:p>
        <w:p w14:paraId="2CF6DD14"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1" w:history="1">
            <w:r w:rsidR="006331CD" w:rsidRPr="00C963FE">
              <w:rPr>
                <w:rStyle w:val="Hipervnculo"/>
                <w:rFonts w:eastAsiaTheme="majorEastAsia"/>
                <w:noProof/>
                <w:color w:val="auto"/>
              </w:rPr>
              <w:t>e) Informe justificado del Sujeto Obligado.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_Toc210805591 \h </w:instrText>
            </w:r>
            <w:r w:rsidR="006331CD" w:rsidRPr="00C963FE">
              <w:rPr>
                <w:noProof/>
                <w:webHidden/>
              </w:rPr>
            </w:r>
            <w:r w:rsidR="006331CD" w:rsidRPr="00C963FE">
              <w:rPr>
                <w:noProof/>
                <w:webHidden/>
              </w:rPr>
              <w:fldChar w:fldCharType="separate"/>
            </w:r>
            <w:r w:rsidR="00C963FE">
              <w:rPr>
                <w:noProof/>
                <w:webHidden/>
              </w:rPr>
              <w:t>5</w:t>
            </w:r>
            <w:r w:rsidR="006331CD" w:rsidRPr="00C963FE">
              <w:rPr>
                <w:noProof/>
                <w:webHidden/>
              </w:rPr>
              <w:fldChar w:fldCharType="end"/>
            </w:r>
          </w:hyperlink>
        </w:p>
        <w:p w14:paraId="158C1478"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2" w:history="1">
            <w:r w:rsidR="006331CD" w:rsidRPr="00C963FE">
              <w:rPr>
                <w:rStyle w:val="Hipervnculo"/>
                <w:rFonts w:eastAsiaTheme="majorEastAsia"/>
                <w:noProof/>
                <w:color w:val="auto"/>
              </w:rPr>
              <w:t>f) Ampliación de Plazo para Resolver</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_Toc210805592 \h </w:instrText>
            </w:r>
            <w:r w:rsidR="006331CD" w:rsidRPr="00C963FE">
              <w:rPr>
                <w:noProof/>
                <w:webHidden/>
              </w:rPr>
            </w:r>
            <w:r w:rsidR="006331CD" w:rsidRPr="00C963FE">
              <w:rPr>
                <w:noProof/>
                <w:webHidden/>
              </w:rPr>
              <w:fldChar w:fldCharType="separate"/>
            </w:r>
            <w:r w:rsidR="00C963FE">
              <w:rPr>
                <w:noProof/>
                <w:webHidden/>
              </w:rPr>
              <w:t>5</w:t>
            </w:r>
            <w:r w:rsidR="006331CD" w:rsidRPr="00C963FE">
              <w:rPr>
                <w:noProof/>
                <w:webHidden/>
              </w:rPr>
              <w:fldChar w:fldCharType="end"/>
            </w:r>
          </w:hyperlink>
        </w:p>
        <w:p w14:paraId="39FA0F05"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3" w:history="1">
            <w:r w:rsidR="006331CD" w:rsidRPr="00C963FE">
              <w:rPr>
                <w:rStyle w:val="Hipervnculo"/>
                <w:rFonts w:eastAsiaTheme="majorEastAsia"/>
                <w:noProof/>
                <w:color w:val="auto"/>
              </w:rPr>
              <w:t>g) Cierre de instrucción.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_Toc210805593 \h </w:instrText>
            </w:r>
            <w:r w:rsidR="006331CD" w:rsidRPr="00C963FE">
              <w:rPr>
                <w:noProof/>
                <w:webHidden/>
              </w:rPr>
            </w:r>
            <w:r w:rsidR="006331CD" w:rsidRPr="00C963FE">
              <w:rPr>
                <w:noProof/>
                <w:webHidden/>
              </w:rPr>
              <w:fldChar w:fldCharType="separate"/>
            </w:r>
            <w:r w:rsidR="00C963FE">
              <w:rPr>
                <w:noProof/>
                <w:webHidden/>
              </w:rPr>
              <w:t>8</w:t>
            </w:r>
            <w:r w:rsidR="006331CD" w:rsidRPr="00C963FE">
              <w:rPr>
                <w:noProof/>
                <w:webHidden/>
              </w:rPr>
              <w:fldChar w:fldCharType="end"/>
            </w:r>
          </w:hyperlink>
        </w:p>
        <w:p w14:paraId="491EFAF9" w14:textId="77777777" w:rsidR="006331CD" w:rsidRPr="00C963FE" w:rsidRDefault="006F38A9" w:rsidP="006331CD">
          <w:pPr>
            <w:pStyle w:val="TDC1"/>
            <w:tabs>
              <w:tab w:val="right" w:leader="dot" w:pos="9034"/>
            </w:tabs>
            <w:rPr>
              <w:rFonts w:asciiTheme="minorHAnsi" w:eastAsiaTheme="minorEastAsia" w:hAnsiTheme="minorHAnsi" w:cstheme="minorBidi"/>
              <w:noProof/>
              <w:szCs w:val="22"/>
              <w:lang w:eastAsia="es-MX"/>
            </w:rPr>
          </w:pPr>
          <w:hyperlink w:anchor="_Toc210805594" w:history="1">
            <w:r w:rsidR="006331CD" w:rsidRPr="00C963FE">
              <w:rPr>
                <w:rStyle w:val="Hipervnculo"/>
                <w:rFonts w:eastAsiaTheme="majorEastAsia"/>
                <w:noProof/>
                <w:color w:val="auto"/>
              </w:rPr>
              <w:t>CONSIDERANDOS</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_Toc210805594 \h </w:instrText>
            </w:r>
            <w:r w:rsidR="006331CD" w:rsidRPr="00C963FE">
              <w:rPr>
                <w:noProof/>
                <w:webHidden/>
              </w:rPr>
            </w:r>
            <w:r w:rsidR="006331CD" w:rsidRPr="00C963FE">
              <w:rPr>
                <w:noProof/>
                <w:webHidden/>
              </w:rPr>
              <w:fldChar w:fldCharType="separate"/>
            </w:r>
            <w:r w:rsidR="00C963FE">
              <w:rPr>
                <w:noProof/>
                <w:webHidden/>
              </w:rPr>
              <w:t>9</w:t>
            </w:r>
            <w:r w:rsidR="006331CD" w:rsidRPr="00C963FE">
              <w:rPr>
                <w:noProof/>
                <w:webHidden/>
              </w:rPr>
              <w:fldChar w:fldCharType="end"/>
            </w:r>
          </w:hyperlink>
        </w:p>
        <w:p w14:paraId="448EF939" w14:textId="77777777" w:rsidR="006331CD" w:rsidRPr="00C963FE" w:rsidRDefault="006F38A9" w:rsidP="006331CD">
          <w:pPr>
            <w:pStyle w:val="TDC2"/>
            <w:rPr>
              <w:rFonts w:asciiTheme="minorHAnsi" w:eastAsiaTheme="minorEastAsia" w:hAnsiTheme="minorHAnsi" w:cstheme="minorBidi"/>
              <w:noProof/>
              <w:szCs w:val="22"/>
              <w:lang w:eastAsia="es-MX"/>
            </w:rPr>
          </w:pPr>
          <w:hyperlink w:anchor="_Toc210805595" w:history="1">
            <w:r w:rsidR="006331CD" w:rsidRPr="00C963FE">
              <w:rPr>
                <w:rStyle w:val="Hipervnculo"/>
                <w:rFonts w:eastAsiaTheme="majorEastAsia"/>
                <w:noProof/>
                <w:color w:val="auto"/>
              </w:rPr>
              <w:t>PRIMERO. Procedibilidad</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_Toc210805595 \h </w:instrText>
            </w:r>
            <w:r w:rsidR="006331CD" w:rsidRPr="00C963FE">
              <w:rPr>
                <w:noProof/>
                <w:webHidden/>
              </w:rPr>
            </w:r>
            <w:r w:rsidR="006331CD" w:rsidRPr="00C963FE">
              <w:rPr>
                <w:noProof/>
                <w:webHidden/>
              </w:rPr>
              <w:fldChar w:fldCharType="separate"/>
            </w:r>
            <w:r w:rsidR="00C963FE">
              <w:rPr>
                <w:noProof/>
                <w:webHidden/>
              </w:rPr>
              <w:t>9</w:t>
            </w:r>
            <w:r w:rsidR="006331CD" w:rsidRPr="00C963FE">
              <w:rPr>
                <w:noProof/>
                <w:webHidden/>
              </w:rPr>
              <w:fldChar w:fldCharType="end"/>
            </w:r>
          </w:hyperlink>
        </w:p>
        <w:p w14:paraId="3BFBE696"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6" w:history="1">
            <w:r w:rsidR="006331CD" w:rsidRPr="00C963FE">
              <w:rPr>
                <w:rStyle w:val="Hipervnculo"/>
                <w:rFonts w:eastAsiaTheme="majorEastAsia"/>
                <w:noProof/>
                <w:color w:val="auto"/>
              </w:rPr>
              <w:t>a) Competencia del Instituto.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_Toc210805596 \h </w:instrText>
            </w:r>
            <w:r w:rsidR="006331CD" w:rsidRPr="00C963FE">
              <w:rPr>
                <w:noProof/>
                <w:webHidden/>
              </w:rPr>
            </w:r>
            <w:r w:rsidR="006331CD" w:rsidRPr="00C963FE">
              <w:rPr>
                <w:noProof/>
                <w:webHidden/>
              </w:rPr>
              <w:fldChar w:fldCharType="separate"/>
            </w:r>
            <w:r w:rsidR="00C963FE">
              <w:rPr>
                <w:noProof/>
                <w:webHidden/>
              </w:rPr>
              <w:t>9</w:t>
            </w:r>
            <w:r w:rsidR="006331CD" w:rsidRPr="00C963FE">
              <w:rPr>
                <w:noProof/>
                <w:webHidden/>
              </w:rPr>
              <w:fldChar w:fldCharType="end"/>
            </w:r>
          </w:hyperlink>
        </w:p>
        <w:p w14:paraId="49C9CB07"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7" w:history="1">
            <w:r w:rsidR="006331CD" w:rsidRPr="00C963FE">
              <w:rPr>
                <w:rStyle w:val="Hipervnculo"/>
                <w:rFonts w:eastAsiaTheme="majorEastAsia"/>
                <w:noProof/>
                <w:color w:val="auto"/>
              </w:rPr>
              <w:t>b) Legitimidad de la parte recurrente.</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_Toc210805597 \h </w:instrText>
            </w:r>
            <w:r w:rsidR="006331CD" w:rsidRPr="00C963FE">
              <w:rPr>
                <w:noProof/>
                <w:webHidden/>
              </w:rPr>
            </w:r>
            <w:r w:rsidR="006331CD" w:rsidRPr="00C963FE">
              <w:rPr>
                <w:noProof/>
                <w:webHidden/>
              </w:rPr>
              <w:fldChar w:fldCharType="separate"/>
            </w:r>
            <w:r w:rsidR="00C963FE">
              <w:rPr>
                <w:noProof/>
                <w:webHidden/>
              </w:rPr>
              <w:t>9</w:t>
            </w:r>
            <w:r w:rsidR="006331CD" w:rsidRPr="00C963FE">
              <w:rPr>
                <w:noProof/>
                <w:webHidden/>
              </w:rPr>
              <w:fldChar w:fldCharType="end"/>
            </w:r>
          </w:hyperlink>
        </w:p>
        <w:p w14:paraId="5D7EB0C5"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8" w:history="1">
            <w:r w:rsidR="006331CD" w:rsidRPr="00C963FE">
              <w:rPr>
                <w:rStyle w:val="Hipervnculo"/>
                <w:rFonts w:eastAsiaTheme="majorEastAsia"/>
                <w:noProof/>
                <w:color w:val="auto"/>
              </w:rPr>
              <w:t>c) Plazo para interponer el recurso.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_Toc210805598 \h </w:instrText>
            </w:r>
            <w:r w:rsidR="006331CD" w:rsidRPr="00C963FE">
              <w:rPr>
                <w:noProof/>
                <w:webHidden/>
              </w:rPr>
            </w:r>
            <w:r w:rsidR="006331CD" w:rsidRPr="00C963FE">
              <w:rPr>
                <w:noProof/>
                <w:webHidden/>
              </w:rPr>
              <w:fldChar w:fldCharType="separate"/>
            </w:r>
            <w:r w:rsidR="00C963FE">
              <w:rPr>
                <w:noProof/>
                <w:webHidden/>
              </w:rPr>
              <w:t>10</w:t>
            </w:r>
            <w:r w:rsidR="006331CD" w:rsidRPr="00C963FE">
              <w:rPr>
                <w:noProof/>
                <w:webHidden/>
              </w:rPr>
              <w:fldChar w:fldCharType="end"/>
            </w:r>
          </w:hyperlink>
        </w:p>
        <w:p w14:paraId="60505E9D"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599" w:history="1">
            <w:r w:rsidR="006331CD" w:rsidRPr="00C963FE">
              <w:rPr>
                <w:rStyle w:val="Hipervnculo"/>
                <w:rFonts w:eastAsiaTheme="majorEastAsia"/>
                <w:noProof/>
                <w:color w:val="auto"/>
              </w:rPr>
              <w:t>d) Causal de procedencia.</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_Toc210805599 \h </w:instrText>
            </w:r>
            <w:r w:rsidR="006331CD" w:rsidRPr="00C963FE">
              <w:rPr>
                <w:noProof/>
                <w:webHidden/>
              </w:rPr>
            </w:r>
            <w:r w:rsidR="006331CD" w:rsidRPr="00C963FE">
              <w:rPr>
                <w:noProof/>
                <w:webHidden/>
              </w:rPr>
              <w:fldChar w:fldCharType="separate"/>
            </w:r>
            <w:r w:rsidR="00C963FE">
              <w:rPr>
                <w:noProof/>
                <w:webHidden/>
              </w:rPr>
              <w:t>10</w:t>
            </w:r>
            <w:r w:rsidR="006331CD" w:rsidRPr="00C963FE">
              <w:rPr>
                <w:noProof/>
                <w:webHidden/>
              </w:rPr>
              <w:fldChar w:fldCharType="end"/>
            </w:r>
          </w:hyperlink>
        </w:p>
        <w:p w14:paraId="064AA034"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600" w:history="1">
            <w:r w:rsidR="006331CD" w:rsidRPr="00C963FE">
              <w:rPr>
                <w:rStyle w:val="Hipervnculo"/>
                <w:rFonts w:eastAsiaTheme="majorEastAsia"/>
                <w:noProof/>
                <w:color w:val="auto"/>
              </w:rPr>
              <w:t>e) Requisitos formales para la interposición del recurso.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_Toc210805600 \h </w:instrText>
            </w:r>
            <w:r w:rsidR="006331CD" w:rsidRPr="00C963FE">
              <w:rPr>
                <w:noProof/>
                <w:webHidden/>
              </w:rPr>
            </w:r>
            <w:r w:rsidR="006331CD" w:rsidRPr="00C963FE">
              <w:rPr>
                <w:noProof/>
                <w:webHidden/>
              </w:rPr>
              <w:fldChar w:fldCharType="separate"/>
            </w:r>
            <w:r w:rsidR="00C963FE">
              <w:rPr>
                <w:noProof/>
                <w:webHidden/>
              </w:rPr>
              <w:t>10</w:t>
            </w:r>
            <w:r w:rsidR="006331CD" w:rsidRPr="00C963FE">
              <w:rPr>
                <w:noProof/>
                <w:webHidden/>
              </w:rPr>
              <w:fldChar w:fldCharType="end"/>
            </w:r>
          </w:hyperlink>
        </w:p>
        <w:p w14:paraId="77F0A555" w14:textId="77777777" w:rsidR="006331CD" w:rsidRPr="00C963FE" w:rsidRDefault="006F38A9" w:rsidP="006331CD">
          <w:pPr>
            <w:pStyle w:val="TDC2"/>
            <w:rPr>
              <w:rFonts w:asciiTheme="minorHAnsi" w:eastAsiaTheme="minorEastAsia" w:hAnsiTheme="minorHAnsi" w:cstheme="minorBidi"/>
              <w:noProof/>
              <w:szCs w:val="22"/>
              <w:lang w:eastAsia="es-MX"/>
            </w:rPr>
          </w:pPr>
          <w:hyperlink w:anchor="_Toc210805601" w:history="1">
            <w:r w:rsidR="006331CD" w:rsidRPr="00C963FE">
              <w:rPr>
                <w:rStyle w:val="Hipervnculo"/>
                <w:rFonts w:eastAsiaTheme="majorEastAsia"/>
                <w:noProof/>
                <w:color w:val="auto"/>
              </w:rPr>
              <w:t>SEGUNDO. Estudio de Fondo.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_Toc210805601 \h </w:instrText>
            </w:r>
            <w:r w:rsidR="006331CD" w:rsidRPr="00C963FE">
              <w:rPr>
                <w:noProof/>
                <w:webHidden/>
              </w:rPr>
            </w:r>
            <w:r w:rsidR="006331CD" w:rsidRPr="00C963FE">
              <w:rPr>
                <w:noProof/>
                <w:webHidden/>
              </w:rPr>
              <w:fldChar w:fldCharType="separate"/>
            </w:r>
            <w:r w:rsidR="00C963FE">
              <w:rPr>
                <w:noProof/>
                <w:webHidden/>
              </w:rPr>
              <w:t>10</w:t>
            </w:r>
            <w:r w:rsidR="006331CD" w:rsidRPr="00C963FE">
              <w:rPr>
                <w:noProof/>
                <w:webHidden/>
              </w:rPr>
              <w:fldChar w:fldCharType="end"/>
            </w:r>
          </w:hyperlink>
        </w:p>
        <w:p w14:paraId="6603A1CA"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602" w:history="1">
            <w:r w:rsidR="006331CD" w:rsidRPr="00C963FE">
              <w:rPr>
                <w:rStyle w:val="Hipervnculo"/>
                <w:rFonts w:eastAsiaTheme="majorEastAsia"/>
                <w:noProof/>
                <w:color w:val="auto"/>
              </w:rPr>
              <w:t>a) Mandato de transparencia y responsabilidad del Sujeto Obligado.</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_Toc210805602 \h </w:instrText>
            </w:r>
            <w:r w:rsidR="006331CD" w:rsidRPr="00C963FE">
              <w:rPr>
                <w:noProof/>
                <w:webHidden/>
              </w:rPr>
            </w:r>
            <w:r w:rsidR="006331CD" w:rsidRPr="00C963FE">
              <w:rPr>
                <w:noProof/>
                <w:webHidden/>
              </w:rPr>
              <w:fldChar w:fldCharType="separate"/>
            </w:r>
            <w:r w:rsidR="00C963FE">
              <w:rPr>
                <w:noProof/>
                <w:webHidden/>
              </w:rPr>
              <w:t>10</w:t>
            </w:r>
            <w:r w:rsidR="006331CD" w:rsidRPr="00C963FE">
              <w:rPr>
                <w:noProof/>
                <w:webHidden/>
              </w:rPr>
              <w:fldChar w:fldCharType="end"/>
            </w:r>
          </w:hyperlink>
        </w:p>
        <w:p w14:paraId="3462C296"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603" w:history="1">
            <w:r w:rsidR="006331CD" w:rsidRPr="00C963FE">
              <w:rPr>
                <w:rStyle w:val="Hipervnculo"/>
                <w:rFonts w:eastAsiaTheme="majorEastAsia"/>
                <w:noProof/>
                <w:color w:val="auto"/>
              </w:rPr>
              <w:t>b) Controversia a resolver.</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_Toc210805603 \h </w:instrText>
            </w:r>
            <w:r w:rsidR="006331CD" w:rsidRPr="00C963FE">
              <w:rPr>
                <w:noProof/>
                <w:webHidden/>
              </w:rPr>
            </w:r>
            <w:r w:rsidR="006331CD" w:rsidRPr="00C963FE">
              <w:rPr>
                <w:noProof/>
                <w:webHidden/>
              </w:rPr>
              <w:fldChar w:fldCharType="separate"/>
            </w:r>
            <w:r w:rsidR="00C963FE">
              <w:rPr>
                <w:noProof/>
                <w:webHidden/>
              </w:rPr>
              <w:t>13</w:t>
            </w:r>
            <w:r w:rsidR="006331CD" w:rsidRPr="00C963FE">
              <w:rPr>
                <w:noProof/>
                <w:webHidden/>
              </w:rPr>
              <w:fldChar w:fldCharType="end"/>
            </w:r>
          </w:hyperlink>
        </w:p>
        <w:p w14:paraId="4BCFC62A"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604" w:history="1">
            <w:r w:rsidR="006331CD" w:rsidRPr="00C963FE">
              <w:rPr>
                <w:rStyle w:val="Hipervnculo"/>
                <w:rFonts w:eastAsiaTheme="majorEastAsia"/>
                <w:noProof/>
                <w:color w:val="auto"/>
              </w:rPr>
              <w:t>c) Estudio de la controversia.</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_Toc210805604 \h </w:instrText>
            </w:r>
            <w:r w:rsidR="006331CD" w:rsidRPr="00C963FE">
              <w:rPr>
                <w:noProof/>
                <w:webHidden/>
              </w:rPr>
            </w:r>
            <w:r w:rsidR="006331CD" w:rsidRPr="00C963FE">
              <w:rPr>
                <w:noProof/>
                <w:webHidden/>
              </w:rPr>
              <w:fldChar w:fldCharType="separate"/>
            </w:r>
            <w:r w:rsidR="00C963FE">
              <w:rPr>
                <w:noProof/>
                <w:webHidden/>
              </w:rPr>
              <w:t>14</w:t>
            </w:r>
            <w:r w:rsidR="006331CD" w:rsidRPr="00C963FE">
              <w:rPr>
                <w:noProof/>
                <w:webHidden/>
              </w:rPr>
              <w:fldChar w:fldCharType="end"/>
            </w:r>
          </w:hyperlink>
        </w:p>
        <w:p w14:paraId="7CF212A5"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605" w:history="1">
            <w:r w:rsidR="006331CD" w:rsidRPr="00C963FE">
              <w:rPr>
                <w:rStyle w:val="Hipervnculo"/>
                <w:rFonts w:eastAsiaTheme="majorEastAsia"/>
                <w:noProof/>
                <w:color w:val="auto"/>
              </w:rPr>
              <w:t>d) Versión pública</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_Toc210805605 \h </w:instrText>
            </w:r>
            <w:r w:rsidR="006331CD" w:rsidRPr="00C963FE">
              <w:rPr>
                <w:noProof/>
                <w:webHidden/>
              </w:rPr>
            </w:r>
            <w:r w:rsidR="006331CD" w:rsidRPr="00C963FE">
              <w:rPr>
                <w:noProof/>
                <w:webHidden/>
              </w:rPr>
              <w:fldChar w:fldCharType="separate"/>
            </w:r>
            <w:r w:rsidR="00C963FE">
              <w:rPr>
                <w:noProof/>
                <w:webHidden/>
              </w:rPr>
              <w:t>21</w:t>
            </w:r>
            <w:r w:rsidR="006331CD" w:rsidRPr="00C963FE">
              <w:rPr>
                <w:noProof/>
                <w:webHidden/>
              </w:rPr>
              <w:fldChar w:fldCharType="end"/>
            </w:r>
          </w:hyperlink>
        </w:p>
        <w:p w14:paraId="6DC23887" w14:textId="77777777" w:rsidR="006331CD" w:rsidRPr="00C963FE" w:rsidRDefault="006F38A9" w:rsidP="006331CD">
          <w:pPr>
            <w:pStyle w:val="TDC3"/>
            <w:rPr>
              <w:rFonts w:asciiTheme="minorHAnsi" w:eastAsiaTheme="minorEastAsia" w:hAnsiTheme="minorHAnsi" w:cstheme="minorBidi"/>
              <w:noProof/>
              <w:szCs w:val="22"/>
              <w:lang w:eastAsia="es-MX"/>
            </w:rPr>
          </w:pPr>
          <w:hyperlink w:anchor="_Toc210805606" w:history="1">
            <w:r w:rsidR="006331CD" w:rsidRPr="00C963FE">
              <w:rPr>
                <w:rStyle w:val="Hipervnculo"/>
                <w:noProof/>
                <w:color w:val="auto"/>
              </w:rPr>
              <w:t>e</w:t>
            </w:r>
            <w:r w:rsidR="006331CD" w:rsidRPr="00C963FE">
              <w:rPr>
                <w:rStyle w:val="Hipervnculo"/>
                <w:rFonts w:eastAsiaTheme="majorEastAsia"/>
                <w:noProof/>
                <w:color w:val="auto"/>
              </w:rPr>
              <w:t>) Conclusión.</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_Toc210805606 \h </w:instrText>
            </w:r>
            <w:r w:rsidR="006331CD" w:rsidRPr="00C963FE">
              <w:rPr>
                <w:noProof/>
                <w:webHidden/>
              </w:rPr>
            </w:r>
            <w:r w:rsidR="006331CD" w:rsidRPr="00C963FE">
              <w:rPr>
                <w:noProof/>
                <w:webHidden/>
              </w:rPr>
              <w:fldChar w:fldCharType="separate"/>
            </w:r>
            <w:r w:rsidR="00C963FE">
              <w:rPr>
                <w:noProof/>
                <w:webHidden/>
              </w:rPr>
              <w:t>34</w:t>
            </w:r>
            <w:r w:rsidR="006331CD" w:rsidRPr="00C963FE">
              <w:rPr>
                <w:noProof/>
                <w:webHidden/>
              </w:rPr>
              <w:fldChar w:fldCharType="end"/>
            </w:r>
          </w:hyperlink>
        </w:p>
        <w:p w14:paraId="4EFF8528" w14:textId="77777777" w:rsidR="006331CD" w:rsidRPr="00C963FE" w:rsidRDefault="006F38A9" w:rsidP="006331CD">
          <w:pPr>
            <w:pStyle w:val="TDC1"/>
            <w:tabs>
              <w:tab w:val="right" w:leader="dot" w:pos="9034"/>
            </w:tabs>
            <w:rPr>
              <w:rFonts w:asciiTheme="minorHAnsi" w:eastAsiaTheme="minorEastAsia" w:hAnsiTheme="minorHAnsi" w:cstheme="minorBidi"/>
              <w:noProof/>
              <w:szCs w:val="22"/>
              <w:lang w:eastAsia="es-MX"/>
            </w:rPr>
          </w:pPr>
          <w:hyperlink w:anchor="_Toc210805607" w:history="1">
            <w:r w:rsidR="006331CD" w:rsidRPr="00C963FE">
              <w:rPr>
                <w:rStyle w:val="Hipervnculo"/>
                <w:rFonts w:eastAsiaTheme="majorEastAsia"/>
                <w:noProof/>
                <w:color w:val="auto"/>
              </w:rPr>
              <w:t>RESUELVE</w:t>
            </w:r>
            <w:r w:rsidR="006331CD" w:rsidRPr="00C963FE">
              <w:rPr>
                <w:noProof/>
                <w:webHidden/>
              </w:rPr>
              <w:tab/>
            </w:r>
            <w:r w:rsidR="006331CD" w:rsidRPr="00C963FE">
              <w:rPr>
                <w:noProof/>
                <w:webHidden/>
              </w:rPr>
              <w:fldChar w:fldCharType="begin"/>
            </w:r>
            <w:r w:rsidR="006331CD" w:rsidRPr="00C963FE">
              <w:rPr>
                <w:noProof/>
                <w:webHidden/>
              </w:rPr>
              <w:instrText xml:space="preserve"> PAGEREF _Toc210805607 \h </w:instrText>
            </w:r>
            <w:r w:rsidR="006331CD" w:rsidRPr="00C963FE">
              <w:rPr>
                <w:noProof/>
                <w:webHidden/>
              </w:rPr>
            </w:r>
            <w:r w:rsidR="006331CD" w:rsidRPr="00C963FE">
              <w:rPr>
                <w:noProof/>
                <w:webHidden/>
              </w:rPr>
              <w:fldChar w:fldCharType="separate"/>
            </w:r>
            <w:r w:rsidR="00C963FE">
              <w:rPr>
                <w:noProof/>
                <w:webHidden/>
              </w:rPr>
              <w:t>34</w:t>
            </w:r>
            <w:r w:rsidR="006331CD" w:rsidRPr="00C963FE">
              <w:rPr>
                <w:noProof/>
                <w:webHidden/>
              </w:rPr>
              <w:fldChar w:fldCharType="end"/>
            </w:r>
          </w:hyperlink>
        </w:p>
        <w:p w14:paraId="7BA570CB" w14:textId="3C375021" w:rsidR="00AE370C" w:rsidRPr="00C963FE" w:rsidRDefault="00AE370C" w:rsidP="006331CD">
          <w:r w:rsidRPr="00C963FE">
            <w:rPr>
              <w:b/>
              <w:bCs/>
              <w:lang w:val="es-ES"/>
            </w:rPr>
            <w:fldChar w:fldCharType="end"/>
          </w:r>
        </w:p>
      </w:sdtContent>
    </w:sdt>
    <w:p w14:paraId="14E51E33" w14:textId="77777777" w:rsidR="00DE3530" w:rsidRPr="00C963FE" w:rsidRDefault="00DE3530" w:rsidP="006331CD">
      <w:pPr>
        <w:sectPr w:rsidR="00DE3530" w:rsidRPr="00C963F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193389D7" w:rsidR="00DE3530" w:rsidRPr="00C963FE" w:rsidRDefault="00F77CE8" w:rsidP="006331CD">
      <w:pPr>
        <w:rPr>
          <w:b/>
        </w:rPr>
      </w:pPr>
      <w:r w:rsidRPr="00C963FE">
        <w:lastRenderedPageBreak/>
        <w:t xml:space="preserve">Resolución del Pleno del Instituto de Transparencia, Acceso a la Información Pública y Protección de Datos Personales del Estado de México y Municipios, con domicilio en Metepec, Estado de México, del </w:t>
      </w:r>
      <w:r w:rsidR="00CE07C6" w:rsidRPr="00C963FE">
        <w:rPr>
          <w:b/>
        </w:rPr>
        <w:t>ocho</w:t>
      </w:r>
      <w:r w:rsidR="00657398" w:rsidRPr="00C963FE">
        <w:rPr>
          <w:b/>
        </w:rPr>
        <w:t xml:space="preserve"> de </w:t>
      </w:r>
      <w:r w:rsidR="00166EAB" w:rsidRPr="00C963FE">
        <w:rPr>
          <w:b/>
        </w:rPr>
        <w:t>octubre</w:t>
      </w:r>
      <w:r w:rsidRPr="00C963FE">
        <w:rPr>
          <w:b/>
        </w:rPr>
        <w:t xml:space="preserve"> de dos mil veinticinco.</w:t>
      </w:r>
    </w:p>
    <w:p w14:paraId="68EA2E41" w14:textId="77777777" w:rsidR="00DE3530" w:rsidRPr="00C963FE" w:rsidRDefault="00DE3530" w:rsidP="006331CD"/>
    <w:p w14:paraId="7AFD6F51" w14:textId="3ACA2111" w:rsidR="00DE3530" w:rsidRPr="00C963FE" w:rsidRDefault="00F77CE8" w:rsidP="006331CD">
      <w:r w:rsidRPr="00C963FE">
        <w:rPr>
          <w:b/>
        </w:rPr>
        <w:t xml:space="preserve">VISTO </w:t>
      </w:r>
      <w:r w:rsidRPr="00C963FE">
        <w:t xml:space="preserve">el expediente formado con motivo del Recurso de Revisión </w:t>
      </w:r>
      <w:r w:rsidRPr="00C963FE">
        <w:rPr>
          <w:b/>
        </w:rPr>
        <w:t>0</w:t>
      </w:r>
      <w:r w:rsidR="00166EAB" w:rsidRPr="00C963FE">
        <w:rPr>
          <w:b/>
        </w:rPr>
        <w:t>3137</w:t>
      </w:r>
      <w:r w:rsidRPr="00C963FE">
        <w:rPr>
          <w:b/>
        </w:rPr>
        <w:t>/INFOEM/IP/RR/2025</w:t>
      </w:r>
      <w:r w:rsidRPr="00C963FE">
        <w:t xml:space="preserve"> interpuesto por </w:t>
      </w:r>
      <w:bookmarkStart w:id="2" w:name="_GoBack"/>
      <w:r w:rsidR="00590F21">
        <w:rPr>
          <w:b/>
        </w:rPr>
        <w:t xml:space="preserve">XXX XXXXX XXXXXXX </w:t>
      </w:r>
      <w:proofErr w:type="spellStart"/>
      <w:r w:rsidR="00590F21">
        <w:rPr>
          <w:b/>
        </w:rPr>
        <w:t>XXXXXXX</w:t>
      </w:r>
      <w:proofErr w:type="spellEnd"/>
      <w:r w:rsidRPr="00C963FE">
        <w:rPr>
          <w:b/>
        </w:rPr>
        <w:t xml:space="preserve"> </w:t>
      </w:r>
      <w:bookmarkEnd w:id="2"/>
      <w:r w:rsidRPr="00C963FE">
        <w:t xml:space="preserve">a quien en lo subsecuente se le denominará </w:t>
      </w:r>
      <w:r w:rsidRPr="00C963FE">
        <w:rPr>
          <w:b/>
        </w:rPr>
        <w:t>LA PARTE RECURRENTE</w:t>
      </w:r>
      <w:r w:rsidRPr="00C963FE">
        <w:t xml:space="preserve">, en contra de la respuesta emitida por el </w:t>
      </w:r>
      <w:r w:rsidR="00166EAB" w:rsidRPr="00C963FE">
        <w:rPr>
          <w:b/>
        </w:rPr>
        <w:t>Organismo Público Descentralizado para la Prestación de Los Servicios de Agua Potable Alcantarillado y Saneamiento del Municipio de Metepec</w:t>
      </w:r>
      <w:r w:rsidRPr="00C963FE">
        <w:rPr>
          <w:b/>
        </w:rPr>
        <w:t xml:space="preserve">, </w:t>
      </w:r>
      <w:r w:rsidRPr="00C963FE">
        <w:t xml:space="preserve">en adelante </w:t>
      </w:r>
      <w:r w:rsidRPr="00C963FE">
        <w:rPr>
          <w:b/>
        </w:rPr>
        <w:t>EL SUJETO OBLIGADO</w:t>
      </w:r>
      <w:r w:rsidRPr="00C963FE">
        <w:t>, se emite la presente Resolución con base en los Antecedentes y Considerandos que se exponen a continuación:</w:t>
      </w:r>
    </w:p>
    <w:p w14:paraId="67A4725B" w14:textId="77777777" w:rsidR="00DE3530" w:rsidRPr="00C963FE" w:rsidRDefault="00DE3530" w:rsidP="006331CD"/>
    <w:p w14:paraId="2AC3F7AF" w14:textId="77777777" w:rsidR="00DE3530" w:rsidRPr="00C963FE" w:rsidRDefault="00F77CE8" w:rsidP="006331CD">
      <w:pPr>
        <w:pStyle w:val="Ttulo1"/>
      </w:pPr>
      <w:bookmarkStart w:id="3" w:name="_Toc210805581"/>
      <w:r w:rsidRPr="00C963FE">
        <w:t>ANTECEDENTES</w:t>
      </w:r>
      <w:bookmarkEnd w:id="3"/>
    </w:p>
    <w:p w14:paraId="3B01BA42" w14:textId="77777777" w:rsidR="00DE3530" w:rsidRPr="00C963FE" w:rsidRDefault="00DE3530" w:rsidP="006331CD"/>
    <w:p w14:paraId="4C534CF8" w14:textId="77777777" w:rsidR="00DE3530" w:rsidRPr="00C963FE" w:rsidRDefault="00F77CE8" w:rsidP="006331CD">
      <w:pPr>
        <w:pStyle w:val="Ttulo2"/>
        <w:jc w:val="left"/>
      </w:pPr>
      <w:bookmarkStart w:id="4" w:name="_Toc210805582"/>
      <w:r w:rsidRPr="00C963FE">
        <w:t>DE LA SOLICITUD DE INFORMACIÓN</w:t>
      </w:r>
      <w:bookmarkEnd w:id="4"/>
    </w:p>
    <w:p w14:paraId="32BC9B83" w14:textId="77777777" w:rsidR="00DE3530" w:rsidRPr="00C963FE" w:rsidRDefault="00F77CE8" w:rsidP="006331CD">
      <w:pPr>
        <w:pStyle w:val="Ttulo3"/>
        <w:spacing w:line="360" w:lineRule="auto"/>
      </w:pPr>
      <w:bookmarkStart w:id="5" w:name="_Toc210805583"/>
      <w:r w:rsidRPr="00C963FE">
        <w:t>a) Solicitud de información.</w:t>
      </w:r>
      <w:bookmarkEnd w:id="5"/>
    </w:p>
    <w:p w14:paraId="08A6CD21" w14:textId="26EAE6F6" w:rsidR="00DE3530" w:rsidRPr="00C963FE" w:rsidRDefault="00F77CE8" w:rsidP="006331CD">
      <w:pPr>
        <w:pBdr>
          <w:top w:val="nil"/>
          <w:left w:val="nil"/>
          <w:bottom w:val="nil"/>
          <w:right w:val="nil"/>
          <w:between w:val="nil"/>
        </w:pBdr>
        <w:tabs>
          <w:tab w:val="left" w:pos="0"/>
        </w:tabs>
      </w:pPr>
      <w:r w:rsidRPr="00C963FE">
        <w:t xml:space="preserve">El </w:t>
      </w:r>
      <w:r w:rsidR="00166EAB" w:rsidRPr="00C963FE">
        <w:rPr>
          <w:b/>
        </w:rPr>
        <w:t>diecinueve</w:t>
      </w:r>
      <w:r w:rsidR="00CE2FAA" w:rsidRPr="00C963FE">
        <w:rPr>
          <w:b/>
        </w:rPr>
        <w:t xml:space="preserve"> </w:t>
      </w:r>
      <w:r w:rsidRPr="00C963FE">
        <w:rPr>
          <w:b/>
        </w:rPr>
        <w:t xml:space="preserve">de </w:t>
      </w:r>
      <w:r w:rsidR="00166EAB" w:rsidRPr="00C963FE">
        <w:rPr>
          <w:b/>
        </w:rPr>
        <w:t>febrero</w:t>
      </w:r>
      <w:r w:rsidRPr="00C963FE">
        <w:rPr>
          <w:b/>
        </w:rPr>
        <w:t xml:space="preserve"> de dos mil veinticinco</w:t>
      </w:r>
      <w:r w:rsidRPr="00C963FE">
        <w:t xml:space="preserve"> </w:t>
      </w:r>
      <w:r w:rsidRPr="00C963FE">
        <w:rPr>
          <w:b/>
        </w:rPr>
        <w:t>LA PARTE RECURRENTE</w:t>
      </w:r>
      <w:r w:rsidRPr="00C963FE">
        <w:t xml:space="preserve"> presentó una solicitud de acceso a la información pública ante el </w:t>
      </w:r>
      <w:r w:rsidRPr="00C963FE">
        <w:rPr>
          <w:b/>
        </w:rPr>
        <w:t>SUJETO OBLIGADO</w:t>
      </w:r>
      <w:r w:rsidRPr="00C963FE">
        <w:t>, a través del Sistema de Acceso a la Información Mexiquense (SAIMEX). Dicha solicitud quedó registrada con el número de folio</w:t>
      </w:r>
      <w:r w:rsidRPr="00C963FE">
        <w:rPr>
          <w:b/>
        </w:rPr>
        <w:t xml:space="preserve"> </w:t>
      </w:r>
      <w:r w:rsidR="00166EAB" w:rsidRPr="00C963FE">
        <w:rPr>
          <w:b/>
        </w:rPr>
        <w:t xml:space="preserve">00012/OASMETEPEC/IP/2025 </w:t>
      </w:r>
      <w:r w:rsidRPr="00C963FE">
        <w:t>y en ella se requirió la siguiente información:</w:t>
      </w:r>
    </w:p>
    <w:p w14:paraId="02182AFB" w14:textId="77777777" w:rsidR="00DE3530" w:rsidRPr="00C963FE" w:rsidRDefault="00DE3530" w:rsidP="006331CD">
      <w:pPr>
        <w:tabs>
          <w:tab w:val="left" w:pos="4667"/>
        </w:tabs>
        <w:ind w:left="567" w:right="567"/>
        <w:rPr>
          <w:b/>
        </w:rPr>
      </w:pPr>
    </w:p>
    <w:p w14:paraId="7435974D" w14:textId="54262C14" w:rsidR="00DE3530" w:rsidRPr="00C963FE" w:rsidRDefault="00F77CE8" w:rsidP="006331CD">
      <w:pPr>
        <w:pStyle w:val="Puesto"/>
        <w:spacing w:line="360" w:lineRule="auto"/>
        <w:ind w:left="851" w:right="822"/>
      </w:pPr>
      <w:r w:rsidRPr="00C963FE">
        <w:t>“</w:t>
      </w:r>
      <w:r w:rsidR="00166EAB" w:rsidRPr="00C963FE">
        <w:t>Todos los Procedimientos Administrativos de Ejecución de 2018 a la fecha</w:t>
      </w:r>
      <w:r w:rsidRPr="00C963FE">
        <w:t xml:space="preserve">” </w:t>
      </w:r>
      <w:r w:rsidRPr="00C963FE">
        <w:rPr>
          <w:i w:val="0"/>
        </w:rPr>
        <w:t>(Sic).</w:t>
      </w:r>
    </w:p>
    <w:p w14:paraId="46FA670D" w14:textId="77777777" w:rsidR="00DE3530" w:rsidRPr="00C963FE" w:rsidRDefault="00DE3530" w:rsidP="006331CD">
      <w:pPr>
        <w:tabs>
          <w:tab w:val="left" w:pos="5743"/>
        </w:tabs>
        <w:ind w:right="567"/>
        <w:rPr>
          <w:i/>
        </w:rPr>
      </w:pPr>
    </w:p>
    <w:p w14:paraId="0F5034DE" w14:textId="77777777" w:rsidR="00DE3530" w:rsidRPr="00C963FE" w:rsidRDefault="00F77CE8" w:rsidP="006331CD">
      <w:pPr>
        <w:tabs>
          <w:tab w:val="left" w:pos="4667"/>
        </w:tabs>
        <w:ind w:right="567"/>
      </w:pPr>
      <w:r w:rsidRPr="00C963FE">
        <w:rPr>
          <w:b/>
        </w:rPr>
        <w:t>Modalidad de entrega</w:t>
      </w:r>
      <w:r w:rsidRPr="00C963FE">
        <w:t>: a</w:t>
      </w:r>
      <w:r w:rsidRPr="00C963FE">
        <w:rPr>
          <w:i/>
        </w:rPr>
        <w:t xml:space="preserve"> </w:t>
      </w:r>
      <w:r w:rsidRPr="00C963FE">
        <w:t xml:space="preserve">través del </w:t>
      </w:r>
      <w:r w:rsidRPr="00C963FE">
        <w:rPr>
          <w:b/>
        </w:rPr>
        <w:t>SAIMEX</w:t>
      </w:r>
      <w:r w:rsidRPr="00C963FE">
        <w:t>.</w:t>
      </w:r>
    </w:p>
    <w:p w14:paraId="1FCAFF67" w14:textId="77777777" w:rsidR="00556ECE" w:rsidRPr="00C963FE" w:rsidRDefault="00556ECE" w:rsidP="006331CD">
      <w:pPr>
        <w:pStyle w:val="Ttulo3"/>
        <w:spacing w:line="360" w:lineRule="auto"/>
        <w:rPr>
          <w:szCs w:val="22"/>
        </w:rPr>
      </w:pPr>
      <w:bookmarkStart w:id="6" w:name="_Toc207716721"/>
      <w:bookmarkStart w:id="7" w:name="_Toc210805584"/>
      <w:r w:rsidRPr="00C963FE">
        <w:rPr>
          <w:szCs w:val="22"/>
        </w:rPr>
        <w:lastRenderedPageBreak/>
        <w:t>b) Turno de la solicitud de información.</w:t>
      </w:r>
      <w:bookmarkEnd w:id="6"/>
      <w:bookmarkEnd w:id="7"/>
    </w:p>
    <w:p w14:paraId="49B4CA9D" w14:textId="5AE2595D" w:rsidR="00556ECE" w:rsidRPr="00C963FE" w:rsidRDefault="00556ECE" w:rsidP="006331CD">
      <w:pPr>
        <w:rPr>
          <w:szCs w:val="22"/>
        </w:rPr>
      </w:pPr>
      <w:r w:rsidRPr="00C963FE">
        <w:rPr>
          <w:szCs w:val="22"/>
        </w:rPr>
        <w:t xml:space="preserve">En cumplimiento al artículo 162 de la Ley de Transparencia y Acceso a la Información Pública del Estado de México y Municipios, el </w:t>
      </w:r>
      <w:r w:rsidR="00A727F6" w:rsidRPr="00C963FE">
        <w:rPr>
          <w:b/>
          <w:szCs w:val="22"/>
        </w:rPr>
        <w:t xml:space="preserve">veintiséis </w:t>
      </w:r>
      <w:r w:rsidRPr="00C963FE">
        <w:rPr>
          <w:b/>
          <w:szCs w:val="22"/>
        </w:rPr>
        <w:t xml:space="preserve">de </w:t>
      </w:r>
      <w:r w:rsidR="00065D1C" w:rsidRPr="00C963FE">
        <w:rPr>
          <w:b/>
          <w:szCs w:val="22"/>
        </w:rPr>
        <w:t>febrero</w:t>
      </w:r>
      <w:r w:rsidRPr="00C963FE">
        <w:rPr>
          <w:b/>
          <w:szCs w:val="22"/>
        </w:rPr>
        <w:t xml:space="preserve"> de dos mil veinticinco,</w:t>
      </w:r>
      <w:r w:rsidRPr="00C963FE">
        <w:rPr>
          <w:szCs w:val="22"/>
        </w:rPr>
        <w:t xml:space="preserve"> el Titular de la Unidad de Transparencia del </w:t>
      </w:r>
      <w:r w:rsidRPr="00C963FE">
        <w:rPr>
          <w:b/>
          <w:szCs w:val="22"/>
        </w:rPr>
        <w:t>SUJETO OBLIGADO</w:t>
      </w:r>
      <w:r w:rsidRPr="00C963FE">
        <w:rPr>
          <w:szCs w:val="22"/>
        </w:rPr>
        <w:t xml:space="preserve"> turnó la solicitud de informac</w:t>
      </w:r>
      <w:r w:rsidR="00166EAB" w:rsidRPr="00C963FE">
        <w:rPr>
          <w:szCs w:val="22"/>
        </w:rPr>
        <w:t>ión al servidor público habilitado que estimó pertinente</w:t>
      </w:r>
      <w:r w:rsidRPr="00C963FE">
        <w:rPr>
          <w:szCs w:val="22"/>
        </w:rPr>
        <w:t>.</w:t>
      </w:r>
    </w:p>
    <w:p w14:paraId="3043456C" w14:textId="77777777" w:rsidR="00556ECE" w:rsidRPr="00C963FE" w:rsidRDefault="00556ECE" w:rsidP="006331CD"/>
    <w:p w14:paraId="575E98DF" w14:textId="3D9A3EB3" w:rsidR="00DE3530" w:rsidRPr="00C963FE" w:rsidRDefault="00556ECE" w:rsidP="006331CD">
      <w:pPr>
        <w:pStyle w:val="Ttulo3"/>
        <w:spacing w:line="360" w:lineRule="auto"/>
      </w:pPr>
      <w:bookmarkStart w:id="8" w:name="_Toc210805585"/>
      <w:r w:rsidRPr="00C963FE">
        <w:t>c</w:t>
      </w:r>
      <w:r w:rsidR="00F77CE8" w:rsidRPr="00C963FE">
        <w:t>) Respuesta del Sujeto Obligado.</w:t>
      </w:r>
      <w:bookmarkEnd w:id="8"/>
    </w:p>
    <w:p w14:paraId="631B8A1C" w14:textId="2762FA21" w:rsidR="00DE3530" w:rsidRPr="00C963FE" w:rsidRDefault="00F77CE8" w:rsidP="006331CD">
      <w:pPr>
        <w:pBdr>
          <w:top w:val="nil"/>
          <w:left w:val="nil"/>
          <w:bottom w:val="nil"/>
          <w:right w:val="nil"/>
          <w:between w:val="nil"/>
        </w:pBdr>
      </w:pPr>
      <w:r w:rsidRPr="00C963FE">
        <w:t xml:space="preserve">El </w:t>
      </w:r>
      <w:r w:rsidR="00A727F6" w:rsidRPr="00C963FE">
        <w:rPr>
          <w:b/>
        </w:rPr>
        <w:t xml:space="preserve">trece </w:t>
      </w:r>
      <w:r w:rsidR="00696361" w:rsidRPr="00C963FE">
        <w:rPr>
          <w:b/>
        </w:rPr>
        <w:t xml:space="preserve">de marzo </w:t>
      </w:r>
      <w:r w:rsidRPr="00C963FE">
        <w:rPr>
          <w:b/>
        </w:rPr>
        <w:t>de dos mil veinticinco</w:t>
      </w:r>
      <w:r w:rsidRPr="00C963FE">
        <w:t xml:space="preserve"> el Titular de la Unidad de Transparencia del </w:t>
      </w:r>
      <w:r w:rsidRPr="00C963FE">
        <w:rPr>
          <w:b/>
        </w:rPr>
        <w:t>SUJETO OBLIGADO</w:t>
      </w:r>
      <w:r w:rsidRPr="00C963FE">
        <w:t xml:space="preserve"> notificó la siguiente respuesta a través del </w:t>
      </w:r>
      <w:r w:rsidRPr="00C963FE">
        <w:rPr>
          <w:b/>
        </w:rPr>
        <w:t>SAIMEX</w:t>
      </w:r>
      <w:r w:rsidRPr="00C963FE">
        <w:t>:</w:t>
      </w:r>
    </w:p>
    <w:p w14:paraId="328E51FA" w14:textId="77777777" w:rsidR="00DE3530" w:rsidRPr="00C963FE" w:rsidRDefault="00DE3530" w:rsidP="006331CD">
      <w:pPr>
        <w:tabs>
          <w:tab w:val="left" w:pos="4667"/>
        </w:tabs>
        <w:ind w:left="567" w:right="567"/>
        <w:rPr>
          <w:b/>
        </w:rPr>
      </w:pPr>
    </w:p>
    <w:p w14:paraId="483CF41B" w14:textId="5568F1DC" w:rsidR="00166EAB" w:rsidRPr="00C963FE" w:rsidRDefault="00F77CE8" w:rsidP="006331CD">
      <w:pPr>
        <w:spacing w:line="240" w:lineRule="auto"/>
        <w:ind w:left="851" w:right="822"/>
        <w:jc w:val="right"/>
        <w:rPr>
          <w:i/>
        </w:rPr>
      </w:pPr>
      <w:r w:rsidRPr="00C963FE">
        <w:rPr>
          <w:i/>
        </w:rPr>
        <w:t>“</w:t>
      </w:r>
      <w:r w:rsidR="00166EAB" w:rsidRPr="00C963FE">
        <w:rPr>
          <w:i/>
        </w:rPr>
        <w:t>o Descentralizado para la Prestación de Los Servicios de Agua Potable Alcantarillado y Saneamiento del Municipio de Metepec, México a 13 de Marzo de 2025</w:t>
      </w:r>
    </w:p>
    <w:p w14:paraId="656D957C" w14:textId="77777777" w:rsidR="00166EAB" w:rsidRPr="00C963FE" w:rsidRDefault="00166EAB" w:rsidP="006331CD">
      <w:pPr>
        <w:spacing w:line="240" w:lineRule="auto"/>
        <w:ind w:left="851" w:right="822"/>
        <w:jc w:val="right"/>
        <w:rPr>
          <w:i/>
        </w:rPr>
      </w:pPr>
      <w:r w:rsidRPr="00C963FE">
        <w:rPr>
          <w:i/>
        </w:rPr>
        <w:t>Nombre del solicitante: C. Solicitante</w:t>
      </w:r>
    </w:p>
    <w:p w14:paraId="380CA28B" w14:textId="77777777" w:rsidR="00166EAB" w:rsidRPr="00C963FE" w:rsidRDefault="00166EAB" w:rsidP="006331CD">
      <w:pPr>
        <w:spacing w:line="240" w:lineRule="auto"/>
        <w:ind w:left="851" w:right="822"/>
        <w:jc w:val="right"/>
        <w:rPr>
          <w:i/>
        </w:rPr>
      </w:pPr>
      <w:r w:rsidRPr="00C963FE">
        <w:rPr>
          <w:i/>
        </w:rPr>
        <w:t>Folio de la solicitud: 00012/OASMETEPEC/IP/2025</w:t>
      </w:r>
    </w:p>
    <w:p w14:paraId="36136BE0" w14:textId="77777777" w:rsidR="00166EAB" w:rsidRPr="00C963FE" w:rsidRDefault="00166EAB" w:rsidP="006331CD">
      <w:pPr>
        <w:spacing w:line="240" w:lineRule="auto"/>
        <w:ind w:left="851" w:right="822"/>
        <w:jc w:val="right"/>
        <w:rPr>
          <w:i/>
        </w:rPr>
      </w:pPr>
    </w:p>
    <w:p w14:paraId="57C488EF" w14:textId="77777777" w:rsidR="00166EAB" w:rsidRPr="00C963FE" w:rsidRDefault="00166EAB" w:rsidP="006331CD">
      <w:pPr>
        <w:spacing w:line="240" w:lineRule="auto"/>
        <w:ind w:left="851" w:right="822"/>
        <w:rPr>
          <w:i/>
        </w:rPr>
      </w:pPr>
      <w:r w:rsidRPr="00C963FE">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1E39E2" w14:textId="77777777" w:rsidR="00166EAB" w:rsidRPr="00C963FE" w:rsidRDefault="00166EAB" w:rsidP="006331CD">
      <w:pPr>
        <w:spacing w:line="240" w:lineRule="auto"/>
        <w:ind w:left="851" w:right="822"/>
        <w:rPr>
          <w:i/>
        </w:rPr>
      </w:pPr>
    </w:p>
    <w:p w14:paraId="29C61BE2" w14:textId="77777777" w:rsidR="00166EAB" w:rsidRPr="00C963FE" w:rsidRDefault="00166EAB" w:rsidP="006331CD">
      <w:pPr>
        <w:spacing w:line="240" w:lineRule="auto"/>
        <w:ind w:left="851" w:right="822"/>
        <w:rPr>
          <w:i/>
        </w:rPr>
      </w:pPr>
      <w:r w:rsidRPr="00C963FE">
        <w:rPr>
          <w:i/>
        </w:rPr>
        <w:t>SE ANEXA RESPUESTA A SOLICITUD NO.00012-OASMETEPEC-IP-2025</w:t>
      </w:r>
    </w:p>
    <w:p w14:paraId="7C9F4DD8" w14:textId="77777777" w:rsidR="00166EAB" w:rsidRPr="00C963FE" w:rsidRDefault="00166EAB" w:rsidP="006331CD">
      <w:pPr>
        <w:spacing w:line="240" w:lineRule="auto"/>
        <w:ind w:left="851" w:right="822"/>
        <w:rPr>
          <w:i/>
        </w:rPr>
      </w:pPr>
    </w:p>
    <w:p w14:paraId="30286586" w14:textId="77777777" w:rsidR="00166EAB" w:rsidRPr="00C963FE" w:rsidRDefault="00166EAB" w:rsidP="006331CD">
      <w:pPr>
        <w:spacing w:line="240" w:lineRule="auto"/>
        <w:ind w:left="851" w:right="822"/>
        <w:rPr>
          <w:i/>
        </w:rPr>
      </w:pPr>
      <w:r w:rsidRPr="00C963FE">
        <w:rPr>
          <w:i/>
        </w:rPr>
        <w:t>ATENTAMENTE</w:t>
      </w:r>
    </w:p>
    <w:p w14:paraId="067A40E6" w14:textId="77777777" w:rsidR="00166EAB" w:rsidRPr="00C963FE" w:rsidRDefault="00166EAB" w:rsidP="006331CD">
      <w:pPr>
        <w:spacing w:line="240" w:lineRule="auto"/>
        <w:ind w:left="851" w:right="822"/>
        <w:rPr>
          <w:i/>
        </w:rPr>
      </w:pPr>
    </w:p>
    <w:p w14:paraId="338F40AE" w14:textId="18CB96E8" w:rsidR="00DE3530" w:rsidRPr="00C963FE" w:rsidRDefault="00166EAB" w:rsidP="006331CD">
      <w:pPr>
        <w:spacing w:line="240" w:lineRule="auto"/>
        <w:ind w:left="851" w:right="822"/>
        <w:rPr>
          <w:i/>
        </w:rPr>
      </w:pPr>
      <w:r w:rsidRPr="00C963FE">
        <w:rPr>
          <w:i/>
        </w:rPr>
        <w:t>C. Judith Berenice Escutia Segura</w:t>
      </w:r>
      <w:r w:rsidR="00F77CE8" w:rsidRPr="00C963FE">
        <w:rPr>
          <w:i/>
        </w:rPr>
        <w:t>”</w:t>
      </w:r>
    </w:p>
    <w:p w14:paraId="19B11BBF" w14:textId="77777777" w:rsidR="00DE3530" w:rsidRPr="00C963FE" w:rsidRDefault="00DE3530" w:rsidP="006331CD">
      <w:pPr>
        <w:pBdr>
          <w:top w:val="nil"/>
          <w:left w:val="nil"/>
          <w:bottom w:val="nil"/>
          <w:right w:val="nil"/>
          <w:between w:val="nil"/>
        </w:pBdr>
        <w:ind w:right="-28"/>
      </w:pPr>
    </w:p>
    <w:p w14:paraId="7A344909" w14:textId="0623BE20" w:rsidR="00556ECE" w:rsidRPr="00C963FE" w:rsidRDefault="00556ECE" w:rsidP="006331CD">
      <w:pPr>
        <w:pBdr>
          <w:top w:val="nil"/>
          <w:left w:val="nil"/>
          <w:bottom w:val="nil"/>
          <w:right w:val="nil"/>
          <w:between w:val="nil"/>
        </w:pBdr>
        <w:ind w:right="-28"/>
        <w:rPr>
          <w:szCs w:val="22"/>
        </w:rPr>
      </w:pPr>
      <w:r w:rsidRPr="00C963FE">
        <w:rPr>
          <w:szCs w:val="22"/>
        </w:rPr>
        <w:t xml:space="preserve">A la respuesta, </w:t>
      </w:r>
      <w:r w:rsidRPr="00C963FE">
        <w:rPr>
          <w:b/>
          <w:szCs w:val="22"/>
        </w:rPr>
        <w:t>EL SUJETO OBLIGADO</w:t>
      </w:r>
      <w:r w:rsidRPr="00C963FE">
        <w:rPr>
          <w:szCs w:val="22"/>
        </w:rPr>
        <w:t xml:space="preserve"> anexó </w:t>
      </w:r>
      <w:r w:rsidR="00166EAB" w:rsidRPr="00C963FE">
        <w:rPr>
          <w:szCs w:val="22"/>
        </w:rPr>
        <w:t>el archivo digital que a continuación se describe</w:t>
      </w:r>
      <w:r w:rsidRPr="00C963FE">
        <w:rPr>
          <w:szCs w:val="22"/>
        </w:rPr>
        <w:t>:</w:t>
      </w:r>
    </w:p>
    <w:p w14:paraId="121C3520" w14:textId="2287384B" w:rsidR="00556ECE" w:rsidRPr="00C963FE" w:rsidRDefault="00556ECE" w:rsidP="006331CD">
      <w:pPr>
        <w:numPr>
          <w:ilvl w:val="0"/>
          <w:numId w:val="2"/>
        </w:numPr>
        <w:pBdr>
          <w:top w:val="nil"/>
          <w:left w:val="nil"/>
          <w:bottom w:val="nil"/>
          <w:right w:val="nil"/>
          <w:between w:val="nil"/>
        </w:pBdr>
        <w:ind w:right="-28"/>
        <w:rPr>
          <w:rFonts w:eastAsia="Palatino Linotype" w:cs="Palatino Linotype"/>
          <w:szCs w:val="22"/>
        </w:rPr>
      </w:pPr>
      <w:r w:rsidRPr="00C963FE">
        <w:rPr>
          <w:rFonts w:eastAsia="Palatino Linotype" w:cs="Palatino Linotype"/>
          <w:b/>
          <w:i/>
          <w:szCs w:val="22"/>
        </w:rPr>
        <w:lastRenderedPageBreak/>
        <w:t>“</w:t>
      </w:r>
      <w:r w:rsidR="00166EAB" w:rsidRPr="00C963FE">
        <w:rPr>
          <w:rFonts w:eastAsia="Palatino Linotype" w:cs="Palatino Linotype"/>
          <w:b/>
          <w:i/>
          <w:szCs w:val="22"/>
        </w:rPr>
        <w:t>solicitud 00012-OASMETEPEC-IP-2025.pdf</w:t>
      </w:r>
      <w:r w:rsidRPr="00C963FE">
        <w:rPr>
          <w:rFonts w:eastAsia="Palatino Linotype" w:cs="Palatino Linotype"/>
          <w:b/>
          <w:i/>
          <w:szCs w:val="22"/>
        </w:rPr>
        <w:t xml:space="preserve">”: </w:t>
      </w:r>
      <w:r w:rsidRPr="00C963FE">
        <w:rPr>
          <w:rFonts w:eastAsia="Palatino Linotype" w:cs="Palatino Linotype"/>
          <w:szCs w:val="22"/>
        </w:rPr>
        <w:t xml:space="preserve">documento que contiene el oficio con número de registro </w:t>
      </w:r>
      <w:r w:rsidR="00166EAB" w:rsidRPr="00C963FE">
        <w:t>OPDAPAS/UT/012/2025</w:t>
      </w:r>
      <w:r w:rsidRPr="00C963FE">
        <w:t xml:space="preserve">, firmado por el </w:t>
      </w:r>
      <w:r w:rsidR="00166EAB" w:rsidRPr="00C963FE">
        <w:t xml:space="preserve">Titular de la Unidad de Gestión, por medio del cual indica que, la solicitud de mérito fue turnada a la Dirección de Comercialización; asimismo, se señaló que el requerimiento fue sometido a consideración del Comité de Transparencia, organismo que determinó aprobar la clasificación de la información relativa a todos los Procedimientos Administrativos de Ejecución del 2018 a la fecha de la </w:t>
      </w:r>
      <w:r w:rsidR="00F556C6" w:rsidRPr="00C963FE">
        <w:t>solicitud</w:t>
      </w:r>
      <w:r w:rsidR="00166EAB" w:rsidRPr="00C963FE">
        <w:t>, como reservada</w:t>
      </w:r>
      <w:r w:rsidR="00F556C6" w:rsidRPr="00C963FE">
        <w:t xml:space="preserve"> por un periodo de 5 años.</w:t>
      </w:r>
    </w:p>
    <w:p w14:paraId="3887577C" w14:textId="77777777" w:rsidR="00F556C6" w:rsidRPr="00C963FE" w:rsidRDefault="00F556C6" w:rsidP="006331CD">
      <w:pPr>
        <w:pBdr>
          <w:top w:val="nil"/>
          <w:left w:val="nil"/>
          <w:bottom w:val="nil"/>
          <w:right w:val="nil"/>
          <w:between w:val="nil"/>
        </w:pBdr>
        <w:ind w:left="720" w:right="-28"/>
        <w:rPr>
          <w:rFonts w:eastAsia="Palatino Linotype" w:cs="Palatino Linotype"/>
          <w:szCs w:val="22"/>
        </w:rPr>
      </w:pPr>
    </w:p>
    <w:p w14:paraId="3AE236E5" w14:textId="0A30EFFA" w:rsidR="00F556C6" w:rsidRPr="00C963FE" w:rsidRDefault="00F556C6" w:rsidP="006331CD">
      <w:pPr>
        <w:pBdr>
          <w:top w:val="nil"/>
          <w:left w:val="nil"/>
          <w:bottom w:val="nil"/>
          <w:right w:val="nil"/>
          <w:between w:val="nil"/>
        </w:pBdr>
        <w:ind w:left="720" w:right="-28"/>
        <w:rPr>
          <w:rFonts w:eastAsia="Palatino Linotype" w:cs="Palatino Linotype"/>
          <w:szCs w:val="22"/>
        </w:rPr>
      </w:pPr>
      <w:r w:rsidRPr="00C963FE">
        <w:rPr>
          <w:rFonts w:eastAsia="Palatino Linotype" w:cs="Palatino Linotype"/>
          <w:szCs w:val="22"/>
        </w:rPr>
        <w:t>Asimismo, se remitió el memorándum OPDAPAS/DC/0164/2025, firmado por el Director de Comercialización, por el que solicita al Titular de la Unidad de Gestión que, la información relativa a los Procedimientos Administrativos de Ejecución del 2018 a la fecha de la solicitud, sea clasificada como reservada, adjuntado para tal efecto el respectivo cuadro de clasificación.</w:t>
      </w:r>
    </w:p>
    <w:p w14:paraId="4817FB13" w14:textId="77777777" w:rsidR="00DE3530" w:rsidRPr="00C963FE" w:rsidRDefault="00DE3530" w:rsidP="006331CD">
      <w:pPr>
        <w:pBdr>
          <w:top w:val="nil"/>
          <w:left w:val="nil"/>
          <w:bottom w:val="nil"/>
          <w:right w:val="nil"/>
          <w:between w:val="nil"/>
        </w:pBdr>
        <w:ind w:right="-28"/>
      </w:pPr>
    </w:p>
    <w:p w14:paraId="5B07D6A7" w14:textId="77777777" w:rsidR="00DE3530" w:rsidRPr="00C963FE" w:rsidRDefault="00F77CE8" w:rsidP="006331CD">
      <w:pPr>
        <w:pStyle w:val="Ttulo2"/>
        <w:jc w:val="left"/>
      </w:pPr>
      <w:bookmarkStart w:id="9" w:name="_Toc210805586"/>
      <w:r w:rsidRPr="00C963FE">
        <w:t>DEL RECURSO DE REVISIÓN</w:t>
      </w:r>
      <w:bookmarkEnd w:id="9"/>
    </w:p>
    <w:p w14:paraId="56C29AD6" w14:textId="77777777" w:rsidR="00DE3530" w:rsidRPr="00C963FE" w:rsidRDefault="00F77CE8" w:rsidP="006331CD">
      <w:pPr>
        <w:pStyle w:val="Ttulo3"/>
        <w:spacing w:line="360" w:lineRule="auto"/>
      </w:pPr>
      <w:bookmarkStart w:id="10" w:name="_Toc210805587"/>
      <w:r w:rsidRPr="00C963FE">
        <w:t>a) Interposición del Recurso de Revisión.</w:t>
      </w:r>
      <w:bookmarkEnd w:id="10"/>
    </w:p>
    <w:p w14:paraId="02BAD93D" w14:textId="0D07439B" w:rsidR="00DE3530" w:rsidRPr="00C963FE" w:rsidRDefault="00F77CE8" w:rsidP="006331CD">
      <w:pPr>
        <w:ind w:right="-28"/>
      </w:pPr>
      <w:r w:rsidRPr="00C963FE">
        <w:t xml:space="preserve">El </w:t>
      </w:r>
      <w:r w:rsidR="00F556C6" w:rsidRPr="00C963FE">
        <w:rPr>
          <w:b/>
        </w:rPr>
        <w:t>dieciocho</w:t>
      </w:r>
      <w:r w:rsidRPr="00C963FE">
        <w:rPr>
          <w:b/>
        </w:rPr>
        <w:t xml:space="preserve"> de </w:t>
      </w:r>
      <w:r w:rsidR="00F556C6" w:rsidRPr="00C963FE">
        <w:rPr>
          <w:b/>
        </w:rPr>
        <w:t>marzo</w:t>
      </w:r>
      <w:r w:rsidRPr="00C963FE">
        <w:rPr>
          <w:b/>
        </w:rPr>
        <w:t xml:space="preserve"> de dos mil veinticinco</w:t>
      </w:r>
      <w:r w:rsidRPr="00C963FE">
        <w:t xml:space="preserve"> </w:t>
      </w:r>
      <w:r w:rsidRPr="00C963FE">
        <w:rPr>
          <w:b/>
        </w:rPr>
        <w:t>LA PARTE RECURRENTE</w:t>
      </w:r>
      <w:r w:rsidRPr="00C963FE">
        <w:t xml:space="preserve"> interpuso el recurso de revisión en contra de la respuesta emitida por el </w:t>
      </w:r>
      <w:r w:rsidRPr="00C963FE">
        <w:rPr>
          <w:b/>
        </w:rPr>
        <w:t>SUJETO OBLIGADO</w:t>
      </w:r>
      <w:r w:rsidRPr="00C963FE">
        <w:t xml:space="preserve">, mismo que fue registrado en </w:t>
      </w:r>
      <w:r w:rsidRPr="00C963FE">
        <w:rPr>
          <w:b/>
        </w:rPr>
        <w:t>EL SAIMEX</w:t>
      </w:r>
      <w:r w:rsidRPr="00C963FE">
        <w:t xml:space="preserve"> con el número de expediente </w:t>
      </w:r>
      <w:r w:rsidR="00F556C6" w:rsidRPr="00C963FE">
        <w:rPr>
          <w:b/>
        </w:rPr>
        <w:t>3137</w:t>
      </w:r>
      <w:r w:rsidRPr="00C963FE">
        <w:rPr>
          <w:b/>
        </w:rPr>
        <w:t>/INFOEM/IP/RR/2025</w:t>
      </w:r>
      <w:r w:rsidRPr="00C963FE">
        <w:t xml:space="preserve"> y en el cual manifiesta lo siguiente:</w:t>
      </w:r>
    </w:p>
    <w:p w14:paraId="422F95F4" w14:textId="77777777" w:rsidR="006331CD" w:rsidRPr="00C963FE" w:rsidRDefault="006331CD" w:rsidP="006331CD">
      <w:pPr>
        <w:tabs>
          <w:tab w:val="left" w:pos="4667"/>
        </w:tabs>
        <w:ind w:right="539"/>
      </w:pPr>
    </w:p>
    <w:p w14:paraId="3F74E2C1" w14:textId="30A38D3A" w:rsidR="00DE3530" w:rsidRPr="00C963FE" w:rsidRDefault="00F556C6" w:rsidP="006331CD">
      <w:pPr>
        <w:tabs>
          <w:tab w:val="left" w:pos="4667"/>
        </w:tabs>
        <w:ind w:right="539"/>
        <w:rPr>
          <w:b/>
        </w:rPr>
      </w:pPr>
      <w:r w:rsidRPr="00C963FE">
        <w:rPr>
          <w:b/>
        </w:rPr>
        <w:t>ACTO IMPUGNADO:</w:t>
      </w:r>
    </w:p>
    <w:p w14:paraId="022BD53E" w14:textId="6CB3A5D8" w:rsidR="00DE3530" w:rsidRPr="00C963FE" w:rsidRDefault="00F77CE8" w:rsidP="006331CD">
      <w:pPr>
        <w:pStyle w:val="Puesto"/>
      </w:pPr>
      <w:bookmarkStart w:id="11" w:name="_heading=h.sobqmaen7oz2" w:colFirst="0" w:colLast="0"/>
      <w:bookmarkEnd w:id="11"/>
      <w:r w:rsidRPr="00C963FE">
        <w:t>“</w:t>
      </w:r>
      <w:r w:rsidR="00F556C6" w:rsidRPr="00C963FE">
        <w:t>Respecto a la información solicitada, el sujeto obligado se niega a entregar la información</w:t>
      </w:r>
      <w:r w:rsidRPr="00C963FE">
        <w:t xml:space="preserve">” </w:t>
      </w:r>
      <w:r w:rsidRPr="00C963FE">
        <w:rPr>
          <w:i w:val="0"/>
        </w:rPr>
        <w:t>(Sic).</w:t>
      </w:r>
      <w:r w:rsidRPr="00C963FE">
        <w:t xml:space="preserve"> </w:t>
      </w:r>
    </w:p>
    <w:p w14:paraId="44E52BA1" w14:textId="77777777" w:rsidR="00F556C6" w:rsidRPr="00C963FE" w:rsidRDefault="00F556C6" w:rsidP="006331CD"/>
    <w:p w14:paraId="0D6DB5D4" w14:textId="77777777" w:rsidR="00F556C6" w:rsidRPr="00C963FE" w:rsidRDefault="00F556C6" w:rsidP="006331CD">
      <w:pPr>
        <w:tabs>
          <w:tab w:val="left" w:pos="4667"/>
        </w:tabs>
        <w:ind w:right="539"/>
        <w:rPr>
          <w:b/>
        </w:rPr>
      </w:pPr>
      <w:r w:rsidRPr="00C963FE">
        <w:rPr>
          <w:b/>
        </w:rPr>
        <w:lastRenderedPageBreak/>
        <w:t>RAZONES O MOTIVOS DE INCONFORMIDAD:</w:t>
      </w:r>
    </w:p>
    <w:p w14:paraId="0E1E4D4E" w14:textId="6AD236FE" w:rsidR="00F556C6" w:rsidRPr="00C963FE" w:rsidRDefault="00F556C6" w:rsidP="006331CD">
      <w:pPr>
        <w:pStyle w:val="Puesto"/>
      </w:pPr>
      <w:r w:rsidRPr="00C963FE">
        <w:t xml:space="preserve">“Respecto a la información solicitada, el sujeto obligado se niega a entregar la información, ya que la no encuadra en el supuesto de información clasificada como reservada, toda vez que es información que no causa un perjuicio a la contribución. Aunado a la anterior, el sujeto obligado no cumplen con las disposiciones establecidas en la Ley de Transparencia y Acceso a la Información Pública del Estado de México y Municipios, ya que no envía la prueba de daño a la que hace referencia el artículo 141, tampoco cumple con lo dispuesto en el Capitulo V de la Información Reservada de los Lineamientos Generales de Clasificación de Desclasificación de la Información, así como para la elaboración de versiones públicas.” </w:t>
      </w:r>
      <w:r w:rsidRPr="00C963FE">
        <w:rPr>
          <w:i w:val="0"/>
        </w:rPr>
        <w:t>(Sic).</w:t>
      </w:r>
      <w:r w:rsidRPr="00C963FE">
        <w:t xml:space="preserve"> </w:t>
      </w:r>
    </w:p>
    <w:p w14:paraId="569B9D51" w14:textId="77777777" w:rsidR="009146C0" w:rsidRPr="00C963FE" w:rsidRDefault="009146C0" w:rsidP="006331CD">
      <w:pPr>
        <w:tabs>
          <w:tab w:val="left" w:pos="4667"/>
        </w:tabs>
        <w:ind w:right="539"/>
      </w:pPr>
    </w:p>
    <w:p w14:paraId="30556117" w14:textId="77777777" w:rsidR="00DE3530" w:rsidRPr="00C963FE" w:rsidRDefault="00F77CE8" w:rsidP="006331CD">
      <w:pPr>
        <w:pStyle w:val="Ttulo3"/>
        <w:spacing w:line="360" w:lineRule="auto"/>
      </w:pPr>
      <w:bookmarkStart w:id="12" w:name="_Toc210805588"/>
      <w:r w:rsidRPr="00C963FE">
        <w:t>b) Turno del Recurso de Revisión.</w:t>
      </w:r>
      <w:bookmarkEnd w:id="12"/>
    </w:p>
    <w:p w14:paraId="567A855F" w14:textId="7F985948" w:rsidR="00DE3530" w:rsidRPr="00C963FE" w:rsidRDefault="00F77CE8" w:rsidP="006331CD">
      <w:r w:rsidRPr="00C963FE">
        <w:t>Con fundamento en el artículo 185, fracción I de la Ley de Transparencia y Acceso a la Información Pública del Estado de México y Municipios, el</w:t>
      </w:r>
      <w:r w:rsidRPr="00C963FE">
        <w:rPr>
          <w:b/>
        </w:rPr>
        <w:t xml:space="preserve"> </w:t>
      </w:r>
      <w:r w:rsidR="00F556C6" w:rsidRPr="00C963FE">
        <w:rPr>
          <w:b/>
        </w:rPr>
        <w:t>dieciocho</w:t>
      </w:r>
      <w:r w:rsidR="00556ECE" w:rsidRPr="00C963FE">
        <w:rPr>
          <w:b/>
        </w:rPr>
        <w:t xml:space="preserve"> </w:t>
      </w:r>
      <w:r w:rsidRPr="00C963FE">
        <w:rPr>
          <w:b/>
        </w:rPr>
        <w:t xml:space="preserve">de </w:t>
      </w:r>
      <w:r w:rsidR="00F556C6" w:rsidRPr="00C963FE">
        <w:rPr>
          <w:b/>
        </w:rPr>
        <w:t>marzo</w:t>
      </w:r>
      <w:r w:rsidRPr="00C963FE">
        <w:rPr>
          <w:b/>
        </w:rPr>
        <w:t xml:space="preserve"> de dos mil veinticinco</w:t>
      </w:r>
      <w:r w:rsidRPr="00C963FE">
        <w:t xml:space="preserve"> se turnó el recurso de revisión a través del SAIMEX a la </w:t>
      </w:r>
      <w:r w:rsidRPr="00C963FE">
        <w:rPr>
          <w:b/>
        </w:rPr>
        <w:t>Comisionada Sharon Cristina Morales Martínez</w:t>
      </w:r>
      <w:r w:rsidRPr="00C963FE">
        <w:t>, a efecto de decretar su admisión o desechamiento.</w:t>
      </w:r>
    </w:p>
    <w:p w14:paraId="355B7B6F" w14:textId="77777777" w:rsidR="00DE3530" w:rsidRPr="00C963FE" w:rsidRDefault="00DE3530" w:rsidP="006331CD"/>
    <w:p w14:paraId="119B16B6" w14:textId="77777777" w:rsidR="00DE3530" w:rsidRPr="00C963FE" w:rsidRDefault="00F77CE8" w:rsidP="006331CD">
      <w:pPr>
        <w:pStyle w:val="Ttulo3"/>
        <w:spacing w:line="360" w:lineRule="auto"/>
      </w:pPr>
      <w:bookmarkStart w:id="13" w:name="_Toc210805589"/>
      <w:r w:rsidRPr="00C963FE">
        <w:t>c) Admisión del Recurso de Revisión.</w:t>
      </w:r>
      <w:bookmarkEnd w:id="13"/>
    </w:p>
    <w:p w14:paraId="05C2FF3D" w14:textId="4F0D2E0F" w:rsidR="00DE3530" w:rsidRPr="00C963FE" w:rsidRDefault="00F77CE8" w:rsidP="006331CD">
      <w:r w:rsidRPr="00C963FE">
        <w:t xml:space="preserve">El </w:t>
      </w:r>
      <w:r w:rsidR="00F556C6" w:rsidRPr="00C963FE">
        <w:rPr>
          <w:b/>
        </w:rPr>
        <w:t>veintiuno</w:t>
      </w:r>
      <w:r w:rsidRPr="00C963FE">
        <w:rPr>
          <w:b/>
        </w:rPr>
        <w:t xml:space="preserve"> de </w:t>
      </w:r>
      <w:r w:rsidR="00F556C6" w:rsidRPr="00C963FE">
        <w:rPr>
          <w:b/>
        </w:rPr>
        <w:t>marzo</w:t>
      </w:r>
      <w:r w:rsidRPr="00C963FE">
        <w:rPr>
          <w:b/>
        </w:rPr>
        <w:t xml:space="preserve"> de dos mil veinticinco</w:t>
      </w:r>
      <w:r w:rsidRPr="00C963F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C963FE" w:rsidRDefault="00DE3530" w:rsidP="006331CD">
      <w:pPr>
        <w:rPr>
          <w:b/>
        </w:rPr>
      </w:pPr>
    </w:p>
    <w:p w14:paraId="6F2A5C10" w14:textId="77777777" w:rsidR="00DE3530" w:rsidRPr="00C963FE" w:rsidRDefault="00F77CE8" w:rsidP="006331CD">
      <w:pPr>
        <w:pStyle w:val="Ttulo3"/>
        <w:spacing w:line="360" w:lineRule="auto"/>
      </w:pPr>
      <w:bookmarkStart w:id="14" w:name="_Toc210805590"/>
      <w:r w:rsidRPr="00C963FE">
        <w:t>d) Manifestaciones de la Parte Recurrente.</w:t>
      </w:r>
      <w:bookmarkEnd w:id="14"/>
    </w:p>
    <w:p w14:paraId="471AC640" w14:textId="77777777" w:rsidR="00CB0EBE" w:rsidRPr="00C963FE" w:rsidRDefault="00CB0EBE" w:rsidP="006331CD">
      <w:r w:rsidRPr="00C963FE">
        <w:rPr>
          <w:b/>
        </w:rPr>
        <w:t xml:space="preserve">LA PARTE RECURRENTE </w:t>
      </w:r>
      <w:r w:rsidRPr="00C963FE">
        <w:t>no realizó manifestación alguna dentro del término legalmente concedido para tal efecto, ni presentó pruebas o alegatos.</w:t>
      </w:r>
    </w:p>
    <w:p w14:paraId="1AC334ED" w14:textId="77777777" w:rsidR="00DE3530" w:rsidRPr="00C963FE" w:rsidRDefault="00F77CE8" w:rsidP="006331CD">
      <w:pPr>
        <w:pStyle w:val="Ttulo3"/>
        <w:spacing w:line="360" w:lineRule="auto"/>
      </w:pPr>
      <w:bookmarkStart w:id="15" w:name="_Toc210805591"/>
      <w:r w:rsidRPr="00C963FE">
        <w:lastRenderedPageBreak/>
        <w:t>e) Informe justificado del Sujeto Obligado.</w:t>
      </w:r>
      <w:bookmarkEnd w:id="15"/>
    </w:p>
    <w:p w14:paraId="4497C729" w14:textId="34578C93" w:rsidR="00556ECE" w:rsidRPr="00C963FE" w:rsidRDefault="00556ECE" w:rsidP="006331CD">
      <w:pPr>
        <w:rPr>
          <w:szCs w:val="22"/>
        </w:rPr>
      </w:pPr>
      <w:bookmarkStart w:id="16" w:name="_heading=h.26in1rg" w:colFirst="0" w:colLast="0"/>
      <w:bookmarkStart w:id="17" w:name="_heading=h.aqx94ywn653m" w:colFirst="0" w:colLast="0"/>
      <w:bookmarkEnd w:id="16"/>
      <w:bookmarkEnd w:id="17"/>
      <w:r w:rsidRPr="00C963FE">
        <w:rPr>
          <w:szCs w:val="22"/>
        </w:rPr>
        <w:t xml:space="preserve">El </w:t>
      </w:r>
      <w:r w:rsidR="00F556C6" w:rsidRPr="00C963FE">
        <w:rPr>
          <w:b/>
          <w:szCs w:val="22"/>
        </w:rPr>
        <w:t>treinta y uno</w:t>
      </w:r>
      <w:r w:rsidRPr="00C963FE">
        <w:rPr>
          <w:b/>
          <w:szCs w:val="22"/>
        </w:rPr>
        <w:t xml:space="preserve"> de </w:t>
      </w:r>
      <w:r w:rsidR="00F556C6" w:rsidRPr="00C963FE">
        <w:rPr>
          <w:b/>
          <w:szCs w:val="22"/>
        </w:rPr>
        <w:t>marzo</w:t>
      </w:r>
      <w:r w:rsidRPr="00C963FE">
        <w:rPr>
          <w:b/>
          <w:szCs w:val="22"/>
        </w:rPr>
        <w:t xml:space="preserve"> de dos mil veinticinco EL SUJETO OBLIGADO</w:t>
      </w:r>
      <w:r w:rsidRPr="00C963FE">
        <w:rPr>
          <w:szCs w:val="22"/>
        </w:rPr>
        <w:t xml:space="preserve"> remitió conforme a su derecho, los archivos digitales denominados que se describen a continuación:</w:t>
      </w:r>
    </w:p>
    <w:p w14:paraId="0DC03C40" w14:textId="77777777" w:rsidR="00556ECE" w:rsidRPr="00C963FE" w:rsidRDefault="00556ECE" w:rsidP="006331CD">
      <w:pPr>
        <w:rPr>
          <w:szCs w:val="22"/>
        </w:rPr>
      </w:pPr>
    </w:p>
    <w:p w14:paraId="2574E90E" w14:textId="10C9D135" w:rsidR="00D11CF2" w:rsidRPr="00C963FE" w:rsidRDefault="00556ECE" w:rsidP="006331CD">
      <w:pPr>
        <w:numPr>
          <w:ilvl w:val="0"/>
          <w:numId w:val="22"/>
        </w:numPr>
        <w:pBdr>
          <w:top w:val="nil"/>
          <w:left w:val="nil"/>
          <w:bottom w:val="nil"/>
          <w:right w:val="nil"/>
          <w:between w:val="nil"/>
        </w:pBdr>
        <w:rPr>
          <w:szCs w:val="22"/>
        </w:rPr>
      </w:pPr>
      <w:r w:rsidRPr="00C963FE">
        <w:rPr>
          <w:b/>
          <w:i/>
          <w:szCs w:val="22"/>
        </w:rPr>
        <w:t>“</w:t>
      </w:r>
      <w:r w:rsidR="00F556C6" w:rsidRPr="00C963FE">
        <w:rPr>
          <w:b/>
          <w:i/>
          <w:szCs w:val="22"/>
        </w:rPr>
        <w:t>Prueba de daño 00012-2025.pdf</w:t>
      </w:r>
      <w:r w:rsidRPr="00C963FE">
        <w:rPr>
          <w:b/>
          <w:i/>
          <w:szCs w:val="22"/>
        </w:rPr>
        <w:t>“</w:t>
      </w:r>
      <w:r w:rsidRPr="00C963FE">
        <w:rPr>
          <w:szCs w:val="22"/>
        </w:rPr>
        <w:t xml:space="preserve">: documento que contiene </w:t>
      </w:r>
      <w:r w:rsidR="00D11CF2" w:rsidRPr="00C963FE">
        <w:rPr>
          <w:szCs w:val="22"/>
        </w:rPr>
        <w:t>la prueba de daño para la clasificación total de la información como reservada de la solicitud con número de folio No. 00012/OASMETEPEC/IP/2025.</w:t>
      </w:r>
    </w:p>
    <w:p w14:paraId="57B608E1" w14:textId="77777777" w:rsidR="00D11CF2" w:rsidRPr="00C963FE" w:rsidRDefault="00D11CF2" w:rsidP="006331CD">
      <w:pPr>
        <w:pBdr>
          <w:top w:val="nil"/>
          <w:left w:val="nil"/>
          <w:bottom w:val="nil"/>
          <w:right w:val="nil"/>
          <w:between w:val="nil"/>
        </w:pBdr>
        <w:ind w:left="720"/>
        <w:rPr>
          <w:szCs w:val="22"/>
        </w:rPr>
      </w:pPr>
    </w:p>
    <w:p w14:paraId="296B93E7" w14:textId="4615A7E6" w:rsidR="00D11CF2" w:rsidRPr="00C963FE" w:rsidRDefault="00D11CF2" w:rsidP="006331CD">
      <w:pPr>
        <w:numPr>
          <w:ilvl w:val="0"/>
          <w:numId w:val="22"/>
        </w:numPr>
        <w:pBdr>
          <w:top w:val="nil"/>
          <w:left w:val="nil"/>
          <w:bottom w:val="nil"/>
          <w:right w:val="nil"/>
          <w:between w:val="nil"/>
        </w:pBdr>
        <w:rPr>
          <w:szCs w:val="22"/>
        </w:rPr>
      </w:pPr>
      <w:r w:rsidRPr="00C963FE">
        <w:rPr>
          <w:b/>
          <w:i/>
          <w:szCs w:val="22"/>
        </w:rPr>
        <w:t xml:space="preserve">“informe justificado.pdf”: </w:t>
      </w:r>
      <w:r w:rsidRPr="00C963FE">
        <w:rPr>
          <w:szCs w:val="22"/>
        </w:rPr>
        <w:t>documento que contiene el informe justificado del Titular de la Unidad de Gestión, por medio del cual medularmente ratifica la respuesta primigenia.</w:t>
      </w:r>
    </w:p>
    <w:p w14:paraId="55BD3C10" w14:textId="77777777" w:rsidR="00D11CF2" w:rsidRPr="00C963FE" w:rsidRDefault="00D11CF2" w:rsidP="006331CD">
      <w:pPr>
        <w:pBdr>
          <w:top w:val="nil"/>
          <w:left w:val="nil"/>
          <w:bottom w:val="nil"/>
          <w:right w:val="nil"/>
          <w:between w:val="nil"/>
        </w:pBdr>
        <w:ind w:left="720"/>
        <w:rPr>
          <w:szCs w:val="22"/>
        </w:rPr>
      </w:pPr>
    </w:p>
    <w:p w14:paraId="40673CE4" w14:textId="22D4BA6E" w:rsidR="00556ECE" w:rsidRPr="00C963FE" w:rsidRDefault="00556ECE" w:rsidP="006331CD">
      <w:pPr>
        <w:pBdr>
          <w:top w:val="nil"/>
          <w:left w:val="nil"/>
          <w:bottom w:val="nil"/>
          <w:right w:val="nil"/>
          <w:between w:val="nil"/>
        </w:pBdr>
        <w:rPr>
          <w:szCs w:val="22"/>
        </w:rPr>
      </w:pPr>
      <w:r w:rsidRPr="00C963FE">
        <w:rPr>
          <w:szCs w:val="22"/>
        </w:rPr>
        <w:t xml:space="preserve">Esta información fue puesta a la vista de </w:t>
      </w:r>
      <w:r w:rsidRPr="00C963FE">
        <w:rPr>
          <w:b/>
          <w:szCs w:val="22"/>
        </w:rPr>
        <w:t xml:space="preserve">LA PARTE RECURRENTE </w:t>
      </w:r>
      <w:r w:rsidRPr="00C963FE">
        <w:rPr>
          <w:szCs w:val="22"/>
        </w:rPr>
        <w:t xml:space="preserve">el </w:t>
      </w:r>
      <w:r w:rsidR="00D11CF2" w:rsidRPr="00C963FE">
        <w:rPr>
          <w:b/>
          <w:szCs w:val="22"/>
        </w:rPr>
        <w:t>dos</w:t>
      </w:r>
      <w:r w:rsidRPr="00C963FE">
        <w:rPr>
          <w:b/>
          <w:szCs w:val="22"/>
        </w:rPr>
        <w:t xml:space="preserve"> de </w:t>
      </w:r>
      <w:r w:rsidR="00D11CF2" w:rsidRPr="00C963FE">
        <w:rPr>
          <w:b/>
          <w:szCs w:val="22"/>
        </w:rPr>
        <w:t>junio</w:t>
      </w:r>
      <w:r w:rsidRPr="00C963FE">
        <w:rPr>
          <w:b/>
          <w:szCs w:val="22"/>
        </w:rPr>
        <w:t xml:space="preserve"> de dos mil veinticinco,</w:t>
      </w:r>
      <w:r w:rsidRPr="00C963FE">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397DFCD" w14:textId="77777777" w:rsidR="00556ECE" w:rsidRPr="00C963FE" w:rsidRDefault="00556ECE" w:rsidP="006331CD">
      <w:pPr>
        <w:rPr>
          <w:szCs w:val="22"/>
        </w:rPr>
      </w:pPr>
    </w:p>
    <w:p w14:paraId="3195D8B7" w14:textId="77777777" w:rsidR="00556ECE" w:rsidRPr="00C963FE" w:rsidRDefault="00556ECE" w:rsidP="006331CD">
      <w:pPr>
        <w:pStyle w:val="Ttulo3"/>
      </w:pPr>
      <w:bookmarkStart w:id="18" w:name="_Toc194926695"/>
      <w:bookmarkStart w:id="19" w:name="_Toc198812857"/>
      <w:bookmarkStart w:id="20" w:name="_Toc199935206"/>
      <w:bookmarkStart w:id="21" w:name="_Toc210805592"/>
      <w:r w:rsidRPr="00C963FE">
        <w:t>f) Ampliación de Plazo para Resolver</w:t>
      </w:r>
      <w:bookmarkEnd w:id="18"/>
      <w:bookmarkEnd w:id="19"/>
      <w:bookmarkEnd w:id="20"/>
      <w:bookmarkEnd w:id="21"/>
      <w:r w:rsidRPr="00C963FE">
        <w:t> </w:t>
      </w:r>
    </w:p>
    <w:p w14:paraId="12C52E81" w14:textId="31112DFD" w:rsidR="00556ECE" w:rsidRPr="00C963FE" w:rsidRDefault="00556ECE" w:rsidP="006331CD">
      <w:r w:rsidRPr="00C963FE">
        <w:t xml:space="preserve">El </w:t>
      </w:r>
      <w:r w:rsidR="00D11CF2" w:rsidRPr="00C963FE">
        <w:rPr>
          <w:b/>
          <w:bCs/>
        </w:rPr>
        <w:t>veintiuno</w:t>
      </w:r>
      <w:r w:rsidRPr="00C963FE">
        <w:rPr>
          <w:b/>
          <w:bCs/>
        </w:rPr>
        <w:t xml:space="preserve"> de </w:t>
      </w:r>
      <w:r w:rsidR="00D11CF2" w:rsidRPr="00C963FE">
        <w:rPr>
          <w:b/>
          <w:bCs/>
        </w:rPr>
        <w:t>mayo</w:t>
      </w:r>
      <w:r w:rsidRPr="00C963FE">
        <w:rPr>
          <w:b/>
          <w:bCs/>
        </w:rPr>
        <w:t xml:space="preserve"> de dos mil veinticinco</w:t>
      </w:r>
      <w:r w:rsidRPr="00C963FE">
        <w:t>, se notificó el acuerdo de ampliación de plazo para resolver el presente Recurso de Revisión, previsto en el artículo 181, tercer párrafo de la Ley de Transparencia y Acceso a la Información Pública del Estado de México y Municipios.</w:t>
      </w:r>
    </w:p>
    <w:p w14:paraId="0139056F" w14:textId="77777777" w:rsidR="009F55A4" w:rsidRPr="00C963FE" w:rsidRDefault="009F55A4" w:rsidP="006331CD"/>
    <w:p w14:paraId="1EB2D3A6" w14:textId="77777777" w:rsidR="00E73BD3" w:rsidRPr="00C963FE" w:rsidRDefault="00E73BD3" w:rsidP="006331CD">
      <w:pPr>
        <w:rPr>
          <w:rFonts w:cs="Arial"/>
          <w:lang w:eastAsia="es-MX"/>
        </w:rPr>
      </w:pPr>
      <w:r w:rsidRPr="00C963FE">
        <w:rPr>
          <w:rFonts w:cs="Arial"/>
          <w:lang w:eastAsia="es-MX"/>
        </w:rPr>
        <w:t xml:space="preserve">Este organismo garante no pasa por alto justificar, que el plazo para emitir resolución en el presente asunto encuentra justificación en el alto número de recursos de revisión recibidos por </w:t>
      </w:r>
      <w:r w:rsidRPr="00C963FE">
        <w:rPr>
          <w:rFonts w:cs="Arial"/>
          <w:lang w:eastAsia="es-MX"/>
        </w:rPr>
        <w:lastRenderedPageBreak/>
        <w:t>este Instituto, circunstancia atípica que ha rebasado las capacidades técnicas y humanas del personal encargado de la proyección de las resoluciones a dichos medios de impugnación.</w:t>
      </w:r>
    </w:p>
    <w:p w14:paraId="4D6E4E30" w14:textId="77777777" w:rsidR="00E73BD3" w:rsidRPr="00C963FE" w:rsidRDefault="00E73BD3" w:rsidP="006331CD">
      <w:pPr>
        <w:rPr>
          <w:rFonts w:cs="Arial"/>
          <w:lang w:eastAsia="es-MX"/>
        </w:rPr>
      </w:pPr>
    </w:p>
    <w:p w14:paraId="1BBA5AD6" w14:textId="77777777" w:rsidR="00E73BD3" w:rsidRPr="00C963FE" w:rsidRDefault="00E73BD3" w:rsidP="006331CD">
      <w:pPr>
        <w:rPr>
          <w:rFonts w:cs="Arial"/>
          <w:lang w:eastAsia="es-MX"/>
        </w:rPr>
      </w:pPr>
      <w:r w:rsidRPr="00C963FE">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73B7D96" w14:textId="77777777" w:rsidR="00E73BD3" w:rsidRPr="00C963FE" w:rsidRDefault="00E73BD3" w:rsidP="006331CD">
      <w:pPr>
        <w:rPr>
          <w:rFonts w:cs="Arial"/>
          <w:lang w:eastAsia="es-MX"/>
        </w:rPr>
      </w:pPr>
    </w:p>
    <w:p w14:paraId="204DC606" w14:textId="77777777" w:rsidR="00E73BD3" w:rsidRPr="00C963FE" w:rsidRDefault="00E73BD3" w:rsidP="006331CD">
      <w:pPr>
        <w:rPr>
          <w:rFonts w:cs="Arial"/>
          <w:lang w:eastAsia="es-MX"/>
        </w:rPr>
      </w:pPr>
      <w:r w:rsidRPr="00C963FE">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2B2A88C" w14:textId="77777777" w:rsidR="00E73BD3" w:rsidRPr="00C963FE" w:rsidRDefault="00E73BD3" w:rsidP="006331CD">
      <w:pPr>
        <w:rPr>
          <w:rFonts w:cs="Arial"/>
          <w:lang w:eastAsia="es-MX"/>
        </w:rPr>
      </w:pPr>
    </w:p>
    <w:p w14:paraId="7AF8F0ED" w14:textId="77777777" w:rsidR="00E73BD3" w:rsidRPr="00C963FE" w:rsidRDefault="00E73BD3" w:rsidP="006331CD">
      <w:pPr>
        <w:rPr>
          <w:rFonts w:cs="Arial"/>
          <w:lang w:eastAsia="es-MX"/>
        </w:rPr>
      </w:pPr>
      <w:r w:rsidRPr="00C963FE">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3B3FADC8" w14:textId="77777777" w:rsidR="00E73BD3" w:rsidRPr="00C963FE" w:rsidRDefault="00E73BD3" w:rsidP="006331CD">
      <w:pPr>
        <w:rPr>
          <w:rFonts w:cs="Arial"/>
          <w:lang w:eastAsia="es-MX"/>
        </w:rPr>
      </w:pPr>
    </w:p>
    <w:p w14:paraId="14FAAAE6" w14:textId="77777777" w:rsidR="00E73BD3" w:rsidRPr="00C963FE" w:rsidRDefault="00E73BD3" w:rsidP="006331CD">
      <w:pPr>
        <w:numPr>
          <w:ilvl w:val="0"/>
          <w:numId w:val="16"/>
        </w:numPr>
        <w:rPr>
          <w:rFonts w:cs="Arial"/>
          <w:lang w:eastAsia="es-MX"/>
        </w:rPr>
      </w:pPr>
      <w:r w:rsidRPr="00C963FE">
        <w:rPr>
          <w:rFonts w:cs="Arial"/>
          <w:b/>
          <w:lang w:eastAsia="es-MX"/>
        </w:rPr>
        <w:t>Complejidad del asunto:</w:t>
      </w:r>
      <w:r w:rsidRPr="00C963FE">
        <w:rPr>
          <w:rFonts w:cs="Arial"/>
          <w:lang w:eastAsia="es-MX"/>
        </w:rPr>
        <w:t xml:space="preserve"> La complejidad de la prueba, la pluralidad de sujetos procesales, el tiempo transcurrido, las características y contexto del recurso.</w:t>
      </w:r>
    </w:p>
    <w:p w14:paraId="6F7AF9D7" w14:textId="77777777" w:rsidR="00E73BD3" w:rsidRPr="00C963FE" w:rsidRDefault="00E73BD3" w:rsidP="006331CD">
      <w:pPr>
        <w:numPr>
          <w:ilvl w:val="0"/>
          <w:numId w:val="16"/>
        </w:numPr>
        <w:rPr>
          <w:rFonts w:cs="Arial"/>
          <w:lang w:eastAsia="es-MX"/>
        </w:rPr>
      </w:pPr>
      <w:r w:rsidRPr="00C963FE">
        <w:rPr>
          <w:rFonts w:cs="Arial"/>
          <w:b/>
          <w:lang w:eastAsia="es-MX"/>
        </w:rPr>
        <w:t>Actividad Procesal del interesado:</w:t>
      </w:r>
      <w:r w:rsidRPr="00C963FE">
        <w:rPr>
          <w:rFonts w:cs="Arial"/>
          <w:lang w:eastAsia="es-MX"/>
        </w:rPr>
        <w:t xml:space="preserve"> Acciones u omisiones del interesado.</w:t>
      </w:r>
    </w:p>
    <w:p w14:paraId="5BCFA776" w14:textId="77777777" w:rsidR="00E73BD3" w:rsidRPr="00C963FE" w:rsidRDefault="00E73BD3" w:rsidP="006331CD">
      <w:pPr>
        <w:numPr>
          <w:ilvl w:val="0"/>
          <w:numId w:val="16"/>
        </w:numPr>
        <w:rPr>
          <w:rFonts w:cs="Arial"/>
          <w:lang w:eastAsia="es-MX"/>
        </w:rPr>
      </w:pPr>
      <w:r w:rsidRPr="00C963FE">
        <w:rPr>
          <w:rFonts w:cs="Arial"/>
          <w:b/>
          <w:lang w:eastAsia="es-MX"/>
        </w:rPr>
        <w:lastRenderedPageBreak/>
        <w:t>Conducta de la Autoridad:</w:t>
      </w:r>
      <w:r w:rsidRPr="00C963FE">
        <w:rPr>
          <w:rFonts w:cs="Arial"/>
          <w:lang w:eastAsia="es-MX"/>
        </w:rPr>
        <w:t xml:space="preserve"> Las Acciones u omisiones realizadas en el procedimiento. Así como si la autoridad actuó con la debida diligencia.</w:t>
      </w:r>
    </w:p>
    <w:p w14:paraId="48584B89" w14:textId="77777777" w:rsidR="00E73BD3" w:rsidRPr="00C963FE" w:rsidRDefault="00E73BD3" w:rsidP="006331CD">
      <w:pPr>
        <w:numPr>
          <w:ilvl w:val="0"/>
          <w:numId w:val="16"/>
        </w:numPr>
        <w:rPr>
          <w:rFonts w:cs="Arial"/>
          <w:lang w:eastAsia="es-MX"/>
        </w:rPr>
      </w:pPr>
      <w:r w:rsidRPr="00C963FE">
        <w:rPr>
          <w:rFonts w:cs="Arial"/>
          <w:b/>
          <w:lang w:eastAsia="es-MX"/>
        </w:rPr>
        <w:t xml:space="preserve">La afectación generada en la situación jurídica de la persona involucrada en el proceso: </w:t>
      </w:r>
      <w:r w:rsidRPr="00C963FE">
        <w:rPr>
          <w:rFonts w:cs="Arial"/>
          <w:lang w:eastAsia="es-MX"/>
        </w:rPr>
        <w:t>Violación a sus derechos humanos.</w:t>
      </w:r>
    </w:p>
    <w:p w14:paraId="7E568F4C" w14:textId="77777777" w:rsidR="00E73BD3" w:rsidRPr="00C963FE" w:rsidRDefault="00E73BD3" w:rsidP="006331CD">
      <w:pPr>
        <w:rPr>
          <w:rFonts w:cs="Arial"/>
          <w:lang w:eastAsia="es-MX"/>
        </w:rPr>
      </w:pPr>
    </w:p>
    <w:p w14:paraId="59C45037" w14:textId="77777777" w:rsidR="00E73BD3" w:rsidRPr="00C963FE" w:rsidRDefault="00E73BD3" w:rsidP="006331CD">
      <w:pPr>
        <w:rPr>
          <w:rFonts w:cs="Arial"/>
          <w:lang w:eastAsia="es-MX"/>
        </w:rPr>
      </w:pPr>
      <w:r w:rsidRPr="00C963FE">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4646B0" w14:textId="77777777" w:rsidR="00E73BD3" w:rsidRPr="00C963FE" w:rsidRDefault="00E73BD3" w:rsidP="006331CD">
      <w:pPr>
        <w:rPr>
          <w:rFonts w:cs="Arial"/>
          <w:lang w:eastAsia="es-MX"/>
        </w:rPr>
      </w:pPr>
    </w:p>
    <w:p w14:paraId="3212BFAE" w14:textId="77777777" w:rsidR="00E73BD3" w:rsidRPr="00C963FE" w:rsidRDefault="00E73BD3" w:rsidP="006331CD">
      <w:pPr>
        <w:rPr>
          <w:rFonts w:cs="Arial"/>
          <w:lang w:eastAsia="es-MX"/>
        </w:rPr>
      </w:pPr>
      <w:r w:rsidRPr="00C963FE">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45045B6" w14:textId="77777777" w:rsidR="00E73BD3" w:rsidRPr="00C963FE" w:rsidRDefault="00E73BD3" w:rsidP="006331CD">
      <w:pPr>
        <w:rPr>
          <w:rFonts w:cs="Arial"/>
          <w:lang w:eastAsia="es-MX"/>
        </w:rPr>
      </w:pPr>
    </w:p>
    <w:p w14:paraId="668F263D" w14:textId="77777777" w:rsidR="00E73BD3" w:rsidRPr="00C963FE" w:rsidRDefault="00E73BD3" w:rsidP="006331CD">
      <w:pPr>
        <w:rPr>
          <w:rFonts w:cs="Arial"/>
          <w:lang w:eastAsia="es-MX"/>
        </w:rPr>
      </w:pPr>
      <w:r w:rsidRPr="00C963FE">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C963FE">
        <w:rPr>
          <w:rFonts w:cs="Arial"/>
          <w:lang w:eastAsia="es-MX"/>
        </w:rPr>
        <w:lastRenderedPageBreak/>
        <w:t>aportadas y desahogadas por las partes; lo que impide la tramitación de los recursos dentro de los términos legales previamente establecidos por la Ley, por tratarse de causas de fuerza mayor.</w:t>
      </w:r>
    </w:p>
    <w:p w14:paraId="1CBAEB2C" w14:textId="77777777" w:rsidR="00E73BD3" w:rsidRPr="00C963FE" w:rsidRDefault="00E73BD3" w:rsidP="006331CD">
      <w:pPr>
        <w:rPr>
          <w:rFonts w:cs="Arial"/>
          <w:lang w:eastAsia="es-MX"/>
        </w:rPr>
      </w:pPr>
    </w:p>
    <w:p w14:paraId="49DCB7DF" w14:textId="77777777" w:rsidR="00E73BD3" w:rsidRPr="00C963FE" w:rsidRDefault="00E73BD3" w:rsidP="006331CD">
      <w:pPr>
        <w:rPr>
          <w:rFonts w:cs="Arial"/>
          <w:lang w:eastAsia="es-MX"/>
        </w:rPr>
      </w:pPr>
      <w:r w:rsidRPr="00C963FE">
        <w:rPr>
          <w:rFonts w:cs="Arial"/>
          <w:lang w:eastAsia="es-MX"/>
        </w:rPr>
        <w:t>Al respecto, también son de considerar los criterios sostenidos por el Cuarto Tribunal Colegiado en Materia Administrativa del Primer Circuito, cuyos rubros y datos de identificación son los siguientes:</w:t>
      </w:r>
    </w:p>
    <w:p w14:paraId="3386CB64" w14:textId="77777777" w:rsidR="00E73BD3" w:rsidRPr="00C963FE" w:rsidRDefault="00E73BD3" w:rsidP="006331CD">
      <w:pPr>
        <w:rPr>
          <w:rFonts w:cs="Arial"/>
          <w:lang w:eastAsia="es-MX"/>
        </w:rPr>
      </w:pPr>
    </w:p>
    <w:p w14:paraId="55358BF3" w14:textId="77777777" w:rsidR="00E73BD3" w:rsidRPr="00C963FE" w:rsidRDefault="00E73BD3" w:rsidP="006331CD">
      <w:pPr>
        <w:spacing w:line="240" w:lineRule="auto"/>
        <w:ind w:left="567" w:right="567"/>
        <w:contextualSpacing/>
        <w:rPr>
          <w:i/>
          <w:kern w:val="28"/>
          <w:szCs w:val="56"/>
          <w:lang w:eastAsia="es-MX"/>
        </w:rPr>
      </w:pPr>
      <w:r w:rsidRPr="00C963FE">
        <w:rPr>
          <w:i/>
          <w:kern w:val="28"/>
          <w:szCs w:val="56"/>
          <w:lang w:eastAsia="es-MX"/>
        </w:rPr>
        <w:t>“</w:t>
      </w:r>
      <w:r w:rsidRPr="00C963FE">
        <w:rPr>
          <w:b/>
          <w:i/>
          <w:kern w:val="28"/>
          <w:szCs w:val="56"/>
          <w:lang w:eastAsia="es-MX"/>
        </w:rPr>
        <w:t>PLAZO RAZONABLE PARA RESOLVER. DIMENSIÓN Y EFECTOS DE ESTE CONCEPTO CUANDO SE ADUCE EXCESIVA CARGA DE TRABAJO</w:t>
      </w:r>
      <w:r w:rsidRPr="00C963FE">
        <w:rPr>
          <w:i/>
          <w:kern w:val="28"/>
          <w:szCs w:val="56"/>
          <w:lang w:eastAsia="es-MX"/>
        </w:rPr>
        <w:t>.” consultable en el Semanario Judicial de la Federación y su gaceta, con el registro digital 2002351.</w:t>
      </w:r>
    </w:p>
    <w:p w14:paraId="0246D434" w14:textId="77777777" w:rsidR="00E73BD3" w:rsidRPr="00C963FE" w:rsidRDefault="00E73BD3" w:rsidP="006331CD">
      <w:pPr>
        <w:ind w:left="851" w:right="616"/>
        <w:rPr>
          <w:rFonts w:cs="Arial"/>
          <w:i/>
          <w:lang w:eastAsia="es-MX"/>
        </w:rPr>
      </w:pPr>
    </w:p>
    <w:p w14:paraId="72478A15" w14:textId="77777777" w:rsidR="00E73BD3" w:rsidRPr="00C963FE" w:rsidRDefault="00E73BD3" w:rsidP="006331CD">
      <w:pPr>
        <w:spacing w:line="240" w:lineRule="auto"/>
        <w:ind w:left="567" w:right="567"/>
        <w:contextualSpacing/>
        <w:rPr>
          <w:rFonts w:cs="Arial"/>
          <w:kern w:val="28"/>
          <w:szCs w:val="56"/>
          <w:lang w:eastAsia="es-MX"/>
        </w:rPr>
      </w:pPr>
      <w:r w:rsidRPr="00C963FE">
        <w:rPr>
          <w:rFonts w:cs="Arial"/>
          <w:i/>
          <w:kern w:val="28"/>
          <w:szCs w:val="56"/>
          <w:lang w:eastAsia="es-MX"/>
        </w:rPr>
        <w:t>“</w:t>
      </w:r>
      <w:r w:rsidRPr="00C963FE">
        <w:rPr>
          <w:rFonts w:cs="Arial"/>
          <w:b/>
          <w:i/>
          <w:kern w:val="28"/>
          <w:szCs w:val="56"/>
          <w:lang w:eastAsia="es-MX"/>
        </w:rPr>
        <w:t xml:space="preserve">PLAZO RAZONABLE </w:t>
      </w:r>
      <w:r w:rsidRPr="00C963FE">
        <w:rPr>
          <w:b/>
          <w:i/>
          <w:kern w:val="28"/>
          <w:szCs w:val="56"/>
          <w:lang w:eastAsia="es-MX"/>
        </w:rPr>
        <w:t>PARA</w:t>
      </w:r>
      <w:r w:rsidRPr="00C963FE">
        <w:rPr>
          <w:rFonts w:cs="Arial"/>
          <w:b/>
          <w:i/>
          <w:kern w:val="28"/>
          <w:szCs w:val="56"/>
          <w:lang w:eastAsia="es-MX"/>
        </w:rPr>
        <w:t xml:space="preserve"> RESOLVER. CONCEPTO Y ELEMENTOS QUE LO INTEGRAN A LA LUZ DEL DERECHO INTERNACIONAL DE LOS DERECHOS HUMANOS</w:t>
      </w:r>
      <w:r w:rsidRPr="00C963FE">
        <w:rPr>
          <w:rFonts w:cs="Arial"/>
          <w:i/>
          <w:kern w:val="28"/>
          <w:szCs w:val="56"/>
          <w:lang w:eastAsia="es-MX"/>
        </w:rPr>
        <w:t>.”, visible en el Semanario Judicial de la Federación y su gaceta, con el registro digital 2002350.</w:t>
      </w:r>
    </w:p>
    <w:p w14:paraId="3D893481" w14:textId="77777777" w:rsidR="00E73BD3" w:rsidRPr="00C963FE" w:rsidRDefault="00E73BD3" w:rsidP="006331CD">
      <w:pPr>
        <w:rPr>
          <w:rFonts w:cs="Arial"/>
          <w:lang w:eastAsia="es-MX"/>
        </w:rPr>
      </w:pPr>
    </w:p>
    <w:p w14:paraId="53B0006B" w14:textId="77777777" w:rsidR="00E73BD3" w:rsidRPr="00C963FE" w:rsidRDefault="00E73BD3" w:rsidP="006331CD">
      <w:pPr>
        <w:rPr>
          <w:rFonts w:cs="Arial"/>
          <w:lang w:eastAsia="es-MX"/>
        </w:rPr>
      </w:pPr>
      <w:r w:rsidRPr="00C963FE">
        <w:rPr>
          <w:rFonts w:cs="Arial"/>
          <w:lang w:eastAsia="es-MX"/>
        </w:rPr>
        <w:t xml:space="preserve">Por ello, este organismo garante </w:t>
      </w:r>
      <w:r w:rsidRPr="00C963FE">
        <w:rPr>
          <w:rFonts w:cs="Tahoma"/>
          <w:szCs w:val="22"/>
        </w:rPr>
        <w:t>comprometido</w:t>
      </w:r>
      <w:r w:rsidRPr="00C963FE">
        <w:rPr>
          <w:rFonts w:cs="Arial"/>
          <w:lang w:eastAsia="es-MX"/>
        </w:rPr>
        <w:t xml:space="preserve"> con la tutela de los derechos humanos confiados señala que este exceso del plazo legal para resolver el asunto resulta de carácter excepcional.</w:t>
      </w:r>
    </w:p>
    <w:p w14:paraId="2AD73FAF" w14:textId="77777777" w:rsidR="00E73BD3" w:rsidRPr="00C963FE" w:rsidRDefault="00E73BD3" w:rsidP="006331CD"/>
    <w:p w14:paraId="6BA6A486" w14:textId="5EEECCB7" w:rsidR="00DE3530" w:rsidRPr="00C963FE" w:rsidRDefault="00556ECE" w:rsidP="006331CD">
      <w:pPr>
        <w:pStyle w:val="Ttulo3"/>
        <w:spacing w:line="360" w:lineRule="auto"/>
      </w:pPr>
      <w:bookmarkStart w:id="22" w:name="_Toc210805593"/>
      <w:r w:rsidRPr="00C963FE">
        <w:t>g</w:t>
      </w:r>
      <w:r w:rsidR="00F77CE8" w:rsidRPr="00C963FE">
        <w:t>) Cierre de instrucción.</w:t>
      </w:r>
      <w:bookmarkEnd w:id="22"/>
    </w:p>
    <w:p w14:paraId="7302A595" w14:textId="5F19EE67" w:rsidR="00DE3530" w:rsidRPr="00C963FE" w:rsidRDefault="00F77CE8" w:rsidP="006331CD">
      <w:bookmarkStart w:id="23" w:name="_heading=h.35nkun2" w:colFirst="0" w:colLast="0"/>
      <w:bookmarkEnd w:id="23"/>
      <w:r w:rsidRPr="00C963FE">
        <w:t xml:space="preserve">Al no existir diligencias pendientes por desahogar, el </w:t>
      </w:r>
      <w:r w:rsidR="00CE07C6" w:rsidRPr="00C963FE">
        <w:rPr>
          <w:b/>
        </w:rPr>
        <w:t>siete</w:t>
      </w:r>
      <w:r w:rsidRPr="00C963FE">
        <w:rPr>
          <w:b/>
        </w:rPr>
        <w:t xml:space="preserve"> de </w:t>
      </w:r>
      <w:r w:rsidR="00CE07C6" w:rsidRPr="00C963FE">
        <w:rPr>
          <w:b/>
        </w:rPr>
        <w:t>octubre</w:t>
      </w:r>
      <w:r w:rsidRPr="00C963FE">
        <w:rPr>
          <w:b/>
        </w:rPr>
        <w:t xml:space="preserve"> de dos mil veinticinco</w:t>
      </w:r>
      <w:r w:rsidRPr="00C963FE">
        <w:t xml:space="preserve"> la </w:t>
      </w:r>
      <w:r w:rsidRPr="00C963FE">
        <w:rPr>
          <w:b/>
        </w:rPr>
        <w:t xml:space="preserve">Comisionada Sharon Cristina Morales Martínez </w:t>
      </w:r>
      <w:r w:rsidRPr="00C963FE">
        <w:t xml:space="preserve">acordó el cierre de instrucción y la remisión del expediente a efecto de ser resuelto, de conformidad con lo establecido en el artículo 185 fracciones VI y VIII de la Ley de Transparencia y Acceso a la Información Pública </w:t>
      </w:r>
      <w:r w:rsidRPr="00C963FE">
        <w:lastRenderedPageBreak/>
        <w:t xml:space="preserve">del Estado de México y Municipios. Dicho acuerdo fue notificado a las partes el mismo día a través del </w:t>
      </w:r>
      <w:r w:rsidRPr="00C963FE">
        <w:rPr>
          <w:b/>
        </w:rPr>
        <w:t>SAIMEX</w:t>
      </w:r>
      <w:r w:rsidRPr="00C963FE">
        <w:t>.</w:t>
      </w:r>
    </w:p>
    <w:p w14:paraId="47973D8A" w14:textId="77777777" w:rsidR="00DE3530" w:rsidRPr="00C963FE" w:rsidRDefault="00DE3530" w:rsidP="006331CD"/>
    <w:p w14:paraId="1020AD14" w14:textId="77777777" w:rsidR="00DE3530" w:rsidRPr="00C963FE" w:rsidRDefault="00F77CE8" w:rsidP="006331CD">
      <w:pPr>
        <w:pStyle w:val="Ttulo1"/>
      </w:pPr>
      <w:bookmarkStart w:id="24" w:name="_Toc210805594"/>
      <w:r w:rsidRPr="00C963FE">
        <w:t>CONSIDERANDOS</w:t>
      </w:r>
      <w:bookmarkEnd w:id="24"/>
    </w:p>
    <w:p w14:paraId="509C98DA" w14:textId="77777777" w:rsidR="00DE3530" w:rsidRPr="00C963FE" w:rsidRDefault="00DE3530" w:rsidP="006331CD">
      <w:pPr>
        <w:jc w:val="center"/>
        <w:rPr>
          <w:b/>
        </w:rPr>
      </w:pPr>
    </w:p>
    <w:p w14:paraId="22A0D311" w14:textId="77777777" w:rsidR="00DE3530" w:rsidRPr="00C963FE" w:rsidRDefault="00F77CE8" w:rsidP="006331CD">
      <w:pPr>
        <w:pStyle w:val="Ttulo2"/>
      </w:pPr>
      <w:bookmarkStart w:id="25" w:name="_Toc210805595"/>
      <w:r w:rsidRPr="00C963FE">
        <w:t>PRIMERO. Procedibilidad</w:t>
      </w:r>
      <w:bookmarkEnd w:id="25"/>
    </w:p>
    <w:p w14:paraId="0ECDEDEC" w14:textId="77777777" w:rsidR="00DE3530" w:rsidRPr="00C963FE" w:rsidRDefault="00F77CE8" w:rsidP="006331CD">
      <w:pPr>
        <w:pStyle w:val="Ttulo3"/>
        <w:spacing w:line="360" w:lineRule="auto"/>
      </w:pPr>
      <w:bookmarkStart w:id="26" w:name="_Toc210805596"/>
      <w:r w:rsidRPr="00C963FE">
        <w:t>a) Competencia del Instituto.</w:t>
      </w:r>
      <w:bookmarkEnd w:id="26"/>
    </w:p>
    <w:p w14:paraId="5989130C" w14:textId="77777777" w:rsidR="00D11CF2" w:rsidRPr="00C963FE" w:rsidRDefault="00D11CF2" w:rsidP="006331CD">
      <w:pPr>
        <w:rPr>
          <w:szCs w:val="22"/>
        </w:rPr>
      </w:pPr>
      <w:r w:rsidRPr="00C963FE">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C963FE" w:rsidRDefault="00DE3530" w:rsidP="006331CD"/>
    <w:p w14:paraId="2BF49888" w14:textId="77777777" w:rsidR="00DE3530" w:rsidRPr="00C963FE" w:rsidRDefault="00F77CE8" w:rsidP="006331CD">
      <w:pPr>
        <w:pStyle w:val="Ttulo3"/>
        <w:spacing w:line="360" w:lineRule="auto"/>
      </w:pPr>
      <w:bookmarkStart w:id="27" w:name="_Toc210805597"/>
      <w:r w:rsidRPr="00C963FE">
        <w:t>b) Legitimidad de la parte recurrente.</w:t>
      </w:r>
      <w:bookmarkEnd w:id="27"/>
    </w:p>
    <w:p w14:paraId="618C68D4" w14:textId="77777777" w:rsidR="00DE3530" w:rsidRPr="00C963FE" w:rsidRDefault="00F77CE8" w:rsidP="006331CD">
      <w:r w:rsidRPr="00C963FE">
        <w:t>El recurso de revisión fue interpuesto por parte legítima, ya que se presentó por la misma persona que formuló la solicitud de acceso a la Información Pública,</w:t>
      </w:r>
      <w:r w:rsidRPr="00C963FE">
        <w:rPr>
          <w:b/>
        </w:rPr>
        <w:t xml:space="preserve"> </w:t>
      </w:r>
      <w:r w:rsidRPr="00C963FE">
        <w:t>debido a que los datos de acceso</w:t>
      </w:r>
      <w:r w:rsidRPr="00C963FE">
        <w:rPr>
          <w:b/>
        </w:rPr>
        <w:t xml:space="preserve"> SAIMEX</w:t>
      </w:r>
      <w:r w:rsidRPr="00C963FE">
        <w:t xml:space="preserve"> son personales e irrepetibles.</w:t>
      </w:r>
    </w:p>
    <w:p w14:paraId="629E7B88" w14:textId="77777777" w:rsidR="00DE3530" w:rsidRPr="00C963FE" w:rsidRDefault="00DE3530" w:rsidP="006331CD"/>
    <w:p w14:paraId="74F60D89" w14:textId="77777777" w:rsidR="00DE3530" w:rsidRPr="00C963FE" w:rsidRDefault="00F77CE8" w:rsidP="006331CD">
      <w:pPr>
        <w:pStyle w:val="Ttulo3"/>
        <w:spacing w:line="360" w:lineRule="auto"/>
      </w:pPr>
      <w:bookmarkStart w:id="28" w:name="_Toc210805598"/>
      <w:r w:rsidRPr="00C963FE">
        <w:lastRenderedPageBreak/>
        <w:t>c) Plazo para interponer el recurso.</w:t>
      </w:r>
      <w:bookmarkEnd w:id="28"/>
    </w:p>
    <w:p w14:paraId="1E7227A6" w14:textId="65F9226F" w:rsidR="006F497C" w:rsidRPr="00C963FE" w:rsidRDefault="006F497C" w:rsidP="006331CD">
      <w:bookmarkStart w:id="29" w:name="_heading=h.1y810tw" w:colFirst="0" w:colLast="0"/>
      <w:bookmarkEnd w:id="29"/>
      <w:r w:rsidRPr="00C963FE">
        <w:rPr>
          <w:b/>
        </w:rPr>
        <w:t>EL SUJETO OBLIGADO</w:t>
      </w:r>
      <w:r w:rsidRPr="00C963FE">
        <w:t xml:space="preserve"> notificó la respuesta a la solicitud de acceso a la Información Pública el </w:t>
      </w:r>
      <w:r w:rsidR="00D11CF2" w:rsidRPr="00C963FE">
        <w:rPr>
          <w:b/>
        </w:rPr>
        <w:t>trece</w:t>
      </w:r>
      <w:r w:rsidRPr="00C963FE">
        <w:rPr>
          <w:b/>
        </w:rPr>
        <w:t xml:space="preserve"> de </w:t>
      </w:r>
      <w:r w:rsidR="00556ECE" w:rsidRPr="00C963FE">
        <w:rPr>
          <w:b/>
        </w:rPr>
        <w:t>marzo</w:t>
      </w:r>
      <w:r w:rsidRPr="00C963FE">
        <w:rPr>
          <w:b/>
        </w:rPr>
        <w:t xml:space="preserve"> de dos mil veinticinco</w:t>
      </w:r>
      <w:r w:rsidRPr="00C963FE">
        <w:t xml:space="preserve"> y el recurso que nos ocupa se tuvo por interpuesto el </w:t>
      </w:r>
      <w:r w:rsidR="00D11CF2" w:rsidRPr="00C963FE">
        <w:rPr>
          <w:b/>
        </w:rPr>
        <w:t>dieciocho</w:t>
      </w:r>
      <w:r w:rsidRPr="00C963FE">
        <w:rPr>
          <w:b/>
        </w:rPr>
        <w:t xml:space="preserve"> de </w:t>
      </w:r>
      <w:r w:rsidR="00D11CF2" w:rsidRPr="00C963FE">
        <w:rPr>
          <w:b/>
        </w:rPr>
        <w:t>marzo</w:t>
      </w:r>
      <w:r w:rsidRPr="00C963FE">
        <w:rPr>
          <w:b/>
        </w:rPr>
        <w:t xml:space="preserve"> de dos mil veinticinco</w:t>
      </w:r>
      <w:r w:rsidRPr="00C963FE">
        <w:t xml:space="preserve"> por lo tanto, éste se encuentra dentro del margen temporal previsto en el artículo 178 de la Ley de Transparencia y Acceso a la Información Pública del Estado de México y Municipios.</w:t>
      </w:r>
    </w:p>
    <w:p w14:paraId="1C67CDEB" w14:textId="77777777" w:rsidR="00DE3530" w:rsidRPr="00C963FE" w:rsidRDefault="00DE3530" w:rsidP="006331CD"/>
    <w:p w14:paraId="55537634" w14:textId="77777777" w:rsidR="00DE3530" w:rsidRPr="00C963FE" w:rsidRDefault="00F77CE8" w:rsidP="006331CD">
      <w:pPr>
        <w:pStyle w:val="Ttulo3"/>
        <w:spacing w:line="360" w:lineRule="auto"/>
      </w:pPr>
      <w:bookmarkStart w:id="30" w:name="_Toc210805599"/>
      <w:r w:rsidRPr="00C963FE">
        <w:t>d) Causal de procedencia.</w:t>
      </w:r>
      <w:bookmarkEnd w:id="30"/>
    </w:p>
    <w:p w14:paraId="7DEA8DD1" w14:textId="2D4038B5" w:rsidR="00DE3530" w:rsidRPr="00C963FE" w:rsidRDefault="00F77CE8" w:rsidP="006331CD">
      <w:r w:rsidRPr="00C963FE">
        <w:t xml:space="preserve">Resulta procedente la interposición del recurso de revisión, ya que se actualiza la causal de procedencia señalada en el artículo 179, </w:t>
      </w:r>
      <w:r w:rsidR="00D11CF2" w:rsidRPr="00C963FE">
        <w:t>fracciones I y II</w:t>
      </w:r>
      <w:r w:rsidR="00D21AC9" w:rsidRPr="00C963FE">
        <w:t xml:space="preserve"> </w:t>
      </w:r>
      <w:r w:rsidRPr="00C963FE">
        <w:t>de la Ley de Transparencia y Acceso a la Información Pública del Estado de México y Municipios.</w:t>
      </w:r>
    </w:p>
    <w:p w14:paraId="2A4F7E78" w14:textId="77777777" w:rsidR="00DE3530" w:rsidRPr="00C963FE" w:rsidRDefault="00DE3530" w:rsidP="006331CD"/>
    <w:p w14:paraId="46B378AA" w14:textId="77777777" w:rsidR="00DE3530" w:rsidRPr="00C963FE" w:rsidRDefault="00F77CE8" w:rsidP="006331CD">
      <w:pPr>
        <w:pStyle w:val="Ttulo3"/>
        <w:spacing w:line="360" w:lineRule="auto"/>
      </w:pPr>
      <w:bookmarkStart w:id="31" w:name="_Toc210805600"/>
      <w:r w:rsidRPr="00C963FE">
        <w:t>e) Requisitos formales para la interposición del recurso.</w:t>
      </w:r>
      <w:bookmarkEnd w:id="31"/>
    </w:p>
    <w:p w14:paraId="7DB0C5E8" w14:textId="77777777" w:rsidR="00D11CF2" w:rsidRPr="00C963FE" w:rsidRDefault="00D11CF2" w:rsidP="006331CD">
      <w:r w:rsidRPr="00C963FE">
        <w:rPr>
          <w:b/>
        </w:rPr>
        <w:t xml:space="preserve">LA PARTE RECURRENTE </w:t>
      </w:r>
      <w:r w:rsidRPr="00C963FE">
        <w:t>acreditó todos y cada uno de los elementos formales exigidos por el artículo 180 de la misma normatividad.</w:t>
      </w:r>
    </w:p>
    <w:p w14:paraId="35CB9CC2" w14:textId="77777777" w:rsidR="006F497C" w:rsidRPr="00C963FE" w:rsidRDefault="006F497C" w:rsidP="006331CD"/>
    <w:p w14:paraId="41278412" w14:textId="77777777" w:rsidR="00DE3530" w:rsidRPr="00C963FE" w:rsidRDefault="00F77CE8" w:rsidP="006331CD">
      <w:pPr>
        <w:pStyle w:val="Ttulo2"/>
      </w:pPr>
      <w:bookmarkStart w:id="32" w:name="_Toc210805601"/>
      <w:r w:rsidRPr="00C963FE">
        <w:t>SEGUNDO. Estudio de Fondo.</w:t>
      </w:r>
      <w:bookmarkEnd w:id="32"/>
    </w:p>
    <w:p w14:paraId="24026E9F" w14:textId="77777777" w:rsidR="00DE3530" w:rsidRPr="00C963FE" w:rsidRDefault="00F77CE8" w:rsidP="006331CD">
      <w:pPr>
        <w:pStyle w:val="Ttulo3"/>
        <w:spacing w:line="360" w:lineRule="auto"/>
      </w:pPr>
      <w:bookmarkStart w:id="33" w:name="_Toc210805602"/>
      <w:r w:rsidRPr="00C963FE">
        <w:t>a) Mandato de transparencia y responsabilidad del Sujeto Obligado.</w:t>
      </w:r>
      <w:bookmarkEnd w:id="33"/>
    </w:p>
    <w:p w14:paraId="0C5A9990" w14:textId="77777777" w:rsidR="00DE3530" w:rsidRPr="00C963FE" w:rsidRDefault="00F77CE8" w:rsidP="006331CD">
      <w:r w:rsidRPr="00C963F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C963FE" w:rsidRDefault="00DE3530" w:rsidP="006331CD"/>
    <w:p w14:paraId="4CD24570" w14:textId="77777777" w:rsidR="00DE3530" w:rsidRPr="00C963FE" w:rsidRDefault="00F77CE8" w:rsidP="006331CD">
      <w:pPr>
        <w:spacing w:line="240" w:lineRule="auto"/>
        <w:ind w:left="567" w:right="539"/>
        <w:rPr>
          <w:b/>
          <w:i/>
        </w:rPr>
      </w:pPr>
      <w:r w:rsidRPr="00C963FE">
        <w:rPr>
          <w:b/>
          <w:i/>
        </w:rPr>
        <w:t>Constitución Política de los Estados Unidos Mexicanos</w:t>
      </w:r>
    </w:p>
    <w:p w14:paraId="39BEC270" w14:textId="77777777" w:rsidR="00DE3530" w:rsidRPr="00C963FE" w:rsidRDefault="00F77CE8" w:rsidP="006331CD">
      <w:pPr>
        <w:spacing w:line="240" w:lineRule="auto"/>
        <w:ind w:left="567" w:right="539"/>
        <w:rPr>
          <w:b/>
          <w:i/>
        </w:rPr>
      </w:pPr>
      <w:r w:rsidRPr="00C963FE">
        <w:rPr>
          <w:b/>
          <w:i/>
        </w:rPr>
        <w:t>“Artículo 6.</w:t>
      </w:r>
    </w:p>
    <w:p w14:paraId="663619FA" w14:textId="77777777" w:rsidR="00DE3530" w:rsidRPr="00C963FE" w:rsidRDefault="00F77CE8" w:rsidP="006331CD">
      <w:pPr>
        <w:spacing w:line="240" w:lineRule="auto"/>
        <w:ind w:left="567" w:right="539"/>
        <w:rPr>
          <w:i/>
        </w:rPr>
      </w:pPr>
      <w:r w:rsidRPr="00C963FE">
        <w:rPr>
          <w:i/>
        </w:rPr>
        <w:t>(…)</w:t>
      </w:r>
    </w:p>
    <w:p w14:paraId="448F7D1D" w14:textId="77777777" w:rsidR="00DE3530" w:rsidRPr="00C963FE" w:rsidRDefault="00F77CE8" w:rsidP="006331CD">
      <w:pPr>
        <w:spacing w:line="240" w:lineRule="auto"/>
        <w:ind w:left="567" w:right="539"/>
        <w:rPr>
          <w:i/>
        </w:rPr>
      </w:pPr>
      <w:r w:rsidRPr="00C963FE">
        <w:rPr>
          <w:i/>
        </w:rPr>
        <w:lastRenderedPageBreak/>
        <w:t>Para efectos de lo dispuesto en el presente artículo se observará lo siguiente:</w:t>
      </w:r>
    </w:p>
    <w:p w14:paraId="4FBF8D96" w14:textId="77777777" w:rsidR="00DE3530" w:rsidRPr="00C963FE" w:rsidRDefault="00F77CE8" w:rsidP="006331CD">
      <w:pPr>
        <w:spacing w:line="240" w:lineRule="auto"/>
        <w:ind w:left="567" w:right="539"/>
        <w:rPr>
          <w:b/>
          <w:i/>
        </w:rPr>
      </w:pPr>
      <w:r w:rsidRPr="00C963FE">
        <w:rPr>
          <w:b/>
          <w:i/>
        </w:rPr>
        <w:t>A</w:t>
      </w:r>
      <w:r w:rsidRPr="00C963FE">
        <w:rPr>
          <w:i/>
        </w:rPr>
        <w:t xml:space="preserve">. </w:t>
      </w:r>
      <w:r w:rsidRPr="00C963FE">
        <w:rPr>
          <w:b/>
          <w:i/>
        </w:rPr>
        <w:t>Para el ejercicio del derecho de acceso a la información</w:t>
      </w:r>
      <w:r w:rsidRPr="00C963FE">
        <w:rPr>
          <w:i/>
        </w:rPr>
        <w:t xml:space="preserve">, la Federación y </w:t>
      </w:r>
      <w:r w:rsidRPr="00C963FE">
        <w:rPr>
          <w:b/>
          <w:i/>
        </w:rPr>
        <w:t>las entidades federativas, en el ámbito de sus respectivas competencias, se regirán por los siguientes principios y bases:</w:t>
      </w:r>
    </w:p>
    <w:p w14:paraId="02A79B59" w14:textId="77777777" w:rsidR="00DE3530" w:rsidRPr="00C963FE" w:rsidRDefault="00F77CE8" w:rsidP="006331CD">
      <w:pPr>
        <w:spacing w:line="240" w:lineRule="auto"/>
        <w:ind w:left="567" w:right="539"/>
        <w:rPr>
          <w:i/>
        </w:rPr>
      </w:pPr>
      <w:r w:rsidRPr="00C963FE">
        <w:rPr>
          <w:b/>
          <w:i/>
        </w:rPr>
        <w:t xml:space="preserve">I. </w:t>
      </w:r>
      <w:r w:rsidRPr="00C963FE">
        <w:rPr>
          <w:b/>
          <w:i/>
        </w:rPr>
        <w:tab/>
        <w:t>Toda la información en posesión de cualquier</w:t>
      </w:r>
      <w:r w:rsidRPr="00C963FE">
        <w:rPr>
          <w:i/>
        </w:rPr>
        <w:t xml:space="preserve"> </w:t>
      </w:r>
      <w:r w:rsidRPr="00C963FE">
        <w:rPr>
          <w:b/>
          <w:i/>
        </w:rPr>
        <w:t>autoridad</w:t>
      </w:r>
      <w:r w:rsidRPr="00C963F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63FE">
        <w:rPr>
          <w:b/>
          <w:i/>
        </w:rPr>
        <w:t>municipal</w:t>
      </w:r>
      <w:r w:rsidRPr="00C963FE">
        <w:rPr>
          <w:i/>
        </w:rPr>
        <w:t xml:space="preserve">, </w:t>
      </w:r>
      <w:r w:rsidRPr="00C963FE">
        <w:rPr>
          <w:b/>
          <w:i/>
        </w:rPr>
        <w:t>es pública</w:t>
      </w:r>
      <w:r w:rsidRPr="00C963FE">
        <w:rPr>
          <w:i/>
        </w:rPr>
        <w:t xml:space="preserve"> y sólo podrá ser reservada temporalmente por razones de interés público y seguridad nacional, en los términos que fijen las leyes. </w:t>
      </w:r>
      <w:r w:rsidRPr="00C963FE">
        <w:rPr>
          <w:b/>
          <w:i/>
        </w:rPr>
        <w:t>En la interpretación de este derecho deberá prevalecer el principio de máxima publicidad. Los sujetos obligados deberán documentar todo acto que derive del ejercicio de sus facultades, competencias o funciones</w:t>
      </w:r>
      <w:r w:rsidRPr="00C963FE">
        <w:rPr>
          <w:i/>
        </w:rPr>
        <w:t>, la ley determinará los supuestos específicos bajo los cuales procederá la declaración de inexistencia de la información.”</w:t>
      </w:r>
    </w:p>
    <w:p w14:paraId="72FF4F5D" w14:textId="77777777" w:rsidR="00DE3530" w:rsidRPr="00C963FE" w:rsidRDefault="00DE3530" w:rsidP="006331CD">
      <w:pPr>
        <w:spacing w:line="240" w:lineRule="auto"/>
        <w:ind w:left="567" w:right="539"/>
        <w:rPr>
          <w:b/>
          <w:i/>
        </w:rPr>
      </w:pPr>
    </w:p>
    <w:p w14:paraId="47949F2B" w14:textId="77777777" w:rsidR="00DE3530" w:rsidRPr="00C963FE" w:rsidRDefault="00F77CE8" w:rsidP="006331CD">
      <w:pPr>
        <w:spacing w:line="240" w:lineRule="auto"/>
        <w:ind w:left="567" w:right="539"/>
        <w:rPr>
          <w:b/>
          <w:i/>
        </w:rPr>
      </w:pPr>
      <w:r w:rsidRPr="00C963FE">
        <w:rPr>
          <w:b/>
          <w:i/>
        </w:rPr>
        <w:t>Constitución Política del Estado Libre y Soberano de México</w:t>
      </w:r>
    </w:p>
    <w:p w14:paraId="2BAB1342" w14:textId="77777777" w:rsidR="00DE3530" w:rsidRPr="00C963FE" w:rsidRDefault="00F77CE8" w:rsidP="006331CD">
      <w:pPr>
        <w:spacing w:line="240" w:lineRule="auto"/>
        <w:ind w:left="567" w:right="539"/>
        <w:rPr>
          <w:i/>
        </w:rPr>
      </w:pPr>
      <w:r w:rsidRPr="00C963FE">
        <w:rPr>
          <w:b/>
          <w:i/>
        </w:rPr>
        <w:t>“Artículo 5</w:t>
      </w:r>
      <w:r w:rsidRPr="00C963FE">
        <w:rPr>
          <w:i/>
        </w:rPr>
        <w:t xml:space="preserve">.- </w:t>
      </w:r>
    </w:p>
    <w:p w14:paraId="5D0E8E43" w14:textId="77777777" w:rsidR="00DE3530" w:rsidRPr="00C963FE" w:rsidRDefault="00F77CE8" w:rsidP="006331CD">
      <w:pPr>
        <w:spacing w:line="240" w:lineRule="auto"/>
        <w:ind w:left="567" w:right="539"/>
        <w:rPr>
          <w:i/>
        </w:rPr>
      </w:pPr>
      <w:r w:rsidRPr="00C963FE">
        <w:rPr>
          <w:i/>
        </w:rPr>
        <w:t>(…)</w:t>
      </w:r>
    </w:p>
    <w:p w14:paraId="12747E87" w14:textId="77777777" w:rsidR="00DE3530" w:rsidRPr="00C963FE" w:rsidRDefault="00F77CE8" w:rsidP="006331CD">
      <w:pPr>
        <w:spacing w:line="240" w:lineRule="auto"/>
        <w:ind w:left="567" w:right="539"/>
        <w:rPr>
          <w:i/>
        </w:rPr>
      </w:pPr>
      <w:r w:rsidRPr="00C963FE">
        <w:rPr>
          <w:b/>
          <w:i/>
        </w:rPr>
        <w:t>El derecho a la información será garantizado por el Estado. La ley establecerá las previsiones que permitan asegurar la protección, el respeto y la difusión de este derecho</w:t>
      </w:r>
      <w:r w:rsidRPr="00C963FE">
        <w:rPr>
          <w:i/>
        </w:rPr>
        <w:t>.</w:t>
      </w:r>
    </w:p>
    <w:p w14:paraId="1A26C0E2" w14:textId="77777777" w:rsidR="00DE3530" w:rsidRPr="00C963FE" w:rsidRDefault="00F77CE8" w:rsidP="006331CD">
      <w:pPr>
        <w:spacing w:line="240" w:lineRule="auto"/>
        <w:ind w:left="567" w:right="539"/>
        <w:rPr>
          <w:i/>
        </w:rPr>
      </w:pPr>
      <w:r w:rsidRPr="00C963F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C963FE" w:rsidRDefault="00F77CE8" w:rsidP="006331CD">
      <w:pPr>
        <w:spacing w:line="240" w:lineRule="auto"/>
        <w:ind w:left="567" w:right="539"/>
        <w:rPr>
          <w:i/>
        </w:rPr>
      </w:pPr>
      <w:r w:rsidRPr="00C963FE">
        <w:rPr>
          <w:b/>
          <w:i/>
        </w:rPr>
        <w:t>Este derecho se regirá por los principios y bases siguientes</w:t>
      </w:r>
      <w:r w:rsidRPr="00C963FE">
        <w:rPr>
          <w:i/>
        </w:rPr>
        <w:t>:</w:t>
      </w:r>
    </w:p>
    <w:p w14:paraId="4D1BBA42" w14:textId="77777777" w:rsidR="00DE3530" w:rsidRPr="00C963FE" w:rsidRDefault="00F77CE8" w:rsidP="006331CD">
      <w:pPr>
        <w:spacing w:line="240" w:lineRule="auto"/>
        <w:ind w:left="567" w:right="539"/>
        <w:rPr>
          <w:i/>
        </w:rPr>
      </w:pPr>
      <w:r w:rsidRPr="00C963FE">
        <w:rPr>
          <w:b/>
          <w:i/>
        </w:rPr>
        <w:t>I. Toda la información en posesión de cualquier autoridad, entidad, órgano y organismos de los</w:t>
      </w:r>
      <w:r w:rsidRPr="00C963FE">
        <w:rPr>
          <w:i/>
        </w:rPr>
        <w:t xml:space="preserve"> Poderes Ejecutivo, Legislativo y Judicial, órganos autónomos, partidos políticos, fideicomisos y fondos públicos estatales y </w:t>
      </w:r>
      <w:r w:rsidRPr="00C963FE">
        <w:rPr>
          <w:b/>
          <w:i/>
        </w:rPr>
        <w:t>municipales</w:t>
      </w:r>
      <w:r w:rsidRPr="00C963F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963FE">
        <w:rPr>
          <w:b/>
          <w:i/>
        </w:rPr>
        <w:t>es pública</w:t>
      </w:r>
      <w:r w:rsidRPr="00C963FE">
        <w:rPr>
          <w:i/>
        </w:rPr>
        <w:t xml:space="preserve"> y sólo podrá ser reservada temporalmente por razones previstas en la Constitución Política de los Estados Unidos Mexicanos de interés público y seguridad, en los términos que fijen las leyes. </w:t>
      </w:r>
      <w:r w:rsidRPr="00C963FE">
        <w:rPr>
          <w:b/>
          <w:i/>
        </w:rPr>
        <w:t>En la interpretación de este derecho deberá prevalecer el principio de máxima publicidad</w:t>
      </w:r>
      <w:r w:rsidRPr="00C963FE">
        <w:rPr>
          <w:i/>
        </w:rPr>
        <w:t xml:space="preserve">. </w:t>
      </w:r>
      <w:r w:rsidRPr="00C963FE">
        <w:rPr>
          <w:b/>
          <w:i/>
        </w:rPr>
        <w:t xml:space="preserve">Los sujetos obligados deberán documentar todo acto que derive del </w:t>
      </w:r>
      <w:r w:rsidRPr="00C963FE">
        <w:rPr>
          <w:b/>
          <w:i/>
        </w:rPr>
        <w:lastRenderedPageBreak/>
        <w:t>ejercicio de sus facultades, competencias o funciones</w:t>
      </w:r>
      <w:r w:rsidRPr="00C963FE">
        <w:rPr>
          <w:i/>
        </w:rPr>
        <w:t>, la ley determinará los supuestos específicos bajo los cuales procederá la declaración de inexistencia de la información.”</w:t>
      </w:r>
    </w:p>
    <w:p w14:paraId="3BC55BA8" w14:textId="77777777" w:rsidR="00DE3530" w:rsidRPr="00C963FE" w:rsidRDefault="00DE3530" w:rsidP="006331CD">
      <w:pPr>
        <w:rPr>
          <w:b/>
          <w:i/>
        </w:rPr>
      </w:pPr>
    </w:p>
    <w:p w14:paraId="1D5A022B" w14:textId="77777777" w:rsidR="00DE3530" w:rsidRPr="00C963FE" w:rsidRDefault="00F77CE8" w:rsidP="006331CD">
      <w:pPr>
        <w:rPr>
          <w:i/>
        </w:rPr>
      </w:pPr>
      <w:r w:rsidRPr="00C963F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963FE">
        <w:rPr>
          <w:i/>
        </w:rPr>
        <w:t>por los principios de simplicidad, rapidez, gratuidad del procedimiento, auxilio y orientación a los particulares.</w:t>
      </w:r>
    </w:p>
    <w:p w14:paraId="2111DFB3" w14:textId="77777777" w:rsidR="00DE3530" w:rsidRPr="00C963FE" w:rsidRDefault="00DE3530" w:rsidP="006331CD">
      <w:pPr>
        <w:rPr>
          <w:i/>
        </w:rPr>
      </w:pPr>
    </w:p>
    <w:p w14:paraId="45BF92B8" w14:textId="77777777" w:rsidR="00DE3530" w:rsidRPr="00C963FE" w:rsidRDefault="00F77CE8" w:rsidP="006331CD">
      <w:pPr>
        <w:rPr>
          <w:i/>
        </w:rPr>
      </w:pPr>
      <w:r w:rsidRPr="00C963F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C963FE" w:rsidRDefault="00DE3530" w:rsidP="006331CD"/>
    <w:p w14:paraId="19CFA0B7" w14:textId="77777777" w:rsidR="00DE3530" w:rsidRPr="00C963FE" w:rsidRDefault="00F77CE8" w:rsidP="006331CD">
      <w:r w:rsidRPr="00C963F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C963FE" w:rsidRDefault="00DE3530" w:rsidP="006331CD"/>
    <w:p w14:paraId="59EDF266" w14:textId="77777777" w:rsidR="00DE3530" w:rsidRPr="00C963FE" w:rsidRDefault="00F77CE8" w:rsidP="006331CD">
      <w:r w:rsidRPr="00C963FE">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C963FE">
        <w:lastRenderedPageBreak/>
        <w:t>estado que se encuentra, sin necesidad de concretarse al interés o términos específicos del solicitante.</w:t>
      </w:r>
    </w:p>
    <w:p w14:paraId="187922ED" w14:textId="77777777" w:rsidR="00DE3530" w:rsidRPr="00C963FE" w:rsidRDefault="00DE3530" w:rsidP="006331CD"/>
    <w:p w14:paraId="7A3D98D7" w14:textId="77777777" w:rsidR="00DE3530" w:rsidRPr="00C963FE" w:rsidRDefault="00F77CE8" w:rsidP="006331CD">
      <w:r w:rsidRPr="00C963F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C963FE" w:rsidRDefault="00DE3530" w:rsidP="006331CD"/>
    <w:p w14:paraId="09007FC4" w14:textId="77777777" w:rsidR="00DE3530" w:rsidRPr="00C963FE" w:rsidRDefault="00F77CE8" w:rsidP="006331CD">
      <w:bookmarkStart w:id="34" w:name="_heading=h.2bn6wsx" w:colFirst="0" w:colLast="0"/>
      <w:bookmarkEnd w:id="34"/>
      <w:r w:rsidRPr="00C963FE">
        <w:t xml:space="preserve">Con base en lo anterior, se considera que </w:t>
      </w:r>
      <w:r w:rsidRPr="00C963FE">
        <w:rPr>
          <w:b/>
        </w:rPr>
        <w:t>EL</w:t>
      </w:r>
      <w:r w:rsidRPr="00C963FE">
        <w:t xml:space="preserve"> </w:t>
      </w:r>
      <w:r w:rsidRPr="00C963FE">
        <w:rPr>
          <w:b/>
        </w:rPr>
        <w:t>SUJETO OBLIGADO</w:t>
      </w:r>
      <w:r w:rsidRPr="00C963FE">
        <w:t xml:space="preserve"> se encontraba compelido a atender la solicitud de acceso a la información realizada por </w:t>
      </w:r>
      <w:r w:rsidRPr="00C963FE">
        <w:rPr>
          <w:b/>
        </w:rPr>
        <w:t>LA PARTE RECURRENTE</w:t>
      </w:r>
      <w:r w:rsidRPr="00C963FE">
        <w:t>.</w:t>
      </w:r>
    </w:p>
    <w:p w14:paraId="73322F02" w14:textId="77777777" w:rsidR="00DE3530" w:rsidRPr="00C963FE" w:rsidRDefault="00DE3530" w:rsidP="006331CD"/>
    <w:p w14:paraId="67425164" w14:textId="77777777" w:rsidR="00DE3530" w:rsidRPr="00C963FE" w:rsidRDefault="00F77CE8" w:rsidP="006331CD">
      <w:pPr>
        <w:pStyle w:val="Ttulo3"/>
        <w:spacing w:line="360" w:lineRule="auto"/>
      </w:pPr>
      <w:bookmarkStart w:id="35" w:name="_Toc210805603"/>
      <w:r w:rsidRPr="00C963FE">
        <w:t>b) Controversia a resolver.</w:t>
      </w:r>
      <w:bookmarkEnd w:id="35"/>
    </w:p>
    <w:p w14:paraId="3A490658" w14:textId="709CF0F9" w:rsidR="00BF291C" w:rsidRPr="00C963FE" w:rsidRDefault="00CB0EBE" w:rsidP="006331CD">
      <w:pPr>
        <w:rPr>
          <w:rFonts w:eastAsia="Calibri"/>
          <w:szCs w:val="22"/>
          <w:lang w:eastAsia="es-ES_tradnl"/>
        </w:rPr>
      </w:pPr>
      <w:r w:rsidRPr="00C963F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C963FE">
        <w:rPr>
          <w:rFonts w:eastAsia="Calibri"/>
          <w:b/>
          <w:bCs/>
          <w:szCs w:val="22"/>
          <w:lang w:eastAsia="es-ES_tradnl"/>
        </w:rPr>
        <w:t>LA PARTE RECURRENTE</w:t>
      </w:r>
      <w:r w:rsidRPr="00C963FE">
        <w:rPr>
          <w:rFonts w:eastAsia="Calibri"/>
          <w:szCs w:val="22"/>
          <w:lang w:eastAsia="es-ES_tradnl"/>
        </w:rPr>
        <w:t xml:space="preserve"> solicitó </w:t>
      </w:r>
      <w:r w:rsidR="00D11CF2" w:rsidRPr="00C963FE">
        <w:rPr>
          <w:rFonts w:eastAsia="Calibri"/>
          <w:szCs w:val="22"/>
          <w:lang w:eastAsia="es-ES_tradnl"/>
        </w:rPr>
        <w:t>los Procedimientos Administrativos de Ejecución del 2018 a la fecha de la solicitud.</w:t>
      </w:r>
    </w:p>
    <w:p w14:paraId="2403CA59" w14:textId="77777777" w:rsidR="00D11CF2" w:rsidRPr="00C963FE" w:rsidRDefault="00D11CF2" w:rsidP="006331CD"/>
    <w:p w14:paraId="64E12CB8" w14:textId="661F2C20" w:rsidR="00544306" w:rsidRPr="00C963FE" w:rsidRDefault="00F77CE8" w:rsidP="006331CD">
      <w:pPr>
        <w:pBdr>
          <w:top w:val="nil"/>
          <w:left w:val="nil"/>
          <w:bottom w:val="nil"/>
          <w:right w:val="nil"/>
          <w:between w:val="nil"/>
        </w:pBdr>
        <w:ind w:right="-28"/>
      </w:pPr>
      <w:r w:rsidRPr="00C963FE">
        <w:t xml:space="preserve">En respuesta, </w:t>
      </w:r>
      <w:r w:rsidRPr="00C963FE">
        <w:rPr>
          <w:b/>
        </w:rPr>
        <w:t xml:space="preserve">EL SUJETO OBLIGADO </w:t>
      </w:r>
      <w:r w:rsidRPr="00C963FE">
        <w:t>se pronunció por conducto de</w:t>
      </w:r>
      <w:r w:rsidR="00544306" w:rsidRPr="00C963FE">
        <w:rPr>
          <w:rFonts w:eastAsia="Palatino Linotype" w:cs="Palatino Linotype"/>
          <w:szCs w:val="22"/>
        </w:rPr>
        <w:t xml:space="preserve">l </w:t>
      </w:r>
      <w:r w:rsidR="00544306" w:rsidRPr="00C963FE">
        <w:t xml:space="preserve">Titular de la Unidad de Gestión, quien indicó que la solicitud de mérito fue turnada a la Dirección de Comercialización; asimismo señaló que, el requerimiento fue sometido a consideración del Comité de Transparencia, autoridad que determinó la clasificación de la información relativa </w:t>
      </w:r>
      <w:r w:rsidR="00544306" w:rsidRPr="00C963FE">
        <w:lastRenderedPageBreak/>
        <w:t>a todos los Procedimientos Administrativos de Ejecución del 2018 a la fecha de la solicitud, como reservada por un periodo de 5 años.</w:t>
      </w:r>
    </w:p>
    <w:p w14:paraId="6796C313" w14:textId="77777777" w:rsidR="00544306" w:rsidRPr="00C963FE" w:rsidRDefault="00544306" w:rsidP="006331CD">
      <w:pPr>
        <w:pBdr>
          <w:top w:val="nil"/>
          <w:left w:val="nil"/>
          <w:bottom w:val="nil"/>
          <w:right w:val="nil"/>
          <w:between w:val="nil"/>
        </w:pBdr>
        <w:ind w:right="-28"/>
      </w:pPr>
    </w:p>
    <w:p w14:paraId="6021713F" w14:textId="122DA20B" w:rsidR="00FE0017" w:rsidRPr="00C963FE" w:rsidRDefault="00F77CE8" w:rsidP="006331CD">
      <w:pPr>
        <w:tabs>
          <w:tab w:val="left" w:pos="4962"/>
        </w:tabs>
      </w:pPr>
      <w:r w:rsidRPr="00C963FE">
        <w:t xml:space="preserve">Ahora bien, en la interposición del presente recurso </w:t>
      </w:r>
      <w:r w:rsidRPr="00C963FE">
        <w:rPr>
          <w:b/>
        </w:rPr>
        <w:t>LA PARTE RECURRENTE</w:t>
      </w:r>
      <w:r w:rsidRPr="00C963FE">
        <w:t xml:space="preserve"> se inconformó </w:t>
      </w:r>
      <w:r w:rsidR="00D21AC9" w:rsidRPr="00C963FE">
        <w:t xml:space="preserve">sobre </w:t>
      </w:r>
      <w:r w:rsidR="00BF291C" w:rsidRPr="00C963FE">
        <w:t xml:space="preserve">la </w:t>
      </w:r>
      <w:r w:rsidR="00544306" w:rsidRPr="00C963FE">
        <w:t xml:space="preserve">negativa a la información solicitada, así como la clasificación de la información realizada por </w:t>
      </w:r>
      <w:r w:rsidR="00544306" w:rsidRPr="00C963FE">
        <w:rPr>
          <w:b/>
        </w:rPr>
        <w:t>EL SUJETO OBLIGADO</w:t>
      </w:r>
      <w:r w:rsidR="00BF291C" w:rsidRPr="00C963FE">
        <w:t>.</w:t>
      </w:r>
    </w:p>
    <w:p w14:paraId="7E026D9A" w14:textId="77777777" w:rsidR="00DE3530" w:rsidRPr="00C963FE" w:rsidRDefault="00DE3530" w:rsidP="006331CD"/>
    <w:p w14:paraId="4204174F" w14:textId="77777777" w:rsidR="00BF291C" w:rsidRPr="00C963FE" w:rsidRDefault="00BF291C" w:rsidP="006331CD">
      <w:pPr>
        <w:pBdr>
          <w:top w:val="nil"/>
          <w:left w:val="nil"/>
          <w:bottom w:val="nil"/>
          <w:right w:val="nil"/>
          <w:between w:val="nil"/>
        </w:pBdr>
        <w:rPr>
          <w:i/>
          <w:szCs w:val="22"/>
        </w:rPr>
      </w:pPr>
      <w:r w:rsidRPr="00C963FE">
        <w:rPr>
          <w:szCs w:val="22"/>
        </w:rPr>
        <w:t>Por otra parte, se debe señalar que</w:t>
      </w:r>
      <w:r w:rsidRPr="00C963FE">
        <w:rPr>
          <w:b/>
          <w:szCs w:val="22"/>
        </w:rPr>
        <w:t xml:space="preserve"> EL SUJETO OBLIGADO </w:t>
      </w:r>
      <w:r w:rsidRPr="00C963FE">
        <w:rPr>
          <w:szCs w:val="22"/>
        </w:rPr>
        <w:t xml:space="preserve">mediante informe justificado, ratificó la respuesta primigenia; y </w:t>
      </w:r>
      <w:r w:rsidRPr="00C963FE">
        <w:rPr>
          <w:b/>
          <w:szCs w:val="22"/>
        </w:rPr>
        <w:t xml:space="preserve">LA PARTE RECURRENTE </w:t>
      </w:r>
      <w:r w:rsidRPr="00C963FE">
        <w:rPr>
          <w:szCs w:val="22"/>
        </w:rPr>
        <w:t>no</w:t>
      </w:r>
      <w:r w:rsidRPr="00C963FE">
        <w:rPr>
          <w:b/>
          <w:szCs w:val="22"/>
        </w:rPr>
        <w:t xml:space="preserve"> </w:t>
      </w:r>
      <w:r w:rsidRPr="00C963FE">
        <w:rPr>
          <w:szCs w:val="22"/>
        </w:rPr>
        <w:t>realizó manifestación alguna en la etapa procesal oportuna.</w:t>
      </w:r>
    </w:p>
    <w:p w14:paraId="5E868823" w14:textId="77777777" w:rsidR="00FE0017" w:rsidRPr="00C963FE" w:rsidRDefault="00FE0017" w:rsidP="006331CD">
      <w:pPr>
        <w:rPr>
          <w:b/>
        </w:rPr>
      </w:pPr>
    </w:p>
    <w:p w14:paraId="6A217D2E" w14:textId="5D8DB7CB" w:rsidR="00DE3530" w:rsidRPr="00C963FE" w:rsidRDefault="00F77CE8" w:rsidP="006331CD">
      <w:pPr>
        <w:tabs>
          <w:tab w:val="left" w:pos="4962"/>
        </w:tabs>
        <w:rPr>
          <w:b/>
        </w:rPr>
      </w:pPr>
      <w:r w:rsidRPr="00C963FE">
        <w:t xml:space="preserve">En razón de lo anterior, el estudio se centrará en determinar </w:t>
      </w:r>
      <w:r w:rsidR="00BF291C" w:rsidRPr="00C963FE">
        <w:rPr>
          <w:rStyle w:val="Textoennegrita"/>
          <w:b w:val="0"/>
        </w:rPr>
        <w:t xml:space="preserve">si </w:t>
      </w:r>
      <w:r w:rsidR="00544306" w:rsidRPr="00C963FE">
        <w:t xml:space="preserve">las constancias relativas a los Procedimientos Administrativos de Ejecución actualizan una causal de reserva de la información como fue propuesto y aprobado por </w:t>
      </w:r>
      <w:r w:rsidR="00544306" w:rsidRPr="00C963FE">
        <w:rPr>
          <w:b/>
        </w:rPr>
        <w:t>EL SUJETO OBLIGADO.</w:t>
      </w:r>
    </w:p>
    <w:p w14:paraId="21CC3F14" w14:textId="77777777" w:rsidR="00DE3530" w:rsidRPr="00C963FE" w:rsidRDefault="00DE3530" w:rsidP="006331CD"/>
    <w:p w14:paraId="339CB54A" w14:textId="77777777" w:rsidR="00DE3530" w:rsidRPr="00C963FE" w:rsidRDefault="00F77CE8" w:rsidP="006331CD">
      <w:pPr>
        <w:pStyle w:val="Ttulo3"/>
        <w:tabs>
          <w:tab w:val="left" w:pos="6015"/>
        </w:tabs>
        <w:spacing w:line="360" w:lineRule="auto"/>
      </w:pPr>
      <w:bookmarkStart w:id="36" w:name="_Toc210805604"/>
      <w:r w:rsidRPr="00C963FE">
        <w:t>c) Estudio de la controversia.</w:t>
      </w:r>
      <w:bookmarkEnd w:id="36"/>
    </w:p>
    <w:p w14:paraId="1DE39540" w14:textId="77777777" w:rsidR="00DE3530" w:rsidRPr="00C963FE" w:rsidRDefault="00F77CE8" w:rsidP="006331CD">
      <w:pPr>
        <w:ind w:right="-93"/>
      </w:pPr>
      <w:r w:rsidRPr="00C963F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C963FE" w:rsidRDefault="00DE3530" w:rsidP="006331CD">
      <w:pPr>
        <w:ind w:right="-93"/>
      </w:pPr>
    </w:p>
    <w:p w14:paraId="6D527DAC" w14:textId="77777777" w:rsidR="00DE3530" w:rsidRPr="00C963FE" w:rsidRDefault="00F77CE8" w:rsidP="006331CD">
      <w:pPr>
        <w:pStyle w:val="Puesto"/>
        <w:ind w:firstLine="567"/>
      </w:pPr>
      <w:r w:rsidRPr="00C963FE">
        <w:rPr>
          <w:b/>
        </w:rPr>
        <w:t>Artículo 18</w:t>
      </w:r>
      <w:r w:rsidRPr="00C963FE">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C963FE" w:rsidRDefault="00DE3530" w:rsidP="006331CD">
      <w:pPr>
        <w:ind w:right="-93"/>
      </w:pPr>
    </w:p>
    <w:p w14:paraId="389A2584" w14:textId="77777777" w:rsidR="00DE3530" w:rsidRPr="00C963FE" w:rsidRDefault="00F77CE8" w:rsidP="006331CD">
      <w:pPr>
        <w:ind w:right="-93"/>
      </w:pPr>
      <w:r w:rsidRPr="00C963FE">
        <w:t xml:space="preserve">Lo anterior toma relevancia, pues según Jarquín, Soledad (2019), en el “Diccionario de Transparencia y Acceso a la Información Pública” (p. 126 y 127), todos los </w:t>
      </w:r>
      <w:r w:rsidRPr="00C963FE">
        <w:rPr>
          <w:b/>
        </w:rPr>
        <w:t>SUJETOS OBLIGADOS</w:t>
      </w:r>
      <w:r w:rsidRPr="00C963F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C963FE" w:rsidRDefault="00DE3530" w:rsidP="006331CD">
      <w:pPr>
        <w:ind w:right="-93"/>
      </w:pPr>
    </w:p>
    <w:p w14:paraId="25C5789F" w14:textId="77777777" w:rsidR="00DE3530" w:rsidRPr="00C963FE" w:rsidRDefault="00F77CE8" w:rsidP="006331CD">
      <w:pPr>
        <w:widowControl w:val="0"/>
      </w:pPr>
      <w:r w:rsidRPr="00C963F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CADA57D" w14:textId="77777777" w:rsidR="006547A8" w:rsidRPr="00C963FE" w:rsidRDefault="006547A8" w:rsidP="006331CD">
      <w:pPr>
        <w:ind w:right="-93"/>
      </w:pPr>
    </w:p>
    <w:p w14:paraId="673A1C58" w14:textId="6274F916" w:rsidR="00BF291C" w:rsidRPr="00C963FE" w:rsidRDefault="00BF291C" w:rsidP="006331CD">
      <w:pPr>
        <w:rPr>
          <w:szCs w:val="22"/>
        </w:rPr>
      </w:pPr>
      <w:r w:rsidRPr="00C963FE">
        <w:t xml:space="preserve">Así las cosas, se estima prudente iniciar señalando que, el Sujeto Obligado emitió su pronunciamiento a través del área competente, dada la propia y especial naturaleza de la solicitud y de conformidad con lo previsto en el </w:t>
      </w:r>
      <w:r w:rsidR="00D007F3" w:rsidRPr="00C963FE">
        <w:rPr>
          <w:szCs w:val="22"/>
        </w:rPr>
        <w:t>Reglamento Interior del Organismo Público Descentralizado para la Prestación de los Servicios de Agua Potable, Alcantarillado y Saneamiento del Municipio de Metepec</w:t>
      </w:r>
      <w:r w:rsidRPr="00C963FE">
        <w:rPr>
          <w:szCs w:val="22"/>
        </w:rPr>
        <w:t>, como a continuación se observa:</w:t>
      </w:r>
    </w:p>
    <w:p w14:paraId="15A2D538" w14:textId="77777777" w:rsidR="00BF291C" w:rsidRPr="00C963FE" w:rsidRDefault="00BF291C" w:rsidP="006331CD">
      <w:pPr>
        <w:ind w:right="-93"/>
      </w:pPr>
    </w:p>
    <w:p w14:paraId="109D12FA" w14:textId="77777777" w:rsidR="00B504CB" w:rsidRPr="00C963FE" w:rsidRDefault="00BF291C" w:rsidP="006331CD">
      <w:pPr>
        <w:spacing w:line="240" w:lineRule="auto"/>
        <w:ind w:left="851" w:right="822"/>
        <w:rPr>
          <w:i/>
        </w:rPr>
      </w:pPr>
      <w:r w:rsidRPr="00C963FE">
        <w:rPr>
          <w:i/>
        </w:rPr>
        <w:t>“</w:t>
      </w:r>
      <w:r w:rsidR="00B504CB" w:rsidRPr="00C963FE">
        <w:rPr>
          <w:b/>
          <w:i/>
        </w:rPr>
        <w:t>Artículo 96.</w:t>
      </w:r>
      <w:r w:rsidR="00B504CB" w:rsidRPr="00C963FE">
        <w:rPr>
          <w:i/>
        </w:rPr>
        <w:t xml:space="preserve"> Para el cumplimiento de sus atribuciones, la Dirección de Comercialización, se auxiliará de las siguientes Subdirecciones:</w:t>
      </w:r>
    </w:p>
    <w:p w14:paraId="096982BB" w14:textId="7954B738" w:rsidR="00B504CB" w:rsidRPr="00C963FE" w:rsidRDefault="00B504CB" w:rsidP="006331CD">
      <w:pPr>
        <w:pStyle w:val="Prrafodelista"/>
        <w:numPr>
          <w:ilvl w:val="0"/>
          <w:numId w:val="27"/>
        </w:numPr>
        <w:spacing w:line="240" w:lineRule="auto"/>
        <w:ind w:left="1134" w:right="822" w:hanging="283"/>
        <w:rPr>
          <w:i/>
        </w:rPr>
      </w:pPr>
      <w:r w:rsidRPr="00C963FE">
        <w:rPr>
          <w:i/>
        </w:rPr>
        <w:t>Subdirección de Comercialización.</w:t>
      </w:r>
    </w:p>
    <w:p w14:paraId="2CB8B7BB" w14:textId="263F80F7" w:rsidR="00B504CB" w:rsidRPr="00C963FE" w:rsidRDefault="00B504CB" w:rsidP="006331CD">
      <w:pPr>
        <w:spacing w:line="240" w:lineRule="auto"/>
        <w:ind w:left="851" w:right="822"/>
        <w:rPr>
          <w:i/>
        </w:rPr>
      </w:pPr>
      <w:r w:rsidRPr="00C963FE">
        <w:rPr>
          <w:i/>
        </w:rPr>
        <w:t>(…)</w:t>
      </w:r>
    </w:p>
    <w:p w14:paraId="26E9030B" w14:textId="4B7B038D" w:rsidR="00D007F3" w:rsidRPr="00C963FE" w:rsidRDefault="00BF291C" w:rsidP="006331CD">
      <w:pPr>
        <w:spacing w:line="240" w:lineRule="auto"/>
        <w:ind w:left="851" w:right="822"/>
        <w:rPr>
          <w:b/>
          <w:i/>
        </w:rPr>
      </w:pPr>
      <w:r w:rsidRPr="00C963FE">
        <w:rPr>
          <w:b/>
          <w:i/>
        </w:rPr>
        <w:t xml:space="preserve">Artículo </w:t>
      </w:r>
      <w:r w:rsidR="00D007F3" w:rsidRPr="00C963FE">
        <w:rPr>
          <w:b/>
          <w:i/>
        </w:rPr>
        <w:t>98</w:t>
      </w:r>
      <w:r w:rsidRPr="00C963FE">
        <w:rPr>
          <w:b/>
          <w:i/>
        </w:rPr>
        <w:t xml:space="preserve">. La </w:t>
      </w:r>
      <w:r w:rsidR="00D007F3" w:rsidRPr="00C963FE">
        <w:rPr>
          <w:b/>
          <w:i/>
        </w:rPr>
        <w:t xml:space="preserve">Subdirección de Comercialización, </w:t>
      </w:r>
      <w:r w:rsidR="00510F19" w:rsidRPr="00C963FE">
        <w:rPr>
          <w:b/>
          <w:i/>
        </w:rPr>
        <w:t>por</w:t>
      </w:r>
      <w:r w:rsidR="00D007F3" w:rsidRPr="00C963FE">
        <w:rPr>
          <w:b/>
          <w:i/>
        </w:rPr>
        <w:t xml:space="preserve"> conducto de su Titular, tendrá las siguientes atribuciones:</w:t>
      </w:r>
    </w:p>
    <w:p w14:paraId="1B55A7A8" w14:textId="77777777" w:rsidR="00D007F3" w:rsidRPr="00C963FE" w:rsidRDefault="00D007F3" w:rsidP="006331CD">
      <w:pPr>
        <w:spacing w:line="240" w:lineRule="auto"/>
        <w:ind w:left="851" w:right="822"/>
        <w:rPr>
          <w:i/>
        </w:rPr>
      </w:pPr>
      <w:r w:rsidRPr="00C963FE">
        <w:rPr>
          <w:i/>
        </w:rPr>
        <w:lastRenderedPageBreak/>
        <w:t>(…)</w:t>
      </w:r>
    </w:p>
    <w:p w14:paraId="6E5D2189" w14:textId="3904DDD0" w:rsidR="006E07DE" w:rsidRPr="00C963FE" w:rsidRDefault="00D007F3" w:rsidP="006331CD">
      <w:pPr>
        <w:spacing w:line="240" w:lineRule="auto"/>
        <w:ind w:left="851" w:right="822"/>
        <w:rPr>
          <w:i/>
        </w:rPr>
      </w:pPr>
      <w:r w:rsidRPr="00C963FE">
        <w:rPr>
          <w:b/>
          <w:i/>
        </w:rPr>
        <w:t>III</w:t>
      </w:r>
      <w:r w:rsidRPr="00C963FE">
        <w:rPr>
          <w:i/>
        </w:rPr>
        <w:t xml:space="preserve">. Supervisar, coordinar, validar la ejecución de los procedimientos y acciones tendientes al cumplimiento en el pago de derechos de los usuarios en situación de rezago, mediante las notificaciones legales y en su caso la instrumentación del </w:t>
      </w:r>
      <w:r w:rsidRPr="00C963FE">
        <w:rPr>
          <w:b/>
          <w:i/>
        </w:rPr>
        <w:t>Procedimiento Administrativo de Ejecución por sus siglas (PAE) que establece el Código Financiero</w:t>
      </w:r>
      <w:r w:rsidRPr="00C963FE">
        <w:rPr>
          <w:i/>
        </w:rPr>
        <w:t>.</w:t>
      </w:r>
      <w:r w:rsidR="00D6156D" w:rsidRPr="00C963FE">
        <w:rPr>
          <w:i/>
        </w:rPr>
        <w:t>”</w:t>
      </w:r>
    </w:p>
    <w:p w14:paraId="31B8E934" w14:textId="77777777" w:rsidR="00BF291C" w:rsidRPr="00C963FE" w:rsidRDefault="00BF291C" w:rsidP="006331CD">
      <w:pPr>
        <w:ind w:right="-93"/>
      </w:pPr>
    </w:p>
    <w:p w14:paraId="56246E29" w14:textId="56B4923B" w:rsidR="00FE6BC2" w:rsidRPr="00C963FE" w:rsidRDefault="00FE6BC2" w:rsidP="006331CD">
      <w:pPr>
        <w:ind w:right="-93"/>
      </w:pPr>
      <w:r w:rsidRPr="00C963FE">
        <w:t xml:space="preserve">Ahora bien, para el caso que nos ocupa, </w:t>
      </w:r>
      <w:r w:rsidR="00E73BD3" w:rsidRPr="00C963FE">
        <w:rPr>
          <w:b/>
        </w:rPr>
        <w:t>EL SUJETO OBLIGADO</w:t>
      </w:r>
      <w:r w:rsidR="00E73BD3" w:rsidRPr="00C963FE">
        <w:t xml:space="preserve"> </w:t>
      </w:r>
      <w:r w:rsidRPr="00C963FE">
        <w:t>asumió contar con l</w:t>
      </w:r>
      <w:r w:rsidR="00E73BD3" w:rsidRPr="00C963FE">
        <w:t>a</w:t>
      </w:r>
      <w:r w:rsidRPr="00C963FE">
        <w:t xml:space="preserve"> información requerida</w:t>
      </w:r>
      <w:r w:rsidR="008F6BBA" w:rsidRPr="00C963FE">
        <w:t>, tan es así que la clasificó como reservada en términos de lo previsto en el artículo 113, fracciones VI y VII de la Ley General de Transparencia y Acceso a la Información Pública, 140, fracciones V y VI de la Ley de Transparencia y Acceso a la Información Pública del Estado de México y Municipios y los numerales Vigésimo Cuarto y Vigésimo Quinto de los Lineamientos Generales en Materia de clasificación y Desclasificación de la Información, así como para la elaboración de Versiones Públicas</w:t>
      </w:r>
      <w:r w:rsidR="00FF03C0" w:rsidRPr="00C963FE">
        <w:t>.</w:t>
      </w:r>
    </w:p>
    <w:p w14:paraId="773D77B3" w14:textId="77777777" w:rsidR="00FF03C0" w:rsidRPr="00C963FE" w:rsidRDefault="00FF03C0" w:rsidP="006331CD">
      <w:pPr>
        <w:ind w:right="-93"/>
      </w:pPr>
    </w:p>
    <w:p w14:paraId="18585935" w14:textId="6193679F" w:rsidR="00FF03C0" w:rsidRPr="00C963FE" w:rsidRDefault="00510F19" w:rsidP="006331CD">
      <w:pPr>
        <w:ind w:right="-93"/>
      </w:pPr>
      <w:r w:rsidRPr="00C963FE">
        <w:t>En relación a lo anterior, se debe de apuntar que, e</w:t>
      </w:r>
      <w:r w:rsidR="00FF03C0" w:rsidRPr="00C963FE">
        <w:t xml:space="preserve">n el marco constitucional, el deber de contribuir a los gastos públicos se erige como una obligación fundamental de los mexicanos. Este deber se materializa a través del pago de contribuciones, las cuales, de conformidad con el Código </w:t>
      </w:r>
      <w:r w:rsidR="00B46F72" w:rsidRPr="00C963FE">
        <w:t>Financiero del Estado de México y Municipios</w:t>
      </w:r>
      <w:r w:rsidR="00FF03C0" w:rsidRPr="00C963FE">
        <w:t>, se dividen en impuestos, derechos, aportaciones de seguridad social y contribuciones de mejoras.</w:t>
      </w:r>
    </w:p>
    <w:p w14:paraId="1062F96F" w14:textId="77777777" w:rsidR="00FF03C0" w:rsidRPr="00C963FE" w:rsidRDefault="00FF03C0" w:rsidP="006331CD">
      <w:pPr>
        <w:ind w:right="-93"/>
      </w:pPr>
    </w:p>
    <w:p w14:paraId="4007CD20" w14:textId="48B4BC47" w:rsidR="00FF03C0" w:rsidRPr="00C963FE" w:rsidRDefault="00FF03C0" w:rsidP="006331CD">
      <w:pPr>
        <w:ind w:right="-93"/>
      </w:pPr>
      <w:r w:rsidRPr="00C963FE">
        <w:t xml:space="preserve">El cumplimiento de dichas cargas debe realizarse de manera espontánea por los contribuyentes, dentro de los plazos y condiciones fijados en las leyes fiscales. No obstante, cuando ello no sucede, surge un crédito fiscal exigible a favor del Estado, cuyo cobro corresponde a las autoridades hacendarias competentes. Dicho cobro no es discrecional ni </w:t>
      </w:r>
      <w:r w:rsidRPr="00C963FE">
        <w:lastRenderedPageBreak/>
        <w:t xml:space="preserve">arbitrario, sino que se instrumenta mediante un procedimiento formal previsto en el </w:t>
      </w:r>
      <w:r w:rsidR="00B46F72" w:rsidRPr="00C963FE">
        <w:t>Título Décimo Tercero del Código referido</w:t>
      </w:r>
      <w:r w:rsidRPr="00C963FE">
        <w:t xml:space="preserve">: </w:t>
      </w:r>
      <w:r w:rsidR="00B46F72" w:rsidRPr="00C963FE">
        <w:t>d</w:t>
      </w:r>
      <w:r w:rsidRPr="00C963FE">
        <w:t>el Procedimiento Administrativo de Ejecución (PAE).</w:t>
      </w:r>
    </w:p>
    <w:p w14:paraId="06550824" w14:textId="77777777" w:rsidR="00FF03C0" w:rsidRPr="00C963FE" w:rsidRDefault="00FF03C0" w:rsidP="006331CD">
      <w:pPr>
        <w:ind w:right="-93"/>
      </w:pPr>
    </w:p>
    <w:p w14:paraId="0725F372" w14:textId="77777777" w:rsidR="00FF03C0" w:rsidRPr="00C963FE" w:rsidRDefault="00FF03C0" w:rsidP="006331CD">
      <w:pPr>
        <w:ind w:right="-93"/>
      </w:pPr>
      <w:r w:rsidRPr="00C963FE">
        <w:t>El PAE constituye, entonces, la vía legal mediante la cual la autoridad hace efectivos los créditos fiscales de manera coactiva, garantizando la observancia de los principios de legalidad y seguridad jurídica. Se trata de un procedimiento de naturaleza administrativa, que prescinde de la intervención judicial, pero cuyas actuaciones generan efectos vinculantes tanto para la autoridad como para el contribuyente.</w:t>
      </w:r>
    </w:p>
    <w:p w14:paraId="55F90FE4" w14:textId="77777777" w:rsidR="00FF03C0" w:rsidRPr="00C963FE" w:rsidRDefault="00FF03C0" w:rsidP="006331CD">
      <w:pPr>
        <w:ind w:right="-93"/>
      </w:pPr>
    </w:p>
    <w:p w14:paraId="0C260611" w14:textId="5F9B75C2" w:rsidR="00FF03C0" w:rsidRPr="00C963FE" w:rsidRDefault="00FF03C0" w:rsidP="006331CD">
      <w:pPr>
        <w:ind w:right="-93"/>
      </w:pPr>
      <w:r w:rsidRPr="00C963FE">
        <w:t>En ese sentido, toda la documentación que se desprende de las etapas del Procedimiento Administrativo de Ejecución, notificaciones, requerimientos, diligencias de embargo, remates o convenios de pago, se erige como prueba material de las actuaciones de la autoridad en ejercicio de sus atribuciones. Por lo tanto, de conformidad con el artículo 18 de la Ley de Transparencia y Acceso a la Información Pública del Estado de México y Municipios, dichos documentos revisten carácter eminentemente público, al tratarse de constancias generadas en el marco del ejercicio de facultades legales.</w:t>
      </w:r>
    </w:p>
    <w:p w14:paraId="29C36D5A" w14:textId="77777777" w:rsidR="00FF03C0" w:rsidRPr="00C963FE" w:rsidRDefault="00FF03C0" w:rsidP="006331CD">
      <w:pPr>
        <w:ind w:right="-93"/>
      </w:pPr>
    </w:p>
    <w:p w14:paraId="50C98B74" w14:textId="77777777" w:rsidR="00A34406" w:rsidRPr="00C963FE" w:rsidRDefault="00A34406" w:rsidP="006331CD">
      <w:pPr>
        <w:ind w:right="-93"/>
      </w:pPr>
      <w:r w:rsidRPr="00C963FE">
        <w:t>Precisado que la información relativa al Procedimiento Administrativo de Ejecución deriva directamente del ejercicio de atribuciones fiscales y que, en consecuencia, reviste carácter público, corresponde ahora analizar la justificación ofrecida por el Sujeto Obligado para sustentar su clasificación.</w:t>
      </w:r>
    </w:p>
    <w:p w14:paraId="5EF7BECD" w14:textId="77777777" w:rsidR="00A34406" w:rsidRPr="00C963FE" w:rsidRDefault="00A34406" w:rsidP="006331CD">
      <w:pPr>
        <w:ind w:right="-93"/>
      </w:pPr>
    </w:p>
    <w:p w14:paraId="615F9A42" w14:textId="1A89A1EA" w:rsidR="00A34406" w:rsidRPr="00C963FE" w:rsidRDefault="00A34406" w:rsidP="006331CD">
      <w:pPr>
        <w:ind w:right="-93"/>
      </w:pPr>
      <w:r w:rsidRPr="00C963FE">
        <w:t xml:space="preserve">De conformidad con la Ley de Transparencia y Acceso a la Información Pública del Estado de México y Municipios, toda reserva de </w:t>
      </w:r>
      <w:r w:rsidR="00510F19" w:rsidRPr="00C963FE">
        <w:t xml:space="preserve">información debe someterse a una prueba </w:t>
      </w:r>
      <w:r w:rsidRPr="00C963FE">
        <w:t xml:space="preserve">de daño </w:t>
      </w:r>
      <w:r w:rsidRPr="00C963FE">
        <w:lastRenderedPageBreak/>
        <w:t>estricto, en el cual la autoridad tiene la carga de demostrar: (i) que la divulgación de la información constituye un riesgo real, probable y específico para un interés jurídicamente protegido; (ii) que dicho riesgo es mayor que el interés público de difundirla; y (iii) que no existen medios menos restrictivos para garantizar la protección de los bienes jurídicos invocados.</w:t>
      </w:r>
    </w:p>
    <w:p w14:paraId="2BADC360" w14:textId="77777777" w:rsidR="00A34406" w:rsidRPr="00C963FE" w:rsidRDefault="00A34406" w:rsidP="006331CD">
      <w:pPr>
        <w:ind w:right="-93"/>
      </w:pPr>
    </w:p>
    <w:p w14:paraId="442CF4D8" w14:textId="253F6326" w:rsidR="00A34406" w:rsidRPr="00C963FE" w:rsidRDefault="00A34406" w:rsidP="006331CD">
      <w:pPr>
        <w:ind w:right="-93"/>
      </w:pPr>
      <w:r w:rsidRPr="00C963FE">
        <w:t xml:space="preserve">En el caso concreto, </w:t>
      </w:r>
      <w:r w:rsidR="00A727F6" w:rsidRPr="00C963FE">
        <w:rPr>
          <w:b/>
          <w:bCs/>
        </w:rPr>
        <w:t>EL SUJETO OBLIGADO</w:t>
      </w:r>
      <w:r w:rsidR="00A727F6" w:rsidRPr="00C963FE">
        <w:t xml:space="preserve"> </w:t>
      </w:r>
      <w:r w:rsidRPr="00C963FE">
        <w:t>invocó como fundamento los supuestos de los artículos 113 de la Ley General y 140 de la Ley local, así como los numerales Vigésimo Cuarto y Vigésimo Quinto de los Lineamientos Generales en materia de clasificación. Sin embargo, la sola cita de estas disposiciones no satisface los requisitos legales para una reserva válida, pues es indispensable acreditar de manera puntual y razonada cómo la difusión de los documentos solicitados podría afectar los bienes jurídicos que dichas normas buscan tutelar.</w:t>
      </w:r>
    </w:p>
    <w:p w14:paraId="0BB9DA70" w14:textId="77777777" w:rsidR="00A34406" w:rsidRPr="00C963FE" w:rsidRDefault="00A34406" w:rsidP="006331CD">
      <w:pPr>
        <w:ind w:right="-93"/>
      </w:pPr>
    </w:p>
    <w:p w14:paraId="4946F1DB" w14:textId="5DBEF80C" w:rsidR="00FF03C0" w:rsidRPr="00C963FE" w:rsidRDefault="00A34406" w:rsidP="006331CD">
      <w:pPr>
        <w:ind w:right="-93"/>
      </w:pPr>
      <w:r w:rsidRPr="00C963FE">
        <w:t xml:space="preserve">Así, la justificación ofrecida por </w:t>
      </w:r>
      <w:r w:rsidR="00A727F6" w:rsidRPr="00C963FE">
        <w:rPr>
          <w:b/>
          <w:bCs/>
        </w:rPr>
        <w:t>EL SUJETO OBLIGADO</w:t>
      </w:r>
      <w:r w:rsidR="00A727F6" w:rsidRPr="00C963FE">
        <w:t xml:space="preserve"> </w:t>
      </w:r>
      <w:r w:rsidRPr="00C963FE">
        <w:t>debe contrastarse con los principios de máxima publicidad y rendición de cuentas que rigen en materia de transparencia. Si la prueba de daño carece de elementos objetivos, se limita a fórmulas genéricas o no demuestra un perjuicio concreto, la clasificación resulta insostenible y debe desestimarse, máxime que la información en estudio corresponde a actos concluidos y documentados de autoridad que, por su propia naturaleza, son de acceso público.</w:t>
      </w:r>
    </w:p>
    <w:p w14:paraId="41B9486F" w14:textId="77777777" w:rsidR="00FF03C0" w:rsidRPr="00C963FE" w:rsidRDefault="00FF03C0" w:rsidP="006331CD">
      <w:pPr>
        <w:ind w:right="-93"/>
      </w:pPr>
    </w:p>
    <w:p w14:paraId="42D365F6" w14:textId="77777777" w:rsidR="00A34406" w:rsidRPr="00C963FE" w:rsidRDefault="00A34406" w:rsidP="006331CD">
      <w:pPr>
        <w:ind w:right="-93"/>
      </w:pPr>
      <w:r w:rsidRPr="00C963FE">
        <w:t>Una vez establecido que los documentos que integran el Procedimiento Administrativo de Ejecución son constancias de actuaciones de autoridad en ejercicio de facultades legales, corresponde analizar la prueba de daño rendida por el Sujeto Obligado para sustentar la reserva total de la información solicitada.</w:t>
      </w:r>
    </w:p>
    <w:p w14:paraId="3EDFCD33" w14:textId="32F2F951" w:rsidR="00A34406" w:rsidRPr="00C963FE" w:rsidRDefault="00A34406" w:rsidP="006331CD">
      <w:pPr>
        <w:ind w:right="-93"/>
      </w:pPr>
      <w:r w:rsidRPr="00C963FE">
        <w:lastRenderedPageBreak/>
        <w:t>De acuerdo con los artículos 128 y 141 de la Ley de Transparencia y Acceso a la Información Pública del Estado de México y Municipios, así como el numeral Trigésimo Tercero de los Lineamientos Generales en Materia de Clasificación y Desclasificación de la Información, la aplicación del test de daño exige demostrar con precisión</w:t>
      </w:r>
      <w:r w:rsidR="00177423" w:rsidRPr="00C963FE">
        <w:t xml:space="preserve"> que</w:t>
      </w:r>
      <w:r w:rsidRPr="00C963FE">
        <w:t>:</w:t>
      </w:r>
    </w:p>
    <w:p w14:paraId="2ACFE277" w14:textId="77777777" w:rsidR="00A34406" w:rsidRPr="00C963FE" w:rsidRDefault="00A34406" w:rsidP="006331CD">
      <w:pPr>
        <w:ind w:right="-93"/>
      </w:pPr>
    </w:p>
    <w:p w14:paraId="042FA6E8" w14:textId="41AA8138" w:rsidR="00A34406" w:rsidRPr="00C963FE" w:rsidRDefault="00A34406" w:rsidP="006331CD">
      <w:pPr>
        <w:pStyle w:val="Prrafodelista"/>
        <w:numPr>
          <w:ilvl w:val="0"/>
          <w:numId w:val="31"/>
        </w:numPr>
        <w:ind w:right="-93"/>
      </w:pPr>
      <w:r w:rsidRPr="00C963FE">
        <w:t xml:space="preserve">El vínculo directo entre la divulgación de la información y un perjuicio real, </w:t>
      </w:r>
      <w:r w:rsidR="00177423" w:rsidRPr="00C963FE">
        <w:t>demostrable e</w:t>
      </w:r>
      <w:r w:rsidRPr="00C963FE">
        <w:t xml:space="preserve"> </w:t>
      </w:r>
      <w:r w:rsidR="00177423" w:rsidRPr="00C963FE">
        <w:t>indentificable</w:t>
      </w:r>
      <w:r w:rsidRPr="00C963FE">
        <w:t xml:space="preserve"> a un interés jurídicamente protegido.</w:t>
      </w:r>
    </w:p>
    <w:p w14:paraId="3322C42F" w14:textId="77777777" w:rsidR="00A34406" w:rsidRPr="00C963FE" w:rsidRDefault="00A34406" w:rsidP="006331CD">
      <w:pPr>
        <w:ind w:right="-93"/>
      </w:pPr>
    </w:p>
    <w:p w14:paraId="57CD17DD" w14:textId="5F5F74C0" w:rsidR="00A34406" w:rsidRPr="00C963FE" w:rsidRDefault="00177423" w:rsidP="006331CD">
      <w:pPr>
        <w:pStyle w:val="Prrafodelista"/>
        <w:numPr>
          <w:ilvl w:val="0"/>
          <w:numId w:val="30"/>
        </w:numPr>
        <w:ind w:right="-93"/>
      </w:pPr>
      <w:r w:rsidRPr="00C963FE">
        <w:t>D</w:t>
      </w:r>
      <w:r w:rsidR="00A34406" w:rsidRPr="00C963FE">
        <w:t>icho perjuicio es mayor al interés público de difundir la información.</w:t>
      </w:r>
    </w:p>
    <w:p w14:paraId="72195C7D" w14:textId="77777777" w:rsidR="00A34406" w:rsidRPr="00C963FE" w:rsidRDefault="00A34406" w:rsidP="006331CD">
      <w:pPr>
        <w:ind w:right="-93"/>
      </w:pPr>
    </w:p>
    <w:p w14:paraId="51FE1421" w14:textId="77777777" w:rsidR="00A34406" w:rsidRPr="00C963FE" w:rsidRDefault="00A34406" w:rsidP="006331CD">
      <w:pPr>
        <w:pStyle w:val="Prrafodelista"/>
        <w:numPr>
          <w:ilvl w:val="0"/>
          <w:numId w:val="30"/>
        </w:numPr>
        <w:ind w:right="-93"/>
      </w:pPr>
      <w:r w:rsidRPr="00C963FE">
        <w:t>La inexistencia de una medida menos restrictiva, como la elaboración de versiones públicas, que permita conciliar el derecho de acceso con la protección de bienes jurídicos.</w:t>
      </w:r>
    </w:p>
    <w:p w14:paraId="1B572569" w14:textId="77777777" w:rsidR="00A34406" w:rsidRPr="00C963FE" w:rsidRDefault="00A34406" w:rsidP="006331CD">
      <w:pPr>
        <w:ind w:right="-93"/>
      </w:pPr>
    </w:p>
    <w:p w14:paraId="7942E470" w14:textId="6A21D854" w:rsidR="00A34406" w:rsidRPr="00C963FE" w:rsidRDefault="00177423" w:rsidP="006331CD">
      <w:pPr>
        <w:ind w:right="-93"/>
      </w:pPr>
      <w:r w:rsidRPr="00C963FE">
        <w:t>Así</w:t>
      </w:r>
      <w:r w:rsidR="00A34406" w:rsidRPr="00C963FE">
        <w:t xml:space="preserve">, </w:t>
      </w:r>
      <w:r w:rsidR="00A727F6" w:rsidRPr="00C963FE">
        <w:rPr>
          <w:b/>
          <w:bCs/>
        </w:rPr>
        <w:t>EL SUJETO OBLIGADO</w:t>
      </w:r>
      <w:r w:rsidR="00A727F6" w:rsidRPr="00C963FE">
        <w:t xml:space="preserve"> </w:t>
      </w:r>
      <w:r w:rsidR="00A34406" w:rsidRPr="00C963FE">
        <w:t>sostuvo que la publicidad de l</w:t>
      </w:r>
      <w:r w:rsidRPr="00C963FE">
        <w:t xml:space="preserve">os procedimientos de ejecución </w:t>
      </w:r>
      <w:r w:rsidR="00A34406" w:rsidRPr="00C963FE">
        <w:t xml:space="preserve">obstruye o puede causar un serio perjuicio a la recaudación de las contribuciones, así como afectar investigaciones, debido proceso </w:t>
      </w:r>
      <w:r w:rsidRPr="00C963FE">
        <w:t>o la administración de justicia.</w:t>
      </w:r>
    </w:p>
    <w:p w14:paraId="333BB0EB" w14:textId="77777777" w:rsidR="00A34406" w:rsidRPr="00C963FE" w:rsidRDefault="00A34406" w:rsidP="006331CD">
      <w:pPr>
        <w:ind w:right="-93"/>
      </w:pPr>
    </w:p>
    <w:p w14:paraId="13FEFB38" w14:textId="02BB53C5" w:rsidR="00A34406" w:rsidRPr="00C963FE" w:rsidRDefault="00A34406" w:rsidP="006331CD">
      <w:pPr>
        <w:ind w:right="-93"/>
      </w:pPr>
      <w:r w:rsidRPr="00C963FE">
        <w:t xml:space="preserve">Sin embargo, </w:t>
      </w:r>
      <w:r w:rsidR="00177423" w:rsidRPr="00C963FE">
        <w:t>los</w:t>
      </w:r>
      <w:r w:rsidRPr="00C963FE">
        <w:t xml:space="preserve"> argumentos </w:t>
      </w:r>
      <w:r w:rsidR="00177423" w:rsidRPr="00C963FE">
        <w:t xml:space="preserve">resultan genéricos </w:t>
      </w:r>
      <w:r w:rsidRPr="00C963FE">
        <w:t>y carentes de sustento objetivo, por las siguientes razones:</w:t>
      </w:r>
    </w:p>
    <w:p w14:paraId="37F850A3" w14:textId="77777777" w:rsidR="00A34406" w:rsidRPr="00C963FE" w:rsidRDefault="00A34406" w:rsidP="006331CD">
      <w:pPr>
        <w:ind w:right="-93"/>
      </w:pPr>
    </w:p>
    <w:p w14:paraId="4C3A4705" w14:textId="77777777" w:rsidR="00A34406" w:rsidRPr="00C963FE" w:rsidRDefault="00A34406" w:rsidP="006331CD">
      <w:pPr>
        <w:ind w:right="-93"/>
      </w:pPr>
      <w:r w:rsidRPr="00C963FE">
        <w:rPr>
          <w:u w:val="single"/>
        </w:rPr>
        <w:t>Ausencia de riesgo real y concreto</w:t>
      </w:r>
      <w:r w:rsidRPr="00C963FE">
        <w:t xml:space="preserve">. La autoridad no identifica de qué manera la entrega de expedientes concluidos o actuaciones formalizadas del PAE podría afectar directamente la recaudación. Por el contrario, se trata de actos consumados de autoridad, documentados en </w:t>
      </w:r>
      <w:r w:rsidRPr="00C963FE">
        <w:lastRenderedPageBreak/>
        <w:t>ejercicio de atribuciones, cuyo conocimiento por la ciudadanía fortalece la rendición de cuentas en materia fiscal.</w:t>
      </w:r>
    </w:p>
    <w:p w14:paraId="72C3616E" w14:textId="77777777" w:rsidR="00A34406" w:rsidRPr="00C963FE" w:rsidRDefault="00A34406" w:rsidP="006331CD">
      <w:pPr>
        <w:ind w:right="-93"/>
      </w:pPr>
    </w:p>
    <w:p w14:paraId="4C7DB844" w14:textId="59D2267A" w:rsidR="00A34406" w:rsidRPr="00C963FE" w:rsidRDefault="00B1468E" w:rsidP="006331CD">
      <w:pPr>
        <w:ind w:right="-93"/>
      </w:pPr>
      <w:r w:rsidRPr="00C963FE">
        <w:rPr>
          <w:u w:val="single"/>
        </w:rPr>
        <w:t>Falta de motivación</w:t>
      </w:r>
      <w:r w:rsidR="00A34406" w:rsidRPr="00C963FE">
        <w:t>. Se alude a la posibilidad de corrupción, sobornos o manipulación de expedientes, incluso citando un índice internacional de corrupción, pero sin establecer una relación clara y directa con los documentos requeridos. Estas consideraciones no satisfacen el estándar de daño cierto, probable y específico que exige la normativa.</w:t>
      </w:r>
    </w:p>
    <w:p w14:paraId="0E12D38F" w14:textId="77777777" w:rsidR="00A34406" w:rsidRPr="00C963FE" w:rsidRDefault="00A34406" w:rsidP="006331CD">
      <w:pPr>
        <w:ind w:right="-93"/>
      </w:pPr>
    </w:p>
    <w:p w14:paraId="034ADA0A" w14:textId="77777777" w:rsidR="00A34406" w:rsidRPr="00C963FE" w:rsidRDefault="00A34406" w:rsidP="006331CD">
      <w:pPr>
        <w:ind w:right="-93"/>
      </w:pPr>
      <w:r w:rsidRPr="00C963FE">
        <w:rPr>
          <w:u w:val="single"/>
        </w:rPr>
        <w:t>Falta de ponderación adecuada</w:t>
      </w:r>
      <w:r w:rsidRPr="00C963FE">
        <w:t>. Aunque se reconoce como “elemento favorable” la garantía del derecho de acceso, la ponderación realizada por el Sujeto Obligado se limita a reiterar de manera circular que prevalece el riesgo de perjuicio, sin acreditar por qué el interés en reservar la información supera al principio de máxima publicidad.</w:t>
      </w:r>
    </w:p>
    <w:p w14:paraId="699B50E0" w14:textId="77777777" w:rsidR="00A34406" w:rsidRPr="00C963FE" w:rsidRDefault="00A34406" w:rsidP="006331CD">
      <w:pPr>
        <w:ind w:right="-93"/>
      </w:pPr>
    </w:p>
    <w:p w14:paraId="067A97C5" w14:textId="51AABAAB" w:rsidR="00A34406" w:rsidRPr="00C963FE" w:rsidRDefault="00A34406" w:rsidP="006331CD">
      <w:pPr>
        <w:ind w:right="-93"/>
      </w:pPr>
      <w:r w:rsidRPr="00C963FE">
        <w:rPr>
          <w:u w:val="single"/>
        </w:rPr>
        <w:t>Reserva absoluta e indiscriminada</w:t>
      </w:r>
      <w:r w:rsidRPr="00C963FE">
        <w:t xml:space="preserve">. </w:t>
      </w:r>
      <w:r w:rsidR="00A727F6" w:rsidRPr="00C963FE">
        <w:rPr>
          <w:b/>
          <w:bCs/>
        </w:rPr>
        <w:t>EL SUJETO OBLIGADO</w:t>
      </w:r>
      <w:r w:rsidR="00A727F6" w:rsidRPr="00C963FE">
        <w:t xml:space="preserve"> </w:t>
      </w:r>
      <w:r w:rsidRPr="00C963FE">
        <w:t>optó por clasificar de manera total la información por un plazo de cinco años, sin valorar la alternativa menos restrictiva de elaborar versiones públicas en las que se tutelen datos confidenciales (domicilios, RFC, CURP o datos de contacto de los contribuyentes), lo cual contraviene lo dispuesto en los Lineamientos Generales.</w:t>
      </w:r>
    </w:p>
    <w:p w14:paraId="281D0462" w14:textId="77777777" w:rsidR="00A34406" w:rsidRPr="00C963FE" w:rsidRDefault="00A34406" w:rsidP="006331CD">
      <w:pPr>
        <w:ind w:right="-93"/>
      </w:pPr>
    </w:p>
    <w:p w14:paraId="7C3DF6B2" w14:textId="0CFAA39F" w:rsidR="00A34406" w:rsidRPr="00C963FE" w:rsidRDefault="00A34406" w:rsidP="006331CD">
      <w:pPr>
        <w:ind w:right="-93"/>
      </w:pPr>
      <w:r w:rsidRPr="00C963FE">
        <w:t xml:space="preserve">En </w:t>
      </w:r>
      <w:r w:rsidR="00177423" w:rsidRPr="00C963FE">
        <w:t>resumen</w:t>
      </w:r>
      <w:r w:rsidRPr="00C963FE">
        <w:t>, la prueba de daño presentada carece de elementos objetivos que justifiquen la restricción al derecho de acceso a la información. La reserva se funda en conjeturas y en supuestos abstractos de riesgo, sin demostrar un perjuicio concreto que supere el interés público de acceder a documentación relativa a actos de autoridad.</w:t>
      </w:r>
    </w:p>
    <w:p w14:paraId="38B244A2" w14:textId="77777777" w:rsidR="00A34406" w:rsidRPr="00C963FE" w:rsidRDefault="00A34406" w:rsidP="006331CD">
      <w:pPr>
        <w:ind w:right="-93"/>
      </w:pPr>
    </w:p>
    <w:p w14:paraId="601D85E2" w14:textId="77777777" w:rsidR="00B1468E" w:rsidRPr="00C963FE" w:rsidRDefault="00A34406" w:rsidP="006331CD">
      <w:pPr>
        <w:ind w:right="-93"/>
      </w:pPr>
      <w:r w:rsidRPr="00C963FE">
        <w:lastRenderedPageBreak/>
        <w:t xml:space="preserve">Por lo expuesto, se concluye que la clasificación de la información como reservada resulta improcedente, en tanto la prueba de daño no cumple con los parámetros normativos aplicables. </w:t>
      </w:r>
    </w:p>
    <w:p w14:paraId="69D9BE64" w14:textId="77777777" w:rsidR="00B1468E" w:rsidRPr="00C963FE" w:rsidRDefault="00B1468E" w:rsidP="006331CD">
      <w:pPr>
        <w:ind w:right="-93"/>
      </w:pPr>
    </w:p>
    <w:p w14:paraId="7221BA85" w14:textId="400826DB" w:rsidR="005E5CD2" w:rsidRPr="00C963FE" w:rsidRDefault="005E5CD2" w:rsidP="006331CD">
      <w:pPr>
        <w:ind w:right="-93"/>
      </w:pPr>
      <w:r w:rsidRPr="00C963FE">
        <w:t>Aunado a lo anterior, se debe de apuntar que la determinación de reservar la información careció de sustento, toda vez que de conformidad con lo previsto en el artículo 49, fracción VIII de la Ley de Transparencia local, son los Comités de Transparencia de cada Sujeto Obligado, las autoridades facultadas para aprobar, modificar o revocar la clasificación de la información, por lo que para el caso que nos ocupa, no bastó con la propuesta de clasificación y pronunciamiento del Director de Comercialización.</w:t>
      </w:r>
    </w:p>
    <w:p w14:paraId="12FD69F8" w14:textId="77777777" w:rsidR="005E5CD2" w:rsidRPr="00C963FE" w:rsidRDefault="005E5CD2" w:rsidP="006331CD">
      <w:pPr>
        <w:ind w:right="-93"/>
      </w:pPr>
    </w:p>
    <w:p w14:paraId="6FDBA78F" w14:textId="344C673F" w:rsidR="00FF03C0" w:rsidRPr="00C963FE" w:rsidRDefault="00A34406" w:rsidP="006331CD">
      <w:pPr>
        <w:pBdr>
          <w:top w:val="nil"/>
          <w:left w:val="nil"/>
          <w:bottom w:val="nil"/>
          <w:right w:val="nil"/>
          <w:between w:val="nil"/>
        </w:pBdr>
        <w:ind w:right="333"/>
      </w:pPr>
      <w:r w:rsidRPr="00C963FE">
        <w:t>En consecuencia,</w:t>
      </w:r>
      <w:r w:rsidR="005E5CD2" w:rsidRPr="00C963FE">
        <w:t xml:space="preserve"> este Instituto determina ordenar </w:t>
      </w:r>
      <w:r w:rsidR="005E5CD2" w:rsidRPr="00C963FE">
        <w:rPr>
          <w:rFonts w:eastAsia="Palatino Linotype" w:cs="Palatino Linotype"/>
          <w:lang w:val="es-ES"/>
        </w:rPr>
        <w:t xml:space="preserve">los </w:t>
      </w:r>
      <w:r w:rsidR="005E5CD2" w:rsidRPr="00C963FE">
        <w:rPr>
          <w:rFonts w:eastAsia="Palatino Linotype" w:cs="Palatino Linotype"/>
        </w:rPr>
        <w:t>Expedientes de los Procedimientos Administrativos de Ejecución del 2018 al diecinueve de febrero de dos mil veinticinco;</w:t>
      </w:r>
      <w:r w:rsidRPr="00C963FE">
        <w:t xml:space="preserve"> la información debe entregarse en </w:t>
      </w:r>
      <w:r w:rsidRPr="00C963FE">
        <w:rPr>
          <w:bCs/>
        </w:rPr>
        <w:t>versión pública</w:t>
      </w:r>
      <w:r w:rsidRPr="00C963FE">
        <w:t>, protegiendo exclusivamente los datos personales de los contribuyentes involucrados, pero manteniendo accesibles las actuaciones documentadas del Procedimiento Administrativo de Ejecución, en observancia del principio de máxima publicidad.</w:t>
      </w:r>
    </w:p>
    <w:p w14:paraId="2BF9AC8E" w14:textId="77777777" w:rsidR="004D6DBE" w:rsidRPr="00C963FE" w:rsidRDefault="004D6DBE" w:rsidP="006331CD">
      <w:pPr>
        <w:tabs>
          <w:tab w:val="left" w:pos="4962"/>
        </w:tabs>
        <w:rPr>
          <w:szCs w:val="22"/>
        </w:rPr>
      </w:pPr>
    </w:p>
    <w:p w14:paraId="26071EA8" w14:textId="77777777" w:rsidR="0054058E" w:rsidRPr="00C963FE" w:rsidRDefault="0054058E" w:rsidP="006331CD">
      <w:pPr>
        <w:pStyle w:val="Ttulo3"/>
        <w:spacing w:line="360" w:lineRule="auto"/>
        <w:rPr>
          <w:szCs w:val="22"/>
        </w:rPr>
      </w:pPr>
      <w:bookmarkStart w:id="37" w:name="_Toc170898812"/>
      <w:bookmarkStart w:id="38" w:name="_Toc172051201"/>
      <w:bookmarkStart w:id="39" w:name="_Toc174466654"/>
      <w:bookmarkStart w:id="40" w:name="_Toc199840252"/>
      <w:bookmarkStart w:id="41" w:name="_Toc210805605"/>
      <w:r w:rsidRPr="00C963FE">
        <w:rPr>
          <w:szCs w:val="22"/>
        </w:rPr>
        <w:t>d) Versión pública</w:t>
      </w:r>
      <w:bookmarkEnd w:id="37"/>
      <w:bookmarkEnd w:id="38"/>
      <w:bookmarkEnd w:id="39"/>
      <w:bookmarkEnd w:id="40"/>
      <w:bookmarkEnd w:id="41"/>
    </w:p>
    <w:p w14:paraId="7A2FCF0C" w14:textId="77777777" w:rsidR="0054058E" w:rsidRPr="00C963FE" w:rsidRDefault="0054058E" w:rsidP="006331CD">
      <w:pPr>
        <w:rPr>
          <w:bCs/>
          <w:szCs w:val="22"/>
        </w:rPr>
      </w:pPr>
      <w:r w:rsidRPr="00C963FE">
        <w:rPr>
          <w:szCs w:val="22"/>
        </w:rPr>
        <w:t xml:space="preserve">Para el caso de que el o los documentos de los cuales se ordena su entrega contengan datos personales susceptibles de ser testados, deberán ser entregados en </w:t>
      </w:r>
      <w:r w:rsidRPr="00C963FE">
        <w:rPr>
          <w:b/>
          <w:szCs w:val="22"/>
        </w:rPr>
        <w:t>versión pública</w:t>
      </w:r>
      <w:r w:rsidRPr="00C963FE">
        <w:rPr>
          <w:szCs w:val="22"/>
        </w:rPr>
        <w:t>, pues el</w:t>
      </w:r>
      <w:r w:rsidRPr="00C963FE">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C963FE">
        <w:rPr>
          <w:bCs/>
          <w:szCs w:val="22"/>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26EC28" w14:textId="77777777" w:rsidR="0054058E" w:rsidRPr="00C963FE" w:rsidRDefault="0054058E" w:rsidP="006331CD">
      <w:pPr>
        <w:rPr>
          <w:rFonts w:eastAsia="Calibri"/>
          <w:bCs/>
          <w:szCs w:val="22"/>
          <w:lang w:eastAsia="en-US"/>
        </w:rPr>
      </w:pPr>
    </w:p>
    <w:p w14:paraId="4B3E8A7B" w14:textId="77777777" w:rsidR="0054058E" w:rsidRPr="00C963FE" w:rsidRDefault="0054058E" w:rsidP="006331CD">
      <w:pPr>
        <w:rPr>
          <w:bCs/>
          <w:szCs w:val="22"/>
        </w:rPr>
      </w:pPr>
      <w:r w:rsidRPr="00C963FE">
        <w:rPr>
          <w:bCs/>
          <w:szCs w:val="22"/>
        </w:rPr>
        <w:t>A este respecto, los artículos 3, fracciones IX, XX, XXI y XLV; 51 y 52 de la Ley de Transparencia y Acceso a la Información Pública del Estado de México y Municipios establecen:</w:t>
      </w:r>
    </w:p>
    <w:p w14:paraId="39536341" w14:textId="77777777" w:rsidR="0054058E" w:rsidRPr="00C963FE" w:rsidRDefault="0054058E" w:rsidP="006331CD">
      <w:pPr>
        <w:rPr>
          <w:szCs w:val="22"/>
        </w:rPr>
      </w:pPr>
    </w:p>
    <w:p w14:paraId="4F1394E5" w14:textId="77777777" w:rsidR="0054058E" w:rsidRPr="00C963FE" w:rsidRDefault="0054058E" w:rsidP="006331CD">
      <w:pPr>
        <w:pStyle w:val="Puesto"/>
        <w:rPr>
          <w:szCs w:val="22"/>
        </w:rPr>
      </w:pPr>
      <w:r w:rsidRPr="00C963FE">
        <w:rPr>
          <w:b/>
          <w:bCs/>
          <w:noProof/>
          <w:szCs w:val="22"/>
        </w:rPr>
        <w:t>“</w:t>
      </w:r>
      <w:r w:rsidRPr="00C963FE">
        <w:rPr>
          <w:b/>
          <w:bCs/>
          <w:szCs w:val="22"/>
        </w:rPr>
        <w:t xml:space="preserve">Artículo 3. </w:t>
      </w:r>
      <w:r w:rsidRPr="00C963FE">
        <w:rPr>
          <w:szCs w:val="22"/>
        </w:rPr>
        <w:t xml:space="preserve">Para los efectos de la presente Ley se entenderá por: </w:t>
      </w:r>
    </w:p>
    <w:p w14:paraId="3D43FEB1" w14:textId="77777777" w:rsidR="0054058E" w:rsidRPr="00C963FE" w:rsidRDefault="0054058E" w:rsidP="006331CD">
      <w:pPr>
        <w:pStyle w:val="Puesto"/>
        <w:rPr>
          <w:szCs w:val="22"/>
        </w:rPr>
      </w:pPr>
      <w:r w:rsidRPr="00C963FE">
        <w:rPr>
          <w:b/>
          <w:szCs w:val="22"/>
        </w:rPr>
        <w:t>IX.</w:t>
      </w:r>
      <w:r w:rsidRPr="00C963FE">
        <w:rPr>
          <w:szCs w:val="22"/>
        </w:rPr>
        <w:t xml:space="preserve"> </w:t>
      </w:r>
      <w:r w:rsidRPr="00C963FE">
        <w:rPr>
          <w:b/>
          <w:szCs w:val="22"/>
        </w:rPr>
        <w:t xml:space="preserve">Datos personales: </w:t>
      </w:r>
      <w:r w:rsidRPr="00C963FE">
        <w:rPr>
          <w:szCs w:val="22"/>
        </w:rPr>
        <w:t xml:space="preserve">La información concerniente a una persona, identificada o identificable según lo dispuesto por la Ley de Protección de Datos Personales del Estado de México; </w:t>
      </w:r>
    </w:p>
    <w:p w14:paraId="748E9C8C" w14:textId="77777777" w:rsidR="0054058E" w:rsidRPr="00C963FE" w:rsidRDefault="0054058E" w:rsidP="006331CD">
      <w:pPr>
        <w:spacing w:line="240" w:lineRule="auto"/>
        <w:rPr>
          <w:szCs w:val="22"/>
        </w:rPr>
      </w:pPr>
    </w:p>
    <w:p w14:paraId="1E18954E" w14:textId="77777777" w:rsidR="0054058E" w:rsidRPr="00C963FE" w:rsidRDefault="0054058E" w:rsidP="006331CD">
      <w:pPr>
        <w:pStyle w:val="Puesto"/>
        <w:rPr>
          <w:szCs w:val="22"/>
        </w:rPr>
      </w:pPr>
      <w:r w:rsidRPr="00C963FE">
        <w:rPr>
          <w:b/>
          <w:szCs w:val="22"/>
        </w:rPr>
        <w:t>XX.</w:t>
      </w:r>
      <w:r w:rsidRPr="00C963FE">
        <w:rPr>
          <w:szCs w:val="22"/>
        </w:rPr>
        <w:t xml:space="preserve"> </w:t>
      </w:r>
      <w:r w:rsidRPr="00C963FE">
        <w:rPr>
          <w:b/>
          <w:szCs w:val="22"/>
        </w:rPr>
        <w:t>Información clasificada:</w:t>
      </w:r>
      <w:r w:rsidRPr="00C963FE">
        <w:rPr>
          <w:szCs w:val="22"/>
        </w:rPr>
        <w:t xml:space="preserve"> Aquella considerada por la presente Ley como reservada o confidencial; </w:t>
      </w:r>
    </w:p>
    <w:p w14:paraId="3024A149" w14:textId="77777777" w:rsidR="0054058E" w:rsidRPr="00C963FE" w:rsidRDefault="0054058E" w:rsidP="006331CD">
      <w:pPr>
        <w:spacing w:line="240" w:lineRule="auto"/>
        <w:rPr>
          <w:szCs w:val="22"/>
        </w:rPr>
      </w:pPr>
    </w:p>
    <w:p w14:paraId="084C4018" w14:textId="77777777" w:rsidR="0054058E" w:rsidRPr="00C963FE" w:rsidRDefault="0054058E" w:rsidP="006331CD">
      <w:pPr>
        <w:pStyle w:val="Puesto"/>
        <w:rPr>
          <w:szCs w:val="22"/>
        </w:rPr>
      </w:pPr>
      <w:r w:rsidRPr="00C963FE">
        <w:rPr>
          <w:b/>
          <w:szCs w:val="22"/>
        </w:rPr>
        <w:t>XXI.</w:t>
      </w:r>
      <w:r w:rsidRPr="00C963FE">
        <w:rPr>
          <w:szCs w:val="22"/>
        </w:rPr>
        <w:t xml:space="preserve"> </w:t>
      </w:r>
      <w:r w:rsidRPr="00C963FE">
        <w:rPr>
          <w:b/>
          <w:szCs w:val="22"/>
        </w:rPr>
        <w:t>Información confidencial</w:t>
      </w:r>
      <w:r w:rsidRPr="00C963FE">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4392A3" w14:textId="77777777" w:rsidR="0054058E" w:rsidRPr="00C963FE" w:rsidRDefault="0054058E" w:rsidP="006331CD">
      <w:pPr>
        <w:spacing w:line="240" w:lineRule="auto"/>
        <w:rPr>
          <w:szCs w:val="22"/>
        </w:rPr>
      </w:pPr>
    </w:p>
    <w:p w14:paraId="6B5D60B6" w14:textId="77777777" w:rsidR="0054058E" w:rsidRPr="00C963FE" w:rsidRDefault="0054058E" w:rsidP="006331CD">
      <w:pPr>
        <w:pStyle w:val="Puesto"/>
        <w:rPr>
          <w:szCs w:val="22"/>
        </w:rPr>
      </w:pPr>
      <w:r w:rsidRPr="00C963FE">
        <w:rPr>
          <w:b/>
          <w:szCs w:val="22"/>
        </w:rPr>
        <w:t>XLV. Versión pública:</w:t>
      </w:r>
      <w:r w:rsidRPr="00C963FE">
        <w:rPr>
          <w:szCs w:val="22"/>
        </w:rPr>
        <w:t xml:space="preserve"> Documento en el que se elimine, suprime o borra la información clasificada como reservada o confidencial para permitir su acceso. </w:t>
      </w:r>
    </w:p>
    <w:p w14:paraId="78541CBA" w14:textId="77777777" w:rsidR="0054058E" w:rsidRPr="00C963FE" w:rsidRDefault="0054058E" w:rsidP="006331CD">
      <w:pPr>
        <w:spacing w:line="240" w:lineRule="auto"/>
        <w:rPr>
          <w:szCs w:val="22"/>
        </w:rPr>
      </w:pPr>
    </w:p>
    <w:p w14:paraId="4DDEFA17" w14:textId="77777777" w:rsidR="0054058E" w:rsidRPr="00C963FE" w:rsidRDefault="0054058E" w:rsidP="006331CD">
      <w:pPr>
        <w:pStyle w:val="Puesto"/>
        <w:rPr>
          <w:szCs w:val="22"/>
        </w:rPr>
      </w:pPr>
      <w:r w:rsidRPr="00C963FE">
        <w:rPr>
          <w:b/>
          <w:szCs w:val="22"/>
        </w:rPr>
        <w:t>Artículo 51.</w:t>
      </w:r>
      <w:r w:rsidRPr="00C963FE">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963FE">
        <w:rPr>
          <w:b/>
          <w:szCs w:val="22"/>
        </w:rPr>
        <w:t xml:space="preserve">y tendrá la responsabilidad de verificar en cada caso que la misma no sea confidencial o reservada. </w:t>
      </w:r>
      <w:r w:rsidRPr="00C963FE">
        <w:rPr>
          <w:szCs w:val="22"/>
        </w:rPr>
        <w:t>Dicha Unidad contará con las facultades internas necesarias para gestionar la atención a las solicitudes de información en los términos de la Ley General y la presente Ley.</w:t>
      </w:r>
    </w:p>
    <w:p w14:paraId="7E2D1B32" w14:textId="77777777" w:rsidR="0054058E" w:rsidRPr="00C963FE" w:rsidRDefault="0054058E" w:rsidP="006331CD">
      <w:pPr>
        <w:spacing w:line="240" w:lineRule="auto"/>
        <w:rPr>
          <w:szCs w:val="22"/>
        </w:rPr>
      </w:pPr>
    </w:p>
    <w:p w14:paraId="23793B03" w14:textId="77777777" w:rsidR="0054058E" w:rsidRPr="00C963FE" w:rsidRDefault="0054058E" w:rsidP="006331CD">
      <w:pPr>
        <w:pStyle w:val="Puesto"/>
        <w:rPr>
          <w:szCs w:val="22"/>
        </w:rPr>
      </w:pPr>
      <w:r w:rsidRPr="00C963FE">
        <w:rPr>
          <w:b/>
          <w:szCs w:val="22"/>
        </w:rPr>
        <w:lastRenderedPageBreak/>
        <w:t>Artículo 52.</w:t>
      </w:r>
      <w:r w:rsidRPr="00C963FE">
        <w:rPr>
          <w:szCs w:val="22"/>
        </w:rPr>
        <w:t xml:space="preserve"> Las solicitudes de acceso a la información y las respuestas que se les dé, incluyendo, en su caso, </w:t>
      </w:r>
      <w:r w:rsidRPr="00C963FE">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963FE">
        <w:rPr>
          <w:szCs w:val="22"/>
        </w:rPr>
        <w:t>, siempre y cuando la resolución de referencia se someta a un proceso de disociación, es decir, no haga identificable al titular de tales datos personales.</w:t>
      </w:r>
      <w:r w:rsidRPr="00C963FE">
        <w:rPr>
          <w:bCs/>
          <w:noProof/>
          <w:szCs w:val="22"/>
        </w:rPr>
        <w:t xml:space="preserve">” </w:t>
      </w:r>
      <w:r w:rsidRPr="00C963FE">
        <w:rPr>
          <w:i w:val="0"/>
          <w:iCs/>
          <w:szCs w:val="22"/>
        </w:rPr>
        <w:t>(Énfasis añadido)</w:t>
      </w:r>
    </w:p>
    <w:p w14:paraId="7CD9A0A7" w14:textId="77777777" w:rsidR="0054058E" w:rsidRPr="00C963FE" w:rsidRDefault="0054058E" w:rsidP="006331CD">
      <w:pPr>
        <w:rPr>
          <w:szCs w:val="22"/>
        </w:rPr>
      </w:pPr>
    </w:p>
    <w:p w14:paraId="43F51A35" w14:textId="77777777" w:rsidR="0054058E" w:rsidRPr="00C963FE" w:rsidRDefault="0054058E" w:rsidP="006331CD">
      <w:pPr>
        <w:rPr>
          <w:szCs w:val="22"/>
        </w:rPr>
      </w:pPr>
      <w:r w:rsidRPr="00C963FE">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CFB40B1" w14:textId="77777777" w:rsidR="0054058E" w:rsidRPr="00C963FE" w:rsidRDefault="0054058E" w:rsidP="006331CD">
      <w:pPr>
        <w:rPr>
          <w:szCs w:val="22"/>
        </w:rPr>
      </w:pPr>
    </w:p>
    <w:p w14:paraId="3DED8D2F" w14:textId="77777777" w:rsidR="0054058E" w:rsidRPr="00C963FE" w:rsidRDefault="0054058E" w:rsidP="006331CD">
      <w:pPr>
        <w:pStyle w:val="Puesto"/>
        <w:rPr>
          <w:rFonts w:eastAsia="Arial Unicode MS"/>
          <w:szCs w:val="22"/>
        </w:rPr>
      </w:pPr>
      <w:r w:rsidRPr="00C963FE">
        <w:rPr>
          <w:rFonts w:eastAsia="Arial Unicode MS"/>
          <w:b/>
          <w:szCs w:val="22"/>
        </w:rPr>
        <w:t>“Artículo 22.</w:t>
      </w:r>
      <w:r w:rsidRPr="00C963FE">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4E1778" w14:textId="77777777" w:rsidR="0054058E" w:rsidRPr="00C963FE" w:rsidRDefault="0054058E" w:rsidP="006331CD">
      <w:pPr>
        <w:spacing w:line="240" w:lineRule="auto"/>
        <w:rPr>
          <w:rFonts w:eastAsia="Arial Unicode MS"/>
          <w:szCs w:val="22"/>
        </w:rPr>
      </w:pPr>
    </w:p>
    <w:p w14:paraId="17E736CE" w14:textId="77777777" w:rsidR="0054058E" w:rsidRPr="00C963FE" w:rsidRDefault="0054058E" w:rsidP="006331CD">
      <w:pPr>
        <w:pStyle w:val="Puesto"/>
        <w:rPr>
          <w:rFonts w:eastAsia="Arial Unicode MS"/>
          <w:szCs w:val="22"/>
        </w:rPr>
      </w:pPr>
      <w:r w:rsidRPr="00C963FE">
        <w:rPr>
          <w:rFonts w:eastAsia="Arial Unicode MS"/>
          <w:b/>
          <w:szCs w:val="22"/>
        </w:rPr>
        <w:t>Artículo 38.</w:t>
      </w:r>
      <w:r w:rsidRPr="00C963FE">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963FE">
        <w:rPr>
          <w:rFonts w:eastAsia="Arial Unicode MS"/>
          <w:b/>
          <w:szCs w:val="22"/>
        </w:rPr>
        <w:t>”</w:t>
      </w:r>
      <w:r w:rsidRPr="00C963FE">
        <w:rPr>
          <w:rFonts w:eastAsia="Arial Unicode MS"/>
          <w:szCs w:val="22"/>
        </w:rPr>
        <w:t xml:space="preserve"> </w:t>
      </w:r>
    </w:p>
    <w:p w14:paraId="1C2E3902" w14:textId="77777777" w:rsidR="0054058E" w:rsidRPr="00C963FE" w:rsidRDefault="0054058E" w:rsidP="006331CD">
      <w:pPr>
        <w:rPr>
          <w:rFonts w:eastAsia="Arial Unicode MS"/>
          <w:i/>
          <w:szCs w:val="22"/>
        </w:rPr>
      </w:pPr>
    </w:p>
    <w:p w14:paraId="344DAFBC" w14:textId="77777777" w:rsidR="0054058E" w:rsidRPr="00C963FE" w:rsidRDefault="0054058E" w:rsidP="006331CD">
      <w:pPr>
        <w:rPr>
          <w:szCs w:val="22"/>
        </w:rPr>
      </w:pPr>
      <w:r w:rsidRPr="00C963FE">
        <w:rPr>
          <w:szCs w:val="22"/>
        </w:rPr>
        <w:t xml:space="preserve">De este modo, en armonía entre los principios constitucionales de máxima publicidad y de protección de datos personales, la Ley de la materia permite la elaboración de versiones </w:t>
      </w:r>
      <w:r w:rsidRPr="00C963FE">
        <w:rPr>
          <w:szCs w:val="22"/>
        </w:rPr>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235B8701" w14:textId="77777777" w:rsidR="0054058E" w:rsidRPr="00C963FE" w:rsidRDefault="0054058E" w:rsidP="006331CD">
      <w:pPr>
        <w:rPr>
          <w:szCs w:val="22"/>
        </w:rPr>
      </w:pPr>
    </w:p>
    <w:p w14:paraId="095704B0" w14:textId="77777777" w:rsidR="0054058E" w:rsidRPr="00C963FE" w:rsidRDefault="0054058E" w:rsidP="006331CD">
      <w:pPr>
        <w:rPr>
          <w:szCs w:val="22"/>
        </w:rPr>
      </w:pPr>
      <w:r w:rsidRPr="00C963FE">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963FE">
        <w:rPr>
          <w:rFonts w:eastAsia="Arial Unicode MS"/>
          <w:szCs w:val="22"/>
        </w:rPr>
        <w:t xml:space="preserve"> que debe ser protegida por </w:t>
      </w:r>
      <w:r w:rsidRPr="00C963FE">
        <w:rPr>
          <w:rFonts w:eastAsia="Arial Unicode MS"/>
          <w:b/>
          <w:szCs w:val="22"/>
        </w:rPr>
        <w:t>EL SUJETO OBLIGADO,</w:t>
      </w:r>
      <w:r w:rsidRPr="00C963FE">
        <w:rPr>
          <w:rFonts w:eastAsia="Arial Unicode MS"/>
          <w:szCs w:val="22"/>
        </w:rPr>
        <w:t xml:space="preserve"> por lo </w:t>
      </w:r>
      <w:r w:rsidRPr="00C963FE">
        <w:rPr>
          <w:szCs w:val="22"/>
        </w:rPr>
        <w:t>que, todo dato personal susceptible de clasificación debe ser protegido.</w:t>
      </w:r>
    </w:p>
    <w:p w14:paraId="6A5B86D0" w14:textId="77777777" w:rsidR="0054058E" w:rsidRPr="00C963FE" w:rsidRDefault="0054058E" w:rsidP="006331CD">
      <w:pPr>
        <w:rPr>
          <w:szCs w:val="22"/>
        </w:rPr>
      </w:pPr>
    </w:p>
    <w:p w14:paraId="544FC037" w14:textId="77777777" w:rsidR="0054058E" w:rsidRPr="00C963FE" w:rsidRDefault="0054058E" w:rsidP="006331CD">
      <w:pPr>
        <w:rPr>
          <w:szCs w:val="22"/>
        </w:rPr>
      </w:pPr>
      <w:r w:rsidRPr="00C963FE">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8DD1FA" w14:textId="77777777" w:rsidR="0054058E" w:rsidRPr="00C963FE" w:rsidRDefault="0054058E" w:rsidP="006331CD">
      <w:pPr>
        <w:rPr>
          <w:szCs w:val="22"/>
        </w:rPr>
      </w:pPr>
    </w:p>
    <w:p w14:paraId="65BD2F0C" w14:textId="77777777" w:rsidR="0054058E" w:rsidRPr="00C963FE" w:rsidRDefault="0054058E" w:rsidP="006331CD">
      <w:pPr>
        <w:rPr>
          <w:szCs w:val="22"/>
        </w:rPr>
      </w:pPr>
      <w:r w:rsidRPr="00C963FE">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C2C749" w14:textId="77777777" w:rsidR="0054058E" w:rsidRPr="00C963FE" w:rsidRDefault="0054058E" w:rsidP="006331CD">
      <w:pPr>
        <w:rPr>
          <w:szCs w:val="22"/>
        </w:rPr>
      </w:pPr>
    </w:p>
    <w:p w14:paraId="3C6412E3" w14:textId="77777777" w:rsidR="0054058E" w:rsidRPr="00C963FE" w:rsidRDefault="0054058E" w:rsidP="006331CD">
      <w:pPr>
        <w:spacing w:line="240" w:lineRule="auto"/>
        <w:jc w:val="center"/>
        <w:rPr>
          <w:b/>
          <w:i/>
          <w:szCs w:val="22"/>
        </w:rPr>
      </w:pPr>
      <w:r w:rsidRPr="00C963FE">
        <w:rPr>
          <w:b/>
          <w:i/>
          <w:szCs w:val="22"/>
          <w:lang w:val="es-ES_tradnl"/>
        </w:rPr>
        <w:t>Ley de Transparencia y Acceso a la Información Pública del Estado de México y Municipios</w:t>
      </w:r>
    </w:p>
    <w:p w14:paraId="6635605C" w14:textId="77777777" w:rsidR="0054058E" w:rsidRPr="00C963FE" w:rsidRDefault="0054058E" w:rsidP="006331CD">
      <w:pPr>
        <w:spacing w:line="240" w:lineRule="auto"/>
        <w:rPr>
          <w:szCs w:val="22"/>
        </w:rPr>
      </w:pPr>
    </w:p>
    <w:p w14:paraId="28BE97B8" w14:textId="77777777" w:rsidR="0054058E" w:rsidRPr="00C963FE" w:rsidRDefault="0054058E" w:rsidP="006331CD">
      <w:pPr>
        <w:pStyle w:val="Puesto"/>
        <w:rPr>
          <w:szCs w:val="22"/>
        </w:rPr>
      </w:pPr>
      <w:r w:rsidRPr="00C963FE">
        <w:rPr>
          <w:b/>
          <w:szCs w:val="22"/>
        </w:rPr>
        <w:t xml:space="preserve">“Artículo 49. </w:t>
      </w:r>
      <w:r w:rsidRPr="00C963FE">
        <w:rPr>
          <w:szCs w:val="22"/>
        </w:rPr>
        <w:t>Los Comités de Transparencia tendrán las siguientes atribuciones:</w:t>
      </w:r>
    </w:p>
    <w:p w14:paraId="32CF2FB5" w14:textId="77777777" w:rsidR="0054058E" w:rsidRPr="00C963FE" w:rsidRDefault="0054058E" w:rsidP="006331CD">
      <w:pPr>
        <w:pStyle w:val="Puesto"/>
        <w:rPr>
          <w:szCs w:val="22"/>
        </w:rPr>
      </w:pPr>
      <w:r w:rsidRPr="00C963FE">
        <w:rPr>
          <w:b/>
          <w:szCs w:val="22"/>
        </w:rPr>
        <w:t>VIII.</w:t>
      </w:r>
      <w:r w:rsidRPr="00C963FE">
        <w:rPr>
          <w:szCs w:val="22"/>
        </w:rPr>
        <w:t xml:space="preserve"> Aprobar, modificar o revocar la clasificación de la información;</w:t>
      </w:r>
    </w:p>
    <w:p w14:paraId="5165FFA1" w14:textId="77777777" w:rsidR="0054058E" w:rsidRPr="00C963FE" w:rsidRDefault="0054058E" w:rsidP="006331CD">
      <w:pPr>
        <w:spacing w:line="240" w:lineRule="auto"/>
        <w:rPr>
          <w:szCs w:val="22"/>
        </w:rPr>
      </w:pPr>
    </w:p>
    <w:p w14:paraId="510CAB43" w14:textId="77777777" w:rsidR="0054058E" w:rsidRPr="00C963FE" w:rsidRDefault="0054058E" w:rsidP="006331CD">
      <w:pPr>
        <w:pStyle w:val="Puesto"/>
        <w:rPr>
          <w:szCs w:val="22"/>
        </w:rPr>
      </w:pPr>
      <w:r w:rsidRPr="00C963FE">
        <w:rPr>
          <w:b/>
          <w:szCs w:val="22"/>
        </w:rPr>
        <w:t>Artículo 132.</w:t>
      </w:r>
      <w:r w:rsidRPr="00C963FE">
        <w:rPr>
          <w:szCs w:val="22"/>
        </w:rPr>
        <w:t xml:space="preserve"> La clasificación de la información se llevará a cabo en el momento en que:</w:t>
      </w:r>
    </w:p>
    <w:p w14:paraId="6E131921" w14:textId="77777777" w:rsidR="0054058E" w:rsidRPr="00C963FE" w:rsidRDefault="0054058E" w:rsidP="006331CD">
      <w:pPr>
        <w:pStyle w:val="Puesto"/>
        <w:rPr>
          <w:szCs w:val="22"/>
        </w:rPr>
      </w:pPr>
      <w:r w:rsidRPr="00C963FE">
        <w:rPr>
          <w:b/>
          <w:szCs w:val="22"/>
        </w:rPr>
        <w:t>I.</w:t>
      </w:r>
      <w:r w:rsidRPr="00C963FE">
        <w:rPr>
          <w:szCs w:val="22"/>
        </w:rPr>
        <w:t xml:space="preserve"> Se reciba una solicitud de acceso a la información;</w:t>
      </w:r>
    </w:p>
    <w:p w14:paraId="6DB8077D" w14:textId="77777777" w:rsidR="0054058E" w:rsidRPr="00C963FE" w:rsidRDefault="0054058E" w:rsidP="006331CD">
      <w:pPr>
        <w:pStyle w:val="Puesto"/>
        <w:rPr>
          <w:szCs w:val="22"/>
        </w:rPr>
      </w:pPr>
      <w:r w:rsidRPr="00C963FE">
        <w:rPr>
          <w:b/>
          <w:szCs w:val="22"/>
        </w:rPr>
        <w:t>II.</w:t>
      </w:r>
      <w:r w:rsidRPr="00C963FE">
        <w:rPr>
          <w:szCs w:val="22"/>
        </w:rPr>
        <w:t xml:space="preserve"> Se determine mediante resolución de autoridad competente; o</w:t>
      </w:r>
    </w:p>
    <w:p w14:paraId="48043408" w14:textId="77777777" w:rsidR="0054058E" w:rsidRPr="00C963FE" w:rsidRDefault="0054058E" w:rsidP="006331CD">
      <w:pPr>
        <w:pStyle w:val="Puesto"/>
        <w:rPr>
          <w:b/>
          <w:szCs w:val="22"/>
        </w:rPr>
      </w:pPr>
      <w:r w:rsidRPr="00C963FE">
        <w:rPr>
          <w:b/>
          <w:bCs/>
          <w:szCs w:val="22"/>
        </w:rPr>
        <w:t>III.</w:t>
      </w:r>
      <w:r w:rsidRPr="00C963FE">
        <w:rPr>
          <w:szCs w:val="22"/>
        </w:rPr>
        <w:t xml:space="preserve"> Se generen versiones públicas para dar cumplimiento a las obligaciones de transparencia previstas en esta Ley.</w:t>
      </w:r>
      <w:r w:rsidRPr="00C963FE">
        <w:rPr>
          <w:b/>
          <w:szCs w:val="22"/>
        </w:rPr>
        <w:t>”</w:t>
      </w:r>
    </w:p>
    <w:p w14:paraId="644CE6DA" w14:textId="77777777" w:rsidR="0054058E" w:rsidRPr="00C963FE" w:rsidRDefault="0054058E" w:rsidP="006331CD">
      <w:pPr>
        <w:spacing w:line="240" w:lineRule="auto"/>
        <w:rPr>
          <w:szCs w:val="22"/>
        </w:rPr>
      </w:pPr>
    </w:p>
    <w:p w14:paraId="75413220" w14:textId="77777777" w:rsidR="0054058E" w:rsidRPr="00C963FE" w:rsidRDefault="0054058E" w:rsidP="006331CD">
      <w:pPr>
        <w:pStyle w:val="Puesto"/>
        <w:rPr>
          <w:szCs w:val="22"/>
        </w:rPr>
      </w:pPr>
      <w:r w:rsidRPr="00C963FE">
        <w:rPr>
          <w:b/>
          <w:szCs w:val="22"/>
        </w:rPr>
        <w:t>“Segundo. -</w:t>
      </w:r>
      <w:r w:rsidRPr="00C963FE">
        <w:rPr>
          <w:szCs w:val="22"/>
        </w:rPr>
        <w:t xml:space="preserve"> Para efectos de los presentes Lineamientos Generales, se entenderá por:</w:t>
      </w:r>
    </w:p>
    <w:p w14:paraId="612CFC45" w14:textId="77777777" w:rsidR="0054058E" w:rsidRPr="00C963FE" w:rsidRDefault="0054058E" w:rsidP="006331CD">
      <w:pPr>
        <w:pStyle w:val="Puesto"/>
        <w:rPr>
          <w:szCs w:val="22"/>
        </w:rPr>
      </w:pPr>
      <w:r w:rsidRPr="00C963FE">
        <w:rPr>
          <w:b/>
          <w:szCs w:val="22"/>
        </w:rPr>
        <w:t>XVIII.</w:t>
      </w:r>
      <w:r w:rsidRPr="00C963FE">
        <w:rPr>
          <w:szCs w:val="22"/>
        </w:rPr>
        <w:t xml:space="preserve">  </w:t>
      </w:r>
      <w:r w:rsidRPr="00C963FE">
        <w:rPr>
          <w:b/>
          <w:szCs w:val="22"/>
        </w:rPr>
        <w:t>Versión pública:</w:t>
      </w:r>
      <w:r w:rsidRPr="00C963FE">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D6CCA5" w14:textId="77777777" w:rsidR="0054058E" w:rsidRPr="00C963FE" w:rsidRDefault="0054058E" w:rsidP="006331CD">
      <w:pPr>
        <w:pStyle w:val="Puesto"/>
        <w:rPr>
          <w:szCs w:val="22"/>
        </w:rPr>
      </w:pPr>
    </w:p>
    <w:p w14:paraId="6C7586CB" w14:textId="77777777" w:rsidR="0054058E" w:rsidRPr="00C963FE" w:rsidRDefault="0054058E" w:rsidP="006331CD">
      <w:pPr>
        <w:pStyle w:val="Puesto"/>
        <w:rPr>
          <w:b/>
          <w:szCs w:val="22"/>
          <w:lang w:val="es-ES_tradnl" w:eastAsia="es-MX"/>
        </w:rPr>
      </w:pPr>
      <w:r w:rsidRPr="00C963FE">
        <w:rPr>
          <w:b/>
          <w:szCs w:val="22"/>
          <w:lang w:val="es-ES_tradnl" w:eastAsia="es-MX"/>
        </w:rPr>
        <w:t xml:space="preserve">Lineamientos Generales en materia de Clasificación y Desclasificación de la </w:t>
      </w:r>
      <w:r w:rsidRPr="00C963FE">
        <w:rPr>
          <w:b/>
          <w:szCs w:val="22"/>
          <w:lang w:val="es-ES_tradnl"/>
        </w:rPr>
        <w:t>Información</w:t>
      </w:r>
    </w:p>
    <w:p w14:paraId="73C10411" w14:textId="77777777" w:rsidR="0054058E" w:rsidRPr="00C963FE" w:rsidRDefault="0054058E" w:rsidP="006331CD">
      <w:pPr>
        <w:pStyle w:val="Puesto"/>
        <w:rPr>
          <w:szCs w:val="22"/>
        </w:rPr>
      </w:pPr>
    </w:p>
    <w:p w14:paraId="4EC5F6C9" w14:textId="77777777" w:rsidR="0054058E" w:rsidRPr="00C963FE" w:rsidRDefault="0054058E" w:rsidP="006331CD">
      <w:pPr>
        <w:pStyle w:val="Puesto"/>
        <w:rPr>
          <w:szCs w:val="22"/>
        </w:rPr>
      </w:pPr>
      <w:r w:rsidRPr="00C963FE">
        <w:rPr>
          <w:b/>
          <w:szCs w:val="22"/>
        </w:rPr>
        <w:t>Cuarto.</w:t>
      </w:r>
      <w:r w:rsidRPr="00C963FE">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996B8B" w14:textId="77777777" w:rsidR="0054058E" w:rsidRPr="00C963FE" w:rsidRDefault="0054058E" w:rsidP="006331CD">
      <w:pPr>
        <w:pStyle w:val="Puesto"/>
        <w:rPr>
          <w:szCs w:val="22"/>
        </w:rPr>
      </w:pPr>
      <w:r w:rsidRPr="00C963FE">
        <w:rPr>
          <w:szCs w:val="22"/>
        </w:rPr>
        <w:t>Los sujetos obligados deberán aplicar, de manera estricta, las excepciones al derecho de acceso a la información y sólo podrán invocarlas cuando acrediten su procedencia.</w:t>
      </w:r>
    </w:p>
    <w:p w14:paraId="67BF63E6" w14:textId="77777777" w:rsidR="0054058E" w:rsidRPr="00C963FE" w:rsidRDefault="0054058E" w:rsidP="006331CD">
      <w:pPr>
        <w:spacing w:line="240" w:lineRule="auto"/>
        <w:rPr>
          <w:szCs w:val="22"/>
        </w:rPr>
      </w:pPr>
    </w:p>
    <w:p w14:paraId="3468556F" w14:textId="77777777" w:rsidR="0054058E" w:rsidRPr="00C963FE" w:rsidRDefault="0054058E" w:rsidP="006331CD">
      <w:pPr>
        <w:pStyle w:val="Puesto"/>
        <w:rPr>
          <w:szCs w:val="22"/>
        </w:rPr>
      </w:pPr>
      <w:r w:rsidRPr="00C963FE">
        <w:rPr>
          <w:b/>
          <w:szCs w:val="22"/>
        </w:rPr>
        <w:t>Quinto.</w:t>
      </w:r>
      <w:r w:rsidRPr="00C963FE">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C963FE">
        <w:rPr>
          <w:szCs w:val="22"/>
        </w:rPr>
        <w:lastRenderedPageBreak/>
        <w:t>transparencia, observando lo dispuesto en la Ley General y las demás disposiciones aplicables en la materia.</w:t>
      </w:r>
    </w:p>
    <w:p w14:paraId="21A245DD" w14:textId="77777777" w:rsidR="0054058E" w:rsidRPr="00C963FE" w:rsidRDefault="0054058E" w:rsidP="006331CD">
      <w:pPr>
        <w:spacing w:line="240" w:lineRule="auto"/>
        <w:rPr>
          <w:szCs w:val="22"/>
        </w:rPr>
      </w:pPr>
    </w:p>
    <w:p w14:paraId="695EEE26" w14:textId="77777777" w:rsidR="0054058E" w:rsidRPr="00C963FE" w:rsidRDefault="0054058E" w:rsidP="006331CD">
      <w:pPr>
        <w:pStyle w:val="Puesto"/>
        <w:rPr>
          <w:szCs w:val="22"/>
        </w:rPr>
      </w:pPr>
      <w:r w:rsidRPr="00C963FE">
        <w:rPr>
          <w:b/>
          <w:szCs w:val="22"/>
        </w:rPr>
        <w:t>Sexto.</w:t>
      </w:r>
      <w:r w:rsidRPr="00C963FE">
        <w:rPr>
          <w:szCs w:val="22"/>
        </w:rPr>
        <w:t xml:space="preserve"> Se deroga.</w:t>
      </w:r>
    </w:p>
    <w:p w14:paraId="79E310DA" w14:textId="77777777" w:rsidR="0054058E" w:rsidRPr="00C963FE" w:rsidRDefault="0054058E" w:rsidP="006331CD">
      <w:pPr>
        <w:spacing w:line="240" w:lineRule="auto"/>
        <w:rPr>
          <w:szCs w:val="22"/>
        </w:rPr>
      </w:pPr>
    </w:p>
    <w:p w14:paraId="170A6E5D" w14:textId="77777777" w:rsidR="0054058E" w:rsidRPr="00C963FE" w:rsidRDefault="0054058E" w:rsidP="006331CD">
      <w:pPr>
        <w:pStyle w:val="Puesto"/>
        <w:rPr>
          <w:szCs w:val="22"/>
        </w:rPr>
      </w:pPr>
      <w:r w:rsidRPr="00C963FE">
        <w:rPr>
          <w:b/>
          <w:szCs w:val="22"/>
        </w:rPr>
        <w:t>Séptimo.</w:t>
      </w:r>
      <w:r w:rsidRPr="00C963FE">
        <w:rPr>
          <w:szCs w:val="22"/>
        </w:rPr>
        <w:t xml:space="preserve"> La clasificación de la información se llevará a cabo en el momento en que:</w:t>
      </w:r>
    </w:p>
    <w:p w14:paraId="0638A04F" w14:textId="77777777" w:rsidR="0054058E" w:rsidRPr="00C963FE" w:rsidRDefault="0054058E" w:rsidP="006331CD">
      <w:pPr>
        <w:pStyle w:val="Puesto"/>
        <w:rPr>
          <w:szCs w:val="22"/>
        </w:rPr>
      </w:pPr>
      <w:r w:rsidRPr="00C963FE">
        <w:rPr>
          <w:b/>
          <w:szCs w:val="22"/>
        </w:rPr>
        <w:t>I.</w:t>
      </w:r>
      <w:r w:rsidRPr="00C963FE">
        <w:rPr>
          <w:szCs w:val="22"/>
        </w:rPr>
        <w:t xml:space="preserve">        Se reciba una solicitud de acceso a la información;</w:t>
      </w:r>
    </w:p>
    <w:p w14:paraId="456AA4DB" w14:textId="77777777" w:rsidR="0054058E" w:rsidRPr="00C963FE" w:rsidRDefault="0054058E" w:rsidP="006331CD">
      <w:pPr>
        <w:pStyle w:val="Puesto"/>
        <w:rPr>
          <w:szCs w:val="22"/>
        </w:rPr>
      </w:pPr>
      <w:r w:rsidRPr="00C963FE">
        <w:rPr>
          <w:b/>
          <w:szCs w:val="22"/>
        </w:rPr>
        <w:t>II.</w:t>
      </w:r>
      <w:r w:rsidRPr="00C963FE">
        <w:rPr>
          <w:szCs w:val="22"/>
        </w:rPr>
        <w:t xml:space="preserve">       Se determine mediante resolución del Comité de Transparencia, el órgano garante competente, o en cumplimiento a una sentencia del Poder Judicial; o</w:t>
      </w:r>
    </w:p>
    <w:p w14:paraId="27433B34" w14:textId="77777777" w:rsidR="0054058E" w:rsidRPr="00C963FE" w:rsidRDefault="0054058E" w:rsidP="006331CD">
      <w:pPr>
        <w:pStyle w:val="Puesto"/>
        <w:rPr>
          <w:szCs w:val="22"/>
        </w:rPr>
      </w:pPr>
      <w:r w:rsidRPr="00C963FE">
        <w:rPr>
          <w:b/>
          <w:szCs w:val="22"/>
        </w:rPr>
        <w:t>III.</w:t>
      </w:r>
      <w:r w:rsidRPr="00C963FE">
        <w:rPr>
          <w:szCs w:val="22"/>
        </w:rPr>
        <w:t xml:space="preserve">      Se generen versiones públicas para dar cumplimiento a las obligaciones de transparencia previstas en la Ley General, la Ley Federal y las correspondientes de las entidades federativas.</w:t>
      </w:r>
    </w:p>
    <w:p w14:paraId="594304F8" w14:textId="77777777" w:rsidR="0054058E" w:rsidRPr="00C963FE" w:rsidRDefault="0054058E" w:rsidP="006331CD">
      <w:pPr>
        <w:pStyle w:val="Puesto"/>
        <w:rPr>
          <w:szCs w:val="22"/>
        </w:rPr>
      </w:pPr>
      <w:r w:rsidRPr="00C963FE">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B227814" w14:textId="77777777" w:rsidR="0054058E" w:rsidRPr="00C963FE" w:rsidRDefault="0054058E" w:rsidP="006331CD">
      <w:pPr>
        <w:spacing w:line="240" w:lineRule="auto"/>
        <w:rPr>
          <w:szCs w:val="22"/>
        </w:rPr>
      </w:pPr>
    </w:p>
    <w:p w14:paraId="74659D3C" w14:textId="77777777" w:rsidR="0054058E" w:rsidRPr="00C963FE" w:rsidRDefault="0054058E" w:rsidP="006331CD">
      <w:pPr>
        <w:pStyle w:val="Puesto"/>
        <w:rPr>
          <w:szCs w:val="22"/>
        </w:rPr>
      </w:pPr>
      <w:r w:rsidRPr="00C963FE">
        <w:rPr>
          <w:b/>
          <w:szCs w:val="22"/>
        </w:rPr>
        <w:t>Octavo.</w:t>
      </w:r>
      <w:r w:rsidRPr="00C963FE">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4DFE4E" w14:textId="77777777" w:rsidR="0054058E" w:rsidRPr="00C963FE" w:rsidRDefault="0054058E" w:rsidP="006331CD">
      <w:pPr>
        <w:pStyle w:val="Puesto"/>
        <w:rPr>
          <w:szCs w:val="22"/>
        </w:rPr>
      </w:pPr>
      <w:r w:rsidRPr="00C963FE">
        <w:rPr>
          <w:szCs w:val="22"/>
        </w:rPr>
        <w:t>Para motivar la clasificación se deberán señalar las razones o circunstancias especiales que lo llevaron a concluir que el caso particular se ajusta al supuesto previsto por la norma legal invocada como fundamento.</w:t>
      </w:r>
    </w:p>
    <w:p w14:paraId="4021EBC0" w14:textId="77777777" w:rsidR="0054058E" w:rsidRPr="00C963FE" w:rsidRDefault="0054058E" w:rsidP="006331CD">
      <w:pPr>
        <w:pStyle w:val="Puesto"/>
        <w:rPr>
          <w:szCs w:val="22"/>
        </w:rPr>
      </w:pPr>
      <w:r w:rsidRPr="00C963FE">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05DF080" w14:textId="77777777" w:rsidR="0054058E" w:rsidRPr="00C963FE" w:rsidRDefault="0054058E" w:rsidP="006331CD">
      <w:pPr>
        <w:spacing w:line="240" w:lineRule="auto"/>
        <w:rPr>
          <w:szCs w:val="22"/>
        </w:rPr>
      </w:pPr>
    </w:p>
    <w:p w14:paraId="5EE050D7" w14:textId="77777777" w:rsidR="0054058E" w:rsidRPr="00C963FE" w:rsidRDefault="0054058E" w:rsidP="006331CD">
      <w:pPr>
        <w:pStyle w:val="Puesto"/>
        <w:rPr>
          <w:szCs w:val="22"/>
        </w:rPr>
      </w:pPr>
      <w:r w:rsidRPr="00C963FE">
        <w:rPr>
          <w:b/>
          <w:szCs w:val="22"/>
        </w:rPr>
        <w:t>Noveno.</w:t>
      </w:r>
      <w:r w:rsidRPr="00C963FE">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8A2923" w14:textId="77777777" w:rsidR="0054058E" w:rsidRPr="00C963FE" w:rsidRDefault="0054058E" w:rsidP="006331CD">
      <w:pPr>
        <w:spacing w:line="240" w:lineRule="auto"/>
        <w:rPr>
          <w:szCs w:val="22"/>
        </w:rPr>
      </w:pPr>
    </w:p>
    <w:p w14:paraId="7559062B" w14:textId="77777777" w:rsidR="0054058E" w:rsidRPr="00C963FE" w:rsidRDefault="0054058E" w:rsidP="006331CD">
      <w:pPr>
        <w:pStyle w:val="Puesto"/>
        <w:rPr>
          <w:szCs w:val="22"/>
        </w:rPr>
      </w:pPr>
      <w:r w:rsidRPr="00C963FE">
        <w:rPr>
          <w:b/>
          <w:szCs w:val="22"/>
        </w:rPr>
        <w:t>Décimo.</w:t>
      </w:r>
      <w:r w:rsidRPr="00C963FE">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963FE">
        <w:rPr>
          <w:szCs w:val="22"/>
        </w:rPr>
        <w:lastRenderedPageBreak/>
        <w:t>clasificada, en los términos de la Ley General de Archivo, Lineamientos para la Organización y Conservación de Archivos y demás normatividad aplicable.</w:t>
      </w:r>
    </w:p>
    <w:p w14:paraId="734E9362" w14:textId="77777777" w:rsidR="0054058E" w:rsidRPr="00C963FE" w:rsidRDefault="0054058E" w:rsidP="006331CD">
      <w:pPr>
        <w:pStyle w:val="Puesto"/>
        <w:rPr>
          <w:szCs w:val="22"/>
        </w:rPr>
      </w:pPr>
      <w:r w:rsidRPr="00C963FE">
        <w:rPr>
          <w:szCs w:val="22"/>
        </w:rPr>
        <w:t>En ausencia de los titulares de las áreas, la información será clasificada o desclasificada por la persona que lo supla, en términos de la normativa que rija la actuación del sujeto obligado.</w:t>
      </w:r>
    </w:p>
    <w:p w14:paraId="287908DE" w14:textId="77777777" w:rsidR="0054058E" w:rsidRPr="00C963FE" w:rsidRDefault="0054058E" w:rsidP="006331CD">
      <w:pPr>
        <w:pStyle w:val="Puesto"/>
        <w:rPr>
          <w:b/>
          <w:szCs w:val="22"/>
        </w:rPr>
      </w:pPr>
      <w:r w:rsidRPr="00C963FE">
        <w:rPr>
          <w:b/>
          <w:szCs w:val="22"/>
        </w:rPr>
        <w:t>Décimo primero.</w:t>
      </w:r>
      <w:r w:rsidRPr="00C963FE">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963FE">
        <w:rPr>
          <w:b/>
          <w:szCs w:val="22"/>
        </w:rPr>
        <w:t>”</w:t>
      </w:r>
    </w:p>
    <w:p w14:paraId="465606A3" w14:textId="77777777" w:rsidR="0054058E" w:rsidRPr="00C963FE" w:rsidRDefault="0054058E" w:rsidP="006331CD">
      <w:pPr>
        <w:spacing w:line="240" w:lineRule="auto"/>
        <w:rPr>
          <w:szCs w:val="22"/>
        </w:rPr>
      </w:pPr>
    </w:p>
    <w:p w14:paraId="5C1E378C" w14:textId="026D432B"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 xml:space="preserve">En el caso específico, dada la naturaleza de la información que se ordena, si bien tiene el carácter información pública en razón de que se trata de documentos que se encuentran en posesión del </w:t>
      </w:r>
      <w:r w:rsidR="007A7907" w:rsidRPr="00C963FE">
        <w:rPr>
          <w:rFonts w:eastAsia="Palatino Linotype" w:cs="Palatino Linotype"/>
          <w:b/>
          <w:szCs w:val="22"/>
        </w:rPr>
        <w:t>SUJETO OBLIGADO</w:t>
      </w:r>
      <w:r w:rsidRPr="00C963FE">
        <w:rPr>
          <w:rFonts w:eastAsia="Palatino Linotype" w:cs="Palatino Linotype"/>
          <w:szCs w:val="22"/>
        </w:rPr>
        <w:t>, derivado del ejercicio de sus atribuciones, tal como quedo acotado en el cuerpo de la presente Resolución, pudiera contener datos personales que de hacerse públicos afectarían su intimidad y la vida privada de sus titulares, de manera enunciativa más no limitativa, el Registro Federal de Contribuyentes, RFC, números de cuenta de particulares o servidores públicos, entre otros, y por tanto deberán clasificarse como confidenciales por tratarse precisamente de información privada, puesto que los datos personales son irrenunciables, intransferibles e indelegables y los Sujetos Obligados no deberán hacer entrega de los mismos a personas ajenas a su titular.</w:t>
      </w:r>
    </w:p>
    <w:p w14:paraId="0E45D40C"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 xml:space="preserve">Por cuanto hace al </w:t>
      </w:r>
      <w:r w:rsidRPr="00C963FE">
        <w:rPr>
          <w:rFonts w:eastAsia="Palatino Linotype" w:cs="Palatino Linotype"/>
          <w:b/>
          <w:szCs w:val="22"/>
        </w:rPr>
        <w:t>Registro Federal de Contribuyentes, RFC</w:t>
      </w:r>
      <w:r w:rsidRPr="00C963FE">
        <w:rPr>
          <w:rFonts w:eastAsia="Palatino Linotype" w:cs="Palatino Linotype"/>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7E49033"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67CC514"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Lo anterior es compartido por el entonces Instituto Nacional de Transparencia, Acceso a la Información y Protección de Datos Personales, INAI, a través del Criterio orientador 19/17, el cual es del tenor literal siguiente:</w:t>
      </w:r>
    </w:p>
    <w:p w14:paraId="7BA14DDA" w14:textId="77777777" w:rsidR="005E5CD2" w:rsidRPr="00C963FE" w:rsidRDefault="005E5CD2" w:rsidP="006331CD">
      <w:pPr>
        <w:spacing w:after="160" w:line="259" w:lineRule="auto"/>
        <w:ind w:left="851" w:right="900"/>
        <w:rPr>
          <w:rFonts w:eastAsia="Palatino Linotype" w:cs="Palatino Linotype"/>
          <w:i/>
          <w:sz w:val="21"/>
          <w:szCs w:val="21"/>
        </w:rPr>
      </w:pPr>
      <w:r w:rsidRPr="00C963FE">
        <w:rPr>
          <w:rFonts w:eastAsia="Palatino Linotype" w:cs="Palatino Linotype"/>
          <w:b/>
          <w:i/>
          <w:sz w:val="21"/>
          <w:szCs w:val="21"/>
        </w:rPr>
        <w:t xml:space="preserve"> “Registro Federal de Contribuyentes (RFC) de personas físicas</w:t>
      </w:r>
      <w:r w:rsidRPr="00C963FE">
        <w:rPr>
          <w:rFonts w:eastAsia="Palatino Linotype" w:cs="Palatino Linotype"/>
          <w:i/>
          <w:sz w:val="21"/>
          <w:szCs w:val="21"/>
        </w:rPr>
        <w:t>. El RFC es una clave de carácter fiscal, única e irrepetible, que permite identificar al titular, su edad y fecha de nacimiento, por lo que es un dato personal de carácter confidencial.”</w:t>
      </w:r>
    </w:p>
    <w:p w14:paraId="7634B03C"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E59DA5E"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 xml:space="preserve">Por otro lado, </w:t>
      </w:r>
      <w:r w:rsidRPr="00C963FE">
        <w:rPr>
          <w:rFonts w:eastAsia="Palatino Linotype" w:cs="Palatino Linotype"/>
          <w:b/>
          <w:szCs w:val="22"/>
        </w:rPr>
        <w:t>en el caso de las personas morales</w:t>
      </w:r>
      <w:r w:rsidRPr="00C963FE">
        <w:rPr>
          <w:rFonts w:eastAsia="Palatino Linotype" w:cs="Palatino Linotype"/>
          <w:szCs w:val="22"/>
        </w:rPr>
        <w:t xml:space="preserve">, </w:t>
      </w:r>
      <w:r w:rsidRPr="00C963FE">
        <w:rPr>
          <w:rFonts w:eastAsia="Palatino Linotype" w:cs="Palatino Linotype"/>
          <w:b/>
          <w:szCs w:val="22"/>
        </w:rPr>
        <w:t xml:space="preserve">tanto la Razón Social como el RFC </w:t>
      </w:r>
      <w:r w:rsidRPr="00C963FE">
        <w:rPr>
          <w:rFonts w:eastAsia="Palatino Linotype" w:cs="Palatino Linotype"/>
          <w:szCs w:val="22"/>
        </w:rPr>
        <w:t>tienen carácter de público, sin que de ninguna manera pueda clasificarse dicha información como confidencial, ya que en comparación con el Registro Federal de Contribuyentes de una persona física, el de una persona moral no revela ningún dato de índole personal, como lo es el caso de la fecha de nacimiento o edad de la persona.</w:t>
      </w:r>
    </w:p>
    <w:p w14:paraId="381B29A2"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lastRenderedPageBreak/>
        <w:t>Para ello, es importante traer a colación el Criterio orientador 08/19 emitido por el entonces Instituto Nacional de Transparencia, Acceso a la Información y Protección de Datos Personales, en el cual se establece lo siguiente:</w:t>
      </w:r>
    </w:p>
    <w:p w14:paraId="0518EB65" w14:textId="77777777" w:rsidR="005E5CD2" w:rsidRPr="00C963FE" w:rsidRDefault="005E5CD2" w:rsidP="006331CD">
      <w:pPr>
        <w:pStyle w:val="Puesto"/>
      </w:pPr>
      <w:r w:rsidRPr="00C963FE">
        <w:rPr>
          <w:rFonts w:eastAsia="Palatino Linotype"/>
        </w:rPr>
        <w:t>“</w:t>
      </w:r>
      <w:r w:rsidRPr="00C963FE">
        <w:rPr>
          <w:rFonts w:eastAsia="Palatino Linotype"/>
          <w:b/>
        </w:rPr>
        <w:t>Razón social y RFC de personas morales.</w:t>
      </w:r>
      <w:r w:rsidRPr="00C963FE">
        <w:rPr>
          <w:rFonts w:eastAsia="Palatino Linotype"/>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80B365E"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Además, que dar a conocer dicho dato no se puede utilizar para fines propios en razón de que el Registro Federal de Contribuyentes corresponde a un ente público así como a una institución bancaria y/o financiera, por lo que al no actualizar ninguna de las causales previstas en el artículo 143 de la Ley de Transparencia y Acceso a la Información Pública del Estado de México y Municipios, no resulta procedente su clasificación.</w:t>
      </w:r>
    </w:p>
    <w:p w14:paraId="51318239" w14:textId="19B2BD3C"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 xml:space="preserve">En cuanto al </w:t>
      </w:r>
      <w:r w:rsidRPr="00C963FE">
        <w:rPr>
          <w:rFonts w:eastAsia="Palatino Linotype" w:cs="Palatino Linotype"/>
          <w:b/>
          <w:szCs w:val="22"/>
        </w:rPr>
        <w:t>domicilio,</w:t>
      </w:r>
      <w:r w:rsidRPr="00C963FE">
        <w:rPr>
          <w:rFonts w:eastAsia="Palatino Linotype" w:cs="Palatino Linotype"/>
          <w:szCs w:val="22"/>
        </w:rPr>
        <w:t xml:space="preserve"> dicho dato da cuenta de lugar donde </w:t>
      </w:r>
      <w:r w:rsidR="007A7907" w:rsidRPr="00C963FE">
        <w:rPr>
          <w:rFonts w:eastAsia="Palatino Linotype" w:cs="Palatino Linotype"/>
          <w:b/>
          <w:szCs w:val="22"/>
        </w:rPr>
        <w:t>EL SUJETO OBLIGADO</w:t>
      </w:r>
      <w:r w:rsidR="007A7907" w:rsidRPr="00C963FE">
        <w:rPr>
          <w:rFonts w:eastAsia="Palatino Linotype" w:cs="Palatino Linotype"/>
          <w:szCs w:val="22"/>
        </w:rPr>
        <w:t xml:space="preserve"> </w:t>
      </w:r>
      <w:r w:rsidRPr="00C963FE">
        <w:rPr>
          <w:rFonts w:eastAsia="Palatino Linotype" w:cs="Palatino Linotype"/>
          <w:szCs w:val="22"/>
        </w:rPr>
        <w:t>realiza y ejecuta sus funciones, para cumplir sus fines; aunado a que al ser una persona moral de derecho público, no es posible clasificar como confidencial dicho dato; pues da cuenta de la ubicación exacta y del espacio física donde realiza su labor dicho ente.</w:t>
      </w:r>
    </w:p>
    <w:p w14:paraId="735DA8E2" w14:textId="77777777" w:rsidR="005E5CD2" w:rsidRPr="00C963FE" w:rsidRDefault="005E5CD2" w:rsidP="006331CD">
      <w:pPr>
        <w:spacing w:before="240" w:after="240"/>
        <w:ind w:right="50"/>
        <w:rPr>
          <w:rFonts w:eastAsia="Palatino Linotype" w:cs="Palatino Linotype"/>
          <w:szCs w:val="22"/>
        </w:rPr>
      </w:pPr>
      <w:r w:rsidRPr="00C963FE">
        <w:rPr>
          <w:rFonts w:eastAsia="Palatino Linotype" w:cs="Palatino Linotype"/>
          <w:szCs w:val="22"/>
        </w:rPr>
        <w:t xml:space="preserve">La misma naturaleza pública guarda el domicilio fiscal de las personas fiscas o morales proveedoras de bienes y/o servicios de los entes públicos, por lo que no debe ser suprimido de las facturas o estados de cuenta y contratos de cuentas bancarias y/o de cheques que vayan a ser entregados, debido a que en un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w:t>
      </w:r>
      <w:r w:rsidRPr="00C963FE">
        <w:rPr>
          <w:rFonts w:eastAsia="Palatino Linotype" w:cs="Palatino Linotype"/>
          <w:szCs w:val="22"/>
        </w:rPr>
        <w:lastRenderedPageBreak/>
        <w:t>que encuentran su origen en mayor medida en las contribuciones aportados por los gobernados, por lo que debe transparentarse su ejercicio.</w:t>
      </w:r>
    </w:p>
    <w:p w14:paraId="6B24E0AF"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De tales circunstancias, no resulta procedente la clasificación del dato en análisis, en el cas del Sujeto Obligado, en términos del artículo 143, fracción I, de la Ley de Transparencia y Acceso a la Información Pública del Estado de México y Municipios.</w:t>
      </w:r>
    </w:p>
    <w:p w14:paraId="00CC79B6"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 xml:space="preserve">Respecto de los </w:t>
      </w:r>
      <w:r w:rsidRPr="00C963FE">
        <w:rPr>
          <w:rFonts w:eastAsia="Palatino Linotype" w:cs="Palatino Linotype"/>
          <w:b/>
          <w:szCs w:val="22"/>
        </w:rPr>
        <w:t>números de cuentas bancari</w:t>
      </w:r>
      <w:r w:rsidRPr="00C963FE">
        <w:rPr>
          <w:rFonts w:eastAsia="Palatino Linotype" w:cs="Palatino Linotype"/>
          <w:szCs w:val="22"/>
        </w:rPr>
        <w:t xml:space="preserve">as, </w:t>
      </w:r>
      <w:r w:rsidRPr="00C963FE">
        <w:rPr>
          <w:rFonts w:eastAsia="Palatino Linotype" w:cs="Palatino Linotype"/>
          <w:b/>
          <w:szCs w:val="22"/>
        </w:rPr>
        <w:t>claves estandarizadas –interbancarias- (CLABES) y de tarjetas</w:t>
      </w:r>
      <w:r w:rsidRPr="00C963FE">
        <w:rPr>
          <w:rFonts w:eastAsia="Palatino Linotype" w:cs="Palatino Linotype"/>
          <w:szCs w:val="22"/>
        </w:rPr>
        <w:t>, el Pleno de este Instituto ha determinado que esa información debe clasificarse como confidencial, y elaborarse una versión pública en la que se teste la misma.</w:t>
      </w:r>
    </w:p>
    <w:p w14:paraId="3F65F064"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4C40BCA" w14:textId="77777777"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005130F" w14:textId="63B68696" w:rsidR="005E5CD2" w:rsidRPr="00C963FE" w:rsidRDefault="005E5CD2" w:rsidP="006331CD">
      <w:pPr>
        <w:spacing w:before="240" w:after="240"/>
        <w:rPr>
          <w:rFonts w:eastAsia="Palatino Linotype" w:cs="Palatino Linotype"/>
          <w:szCs w:val="22"/>
        </w:rPr>
      </w:pPr>
      <w:r w:rsidRPr="00C963FE">
        <w:rPr>
          <w:rFonts w:eastAsia="Palatino Linotype" w:cs="Palatino Linotype"/>
          <w:szCs w:val="22"/>
        </w:rPr>
        <w:t>Lo argumentado encuentra sustento en</w:t>
      </w:r>
      <w:r w:rsidR="00B46F72" w:rsidRPr="00C963FE">
        <w:rPr>
          <w:rFonts w:eastAsia="Palatino Linotype" w:cs="Palatino Linotype"/>
          <w:szCs w:val="22"/>
        </w:rPr>
        <w:t xml:space="preserve"> los Criterios orientadores con</w:t>
      </w:r>
      <w:r w:rsidRPr="00C963FE">
        <w:rPr>
          <w:rFonts w:eastAsia="Palatino Linotype" w:cs="Palatino Linotype"/>
          <w:szCs w:val="22"/>
        </w:rPr>
        <w:t xml:space="preserve"> Claves de control SO/010/2017 y SO/011/2017, emitidos por el entonces Instituto Nacional de Transparencia, Acceso a la Información y Protección de Datos Personales, INAI, que llevan por rubro y texto los siguientes:</w:t>
      </w:r>
    </w:p>
    <w:p w14:paraId="4DB8F5A6" w14:textId="77777777" w:rsidR="005E5CD2" w:rsidRPr="00C963FE" w:rsidRDefault="005E5CD2" w:rsidP="006331CD">
      <w:pPr>
        <w:pStyle w:val="Puesto"/>
        <w:rPr>
          <w:rFonts w:eastAsia="Palatino Linotype"/>
        </w:rPr>
      </w:pPr>
      <w:r w:rsidRPr="00C963FE">
        <w:rPr>
          <w:rFonts w:eastAsia="Palatino Linotype"/>
        </w:rPr>
        <w:lastRenderedPageBreak/>
        <w:t>“</w:t>
      </w:r>
      <w:r w:rsidRPr="00C963FE">
        <w:rPr>
          <w:rFonts w:eastAsia="Palatino Linotype"/>
          <w:b/>
        </w:rPr>
        <w:t>Cuentas bancarias y/o CLABE interbancaria de personas físicas y morales privadas.</w:t>
      </w:r>
      <w:r w:rsidRPr="00C963FE">
        <w:rPr>
          <w:rFonts w:eastAsia="Palatino Linotype"/>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F51B1F" w14:textId="77777777" w:rsidR="005E5CD2" w:rsidRPr="00C963FE" w:rsidRDefault="005E5CD2" w:rsidP="006331CD">
      <w:pPr>
        <w:rPr>
          <w:szCs w:val="22"/>
        </w:rPr>
      </w:pPr>
    </w:p>
    <w:p w14:paraId="6C562505" w14:textId="7CA8BF1E" w:rsidR="00B46F72" w:rsidRPr="00C963FE" w:rsidRDefault="00B46F72" w:rsidP="006331CD">
      <w:pPr>
        <w:rPr>
          <w:szCs w:val="22"/>
        </w:rPr>
      </w:pPr>
      <w:r w:rsidRPr="00C963FE">
        <w:rPr>
          <w:szCs w:val="22"/>
        </w:rPr>
        <w:t>Aunado a lo anterior, se debe hacer especial énfasis al dato personal relativo al nombre de las personas que formen parte de un Procedimiento Administrativo de Ejecución.</w:t>
      </w:r>
    </w:p>
    <w:p w14:paraId="077A19D9" w14:textId="77777777" w:rsidR="00B46F72" w:rsidRPr="00C963FE" w:rsidRDefault="00B46F72" w:rsidP="006331CD">
      <w:pPr>
        <w:rPr>
          <w:szCs w:val="22"/>
        </w:rPr>
      </w:pPr>
    </w:p>
    <w:p w14:paraId="315A809E" w14:textId="25E94A40" w:rsidR="00B46F72" w:rsidRPr="00C963FE" w:rsidRDefault="00B46F72" w:rsidP="006331CD">
      <w:pPr>
        <w:rPr>
          <w:szCs w:val="22"/>
        </w:rPr>
      </w:pPr>
      <w:r w:rsidRPr="00C963FE">
        <w:rPr>
          <w:szCs w:val="22"/>
        </w:rPr>
        <w:t>El artículo 55</w:t>
      </w:r>
      <w:r w:rsidR="004F6DFA" w:rsidRPr="00C963FE">
        <w:rPr>
          <w:szCs w:val="22"/>
        </w:rPr>
        <w:t xml:space="preserve"> del Código Financiero del Estado de México y Municipios</w:t>
      </w:r>
      <w:r w:rsidRPr="00C963FE">
        <w:rPr>
          <w:szCs w:val="22"/>
        </w:rPr>
        <w:t xml:space="preserve"> establece que</w:t>
      </w:r>
      <w:r w:rsidR="004F6DFA" w:rsidRPr="00C963FE">
        <w:rPr>
          <w:szCs w:val="22"/>
        </w:rPr>
        <w:t>,</w:t>
      </w:r>
      <w:r w:rsidRPr="00C963FE">
        <w:rPr>
          <w:szCs w:val="22"/>
        </w:rPr>
        <w:t xml:space="preserve"> las personas servidoras públicas que intervengan en </w:t>
      </w:r>
      <w:r w:rsidR="004F6DFA" w:rsidRPr="00C963FE">
        <w:rPr>
          <w:szCs w:val="22"/>
        </w:rPr>
        <w:t>trámites regulados</w:t>
      </w:r>
      <w:r w:rsidRPr="00C963FE">
        <w:rPr>
          <w:szCs w:val="22"/>
        </w:rPr>
        <w:t xml:space="preserve"> deben guardar absoluta reserva </w:t>
      </w:r>
      <w:r w:rsidR="004F6DFA" w:rsidRPr="00C963FE">
        <w:rPr>
          <w:szCs w:val="22"/>
        </w:rPr>
        <w:t>y confidencialidad respecto de l</w:t>
      </w:r>
      <w:r w:rsidRPr="00C963FE">
        <w:rPr>
          <w:szCs w:val="22"/>
        </w:rPr>
        <w:t>os datos y documentos proporcionados por</w:t>
      </w:r>
      <w:r w:rsidR="004F6DFA" w:rsidRPr="00C963FE">
        <w:rPr>
          <w:szCs w:val="22"/>
        </w:rPr>
        <w:t xml:space="preserve"> los particulares o terceros, y l</w:t>
      </w:r>
      <w:r w:rsidRPr="00C963FE">
        <w:rPr>
          <w:szCs w:val="22"/>
        </w:rPr>
        <w:t>os relativos a procedimientos administrativos y jurisdiccionales derivados de la aplicación del propio Código.</w:t>
      </w:r>
    </w:p>
    <w:p w14:paraId="7804FB65" w14:textId="77777777" w:rsidR="00B46F72" w:rsidRPr="00C963FE" w:rsidRDefault="00B46F72" w:rsidP="006331CD">
      <w:pPr>
        <w:rPr>
          <w:szCs w:val="22"/>
        </w:rPr>
      </w:pPr>
    </w:p>
    <w:p w14:paraId="722D5543" w14:textId="36F834F0" w:rsidR="00B46F72" w:rsidRPr="00C963FE" w:rsidRDefault="00B46F72" w:rsidP="006331CD">
      <w:pPr>
        <w:rPr>
          <w:szCs w:val="22"/>
        </w:rPr>
      </w:pPr>
      <w:r w:rsidRPr="00C963FE">
        <w:rPr>
          <w:szCs w:val="22"/>
        </w:rPr>
        <w:t xml:space="preserve">Esto significa que, en principio, los nombres de las personas físicas que forman parte de un procedimiento administrativo de ejecución son datos personales </w:t>
      </w:r>
      <w:r w:rsidR="004F6DFA" w:rsidRPr="00C963FE">
        <w:rPr>
          <w:szCs w:val="22"/>
        </w:rPr>
        <w:t>que</w:t>
      </w:r>
      <w:r w:rsidRPr="00C963FE">
        <w:rPr>
          <w:szCs w:val="22"/>
        </w:rPr>
        <w:t xml:space="preserve"> no deben hacerse públicos.</w:t>
      </w:r>
    </w:p>
    <w:p w14:paraId="502CEA0B" w14:textId="77777777" w:rsidR="00B46F72" w:rsidRPr="00C963FE" w:rsidRDefault="00B46F72" w:rsidP="006331CD">
      <w:pPr>
        <w:rPr>
          <w:szCs w:val="22"/>
        </w:rPr>
      </w:pPr>
    </w:p>
    <w:p w14:paraId="5609B5ED" w14:textId="6689E577" w:rsidR="00B46F72" w:rsidRPr="00C963FE" w:rsidRDefault="004F6DFA" w:rsidP="006331CD">
      <w:pPr>
        <w:rPr>
          <w:szCs w:val="22"/>
        </w:rPr>
      </w:pPr>
      <w:r w:rsidRPr="00C963FE">
        <w:rPr>
          <w:szCs w:val="22"/>
        </w:rPr>
        <w:t>No obstante, el propio ordenamiento también prevé e</w:t>
      </w:r>
      <w:r w:rsidR="00B46F72" w:rsidRPr="00C963FE">
        <w:rPr>
          <w:szCs w:val="22"/>
        </w:rPr>
        <w:t xml:space="preserve">xcepciones a la regla de </w:t>
      </w:r>
      <w:r w:rsidRPr="00C963FE">
        <w:rPr>
          <w:szCs w:val="22"/>
        </w:rPr>
        <w:t>clasificación. La fracción IV del artículo 55, destaca l</w:t>
      </w:r>
      <w:r w:rsidR="00B46F72" w:rsidRPr="00C963FE">
        <w:rPr>
          <w:szCs w:val="22"/>
        </w:rPr>
        <w:t>os créditos fiscales, que se encuentren en los siguientes supuestos:</w:t>
      </w:r>
    </w:p>
    <w:p w14:paraId="79125DA4" w14:textId="77777777" w:rsidR="007A7907" w:rsidRPr="00C963FE" w:rsidRDefault="007A7907" w:rsidP="006331CD">
      <w:pPr>
        <w:rPr>
          <w:szCs w:val="22"/>
        </w:rPr>
      </w:pPr>
    </w:p>
    <w:p w14:paraId="3698942C" w14:textId="77777777" w:rsidR="006331CD" w:rsidRPr="00C963FE" w:rsidRDefault="006331CD" w:rsidP="006331CD">
      <w:pPr>
        <w:rPr>
          <w:szCs w:val="22"/>
        </w:rPr>
      </w:pPr>
    </w:p>
    <w:p w14:paraId="4D9538A3" w14:textId="7B07F11F" w:rsidR="00B46F72" w:rsidRPr="00C963FE" w:rsidRDefault="004F6DFA" w:rsidP="006331CD">
      <w:pPr>
        <w:ind w:left="851" w:right="822"/>
        <w:rPr>
          <w:i/>
          <w:szCs w:val="22"/>
        </w:rPr>
      </w:pPr>
      <w:r w:rsidRPr="00C963FE">
        <w:rPr>
          <w:i/>
          <w:szCs w:val="22"/>
        </w:rPr>
        <w:lastRenderedPageBreak/>
        <w:t>“</w:t>
      </w:r>
      <w:r w:rsidR="00B46F72" w:rsidRPr="00C963FE">
        <w:rPr>
          <w:i/>
          <w:szCs w:val="22"/>
        </w:rPr>
        <w:t>A) Firmes;</w:t>
      </w:r>
    </w:p>
    <w:p w14:paraId="70AAA27F" w14:textId="77777777" w:rsidR="00B46F72" w:rsidRPr="00C963FE" w:rsidRDefault="00B46F72" w:rsidP="006331CD">
      <w:pPr>
        <w:ind w:left="851" w:right="822"/>
        <w:rPr>
          <w:i/>
          <w:szCs w:val="22"/>
        </w:rPr>
      </w:pPr>
      <w:r w:rsidRPr="00C963FE">
        <w:rPr>
          <w:i/>
          <w:szCs w:val="22"/>
        </w:rPr>
        <w:t>B) En controversia que no estén garantizados;</w:t>
      </w:r>
    </w:p>
    <w:p w14:paraId="5D28E7CF" w14:textId="77777777" w:rsidR="00B46F72" w:rsidRPr="00C963FE" w:rsidRDefault="00B46F72" w:rsidP="006331CD">
      <w:pPr>
        <w:ind w:left="851" w:right="822"/>
        <w:rPr>
          <w:i/>
          <w:szCs w:val="22"/>
        </w:rPr>
      </w:pPr>
      <w:r w:rsidRPr="00C963FE">
        <w:rPr>
          <w:i/>
          <w:szCs w:val="22"/>
        </w:rPr>
        <w:t>C) Que no estén pagados o cese la autorización del pago a plazos; y</w:t>
      </w:r>
    </w:p>
    <w:p w14:paraId="0551CBD7" w14:textId="77777777" w:rsidR="00B46F72" w:rsidRPr="00C963FE" w:rsidRDefault="00B46F72" w:rsidP="006331CD">
      <w:pPr>
        <w:ind w:left="851" w:right="822"/>
        <w:rPr>
          <w:i/>
          <w:szCs w:val="22"/>
        </w:rPr>
      </w:pPr>
      <w:r w:rsidRPr="00C963FE">
        <w:rPr>
          <w:i/>
          <w:szCs w:val="22"/>
        </w:rPr>
        <w:t>D) Determinados a contribuyentes no localizados.”</w:t>
      </w:r>
    </w:p>
    <w:p w14:paraId="2E05B034" w14:textId="77777777" w:rsidR="00B46F72" w:rsidRPr="00C963FE" w:rsidRDefault="00B46F72" w:rsidP="006331CD">
      <w:pPr>
        <w:rPr>
          <w:szCs w:val="22"/>
        </w:rPr>
      </w:pPr>
    </w:p>
    <w:p w14:paraId="35B877B8" w14:textId="329D8383" w:rsidR="00B46F72" w:rsidRPr="00C963FE" w:rsidRDefault="004F6DFA" w:rsidP="006331CD">
      <w:pPr>
        <w:rPr>
          <w:szCs w:val="22"/>
        </w:rPr>
      </w:pPr>
      <w:r w:rsidRPr="00C963FE">
        <w:rPr>
          <w:szCs w:val="22"/>
        </w:rPr>
        <w:t xml:space="preserve">Además, el mismo </w:t>
      </w:r>
      <w:r w:rsidR="00B46F72" w:rsidRPr="00C963FE">
        <w:rPr>
          <w:szCs w:val="22"/>
        </w:rPr>
        <w:t xml:space="preserve">artículo agrega que, en </w:t>
      </w:r>
      <w:r w:rsidRPr="00C963FE">
        <w:rPr>
          <w:szCs w:val="22"/>
        </w:rPr>
        <w:t>los supuestos referidos, l</w:t>
      </w:r>
      <w:r w:rsidR="00B46F72" w:rsidRPr="00C963FE">
        <w:rPr>
          <w:szCs w:val="22"/>
        </w:rPr>
        <w:t>a Secretaría</w:t>
      </w:r>
      <w:r w:rsidRPr="00C963FE">
        <w:rPr>
          <w:szCs w:val="22"/>
        </w:rPr>
        <w:t xml:space="preserve"> de Finanzas</w:t>
      </w:r>
      <w:r w:rsidR="00B46F72" w:rsidRPr="00C963FE">
        <w:rPr>
          <w:szCs w:val="22"/>
        </w:rPr>
        <w:t xml:space="preserve"> publicará en su página de Internet el nombre, denominación o razón social y clave del RFC o del Registro Estatal de Contribuyentes de aquéllos qu</w:t>
      </w:r>
      <w:r w:rsidRPr="00C963FE">
        <w:rPr>
          <w:szCs w:val="22"/>
        </w:rPr>
        <w:t>e se ubiquen en la fracción en cita.</w:t>
      </w:r>
    </w:p>
    <w:p w14:paraId="00D59E05" w14:textId="77777777" w:rsidR="00B46F72" w:rsidRPr="00C963FE" w:rsidRDefault="00B46F72" w:rsidP="006331CD">
      <w:pPr>
        <w:rPr>
          <w:szCs w:val="22"/>
        </w:rPr>
      </w:pPr>
    </w:p>
    <w:p w14:paraId="1E1BE6EE" w14:textId="1A002491" w:rsidR="00B46F72" w:rsidRPr="00C963FE" w:rsidRDefault="004F6DFA" w:rsidP="006331CD">
      <w:pPr>
        <w:rPr>
          <w:szCs w:val="22"/>
        </w:rPr>
      </w:pPr>
      <w:r w:rsidRPr="00C963FE">
        <w:rPr>
          <w:szCs w:val="22"/>
        </w:rPr>
        <w:t>Lo anterior implica que,</w:t>
      </w:r>
      <w:r w:rsidR="00B46F72" w:rsidRPr="00C963FE">
        <w:rPr>
          <w:szCs w:val="22"/>
        </w:rPr>
        <w:t xml:space="preserve"> la ley faculta expresamente a la autoridad fiscal a publicar el nombre de los contribuyentes (personas físicas o morales) que se encuentren en alguno de esos supuestos respecto de sus créditos fiscales.</w:t>
      </w:r>
    </w:p>
    <w:p w14:paraId="2546531E" w14:textId="77777777" w:rsidR="00B46F72" w:rsidRPr="00C963FE" w:rsidRDefault="00B46F72" w:rsidP="006331CD">
      <w:pPr>
        <w:rPr>
          <w:szCs w:val="22"/>
        </w:rPr>
      </w:pPr>
    </w:p>
    <w:p w14:paraId="15EF7D4E" w14:textId="7465D045" w:rsidR="00B46F72" w:rsidRPr="00C963FE" w:rsidRDefault="004F6DFA" w:rsidP="006331CD">
      <w:pPr>
        <w:rPr>
          <w:szCs w:val="22"/>
        </w:rPr>
      </w:pPr>
      <w:r w:rsidRPr="00C963FE">
        <w:rPr>
          <w:szCs w:val="22"/>
        </w:rPr>
        <w:t xml:space="preserve">Así, </w:t>
      </w:r>
      <w:r w:rsidR="00AF2A14" w:rsidRPr="00C963FE">
        <w:rPr>
          <w:szCs w:val="22"/>
        </w:rPr>
        <w:t xml:space="preserve">como se señaló en estudio, </w:t>
      </w:r>
      <w:r w:rsidRPr="00C963FE">
        <w:rPr>
          <w:szCs w:val="22"/>
        </w:rPr>
        <w:t xml:space="preserve">el </w:t>
      </w:r>
      <w:r w:rsidR="00B46F72" w:rsidRPr="00C963FE">
        <w:rPr>
          <w:szCs w:val="22"/>
        </w:rPr>
        <w:t>PAE se inicia para exigir el cobro de créditos fiscales firmes o determinados. Dado que el artículo 55 del Código Financiero vincula la publicidad de los nombres con la existencia de créditos fiscales en los supuestos de la fracción IV, se pueden extraer dos consecuencias:</w:t>
      </w:r>
    </w:p>
    <w:p w14:paraId="1FA6DB8A" w14:textId="77777777" w:rsidR="00B46F72" w:rsidRPr="00C963FE" w:rsidRDefault="00B46F72" w:rsidP="006331CD">
      <w:pPr>
        <w:rPr>
          <w:szCs w:val="22"/>
        </w:rPr>
      </w:pPr>
    </w:p>
    <w:p w14:paraId="5F40EFD2" w14:textId="66DCFB07" w:rsidR="00B46F72" w:rsidRPr="00C963FE" w:rsidRDefault="00B46F72" w:rsidP="006331CD">
      <w:pPr>
        <w:pStyle w:val="Prrafodelista"/>
        <w:numPr>
          <w:ilvl w:val="0"/>
          <w:numId w:val="32"/>
        </w:numPr>
        <w:rPr>
          <w:szCs w:val="22"/>
        </w:rPr>
      </w:pPr>
      <w:r w:rsidRPr="00C963FE">
        <w:rPr>
          <w:szCs w:val="22"/>
        </w:rPr>
        <w:t>Si el PAE se encuentra en ejecución porque el crédito es firme, impugnado no garantizado, impago o el contribuyente no está localizado, el nombre del contribuyente sí puede hacerse público, porque la norma lo ordena expresamente.</w:t>
      </w:r>
    </w:p>
    <w:p w14:paraId="593D33B3" w14:textId="77777777" w:rsidR="00B46F72" w:rsidRPr="00C963FE" w:rsidRDefault="00B46F72" w:rsidP="006331CD">
      <w:pPr>
        <w:rPr>
          <w:szCs w:val="22"/>
        </w:rPr>
      </w:pPr>
    </w:p>
    <w:p w14:paraId="1BF54B79" w14:textId="0C47264B" w:rsidR="00B46F72" w:rsidRPr="00C963FE" w:rsidRDefault="00B46F72" w:rsidP="006331CD">
      <w:pPr>
        <w:pStyle w:val="Prrafodelista"/>
        <w:numPr>
          <w:ilvl w:val="0"/>
          <w:numId w:val="32"/>
        </w:numPr>
        <w:rPr>
          <w:szCs w:val="22"/>
        </w:rPr>
      </w:pPr>
      <w:r w:rsidRPr="00C963FE">
        <w:rPr>
          <w:szCs w:val="22"/>
        </w:rPr>
        <w:t xml:space="preserve">En los demás casos, o cuando el contribuyente no se ubique en esos supuestos, el nombre debe reservarse, aplicando la regla general de </w:t>
      </w:r>
      <w:r w:rsidR="00AF2A14" w:rsidRPr="00C963FE">
        <w:rPr>
          <w:szCs w:val="22"/>
        </w:rPr>
        <w:t>clasificación</w:t>
      </w:r>
      <w:r w:rsidRPr="00C963FE">
        <w:rPr>
          <w:szCs w:val="22"/>
        </w:rPr>
        <w:t>.</w:t>
      </w:r>
    </w:p>
    <w:p w14:paraId="5510A732" w14:textId="70B8DCEE" w:rsidR="00B46F72" w:rsidRPr="00C963FE" w:rsidRDefault="00AF2A14" w:rsidP="006331CD">
      <w:pPr>
        <w:rPr>
          <w:szCs w:val="22"/>
        </w:rPr>
      </w:pPr>
      <w:r w:rsidRPr="00C963FE">
        <w:rPr>
          <w:szCs w:val="22"/>
        </w:rPr>
        <w:lastRenderedPageBreak/>
        <w:t>Bajo ese tenor se tiene que, por regla general,</w:t>
      </w:r>
      <w:r w:rsidR="00B46F72" w:rsidRPr="00C963FE">
        <w:rPr>
          <w:szCs w:val="22"/>
        </w:rPr>
        <w:t xml:space="preserve"> los nombres de personas en procedimientos administrativos de ejecución son datos personales confidenciales, sujetos a la protección de la Ley de Protección de Datos Personales en Posesión de Sujetos Obligados del</w:t>
      </w:r>
      <w:r w:rsidRPr="00C963FE">
        <w:rPr>
          <w:szCs w:val="22"/>
        </w:rPr>
        <w:t xml:space="preserve"> Estado de México y Municipios; salvo cuando </w:t>
      </w:r>
      <w:r w:rsidR="00B46F72" w:rsidRPr="00C963FE">
        <w:rPr>
          <w:szCs w:val="22"/>
        </w:rPr>
        <w:t>o los créditos fiscales cumplen con los supuestos de la fracción IV del artículo 55, la Secretaría está facultada a publicar el nombre, denominación o razón social y clave de RFC o REC del contribuyente, lo que incluye a personas físicas y morales.</w:t>
      </w:r>
    </w:p>
    <w:p w14:paraId="7AEAFE48" w14:textId="77777777" w:rsidR="00B46F72" w:rsidRPr="00C963FE" w:rsidRDefault="00B46F72" w:rsidP="006331CD">
      <w:pPr>
        <w:rPr>
          <w:szCs w:val="22"/>
        </w:rPr>
      </w:pPr>
    </w:p>
    <w:p w14:paraId="723E4A02" w14:textId="2429F72F" w:rsidR="00B46F72" w:rsidRPr="00C963FE" w:rsidRDefault="00B46F72" w:rsidP="006331CD">
      <w:pPr>
        <w:rPr>
          <w:szCs w:val="22"/>
        </w:rPr>
      </w:pPr>
      <w:r w:rsidRPr="00C963FE">
        <w:rPr>
          <w:szCs w:val="22"/>
        </w:rPr>
        <w:t>Por tanto, la publicidad de los nombres en un PAE no es irrestricta, sino limitada a los supuestos expresamente previstos en la norma y con posibilidad de aclaración por parte del contribuyente.</w:t>
      </w:r>
    </w:p>
    <w:p w14:paraId="3FD72CAC" w14:textId="77777777" w:rsidR="00B46F72" w:rsidRPr="00C963FE" w:rsidRDefault="00B46F72" w:rsidP="006331CD">
      <w:pPr>
        <w:rPr>
          <w:szCs w:val="22"/>
        </w:rPr>
      </w:pPr>
    </w:p>
    <w:p w14:paraId="38059387" w14:textId="36F9C1CD" w:rsidR="0054058E" w:rsidRPr="00C963FE" w:rsidRDefault="0054058E" w:rsidP="006331CD">
      <w:pPr>
        <w:rPr>
          <w:szCs w:val="22"/>
          <w:lang w:eastAsia="es-CO"/>
        </w:rPr>
      </w:pPr>
      <w:r w:rsidRPr="00C963FE">
        <w:rPr>
          <w:szCs w:val="22"/>
        </w:rPr>
        <w:t xml:space="preserve">Consecuentemente, se destaca que la versión pública que elabore </w:t>
      </w:r>
      <w:r w:rsidRPr="00C963FE">
        <w:rPr>
          <w:b/>
          <w:szCs w:val="22"/>
        </w:rPr>
        <w:t>EL SUJETO OBLIGADO</w:t>
      </w:r>
      <w:r w:rsidRPr="00C963FE">
        <w:rPr>
          <w:szCs w:val="22"/>
        </w:rPr>
        <w:t xml:space="preserve"> debe cumplir con las formalidades exigidas en la Ley, por lo que para tal efecto emitirá el </w:t>
      </w:r>
      <w:r w:rsidRPr="00C963FE">
        <w:rPr>
          <w:b/>
          <w:szCs w:val="22"/>
        </w:rPr>
        <w:t>Acuerdo del Comité de Transparencia</w:t>
      </w:r>
      <w:r w:rsidRPr="00C963FE">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963FE">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8F9719E" w14:textId="77777777" w:rsidR="0054058E" w:rsidRPr="00C963FE" w:rsidRDefault="0054058E" w:rsidP="006331CD">
      <w:pPr>
        <w:ind w:right="-93"/>
        <w:rPr>
          <w:szCs w:val="22"/>
          <w:lang w:eastAsia="es-CO"/>
        </w:rPr>
      </w:pPr>
    </w:p>
    <w:p w14:paraId="5E444A2B" w14:textId="6A22FE7D" w:rsidR="00AC28CF" w:rsidRPr="00C963FE" w:rsidRDefault="00A727F6" w:rsidP="006331CD">
      <w:pPr>
        <w:pStyle w:val="Ttulo3"/>
        <w:spacing w:line="360" w:lineRule="auto"/>
        <w:rPr>
          <w:szCs w:val="22"/>
        </w:rPr>
      </w:pPr>
      <w:bookmarkStart w:id="42" w:name="_heading=h.1pxezwc" w:colFirst="0" w:colLast="0"/>
      <w:bookmarkStart w:id="43" w:name="_Toc199840253"/>
      <w:bookmarkStart w:id="44" w:name="_Toc210805606"/>
      <w:bookmarkEnd w:id="42"/>
      <w:r w:rsidRPr="00C963FE">
        <w:rPr>
          <w:rFonts w:eastAsia="Times New Roman" w:cs="Times New Roman"/>
          <w:szCs w:val="22"/>
        </w:rPr>
        <w:lastRenderedPageBreak/>
        <w:t>e</w:t>
      </w:r>
      <w:r w:rsidR="00AC28CF" w:rsidRPr="00C963FE">
        <w:rPr>
          <w:szCs w:val="22"/>
        </w:rPr>
        <w:t>) Conclusión.</w:t>
      </w:r>
      <w:bookmarkEnd w:id="43"/>
      <w:bookmarkEnd w:id="44"/>
    </w:p>
    <w:p w14:paraId="7CDE3699" w14:textId="3F638045" w:rsidR="00AC28CF" w:rsidRPr="00C963FE" w:rsidRDefault="00AC28CF" w:rsidP="006331CD">
      <w:pPr>
        <w:widowControl w:val="0"/>
        <w:tabs>
          <w:tab w:val="left" w:pos="1701"/>
          <w:tab w:val="left" w:pos="1843"/>
        </w:tabs>
        <w:rPr>
          <w:szCs w:val="22"/>
        </w:rPr>
      </w:pPr>
      <w:r w:rsidRPr="00C963FE">
        <w:rPr>
          <w:szCs w:val="22"/>
        </w:rPr>
        <w:t xml:space="preserve">En razón de lo anteriormente expuesto, este Instituto estima que las razones o motivos de inconformidad hechos valer por </w:t>
      </w:r>
      <w:r w:rsidRPr="00C963FE">
        <w:rPr>
          <w:b/>
          <w:szCs w:val="22"/>
        </w:rPr>
        <w:t>EL RECURRENTE</w:t>
      </w:r>
      <w:r w:rsidRPr="00C963FE">
        <w:rPr>
          <w:szCs w:val="22"/>
        </w:rPr>
        <w:t xml:space="preserve"> devienen </w:t>
      </w:r>
      <w:r w:rsidRPr="00C963FE">
        <w:rPr>
          <w:b/>
          <w:szCs w:val="22"/>
        </w:rPr>
        <w:t>fundadas</w:t>
      </w:r>
      <w:r w:rsidRPr="00C963FE">
        <w:rPr>
          <w:szCs w:val="22"/>
        </w:rPr>
        <w:t xml:space="preserve">; motivo por el cual, este Órgano Garante determina </w:t>
      </w:r>
      <w:r w:rsidR="006260C4" w:rsidRPr="00C963FE">
        <w:rPr>
          <w:b/>
          <w:szCs w:val="22"/>
        </w:rPr>
        <w:t>REVOCAR</w:t>
      </w:r>
      <w:r w:rsidRPr="00C963FE">
        <w:rPr>
          <w:b/>
          <w:szCs w:val="22"/>
        </w:rPr>
        <w:t xml:space="preserve"> </w:t>
      </w:r>
      <w:r w:rsidRPr="00C963FE">
        <w:rPr>
          <w:szCs w:val="22"/>
        </w:rPr>
        <w:t xml:space="preserve">la respuesta otorgada por </w:t>
      </w:r>
      <w:r w:rsidRPr="00C963FE">
        <w:rPr>
          <w:b/>
          <w:szCs w:val="22"/>
        </w:rPr>
        <w:t xml:space="preserve">EL SUJETO OBLIGADO, </w:t>
      </w:r>
      <w:r w:rsidRPr="00C963FE">
        <w:rPr>
          <w:szCs w:val="22"/>
        </w:rPr>
        <w:t>en términos del artículo 186, fracción III de la Ley de Transparencia y Acceso a la Información Pública del Estado de México y Municipios por las razones expuestas en el presente considerando.</w:t>
      </w:r>
    </w:p>
    <w:p w14:paraId="73E189C2" w14:textId="77777777" w:rsidR="00AC28CF" w:rsidRPr="00C963FE" w:rsidRDefault="00AC28CF" w:rsidP="006331CD">
      <w:pPr>
        <w:widowControl w:val="0"/>
        <w:tabs>
          <w:tab w:val="left" w:pos="1701"/>
          <w:tab w:val="left" w:pos="1843"/>
        </w:tabs>
        <w:rPr>
          <w:szCs w:val="22"/>
        </w:rPr>
      </w:pPr>
    </w:p>
    <w:p w14:paraId="2E6ED32F" w14:textId="77777777" w:rsidR="00AC28CF" w:rsidRPr="00C963FE" w:rsidRDefault="00AC28CF" w:rsidP="006331CD">
      <w:pPr>
        <w:ind w:right="-93"/>
        <w:rPr>
          <w:szCs w:val="22"/>
        </w:rPr>
      </w:pPr>
      <w:r w:rsidRPr="00C963FE">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679305B" w14:textId="77777777" w:rsidR="006331CD" w:rsidRPr="00C963FE" w:rsidRDefault="006331CD" w:rsidP="006331CD">
      <w:pPr>
        <w:ind w:right="-93"/>
        <w:rPr>
          <w:szCs w:val="22"/>
        </w:rPr>
      </w:pPr>
    </w:p>
    <w:p w14:paraId="6CA887B7" w14:textId="77777777" w:rsidR="00AC28CF" w:rsidRPr="00C963FE" w:rsidRDefault="00AC28CF" w:rsidP="006331CD">
      <w:pPr>
        <w:rPr>
          <w:szCs w:val="22"/>
        </w:rPr>
      </w:pPr>
    </w:p>
    <w:p w14:paraId="186B68ED" w14:textId="77777777" w:rsidR="00AC28CF" w:rsidRPr="00C963FE" w:rsidRDefault="00AC28CF" w:rsidP="006331CD">
      <w:pPr>
        <w:pStyle w:val="Ttulo1"/>
        <w:rPr>
          <w:szCs w:val="22"/>
        </w:rPr>
      </w:pPr>
      <w:bookmarkStart w:id="45" w:name="_heading=h.1egqt2p" w:colFirst="0" w:colLast="0"/>
      <w:bookmarkStart w:id="46" w:name="_Toc199840254"/>
      <w:bookmarkStart w:id="47" w:name="_Toc210805607"/>
      <w:bookmarkEnd w:id="45"/>
      <w:r w:rsidRPr="00C963FE">
        <w:rPr>
          <w:szCs w:val="22"/>
        </w:rPr>
        <w:t>RESUELVE</w:t>
      </w:r>
      <w:bookmarkEnd w:id="46"/>
      <w:bookmarkEnd w:id="47"/>
    </w:p>
    <w:p w14:paraId="6BA4FFDF" w14:textId="77777777" w:rsidR="00AC28CF" w:rsidRPr="00C963FE" w:rsidRDefault="00AC28CF" w:rsidP="006331CD">
      <w:pPr>
        <w:ind w:right="113"/>
        <w:rPr>
          <w:b/>
          <w:szCs w:val="22"/>
        </w:rPr>
      </w:pPr>
    </w:p>
    <w:p w14:paraId="33F8FB8F" w14:textId="0AF5E979" w:rsidR="00AC28CF" w:rsidRPr="00C963FE" w:rsidRDefault="00AC28CF" w:rsidP="006331CD">
      <w:pPr>
        <w:widowControl w:val="0"/>
        <w:rPr>
          <w:szCs w:val="22"/>
        </w:rPr>
      </w:pPr>
      <w:r w:rsidRPr="00C963FE">
        <w:rPr>
          <w:b/>
          <w:szCs w:val="22"/>
        </w:rPr>
        <w:t>PRIMERO.</w:t>
      </w:r>
      <w:r w:rsidRPr="00C963FE">
        <w:rPr>
          <w:szCs w:val="22"/>
        </w:rPr>
        <w:t xml:space="preserve"> Se </w:t>
      </w:r>
      <w:r w:rsidR="006260C4" w:rsidRPr="00C963FE">
        <w:rPr>
          <w:b/>
          <w:szCs w:val="22"/>
        </w:rPr>
        <w:t>REVOCA</w:t>
      </w:r>
      <w:r w:rsidRPr="00C963FE">
        <w:rPr>
          <w:szCs w:val="22"/>
        </w:rPr>
        <w:t xml:space="preserve"> la respuesta entregada por el </w:t>
      </w:r>
      <w:r w:rsidRPr="00C963FE">
        <w:rPr>
          <w:b/>
          <w:szCs w:val="22"/>
        </w:rPr>
        <w:t>SUJETO OBLIGADO</w:t>
      </w:r>
      <w:r w:rsidRPr="00C963FE">
        <w:rPr>
          <w:szCs w:val="22"/>
        </w:rPr>
        <w:t xml:space="preserve"> en la solicitud de información </w:t>
      </w:r>
      <w:r w:rsidR="00A34406" w:rsidRPr="00C963FE">
        <w:rPr>
          <w:b/>
          <w:szCs w:val="22"/>
        </w:rPr>
        <w:t>00012/OASMETEPEC/IP/2025</w:t>
      </w:r>
      <w:r w:rsidRPr="00C963FE">
        <w:rPr>
          <w:szCs w:val="22"/>
        </w:rPr>
        <w:t xml:space="preserve">, por resultar </w:t>
      </w:r>
      <w:r w:rsidRPr="00C963FE">
        <w:rPr>
          <w:b/>
          <w:szCs w:val="22"/>
        </w:rPr>
        <w:t>FUNDADAS</w:t>
      </w:r>
      <w:r w:rsidRPr="00C963FE">
        <w:rPr>
          <w:szCs w:val="22"/>
        </w:rPr>
        <w:t xml:space="preserve"> las razones o motivos de inconformidad hechos valer por </w:t>
      </w:r>
      <w:r w:rsidRPr="00C963FE">
        <w:rPr>
          <w:b/>
          <w:szCs w:val="22"/>
        </w:rPr>
        <w:t>LA PARTE RECURRENTE</w:t>
      </w:r>
      <w:r w:rsidRPr="00C963FE">
        <w:rPr>
          <w:szCs w:val="22"/>
        </w:rPr>
        <w:t xml:space="preserve"> en el Recurso de Revisión </w:t>
      </w:r>
      <w:r w:rsidRPr="00C963FE">
        <w:rPr>
          <w:b/>
          <w:szCs w:val="22"/>
        </w:rPr>
        <w:t>0</w:t>
      </w:r>
      <w:r w:rsidR="00A34406" w:rsidRPr="00C963FE">
        <w:rPr>
          <w:b/>
          <w:szCs w:val="22"/>
        </w:rPr>
        <w:t>3137</w:t>
      </w:r>
      <w:r w:rsidRPr="00C963FE">
        <w:rPr>
          <w:b/>
          <w:szCs w:val="22"/>
        </w:rPr>
        <w:t xml:space="preserve">/INFOEM/IP/RR/2025 </w:t>
      </w:r>
      <w:r w:rsidRPr="00C963FE">
        <w:rPr>
          <w:szCs w:val="22"/>
        </w:rPr>
        <w:t xml:space="preserve">en términos del considerando </w:t>
      </w:r>
      <w:r w:rsidRPr="00C963FE">
        <w:rPr>
          <w:b/>
          <w:szCs w:val="22"/>
        </w:rPr>
        <w:t>SEGUNDO</w:t>
      </w:r>
      <w:r w:rsidRPr="00C963FE">
        <w:rPr>
          <w:szCs w:val="22"/>
        </w:rPr>
        <w:t xml:space="preserve"> de la presente Resolución.</w:t>
      </w:r>
    </w:p>
    <w:p w14:paraId="71D76600" w14:textId="77777777" w:rsidR="00AC28CF" w:rsidRPr="00C963FE" w:rsidRDefault="00AC28CF" w:rsidP="006331CD">
      <w:pPr>
        <w:widowControl w:val="0"/>
        <w:rPr>
          <w:szCs w:val="22"/>
        </w:rPr>
      </w:pPr>
    </w:p>
    <w:p w14:paraId="6F711205" w14:textId="4AD07EA9" w:rsidR="00AC28CF" w:rsidRPr="00C963FE" w:rsidRDefault="00AC28CF" w:rsidP="006331CD">
      <w:pPr>
        <w:ind w:right="-93"/>
        <w:rPr>
          <w:szCs w:val="22"/>
        </w:rPr>
      </w:pPr>
      <w:r w:rsidRPr="00C963FE">
        <w:rPr>
          <w:b/>
          <w:szCs w:val="22"/>
        </w:rPr>
        <w:lastRenderedPageBreak/>
        <w:t>SEGUNDO.</w:t>
      </w:r>
      <w:r w:rsidRPr="00C963FE">
        <w:rPr>
          <w:szCs w:val="22"/>
        </w:rPr>
        <w:t xml:space="preserve"> Se </w:t>
      </w:r>
      <w:r w:rsidRPr="00C963FE">
        <w:rPr>
          <w:b/>
          <w:szCs w:val="22"/>
        </w:rPr>
        <w:t xml:space="preserve">ORDENA </w:t>
      </w:r>
      <w:r w:rsidRPr="00C963FE">
        <w:rPr>
          <w:szCs w:val="22"/>
        </w:rPr>
        <w:t xml:space="preserve">al </w:t>
      </w:r>
      <w:r w:rsidRPr="00C963FE">
        <w:rPr>
          <w:b/>
          <w:szCs w:val="22"/>
        </w:rPr>
        <w:t>SUJETO OBLIGADO</w:t>
      </w:r>
      <w:r w:rsidRPr="00C963FE">
        <w:rPr>
          <w:szCs w:val="22"/>
        </w:rPr>
        <w:t xml:space="preserve">, a efecto de que, entregue a través del </w:t>
      </w:r>
      <w:r w:rsidRPr="00C963FE">
        <w:rPr>
          <w:b/>
          <w:szCs w:val="22"/>
        </w:rPr>
        <w:t xml:space="preserve">SAIMEX, </w:t>
      </w:r>
      <w:r w:rsidR="007A7907" w:rsidRPr="00C963FE">
        <w:rPr>
          <w:szCs w:val="22"/>
        </w:rPr>
        <w:t xml:space="preserve">de ser procedente en </w:t>
      </w:r>
      <w:r w:rsidR="007A7907" w:rsidRPr="00C963FE">
        <w:rPr>
          <w:b/>
          <w:szCs w:val="22"/>
        </w:rPr>
        <w:t xml:space="preserve">versión pública </w:t>
      </w:r>
      <w:r w:rsidRPr="00C963FE">
        <w:rPr>
          <w:szCs w:val="22"/>
        </w:rPr>
        <w:t>lo siguiente:</w:t>
      </w:r>
    </w:p>
    <w:p w14:paraId="4240DAC4" w14:textId="77777777" w:rsidR="006331CD" w:rsidRPr="00C963FE" w:rsidRDefault="006331CD" w:rsidP="006331CD">
      <w:pPr>
        <w:ind w:right="-93"/>
        <w:rPr>
          <w:szCs w:val="22"/>
        </w:rPr>
      </w:pPr>
    </w:p>
    <w:p w14:paraId="001AD09D" w14:textId="1EC68D13" w:rsidR="00AC28CF" w:rsidRPr="00C963FE" w:rsidRDefault="00A34406" w:rsidP="006331CD">
      <w:pPr>
        <w:pStyle w:val="Puesto"/>
        <w:spacing w:line="276" w:lineRule="auto"/>
        <w:rPr>
          <w:rFonts w:eastAsia="Palatino Linotype"/>
          <w:b/>
        </w:rPr>
      </w:pPr>
      <w:r w:rsidRPr="00C963FE">
        <w:rPr>
          <w:rFonts w:eastAsia="Palatino Linotype"/>
          <w:b/>
          <w:lang w:val="es-ES"/>
        </w:rPr>
        <w:t xml:space="preserve">Los </w:t>
      </w:r>
      <w:r w:rsidRPr="00C963FE">
        <w:rPr>
          <w:rFonts w:eastAsia="Palatino Linotype"/>
          <w:b/>
        </w:rPr>
        <w:t xml:space="preserve">Expedientes de los Procedimientos Administrativos de Ejecución del </w:t>
      </w:r>
      <w:r w:rsidR="007A7907" w:rsidRPr="00C963FE">
        <w:rPr>
          <w:rFonts w:eastAsia="Palatino Linotype"/>
          <w:b/>
        </w:rPr>
        <w:t xml:space="preserve">01 de enero de </w:t>
      </w:r>
      <w:r w:rsidRPr="00C963FE">
        <w:rPr>
          <w:rFonts w:eastAsia="Palatino Linotype"/>
          <w:b/>
        </w:rPr>
        <w:t xml:space="preserve">2018 al </w:t>
      </w:r>
      <w:r w:rsidR="007A7907" w:rsidRPr="00C963FE">
        <w:rPr>
          <w:rFonts w:eastAsia="Palatino Linotype"/>
          <w:b/>
        </w:rPr>
        <w:t>19</w:t>
      </w:r>
      <w:r w:rsidRPr="00C963FE">
        <w:rPr>
          <w:rFonts w:eastAsia="Palatino Linotype"/>
          <w:b/>
        </w:rPr>
        <w:t xml:space="preserve"> de febrero de </w:t>
      </w:r>
      <w:r w:rsidR="007A7907" w:rsidRPr="00C963FE">
        <w:rPr>
          <w:rFonts w:eastAsia="Palatino Linotype"/>
          <w:b/>
        </w:rPr>
        <w:t>2025</w:t>
      </w:r>
      <w:r w:rsidRPr="00C963FE">
        <w:rPr>
          <w:rFonts w:eastAsia="Palatino Linotype"/>
          <w:b/>
        </w:rPr>
        <w:t>.</w:t>
      </w:r>
    </w:p>
    <w:p w14:paraId="31CE1175" w14:textId="77777777" w:rsidR="00A34406" w:rsidRPr="00C963FE" w:rsidRDefault="00A34406" w:rsidP="006331CD">
      <w:pPr>
        <w:pStyle w:val="Puesto"/>
        <w:spacing w:line="276" w:lineRule="auto"/>
        <w:rPr>
          <w:rFonts w:eastAsia="Palatino Linotype"/>
          <w:b/>
        </w:rPr>
      </w:pPr>
    </w:p>
    <w:p w14:paraId="1FC1C545" w14:textId="77777777" w:rsidR="00AC28CF" w:rsidRPr="00C963FE" w:rsidRDefault="00AC28CF" w:rsidP="006331CD">
      <w:pPr>
        <w:ind w:right="-93"/>
        <w:rPr>
          <w:szCs w:val="22"/>
        </w:rPr>
      </w:pPr>
      <w:r w:rsidRPr="00C963FE">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7B99E50" w14:textId="77777777" w:rsidR="00AC28CF" w:rsidRPr="00C963FE" w:rsidRDefault="00AC28CF" w:rsidP="006331CD">
      <w:pPr>
        <w:ind w:right="-28"/>
        <w:rPr>
          <w:szCs w:val="22"/>
        </w:rPr>
      </w:pPr>
    </w:p>
    <w:p w14:paraId="56FB5EC5" w14:textId="77777777" w:rsidR="00AC28CF" w:rsidRPr="00C963FE" w:rsidRDefault="00AC28CF" w:rsidP="006331CD">
      <w:pPr>
        <w:rPr>
          <w:szCs w:val="22"/>
        </w:rPr>
      </w:pPr>
      <w:r w:rsidRPr="00C963FE">
        <w:rPr>
          <w:b/>
          <w:szCs w:val="22"/>
        </w:rPr>
        <w:t>TERCERO.</w:t>
      </w:r>
      <w:r w:rsidRPr="00C963FE">
        <w:rPr>
          <w:szCs w:val="22"/>
        </w:rPr>
        <w:t xml:space="preserve"> </w:t>
      </w:r>
      <w:r w:rsidRPr="00C963FE">
        <w:rPr>
          <w:b/>
          <w:szCs w:val="22"/>
        </w:rPr>
        <w:t xml:space="preserve">Notifíquese </w:t>
      </w:r>
      <w:r w:rsidRPr="00C963FE">
        <w:rPr>
          <w:szCs w:val="22"/>
        </w:rPr>
        <w:t>vía Sistema de Acceso a la Información Mexiquense (</w:t>
      </w:r>
      <w:r w:rsidRPr="00C963FE">
        <w:rPr>
          <w:b/>
          <w:szCs w:val="22"/>
        </w:rPr>
        <w:t>SAIMEX)</w:t>
      </w:r>
      <w:r w:rsidRPr="00C963FE">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6F8123" w14:textId="77777777" w:rsidR="00AC28CF" w:rsidRPr="00C963FE" w:rsidRDefault="00AC28CF" w:rsidP="006331CD">
      <w:pPr>
        <w:rPr>
          <w:szCs w:val="22"/>
        </w:rPr>
      </w:pPr>
    </w:p>
    <w:p w14:paraId="44B9DFD3" w14:textId="77777777" w:rsidR="00AC28CF" w:rsidRPr="00C963FE" w:rsidRDefault="00AC28CF" w:rsidP="006331CD">
      <w:pPr>
        <w:rPr>
          <w:b/>
          <w:szCs w:val="22"/>
        </w:rPr>
      </w:pPr>
      <w:r w:rsidRPr="00C963FE">
        <w:rPr>
          <w:b/>
          <w:szCs w:val="22"/>
        </w:rPr>
        <w:t>CUARTO.</w:t>
      </w:r>
      <w:r w:rsidRPr="00C963FE">
        <w:rPr>
          <w:szCs w:val="22"/>
        </w:rPr>
        <w:t xml:space="preserve"> Notifíquese a </w:t>
      </w:r>
      <w:r w:rsidRPr="00C963FE">
        <w:rPr>
          <w:b/>
          <w:szCs w:val="22"/>
        </w:rPr>
        <w:t>LA PARTE RECURRENTE</w:t>
      </w:r>
      <w:r w:rsidRPr="00C963FE">
        <w:rPr>
          <w:szCs w:val="22"/>
        </w:rPr>
        <w:t xml:space="preserve"> la presente resolución vía Sistema de Acceso a la Información Mexiquense </w:t>
      </w:r>
      <w:r w:rsidRPr="00C963FE">
        <w:rPr>
          <w:b/>
          <w:szCs w:val="22"/>
        </w:rPr>
        <w:t>(SAIMEX).</w:t>
      </w:r>
    </w:p>
    <w:p w14:paraId="29CC7FC4" w14:textId="77777777" w:rsidR="00AC28CF" w:rsidRPr="00C963FE" w:rsidRDefault="00AC28CF" w:rsidP="006331CD">
      <w:pPr>
        <w:rPr>
          <w:szCs w:val="22"/>
        </w:rPr>
      </w:pPr>
    </w:p>
    <w:p w14:paraId="254E3B13" w14:textId="77777777" w:rsidR="00AC28CF" w:rsidRPr="00C963FE" w:rsidRDefault="00AC28CF" w:rsidP="006331CD">
      <w:pPr>
        <w:rPr>
          <w:szCs w:val="22"/>
        </w:rPr>
      </w:pPr>
      <w:r w:rsidRPr="00C963FE">
        <w:rPr>
          <w:b/>
          <w:szCs w:val="22"/>
        </w:rPr>
        <w:lastRenderedPageBreak/>
        <w:t>QUINTO</w:t>
      </w:r>
      <w:r w:rsidRPr="00C963FE">
        <w:rPr>
          <w:szCs w:val="22"/>
        </w:rPr>
        <w:t xml:space="preserve">. Hágase del conocimiento a </w:t>
      </w:r>
      <w:r w:rsidRPr="00C963FE">
        <w:rPr>
          <w:b/>
          <w:szCs w:val="22"/>
        </w:rPr>
        <w:t>LA PARTE RECURRENTE</w:t>
      </w:r>
      <w:r w:rsidRPr="00C963FE">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53D1C92" w14:textId="77777777" w:rsidR="00AC28CF" w:rsidRPr="00C963FE" w:rsidRDefault="00AC28CF" w:rsidP="006331CD">
      <w:pPr>
        <w:rPr>
          <w:szCs w:val="22"/>
        </w:rPr>
      </w:pPr>
    </w:p>
    <w:p w14:paraId="547DF09E" w14:textId="77777777" w:rsidR="00AC28CF" w:rsidRPr="00C963FE" w:rsidRDefault="00AC28CF" w:rsidP="006331CD">
      <w:pPr>
        <w:rPr>
          <w:szCs w:val="22"/>
        </w:rPr>
      </w:pPr>
      <w:r w:rsidRPr="00C963FE">
        <w:rPr>
          <w:b/>
          <w:szCs w:val="22"/>
        </w:rPr>
        <w:t>SEXTO.</w:t>
      </w:r>
      <w:r w:rsidRPr="00C963FE">
        <w:rPr>
          <w:szCs w:val="22"/>
        </w:rPr>
        <w:t xml:space="preserve"> De conformidad con el artículo 198 de la Ley de Transparencia y Acceso a la Información Pública del Estado de México y Municipios, el </w:t>
      </w:r>
      <w:r w:rsidRPr="00C963FE">
        <w:rPr>
          <w:b/>
          <w:szCs w:val="22"/>
        </w:rPr>
        <w:t>SUJETO OBLIGADO</w:t>
      </w:r>
      <w:r w:rsidRPr="00C963FE">
        <w:rPr>
          <w:szCs w:val="22"/>
        </w:rPr>
        <w:t xml:space="preserve"> podrá solicitar una ampliación de plazo de manera fundada y motivada, para el cumplimiento de la presente resolución.</w:t>
      </w:r>
    </w:p>
    <w:p w14:paraId="308AF750" w14:textId="77777777" w:rsidR="00D54A4D" w:rsidRPr="00C963FE" w:rsidRDefault="00D54A4D" w:rsidP="006331CD"/>
    <w:p w14:paraId="1A72E196" w14:textId="59B79637" w:rsidR="00230690" w:rsidRPr="00C963FE" w:rsidRDefault="00230690" w:rsidP="00230690">
      <w:pPr>
        <w:spacing w:before="240"/>
      </w:pPr>
      <w:r w:rsidRPr="00C963FE">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C963FE" w:rsidRPr="00C963FE">
        <w:t>EN LA TRIGÉSIMA SEXTA SESIÓN ORDINARIA, CELEBRADA EL OCHO DE OCTUBRE DE DOS MIL VEINTICINCO, ANTE LA COORDINADORA DE PROYECTOS CATALINA CAMARILLO ROSAS, EN SUPLENCIA DEL SECRETARIO TÉCNICO DEL PLENO ALEXIS TAPIA RAMÍREZ</w:t>
      </w:r>
      <w:r w:rsidRPr="00C963FE">
        <w:t>.</w:t>
      </w:r>
    </w:p>
    <w:p w14:paraId="1D066F6B" w14:textId="77777777" w:rsidR="00DE3530" w:rsidRPr="006331CD" w:rsidRDefault="00F77CE8" w:rsidP="006331CD">
      <w:pPr>
        <w:tabs>
          <w:tab w:val="left" w:pos="2325"/>
        </w:tabs>
        <w:rPr>
          <w:sz w:val="20"/>
          <w:szCs w:val="10"/>
        </w:rPr>
      </w:pPr>
      <w:r w:rsidRPr="00C963FE">
        <w:rPr>
          <w:sz w:val="20"/>
          <w:szCs w:val="10"/>
        </w:rPr>
        <w:t>SCMM/AGZ/DEMF/DLM</w:t>
      </w:r>
    </w:p>
    <w:p w14:paraId="1AED1738" w14:textId="77777777" w:rsidR="00DE3530" w:rsidRPr="006331CD" w:rsidRDefault="00DE3530" w:rsidP="006331CD">
      <w:pPr>
        <w:ind w:right="-93"/>
      </w:pPr>
    </w:p>
    <w:p w14:paraId="14A06D6D" w14:textId="77777777" w:rsidR="00DE3530" w:rsidRPr="006331CD" w:rsidRDefault="00DE3530" w:rsidP="006331CD">
      <w:pPr>
        <w:ind w:right="-93"/>
      </w:pPr>
    </w:p>
    <w:p w14:paraId="6992BD45" w14:textId="77777777" w:rsidR="00DE3530" w:rsidRPr="006331CD" w:rsidRDefault="00DE3530" w:rsidP="006331CD">
      <w:pPr>
        <w:ind w:right="-93"/>
      </w:pPr>
    </w:p>
    <w:p w14:paraId="3D73F5A1" w14:textId="77777777" w:rsidR="00DE3530" w:rsidRPr="006331CD" w:rsidRDefault="00DE3530" w:rsidP="006331CD">
      <w:pPr>
        <w:ind w:right="-93"/>
      </w:pPr>
    </w:p>
    <w:p w14:paraId="24A2FB1B" w14:textId="77777777" w:rsidR="00DE3530" w:rsidRPr="006331CD" w:rsidRDefault="00DE3530" w:rsidP="006331CD">
      <w:pPr>
        <w:ind w:right="-93"/>
      </w:pPr>
    </w:p>
    <w:p w14:paraId="1B87F794" w14:textId="77777777" w:rsidR="00DE3530" w:rsidRPr="006331CD" w:rsidRDefault="00DE3530" w:rsidP="006331CD">
      <w:pPr>
        <w:ind w:right="-93"/>
      </w:pPr>
    </w:p>
    <w:p w14:paraId="4A31A828" w14:textId="77777777" w:rsidR="00DE3530" w:rsidRPr="006331CD" w:rsidRDefault="00DE3530" w:rsidP="006331CD">
      <w:pPr>
        <w:ind w:right="-93"/>
      </w:pPr>
    </w:p>
    <w:p w14:paraId="6E0CD3A1" w14:textId="77777777" w:rsidR="00DE3530" w:rsidRPr="006331CD" w:rsidRDefault="00DE3530" w:rsidP="006331CD">
      <w:pPr>
        <w:ind w:right="-93"/>
      </w:pPr>
    </w:p>
    <w:p w14:paraId="7D1FC42A" w14:textId="77777777" w:rsidR="00DE3530" w:rsidRPr="006331CD" w:rsidRDefault="00DE3530" w:rsidP="006331CD">
      <w:pPr>
        <w:tabs>
          <w:tab w:val="center" w:pos="4568"/>
        </w:tabs>
        <w:ind w:right="-93"/>
      </w:pPr>
    </w:p>
    <w:p w14:paraId="46B5890D" w14:textId="77777777" w:rsidR="00DE3530" w:rsidRPr="006331CD" w:rsidRDefault="00DE3530" w:rsidP="006331CD">
      <w:pPr>
        <w:tabs>
          <w:tab w:val="center" w:pos="4568"/>
        </w:tabs>
        <w:ind w:right="-93"/>
      </w:pPr>
    </w:p>
    <w:p w14:paraId="3D579310" w14:textId="77777777" w:rsidR="00DE3530" w:rsidRPr="006331CD" w:rsidRDefault="00DE3530" w:rsidP="006331CD">
      <w:pPr>
        <w:tabs>
          <w:tab w:val="center" w:pos="4568"/>
        </w:tabs>
        <w:ind w:right="-93"/>
      </w:pPr>
    </w:p>
    <w:p w14:paraId="63B19065" w14:textId="77777777" w:rsidR="00DE3530" w:rsidRPr="006331CD" w:rsidRDefault="00DE3530" w:rsidP="006331CD">
      <w:pPr>
        <w:tabs>
          <w:tab w:val="center" w:pos="4568"/>
        </w:tabs>
        <w:ind w:right="-93"/>
      </w:pPr>
    </w:p>
    <w:p w14:paraId="2DFD6CC0" w14:textId="77777777" w:rsidR="00DE3530" w:rsidRPr="006331CD" w:rsidRDefault="00DE3530" w:rsidP="006331CD">
      <w:pPr>
        <w:tabs>
          <w:tab w:val="center" w:pos="4568"/>
        </w:tabs>
        <w:ind w:right="-93"/>
      </w:pPr>
    </w:p>
    <w:p w14:paraId="6E41D777" w14:textId="77777777" w:rsidR="00DE3530" w:rsidRPr="006331CD" w:rsidRDefault="00DE3530" w:rsidP="006331CD">
      <w:pPr>
        <w:tabs>
          <w:tab w:val="center" w:pos="4568"/>
        </w:tabs>
        <w:ind w:right="-93"/>
      </w:pPr>
    </w:p>
    <w:p w14:paraId="6EF3E8A3" w14:textId="77777777" w:rsidR="00DE3530" w:rsidRPr="006331CD" w:rsidRDefault="00DE3530" w:rsidP="006331CD">
      <w:pPr>
        <w:tabs>
          <w:tab w:val="center" w:pos="4568"/>
        </w:tabs>
        <w:ind w:right="-93"/>
      </w:pPr>
    </w:p>
    <w:p w14:paraId="1E30B186" w14:textId="77777777" w:rsidR="00DE3530" w:rsidRPr="006331CD" w:rsidRDefault="00DE3530" w:rsidP="006331CD">
      <w:pPr>
        <w:tabs>
          <w:tab w:val="center" w:pos="4568"/>
        </w:tabs>
        <w:ind w:right="-93"/>
      </w:pPr>
    </w:p>
    <w:p w14:paraId="4D172258" w14:textId="77777777" w:rsidR="00DE3530" w:rsidRPr="006331CD" w:rsidRDefault="00DE3530" w:rsidP="006331CD">
      <w:pPr>
        <w:tabs>
          <w:tab w:val="center" w:pos="4568"/>
        </w:tabs>
        <w:ind w:right="-93"/>
      </w:pPr>
    </w:p>
    <w:p w14:paraId="0B8D5A72" w14:textId="77777777" w:rsidR="00DE3530" w:rsidRPr="006331CD" w:rsidRDefault="00DE3530" w:rsidP="006331CD">
      <w:pPr>
        <w:tabs>
          <w:tab w:val="center" w:pos="4568"/>
        </w:tabs>
        <w:ind w:right="-93"/>
      </w:pPr>
    </w:p>
    <w:p w14:paraId="48D37E09" w14:textId="77777777" w:rsidR="00DE3530" w:rsidRPr="006331CD" w:rsidRDefault="00DE3530" w:rsidP="006331CD">
      <w:pPr>
        <w:tabs>
          <w:tab w:val="center" w:pos="4568"/>
        </w:tabs>
        <w:ind w:right="-93"/>
      </w:pPr>
    </w:p>
    <w:p w14:paraId="74970911" w14:textId="77777777" w:rsidR="00DE3530" w:rsidRPr="006331CD" w:rsidRDefault="00DE3530" w:rsidP="006331CD">
      <w:pPr>
        <w:tabs>
          <w:tab w:val="center" w:pos="4568"/>
        </w:tabs>
        <w:ind w:right="-93"/>
      </w:pPr>
    </w:p>
    <w:p w14:paraId="6143BD4C" w14:textId="77777777" w:rsidR="00DE3530" w:rsidRPr="006331CD" w:rsidRDefault="00DE3530" w:rsidP="006331CD">
      <w:pPr>
        <w:tabs>
          <w:tab w:val="center" w:pos="4568"/>
        </w:tabs>
        <w:ind w:right="-93"/>
      </w:pPr>
    </w:p>
    <w:p w14:paraId="7EC1EAA4" w14:textId="77777777" w:rsidR="00DE3530" w:rsidRPr="006331CD" w:rsidRDefault="00DE3530" w:rsidP="006331CD">
      <w:pPr>
        <w:tabs>
          <w:tab w:val="center" w:pos="4568"/>
        </w:tabs>
        <w:ind w:right="-93"/>
      </w:pPr>
    </w:p>
    <w:p w14:paraId="70539434" w14:textId="77777777" w:rsidR="00DE3530" w:rsidRPr="006331CD" w:rsidRDefault="00DE3530" w:rsidP="006331CD">
      <w:pPr>
        <w:tabs>
          <w:tab w:val="center" w:pos="4568"/>
        </w:tabs>
        <w:ind w:right="-93"/>
      </w:pPr>
    </w:p>
    <w:p w14:paraId="51698E31" w14:textId="77777777" w:rsidR="00DE3530" w:rsidRPr="006331CD" w:rsidRDefault="00DE3530" w:rsidP="006331CD">
      <w:pPr>
        <w:tabs>
          <w:tab w:val="center" w:pos="4568"/>
        </w:tabs>
        <w:ind w:right="-93"/>
      </w:pPr>
    </w:p>
    <w:p w14:paraId="5980DF04" w14:textId="77777777" w:rsidR="00DE3530" w:rsidRPr="006331CD" w:rsidRDefault="00DE3530" w:rsidP="006331CD"/>
    <w:sectPr w:rsidR="00DE3530" w:rsidRPr="006331CD">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9BB92" w14:textId="77777777" w:rsidR="006F38A9" w:rsidRDefault="006F38A9">
      <w:pPr>
        <w:spacing w:line="240" w:lineRule="auto"/>
      </w:pPr>
      <w:r>
        <w:separator/>
      </w:r>
    </w:p>
  </w:endnote>
  <w:endnote w:type="continuationSeparator" w:id="0">
    <w:p w14:paraId="135688DA" w14:textId="77777777" w:rsidR="006F38A9" w:rsidRDefault="006F3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5E5CD2" w:rsidRDefault="005E5CD2">
    <w:pPr>
      <w:tabs>
        <w:tab w:val="center" w:pos="4550"/>
        <w:tab w:val="left" w:pos="5818"/>
      </w:tabs>
      <w:ind w:right="260"/>
      <w:jc w:val="right"/>
      <w:rPr>
        <w:color w:val="071320"/>
        <w:sz w:val="24"/>
        <w:szCs w:val="24"/>
      </w:rPr>
    </w:pPr>
  </w:p>
  <w:p w14:paraId="5A45B64F" w14:textId="77777777" w:rsidR="005E5CD2" w:rsidRDefault="005E5C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7777777" w:rsidR="005E5CD2" w:rsidRDefault="005E5CD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90F21">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90F21">
      <w:rPr>
        <w:noProof/>
        <w:color w:val="0A1D30"/>
        <w:sz w:val="24"/>
        <w:szCs w:val="24"/>
      </w:rPr>
      <w:t>39</w:t>
    </w:r>
    <w:r>
      <w:rPr>
        <w:color w:val="0A1D30"/>
        <w:sz w:val="24"/>
        <w:szCs w:val="24"/>
      </w:rPr>
      <w:fldChar w:fldCharType="end"/>
    </w:r>
  </w:p>
  <w:p w14:paraId="13614EB7" w14:textId="77777777" w:rsidR="005E5CD2" w:rsidRDefault="005E5C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7A407" w14:textId="77777777" w:rsidR="006F38A9" w:rsidRDefault="006F38A9">
      <w:pPr>
        <w:spacing w:line="240" w:lineRule="auto"/>
      </w:pPr>
      <w:r>
        <w:separator/>
      </w:r>
    </w:p>
  </w:footnote>
  <w:footnote w:type="continuationSeparator" w:id="0">
    <w:p w14:paraId="6CD8A2A5" w14:textId="77777777" w:rsidR="006F38A9" w:rsidRDefault="006F38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5E5CD2" w:rsidRDefault="005E5CD2">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E5CD2" w14:paraId="7278BBCC" w14:textId="77777777">
      <w:trPr>
        <w:trHeight w:val="144"/>
        <w:jc w:val="right"/>
      </w:trPr>
      <w:tc>
        <w:tcPr>
          <w:tcW w:w="2727" w:type="dxa"/>
        </w:tcPr>
        <w:p w14:paraId="34272F4A" w14:textId="77777777" w:rsidR="005E5CD2" w:rsidRDefault="005E5CD2">
          <w:pPr>
            <w:tabs>
              <w:tab w:val="right" w:pos="8838"/>
            </w:tabs>
            <w:ind w:left="-74" w:right="-105"/>
            <w:rPr>
              <w:b/>
            </w:rPr>
          </w:pPr>
          <w:r>
            <w:rPr>
              <w:b/>
            </w:rPr>
            <w:t>Recurso de Revisión:</w:t>
          </w:r>
        </w:p>
      </w:tc>
      <w:tc>
        <w:tcPr>
          <w:tcW w:w="3402" w:type="dxa"/>
        </w:tcPr>
        <w:p w14:paraId="5E4E073E" w14:textId="1E32BF5E" w:rsidR="005E5CD2" w:rsidRDefault="005E5CD2" w:rsidP="00556ECE">
          <w:pPr>
            <w:tabs>
              <w:tab w:val="right" w:pos="8838"/>
            </w:tabs>
            <w:ind w:left="-74" w:right="-105"/>
          </w:pPr>
          <w:r>
            <w:t xml:space="preserve">03137/INFOEM/IP/RR/2025 </w:t>
          </w:r>
        </w:p>
      </w:tc>
    </w:tr>
    <w:tr w:rsidR="005E5CD2" w14:paraId="64AC5213" w14:textId="77777777">
      <w:trPr>
        <w:trHeight w:val="283"/>
        <w:jc w:val="right"/>
      </w:trPr>
      <w:tc>
        <w:tcPr>
          <w:tcW w:w="2727" w:type="dxa"/>
        </w:tcPr>
        <w:p w14:paraId="1CC97EFE" w14:textId="77777777" w:rsidR="005E5CD2" w:rsidRDefault="005E5CD2">
          <w:pPr>
            <w:tabs>
              <w:tab w:val="right" w:pos="8838"/>
            </w:tabs>
            <w:ind w:left="-74" w:right="-105"/>
            <w:rPr>
              <w:b/>
            </w:rPr>
          </w:pPr>
          <w:r>
            <w:rPr>
              <w:b/>
            </w:rPr>
            <w:t>Sujeto Obligado:</w:t>
          </w:r>
        </w:p>
      </w:tc>
      <w:tc>
        <w:tcPr>
          <w:tcW w:w="3402" w:type="dxa"/>
        </w:tcPr>
        <w:p w14:paraId="79198FBE" w14:textId="0D44E449" w:rsidR="005E5CD2" w:rsidRDefault="005E5CD2">
          <w:pPr>
            <w:tabs>
              <w:tab w:val="left" w:pos="2834"/>
              <w:tab w:val="right" w:pos="8838"/>
            </w:tabs>
            <w:ind w:left="-108" w:right="-105"/>
            <w:rPr>
              <w:highlight w:val="yellow"/>
            </w:rPr>
          </w:pPr>
          <w:r w:rsidRPr="00166EAB">
            <w:t xml:space="preserve">Organismo Público Descentralizado para la Prestación de </w:t>
          </w:r>
          <w:r w:rsidR="00C75C56">
            <w:t>l</w:t>
          </w:r>
          <w:r w:rsidRPr="00166EAB">
            <w:t>os Servicios de Agua Potable Alcantarillado y Saneamiento del Municipio de Metepec</w:t>
          </w:r>
        </w:p>
      </w:tc>
    </w:tr>
    <w:tr w:rsidR="005E5CD2" w14:paraId="4B6A25C0" w14:textId="77777777">
      <w:trPr>
        <w:trHeight w:val="283"/>
        <w:jc w:val="right"/>
      </w:trPr>
      <w:tc>
        <w:tcPr>
          <w:tcW w:w="2727" w:type="dxa"/>
        </w:tcPr>
        <w:p w14:paraId="41D58C07" w14:textId="77777777" w:rsidR="005E5CD2" w:rsidRDefault="005E5CD2">
          <w:pPr>
            <w:tabs>
              <w:tab w:val="right" w:pos="8838"/>
            </w:tabs>
            <w:ind w:left="-74" w:right="-105"/>
            <w:rPr>
              <w:b/>
            </w:rPr>
          </w:pPr>
          <w:r>
            <w:rPr>
              <w:b/>
            </w:rPr>
            <w:t>Comisionada Ponente:</w:t>
          </w:r>
        </w:p>
      </w:tc>
      <w:tc>
        <w:tcPr>
          <w:tcW w:w="3402" w:type="dxa"/>
        </w:tcPr>
        <w:p w14:paraId="3869BC50" w14:textId="77777777" w:rsidR="005E5CD2" w:rsidRDefault="005E5CD2">
          <w:pPr>
            <w:tabs>
              <w:tab w:val="right" w:pos="8838"/>
            </w:tabs>
            <w:ind w:left="-108" w:right="-105"/>
          </w:pPr>
          <w:r>
            <w:t>Sharon Cristina Morales Martínez</w:t>
          </w:r>
        </w:p>
      </w:tc>
    </w:tr>
  </w:tbl>
  <w:p w14:paraId="423704AD" w14:textId="77777777" w:rsidR="005E5CD2" w:rsidRDefault="005E5CD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5E5CD2" w:rsidRDefault="005E5CD2">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5E5CD2" w14:paraId="4A19F82E" w14:textId="77777777">
      <w:trPr>
        <w:trHeight w:val="1435"/>
      </w:trPr>
      <w:tc>
        <w:tcPr>
          <w:tcW w:w="283" w:type="dxa"/>
        </w:tcPr>
        <w:p w14:paraId="613DFE6E" w14:textId="77777777" w:rsidR="005E5CD2" w:rsidRDefault="005E5CD2">
          <w:pPr>
            <w:tabs>
              <w:tab w:val="right" w:pos="4273"/>
            </w:tabs>
            <w:rPr>
              <w:rFonts w:ascii="Garamond" w:eastAsia="Garamond" w:hAnsi="Garamond" w:cs="Garamond"/>
            </w:rPr>
          </w:pPr>
        </w:p>
      </w:tc>
      <w:tc>
        <w:tcPr>
          <w:tcW w:w="6378" w:type="dxa"/>
        </w:tcPr>
        <w:p w14:paraId="2256BC05" w14:textId="77777777" w:rsidR="005E5CD2" w:rsidRDefault="005E5CD2">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E5CD2" w14:paraId="3C059C9A" w14:textId="77777777">
            <w:trPr>
              <w:trHeight w:val="144"/>
            </w:trPr>
            <w:tc>
              <w:tcPr>
                <w:tcW w:w="2790" w:type="dxa"/>
              </w:tcPr>
              <w:p w14:paraId="7477E188" w14:textId="77777777" w:rsidR="005E5CD2" w:rsidRDefault="005E5CD2">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2EB2E523" w:rsidR="005E5CD2" w:rsidRDefault="005E5CD2" w:rsidP="00166EAB">
                <w:pPr>
                  <w:tabs>
                    <w:tab w:val="right" w:pos="8838"/>
                  </w:tabs>
                  <w:ind w:left="-74" w:right="-105"/>
                </w:pPr>
                <w:r>
                  <w:t xml:space="preserve">03137/INFOEM/IP/RR/2025 </w:t>
                </w:r>
              </w:p>
            </w:tc>
            <w:tc>
              <w:tcPr>
                <w:tcW w:w="3405" w:type="dxa"/>
              </w:tcPr>
              <w:p w14:paraId="3BBC25DE" w14:textId="77777777" w:rsidR="005E5CD2" w:rsidRDefault="005E5CD2">
                <w:pPr>
                  <w:tabs>
                    <w:tab w:val="right" w:pos="8838"/>
                  </w:tabs>
                  <w:ind w:left="-74" w:right="-105"/>
                </w:pPr>
              </w:p>
            </w:tc>
          </w:tr>
          <w:tr w:rsidR="005E5CD2" w14:paraId="4BACF866" w14:textId="77777777">
            <w:trPr>
              <w:trHeight w:val="144"/>
            </w:trPr>
            <w:tc>
              <w:tcPr>
                <w:tcW w:w="2790" w:type="dxa"/>
              </w:tcPr>
              <w:p w14:paraId="3E558973" w14:textId="77777777" w:rsidR="005E5CD2" w:rsidRDefault="005E5CD2">
                <w:pPr>
                  <w:tabs>
                    <w:tab w:val="right" w:pos="8838"/>
                  </w:tabs>
                  <w:ind w:left="-74" w:right="-105"/>
                  <w:rPr>
                    <w:b/>
                  </w:rPr>
                </w:pPr>
                <w:bookmarkStart w:id="1" w:name="_heading=h.3o7alnk" w:colFirst="0" w:colLast="0"/>
                <w:bookmarkEnd w:id="1"/>
                <w:r>
                  <w:rPr>
                    <w:b/>
                  </w:rPr>
                  <w:t>Recurrente:</w:t>
                </w:r>
              </w:p>
            </w:tc>
            <w:tc>
              <w:tcPr>
                <w:tcW w:w="3345" w:type="dxa"/>
              </w:tcPr>
              <w:p w14:paraId="7286E1E2" w14:textId="749C0DAE" w:rsidR="005E5CD2" w:rsidRDefault="00590F21" w:rsidP="00CE2FAA">
                <w:pPr>
                  <w:tabs>
                    <w:tab w:val="right" w:pos="8838"/>
                  </w:tabs>
                  <w:ind w:left="-74" w:right="-105"/>
                </w:pPr>
                <w:r>
                  <w:t xml:space="preserve">XXX XXXXX XXXXXXX </w:t>
                </w:r>
                <w:proofErr w:type="spellStart"/>
                <w:r>
                  <w:t>XXXXXXX</w:t>
                </w:r>
                <w:proofErr w:type="spellEnd"/>
              </w:p>
            </w:tc>
            <w:tc>
              <w:tcPr>
                <w:tcW w:w="3405" w:type="dxa"/>
              </w:tcPr>
              <w:p w14:paraId="3B948487" w14:textId="77777777" w:rsidR="005E5CD2" w:rsidRDefault="005E5CD2">
                <w:pPr>
                  <w:tabs>
                    <w:tab w:val="left" w:pos="3122"/>
                    <w:tab w:val="right" w:pos="8838"/>
                  </w:tabs>
                  <w:ind w:left="-105" w:right="-105"/>
                </w:pPr>
              </w:p>
            </w:tc>
          </w:tr>
          <w:tr w:rsidR="005E5CD2" w14:paraId="12326808" w14:textId="77777777">
            <w:trPr>
              <w:trHeight w:val="283"/>
            </w:trPr>
            <w:tc>
              <w:tcPr>
                <w:tcW w:w="2790" w:type="dxa"/>
              </w:tcPr>
              <w:p w14:paraId="45C2343A" w14:textId="77777777" w:rsidR="005E5CD2" w:rsidRDefault="005E5CD2">
                <w:pPr>
                  <w:tabs>
                    <w:tab w:val="right" w:pos="8838"/>
                  </w:tabs>
                  <w:ind w:left="-74" w:right="-105"/>
                  <w:rPr>
                    <w:b/>
                  </w:rPr>
                </w:pPr>
                <w:r>
                  <w:rPr>
                    <w:b/>
                  </w:rPr>
                  <w:t>Sujeto Obligado:</w:t>
                </w:r>
              </w:p>
            </w:tc>
            <w:tc>
              <w:tcPr>
                <w:tcW w:w="3345" w:type="dxa"/>
              </w:tcPr>
              <w:p w14:paraId="465A6060" w14:textId="5A37EE5B" w:rsidR="005E5CD2" w:rsidRDefault="005E5CD2" w:rsidP="003C0C4B">
                <w:pPr>
                  <w:tabs>
                    <w:tab w:val="left" w:pos="2834"/>
                    <w:tab w:val="right" w:pos="8838"/>
                  </w:tabs>
                  <w:ind w:left="-108" w:right="-105"/>
                  <w:rPr>
                    <w:highlight w:val="yellow"/>
                  </w:rPr>
                </w:pPr>
                <w:r w:rsidRPr="00166EAB">
                  <w:t xml:space="preserve">Organismo Público Descentralizado para la Prestación de </w:t>
                </w:r>
                <w:r w:rsidR="00C75C56">
                  <w:t>l</w:t>
                </w:r>
                <w:r w:rsidRPr="00166EAB">
                  <w:t>os Servicios de Agua Potable Alcantarillado y Saneamiento del Municipio de Metepec</w:t>
                </w:r>
              </w:p>
            </w:tc>
            <w:tc>
              <w:tcPr>
                <w:tcW w:w="3405" w:type="dxa"/>
              </w:tcPr>
              <w:p w14:paraId="14300B69" w14:textId="77777777" w:rsidR="005E5CD2" w:rsidRDefault="005E5CD2">
                <w:pPr>
                  <w:tabs>
                    <w:tab w:val="left" w:pos="2834"/>
                    <w:tab w:val="right" w:pos="8838"/>
                  </w:tabs>
                  <w:ind w:left="-108" w:right="-105"/>
                </w:pPr>
              </w:p>
            </w:tc>
          </w:tr>
          <w:tr w:rsidR="005E5CD2" w14:paraId="0A188F0A" w14:textId="77777777">
            <w:trPr>
              <w:trHeight w:val="283"/>
            </w:trPr>
            <w:tc>
              <w:tcPr>
                <w:tcW w:w="2790" w:type="dxa"/>
              </w:tcPr>
              <w:p w14:paraId="32CDA6D1" w14:textId="77777777" w:rsidR="005E5CD2" w:rsidRDefault="005E5CD2">
                <w:pPr>
                  <w:tabs>
                    <w:tab w:val="right" w:pos="8838"/>
                  </w:tabs>
                  <w:ind w:left="-74" w:right="-105"/>
                  <w:rPr>
                    <w:b/>
                  </w:rPr>
                </w:pPr>
                <w:r>
                  <w:rPr>
                    <w:b/>
                  </w:rPr>
                  <w:t>Comisionada Ponente:</w:t>
                </w:r>
              </w:p>
            </w:tc>
            <w:tc>
              <w:tcPr>
                <w:tcW w:w="3345" w:type="dxa"/>
              </w:tcPr>
              <w:p w14:paraId="16856457" w14:textId="77777777" w:rsidR="005E5CD2" w:rsidRDefault="005E5CD2">
                <w:pPr>
                  <w:tabs>
                    <w:tab w:val="right" w:pos="8838"/>
                  </w:tabs>
                  <w:ind w:left="-108" w:right="-105"/>
                </w:pPr>
                <w:r>
                  <w:t>Sharon Cristina Morales Martínez</w:t>
                </w:r>
              </w:p>
            </w:tc>
            <w:tc>
              <w:tcPr>
                <w:tcW w:w="3405" w:type="dxa"/>
              </w:tcPr>
              <w:p w14:paraId="16670ADD" w14:textId="77777777" w:rsidR="005E5CD2" w:rsidRDefault="005E5CD2">
                <w:pPr>
                  <w:tabs>
                    <w:tab w:val="right" w:pos="8838"/>
                  </w:tabs>
                  <w:ind w:left="-108" w:right="-105"/>
                </w:pPr>
              </w:p>
            </w:tc>
          </w:tr>
        </w:tbl>
        <w:p w14:paraId="6B34226F" w14:textId="77777777" w:rsidR="005E5CD2" w:rsidRDefault="005E5CD2">
          <w:pPr>
            <w:tabs>
              <w:tab w:val="right" w:pos="8838"/>
            </w:tabs>
            <w:ind w:left="-28"/>
            <w:rPr>
              <w:rFonts w:ascii="Arial" w:eastAsia="Arial" w:hAnsi="Arial" w:cs="Arial"/>
              <w:b/>
            </w:rPr>
          </w:pPr>
        </w:p>
      </w:tc>
    </w:tr>
  </w:tbl>
  <w:p w14:paraId="6152E04A" w14:textId="77777777" w:rsidR="005E5CD2" w:rsidRDefault="006F38A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C71"/>
    <w:multiLevelType w:val="hybridMultilevel"/>
    <w:tmpl w:val="F73E9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F2F64"/>
    <w:multiLevelType w:val="hybridMultilevel"/>
    <w:tmpl w:val="738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3A5E7F"/>
    <w:multiLevelType w:val="hybridMultilevel"/>
    <w:tmpl w:val="489C0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057665"/>
    <w:multiLevelType w:val="hybridMultilevel"/>
    <w:tmpl w:val="AB66EE4A"/>
    <w:lvl w:ilvl="0" w:tplc="915E37E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52B473A"/>
    <w:multiLevelType w:val="hybridMultilevel"/>
    <w:tmpl w:val="9E467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963149"/>
    <w:multiLevelType w:val="hybridMultilevel"/>
    <w:tmpl w:val="747E9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997A6F"/>
    <w:multiLevelType w:val="hybridMultilevel"/>
    <w:tmpl w:val="440CE35C"/>
    <w:lvl w:ilvl="0" w:tplc="1D9C28D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0590B"/>
    <w:multiLevelType w:val="hybridMultilevel"/>
    <w:tmpl w:val="6434B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4454BA"/>
    <w:multiLevelType w:val="hybridMultilevel"/>
    <w:tmpl w:val="91C6E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05EB4"/>
    <w:multiLevelType w:val="hybridMultilevel"/>
    <w:tmpl w:val="181EBDEA"/>
    <w:lvl w:ilvl="0" w:tplc="2BAA7C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7"/>
  </w:num>
  <w:num w:numId="4">
    <w:abstractNumId w:val="15"/>
  </w:num>
  <w:num w:numId="5">
    <w:abstractNumId w:val="28"/>
  </w:num>
  <w:num w:numId="6">
    <w:abstractNumId w:val="22"/>
  </w:num>
  <w:num w:numId="7">
    <w:abstractNumId w:val="29"/>
  </w:num>
  <w:num w:numId="8">
    <w:abstractNumId w:val="19"/>
  </w:num>
  <w:num w:numId="9">
    <w:abstractNumId w:val="27"/>
  </w:num>
  <w:num w:numId="10">
    <w:abstractNumId w:val="31"/>
  </w:num>
  <w:num w:numId="11">
    <w:abstractNumId w:val="12"/>
  </w:num>
  <w:num w:numId="12">
    <w:abstractNumId w:val="26"/>
  </w:num>
  <w:num w:numId="13">
    <w:abstractNumId w:val="21"/>
  </w:num>
  <w:num w:numId="14">
    <w:abstractNumId w:val="1"/>
  </w:num>
  <w:num w:numId="15">
    <w:abstractNumId w:val="9"/>
  </w:num>
  <w:num w:numId="16">
    <w:abstractNumId w:val="13"/>
  </w:num>
  <w:num w:numId="17">
    <w:abstractNumId w:val="10"/>
  </w:num>
  <w:num w:numId="18">
    <w:abstractNumId w:val="11"/>
  </w:num>
  <w:num w:numId="19">
    <w:abstractNumId w:val="2"/>
  </w:num>
  <w:num w:numId="20">
    <w:abstractNumId w:val="8"/>
  </w:num>
  <w:num w:numId="21">
    <w:abstractNumId w:val="25"/>
  </w:num>
  <w:num w:numId="22">
    <w:abstractNumId w:val="5"/>
  </w:num>
  <w:num w:numId="23">
    <w:abstractNumId w:val="3"/>
  </w:num>
  <w:num w:numId="24">
    <w:abstractNumId w:val="20"/>
  </w:num>
  <w:num w:numId="25">
    <w:abstractNumId w:val="4"/>
  </w:num>
  <w:num w:numId="26">
    <w:abstractNumId w:val="30"/>
  </w:num>
  <w:num w:numId="27">
    <w:abstractNumId w:val="16"/>
  </w:num>
  <w:num w:numId="28">
    <w:abstractNumId w:val="0"/>
  </w:num>
  <w:num w:numId="29">
    <w:abstractNumId w:val="24"/>
  </w:num>
  <w:num w:numId="30">
    <w:abstractNumId w:val="17"/>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65D1C"/>
    <w:rsid w:val="000E2C6B"/>
    <w:rsid w:val="00104BA9"/>
    <w:rsid w:val="00132B02"/>
    <w:rsid w:val="0013720B"/>
    <w:rsid w:val="00166EAB"/>
    <w:rsid w:val="00177423"/>
    <w:rsid w:val="001D7B81"/>
    <w:rsid w:val="001F28FB"/>
    <w:rsid w:val="001F788D"/>
    <w:rsid w:val="002166A7"/>
    <w:rsid w:val="00230690"/>
    <w:rsid w:val="00292597"/>
    <w:rsid w:val="0032038A"/>
    <w:rsid w:val="0032100B"/>
    <w:rsid w:val="00330A3E"/>
    <w:rsid w:val="00361AFC"/>
    <w:rsid w:val="00362964"/>
    <w:rsid w:val="003B5919"/>
    <w:rsid w:val="003C0C4B"/>
    <w:rsid w:val="003C54F9"/>
    <w:rsid w:val="00474B3D"/>
    <w:rsid w:val="004940BD"/>
    <w:rsid w:val="004A7B50"/>
    <w:rsid w:val="004D6DBE"/>
    <w:rsid w:val="004F6DFA"/>
    <w:rsid w:val="00510F19"/>
    <w:rsid w:val="005124DB"/>
    <w:rsid w:val="00524AC2"/>
    <w:rsid w:val="00531AEF"/>
    <w:rsid w:val="0053363A"/>
    <w:rsid w:val="0054058E"/>
    <w:rsid w:val="00544306"/>
    <w:rsid w:val="00556ECE"/>
    <w:rsid w:val="00590F21"/>
    <w:rsid w:val="005A0686"/>
    <w:rsid w:val="005B023F"/>
    <w:rsid w:val="005C3508"/>
    <w:rsid w:val="005C55C5"/>
    <w:rsid w:val="005D7DC5"/>
    <w:rsid w:val="005E5CD2"/>
    <w:rsid w:val="005F1E65"/>
    <w:rsid w:val="006260C4"/>
    <w:rsid w:val="006331CD"/>
    <w:rsid w:val="00636B52"/>
    <w:rsid w:val="0064683F"/>
    <w:rsid w:val="006468C6"/>
    <w:rsid w:val="006547A8"/>
    <w:rsid w:val="0065700B"/>
    <w:rsid w:val="00657398"/>
    <w:rsid w:val="00696361"/>
    <w:rsid w:val="006C00AB"/>
    <w:rsid w:val="006D74B1"/>
    <w:rsid w:val="006E07DE"/>
    <w:rsid w:val="006F38A9"/>
    <w:rsid w:val="006F497C"/>
    <w:rsid w:val="00701863"/>
    <w:rsid w:val="007544C3"/>
    <w:rsid w:val="00772588"/>
    <w:rsid w:val="007A7907"/>
    <w:rsid w:val="007B508C"/>
    <w:rsid w:val="00807F41"/>
    <w:rsid w:val="00826056"/>
    <w:rsid w:val="00853DE6"/>
    <w:rsid w:val="00890654"/>
    <w:rsid w:val="008C5FD9"/>
    <w:rsid w:val="008F6BBA"/>
    <w:rsid w:val="00912AB7"/>
    <w:rsid w:val="009146C0"/>
    <w:rsid w:val="009358E0"/>
    <w:rsid w:val="0094113D"/>
    <w:rsid w:val="00990464"/>
    <w:rsid w:val="009A4151"/>
    <w:rsid w:val="009C0BC4"/>
    <w:rsid w:val="009E27FF"/>
    <w:rsid w:val="009E370A"/>
    <w:rsid w:val="009F3576"/>
    <w:rsid w:val="009F55A4"/>
    <w:rsid w:val="00A0722D"/>
    <w:rsid w:val="00A34406"/>
    <w:rsid w:val="00A4081A"/>
    <w:rsid w:val="00A727F6"/>
    <w:rsid w:val="00AB3F8A"/>
    <w:rsid w:val="00AC28CF"/>
    <w:rsid w:val="00AE370C"/>
    <w:rsid w:val="00AF2A14"/>
    <w:rsid w:val="00B1468E"/>
    <w:rsid w:val="00B3785A"/>
    <w:rsid w:val="00B46F72"/>
    <w:rsid w:val="00B504CB"/>
    <w:rsid w:val="00BB55BF"/>
    <w:rsid w:val="00BE3EBD"/>
    <w:rsid w:val="00BF291C"/>
    <w:rsid w:val="00BF63C9"/>
    <w:rsid w:val="00C1665A"/>
    <w:rsid w:val="00C17882"/>
    <w:rsid w:val="00C61A39"/>
    <w:rsid w:val="00C62EF7"/>
    <w:rsid w:val="00C71767"/>
    <w:rsid w:val="00C75C56"/>
    <w:rsid w:val="00C963FE"/>
    <w:rsid w:val="00CA6DB4"/>
    <w:rsid w:val="00CB0EBE"/>
    <w:rsid w:val="00CB285D"/>
    <w:rsid w:val="00CC5F17"/>
    <w:rsid w:val="00CD6A22"/>
    <w:rsid w:val="00CE07C6"/>
    <w:rsid w:val="00CE2FAA"/>
    <w:rsid w:val="00D007F3"/>
    <w:rsid w:val="00D1046E"/>
    <w:rsid w:val="00D11CF2"/>
    <w:rsid w:val="00D21AC9"/>
    <w:rsid w:val="00D3008E"/>
    <w:rsid w:val="00D54A4D"/>
    <w:rsid w:val="00D57E0E"/>
    <w:rsid w:val="00D6156D"/>
    <w:rsid w:val="00D85A75"/>
    <w:rsid w:val="00DB2154"/>
    <w:rsid w:val="00DC7ABE"/>
    <w:rsid w:val="00DD4ECB"/>
    <w:rsid w:val="00DE3530"/>
    <w:rsid w:val="00E12EF6"/>
    <w:rsid w:val="00E315BE"/>
    <w:rsid w:val="00E3779D"/>
    <w:rsid w:val="00E537AF"/>
    <w:rsid w:val="00E53BB4"/>
    <w:rsid w:val="00E73BD3"/>
    <w:rsid w:val="00EB7055"/>
    <w:rsid w:val="00ED2C38"/>
    <w:rsid w:val="00EE23D8"/>
    <w:rsid w:val="00F03196"/>
    <w:rsid w:val="00F041F0"/>
    <w:rsid w:val="00F36508"/>
    <w:rsid w:val="00F556C6"/>
    <w:rsid w:val="00F70DD9"/>
    <w:rsid w:val="00F77CE8"/>
    <w:rsid w:val="00FB6A9E"/>
    <w:rsid w:val="00FD4022"/>
    <w:rsid w:val="00FE0017"/>
    <w:rsid w:val="00FE6BC2"/>
    <w:rsid w:val="00FF03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61C8E4-DB9B-4820-BA8F-4139AEC9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9594</Words>
  <Characters>52772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2025-10-09T23:38:00Z</cp:lastPrinted>
  <dcterms:created xsi:type="dcterms:W3CDTF">2025-10-06T19:02:00Z</dcterms:created>
  <dcterms:modified xsi:type="dcterms:W3CDTF">2026-01-26T17:56:00Z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