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063" w:rsidRDefault="007D5063">
      <w:pPr>
        <w:tabs>
          <w:tab w:val="left" w:pos="3465"/>
        </w:tabs>
        <w:spacing w:line="360" w:lineRule="auto"/>
        <w:ind w:right="-787"/>
        <w:jc w:val="both"/>
        <w:rPr>
          <w:rFonts w:ascii="Palatino Linotype" w:eastAsia="Palatino Linotype" w:hAnsi="Palatino Linotype" w:cs="Palatino Linotype"/>
        </w:rPr>
      </w:pPr>
    </w:p>
    <w:p w:rsidR="00E2319B" w:rsidRPr="009D6228" w:rsidRDefault="005D3201">
      <w:pPr>
        <w:tabs>
          <w:tab w:val="left" w:pos="3465"/>
        </w:tabs>
        <w:spacing w:line="360" w:lineRule="auto"/>
        <w:ind w:right="-787"/>
        <w:jc w:val="both"/>
        <w:rPr>
          <w:rFonts w:ascii="Palatino Linotype" w:eastAsia="Palatino Linotype" w:hAnsi="Palatino Linotype" w:cs="Palatino Linotype"/>
        </w:rPr>
      </w:pPr>
      <w:r w:rsidRPr="009D6228">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(12) de febrero de dos mil veinticinco.</w:t>
      </w:r>
    </w:p>
    <w:p w:rsidR="00E2319B" w:rsidRPr="009D6228" w:rsidRDefault="00E2319B">
      <w:pPr>
        <w:tabs>
          <w:tab w:val="left" w:pos="3465"/>
        </w:tabs>
        <w:spacing w:line="360" w:lineRule="auto"/>
        <w:ind w:right="-787"/>
        <w:jc w:val="both"/>
        <w:rPr>
          <w:rFonts w:ascii="Palatino Linotype" w:eastAsia="Palatino Linotype" w:hAnsi="Palatino Linotype" w:cs="Palatino Linotype"/>
        </w:rPr>
      </w:pPr>
    </w:p>
    <w:p w:rsidR="00E2319B" w:rsidRPr="009D6228" w:rsidRDefault="005D3201">
      <w:pPr>
        <w:spacing w:line="360" w:lineRule="auto"/>
        <w:ind w:right="-787"/>
        <w:jc w:val="both"/>
        <w:rPr>
          <w:rFonts w:ascii="Palatino Linotype" w:eastAsia="Palatino Linotype" w:hAnsi="Palatino Linotype" w:cs="Palatino Linotype"/>
          <w:b/>
          <w:color w:val="000000"/>
        </w:rPr>
      </w:pPr>
      <w:r w:rsidRPr="009D6228">
        <w:rPr>
          <w:rFonts w:ascii="Palatino Linotype" w:eastAsia="Palatino Linotype" w:hAnsi="Palatino Linotype" w:cs="Palatino Linotype"/>
          <w:b/>
        </w:rPr>
        <w:t xml:space="preserve">VISTAS </w:t>
      </w:r>
      <w:r w:rsidRPr="009D6228">
        <w:rPr>
          <w:rFonts w:ascii="Palatino Linotype" w:eastAsia="Palatino Linotype" w:hAnsi="Palatino Linotype" w:cs="Palatino Linotype"/>
        </w:rPr>
        <w:t xml:space="preserve">las constancias para resolver </w:t>
      </w:r>
      <w:r w:rsidRPr="009D6228">
        <w:rPr>
          <w:rFonts w:ascii="Palatino Linotype" w:eastAsia="Palatino Linotype" w:hAnsi="Palatino Linotype" w:cs="Palatino Linotype"/>
          <w:color w:val="000000"/>
        </w:rPr>
        <w:t>el Recurso de Revisión</w:t>
      </w:r>
      <w:r w:rsidRPr="009D6228">
        <w:rPr>
          <w:rFonts w:ascii="Palatino Linotype" w:eastAsia="Palatino Linotype" w:hAnsi="Palatino Linotype" w:cs="Palatino Linotype"/>
          <w:b/>
          <w:color w:val="000000"/>
        </w:rPr>
        <w:t xml:space="preserve"> 01078/INFOEM/IP/RR/2024</w:t>
      </w:r>
      <w:r w:rsidRPr="009D6228">
        <w:rPr>
          <w:rFonts w:ascii="Palatino Linotype" w:eastAsia="Palatino Linotype" w:hAnsi="Palatino Linotype" w:cs="Palatino Linotype"/>
          <w:color w:val="000000"/>
        </w:rPr>
        <w:t xml:space="preserve">, promovido por </w:t>
      </w:r>
      <w:r w:rsidRPr="009D6228">
        <w:rPr>
          <w:rFonts w:ascii="Palatino Linotype" w:eastAsia="Palatino Linotype" w:hAnsi="Palatino Linotype" w:cs="Palatino Linotype"/>
          <w:b/>
        </w:rPr>
        <w:t xml:space="preserve"> </w:t>
      </w:r>
      <w:r w:rsidR="00660ACF">
        <w:rPr>
          <w:rFonts w:ascii="Palatino Linotype" w:eastAsia="Palatino Linotype" w:hAnsi="Palatino Linotype" w:cs="Palatino Linotype"/>
          <w:b/>
        </w:rPr>
        <w:t xml:space="preserve">XXX XXXX </w:t>
      </w:r>
      <w:proofErr w:type="spellStart"/>
      <w:r w:rsidR="00660ACF">
        <w:rPr>
          <w:rFonts w:ascii="Palatino Linotype" w:eastAsia="Palatino Linotype" w:hAnsi="Palatino Linotype" w:cs="Palatino Linotype"/>
          <w:b/>
        </w:rPr>
        <w:t>XXXX</w:t>
      </w:r>
      <w:proofErr w:type="spellEnd"/>
      <w:r w:rsidRPr="009D6228">
        <w:rPr>
          <w:rFonts w:ascii="Palatino Linotype" w:eastAsia="Palatino Linotype" w:hAnsi="Palatino Linotype" w:cs="Palatino Linotype"/>
          <w:b/>
        </w:rPr>
        <w:t xml:space="preserve">,  </w:t>
      </w:r>
      <w:r w:rsidRPr="009D6228">
        <w:rPr>
          <w:rFonts w:ascii="Palatino Linotype" w:eastAsia="Palatino Linotype" w:hAnsi="Palatino Linotype" w:cs="Palatino Linotype"/>
        </w:rPr>
        <w:t xml:space="preserve">en lo sucesivo se denominará  </w:t>
      </w:r>
      <w:r w:rsidRPr="009D6228">
        <w:rPr>
          <w:rFonts w:ascii="Palatino Linotype" w:eastAsia="Palatino Linotype" w:hAnsi="Palatino Linotype" w:cs="Palatino Linotype"/>
          <w:b/>
        </w:rPr>
        <w:t>EL RECURRENTE</w:t>
      </w:r>
      <w:r w:rsidRPr="009D6228">
        <w:rPr>
          <w:rFonts w:ascii="Palatino Linotype" w:eastAsia="Palatino Linotype" w:hAnsi="Palatino Linotype" w:cs="Palatino Linotype"/>
        </w:rPr>
        <w:t xml:space="preserve">, en contra de la respuesta otorgada a la solicitud de información </w:t>
      </w:r>
      <w:r w:rsidRPr="009D6228">
        <w:rPr>
          <w:rFonts w:ascii="Palatino Linotype" w:eastAsia="Palatino Linotype" w:hAnsi="Palatino Linotype" w:cs="Palatino Linotype"/>
          <w:b/>
        </w:rPr>
        <w:t>00076/TEPOTZOT/IP/2024</w:t>
      </w:r>
      <w:r w:rsidRPr="009D6228">
        <w:rPr>
          <w:rFonts w:ascii="Palatino Linotype" w:eastAsia="Palatino Linotype" w:hAnsi="Palatino Linotype" w:cs="Palatino Linotype"/>
        </w:rPr>
        <w:t xml:space="preserve">, por parte del </w:t>
      </w:r>
      <w:r w:rsidRPr="009D6228">
        <w:rPr>
          <w:rFonts w:ascii="Palatino Linotype" w:eastAsia="Palatino Linotype" w:hAnsi="Palatino Linotype" w:cs="Palatino Linotype"/>
          <w:b/>
        </w:rPr>
        <w:t xml:space="preserve">Ayuntamiento de Tepotzotlán, </w:t>
      </w:r>
      <w:r w:rsidRPr="009D6228">
        <w:rPr>
          <w:rFonts w:ascii="Palatino Linotype" w:eastAsia="Palatino Linotype" w:hAnsi="Palatino Linotype" w:cs="Palatino Linotype"/>
        </w:rPr>
        <w:t xml:space="preserve">en adelante el </w:t>
      </w:r>
      <w:r w:rsidRPr="009D6228">
        <w:rPr>
          <w:rFonts w:ascii="Palatino Linotype" w:eastAsia="Palatino Linotype" w:hAnsi="Palatino Linotype" w:cs="Palatino Linotype"/>
          <w:b/>
        </w:rPr>
        <w:t>SUJETO OBLIGADO</w:t>
      </w:r>
      <w:r w:rsidRPr="009D6228">
        <w:rPr>
          <w:rFonts w:ascii="Palatino Linotype" w:eastAsia="Palatino Linotype" w:hAnsi="Palatino Linotype" w:cs="Palatino Linotype"/>
        </w:rPr>
        <w:t>, se emite la presente resolución con base en los siguientes:</w:t>
      </w:r>
    </w:p>
    <w:p w:rsidR="00E2319B" w:rsidRPr="009D6228" w:rsidRDefault="00E2319B">
      <w:pPr>
        <w:spacing w:line="360" w:lineRule="auto"/>
        <w:ind w:right="-787"/>
        <w:jc w:val="both"/>
        <w:rPr>
          <w:rFonts w:ascii="Palatino Linotype" w:eastAsia="Palatino Linotype" w:hAnsi="Palatino Linotype" w:cs="Palatino Linotype"/>
        </w:rPr>
      </w:pPr>
    </w:p>
    <w:p w:rsidR="00E2319B" w:rsidRPr="009D6228" w:rsidRDefault="005D3201">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9D6228">
        <w:rPr>
          <w:rFonts w:ascii="Palatino Linotype" w:eastAsia="Palatino Linotype" w:hAnsi="Palatino Linotype" w:cs="Palatino Linotype"/>
          <w:b/>
          <w:color w:val="000000"/>
          <w:sz w:val="24"/>
          <w:szCs w:val="24"/>
        </w:rPr>
        <w:t>A N T E C E D E N T E S</w:t>
      </w:r>
    </w:p>
    <w:p w:rsidR="00E2319B" w:rsidRPr="009D6228" w:rsidRDefault="00E2319B">
      <w:pPr>
        <w:pBdr>
          <w:top w:val="nil"/>
          <w:left w:val="nil"/>
          <w:bottom w:val="nil"/>
          <w:right w:val="nil"/>
          <w:between w:val="nil"/>
        </w:pBdr>
        <w:spacing w:line="360" w:lineRule="auto"/>
        <w:ind w:left="720" w:right="-787"/>
        <w:jc w:val="both"/>
        <w:rPr>
          <w:rFonts w:ascii="Palatino Linotype" w:eastAsia="Palatino Linotype" w:hAnsi="Palatino Linotype" w:cs="Palatino Linotype"/>
          <w:b/>
          <w:color w:val="000000"/>
          <w:u w:val="single"/>
        </w:rPr>
      </w:pPr>
    </w:p>
    <w:p w:rsidR="00E2319B" w:rsidRPr="009D6228" w:rsidRDefault="005D3201">
      <w:pPr>
        <w:numPr>
          <w:ilvl w:val="0"/>
          <w:numId w:val="2"/>
        </w:numPr>
        <w:pBdr>
          <w:top w:val="nil"/>
          <w:left w:val="nil"/>
          <w:bottom w:val="nil"/>
          <w:right w:val="nil"/>
          <w:between w:val="nil"/>
        </w:pBdr>
        <w:tabs>
          <w:tab w:val="left" w:pos="0"/>
        </w:tabs>
        <w:spacing w:line="360" w:lineRule="auto"/>
        <w:ind w:left="0" w:right="-787" w:firstLine="0"/>
        <w:jc w:val="both"/>
        <w:rPr>
          <w:color w:val="000000"/>
        </w:rPr>
      </w:pPr>
      <w:r w:rsidRPr="009D6228">
        <w:rPr>
          <w:rFonts w:ascii="Palatino Linotype" w:eastAsia="Palatino Linotype" w:hAnsi="Palatino Linotype" w:cs="Palatino Linotype"/>
          <w:color w:val="000000"/>
        </w:rPr>
        <w:t xml:space="preserve">El </w:t>
      </w:r>
      <w:r w:rsidRPr="009D6228">
        <w:rPr>
          <w:rFonts w:ascii="Palatino Linotype" w:eastAsia="Palatino Linotype" w:hAnsi="Palatino Linotype" w:cs="Palatino Linotype"/>
          <w:b/>
          <w:color w:val="000000"/>
        </w:rPr>
        <w:t>doce de febrero de dos mil veinticuatro</w:t>
      </w:r>
      <w:r w:rsidRPr="009D6228">
        <w:rPr>
          <w:rFonts w:ascii="Palatino Linotype" w:eastAsia="Palatino Linotype" w:hAnsi="Palatino Linotype" w:cs="Palatino Linotype"/>
          <w:color w:val="000000"/>
        </w:rPr>
        <w:t>,</w:t>
      </w:r>
      <w:r w:rsidRPr="009D6228">
        <w:rPr>
          <w:rFonts w:ascii="Palatino Linotype" w:eastAsia="Palatino Linotype" w:hAnsi="Palatino Linotype" w:cs="Palatino Linotype"/>
          <w:b/>
          <w:color w:val="000000"/>
        </w:rPr>
        <w:t xml:space="preserve"> </w:t>
      </w:r>
      <w:r w:rsidRPr="009D6228">
        <w:rPr>
          <w:rFonts w:ascii="Palatino Linotype" w:eastAsia="Palatino Linotype" w:hAnsi="Palatino Linotype" w:cs="Palatino Linotype"/>
          <w:color w:val="000000"/>
        </w:rPr>
        <w:t xml:space="preserve">la parte Recurrente presentó a través del Sistema de Acceso a la Información Mexiquense (SAIMEX), la solicitud de acceso a la información pública, con número de folio </w:t>
      </w:r>
      <w:r w:rsidRPr="009D6228">
        <w:rPr>
          <w:rFonts w:ascii="Palatino Linotype" w:eastAsia="Palatino Linotype" w:hAnsi="Palatino Linotype" w:cs="Palatino Linotype"/>
          <w:b/>
        </w:rPr>
        <w:t xml:space="preserve">00076/TEPOTZOT/IP/2024, </w:t>
      </w:r>
      <w:r w:rsidRPr="009D6228">
        <w:rPr>
          <w:rFonts w:ascii="Palatino Linotype" w:eastAsia="Palatino Linotype" w:hAnsi="Palatino Linotype" w:cs="Palatino Linotype"/>
          <w:color w:val="000000"/>
        </w:rPr>
        <w:t>en la que solicitó lo siguiente:</w:t>
      </w:r>
    </w:p>
    <w:p w:rsidR="00E2319B" w:rsidRPr="009D6228" w:rsidRDefault="00E2319B">
      <w:pPr>
        <w:pBdr>
          <w:top w:val="nil"/>
          <w:left w:val="nil"/>
          <w:bottom w:val="nil"/>
          <w:right w:val="nil"/>
          <w:between w:val="nil"/>
        </w:pBdr>
        <w:ind w:right="-787"/>
        <w:jc w:val="both"/>
        <w:rPr>
          <w:rFonts w:ascii="Palatino Linotype" w:eastAsia="Palatino Linotype" w:hAnsi="Palatino Linotype" w:cs="Palatino Linotype"/>
          <w:color w:val="000000"/>
        </w:rPr>
      </w:pPr>
    </w:p>
    <w:p w:rsidR="00E2319B" w:rsidRPr="009D6228" w:rsidRDefault="005D3201">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9D6228">
        <w:rPr>
          <w:rFonts w:ascii="Palatino Linotype" w:eastAsia="Palatino Linotype" w:hAnsi="Palatino Linotype" w:cs="Palatino Linotype"/>
          <w:i/>
          <w:color w:val="000000"/>
        </w:rPr>
        <w:t xml:space="preserve">“A traves del presente escrito solicito de manera respetuosa se de cumplimiento a la presente solicitud dirigida al H. Ayuntamiento de Tepotzotlán, Estado de México, ya que es de mi interes tener acceso a la informacion, actual, así como los antecedentes que se tengan en resguardo del ayuntamiento y autoridades con las que trabajan en conjunto, en relacion a la informacion que solicito es del informe emitido por el presiedente municipal de Tepotzotlán de arreglo a la Ley de 25 de Junio de 1856, en reglamento relativo, de la circular de 09 de Octubre del mismo año, drecreto No. 78 de 12 de abril del año 1875. Donde se señala la expedicion de un titulo de adjudicaion. Ya que es de mi interes conocer las actualizaciones que se han ralizado en el trascurso de los años hasta la actualidad en relacion al terreno que se señala en dicha circular, misma que adjunto como </w:t>
      </w:r>
      <w:r w:rsidRPr="009D6228">
        <w:rPr>
          <w:rFonts w:ascii="Palatino Linotype" w:eastAsia="Palatino Linotype" w:hAnsi="Palatino Linotype" w:cs="Palatino Linotype"/>
          <w:i/>
          <w:color w:val="000000"/>
        </w:rPr>
        <w:lastRenderedPageBreak/>
        <w:t>referencia para su localizacion. A su vez solicito me sea entregada una copia simple en version publica de las subdivisiones que se han realizado a dicho terreno y como se encuentran en la actulaidad. Sin más por el momento agradezco su atencion.” (Sic)</w:t>
      </w:r>
    </w:p>
    <w:p w:rsidR="00E2319B" w:rsidRPr="009D6228" w:rsidRDefault="00E2319B">
      <w:pPr>
        <w:pBdr>
          <w:top w:val="nil"/>
          <w:left w:val="nil"/>
          <w:bottom w:val="nil"/>
          <w:right w:val="nil"/>
          <w:between w:val="nil"/>
        </w:pBdr>
        <w:ind w:left="1134" w:right="-787"/>
        <w:jc w:val="both"/>
        <w:rPr>
          <w:rFonts w:ascii="Palatino Linotype" w:eastAsia="Palatino Linotype" w:hAnsi="Palatino Linotype" w:cs="Palatino Linotype"/>
          <w:i/>
          <w:color w:val="000000"/>
        </w:rPr>
      </w:pPr>
    </w:p>
    <w:p w:rsidR="00E2319B" w:rsidRPr="009D6228" w:rsidRDefault="00E2319B">
      <w:pPr>
        <w:pBdr>
          <w:top w:val="nil"/>
          <w:left w:val="nil"/>
          <w:bottom w:val="nil"/>
          <w:right w:val="nil"/>
          <w:between w:val="nil"/>
        </w:pBdr>
        <w:ind w:left="1134" w:right="-787"/>
        <w:jc w:val="both"/>
        <w:rPr>
          <w:rFonts w:ascii="Palatino Linotype" w:eastAsia="Palatino Linotype" w:hAnsi="Palatino Linotype" w:cs="Palatino Linotype"/>
          <w:i/>
          <w:color w:val="000000"/>
        </w:rPr>
      </w:pPr>
    </w:p>
    <w:p w:rsidR="00E2319B" w:rsidRPr="009D6228" w:rsidRDefault="005D3201">
      <w:pPr>
        <w:spacing w:line="360" w:lineRule="auto"/>
        <w:ind w:left="142" w:right="-787"/>
        <w:jc w:val="both"/>
        <w:rPr>
          <w:rFonts w:ascii="Palatino Linotype" w:eastAsia="Palatino Linotype" w:hAnsi="Palatino Linotype" w:cs="Palatino Linotype"/>
        </w:rPr>
      </w:pPr>
      <w:r w:rsidRPr="009D6228">
        <w:rPr>
          <w:rFonts w:ascii="Palatino Linotype" w:eastAsia="Palatino Linotype" w:hAnsi="Palatino Linotype" w:cs="Palatino Linotype"/>
        </w:rPr>
        <w:t xml:space="preserve">El solicitante adjuntó el archivo digital </w:t>
      </w:r>
      <w:r w:rsidRPr="009D6228">
        <w:rPr>
          <w:rFonts w:ascii="Palatino Linotype" w:eastAsia="Palatino Linotype" w:hAnsi="Palatino Linotype" w:cs="Palatino Linotype"/>
          <w:b/>
          <w:i/>
        </w:rPr>
        <w:t>Decreto.pdf</w:t>
      </w:r>
      <w:r w:rsidRPr="009D6228">
        <w:rPr>
          <w:rFonts w:ascii="Palatino Linotype" w:eastAsia="Palatino Linotype" w:hAnsi="Palatino Linotype" w:cs="Palatino Linotype"/>
        </w:rPr>
        <w:t xml:space="preserve"> consistente en:</w:t>
      </w:r>
    </w:p>
    <w:p w:rsidR="00E2319B" w:rsidRPr="009D6228" w:rsidRDefault="005D3201">
      <w:pPr>
        <w:spacing w:line="360" w:lineRule="auto"/>
        <w:ind w:left="142" w:right="-787"/>
        <w:jc w:val="both"/>
        <w:rPr>
          <w:rFonts w:ascii="Palatino Linotype" w:eastAsia="Palatino Linotype" w:hAnsi="Palatino Linotype" w:cs="Palatino Linotype"/>
        </w:rPr>
      </w:pPr>
      <w:r w:rsidRPr="009D6228">
        <w:rPr>
          <w:rFonts w:ascii="Palatino Linotype" w:eastAsia="Palatino Linotype" w:hAnsi="Palatino Linotype" w:cs="Palatino Linotype"/>
        </w:rPr>
        <w:t xml:space="preserve">Documento en el que un ciudadano solicitó </w:t>
      </w:r>
      <w:r w:rsidRPr="009D6228">
        <w:rPr>
          <w:rFonts w:ascii="Palatino Linotype" w:eastAsia="Palatino Linotype" w:hAnsi="Palatino Linotype" w:cs="Palatino Linotype"/>
          <w:i/>
        </w:rPr>
        <w:t>“la adjudicación de un terreno ubicado en el Barrio de Capula, perteneciente a los bienes de común repartimiento de la municipalidad de Tepotzotlán”</w:t>
      </w:r>
      <w:r w:rsidRPr="009D6228">
        <w:rPr>
          <w:rFonts w:ascii="Palatino Linotype" w:eastAsia="Palatino Linotype" w:hAnsi="Palatino Linotype" w:cs="Palatino Linotype"/>
        </w:rPr>
        <w:t xml:space="preserve">, en el que se señalan sus dimensiones y colindancias. Señalando que </w:t>
      </w:r>
      <w:r w:rsidRPr="009D6228">
        <w:rPr>
          <w:rFonts w:ascii="Palatino Linotype" w:eastAsia="Palatino Linotype" w:hAnsi="Palatino Linotype" w:cs="Palatino Linotype"/>
          <w:i/>
        </w:rPr>
        <w:t xml:space="preserve">“en atención al informe emitido por el Presidente Municipal de Tepotzotlán no resulta inconveniente alguno con arreglo  la Ley de 25 de junio de 1856, en reglamento relativo, suprema circular de 9 de octubre del mismo año, decreto No. 78 de 12 de abril del año 1857, </w:t>
      </w:r>
      <w:r w:rsidRPr="009D6228">
        <w:rPr>
          <w:rFonts w:ascii="Palatino Linotype" w:eastAsia="Palatino Linotype" w:hAnsi="Palatino Linotype" w:cs="Palatino Linotype"/>
          <w:b/>
          <w:i/>
        </w:rPr>
        <w:t>se expide el presente título de adjudicación que constituye en los términos de las leyes antes citadas, propietario del terreno cuya adjudicación ha pedido</w:t>
      </w:r>
      <w:r w:rsidRPr="009D6228">
        <w:rPr>
          <w:rFonts w:ascii="Palatino Linotype" w:eastAsia="Palatino Linotype" w:hAnsi="Palatino Linotype" w:cs="Palatino Linotype"/>
          <w:i/>
        </w:rPr>
        <w:t>”</w:t>
      </w:r>
      <w:r w:rsidRPr="009D6228">
        <w:rPr>
          <w:rFonts w:ascii="Palatino Linotype" w:eastAsia="Palatino Linotype" w:hAnsi="Palatino Linotype" w:cs="Palatino Linotype"/>
        </w:rPr>
        <w:t>, precisando el valor y la contribución municipal.</w:t>
      </w:r>
    </w:p>
    <w:p w:rsidR="00E2319B" w:rsidRPr="009D6228" w:rsidRDefault="005D3201">
      <w:pPr>
        <w:spacing w:line="360" w:lineRule="auto"/>
        <w:ind w:left="142" w:right="-787"/>
        <w:jc w:val="both"/>
        <w:rPr>
          <w:rFonts w:ascii="Palatino Linotype" w:eastAsia="Palatino Linotype" w:hAnsi="Palatino Linotype" w:cs="Palatino Linotype"/>
        </w:rPr>
      </w:pPr>
      <w:r w:rsidRPr="009D6228">
        <w:rPr>
          <w:rFonts w:ascii="Palatino Linotype" w:eastAsia="Palatino Linotype" w:hAnsi="Palatino Linotype" w:cs="Palatino Linotype"/>
        </w:rPr>
        <w:t>Precisando que dicho documento sirve como Título de Propiedad.</w:t>
      </w:r>
    </w:p>
    <w:p w:rsidR="00E2319B" w:rsidRPr="009D6228" w:rsidRDefault="00E2319B">
      <w:pPr>
        <w:spacing w:line="360" w:lineRule="auto"/>
        <w:ind w:left="142" w:right="-787"/>
        <w:jc w:val="both"/>
        <w:rPr>
          <w:rFonts w:ascii="Palatino Linotype" w:eastAsia="Palatino Linotype" w:hAnsi="Palatino Linotype" w:cs="Palatino Linotype"/>
        </w:rPr>
      </w:pPr>
    </w:p>
    <w:p w:rsidR="00E2319B" w:rsidRPr="009D6228" w:rsidRDefault="005D3201">
      <w:pPr>
        <w:spacing w:line="360" w:lineRule="auto"/>
        <w:ind w:left="142" w:right="-787"/>
        <w:jc w:val="both"/>
        <w:rPr>
          <w:rFonts w:ascii="Palatino Linotype" w:eastAsia="Palatino Linotype" w:hAnsi="Palatino Linotype" w:cs="Palatino Linotype"/>
        </w:rPr>
      </w:pPr>
      <w:r w:rsidRPr="009D6228">
        <w:rPr>
          <w:rFonts w:ascii="Palatino Linotype" w:eastAsia="Palatino Linotype" w:hAnsi="Palatino Linotype" w:cs="Palatino Linotype"/>
        </w:rPr>
        <w:t>Firmado por el Tesorero Municipal de Tepotzotlán, en fecha 5 de noviembre de 1946.</w:t>
      </w:r>
    </w:p>
    <w:p w:rsidR="00E2319B" w:rsidRPr="009D6228" w:rsidRDefault="00E2319B">
      <w:pPr>
        <w:spacing w:line="360" w:lineRule="auto"/>
        <w:ind w:left="142" w:right="-787"/>
        <w:jc w:val="both"/>
        <w:rPr>
          <w:rFonts w:ascii="Palatino Linotype" w:eastAsia="Palatino Linotype" w:hAnsi="Palatino Linotype" w:cs="Palatino Linotype"/>
        </w:rPr>
      </w:pPr>
    </w:p>
    <w:p w:rsidR="00E2319B" w:rsidRPr="009D6228" w:rsidRDefault="005D3201">
      <w:pPr>
        <w:numPr>
          <w:ilvl w:val="0"/>
          <w:numId w:val="7"/>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9D6228">
        <w:rPr>
          <w:rFonts w:ascii="Palatino Linotype" w:eastAsia="Palatino Linotype" w:hAnsi="Palatino Linotype" w:cs="Palatino Linotype"/>
          <w:color w:val="000000"/>
        </w:rPr>
        <w:t xml:space="preserve">Se eligió como modalidad de entrega de la información: A través del </w:t>
      </w:r>
      <w:r w:rsidRPr="009D6228">
        <w:rPr>
          <w:rFonts w:ascii="Palatino Linotype" w:eastAsia="Palatino Linotype" w:hAnsi="Palatino Linotype" w:cs="Palatino Linotype"/>
          <w:b/>
          <w:color w:val="000000"/>
        </w:rPr>
        <w:t>SAIMEX.</w:t>
      </w:r>
    </w:p>
    <w:p w:rsidR="00E2319B" w:rsidRPr="009D6228" w:rsidRDefault="00E2319B">
      <w:pPr>
        <w:pBdr>
          <w:top w:val="nil"/>
          <w:left w:val="nil"/>
          <w:bottom w:val="nil"/>
          <w:right w:val="nil"/>
          <w:between w:val="nil"/>
        </w:pBdr>
        <w:tabs>
          <w:tab w:val="left" w:pos="0"/>
        </w:tabs>
        <w:spacing w:line="360" w:lineRule="auto"/>
        <w:ind w:right="-787"/>
        <w:jc w:val="both"/>
        <w:rPr>
          <w:color w:val="000000"/>
        </w:rPr>
      </w:pPr>
    </w:p>
    <w:p w:rsidR="00E2319B" w:rsidRPr="009D6228" w:rsidRDefault="005D3201">
      <w:pPr>
        <w:numPr>
          <w:ilvl w:val="0"/>
          <w:numId w:val="2"/>
        </w:numPr>
        <w:pBdr>
          <w:top w:val="nil"/>
          <w:left w:val="nil"/>
          <w:bottom w:val="nil"/>
          <w:right w:val="nil"/>
          <w:between w:val="nil"/>
        </w:pBdr>
        <w:tabs>
          <w:tab w:val="left" w:pos="0"/>
        </w:tabs>
        <w:spacing w:line="360" w:lineRule="auto"/>
        <w:ind w:left="0" w:right="-787" w:firstLine="0"/>
        <w:jc w:val="both"/>
        <w:rPr>
          <w:color w:val="000000"/>
        </w:rPr>
      </w:pPr>
      <w:r w:rsidRPr="009D6228">
        <w:rPr>
          <w:rFonts w:ascii="Palatino Linotype" w:eastAsia="Palatino Linotype" w:hAnsi="Palatino Linotype" w:cs="Palatino Linotype"/>
          <w:color w:val="000000"/>
        </w:rPr>
        <w:t>El</w:t>
      </w:r>
      <w:r w:rsidRPr="009D6228">
        <w:rPr>
          <w:rFonts w:ascii="Palatino Linotype" w:eastAsia="Palatino Linotype" w:hAnsi="Palatino Linotype" w:cs="Palatino Linotype"/>
          <w:b/>
          <w:color w:val="000000"/>
        </w:rPr>
        <w:t xml:space="preserve"> veintisiete de febrero de dos mil veinticuatro</w:t>
      </w:r>
      <w:r w:rsidRPr="009D6228">
        <w:rPr>
          <w:rFonts w:ascii="Palatino Linotype" w:eastAsia="Palatino Linotype" w:hAnsi="Palatino Linotype" w:cs="Palatino Linotype"/>
          <w:color w:val="000000"/>
        </w:rPr>
        <w:t>, el Sujeto Obligado</w:t>
      </w:r>
      <w:r w:rsidRPr="009D6228">
        <w:rPr>
          <w:rFonts w:ascii="Palatino Linotype" w:eastAsia="Palatino Linotype" w:hAnsi="Palatino Linotype" w:cs="Palatino Linotype"/>
          <w:b/>
          <w:color w:val="000000"/>
        </w:rPr>
        <w:t>,</w:t>
      </w:r>
      <w:r w:rsidRPr="009D6228">
        <w:rPr>
          <w:rFonts w:ascii="Palatino Linotype" w:eastAsia="Palatino Linotype" w:hAnsi="Palatino Linotype" w:cs="Palatino Linotype"/>
          <w:color w:val="000000"/>
        </w:rPr>
        <w:t xml:space="preserve"> dio respuesta a través del siguiente archivo electrónico</w:t>
      </w:r>
      <w:r w:rsidRPr="009D6228">
        <w:rPr>
          <w:rFonts w:ascii="Palatino Linotype" w:eastAsia="Palatino Linotype" w:hAnsi="Palatino Linotype" w:cs="Palatino Linotype"/>
          <w:b/>
          <w:i/>
          <w:color w:val="000000"/>
        </w:rPr>
        <w:t>:</w:t>
      </w:r>
    </w:p>
    <w:p w:rsidR="00E2319B" w:rsidRPr="009D6228" w:rsidRDefault="005D3201">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9D6228">
        <w:rPr>
          <w:rFonts w:ascii="Palatino Linotype" w:eastAsia="Palatino Linotype" w:hAnsi="Palatino Linotype" w:cs="Palatino Linotype"/>
          <w:b/>
          <w:i/>
          <w:color w:val="000000"/>
          <w:sz w:val="22"/>
          <w:szCs w:val="22"/>
        </w:rPr>
        <w:t>DDUYM-152-2024.pdf</w:t>
      </w:r>
    </w:p>
    <w:p w:rsidR="00E2319B" w:rsidRPr="009D6228" w:rsidRDefault="005D3201">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9D6228">
        <w:rPr>
          <w:rFonts w:ascii="Palatino Linotype" w:eastAsia="Palatino Linotype" w:hAnsi="Palatino Linotype" w:cs="Palatino Linotype"/>
          <w:color w:val="000000"/>
          <w:sz w:val="22"/>
          <w:szCs w:val="22"/>
        </w:rPr>
        <w:t>Oficio DDUYM/152/2024 de fecha 26 de febrero de 2024, a través del cual el Director de Desarrollo Urbano y Metropolitano, informa que “</w:t>
      </w:r>
      <w:r w:rsidRPr="009D6228">
        <w:rPr>
          <w:rFonts w:ascii="Palatino Linotype" w:eastAsia="Palatino Linotype" w:hAnsi="Palatino Linotype" w:cs="Palatino Linotype"/>
          <w:i/>
          <w:color w:val="000000"/>
          <w:sz w:val="22"/>
          <w:szCs w:val="22"/>
        </w:rPr>
        <w:t>con la información proporcionada no fue posible ubicar el terreno que manifiesta, así como tampoco registro de subdivisiones en los archivos de esa esta dirección.”</w:t>
      </w:r>
    </w:p>
    <w:p w:rsidR="00E2319B" w:rsidRPr="009D6228" w:rsidRDefault="005D3201">
      <w:pPr>
        <w:numPr>
          <w:ilvl w:val="0"/>
          <w:numId w:val="2"/>
        </w:numPr>
        <w:pBdr>
          <w:top w:val="nil"/>
          <w:left w:val="nil"/>
          <w:bottom w:val="nil"/>
          <w:right w:val="nil"/>
          <w:between w:val="nil"/>
        </w:pBdr>
        <w:tabs>
          <w:tab w:val="left" w:pos="0"/>
        </w:tabs>
        <w:spacing w:line="360" w:lineRule="auto"/>
        <w:ind w:left="0" w:right="-787" w:firstLine="0"/>
        <w:jc w:val="both"/>
        <w:rPr>
          <w:color w:val="000000"/>
        </w:rPr>
      </w:pPr>
      <w:r w:rsidRPr="009D6228">
        <w:rPr>
          <w:rFonts w:ascii="Palatino Linotype" w:eastAsia="Palatino Linotype" w:hAnsi="Palatino Linotype" w:cs="Palatino Linotype"/>
          <w:color w:val="000000"/>
        </w:rPr>
        <w:lastRenderedPageBreak/>
        <w:t>El</w:t>
      </w:r>
      <w:r w:rsidRPr="009D6228">
        <w:rPr>
          <w:rFonts w:ascii="Palatino Linotype" w:eastAsia="Palatino Linotype" w:hAnsi="Palatino Linotype" w:cs="Palatino Linotype"/>
          <w:b/>
          <w:color w:val="000000"/>
        </w:rPr>
        <w:t xml:space="preserve"> veintisiete de febrero de dos mil veinticuatro</w:t>
      </w:r>
      <w:r w:rsidRPr="009D6228">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E2319B" w:rsidRPr="009D6228" w:rsidRDefault="005D3201">
      <w:pPr>
        <w:numPr>
          <w:ilvl w:val="0"/>
          <w:numId w:val="1"/>
        </w:numPr>
        <w:pBdr>
          <w:top w:val="nil"/>
          <w:left w:val="nil"/>
          <w:bottom w:val="nil"/>
          <w:right w:val="nil"/>
          <w:between w:val="nil"/>
        </w:pBdr>
        <w:ind w:right="-79"/>
        <w:jc w:val="both"/>
        <w:rPr>
          <w:rFonts w:ascii="Palatino Linotype" w:eastAsia="Palatino Linotype" w:hAnsi="Palatino Linotype" w:cs="Palatino Linotype"/>
          <w:b/>
          <w:color w:val="000000"/>
          <w:sz w:val="22"/>
          <w:szCs w:val="22"/>
        </w:rPr>
      </w:pPr>
      <w:bookmarkStart w:id="1" w:name="_heading=h.30j0zll" w:colFirst="0" w:colLast="0"/>
      <w:bookmarkEnd w:id="1"/>
      <w:r w:rsidRPr="009D6228">
        <w:rPr>
          <w:rFonts w:ascii="Palatino Linotype" w:eastAsia="Palatino Linotype" w:hAnsi="Palatino Linotype" w:cs="Palatino Linotype"/>
          <w:b/>
          <w:color w:val="000000"/>
          <w:sz w:val="22"/>
          <w:szCs w:val="22"/>
        </w:rPr>
        <w:t xml:space="preserve">Acto impugnado: </w:t>
      </w:r>
    </w:p>
    <w:p w:rsidR="00E2319B" w:rsidRPr="009D6228" w:rsidRDefault="005D3201">
      <w:pPr>
        <w:pBdr>
          <w:top w:val="nil"/>
          <w:left w:val="nil"/>
          <w:bottom w:val="nil"/>
          <w:right w:val="nil"/>
          <w:between w:val="nil"/>
        </w:pBdr>
        <w:ind w:left="720" w:right="-79"/>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i/>
          <w:color w:val="000000"/>
          <w:sz w:val="22"/>
          <w:szCs w:val="22"/>
        </w:rPr>
        <w:t>“La imposibilidad de la ubicación del terreno manifestado, así como la no información de los antecedentes y actualizaciones del terreno manifestado, a través del decreto adjuntado.” (Sic)</w:t>
      </w:r>
    </w:p>
    <w:p w:rsidR="00E2319B" w:rsidRPr="009D6228" w:rsidRDefault="00E2319B">
      <w:pPr>
        <w:pBdr>
          <w:top w:val="nil"/>
          <w:left w:val="nil"/>
          <w:bottom w:val="nil"/>
          <w:right w:val="nil"/>
          <w:between w:val="nil"/>
        </w:pBdr>
        <w:ind w:left="1429" w:right="-79"/>
        <w:jc w:val="both"/>
        <w:rPr>
          <w:rFonts w:ascii="Palatino Linotype" w:eastAsia="Palatino Linotype" w:hAnsi="Palatino Linotype" w:cs="Palatino Linotype"/>
          <w:i/>
          <w:color w:val="000000"/>
          <w:sz w:val="22"/>
          <w:szCs w:val="22"/>
        </w:rPr>
      </w:pPr>
    </w:p>
    <w:p w:rsidR="00E2319B" w:rsidRPr="009D6228" w:rsidRDefault="005D3201">
      <w:pPr>
        <w:numPr>
          <w:ilvl w:val="0"/>
          <w:numId w:val="9"/>
        </w:numPr>
        <w:pBdr>
          <w:top w:val="nil"/>
          <w:left w:val="nil"/>
          <w:bottom w:val="nil"/>
          <w:right w:val="nil"/>
          <w:between w:val="nil"/>
        </w:pBdr>
        <w:ind w:right="-79"/>
        <w:jc w:val="both"/>
        <w:rPr>
          <w:rFonts w:ascii="Palatino Linotype" w:eastAsia="Palatino Linotype" w:hAnsi="Palatino Linotype" w:cs="Palatino Linotype"/>
          <w:b/>
          <w:color w:val="000000"/>
          <w:sz w:val="22"/>
          <w:szCs w:val="22"/>
        </w:rPr>
      </w:pPr>
      <w:bookmarkStart w:id="2" w:name="_heading=h.1fob9te" w:colFirst="0" w:colLast="0"/>
      <w:bookmarkEnd w:id="2"/>
      <w:r w:rsidRPr="009D6228">
        <w:rPr>
          <w:rFonts w:ascii="Palatino Linotype" w:eastAsia="Palatino Linotype" w:hAnsi="Palatino Linotype" w:cs="Palatino Linotype"/>
          <w:b/>
          <w:color w:val="000000"/>
          <w:sz w:val="22"/>
          <w:szCs w:val="22"/>
        </w:rPr>
        <w:t>Razones o Motivos de inconformidad:</w:t>
      </w:r>
    </w:p>
    <w:p w:rsidR="00E2319B" w:rsidRPr="009D6228" w:rsidRDefault="005D3201">
      <w:pPr>
        <w:pBdr>
          <w:top w:val="nil"/>
          <w:left w:val="nil"/>
          <w:bottom w:val="nil"/>
          <w:right w:val="nil"/>
          <w:between w:val="nil"/>
        </w:pBdr>
        <w:ind w:left="720" w:right="-79"/>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i/>
          <w:color w:val="000000"/>
          <w:sz w:val="22"/>
          <w:szCs w:val="22"/>
        </w:rPr>
        <w:t xml:space="preserve">“Hay medios y </w:t>
      </w:r>
      <w:bookmarkStart w:id="3" w:name="_GoBack"/>
      <w:r w:rsidRPr="009D6228">
        <w:rPr>
          <w:rFonts w:ascii="Palatino Linotype" w:eastAsia="Palatino Linotype" w:hAnsi="Palatino Linotype" w:cs="Palatino Linotype"/>
          <w:i/>
          <w:color w:val="000000"/>
          <w:sz w:val="22"/>
          <w:szCs w:val="22"/>
        </w:rPr>
        <w:t xml:space="preserve">alcance de las autoridades y direcciones del H. Ayuntamiento de Tepotzotlán que en coordinación pueden otorgar la información solicitada, si bien no están obligados a investigar, efectuar cálculos, o bien resumirla son archivos que deben obrar en su poder, para mayor información, referencia y exactitud para la ubicación del terreno al que hace referencia el decreto adjuntado en la solicitud, proporciono el número de oficio con el que se puede ubicar el terreno (HAT/UTAIP/2023/394) (SM/346/2023), y de ser necesario </w:t>
      </w:r>
      <w:bookmarkEnd w:id="3"/>
      <w:r w:rsidRPr="009D6228">
        <w:rPr>
          <w:rFonts w:ascii="Palatino Linotype" w:eastAsia="Palatino Linotype" w:hAnsi="Palatino Linotype" w:cs="Palatino Linotype"/>
          <w:i/>
          <w:color w:val="000000"/>
          <w:sz w:val="22"/>
          <w:szCs w:val="22"/>
        </w:rPr>
        <w:t>que la información encontrada sea en versión pública.” (Sic)</w:t>
      </w:r>
    </w:p>
    <w:p w:rsidR="00E2319B" w:rsidRPr="009D6228" w:rsidRDefault="00E2319B">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E2319B" w:rsidRPr="009D6228" w:rsidRDefault="005D3201">
      <w:pPr>
        <w:numPr>
          <w:ilvl w:val="0"/>
          <w:numId w:val="2"/>
        </w:numPr>
        <w:pBdr>
          <w:top w:val="nil"/>
          <w:left w:val="nil"/>
          <w:bottom w:val="nil"/>
          <w:right w:val="nil"/>
          <w:between w:val="nil"/>
        </w:pBdr>
        <w:tabs>
          <w:tab w:val="left" w:pos="0"/>
        </w:tabs>
        <w:spacing w:line="360" w:lineRule="auto"/>
        <w:ind w:left="0" w:right="-787" w:firstLine="0"/>
        <w:jc w:val="both"/>
        <w:rPr>
          <w:color w:val="000000"/>
        </w:rPr>
      </w:pPr>
      <w:r w:rsidRPr="009D6228">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9D6228">
        <w:rPr>
          <w:rFonts w:ascii="Palatino Linotype" w:eastAsia="Palatino Linotype" w:hAnsi="Palatino Linotype" w:cs="Palatino Linotype"/>
          <w:b/>
          <w:color w:val="000000"/>
        </w:rPr>
        <w:t xml:space="preserve">acuerdo de admisión </w:t>
      </w:r>
      <w:r w:rsidRPr="009D6228">
        <w:rPr>
          <w:rFonts w:ascii="Palatino Linotype" w:eastAsia="Palatino Linotype" w:hAnsi="Palatino Linotype" w:cs="Palatino Linotype"/>
          <w:color w:val="000000"/>
        </w:rPr>
        <w:t xml:space="preserve">de fecha </w:t>
      </w:r>
      <w:r w:rsidRPr="009D6228">
        <w:rPr>
          <w:rFonts w:ascii="Palatino Linotype" w:eastAsia="Palatino Linotype" w:hAnsi="Palatino Linotype" w:cs="Palatino Linotype"/>
          <w:b/>
          <w:color w:val="000000"/>
        </w:rPr>
        <w:t xml:space="preserve">cinco de marzo de dos mil veinticuatro, </w:t>
      </w:r>
      <w:r w:rsidRPr="009D6228">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9D6228">
        <w:rPr>
          <w:rFonts w:ascii="Palatino Linotype" w:eastAsia="Palatino Linotype" w:hAnsi="Palatino Linotype" w:cs="Palatino Linotype"/>
        </w:rPr>
        <w:t>manifestara</w:t>
      </w:r>
      <w:r w:rsidRPr="009D6228">
        <w:rPr>
          <w:rFonts w:ascii="Palatino Linotype" w:eastAsia="Palatino Linotype" w:hAnsi="Palatino Linotype" w:cs="Palatino Linotype"/>
          <w:color w:val="000000"/>
        </w:rPr>
        <w:t xml:space="preserve"> lo que a su derecho conviniera, </w:t>
      </w:r>
      <w:r w:rsidRPr="009D6228">
        <w:rPr>
          <w:rFonts w:ascii="Palatino Linotype" w:eastAsia="Palatino Linotype" w:hAnsi="Palatino Linotype" w:cs="Palatino Linotype"/>
        </w:rPr>
        <w:t>ofreciera</w:t>
      </w:r>
      <w:r w:rsidRPr="009D6228">
        <w:rPr>
          <w:rFonts w:ascii="Palatino Linotype" w:eastAsia="Palatino Linotype" w:hAnsi="Palatino Linotype" w:cs="Palatino Linotype"/>
          <w:color w:val="000000"/>
        </w:rPr>
        <w:t xml:space="preserve"> pruebas y alegatos según corresponda al caso concreto, de esta forma para que el </w:t>
      </w:r>
      <w:r w:rsidRPr="009D6228">
        <w:rPr>
          <w:rFonts w:ascii="Palatino Linotype" w:eastAsia="Palatino Linotype" w:hAnsi="Palatino Linotype" w:cs="Palatino Linotype"/>
          <w:b/>
          <w:color w:val="000000"/>
        </w:rPr>
        <w:t xml:space="preserve">SUJETO OBLIGADO </w:t>
      </w:r>
      <w:r w:rsidRPr="009D6228">
        <w:rPr>
          <w:rFonts w:ascii="Palatino Linotype" w:eastAsia="Palatino Linotype" w:hAnsi="Palatino Linotype" w:cs="Palatino Linotype"/>
        </w:rPr>
        <w:t>presentará</w:t>
      </w:r>
      <w:r w:rsidRPr="009D6228">
        <w:rPr>
          <w:rFonts w:ascii="Palatino Linotype" w:eastAsia="Palatino Linotype" w:hAnsi="Palatino Linotype" w:cs="Palatino Linotype"/>
          <w:color w:val="000000"/>
        </w:rPr>
        <w:t xml:space="preserve"> el Informe Justificado procedente.</w:t>
      </w:r>
    </w:p>
    <w:p w:rsidR="00E2319B" w:rsidRPr="009D6228" w:rsidRDefault="00E2319B">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9D6228">
        <w:rPr>
          <w:rFonts w:ascii="Palatino Linotype" w:eastAsia="Palatino Linotype" w:hAnsi="Palatino Linotype" w:cs="Palatino Linotype"/>
          <w:color w:val="000000"/>
        </w:rPr>
        <w:t>El Recurrente</w:t>
      </w:r>
      <w:r w:rsidRPr="009D6228">
        <w:rPr>
          <w:rFonts w:ascii="Palatino Linotype" w:eastAsia="Palatino Linotype" w:hAnsi="Palatino Linotype" w:cs="Palatino Linotype"/>
          <w:b/>
          <w:color w:val="000000"/>
        </w:rPr>
        <w:t xml:space="preserve"> </w:t>
      </w:r>
      <w:r w:rsidRPr="009D6228">
        <w:rPr>
          <w:rFonts w:ascii="Palatino Linotype" w:eastAsia="Palatino Linotype" w:hAnsi="Palatino Linotype" w:cs="Palatino Linotype"/>
          <w:color w:val="000000"/>
        </w:rPr>
        <w:t>dejó de realizar manifestaciones que a su derecho conviniera y asistiera. Por su parte, el Sujeto Obligado,</w:t>
      </w:r>
      <w:r w:rsidRPr="009D6228">
        <w:rPr>
          <w:rFonts w:ascii="Palatino Linotype" w:eastAsia="Palatino Linotype" w:hAnsi="Palatino Linotype" w:cs="Palatino Linotype"/>
          <w:b/>
          <w:color w:val="000000"/>
        </w:rPr>
        <w:t xml:space="preserve"> tampoco </w:t>
      </w:r>
      <w:r w:rsidRPr="009D6228">
        <w:rPr>
          <w:rFonts w:ascii="Palatino Linotype" w:eastAsia="Palatino Linotype" w:hAnsi="Palatino Linotype" w:cs="Palatino Linotype"/>
          <w:color w:val="000000"/>
        </w:rPr>
        <w:t>presentó informe justificado, tal como se aprecia en la siguiente captura de pantalla.</w:t>
      </w:r>
    </w:p>
    <w:p w:rsidR="00E2319B" w:rsidRPr="009D6228" w:rsidRDefault="005D3201">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9D6228">
        <w:rPr>
          <w:rFonts w:ascii="Palatino Linotype" w:eastAsia="Palatino Linotype" w:hAnsi="Palatino Linotype" w:cs="Palatino Linotype"/>
          <w:b/>
          <w:noProof/>
          <w:color w:val="000000"/>
          <w:lang w:val="es-MX" w:eastAsia="es-MX"/>
        </w:rPr>
        <w:lastRenderedPageBreak/>
        <w:drawing>
          <wp:inline distT="0" distB="0" distL="0" distR="0">
            <wp:extent cx="4510954" cy="117342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10954" cy="1173420"/>
                    </a:xfrm>
                    <a:prstGeom prst="rect">
                      <a:avLst/>
                    </a:prstGeom>
                    <a:ln/>
                  </pic:spPr>
                </pic:pic>
              </a:graphicData>
            </a:graphic>
          </wp:inline>
        </w:drawing>
      </w:r>
    </w:p>
    <w:p w:rsidR="00E2319B" w:rsidRPr="009D6228" w:rsidRDefault="00E2319B">
      <w:pPr>
        <w:pBdr>
          <w:top w:val="nil"/>
          <w:left w:val="nil"/>
          <w:bottom w:val="nil"/>
          <w:right w:val="nil"/>
          <w:between w:val="nil"/>
        </w:pBdr>
        <w:spacing w:line="360" w:lineRule="auto"/>
        <w:ind w:right="-787"/>
        <w:jc w:val="center"/>
        <w:rPr>
          <w:rFonts w:ascii="Palatino Linotype" w:eastAsia="Palatino Linotype" w:hAnsi="Palatino Linotype" w:cs="Palatino Linotype"/>
          <w:b/>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color w:val="000000"/>
        </w:rPr>
      </w:pPr>
      <w:r w:rsidRPr="009D6228">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9D6228">
        <w:rPr>
          <w:rFonts w:ascii="Palatino Linotype" w:eastAsia="Palatino Linotype" w:hAnsi="Palatino Linotype" w:cs="Palatino Linotype"/>
          <w:b/>
          <w:color w:val="000000"/>
        </w:rPr>
        <w:t xml:space="preserve"> veintinueve de abril de dos mil veinticuatro</w:t>
      </w:r>
      <w:r w:rsidRPr="009D6228">
        <w:rPr>
          <w:rFonts w:ascii="Palatino Linotype" w:eastAsia="Palatino Linotype" w:hAnsi="Palatino Linotype" w:cs="Palatino Linotype"/>
          <w:color w:val="000000"/>
        </w:rPr>
        <w:t xml:space="preserve"> se acordó ampliar el término para resolver el presente asunto.</w:t>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color w:val="000000"/>
        </w:rPr>
      </w:pPr>
      <w:r w:rsidRPr="009D6228">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E2319B" w:rsidRPr="009D6228" w:rsidRDefault="00E2319B">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color w:val="000000"/>
        </w:rPr>
      </w:pPr>
      <w:r w:rsidRPr="009D6228">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E2319B" w:rsidRPr="009D6228" w:rsidRDefault="00E2319B">
      <w:pPr>
        <w:pBdr>
          <w:top w:val="nil"/>
          <w:left w:val="nil"/>
          <w:bottom w:val="nil"/>
          <w:right w:val="nil"/>
          <w:between w:val="nil"/>
        </w:pBdr>
        <w:ind w:left="720" w:right="-787"/>
        <w:rPr>
          <w:rFonts w:ascii="Palatino Linotype" w:eastAsia="Palatino Linotype" w:hAnsi="Palatino Linotype" w:cs="Palatino Linotype"/>
          <w:color w:val="000000"/>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color w:val="000000"/>
        </w:rPr>
      </w:pPr>
      <w:r w:rsidRPr="009D6228">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E2319B" w:rsidRPr="009D6228" w:rsidRDefault="00E2319B">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color w:val="000000"/>
        </w:rPr>
      </w:pPr>
      <w:r w:rsidRPr="009D6228">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E2319B" w:rsidRPr="009D6228" w:rsidRDefault="005D3201">
      <w:pPr>
        <w:numPr>
          <w:ilvl w:val="0"/>
          <w:numId w:val="8"/>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9D6228">
        <w:rPr>
          <w:rFonts w:ascii="Palatino Linotype" w:eastAsia="Palatino Linotype" w:hAnsi="Palatino Linotype" w:cs="Palatino Linotype"/>
          <w:color w:val="000000"/>
          <w:sz w:val="22"/>
          <w:szCs w:val="22"/>
        </w:rPr>
        <w:t xml:space="preserve">Complejidad del </w:t>
      </w:r>
      <w:r w:rsidRPr="009D6228">
        <w:rPr>
          <w:rFonts w:ascii="Palatino Linotype" w:eastAsia="Palatino Linotype" w:hAnsi="Palatino Linotype" w:cs="Palatino Linotype"/>
          <w:sz w:val="22"/>
          <w:szCs w:val="22"/>
        </w:rPr>
        <w:t>asunto</w:t>
      </w:r>
      <w:r w:rsidRPr="009D6228">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E2319B" w:rsidRPr="009D6228" w:rsidRDefault="005D3201">
      <w:pPr>
        <w:numPr>
          <w:ilvl w:val="0"/>
          <w:numId w:val="8"/>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9D6228">
        <w:rPr>
          <w:rFonts w:ascii="Palatino Linotype" w:eastAsia="Palatino Linotype" w:hAnsi="Palatino Linotype" w:cs="Palatino Linotype"/>
          <w:color w:val="000000"/>
          <w:sz w:val="22"/>
          <w:szCs w:val="22"/>
        </w:rPr>
        <w:t>Actividad Procesal del interesado. Acciones u omisiones del interesado.</w:t>
      </w:r>
    </w:p>
    <w:p w:rsidR="00E2319B" w:rsidRPr="009D6228" w:rsidRDefault="005D3201">
      <w:pPr>
        <w:numPr>
          <w:ilvl w:val="0"/>
          <w:numId w:val="8"/>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9D6228">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E2319B" w:rsidRPr="009D6228" w:rsidRDefault="005D3201">
      <w:pPr>
        <w:ind w:left="851" w:right="-79" w:hanging="284"/>
        <w:jc w:val="both"/>
        <w:rPr>
          <w:rFonts w:ascii="Palatino Linotype" w:eastAsia="Palatino Linotype" w:hAnsi="Palatino Linotype" w:cs="Palatino Linotype"/>
          <w:sz w:val="22"/>
          <w:szCs w:val="22"/>
        </w:rPr>
      </w:pPr>
      <w:r w:rsidRPr="009D6228">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E2319B" w:rsidRPr="009D6228" w:rsidRDefault="00E2319B">
      <w:pPr>
        <w:spacing w:line="360" w:lineRule="auto"/>
        <w:ind w:left="851" w:right="-787" w:hanging="284"/>
        <w:jc w:val="both"/>
        <w:rPr>
          <w:rFonts w:ascii="Palatino Linotype" w:eastAsia="Palatino Linotype" w:hAnsi="Palatino Linotype" w:cs="Palatino Linotype"/>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color w:val="000000"/>
        </w:rPr>
      </w:pPr>
      <w:r w:rsidRPr="009D6228">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E2319B" w:rsidRPr="009D6228" w:rsidRDefault="00E2319B">
      <w:pPr>
        <w:pBdr>
          <w:top w:val="nil"/>
          <w:left w:val="nil"/>
          <w:bottom w:val="nil"/>
          <w:right w:val="nil"/>
          <w:between w:val="nil"/>
        </w:pBdr>
        <w:spacing w:line="360" w:lineRule="auto"/>
        <w:ind w:right="-787"/>
        <w:jc w:val="both"/>
        <w:rPr>
          <w:color w:val="000000"/>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9D6228">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9D6228">
        <w:rPr>
          <w:rFonts w:ascii="Palatino Linotype" w:eastAsia="Palatino Linotype" w:hAnsi="Palatino Linotype" w:cs="Palatino Linotype"/>
        </w:rPr>
        <w:t>del rubro</w:t>
      </w:r>
      <w:r w:rsidRPr="009D6228">
        <w:rPr>
          <w:rFonts w:ascii="Palatino Linotype" w:eastAsia="Palatino Linotype" w:hAnsi="Palatino Linotype" w:cs="Palatino Linotype"/>
          <w:color w:val="000000"/>
        </w:rPr>
        <w:t xml:space="preserve"> </w:t>
      </w:r>
      <w:r w:rsidRPr="009D6228">
        <w:rPr>
          <w:rFonts w:ascii="Palatino Linotype" w:eastAsia="Palatino Linotype" w:hAnsi="Palatino Linotype" w:cs="Palatino Linotype"/>
          <w:i/>
          <w:color w:val="000000"/>
        </w:rPr>
        <w:t xml:space="preserve">“TÉRMINOS PROCESALES. PARA DETERMINAR SI UN FUNCIONARIO JUDICIAL ACTUÓ INDEBIDAMENTE POR NO RESPETARLOS SE DEBE ATENDER AL PRESUPUESTO QUE CONSIDERÓ EL </w:t>
      </w:r>
      <w:r w:rsidRPr="009D6228">
        <w:rPr>
          <w:rFonts w:ascii="Palatino Linotype" w:eastAsia="Palatino Linotype" w:hAnsi="Palatino Linotype" w:cs="Palatino Linotype"/>
          <w:i/>
          <w:color w:val="000000"/>
        </w:rPr>
        <w:lastRenderedPageBreak/>
        <w:t>LEGISLADOR AL FIJARLOS Y LAS CARACTERÍSTICAS DEL CASO.”</w:t>
      </w:r>
      <w:r w:rsidRPr="009D6228">
        <w:rPr>
          <w:rFonts w:ascii="Palatino Linotype" w:eastAsia="Palatino Linotype" w:hAnsi="Palatino Linotype" w:cs="Palatino Linotype"/>
          <w:color w:val="000000"/>
        </w:rPr>
        <w:t xml:space="preserve">, visible en la Gaceta del </w:t>
      </w:r>
      <w:r w:rsidRPr="009D6228">
        <w:rPr>
          <w:rFonts w:ascii="Palatino Linotype" w:eastAsia="Palatino Linotype" w:hAnsi="Palatino Linotype" w:cs="Palatino Linotype"/>
        </w:rPr>
        <w:t>Semanario</w:t>
      </w:r>
      <w:r w:rsidRPr="009D6228">
        <w:rPr>
          <w:rFonts w:ascii="Palatino Linotype" w:eastAsia="Palatino Linotype" w:hAnsi="Palatino Linotype" w:cs="Palatino Linotype"/>
          <w:color w:val="000000"/>
        </w:rPr>
        <w:t xml:space="preserve"> Judicial de la Federación con el registro digital 205635.</w:t>
      </w:r>
    </w:p>
    <w:p w:rsidR="00E2319B" w:rsidRPr="009D6228" w:rsidRDefault="00E2319B">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4" w:name="_heading=h.3znysh7" w:colFirst="0" w:colLast="0"/>
      <w:bookmarkEnd w:id="4"/>
      <w:r w:rsidRPr="009D6228">
        <w:rPr>
          <w:rFonts w:ascii="Palatino Linotype" w:eastAsia="Palatino Linotype" w:hAnsi="Palatino Linotype" w:cs="Palatino Linotype"/>
          <w:color w:val="000000"/>
        </w:rPr>
        <w:t xml:space="preserve">Seguidamente, en fecha </w:t>
      </w:r>
      <w:r w:rsidRPr="009D6228">
        <w:rPr>
          <w:rFonts w:ascii="Palatino Linotype" w:eastAsia="Palatino Linotype" w:hAnsi="Palatino Linotype" w:cs="Palatino Linotype"/>
          <w:b/>
          <w:color w:val="000000"/>
        </w:rPr>
        <w:t>cinco de febrero de dos mil veinticinco</w:t>
      </w:r>
      <w:r w:rsidRPr="009D6228">
        <w:rPr>
          <w:rFonts w:ascii="Palatino Linotype" w:eastAsia="Palatino Linotype" w:hAnsi="Palatino Linotype" w:cs="Palatino Linotype"/>
          <w:color w:val="000000"/>
        </w:rPr>
        <w:t xml:space="preserve">, la Comisionada Ponente dictó el </w:t>
      </w:r>
      <w:r w:rsidRPr="009D6228">
        <w:rPr>
          <w:rFonts w:ascii="Palatino Linotype" w:eastAsia="Palatino Linotype" w:hAnsi="Palatino Linotype" w:cs="Palatino Linotype"/>
          <w:b/>
          <w:color w:val="000000"/>
        </w:rPr>
        <w:t>cierre del periodo de instrucción</w:t>
      </w:r>
      <w:r w:rsidRPr="009D6228">
        <w:rPr>
          <w:rFonts w:ascii="Palatino Linotype" w:eastAsia="Palatino Linotype" w:hAnsi="Palatino Linotype" w:cs="Palatino Linotype"/>
          <w:color w:val="000000"/>
        </w:rPr>
        <w:t xml:space="preserve"> y, ordenó la resolución que conforme a Derecho proceda, de acuerdo a las siguientes:</w:t>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E2319B" w:rsidRPr="009D6228" w:rsidRDefault="005D3201">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9D6228">
        <w:rPr>
          <w:rFonts w:ascii="Palatino Linotype" w:eastAsia="Palatino Linotype" w:hAnsi="Palatino Linotype" w:cs="Palatino Linotype"/>
          <w:b/>
          <w:color w:val="000000"/>
        </w:rPr>
        <w:t>C O N S I D E R A C I O N E S</w:t>
      </w:r>
    </w:p>
    <w:p w:rsidR="00E2319B" w:rsidRPr="009D6228" w:rsidRDefault="00E2319B">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E2319B" w:rsidRPr="009D6228" w:rsidRDefault="005D3201">
      <w:pPr>
        <w:pStyle w:val="Ttulo2"/>
        <w:spacing w:before="0" w:line="360" w:lineRule="auto"/>
        <w:ind w:right="-787"/>
        <w:rPr>
          <w:rFonts w:ascii="Palatino Linotype" w:eastAsia="Palatino Linotype" w:hAnsi="Palatino Linotype" w:cs="Palatino Linotype"/>
          <w:b/>
          <w:color w:val="000000"/>
          <w:sz w:val="24"/>
          <w:szCs w:val="24"/>
        </w:rPr>
      </w:pPr>
      <w:bookmarkStart w:id="5" w:name="_heading=h.2et92p0" w:colFirst="0" w:colLast="0"/>
      <w:bookmarkEnd w:id="5"/>
      <w:r w:rsidRPr="009D6228">
        <w:rPr>
          <w:rFonts w:ascii="Palatino Linotype" w:eastAsia="Palatino Linotype" w:hAnsi="Palatino Linotype" w:cs="Palatino Linotype"/>
          <w:b/>
          <w:color w:val="000000"/>
          <w:sz w:val="24"/>
          <w:szCs w:val="24"/>
        </w:rPr>
        <w:t>PRIMERA. Competencia</w:t>
      </w:r>
    </w:p>
    <w:p w:rsidR="00E2319B" w:rsidRPr="009D6228" w:rsidRDefault="005D3201">
      <w:pPr>
        <w:numPr>
          <w:ilvl w:val="0"/>
          <w:numId w:val="2"/>
        </w:numPr>
        <w:pBdr>
          <w:top w:val="nil"/>
          <w:left w:val="nil"/>
          <w:bottom w:val="nil"/>
          <w:right w:val="nil"/>
          <w:between w:val="nil"/>
        </w:pBdr>
        <w:spacing w:line="360" w:lineRule="auto"/>
        <w:ind w:left="0" w:right="-787" w:firstLine="0"/>
        <w:jc w:val="both"/>
        <w:rPr>
          <w:color w:val="000000"/>
        </w:rPr>
      </w:pPr>
      <w:r w:rsidRPr="009D6228">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E2319B" w:rsidRPr="009D6228" w:rsidRDefault="005D3201">
      <w:pPr>
        <w:pStyle w:val="Ttulo2"/>
        <w:spacing w:before="0" w:line="360" w:lineRule="auto"/>
        <w:ind w:right="-787"/>
        <w:rPr>
          <w:rFonts w:ascii="Palatino Linotype" w:eastAsia="Palatino Linotype" w:hAnsi="Palatino Linotype" w:cs="Palatino Linotype"/>
          <w:b/>
          <w:color w:val="000000"/>
          <w:sz w:val="24"/>
          <w:szCs w:val="24"/>
        </w:rPr>
      </w:pPr>
      <w:bookmarkStart w:id="6" w:name="_heading=h.tyjcwt" w:colFirst="0" w:colLast="0"/>
      <w:bookmarkEnd w:id="6"/>
      <w:r w:rsidRPr="009D6228">
        <w:rPr>
          <w:rFonts w:ascii="Palatino Linotype" w:eastAsia="Palatino Linotype" w:hAnsi="Palatino Linotype" w:cs="Palatino Linotype"/>
          <w:b/>
          <w:color w:val="000000"/>
          <w:sz w:val="24"/>
          <w:szCs w:val="24"/>
        </w:rPr>
        <w:lastRenderedPageBreak/>
        <w:t xml:space="preserve">SEGUNDA. Procedencia </w:t>
      </w:r>
    </w:p>
    <w:p w:rsidR="00E2319B" w:rsidRPr="009D6228" w:rsidRDefault="005D3201">
      <w:pPr>
        <w:numPr>
          <w:ilvl w:val="0"/>
          <w:numId w:val="2"/>
        </w:numPr>
        <w:spacing w:line="360" w:lineRule="auto"/>
        <w:ind w:left="0" w:right="-787" w:firstLine="0"/>
        <w:jc w:val="both"/>
      </w:pPr>
      <w:r w:rsidRPr="009D6228">
        <w:rPr>
          <w:rFonts w:ascii="Palatino Linotype" w:eastAsia="Palatino Linotype" w:hAnsi="Palatino Linotype" w:cs="Palatino Linotype"/>
        </w:rPr>
        <w:t xml:space="preserve">Este Órgano Garante considera que el medio de impugnación reúne los requisitos de procedencia </w:t>
      </w:r>
      <w:r w:rsidRPr="009D6228">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E2319B" w:rsidRPr="009D6228" w:rsidRDefault="00E2319B">
      <w:pPr>
        <w:spacing w:line="360" w:lineRule="auto"/>
        <w:ind w:right="-787"/>
        <w:jc w:val="both"/>
        <w:rPr>
          <w:rFonts w:ascii="Palatino Linotype" w:eastAsia="Palatino Linotype" w:hAnsi="Palatino Linotype" w:cs="Palatino Linotype"/>
        </w:rPr>
      </w:pPr>
    </w:p>
    <w:p w:rsidR="00E2319B" w:rsidRPr="009D6228" w:rsidRDefault="005D3201">
      <w:pPr>
        <w:numPr>
          <w:ilvl w:val="0"/>
          <w:numId w:val="2"/>
        </w:numPr>
        <w:spacing w:line="360" w:lineRule="auto"/>
        <w:ind w:left="0" w:right="-787" w:firstLine="0"/>
        <w:jc w:val="both"/>
      </w:pPr>
      <w:r w:rsidRPr="009D6228">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E2319B" w:rsidRPr="009D6228" w:rsidRDefault="00E2319B">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E2319B" w:rsidRPr="009D6228" w:rsidRDefault="005D3201">
      <w:pPr>
        <w:pStyle w:val="Ttulo1"/>
        <w:spacing w:before="0" w:line="360" w:lineRule="auto"/>
        <w:ind w:right="-787"/>
        <w:rPr>
          <w:rFonts w:ascii="Palatino Linotype" w:eastAsia="Palatino Linotype" w:hAnsi="Palatino Linotype" w:cs="Palatino Linotype"/>
          <w:b/>
          <w:color w:val="000000"/>
          <w:sz w:val="24"/>
          <w:szCs w:val="24"/>
        </w:rPr>
      </w:pPr>
      <w:bookmarkStart w:id="7" w:name="_heading=h.3dy6vkm" w:colFirst="0" w:colLast="0"/>
      <w:bookmarkEnd w:id="7"/>
      <w:r w:rsidRPr="009D6228">
        <w:rPr>
          <w:rFonts w:ascii="Palatino Linotype" w:eastAsia="Palatino Linotype" w:hAnsi="Palatino Linotype" w:cs="Palatino Linotype"/>
          <w:b/>
          <w:color w:val="000000"/>
          <w:sz w:val="24"/>
          <w:szCs w:val="24"/>
        </w:rPr>
        <w:t>TERCERA. Descripción de hechos y planteamiento de la controversia.</w:t>
      </w:r>
    </w:p>
    <w:p w:rsidR="00E2319B" w:rsidRPr="009D6228" w:rsidRDefault="005D3201">
      <w:pPr>
        <w:numPr>
          <w:ilvl w:val="0"/>
          <w:numId w:val="2"/>
        </w:numPr>
        <w:pBdr>
          <w:top w:val="nil"/>
          <w:left w:val="nil"/>
          <w:bottom w:val="nil"/>
          <w:right w:val="nil"/>
          <w:between w:val="nil"/>
        </w:pBdr>
        <w:spacing w:line="360" w:lineRule="auto"/>
        <w:ind w:left="0" w:right="-787" w:firstLine="0"/>
        <w:jc w:val="both"/>
        <w:rPr>
          <w:color w:val="000000"/>
        </w:rPr>
      </w:pPr>
      <w:r w:rsidRPr="009D6228">
        <w:rPr>
          <w:rFonts w:ascii="Palatino Linotype" w:eastAsia="Palatino Linotype" w:hAnsi="Palatino Linotype" w:cs="Palatino Linotype"/>
          <w:color w:val="000000"/>
        </w:rPr>
        <w:t>Se solicitó tener acceso, a la información que a continuación se describe:</w:t>
      </w:r>
    </w:p>
    <w:p w:rsidR="00E2319B" w:rsidRPr="009D6228" w:rsidRDefault="005D3201">
      <w:pPr>
        <w:pBdr>
          <w:top w:val="nil"/>
          <w:left w:val="nil"/>
          <w:bottom w:val="nil"/>
          <w:right w:val="nil"/>
          <w:between w:val="nil"/>
        </w:pBdr>
        <w:spacing w:line="360" w:lineRule="auto"/>
        <w:ind w:left="850" w:right="-79"/>
        <w:jc w:val="both"/>
        <w:rPr>
          <w:rFonts w:ascii="Palatino Linotype" w:eastAsia="Palatino Linotype" w:hAnsi="Palatino Linotype" w:cs="Palatino Linotype"/>
        </w:rPr>
      </w:pPr>
      <w:r w:rsidRPr="009D6228">
        <w:rPr>
          <w:rFonts w:ascii="Palatino Linotype" w:eastAsia="Palatino Linotype" w:hAnsi="Palatino Linotype" w:cs="Palatino Linotype"/>
        </w:rPr>
        <w:t>Del documento denominado Título de adjudicación a favor de un ciudadano, del terreno ubicado en el Barrio de Capula, perteneciente al municipio de Tepotzotlán, el 5 de noviembre de 1946:</w:t>
      </w:r>
    </w:p>
    <w:p w:rsidR="00E2319B" w:rsidRPr="009D6228" w:rsidRDefault="005D3201">
      <w:pPr>
        <w:numPr>
          <w:ilvl w:val="0"/>
          <w:numId w:val="5"/>
        </w:numPr>
        <w:pBdr>
          <w:top w:val="nil"/>
          <w:left w:val="nil"/>
          <w:bottom w:val="nil"/>
          <w:right w:val="nil"/>
          <w:between w:val="nil"/>
        </w:pBdr>
        <w:spacing w:line="360" w:lineRule="auto"/>
        <w:ind w:left="850" w:right="-79" w:firstLine="0"/>
        <w:jc w:val="both"/>
        <w:rPr>
          <w:rFonts w:ascii="Palatino Linotype" w:eastAsia="Palatino Linotype" w:hAnsi="Palatino Linotype" w:cs="Palatino Linotype"/>
          <w:i/>
          <w:color w:val="000000"/>
        </w:rPr>
      </w:pPr>
      <w:r w:rsidRPr="009D6228">
        <w:rPr>
          <w:rFonts w:ascii="Palatino Linotype" w:eastAsia="Palatino Linotype" w:hAnsi="Palatino Linotype" w:cs="Palatino Linotype"/>
          <w:i/>
          <w:color w:val="000000"/>
        </w:rPr>
        <w:t>Actualizaciones que se han realizado en el trascurso de los años hasta la actualidad en relación al terreno.</w:t>
      </w:r>
    </w:p>
    <w:p w:rsidR="00E2319B" w:rsidRPr="009D6228" w:rsidRDefault="005D3201">
      <w:pPr>
        <w:numPr>
          <w:ilvl w:val="0"/>
          <w:numId w:val="5"/>
        </w:numPr>
        <w:pBdr>
          <w:top w:val="nil"/>
          <w:left w:val="nil"/>
          <w:bottom w:val="nil"/>
          <w:right w:val="nil"/>
          <w:between w:val="nil"/>
        </w:pBdr>
        <w:spacing w:line="360" w:lineRule="auto"/>
        <w:ind w:left="850" w:right="-79" w:firstLine="0"/>
        <w:jc w:val="both"/>
        <w:rPr>
          <w:rFonts w:ascii="Palatino Linotype" w:eastAsia="Palatino Linotype" w:hAnsi="Palatino Linotype" w:cs="Palatino Linotype"/>
          <w:i/>
          <w:color w:val="000000"/>
        </w:rPr>
      </w:pPr>
      <w:r w:rsidRPr="009D6228">
        <w:rPr>
          <w:rFonts w:ascii="Palatino Linotype" w:eastAsia="Palatino Linotype" w:hAnsi="Palatino Linotype" w:cs="Palatino Linotype"/>
          <w:i/>
          <w:color w:val="000000"/>
        </w:rPr>
        <w:t>Copia simple en versión publica de las subdivisiones que se han realizado a dicho terreno y como se encuentran en la actualidad.</w:t>
      </w:r>
    </w:p>
    <w:p w:rsidR="00E2319B" w:rsidRPr="009D6228" w:rsidRDefault="00E2319B">
      <w:pPr>
        <w:pBdr>
          <w:top w:val="nil"/>
          <w:left w:val="nil"/>
          <w:bottom w:val="nil"/>
          <w:right w:val="nil"/>
          <w:between w:val="nil"/>
        </w:pBdr>
        <w:spacing w:line="360" w:lineRule="auto"/>
        <w:ind w:left="1428" w:right="-787"/>
        <w:jc w:val="both"/>
        <w:rPr>
          <w:rFonts w:ascii="Palatino Linotype" w:eastAsia="Palatino Linotype" w:hAnsi="Palatino Linotype" w:cs="Palatino Linotype"/>
          <w:b/>
          <w:color w:val="000000"/>
        </w:rPr>
      </w:pPr>
    </w:p>
    <w:p w:rsidR="00E2319B" w:rsidRPr="009D6228" w:rsidRDefault="005D3201">
      <w:pPr>
        <w:numPr>
          <w:ilvl w:val="0"/>
          <w:numId w:val="2"/>
        </w:numPr>
        <w:spacing w:line="360" w:lineRule="auto"/>
        <w:ind w:left="0" w:right="-787" w:firstLine="0"/>
        <w:jc w:val="both"/>
        <w:rPr>
          <w:color w:val="000000"/>
        </w:rPr>
      </w:pPr>
      <w:r w:rsidRPr="009D6228">
        <w:rPr>
          <w:rFonts w:ascii="Palatino Linotype" w:eastAsia="Palatino Linotype" w:hAnsi="Palatino Linotype" w:cs="Palatino Linotype"/>
        </w:rPr>
        <w:t>En respuesta, el Sujeto Obligado</w:t>
      </w:r>
      <w:r w:rsidRPr="009D6228">
        <w:rPr>
          <w:rFonts w:ascii="Palatino Linotype" w:eastAsia="Palatino Linotype" w:hAnsi="Palatino Linotype" w:cs="Palatino Linotype"/>
          <w:b/>
        </w:rPr>
        <w:t xml:space="preserve"> </w:t>
      </w:r>
      <w:r w:rsidRPr="009D6228">
        <w:rPr>
          <w:rFonts w:ascii="Palatino Linotype" w:eastAsia="Palatino Linotype" w:hAnsi="Palatino Linotype" w:cs="Palatino Linotype"/>
        </w:rPr>
        <w:t>remitió el archivo ya descrito en el anterior párrafo 2, inconforme con la respuesta, se interpuso recurso de revisión argumentando sustancialmente la falta de entrega de información.</w:t>
      </w:r>
    </w:p>
    <w:p w:rsidR="00E2319B" w:rsidRPr="009D6228" w:rsidRDefault="005D3201">
      <w:pPr>
        <w:numPr>
          <w:ilvl w:val="0"/>
          <w:numId w:val="2"/>
        </w:numPr>
        <w:spacing w:line="360" w:lineRule="auto"/>
        <w:ind w:left="0" w:right="-787" w:firstLine="0"/>
        <w:jc w:val="both"/>
      </w:pPr>
      <w:r w:rsidRPr="009D6228">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I,</w:t>
      </w:r>
      <w:r w:rsidRPr="009D6228">
        <w:rPr>
          <w:rFonts w:ascii="Palatino Linotype" w:eastAsia="Palatino Linotype" w:hAnsi="Palatino Linotype" w:cs="Palatino Linotype"/>
          <w:b/>
        </w:rPr>
        <w:t xml:space="preserve"> </w:t>
      </w:r>
      <w:r w:rsidRPr="009D6228">
        <w:rPr>
          <w:rFonts w:ascii="Palatino Linotype" w:eastAsia="Palatino Linotype" w:hAnsi="Palatino Linotype" w:cs="Palatino Linotype"/>
        </w:rPr>
        <w:t>de la Ley de Transparencia y Acceso a la Información Pública del Estado de</w:t>
      </w:r>
      <w:r w:rsidRPr="009D6228">
        <w:rPr>
          <w:rFonts w:ascii="Palatino Linotype" w:eastAsia="Palatino Linotype" w:hAnsi="Palatino Linotype" w:cs="Palatino Linotype"/>
          <w:b/>
        </w:rPr>
        <w:t xml:space="preserve"> </w:t>
      </w:r>
      <w:r w:rsidRPr="009D6228">
        <w:rPr>
          <w:rFonts w:ascii="Palatino Linotype" w:eastAsia="Palatino Linotype" w:hAnsi="Palatino Linotype" w:cs="Palatino Linotype"/>
        </w:rPr>
        <w:t>México</w:t>
      </w:r>
      <w:r w:rsidRPr="009D6228">
        <w:rPr>
          <w:rFonts w:ascii="Palatino Linotype" w:eastAsia="Palatino Linotype" w:hAnsi="Palatino Linotype" w:cs="Palatino Linotype"/>
          <w:b/>
        </w:rPr>
        <w:t xml:space="preserve"> </w:t>
      </w:r>
      <w:r w:rsidRPr="009D6228">
        <w:rPr>
          <w:rFonts w:ascii="Palatino Linotype" w:eastAsia="Palatino Linotype" w:hAnsi="Palatino Linotype" w:cs="Palatino Linotype"/>
        </w:rPr>
        <w:t>y</w:t>
      </w:r>
      <w:r w:rsidRPr="009D6228">
        <w:rPr>
          <w:rFonts w:ascii="Palatino Linotype" w:eastAsia="Palatino Linotype" w:hAnsi="Palatino Linotype" w:cs="Palatino Linotype"/>
          <w:b/>
        </w:rPr>
        <w:t xml:space="preserve"> </w:t>
      </w:r>
      <w:r w:rsidRPr="009D6228">
        <w:rPr>
          <w:rFonts w:ascii="Palatino Linotype" w:eastAsia="Palatino Linotype" w:hAnsi="Palatino Linotype" w:cs="Palatino Linotype"/>
        </w:rPr>
        <w:t xml:space="preserve">Municipios; </w:t>
      </w:r>
      <w:r w:rsidRPr="009D6228">
        <w:rPr>
          <w:rFonts w:ascii="Palatino Linotype" w:eastAsia="Palatino Linotype" w:hAnsi="Palatino Linotype" w:cs="Palatino Linotype"/>
          <w:color w:val="000000"/>
        </w:rPr>
        <w:t xml:space="preserve">fracción que determinan la hipótesis relativa a la negativa a la información solicitada; </w:t>
      </w:r>
      <w:r w:rsidRPr="009D6228">
        <w:rPr>
          <w:rFonts w:ascii="Palatino Linotype" w:eastAsia="Palatino Linotype" w:hAnsi="Palatino Linotype" w:cs="Palatino Linotype"/>
        </w:rPr>
        <w:t>contexto del cual se dolió el Recurrente al momento de impugnar el acto.</w:t>
      </w:r>
      <w:r w:rsidRPr="009D6228">
        <w:rPr>
          <w:rFonts w:ascii="Palatino Linotype" w:eastAsia="Palatino Linotype" w:hAnsi="Palatino Linotype" w:cs="Palatino Linotype"/>
          <w:color w:val="000000"/>
        </w:rPr>
        <w:t xml:space="preserve"> De modo tal que el presente recurso de revisión se </w:t>
      </w:r>
      <w:r w:rsidRPr="009D6228">
        <w:rPr>
          <w:rFonts w:ascii="Palatino Linotype" w:eastAsia="Palatino Linotype" w:hAnsi="Palatino Linotype" w:cs="Palatino Linotype"/>
        </w:rPr>
        <w:t>abocará</w:t>
      </w:r>
      <w:r w:rsidRPr="009D6228">
        <w:rPr>
          <w:rFonts w:ascii="Palatino Linotype" w:eastAsia="Palatino Linotype" w:hAnsi="Palatino Linotype" w:cs="Palatino Linotype"/>
          <w:color w:val="000000"/>
        </w:rPr>
        <w:t xml:space="preserve"> en determinar si el Sujeto Obligado con su respuesta ciertamente actualiza la causal de procedencia</w:t>
      </w:r>
      <w:r w:rsidRPr="009D6228">
        <w:rPr>
          <w:rFonts w:ascii="Palatino Linotype" w:eastAsia="Palatino Linotype" w:hAnsi="Palatino Linotype" w:cs="Palatino Linotype"/>
          <w:b/>
          <w:color w:val="000000"/>
        </w:rPr>
        <w:t xml:space="preserve"> </w:t>
      </w:r>
      <w:r w:rsidRPr="009D6228">
        <w:rPr>
          <w:rFonts w:ascii="Palatino Linotype" w:eastAsia="Palatino Linotype" w:hAnsi="Palatino Linotype" w:cs="Palatino Linotype"/>
          <w:color w:val="000000"/>
        </w:rPr>
        <w:t xml:space="preserve">señalada. </w:t>
      </w:r>
    </w:p>
    <w:p w:rsidR="00E2319B" w:rsidRPr="009D6228" w:rsidRDefault="00E2319B">
      <w:pPr>
        <w:spacing w:line="360" w:lineRule="auto"/>
        <w:ind w:right="-787"/>
        <w:rPr>
          <w:rFonts w:ascii="Palatino Linotype" w:eastAsia="Palatino Linotype" w:hAnsi="Palatino Linotype" w:cs="Palatino Linotype"/>
        </w:rPr>
      </w:pPr>
    </w:p>
    <w:p w:rsidR="00E2319B" w:rsidRPr="009D6228" w:rsidRDefault="005D3201">
      <w:pPr>
        <w:pStyle w:val="Ttulo2"/>
        <w:spacing w:before="0" w:line="360" w:lineRule="auto"/>
        <w:ind w:right="-787"/>
        <w:rPr>
          <w:rFonts w:ascii="Palatino Linotype" w:eastAsia="Palatino Linotype" w:hAnsi="Palatino Linotype" w:cs="Palatino Linotype"/>
          <w:b/>
          <w:color w:val="000000"/>
          <w:sz w:val="24"/>
          <w:szCs w:val="24"/>
        </w:rPr>
      </w:pPr>
      <w:bookmarkStart w:id="8" w:name="_heading=h.1t3h5sf" w:colFirst="0" w:colLast="0"/>
      <w:bookmarkEnd w:id="8"/>
      <w:r w:rsidRPr="009D6228">
        <w:rPr>
          <w:rFonts w:ascii="Palatino Linotype" w:eastAsia="Palatino Linotype" w:hAnsi="Palatino Linotype" w:cs="Palatino Linotype"/>
          <w:b/>
          <w:color w:val="000000"/>
          <w:sz w:val="24"/>
          <w:szCs w:val="24"/>
        </w:rPr>
        <w:t>CUARTA. Estudio de la controversia.</w:t>
      </w:r>
    </w:p>
    <w:p w:rsidR="00E2319B" w:rsidRPr="009D6228" w:rsidRDefault="005D3201">
      <w:pPr>
        <w:numPr>
          <w:ilvl w:val="0"/>
          <w:numId w:val="2"/>
        </w:numPr>
        <w:spacing w:line="360" w:lineRule="auto"/>
        <w:ind w:left="0" w:right="-787" w:firstLine="0"/>
        <w:jc w:val="both"/>
      </w:pPr>
      <w:r w:rsidRPr="009D6228">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E2319B" w:rsidRPr="009D6228" w:rsidRDefault="00E2319B">
      <w:pPr>
        <w:spacing w:line="360" w:lineRule="auto"/>
        <w:ind w:right="-787"/>
        <w:jc w:val="both"/>
        <w:rPr>
          <w:rFonts w:ascii="Palatino Linotype" w:eastAsia="Palatino Linotype" w:hAnsi="Palatino Linotype" w:cs="Palatino Linotype"/>
        </w:rPr>
      </w:pPr>
    </w:p>
    <w:p w:rsidR="00E2319B" w:rsidRPr="009D6228" w:rsidRDefault="005D3201">
      <w:pPr>
        <w:numPr>
          <w:ilvl w:val="0"/>
          <w:numId w:val="2"/>
        </w:numPr>
        <w:spacing w:line="360" w:lineRule="auto"/>
        <w:ind w:left="0" w:right="-787" w:firstLine="0"/>
        <w:jc w:val="both"/>
      </w:pPr>
      <w:r w:rsidRPr="009D6228">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E2319B" w:rsidRPr="009D6228" w:rsidRDefault="005D3201">
      <w:pPr>
        <w:numPr>
          <w:ilvl w:val="0"/>
          <w:numId w:val="2"/>
        </w:numPr>
        <w:spacing w:line="360" w:lineRule="auto"/>
        <w:ind w:left="0" w:right="-787" w:firstLine="0"/>
        <w:jc w:val="both"/>
      </w:pPr>
      <w:r w:rsidRPr="009D6228">
        <w:rPr>
          <w:rFonts w:ascii="Palatino Linotype" w:eastAsia="Palatino Linotype" w:hAnsi="Palatino Linotype" w:cs="Palatino Linotype"/>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E2319B" w:rsidRPr="009D6228" w:rsidRDefault="00E2319B">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E2319B" w:rsidRPr="009D6228" w:rsidRDefault="005D3201">
      <w:pPr>
        <w:numPr>
          <w:ilvl w:val="0"/>
          <w:numId w:val="4"/>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9D6228">
        <w:rPr>
          <w:rFonts w:ascii="Palatino Linotype" w:eastAsia="Palatino Linotype" w:hAnsi="Palatino Linotype" w:cs="Palatino Linotype"/>
          <w:b/>
          <w:color w:val="000000"/>
        </w:rPr>
        <w:t>Del Sujeto Obligado.</w:t>
      </w:r>
    </w:p>
    <w:p w:rsidR="00E2319B" w:rsidRPr="009D6228" w:rsidRDefault="005D3201">
      <w:pPr>
        <w:numPr>
          <w:ilvl w:val="0"/>
          <w:numId w:val="2"/>
        </w:numP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Para determinar la fuente obligacional del SUJETO OBLIGADO de generar, poseer y/o administrar, es necesario analizar el requerimiento planteado en la solicitud de acceso a la información, siendo que requirió información de un terreno que fue adjudicado a un particular dentro del municipio de Tepotzotlán en 1946, relativa a actualizaciones desde la fecha de su adjudicación a la actualidad, así como las subdivisiones que se han realizado al mismo.</w:t>
      </w:r>
    </w:p>
    <w:p w:rsidR="00E2319B" w:rsidRPr="009D6228" w:rsidRDefault="00E2319B">
      <w:pPr>
        <w:spacing w:line="360" w:lineRule="auto"/>
        <w:ind w:right="-787"/>
        <w:jc w:val="both"/>
        <w:rPr>
          <w:rFonts w:ascii="Palatino Linotype" w:eastAsia="Palatino Linotype" w:hAnsi="Palatino Linotype" w:cs="Palatino Linotype"/>
        </w:rPr>
      </w:pPr>
    </w:p>
    <w:p w:rsidR="00E2319B" w:rsidRPr="009D6228" w:rsidRDefault="005D3201">
      <w:pPr>
        <w:numPr>
          <w:ilvl w:val="0"/>
          <w:numId w:val="2"/>
        </w:numP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Por lo que, es importante señalar que para el despacho de los asuntos de la Administración Pública Municipal, la Presidenta Municipal se auxiliará de diversas direcciones administrativas, entre ellas la Dirección de Desarrollo Urbano y Metropolitano, tal como lo establece el Bando Municipal 2024 en su artículo 37, y 38, fracción I, numeral 13.</w:t>
      </w:r>
    </w:p>
    <w:p w:rsidR="00E2319B" w:rsidRPr="009D6228" w:rsidRDefault="005D3201">
      <w:pPr>
        <w:numPr>
          <w:ilvl w:val="0"/>
          <w:numId w:val="2"/>
        </w:numP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lastRenderedPageBreak/>
        <w:t>La dirección de Desarrollo Urbano y Metropolitano realiza diversas acciones  conforme a las señaladas en el Banco Municipal:</w:t>
      </w:r>
    </w:p>
    <w:p w:rsidR="00E2319B" w:rsidRPr="009D6228" w:rsidRDefault="005D3201">
      <w:pPr>
        <w:ind w:left="566" w:right="-220"/>
        <w:jc w:val="center"/>
        <w:rPr>
          <w:rFonts w:ascii="Palatino Linotype" w:eastAsia="Palatino Linotype" w:hAnsi="Palatino Linotype" w:cs="Palatino Linotype"/>
          <w:b/>
          <w:i/>
          <w:sz w:val="22"/>
          <w:szCs w:val="22"/>
        </w:rPr>
      </w:pPr>
      <w:r w:rsidRPr="009D6228">
        <w:rPr>
          <w:rFonts w:ascii="Palatino Linotype" w:eastAsia="Palatino Linotype" w:hAnsi="Palatino Linotype" w:cs="Palatino Linotype"/>
          <w:b/>
          <w:i/>
          <w:sz w:val="22"/>
          <w:szCs w:val="22"/>
        </w:rPr>
        <w:t>Bando Municipal 2024.</w:t>
      </w:r>
    </w:p>
    <w:p w:rsidR="00E2319B" w:rsidRPr="009D6228" w:rsidRDefault="00E2319B">
      <w:pPr>
        <w:ind w:left="566" w:right="-220"/>
        <w:jc w:val="center"/>
        <w:rPr>
          <w:rFonts w:ascii="Palatino Linotype" w:eastAsia="Palatino Linotype" w:hAnsi="Palatino Linotype" w:cs="Palatino Linotype"/>
          <w:b/>
          <w:i/>
          <w:sz w:val="22"/>
          <w:szCs w:val="22"/>
        </w:rPr>
      </w:pPr>
    </w:p>
    <w:p w:rsidR="00E2319B" w:rsidRPr="009D6228" w:rsidRDefault="005D3201">
      <w:pPr>
        <w:ind w:left="566" w:right="-220"/>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b/>
          <w:i/>
          <w:sz w:val="22"/>
          <w:szCs w:val="22"/>
        </w:rPr>
        <w:t>ARTÍCULO 52.- El Ayuntamiento contará con una Dirección de Desarrollo Urbano y Metropolitano, que realizará acciones</w:t>
      </w:r>
      <w:r w:rsidRPr="009D6228">
        <w:rPr>
          <w:rFonts w:ascii="Palatino Linotype" w:eastAsia="Palatino Linotype" w:hAnsi="Palatino Linotype" w:cs="Palatino Linotype"/>
          <w:i/>
          <w:sz w:val="22"/>
          <w:szCs w:val="22"/>
        </w:rPr>
        <w:t xml:space="preserve"> que propicien el desarrollo de las comunidades, con un enfoque sustentable, favoreciendo la infraestructura, el equipamiento, los servicios, las vialidades, la preservación del patrimonio cultural, la planeación e imagen urbana, los límites territoriales, </w:t>
      </w:r>
      <w:r w:rsidRPr="009D6228">
        <w:rPr>
          <w:rFonts w:ascii="Palatino Linotype" w:eastAsia="Palatino Linotype" w:hAnsi="Palatino Linotype" w:cs="Palatino Linotype"/>
          <w:b/>
          <w:i/>
          <w:sz w:val="22"/>
          <w:szCs w:val="22"/>
        </w:rPr>
        <w:t>la tenencia de la tierra</w:t>
      </w:r>
      <w:r w:rsidRPr="009D6228">
        <w:rPr>
          <w:rFonts w:ascii="Palatino Linotype" w:eastAsia="Palatino Linotype" w:hAnsi="Palatino Linotype" w:cs="Palatino Linotype"/>
          <w:i/>
          <w:sz w:val="22"/>
          <w:szCs w:val="22"/>
        </w:rPr>
        <w:t>, la conservación y mejoramiento del ambiente de los asentamientos humanos y centros urbanos del Municipio, así como apoyar con acciones orientadas a la modernización y optimización del trasporte terrestre, entre otros, con la participación activa de la sociedad.</w:t>
      </w:r>
    </w:p>
    <w:p w:rsidR="00E2319B" w:rsidRPr="009D6228" w:rsidRDefault="00E2319B">
      <w:pPr>
        <w:spacing w:line="360" w:lineRule="auto"/>
        <w:ind w:right="-787"/>
        <w:jc w:val="both"/>
        <w:rPr>
          <w:rFonts w:ascii="Palatino Linotype" w:eastAsia="Palatino Linotype" w:hAnsi="Palatino Linotype" w:cs="Palatino Linotype"/>
        </w:rPr>
      </w:pPr>
    </w:p>
    <w:p w:rsidR="00E2319B" w:rsidRPr="009D6228" w:rsidRDefault="005D3201">
      <w:pPr>
        <w:numPr>
          <w:ilvl w:val="0"/>
          <w:numId w:val="2"/>
        </w:numP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El Reglamento Interno de la Dirección de Desarrollo Urbano y Metropolitano del Municipio de Tepotzotlán, Estado de México, establece que la Dirección de desarrollo Urbano cuenta con diversas jefaturas:</w:t>
      </w:r>
    </w:p>
    <w:p w:rsidR="00E2319B" w:rsidRPr="009D6228" w:rsidRDefault="005D3201">
      <w:pPr>
        <w:ind w:left="1134" w:right="-220"/>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t>Artículo 7.- Las Jefaturas dependientes jerárquicamente de la Dirección de Desarrollo Urbano y Metropolitano, cuyas atribuciones y líneas de autoridad se establecen en el presente reglamento, son:</w:t>
      </w:r>
    </w:p>
    <w:p w:rsidR="00E2319B" w:rsidRPr="009D6228" w:rsidRDefault="005D3201">
      <w:pPr>
        <w:ind w:left="1134" w:right="-220"/>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t>I. Jefatura Imagen Urbana;</w:t>
      </w:r>
    </w:p>
    <w:p w:rsidR="00E2319B" w:rsidRPr="009D6228" w:rsidRDefault="005D3201">
      <w:pPr>
        <w:ind w:left="1134" w:right="-220"/>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t>II. Jefatura Movilidad;</w:t>
      </w:r>
    </w:p>
    <w:p w:rsidR="00E2319B" w:rsidRPr="009D6228" w:rsidRDefault="005D3201">
      <w:pPr>
        <w:ind w:left="1134" w:right="-220"/>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b/>
          <w:i/>
          <w:sz w:val="22"/>
          <w:szCs w:val="22"/>
        </w:rPr>
        <w:t>III. Jefatura Tenencia de la Tierra</w:t>
      </w:r>
      <w:r w:rsidRPr="009D6228">
        <w:rPr>
          <w:rFonts w:ascii="Palatino Linotype" w:eastAsia="Palatino Linotype" w:hAnsi="Palatino Linotype" w:cs="Palatino Linotype"/>
          <w:i/>
          <w:sz w:val="22"/>
          <w:szCs w:val="22"/>
        </w:rPr>
        <w:t>; y</w:t>
      </w:r>
    </w:p>
    <w:p w:rsidR="00E2319B" w:rsidRPr="009D6228" w:rsidRDefault="005D3201">
      <w:pPr>
        <w:ind w:left="1134" w:right="-220"/>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t>IV. Jefatura de Límites Territoriales.</w:t>
      </w:r>
    </w:p>
    <w:p w:rsidR="00E2319B" w:rsidRPr="009D6228" w:rsidRDefault="00E2319B">
      <w:pPr>
        <w:ind w:left="1134" w:right="-787"/>
        <w:jc w:val="both"/>
        <w:rPr>
          <w:rFonts w:ascii="Palatino Linotype" w:eastAsia="Palatino Linotype" w:hAnsi="Palatino Linotype" w:cs="Palatino Linotype"/>
          <w:i/>
        </w:rPr>
      </w:pPr>
    </w:p>
    <w:p w:rsidR="00E2319B" w:rsidRPr="009D6228" w:rsidRDefault="00E2319B">
      <w:pPr>
        <w:ind w:right="-787"/>
        <w:jc w:val="both"/>
        <w:rPr>
          <w:rFonts w:ascii="Palatino Linotype" w:eastAsia="Palatino Linotype" w:hAnsi="Palatino Linotype" w:cs="Palatino Linotype"/>
          <w:i/>
        </w:rPr>
      </w:pPr>
    </w:p>
    <w:p w:rsidR="00E2319B" w:rsidRPr="009D6228" w:rsidRDefault="005D3201">
      <w:pPr>
        <w:numPr>
          <w:ilvl w:val="0"/>
          <w:numId w:val="2"/>
        </w:numP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De las atribuciones específicas de las jefaturas antes descritas, en relación a jefatura de la tenencia de la tierra, el Reglamento Interno señalado con antelación refiere las siguientes:</w:t>
      </w:r>
    </w:p>
    <w:p w:rsidR="00E2319B" w:rsidRPr="009D6228" w:rsidRDefault="005D3201">
      <w:pPr>
        <w:ind w:left="566" w:right="-79"/>
        <w:jc w:val="both"/>
        <w:rPr>
          <w:rFonts w:ascii="Palatino Linotype" w:eastAsia="Palatino Linotype" w:hAnsi="Palatino Linotype" w:cs="Palatino Linotype"/>
          <w:b/>
          <w:i/>
          <w:sz w:val="22"/>
          <w:szCs w:val="22"/>
        </w:rPr>
      </w:pPr>
      <w:r w:rsidRPr="009D6228">
        <w:rPr>
          <w:rFonts w:ascii="Palatino Linotype" w:eastAsia="Palatino Linotype" w:hAnsi="Palatino Linotype" w:cs="Palatino Linotype"/>
          <w:b/>
          <w:i/>
          <w:sz w:val="22"/>
          <w:szCs w:val="22"/>
        </w:rPr>
        <w:t xml:space="preserve">JEFATURA DE TENENCIA DE LA TIERRA </w:t>
      </w:r>
    </w:p>
    <w:p w:rsidR="00E2319B" w:rsidRPr="009D6228" w:rsidRDefault="005D3201">
      <w:pPr>
        <w:ind w:left="566" w:right="-79"/>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b/>
          <w:i/>
          <w:sz w:val="22"/>
          <w:szCs w:val="22"/>
        </w:rPr>
        <w:t>Artículo 21</w:t>
      </w:r>
      <w:r w:rsidRPr="009D6228">
        <w:rPr>
          <w:rFonts w:ascii="Palatino Linotype" w:eastAsia="Palatino Linotype" w:hAnsi="Palatino Linotype" w:cs="Palatino Linotype"/>
          <w:i/>
          <w:sz w:val="22"/>
          <w:szCs w:val="22"/>
        </w:rPr>
        <w:t xml:space="preserve">.- Al jefe de tenencia de la tierra le corresponden las siguientes atribuciones: </w:t>
      </w:r>
    </w:p>
    <w:p w:rsidR="00E2319B" w:rsidRPr="009D6228" w:rsidRDefault="005D3201">
      <w:pPr>
        <w:ind w:left="566" w:right="-79"/>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t>I. Planear y organizar proyectos y acciones de tenencia de la tierra del municipio;</w:t>
      </w:r>
    </w:p>
    <w:p w:rsidR="00E2319B" w:rsidRPr="009D6228" w:rsidRDefault="005D3201">
      <w:pPr>
        <w:ind w:left="566" w:right="-79"/>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t xml:space="preserve"> II. Asesorar en materia de regularización de la tenencia de la tierra, a los particulares que deseen obtener la certeza y seguridad jurídica de su patrimonio; </w:t>
      </w:r>
    </w:p>
    <w:p w:rsidR="00E2319B" w:rsidRPr="009D6228" w:rsidRDefault="005D3201">
      <w:pPr>
        <w:ind w:left="566" w:right="-79"/>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lastRenderedPageBreak/>
        <w:t xml:space="preserve">III. Realizar campañas de regularización que, previa aprobación del H. Cabildo, se ofrecen en coordinación con las dependencias Federales, Estatales o Notario Público, para que los ciudadanos obtengan su título de propiedad o escritura pública; </w:t>
      </w:r>
    </w:p>
    <w:p w:rsidR="00E2319B" w:rsidRPr="009D6228" w:rsidRDefault="005D3201">
      <w:pPr>
        <w:ind w:left="566" w:right="-79"/>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t xml:space="preserve">IV. Solicitar a los particulares la documentación, en copias simples, documento con el que acrediten la posesión y/o propiedad del inmueble a regularizar, así como el antecedente de quien les transmite la propiedad o posesión del citado inmueble, para definir el paso a seguir para su regularización; </w:t>
      </w:r>
    </w:p>
    <w:p w:rsidR="00E2319B" w:rsidRPr="009D6228" w:rsidRDefault="005D3201">
      <w:pPr>
        <w:ind w:left="566" w:right="-79"/>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t xml:space="preserve">V. Formula el anteproyecto de presupuesto de egresos basado el programa basado en resultados municipal PbRM, calendarizando y programando la adquisición de bienes y servicios; y </w:t>
      </w:r>
    </w:p>
    <w:p w:rsidR="00E2319B" w:rsidRPr="009D6228" w:rsidRDefault="005D3201">
      <w:pPr>
        <w:ind w:left="566" w:right="-79"/>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t>VI. Las demás que le confieran otros ordenamientos legales y las que le encomiende el Director.</w:t>
      </w:r>
    </w:p>
    <w:p w:rsidR="00E2319B" w:rsidRPr="009D6228" w:rsidRDefault="00E2319B">
      <w:pPr>
        <w:spacing w:line="360" w:lineRule="auto"/>
        <w:ind w:right="-787"/>
        <w:jc w:val="both"/>
        <w:rPr>
          <w:rFonts w:ascii="Palatino Linotype" w:eastAsia="Palatino Linotype" w:hAnsi="Palatino Linotype" w:cs="Palatino Linotype"/>
        </w:rPr>
      </w:pPr>
    </w:p>
    <w:p w:rsidR="00E2319B" w:rsidRPr="009D6228" w:rsidRDefault="005D3201">
      <w:pPr>
        <w:numPr>
          <w:ilvl w:val="0"/>
          <w:numId w:val="2"/>
        </w:numP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Del análisis de la normatividad descrita se infiere que la Dirección de Desarrollo Urbano y Metropolitano es la unidad administrativa en la que pudiera obrar información relativa a la solicitada por el particular se encuentra.</w:t>
      </w:r>
    </w:p>
    <w:p w:rsidR="00E2319B" w:rsidRPr="009D6228" w:rsidRDefault="00E2319B">
      <w:pPr>
        <w:spacing w:line="360" w:lineRule="auto"/>
        <w:ind w:right="-787"/>
        <w:jc w:val="both"/>
        <w:rPr>
          <w:rFonts w:ascii="Palatino Linotype" w:eastAsia="Palatino Linotype" w:hAnsi="Palatino Linotype" w:cs="Palatino Linotype"/>
        </w:rPr>
      </w:pPr>
    </w:p>
    <w:p w:rsidR="00E2319B" w:rsidRPr="009D6228" w:rsidRDefault="005D3201">
      <w:pPr>
        <w:numPr>
          <w:ilvl w:val="0"/>
          <w:numId w:val="4"/>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9D6228">
        <w:rPr>
          <w:rFonts w:ascii="Palatino Linotype" w:eastAsia="Palatino Linotype" w:hAnsi="Palatino Linotype" w:cs="Palatino Linotype"/>
          <w:b/>
          <w:color w:val="000000"/>
        </w:rPr>
        <w:t>De la respuesta.</w:t>
      </w:r>
    </w:p>
    <w:p w:rsidR="00E2319B" w:rsidRPr="009D6228" w:rsidRDefault="005D3201">
      <w:pPr>
        <w:numPr>
          <w:ilvl w:val="0"/>
          <w:numId w:val="2"/>
        </w:numP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Ahora bien, la respuesta fue emitida por la unidad administrativa competente, para de generar, poseer y/o administrar la información solicitada, ya que en respuesta el Sujeto Obligado se pronunció a través del servidor público habilitado de la el Dirección de Desarrollo Urbano y Metropolitano, manifestando que “</w:t>
      </w:r>
      <w:r w:rsidRPr="009D6228">
        <w:rPr>
          <w:rFonts w:ascii="Palatino Linotype" w:eastAsia="Palatino Linotype" w:hAnsi="Palatino Linotype" w:cs="Palatino Linotype"/>
          <w:i/>
          <w:color w:val="000000"/>
        </w:rPr>
        <w:t>con la información proporcionada no fue posible ubicar el terreno que manifiesta, así como tampoco registro de subdivisiones en los archivos de esa esta dirección.”</w:t>
      </w:r>
    </w:p>
    <w:p w:rsidR="00E2319B" w:rsidRPr="009D6228" w:rsidRDefault="00E2319B">
      <w:pPr>
        <w:spacing w:line="360" w:lineRule="auto"/>
        <w:ind w:right="-787"/>
        <w:jc w:val="both"/>
        <w:rPr>
          <w:rFonts w:ascii="Palatino Linotype" w:eastAsia="Palatino Linotype" w:hAnsi="Palatino Linotype" w:cs="Palatino Linotype"/>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222222"/>
        </w:rPr>
      </w:pPr>
      <w:r w:rsidRPr="009D6228">
        <w:rPr>
          <w:rFonts w:ascii="Palatino Linotype" w:eastAsia="Palatino Linotype" w:hAnsi="Palatino Linotype" w:cs="Palatino Linotype"/>
          <w:color w:val="222222"/>
        </w:rPr>
        <w:t>Ahora bien, es importante señalar que otra de las dependencias administrativas de la administración pública municipal es la Dirección de Administración y Finanzas con funciones de Tesorería, es el único órgano encargado de la recaudación de los ingresos municipales y responsable de realizar las erogaciones que lleve a cabo el Ayuntamiento, conforme a lo establecido en los artículos 47 y 48 del Bando Municipal 2024.</w:t>
      </w: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222222"/>
        </w:rPr>
      </w:pPr>
      <w:r w:rsidRPr="009D6228">
        <w:rPr>
          <w:rFonts w:ascii="Palatino Linotype" w:eastAsia="Palatino Linotype" w:hAnsi="Palatino Linotype" w:cs="Palatino Linotype"/>
          <w:color w:val="222222"/>
        </w:rPr>
        <w:lastRenderedPageBreak/>
        <w:t>La Dirección de Administración y Finanzas, conforme a lo establecido en su Manual de Organización, dentro de su estructura orgánica cuenta con la Jefatura de Catastro Municipal, tal como se muestra en la siguiente captura de pantalla:</w:t>
      </w:r>
    </w:p>
    <w:p w:rsidR="00E2319B" w:rsidRPr="009D6228" w:rsidRDefault="005D3201">
      <w:pPr>
        <w:pBdr>
          <w:top w:val="nil"/>
          <w:left w:val="nil"/>
          <w:bottom w:val="nil"/>
          <w:right w:val="nil"/>
          <w:between w:val="nil"/>
        </w:pBdr>
        <w:spacing w:line="360" w:lineRule="auto"/>
        <w:ind w:right="-787"/>
        <w:jc w:val="center"/>
        <w:rPr>
          <w:rFonts w:ascii="Palatino Linotype" w:eastAsia="Palatino Linotype" w:hAnsi="Palatino Linotype" w:cs="Palatino Linotype"/>
          <w:color w:val="222222"/>
        </w:rPr>
      </w:pPr>
      <w:r w:rsidRPr="009D6228">
        <w:rPr>
          <w:rFonts w:ascii="Palatino Linotype" w:eastAsia="Palatino Linotype" w:hAnsi="Palatino Linotype" w:cs="Palatino Linotype"/>
          <w:noProof/>
          <w:color w:val="222222"/>
          <w:lang w:val="es-MX" w:eastAsia="es-MX"/>
        </w:rPr>
        <w:drawing>
          <wp:inline distT="0" distB="0" distL="0" distR="0">
            <wp:extent cx="3646698" cy="3034376"/>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46698" cy="3034376"/>
                    </a:xfrm>
                    <a:prstGeom prst="rect">
                      <a:avLst/>
                    </a:prstGeom>
                    <a:ln/>
                  </pic:spPr>
                </pic:pic>
              </a:graphicData>
            </a:graphic>
          </wp:inline>
        </w:drawing>
      </w: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222222"/>
        </w:rPr>
      </w:pPr>
      <w:r w:rsidRPr="009D6228">
        <w:rPr>
          <w:rFonts w:ascii="Palatino Linotype" w:eastAsia="Palatino Linotype" w:hAnsi="Palatino Linotype" w:cs="Palatino Linotype"/>
          <w:color w:val="222222"/>
        </w:rPr>
        <w:t>Dicha Jefatura de Catastro Municipal tiene el objetivo de integrar, conservar y mantener actualizado el padrón catastral del Estado, así como ofrecer servicios catastrales a la población de Tepotzotlán, cuyas atribuciones y funciones se señalan a continuación:</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b/>
          <w:i/>
          <w:color w:val="222222"/>
          <w:sz w:val="22"/>
          <w:szCs w:val="22"/>
        </w:rPr>
      </w:pPr>
      <w:r w:rsidRPr="009D6228">
        <w:rPr>
          <w:rFonts w:ascii="Palatino Linotype" w:eastAsia="Palatino Linotype" w:hAnsi="Palatino Linotype" w:cs="Palatino Linotype"/>
          <w:b/>
          <w:i/>
          <w:color w:val="222222"/>
          <w:sz w:val="22"/>
          <w:szCs w:val="22"/>
        </w:rPr>
        <w:t>1.2 JEFATURA DE CATASTRO MUNICIPAL</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b/>
          <w:i/>
          <w:color w:val="222222"/>
          <w:sz w:val="22"/>
          <w:szCs w:val="22"/>
        </w:rPr>
      </w:pPr>
      <w:r w:rsidRPr="009D6228">
        <w:rPr>
          <w:rFonts w:ascii="Palatino Linotype" w:eastAsia="Palatino Linotype" w:hAnsi="Palatino Linotype" w:cs="Palatino Linotype"/>
          <w:b/>
          <w:i/>
          <w:color w:val="222222"/>
          <w:sz w:val="22"/>
          <w:szCs w:val="22"/>
        </w:rPr>
        <w:t>Objetivo</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b/>
          <w:i/>
          <w:color w:val="222222"/>
          <w:sz w:val="22"/>
          <w:szCs w:val="22"/>
        </w:rPr>
      </w:pPr>
      <w:r w:rsidRPr="009D6228">
        <w:rPr>
          <w:rFonts w:ascii="Palatino Linotype" w:eastAsia="Palatino Linotype" w:hAnsi="Palatino Linotype" w:cs="Palatino Linotype"/>
          <w:b/>
          <w:i/>
          <w:color w:val="222222"/>
          <w:sz w:val="22"/>
          <w:szCs w:val="22"/>
        </w:rPr>
        <w:t>…</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b/>
          <w:i/>
          <w:color w:val="222222"/>
          <w:sz w:val="22"/>
          <w:szCs w:val="22"/>
        </w:rPr>
      </w:pPr>
      <w:r w:rsidRPr="009D6228">
        <w:rPr>
          <w:rFonts w:ascii="Palatino Linotype" w:eastAsia="Palatino Linotype" w:hAnsi="Palatino Linotype" w:cs="Palatino Linotype"/>
          <w:b/>
          <w:i/>
          <w:color w:val="222222"/>
          <w:sz w:val="22"/>
          <w:szCs w:val="22"/>
        </w:rPr>
        <w:t xml:space="preserve">Atribuciones y Funciones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I. Llevar a cabo la inscripción y control de los inmuebles localizados dentro del territorio municipal.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II. Identificar en forma precisa los inmuebles ubicados dentro del territorio municipal, mediante la localización geográfica y asignación de la clave catastral que le corresponda.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III. Recibir las manifestaciones catastrales de los propietarios o poseedores de inmuebles, para efectos de su inscripción o actualización en el padrón catastral municipal.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IV. Realizar acciones en coordinación con el IGECEM para la consolidación, conservación y buen funcionamiento del catastro municipal.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lastRenderedPageBreak/>
        <w:t xml:space="preserve">V. Proporcionar al IGECEM dentro de los plazos que señale el LIGECEM, las propuestas, reportes, informes y documentos, para integrar, conservar y mantener actualizada la información catastral del Estado.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VI. Integrar, conservar y mantener actualizados los registros gráfico y alfanumérico de los inmuebles ubicados en el territorio del municipio.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VII. Practicar levantamientos topográficos catastrales y verificación de linderos, en los términos de los ordenamientos correspondientes.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VIII. Proporcionar la información que soliciten por escrito otras dependencias oficiales.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IX. Solicitar la opinión técnica al IGECEM sobre la modificación y actualización de áreas homogéneas, bandas de valor, manzanas catastrales, códigos de clave de calle, nomenclatura y valores unitarios de suelo y construcciones, que conformará el proyecto de Tablas de Valores Unitarios de Suelo y Construcciones que proponga a la Legislatura.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X. Difundir dentro de su territorio las Tablas de Valores Unitarios de Suelo y Construcción aprobados por la Legislatura.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XI. Aplicar las Tablas de Valores Unitarios de Suelo y Construcciones aprobadas por la Legislatura, en la determinación del valor catastral de los inmuebles.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XII. Obtener de las autoridades, dependencias o instituciones de carácter federal y estatal, de las personas físicas o jurídicas colectivas, los documentos, datos o informes que sean necesarios para la integración y actualización del padrón catastral municipal.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XIII. Cumplir con la normatividad y los procedimientos técnicos y administrativos establecidos en el LIGECEM, este Título, su reglamento, el Manual Catastral y demás disposiciones aplicables en la materia.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XIV. Proponer al IGECEM la realización de estudios tendientes a lograr la actualización del catastro municipal y, en su caso, aplicarlos en lo conducente sin contravenir lo dispuesto por el LIGECEM.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XV. Proponer a la Legislatura para su aprobación el proyecto de Tablas de Valores Unitarios de Suelo y Construcciones.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XVI. Asistir a las reuniones de trabajo o de capacitación convocadas por el IGECEM en el ámbito de la coordinación catastral.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XVII. Solicitar los documentos con los que se acredite la propiedad o posesión de los inmuebles y demás documentación requerida para integrar los expedientes que soportan la inscripción o actualización en el padrón catastral municipal.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 xml:space="preserve">XVIII. Expedir las constancias o certificaciones catastrales en el ámbito de su competencia. </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r w:rsidRPr="009D6228">
        <w:rPr>
          <w:rFonts w:ascii="Palatino Linotype" w:eastAsia="Palatino Linotype" w:hAnsi="Palatino Linotype" w:cs="Palatino Linotype"/>
          <w:i/>
          <w:color w:val="222222"/>
          <w:sz w:val="22"/>
          <w:szCs w:val="22"/>
        </w:rPr>
        <w:t>XIX. Verificar y registrar oportunamente los cambios técnicos o administrativos de los inmuebles, que por cualquier concepto alteren los datos contenidos en el Padrón Catastral Municipal.</w:t>
      </w:r>
    </w:p>
    <w:p w:rsidR="00883365" w:rsidRPr="009D6228" w:rsidRDefault="00883365">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p>
    <w:p w:rsidR="00883365" w:rsidRPr="009D6228" w:rsidRDefault="00883365">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p>
    <w:p w:rsidR="00883365" w:rsidRPr="009D6228" w:rsidRDefault="00883365">
      <w:pPr>
        <w:pBdr>
          <w:top w:val="nil"/>
          <w:left w:val="nil"/>
          <w:bottom w:val="nil"/>
          <w:right w:val="nil"/>
          <w:between w:val="nil"/>
        </w:pBdr>
        <w:ind w:left="425" w:right="-220"/>
        <w:jc w:val="both"/>
        <w:rPr>
          <w:rFonts w:ascii="Palatino Linotype" w:eastAsia="Palatino Linotype" w:hAnsi="Palatino Linotype" w:cs="Palatino Linotype"/>
          <w:i/>
          <w:color w:val="222222"/>
          <w:sz w:val="22"/>
          <w:szCs w:val="22"/>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222222"/>
        </w:rPr>
      </w:pPr>
      <w:r w:rsidRPr="009D6228">
        <w:rPr>
          <w:rFonts w:ascii="Palatino Linotype" w:eastAsia="Palatino Linotype" w:hAnsi="Palatino Linotype" w:cs="Palatino Linotype"/>
          <w:color w:val="222222"/>
        </w:rPr>
        <w:lastRenderedPageBreak/>
        <w:t>De lo anterior, la Jefatura de Catastro Municipal, es el área encargada de llevar a cabo la inscripción y control de los inmuebles localizados dentro del territorio municipal, así como de identificar en forma precisa los inmuebles ubicados dentro del territorio municipal, mediante la localización geográfica y asignación de la clave catastral que le corresponda.</w:t>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color w:val="222222"/>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222222"/>
        </w:rPr>
      </w:pPr>
      <w:r w:rsidRPr="009D6228">
        <w:rPr>
          <w:rFonts w:ascii="Palatino Linotype" w:eastAsia="Palatino Linotype" w:hAnsi="Palatino Linotype" w:cs="Palatino Linotype"/>
          <w:color w:val="222222"/>
        </w:rPr>
        <w:t>En el mismo tenor, en la página web del Ayuntamiento de Tepotzotlán, el Registro Municipal de Trámites y Servicios, en el apartado de Administración y Finanzas muestra el trámite de subdivisión de predios, cuya cédula de información del trámite refiere que la unidad administrativa responsable es la Jefatura de Catastro, tal como se muestra en las siguientes imágenes:</w:t>
      </w:r>
    </w:p>
    <w:p w:rsidR="00E2319B" w:rsidRPr="009D6228" w:rsidRDefault="005D3201">
      <w:pPr>
        <w:pBdr>
          <w:top w:val="nil"/>
          <w:left w:val="nil"/>
          <w:bottom w:val="nil"/>
          <w:right w:val="nil"/>
          <w:between w:val="nil"/>
        </w:pBdr>
        <w:spacing w:line="360" w:lineRule="auto"/>
        <w:ind w:right="-787"/>
        <w:jc w:val="center"/>
        <w:rPr>
          <w:rFonts w:ascii="Palatino Linotype" w:eastAsia="Palatino Linotype" w:hAnsi="Palatino Linotype" w:cs="Palatino Linotype"/>
          <w:color w:val="222222"/>
        </w:rPr>
      </w:pPr>
      <w:r w:rsidRPr="009D6228">
        <w:rPr>
          <w:rFonts w:ascii="Palatino Linotype" w:eastAsia="Palatino Linotype" w:hAnsi="Palatino Linotype" w:cs="Palatino Linotype"/>
          <w:noProof/>
          <w:color w:val="222222"/>
          <w:lang w:val="es-MX" w:eastAsia="es-MX"/>
        </w:rPr>
        <w:drawing>
          <wp:inline distT="0" distB="0" distL="0" distR="0">
            <wp:extent cx="4455295" cy="4406397"/>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455295" cy="4406397"/>
                    </a:xfrm>
                    <a:prstGeom prst="rect">
                      <a:avLst/>
                    </a:prstGeom>
                    <a:ln/>
                  </pic:spPr>
                </pic:pic>
              </a:graphicData>
            </a:graphic>
          </wp:inline>
        </w:drawing>
      </w:r>
    </w:p>
    <w:p w:rsidR="00E2319B" w:rsidRPr="009D6228" w:rsidRDefault="005D3201">
      <w:pPr>
        <w:pBdr>
          <w:top w:val="nil"/>
          <w:left w:val="nil"/>
          <w:bottom w:val="nil"/>
          <w:right w:val="nil"/>
          <w:between w:val="nil"/>
        </w:pBdr>
        <w:spacing w:line="360" w:lineRule="auto"/>
        <w:ind w:right="-787"/>
        <w:jc w:val="center"/>
        <w:rPr>
          <w:rFonts w:ascii="Palatino Linotype" w:eastAsia="Palatino Linotype" w:hAnsi="Palatino Linotype" w:cs="Palatino Linotype"/>
          <w:color w:val="222222"/>
        </w:rPr>
      </w:pPr>
      <w:r w:rsidRPr="009D6228">
        <w:rPr>
          <w:rFonts w:ascii="Palatino Linotype" w:eastAsia="Palatino Linotype" w:hAnsi="Palatino Linotype" w:cs="Palatino Linotype"/>
          <w:noProof/>
          <w:color w:val="222222"/>
          <w:lang w:val="es-MX" w:eastAsia="es-MX"/>
        </w:rPr>
        <w:lastRenderedPageBreak/>
        <w:drawing>
          <wp:inline distT="0" distB="0" distL="0" distR="0">
            <wp:extent cx="4575491" cy="1775734"/>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575491" cy="1775734"/>
                    </a:xfrm>
                    <a:prstGeom prst="rect">
                      <a:avLst/>
                    </a:prstGeom>
                    <a:ln/>
                  </pic:spPr>
                </pic:pic>
              </a:graphicData>
            </a:graphic>
          </wp:inline>
        </w:drawing>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color w:val="222222"/>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222222"/>
        </w:rPr>
      </w:pPr>
      <w:r w:rsidRPr="009D6228">
        <w:rPr>
          <w:rFonts w:ascii="Palatino Linotype" w:eastAsia="Palatino Linotype" w:hAnsi="Palatino Linotype" w:cs="Palatino Linotype"/>
        </w:rPr>
        <w:t>En razón de lo anterior, la información relativa a la subdivisión de predios es información con la que puede contar</w:t>
      </w:r>
      <w:r w:rsidRPr="009D6228">
        <w:rPr>
          <w:rFonts w:ascii="Palatino Linotype" w:eastAsia="Palatino Linotype" w:hAnsi="Palatino Linotype" w:cs="Palatino Linotype"/>
          <w:i/>
          <w:color w:val="000000"/>
        </w:rPr>
        <w:t xml:space="preserve"> </w:t>
      </w:r>
      <w:r w:rsidRPr="009D6228">
        <w:rPr>
          <w:rFonts w:ascii="Palatino Linotype" w:eastAsia="Palatino Linotype" w:hAnsi="Palatino Linotype" w:cs="Palatino Linotype"/>
          <w:color w:val="000000"/>
        </w:rPr>
        <w:t>de acuerdo a sus facultades, competencias y funciones, la Jefatura de Catastro, dependiente de la Dirección de Administración y Finanzas.</w:t>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color w:val="222222"/>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222222"/>
        </w:rPr>
      </w:pPr>
      <w:r w:rsidRPr="009D6228">
        <w:rPr>
          <w:rFonts w:ascii="Palatino Linotype" w:eastAsia="Palatino Linotype" w:hAnsi="Palatino Linotype" w:cs="Palatino Linotype"/>
        </w:rPr>
        <w:t xml:space="preserve">En consecuencia es necesario precisar que </w:t>
      </w:r>
      <w:r w:rsidRPr="009D6228">
        <w:rPr>
          <w:rFonts w:ascii="Palatino Linotype" w:eastAsia="Palatino Linotype" w:hAnsi="Palatino Linotype" w:cs="Palatino Linotype"/>
          <w:color w:val="222222"/>
        </w:rPr>
        <w:t xml:space="preserve">la solicitud de información no fue </w:t>
      </w:r>
      <w:r w:rsidRPr="009D6228">
        <w:rPr>
          <w:rFonts w:ascii="Palatino Linotype" w:eastAsia="Palatino Linotype" w:hAnsi="Palatino Linotype" w:cs="Palatino Linotype"/>
          <w:color w:val="000000"/>
        </w:rPr>
        <w:t>turnada a todas las áreas en las que podría obrar la información.</w:t>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color w:val="222222"/>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color w:val="000000"/>
        </w:rPr>
      </w:pPr>
      <w:r w:rsidRPr="009D6228">
        <w:rPr>
          <w:rFonts w:ascii="Palatino Linotype" w:eastAsia="Palatino Linotype" w:hAnsi="Palatino Linotype" w:cs="Palatino Linotype"/>
          <w:color w:val="000000"/>
        </w:rPr>
        <w:t>En este orden de ideas, se advierte que la Unidad de Transparencia no cumplió con lo expresado en el artículo 162, de la Ley de Transparencia y Acceso a la Información Pública del Estado de México y Municipios, el cual menciona lo siguiente:</w:t>
      </w:r>
    </w:p>
    <w:p w:rsidR="00E2319B" w:rsidRPr="009D6228" w:rsidRDefault="005D3201">
      <w:pPr>
        <w:pBdr>
          <w:top w:val="nil"/>
          <w:left w:val="nil"/>
          <w:bottom w:val="nil"/>
          <w:right w:val="nil"/>
          <w:between w:val="nil"/>
        </w:pBdr>
        <w:ind w:left="566" w:right="-220"/>
        <w:jc w:val="both"/>
        <w:rPr>
          <w:color w:val="000000"/>
          <w:sz w:val="22"/>
          <w:szCs w:val="22"/>
        </w:rPr>
      </w:pPr>
      <w:r w:rsidRPr="009D6228">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9D6228">
        <w:rPr>
          <w:rFonts w:ascii="Palatino Linotype" w:eastAsia="Palatino Linotype" w:hAnsi="Palatino Linotype" w:cs="Palatino Linotype"/>
          <w:b/>
          <w:i/>
          <w:color w:val="000000"/>
          <w:sz w:val="22"/>
          <w:szCs w:val="22"/>
        </w:rPr>
        <w:t xml:space="preserve">se turnen a todas las Áreas competentes </w:t>
      </w:r>
      <w:r w:rsidRPr="009D6228">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rsidR="00E2319B" w:rsidRPr="009D6228" w:rsidRDefault="00E2319B">
      <w:pPr>
        <w:spacing w:line="360" w:lineRule="auto"/>
        <w:ind w:right="-787"/>
        <w:jc w:val="both"/>
        <w:rPr>
          <w:rFonts w:ascii="Palatino Linotype" w:eastAsia="Palatino Linotype" w:hAnsi="Palatino Linotype" w:cs="Palatino Linotype"/>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 xml:space="preserve">Es de precisar que, aunque la solicitud de información y la respuesta estén dirigidas y atendidas por un Sujeto Obligado, lo cierto es que también tienen diversas Unidades Administrativas y cada área cuenta con un </w:t>
      </w:r>
      <w:r w:rsidRPr="009D6228">
        <w:rPr>
          <w:rFonts w:ascii="Palatino Linotype" w:eastAsia="Palatino Linotype" w:hAnsi="Palatino Linotype" w:cs="Palatino Linotype"/>
          <w:b/>
        </w:rPr>
        <w:t>Servidor Público Habilitado</w:t>
      </w:r>
      <w:r w:rsidRPr="009D6228">
        <w:rPr>
          <w:rFonts w:ascii="Palatino Linotype" w:eastAsia="Palatino Linotype" w:hAnsi="Palatino Linotype" w:cs="Palatino Linotype"/>
        </w:rPr>
        <w:t xml:space="preserve">, que es la persona encargada de apoyar, gestionar y entregar la información o datos personales que se ubiquen </w:t>
      </w:r>
      <w:r w:rsidRPr="009D6228">
        <w:rPr>
          <w:rFonts w:ascii="Palatino Linotype" w:eastAsia="Palatino Linotype" w:hAnsi="Palatino Linotype" w:cs="Palatino Linotype"/>
        </w:rPr>
        <w:lastRenderedPageBreak/>
        <w:t>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b/>
          <w:i/>
          <w:color w:val="000000"/>
          <w:sz w:val="22"/>
          <w:szCs w:val="22"/>
        </w:rPr>
        <w:t>Artículo 3.</w:t>
      </w:r>
      <w:r w:rsidRPr="009D6228">
        <w:rPr>
          <w:rFonts w:ascii="Palatino Linotype" w:eastAsia="Palatino Linotype" w:hAnsi="Palatino Linotype" w:cs="Palatino Linotype"/>
          <w:i/>
          <w:color w:val="000000"/>
          <w:sz w:val="22"/>
          <w:szCs w:val="22"/>
        </w:rPr>
        <w:t xml:space="preserve"> Para los efectos de la presente Ley se entenderá por:</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i/>
          <w:color w:val="000000"/>
          <w:sz w:val="22"/>
          <w:szCs w:val="22"/>
        </w:rPr>
        <w:t>(…)</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b/>
          <w:i/>
          <w:color w:val="000000"/>
          <w:sz w:val="22"/>
          <w:szCs w:val="22"/>
        </w:rPr>
        <w:t xml:space="preserve">XXXIX. Servidor público habilitado: </w:t>
      </w:r>
      <w:r w:rsidRPr="009D6228">
        <w:rPr>
          <w:rFonts w:ascii="Palatino Linotype" w:eastAsia="Palatino Linotype" w:hAnsi="Palatino Linotype" w:cs="Palatino Linotype"/>
          <w:i/>
          <w:color w:val="000000"/>
          <w:sz w:val="22"/>
          <w:szCs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i/>
          <w:color w:val="000000"/>
          <w:sz w:val="22"/>
          <w:szCs w:val="22"/>
        </w:rPr>
        <w:t>(…)</w:t>
      </w:r>
    </w:p>
    <w:p w:rsidR="00E2319B" w:rsidRPr="009D6228" w:rsidRDefault="00E2319B">
      <w:pPr>
        <w:pBdr>
          <w:top w:val="nil"/>
          <w:left w:val="nil"/>
          <w:bottom w:val="nil"/>
          <w:right w:val="nil"/>
          <w:between w:val="nil"/>
        </w:pBdr>
        <w:ind w:left="425" w:right="-220"/>
        <w:jc w:val="both"/>
        <w:rPr>
          <w:rFonts w:ascii="Palatino Linotype" w:eastAsia="Palatino Linotype" w:hAnsi="Palatino Linotype" w:cs="Palatino Linotype"/>
          <w:b/>
          <w:i/>
          <w:color w:val="000000"/>
          <w:sz w:val="22"/>
          <w:szCs w:val="22"/>
        </w:rPr>
      </w:pP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b/>
          <w:i/>
          <w:color w:val="000000"/>
          <w:sz w:val="22"/>
          <w:szCs w:val="22"/>
        </w:rPr>
        <w:t>Artículo 58.</w:t>
      </w:r>
      <w:r w:rsidRPr="009D6228">
        <w:rPr>
          <w:rFonts w:ascii="Palatino Linotype" w:eastAsia="Palatino Linotype" w:hAnsi="Palatino Linotype" w:cs="Palatino Linotype"/>
          <w:i/>
          <w:color w:val="000000"/>
          <w:sz w:val="22"/>
          <w:szCs w:val="22"/>
        </w:rPr>
        <w:t xml:space="preserve"> Los servidores públicos habilitados serán designados por el titular del sujeto obligado a propuesta del responsable de la Unidad de Transparencia.</w:t>
      </w:r>
    </w:p>
    <w:p w:rsidR="00E2319B" w:rsidRPr="009D6228" w:rsidRDefault="00E2319B">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b/>
          <w:i/>
          <w:color w:val="000000"/>
          <w:sz w:val="22"/>
          <w:szCs w:val="22"/>
        </w:rPr>
        <w:t>Artículo 59.</w:t>
      </w:r>
      <w:r w:rsidRPr="009D6228">
        <w:rPr>
          <w:rFonts w:ascii="Palatino Linotype" w:eastAsia="Palatino Linotype" w:hAnsi="Palatino Linotype" w:cs="Palatino Linotype"/>
          <w:i/>
          <w:color w:val="000000"/>
          <w:sz w:val="22"/>
          <w:szCs w:val="22"/>
        </w:rPr>
        <w:t xml:space="preserve"> </w:t>
      </w:r>
      <w:r w:rsidRPr="009D6228">
        <w:rPr>
          <w:rFonts w:ascii="Palatino Linotype" w:eastAsia="Palatino Linotype" w:hAnsi="Palatino Linotype" w:cs="Palatino Linotype"/>
          <w:b/>
          <w:i/>
          <w:color w:val="000000"/>
          <w:sz w:val="22"/>
          <w:szCs w:val="22"/>
          <w:u w:val="single"/>
        </w:rPr>
        <w:t>Los servidores públicos habilitados</w:t>
      </w:r>
      <w:r w:rsidRPr="009D6228">
        <w:rPr>
          <w:rFonts w:ascii="Palatino Linotype" w:eastAsia="Palatino Linotype" w:hAnsi="Palatino Linotype" w:cs="Palatino Linotype"/>
          <w:i/>
          <w:color w:val="000000"/>
          <w:sz w:val="22"/>
          <w:szCs w:val="22"/>
        </w:rPr>
        <w:t xml:space="preserve"> tendrán las funciones siguientes:</w:t>
      </w: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i/>
          <w:color w:val="000000"/>
          <w:sz w:val="22"/>
          <w:szCs w:val="22"/>
        </w:rPr>
        <w:t xml:space="preserve">I. </w:t>
      </w:r>
      <w:r w:rsidRPr="009D6228">
        <w:rPr>
          <w:rFonts w:ascii="Palatino Linotype" w:eastAsia="Palatino Linotype" w:hAnsi="Palatino Linotype" w:cs="Palatino Linotype"/>
          <w:b/>
          <w:i/>
          <w:color w:val="000000"/>
          <w:sz w:val="22"/>
          <w:szCs w:val="22"/>
          <w:u w:val="single"/>
        </w:rPr>
        <w:t>Localizar la información que le solicite la Unidad de Transparencia</w:t>
      </w:r>
      <w:r w:rsidRPr="009D6228">
        <w:rPr>
          <w:rFonts w:ascii="Palatino Linotype" w:eastAsia="Palatino Linotype" w:hAnsi="Palatino Linotype" w:cs="Palatino Linotype"/>
          <w:i/>
          <w:color w:val="000000"/>
          <w:sz w:val="22"/>
          <w:szCs w:val="22"/>
        </w:rPr>
        <w:t>;</w:t>
      </w:r>
    </w:p>
    <w:p w:rsidR="00E2319B" w:rsidRPr="009D6228" w:rsidRDefault="00E2319B">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i/>
          <w:color w:val="000000"/>
          <w:sz w:val="22"/>
          <w:szCs w:val="22"/>
        </w:rPr>
        <w:t xml:space="preserve">II. </w:t>
      </w:r>
      <w:r w:rsidRPr="009D6228">
        <w:rPr>
          <w:rFonts w:ascii="Palatino Linotype" w:eastAsia="Palatino Linotype" w:hAnsi="Palatino Linotype" w:cs="Palatino Linotype"/>
          <w:b/>
          <w:i/>
          <w:color w:val="000000"/>
          <w:sz w:val="22"/>
          <w:szCs w:val="22"/>
          <w:u w:val="single"/>
        </w:rPr>
        <w:t>Proporcionar la información que obre en los archivos y que le sea solicitada por la Unidad de Transparencia</w:t>
      </w:r>
      <w:r w:rsidRPr="009D6228">
        <w:rPr>
          <w:rFonts w:ascii="Palatino Linotype" w:eastAsia="Palatino Linotype" w:hAnsi="Palatino Linotype" w:cs="Palatino Linotype"/>
          <w:i/>
          <w:color w:val="000000"/>
          <w:sz w:val="22"/>
          <w:szCs w:val="22"/>
        </w:rPr>
        <w:t>;</w:t>
      </w:r>
    </w:p>
    <w:p w:rsidR="00E2319B" w:rsidRPr="009D6228" w:rsidRDefault="00E2319B">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i/>
          <w:color w:val="000000"/>
          <w:sz w:val="22"/>
          <w:szCs w:val="22"/>
        </w:rPr>
        <w:t>III. Apoyar a la Unidad de Transparencia en lo que esta le solicite para el cumplimiento de sus funciones;</w:t>
      </w:r>
    </w:p>
    <w:p w:rsidR="00E2319B" w:rsidRPr="009D6228" w:rsidRDefault="00E2319B">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i/>
          <w:color w:val="000000"/>
          <w:sz w:val="22"/>
          <w:szCs w:val="22"/>
        </w:rPr>
        <w:t>IV. Proporcionar a la Unidad de Transparencia, las modificaciones a la información pública de oficio que obre en su poder;</w:t>
      </w:r>
    </w:p>
    <w:p w:rsidR="00E2319B" w:rsidRPr="009D6228" w:rsidRDefault="00E2319B">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i/>
          <w:color w:val="000000"/>
          <w:sz w:val="22"/>
          <w:szCs w:val="22"/>
        </w:rPr>
        <w:t>V. Integrar y presentar al responsable de la Unidad de Transparencia la propuesta de clasificación de información, la cual tendrá los fundamentos y argumentos en que se basa dicha propuesta;</w:t>
      </w:r>
    </w:p>
    <w:p w:rsidR="00E2319B" w:rsidRPr="009D6228" w:rsidRDefault="00E2319B">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i/>
          <w:color w:val="000000"/>
          <w:sz w:val="22"/>
          <w:szCs w:val="22"/>
        </w:rPr>
        <w:t>VI. Verificar, una vez analizado el contenido de la información, que no se encuentre en los supuestos de información clasificada; y</w:t>
      </w:r>
    </w:p>
    <w:p w:rsidR="00E2319B" w:rsidRPr="009D6228" w:rsidRDefault="00E2319B">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p>
    <w:p w:rsidR="00E2319B" w:rsidRPr="009D6228" w:rsidRDefault="005D3201">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9D6228">
        <w:rPr>
          <w:rFonts w:ascii="Palatino Linotype" w:eastAsia="Palatino Linotype" w:hAnsi="Palatino Linotype" w:cs="Palatino Linotype"/>
          <w:i/>
          <w:color w:val="000000"/>
          <w:sz w:val="22"/>
          <w:szCs w:val="22"/>
        </w:rPr>
        <w:t>VII. Dar cuenta a la Unidad de Transparencia del vencimiento de los plazos de reserva.</w:t>
      </w: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lastRenderedPageBreak/>
        <w:t>En otras palabras, se deduce que no se cumplió con lo que para tal efecto disponen los artículos 3, fracción XXXIX, 58 y 59,  de la Ley en la materia, ya que la respuesta fue emitida por una sola de las unidades administrativas en las que pudiera obrar la información requerida.</w:t>
      </w:r>
    </w:p>
    <w:p w:rsidR="00E2319B" w:rsidRPr="009D6228" w:rsidRDefault="00E2319B">
      <w:pPr>
        <w:spacing w:line="360" w:lineRule="auto"/>
        <w:ind w:right="-787"/>
        <w:jc w:val="both"/>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D6228">
        <w:rPr>
          <w:rFonts w:ascii="Palatino Linotype" w:eastAsia="Palatino Linotype" w:hAnsi="Palatino Linotype" w:cs="Palatino Linotype"/>
        </w:rPr>
        <w:t xml:space="preserve">Bajo ese contexto, se considera que si bien el Sujeto Obligado realizó un pronunciamiento desde su respuesta primigenia por </w:t>
      </w:r>
      <w:r w:rsidRPr="009D6228">
        <w:rPr>
          <w:rFonts w:ascii="Palatino Linotype" w:eastAsia="Palatino Linotype" w:hAnsi="Palatino Linotype" w:cs="Palatino Linotype"/>
          <w:b/>
        </w:rPr>
        <w:t>el Servidor Público Habilitado de la Dirección de Administración y Finanzas</w:t>
      </w:r>
      <w:r w:rsidRPr="009D6228">
        <w:rPr>
          <w:rFonts w:ascii="Palatino Linotype" w:eastAsia="Palatino Linotype" w:hAnsi="Palatino Linotype" w:cs="Palatino Linotype"/>
        </w:rPr>
        <w:t>, también lo es que el Sujeto Obligado deberá realizar una nueva búsqueda en todas aquellas áreas que conforman en su conjunto el Sujeto Obligado, que de acuerdo a sus facultades puedan poseer la información, con el propósito de entregar la misma que resulta de interés para el Recurrente, y dar así certeza a la particular de que se realizó una correcta búsqueda de la información requerida.</w:t>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D6228">
        <w:rPr>
          <w:rFonts w:ascii="Palatino Linotype" w:eastAsia="Palatino Linotype" w:hAnsi="Palatino Linotype" w:cs="Palatino Linotype"/>
        </w:rPr>
        <w:t>Ahora bien, es de precisar que el particular requirió información actualizada de un terreno y las subdivisiones que se han realizado al mismo, derivado de un título de adjudicación, que constituye a una persona propietaria del terreno señalado en dicho documento.</w:t>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D6228">
        <w:rPr>
          <w:rFonts w:ascii="Palatino Linotype" w:eastAsia="Palatino Linotype" w:hAnsi="Palatino Linotype" w:cs="Palatino Linotype"/>
        </w:rPr>
        <w:t>De lo anterior es de mencionar que el solicitante no acredita su identidad como titular o en su caso la identidad y personalidad con la que actúa como representante; sin embargo, no es necesario realizar una reconducción de vía, al ser claro el solicitante que la información requerida es únicamente de su interés, situación que se confirma en el medio de impugnación al manifestar que la información le sea entregada en versión pública, lo que permite a este Instituto dilucidar que no es el titular de los datos.</w:t>
      </w: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D6228">
        <w:rPr>
          <w:rFonts w:ascii="Palatino Linotype" w:eastAsia="Palatino Linotype" w:hAnsi="Palatino Linotype" w:cs="Palatino Linotype"/>
          <w:color w:val="000000"/>
        </w:rPr>
        <w:lastRenderedPageBreak/>
        <w:t xml:space="preserve">En este orden de ideas, de las constancias que obran en el expediente se advierte que el terreno al que se hace referencia en la solicitud de información se adjudicó a un particular, mismo documento tal y como lo señala en su contenido, sirve al ciudadano referido en el mismo como </w:t>
      </w:r>
      <w:r w:rsidRPr="009D6228">
        <w:rPr>
          <w:rFonts w:ascii="Palatino Linotype" w:eastAsia="Palatino Linotype" w:hAnsi="Palatino Linotype" w:cs="Palatino Linotype"/>
          <w:b/>
          <w:i/>
          <w:color w:val="000000"/>
        </w:rPr>
        <w:t>título formal de propiedad</w:t>
      </w:r>
      <w:r w:rsidRPr="009D6228">
        <w:rPr>
          <w:rFonts w:ascii="Palatino Linotype" w:eastAsia="Palatino Linotype" w:hAnsi="Palatino Linotype" w:cs="Palatino Linotype"/>
          <w:color w:val="000000"/>
        </w:rPr>
        <w:t>.</w:t>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D6228">
        <w:rPr>
          <w:rFonts w:ascii="Palatino Linotype" w:eastAsia="Palatino Linotype" w:hAnsi="Palatino Linotype" w:cs="Palatino Linotype"/>
          <w:color w:val="000000"/>
        </w:rPr>
        <w:t>De lo anterior la información a la que se desea acceder es de carácter privado y no público, ya que hace referencia a datos patrimoniales en su carácter de bienes inmuebles propiedad de un particular.</w:t>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Es importante señalar que la si bien es cierto que la información que generan, poseen o administran los sujetos obligados es pública, también lo es que se establece una excepción al principio de máxima de publicidad, prevista en causas específicas en la ley aplicable en la materia, como es la confidencialidad de la información, actualizándose la hipótesis de confidencialidad establecida en los artículos 116 la Ley General y 143 de la Ley de Transparencia local, ya que se trata de información que se refiere al patrimonio de personas físicas, por consiguiente se debe clasificar como tal.</w:t>
      </w:r>
    </w:p>
    <w:p w:rsidR="00E2319B" w:rsidRPr="009D6228" w:rsidRDefault="00E2319B">
      <w:pPr>
        <w:spacing w:line="360" w:lineRule="auto"/>
        <w:ind w:left="567" w:right="-787"/>
        <w:jc w:val="both"/>
        <w:rPr>
          <w:rFonts w:ascii="Palatino Linotype" w:eastAsia="Palatino Linotype" w:hAnsi="Palatino Linotype" w:cs="Palatino Linotype"/>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El patrimonio es considerado información confidencial atendiendo a los Criterios para la Clasificación de la Información Pública de las Dependencias, Organismos Auxiliares y Fideicomisos Públicos de la Administración Pública del Estado de México que establecen textualmente:</w:t>
      </w:r>
    </w:p>
    <w:p w:rsidR="00E2319B" w:rsidRPr="009D6228" w:rsidRDefault="005D3201">
      <w:pPr>
        <w:ind w:left="566" w:right="-220"/>
        <w:jc w:val="both"/>
        <w:rPr>
          <w:rFonts w:ascii="Palatino Linotype" w:eastAsia="Palatino Linotype" w:hAnsi="Palatino Linotype" w:cs="Palatino Linotype"/>
          <w:b/>
          <w:i/>
          <w:sz w:val="22"/>
          <w:szCs w:val="22"/>
        </w:rPr>
      </w:pPr>
      <w:r w:rsidRPr="009D6228">
        <w:rPr>
          <w:rFonts w:ascii="Palatino Linotype" w:eastAsia="Palatino Linotype" w:hAnsi="Palatino Linotype" w:cs="Palatino Linotype"/>
          <w:b/>
          <w:i/>
          <w:sz w:val="22"/>
          <w:szCs w:val="22"/>
        </w:rPr>
        <w:t>''Trigésimo.- Será confidencial la información que contenga datos personales de una persona física identificada relativos a:</w:t>
      </w:r>
    </w:p>
    <w:p w:rsidR="00E2319B" w:rsidRPr="009D6228" w:rsidRDefault="005D3201">
      <w:pPr>
        <w:ind w:left="566" w:right="-220"/>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t>…</w:t>
      </w:r>
    </w:p>
    <w:p w:rsidR="00E2319B" w:rsidRPr="009D6228" w:rsidRDefault="005D3201">
      <w:pPr>
        <w:ind w:left="566" w:right="-220"/>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t xml:space="preserve">IX. Patrimonio; </w:t>
      </w:r>
    </w:p>
    <w:p w:rsidR="00E2319B" w:rsidRPr="009D6228" w:rsidRDefault="005D3201">
      <w:pPr>
        <w:ind w:left="566" w:right="-220"/>
        <w:jc w:val="both"/>
        <w:rPr>
          <w:rFonts w:ascii="Palatino Linotype" w:eastAsia="Palatino Linotype" w:hAnsi="Palatino Linotype" w:cs="Palatino Linotype"/>
          <w:i/>
          <w:sz w:val="22"/>
          <w:szCs w:val="22"/>
        </w:rPr>
      </w:pPr>
      <w:r w:rsidRPr="009D6228">
        <w:rPr>
          <w:rFonts w:ascii="Palatino Linotype" w:eastAsia="Palatino Linotype" w:hAnsi="Palatino Linotype" w:cs="Palatino Linotype"/>
          <w:i/>
          <w:sz w:val="22"/>
          <w:szCs w:val="22"/>
        </w:rPr>
        <w:t>…</w:t>
      </w: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D6228">
        <w:rPr>
          <w:rFonts w:ascii="Palatino Linotype" w:eastAsia="Palatino Linotype" w:hAnsi="Palatino Linotype" w:cs="Palatino Linotype"/>
        </w:rPr>
        <w:lastRenderedPageBreak/>
        <w:t>Así el patrimonio es el conjunto de los bienes y derechos referentes a una persona física o jurídica colectiva, susceptibles de ser valorados económicamente, contemplando en este caso tanto activos como pasivos.</w:t>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La información patrimonial es considerada como confidencial y el darla a conocer en nada abona a la transparencia, por el contrario afecta a la intimidad de terceras personas.</w:t>
      </w:r>
    </w:p>
    <w:p w:rsidR="00E2319B" w:rsidRPr="009D6228" w:rsidRDefault="00E2319B">
      <w:pPr>
        <w:spacing w:line="360" w:lineRule="auto"/>
        <w:ind w:left="567" w:right="-787"/>
        <w:jc w:val="both"/>
        <w:rPr>
          <w:rFonts w:ascii="Palatino Linotype" w:eastAsia="Palatino Linotype" w:hAnsi="Palatino Linotype" w:cs="Palatino Linotype"/>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Por ello, en armonía entre los principios constitucionales de máxima publicidad y de protección de datos personales la ley permite la elaboración de versiones públicas en las que se suprime aquella información relacionada con la vida privada de los particulares y de los servidores públicos.</w:t>
      </w:r>
    </w:p>
    <w:p w:rsidR="00E2319B" w:rsidRPr="009D6228" w:rsidRDefault="00E2319B">
      <w:pPr>
        <w:spacing w:line="360" w:lineRule="auto"/>
        <w:ind w:left="567" w:right="-787"/>
        <w:jc w:val="both"/>
        <w:rPr>
          <w:rFonts w:ascii="Palatino Linotype" w:eastAsia="Palatino Linotype" w:hAnsi="Palatino Linotype" w:cs="Palatino Linotype"/>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Así los datos personales que obren en poder de los Sujetos Obligados deben estar protegidos, adoptando las medidas de seguridad administrativas, físicas y técnicas necesarias para garantizar la integridad, confidencialidad y disponibilidad de los datos personales.</w:t>
      </w:r>
    </w:p>
    <w:p w:rsidR="00E2319B" w:rsidRPr="009D6228" w:rsidRDefault="00E2319B">
      <w:pPr>
        <w:spacing w:line="360" w:lineRule="auto"/>
        <w:ind w:left="567" w:right="-787"/>
        <w:jc w:val="both"/>
        <w:rPr>
          <w:rFonts w:ascii="Palatino Linotype" w:eastAsia="Palatino Linotype" w:hAnsi="Palatino Linotype" w:cs="Palatino Linotype"/>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Toda la información relativa a una persona física o jurídico colectiva que pueda ser identificada o identificable constituye un dato personales en términos del artículo 4, fracción XI de la Ley de Protección de Datos Personales en Posesión de Sujetos Obligados del Estado de México y Municipios; por consiguiente, se trata de información confidencial que debe ser protegida por los sujetos obligados, por lo que todo dato personal susceptible de clasificación debe ser protegido.</w:t>
      </w:r>
    </w:p>
    <w:p w:rsidR="00E2319B" w:rsidRPr="009D6228" w:rsidRDefault="00E2319B">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lastRenderedPageBreak/>
        <w:t xml:space="preserve">Se consideran datos personales susceptibles de ser clasificados, los referentes a: el nombre, domicilio, teléfono, Clave Única de Registro de Población, Registro Federal de Contribuyentes, origen étnico o racial, características físicas, morales, emocionales, vida afectiva y familiar, correo electrónico, </w:t>
      </w:r>
      <w:r w:rsidRPr="009D6228">
        <w:rPr>
          <w:rFonts w:ascii="Palatino Linotype" w:eastAsia="Palatino Linotype" w:hAnsi="Palatino Linotype" w:cs="Palatino Linotype"/>
          <w:b/>
        </w:rPr>
        <w:t>patrimonio</w:t>
      </w:r>
      <w:r w:rsidRPr="009D6228">
        <w:rPr>
          <w:rFonts w:ascii="Palatino Linotype" w:eastAsia="Palatino Linotype" w:hAnsi="Palatino Linotype" w:cs="Palatino Linotype"/>
        </w:rPr>
        <w:t>, ideología, opiniones políticas, creencias, convicciones religiosas y filosóficas, estado de salud, huella digital, números y claves de seguridad social, entre otros.</w:t>
      </w:r>
    </w:p>
    <w:p w:rsidR="00E2319B" w:rsidRPr="009D6228" w:rsidRDefault="00E2319B">
      <w:pPr>
        <w:spacing w:line="360" w:lineRule="auto"/>
        <w:ind w:left="567" w:right="-787"/>
        <w:jc w:val="both"/>
        <w:rPr>
          <w:rFonts w:ascii="Palatino Linotype" w:eastAsia="Palatino Linotype" w:hAnsi="Palatino Linotype" w:cs="Palatino Linotype"/>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En nuestro país, el artículo 16 de la Constitución Federal reconoce el derecho a la intimidad. Asimismo, cabe considerar que la esfera íntima de la persona puede ser vulnerada en aspectos específicos, como los datos personales. La protección de la información personal se desligó paulatinamente del derecho a la intimidad, hasta conformarse como un derecho fundamental con contenido independiente.</w:t>
      </w:r>
    </w:p>
    <w:p w:rsidR="00E2319B" w:rsidRPr="009D6228" w:rsidRDefault="00E2319B">
      <w:pPr>
        <w:spacing w:line="360" w:lineRule="auto"/>
        <w:ind w:left="567" w:right="-787"/>
        <w:jc w:val="both"/>
        <w:rPr>
          <w:rFonts w:ascii="Palatino Linotype" w:eastAsia="Palatino Linotype" w:hAnsi="Palatino Linotype" w:cs="Palatino Linotype"/>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9D6228">
        <w:rPr>
          <w:rFonts w:ascii="Palatino Linotype" w:eastAsia="Palatino Linotype" w:hAnsi="Palatino Linotype" w:cs="Palatino Linotype"/>
        </w:rPr>
        <w:t>Ante tales circunstancias, se desprende que, en el caso concreto, sobreviene una colisión de derechos fundamentales; esto es, por una parte, se tiene el derecho de acceso a la información del Particular para conocer la información en análisis, y por la otra, el derecho a la protección de la vida privada, lo cual implica dar a conocer información confidencial.</w:t>
      </w:r>
    </w:p>
    <w:p w:rsidR="00E2319B" w:rsidRPr="009D6228" w:rsidRDefault="00E2319B">
      <w:pPr>
        <w:spacing w:line="360" w:lineRule="auto"/>
        <w:ind w:right="-787"/>
        <w:jc w:val="both"/>
        <w:rPr>
          <w:rFonts w:ascii="Palatino Linotype" w:eastAsia="Palatino Linotype" w:hAnsi="Palatino Linotype" w:cs="Palatino Linotype"/>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9D6228">
        <w:rPr>
          <w:rFonts w:ascii="Palatino Linotype" w:eastAsia="Palatino Linotype" w:hAnsi="Palatino Linotype" w:cs="Palatino Linotype"/>
        </w:rPr>
        <w:t xml:space="preserve">Por lo anteriormente expuesto, se considera procedente la clasificación, en términos del artículo 143, fracción I, de la Ley de Transparencia y Acceso a la Información Pública del Estado de México y Municipios, como en el caso que nos ocupa, cuando la información requerida se refiere a la vida privada y los datos personales, será protegida en los términos y con las excepciones que fijen las leyes, </w:t>
      </w:r>
      <w:r w:rsidRPr="009D6228">
        <w:rPr>
          <w:rFonts w:ascii="Palatino Linotype" w:eastAsia="Palatino Linotype" w:hAnsi="Palatino Linotype" w:cs="Palatino Linotype"/>
          <w:b/>
        </w:rPr>
        <w:t>por lo que</w:t>
      </w:r>
      <w:r w:rsidRPr="009D6228">
        <w:rPr>
          <w:rFonts w:ascii="Palatino Linotype" w:eastAsia="Palatino Linotype" w:hAnsi="Palatino Linotype" w:cs="Palatino Linotype"/>
        </w:rPr>
        <w:t xml:space="preserve"> </w:t>
      </w:r>
      <w:r w:rsidRPr="009D6228">
        <w:rPr>
          <w:rFonts w:ascii="Palatino Linotype" w:eastAsia="Palatino Linotype" w:hAnsi="Palatino Linotype" w:cs="Palatino Linotype"/>
          <w:b/>
        </w:rPr>
        <w:t xml:space="preserve">procede ordenar la clasificación como </w:t>
      </w:r>
      <w:r w:rsidRPr="009D6228">
        <w:rPr>
          <w:rFonts w:ascii="Palatino Linotype" w:eastAsia="Palatino Linotype" w:hAnsi="Palatino Linotype" w:cs="Palatino Linotype"/>
          <w:b/>
        </w:rPr>
        <w:lastRenderedPageBreak/>
        <w:t>confidencial de la información relativa al inmueble señalado en la solicitud de información.</w:t>
      </w:r>
    </w:p>
    <w:p w:rsidR="00E2319B" w:rsidRPr="009D6228" w:rsidRDefault="00E2319B">
      <w:pPr>
        <w:ind w:right="-787"/>
        <w:rPr>
          <w:rFonts w:ascii="Palatino Linotype" w:eastAsia="Palatino Linotype" w:hAnsi="Palatino Linotype" w:cs="Palatino Linotype"/>
        </w:rPr>
      </w:pPr>
    </w:p>
    <w:p w:rsidR="00E2319B" w:rsidRPr="009D6228" w:rsidRDefault="005D3201">
      <w:pPr>
        <w:numPr>
          <w:ilvl w:val="0"/>
          <w:numId w:val="3"/>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9D6228">
        <w:rPr>
          <w:rFonts w:ascii="Palatino Linotype" w:eastAsia="Palatino Linotype" w:hAnsi="Palatino Linotype" w:cs="Palatino Linotype"/>
          <w:b/>
          <w:color w:val="000000"/>
          <w:u w:val="single"/>
        </w:rPr>
        <w:t xml:space="preserve">Conclusión </w:t>
      </w:r>
    </w:p>
    <w:p w:rsidR="00E2319B" w:rsidRPr="009D6228" w:rsidRDefault="005D3201">
      <w:pPr>
        <w:numPr>
          <w:ilvl w:val="0"/>
          <w:numId w:val="2"/>
        </w:numPr>
        <w:pBdr>
          <w:top w:val="nil"/>
          <w:left w:val="nil"/>
          <w:bottom w:val="nil"/>
          <w:right w:val="nil"/>
          <w:between w:val="nil"/>
        </w:pBdr>
        <w:spacing w:line="360" w:lineRule="auto"/>
        <w:ind w:left="0" w:right="-787" w:firstLine="0"/>
        <w:jc w:val="both"/>
        <w:rPr>
          <w:color w:val="000000"/>
        </w:rPr>
      </w:pPr>
      <w:r w:rsidRPr="009D6228">
        <w:rPr>
          <w:rFonts w:ascii="Palatino Linotype" w:eastAsia="Palatino Linotype" w:hAnsi="Palatino Linotype" w:cs="Palatino Linotype"/>
        </w:rPr>
        <w:t>En consecuencia, se consideran infundadas las razones o motivos de inconformidad que plantea el</w:t>
      </w:r>
      <w:r w:rsidRPr="009D6228">
        <w:rPr>
          <w:rFonts w:ascii="Palatino Linotype" w:eastAsia="Palatino Linotype" w:hAnsi="Palatino Linotype" w:cs="Palatino Linotype"/>
          <w:b/>
        </w:rPr>
        <w:t xml:space="preserve"> RECURRENTE</w:t>
      </w:r>
      <w:r w:rsidRPr="009D6228">
        <w:rPr>
          <w:rFonts w:ascii="Palatino Linotype" w:eastAsia="Palatino Linotype" w:hAnsi="Palatino Linotype" w:cs="Palatino Linotype"/>
        </w:rPr>
        <w:t xml:space="preserve">. </w:t>
      </w:r>
    </w:p>
    <w:p w:rsidR="00E2319B" w:rsidRPr="009D6228" w:rsidRDefault="00E2319B">
      <w:pPr>
        <w:ind w:right="-787"/>
        <w:rPr>
          <w:rFonts w:ascii="Palatino Linotype" w:eastAsia="Palatino Linotype" w:hAnsi="Palatino Linotype" w:cs="Palatino Linotype"/>
          <w:color w:val="000000"/>
        </w:rPr>
      </w:pPr>
    </w:p>
    <w:p w:rsidR="00E2319B" w:rsidRPr="009D6228" w:rsidRDefault="005D32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9D6228">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9D6228">
        <w:rPr>
          <w:rFonts w:ascii="Palatino Linotype" w:eastAsia="Palatino Linotype" w:hAnsi="Palatino Linotype" w:cs="Palatino Linotype"/>
          <w:b/>
          <w:color w:val="000000"/>
        </w:rPr>
        <w:t>ÓRGANO GARANTE</w:t>
      </w:r>
      <w:r w:rsidRPr="009D6228">
        <w:rPr>
          <w:rFonts w:ascii="Palatino Linotype" w:eastAsia="Palatino Linotype" w:hAnsi="Palatino Linotype" w:cs="Palatino Linotype"/>
          <w:color w:val="000000"/>
        </w:rPr>
        <w:t xml:space="preserve"> emite los siguientes</w:t>
      </w:r>
      <w:r w:rsidRPr="009D6228">
        <w:rPr>
          <w:rFonts w:ascii="Palatino Linotype" w:eastAsia="Palatino Linotype" w:hAnsi="Palatino Linotype" w:cs="Palatino Linotype"/>
          <w:color w:val="222222"/>
        </w:rPr>
        <w:t xml:space="preserve">: </w:t>
      </w:r>
    </w:p>
    <w:p w:rsidR="00E2319B" w:rsidRPr="009D6228" w:rsidRDefault="00E2319B">
      <w:pPr>
        <w:spacing w:line="360" w:lineRule="auto"/>
        <w:ind w:right="-787"/>
        <w:jc w:val="both"/>
        <w:rPr>
          <w:rFonts w:ascii="Palatino Linotype" w:eastAsia="Palatino Linotype" w:hAnsi="Palatino Linotype" w:cs="Palatino Linotype"/>
          <w:color w:val="000000"/>
        </w:rPr>
      </w:pPr>
    </w:p>
    <w:p w:rsidR="00E2319B" w:rsidRPr="009D6228" w:rsidRDefault="005D3201">
      <w:pPr>
        <w:keepNext/>
        <w:keepLines/>
        <w:spacing w:line="360" w:lineRule="auto"/>
        <w:ind w:right="-787"/>
        <w:jc w:val="center"/>
        <w:rPr>
          <w:rFonts w:ascii="Palatino Linotype" w:eastAsia="Palatino Linotype" w:hAnsi="Palatino Linotype" w:cs="Palatino Linotype"/>
          <w:b/>
          <w:color w:val="000000"/>
        </w:rPr>
      </w:pPr>
      <w:r w:rsidRPr="009D6228">
        <w:rPr>
          <w:rFonts w:ascii="Palatino Linotype" w:eastAsia="Palatino Linotype" w:hAnsi="Palatino Linotype" w:cs="Palatino Linotype"/>
          <w:b/>
          <w:color w:val="000000"/>
        </w:rPr>
        <w:t>R E S O L U T I V O S</w:t>
      </w:r>
    </w:p>
    <w:p w:rsidR="00E2319B" w:rsidRPr="009D6228" w:rsidRDefault="00E2319B">
      <w:pPr>
        <w:ind w:right="-787"/>
        <w:rPr>
          <w:rFonts w:ascii="Palatino Linotype" w:eastAsia="Palatino Linotype" w:hAnsi="Palatino Linotype" w:cs="Palatino Linotype"/>
          <w:b/>
        </w:rPr>
      </w:pPr>
    </w:p>
    <w:p w:rsidR="00E2319B" w:rsidRPr="009D6228" w:rsidRDefault="005D3201">
      <w:pPr>
        <w:spacing w:line="360" w:lineRule="auto"/>
        <w:ind w:right="-787"/>
        <w:jc w:val="both"/>
        <w:rPr>
          <w:rFonts w:ascii="Palatino Linotype" w:eastAsia="Palatino Linotype" w:hAnsi="Palatino Linotype" w:cs="Palatino Linotype"/>
        </w:rPr>
      </w:pPr>
      <w:r w:rsidRPr="009D6228">
        <w:rPr>
          <w:rFonts w:ascii="Palatino Linotype" w:eastAsia="Palatino Linotype" w:hAnsi="Palatino Linotype" w:cs="Palatino Linotype"/>
          <w:b/>
        </w:rPr>
        <w:t xml:space="preserve">PRIMERO. </w:t>
      </w:r>
      <w:r w:rsidRPr="009D6228">
        <w:rPr>
          <w:rFonts w:ascii="Palatino Linotype" w:eastAsia="Palatino Linotype" w:hAnsi="Palatino Linotype" w:cs="Palatino Linotype"/>
        </w:rPr>
        <w:t>Resultan infundadas las</w:t>
      </w:r>
      <w:r w:rsidRPr="009D6228">
        <w:rPr>
          <w:rFonts w:ascii="Palatino Linotype" w:eastAsia="Palatino Linotype" w:hAnsi="Palatino Linotype" w:cs="Palatino Linotype"/>
          <w:b/>
        </w:rPr>
        <w:t xml:space="preserve"> </w:t>
      </w:r>
      <w:r w:rsidRPr="009D6228">
        <w:rPr>
          <w:rFonts w:ascii="Palatino Linotype" w:eastAsia="Palatino Linotype" w:hAnsi="Palatino Linotype" w:cs="Palatino Linotype"/>
        </w:rPr>
        <w:t>razones o motivos de inconformidad hechos valer en el Recurso de Revisión</w:t>
      </w:r>
      <w:r w:rsidRPr="009D6228">
        <w:rPr>
          <w:rFonts w:ascii="Palatino Linotype" w:eastAsia="Palatino Linotype" w:hAnsi="Palatino Linotype" w:cs="Palatino Linotype"/>
          <w:b/>
        </w:rPr>
        <w:t> </w:t>
      </w:r>
      <w:r w:rsidRPr="009D6228">
        <w:rPr>
          <w:rFonts w:ascii="Palatino Linotype" w:eastAsia="Palatino Linotype" w:hAnsi="Palatino Linotype" w:cs="Palatino Linotype"/>
          <w:b/>
          <w:color w:val="000000"/>
        </w:rPr>
        <w:t xml:space="preserve">01078/INFOEM/IP/RR/2024 </w:t>
      </w:r>
      <w:r w:rsidRPr="009D6228">
        <w:rPr>
          <w:rFonts w:ascii="Palatino Linotype" w:eastAsia="Palatino Linotype" w:hAnsi="Palatino Linotype" w:cs="Palatino Linotype"/>
        </w:rPr>
        <w:t xml:space="preserve">en términos del </w:t>
      </w:r>
      <w:r w:rsidRPr="009D6228">
        <w:rPr>
          <w:rFonts w:ascii="Palatino Linotype" w:eastAsia="Palatino Linotype" w:hAnsi="Palatino Linotype" w:cs="Palatino Linotype"/>
          <w:b/>
        </w:rPr>
        <w:t xml:space="preserve">Considerando CUARTO </w:t>
      </w:r>
      <w:r w:rsidRPr="009D6228">
        <w:rPr>
          <w:rFonts w:ascii="Palatino Linotype" w:eastAsia="Palatino Linotype" w:hAnsi="Palatino Linotype" w:cs="Palatino Linotype"/>
        </w:rPr>
        <w:t>de la presente resolución.</w:t>
      </w:r>
    </w:p>
    <w:p w:rsidR="00E2319B" w:rsidRPr="009D6228" w:rsidRDefault="00E2319B">
      <w:pPr>
        <w:spacing w:line="360" w:lineRule="auto"/>
        <w:ind w:right="-787"/>
        <w:jc w:val="both"/>
        <w:rPr>
          <w:rFonts w:ascii="Palatino Linotype" w:eastAsia="Palatino Linotype" w:hAnsi="Palatino Linotype" w:cs="Palatino Linotype"/>
          <w:b/>
        </w:rPr>
      </w:pPr>
    </w:p>
    <w:p w:rsidR="00E2319B" w:rsidRPr="009D6228" w:rsidRDefault="005D3201">
      <w:pPr>
        <w:spacing w:line="360" w:lineRule="auto"/>
        <w:ind w:right="-787"/>
        <w:jc w:val="both"/>
        <w:rPr>
          <w:rFonts w:ascii="Palatino Linotype" w:eastAsia="Palatino Linotype" w:hAnsi="Palatino Linotype" w:cs="Palatino Linotype"/>
        </w:rPr>
      </w:pPr>
      <w:bookmarkStart w:id="9" w:name="_heading=h.17dp8vu" w:colFirst="0" w:colLast="0"/>
      <w:bookmarkEnd w:id="9"/>
      <w:r w:rsidRPr="009D6228">
        <w:rPr>
          <w:rFonts w:ascii="Palatino Linotype" w:eastAsia="Palatino Linotype" w:hAnsi="Palatino Linotype" w:cs="Palatino Linotype"/>
          <w:b/>
        </w:rPr>
        <w:t>SEGUNDO.</w:t>
      </w:r>
      <w:r w:rsidRPr="009D6228">
        <w:rPr>
          <w:rFonts w:ascii="Palatino Linotype" w:eastAsia="Palatino Linotype" w:hAnsi="Palatino Linotype" w:cs="Palatino Linotype"/>
          <w:color w:val="2F5496"/>
        </w:rPr>
        <w:t xml:space="preserve"> </w:t>
      </w:r>
      <w:r w:rsidRPr="009D6228">
        <w:rPr>
          <w:rFonts w:ascii="Palatino Linotype" w:eastAsia="Palatino Linotype" w:hAnsi="Palatino Linotype" w:cs="Palatino Linotype"/>
          <w:color w:val="000000"/>
        </w:rPr>
        <w:t xml:space="preserve">Se </w:t>
      </w:r>
      <w:r w:rsidRPr="009D6228">
        <w:rPr>
          <w:rFonts w:ascii="Palatino Linotype" w:eastAsia="Palatino Linotype" w:hAnsi="Palatino Linotype" w:cs="Palatino Linotype"/>
          <w:b/>
          <w:color w:val="000000"/>
        </w:rPr>
        <w:t xml:space="preserve">REVOCA </w:t>
      </w:r>
      <w:r w:rsidRPr="009D6228">
        <w:rPr>
          <w:rFonts w:ascii="Palatino Linotype" w:eastAsia="Palatino Linotype" w:hAnsi="Palatino Linotype" w:cs="Palatino Linotype"/>
          <w:color w:val="000000"/>
        </w:rPr>
        <w:t xml:space="preserve">la respuesta emitida por el </w:t>
      </w:r>
      <w:r w:rsidRPr="009D6228">
        <w:rPr>
          <w:rFonts w:ascii="Palatino Linotype" w:eastAsia="Palatino Linotype" w:hAnsi="Palatino Linotype" w:cs="Palatino Linotype"/>
          <w:b/>
          <w:color w:val="000000"/>
        </w:rPr>
        <w:t xml:space="preserve">Ayuntamiento de Tepotzotlán </w:t>
      </w:r>
      <w:r w:rsidRPr="009D6228">
        <w:rPr>
          <w:rFonts w:ascii="Palatino Linotype" w:eastAsia="Palatino Linotype" w:hAnsi="Palatino Linotype" w:cs="Palatino Linotype"/>
          <w:color w:val="000000"/>
        </w:rPr>
        <w:t xml:space="preserve">y se </w:t>
      </w:r>
      <w:r w:rsidRPr="009D6228">
        <w:rPr>
          <w:rFonts w:ascii="Palatino Linotype" w:eastAsia="Palatino Linotype" w:hAnsi="Palatino Linotype" w:cs="Palatino Linotype"/>
          <w:b/>
          <w:color w:val="000000"/>
        </w:rPr>
        <w:t>ORDENA</w:t>
      </w:r>
      <w:r w:rsidRPr="009D6228">
        <w:rPr>
          <w:rFonts w:ascii="Palatino Linotype" w:eastAsia="Palatino Linotype" w:hAnsi="Palatino Linotype" w:cs="Palatino Linotype"/>
          <w:color w:val="000000"/>
        </w:rPr>
        <w:t xml:space="preserve"> entregar vía Sistema de Acceso a la Información Mexiquense </w:t>
      </w:r>
      <w:r w:rsidRPr="009D6228">
        <w:rPr>
          <w:rFonts w:ascii="Palatino Linotype" w:eastAsia="Palatino Linotype" w:hAnsi="Palatino Linotype" w:cs="Palatino Linotype"/>
          <w:b/>
          <w:color w:val="000000"/>
        </w:rPr>
        <w:t>(SAIMEX)</w:t>
      </w:r>
      <w:r w:rsidRPr="009D6228">
        <w:rPr>
          <w:rFonts w:ascii="Palatino Linotype" w:eastAsia="Palatino Linotype" w:hAnsi="Palatino Linotype" w:cs="Palatino Linotype"/>
        </w:rPr>
        <w:t>, lo siguiente:</w:t>
      </w:r>
    </w:p>
    <w:p w:rsidR="00E2319B" w:rsidRPr="009D6228" w:rsidRDefault="00E2319B">
      <w:pPr>
        <w:spacing w:line="360" w:lineRule="auto"/>
        <w:ind w:right="-787"/>
        <w:jc w:val="both"/>
        <w:rPr>
          <w:rFonts w:ascii="Palatino Linotype" w:eastAsia="Palatino Linotype" w:hAnsi="Palatino Linotype" w:cs="Palatino Linotype"/>
        </w:rPr>
      </w:pPr>
    </w:p>
    <w:p w:rsidR="00E2319B" w:rsidRPr="009D6228" w:rsidRDefault="005D3201">
      <w:pPr>
        <w:pBdr>
          <w:top w:val="nil"/>
          <w:left w:val="nil"/>
          <w:bottom w:val="nil"/>
          <w:right w:val="nil"/>
          <w:between w:val="nil"/>
        </w:pBdr>
        <w:spacing w:line="360" w:lineRule="auto"/>
        <w:ind w:left="1080" w:right="-787"/>
        <w:jc w:val="both"/>
        <w:rPr>
          <w:rFonts w:ascii="Palatino Linotype" w:eastAsia="Palatino Linotype" w:hAnsi="Palatino Linotype" w:cs="Palatino Linotype"/>
          <w:i/>
          <w:color w:val="000000"/>
        </w:rPr>
      </w:pPr>
      <w:r w:rsidRPr="009D6228">
        <w:rPr>
          <w:rFonts w:ascii="Palatino Linotype" w:eastAsia="Palatino Linotype" w:hAnsi="Palatino Linotype" w:cs="Palatino Linotype"/>
          <w:i/>
          <w:color w:val="000000"/>
        </w:rPr>
        <w:t>Del inmueble referido en la solicitud de información:</w:t>
      </w:r>
    </w:p>
    <w:p w:rsidR="00E2319B" w:rsidRPr="009D6228" w:rsidRDefault="005D3201">
      <w:pPr>
        <w:numPr>
          <w:ilvl w:val="0"/>
          <w:numId w:val="6"/>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bookmarkStart w:id="10" w:name="_heading=h.26in1rg" w:colFirst="0" w:colLast="0"/>
      <w:bookmarkEnd w:id="10"/>
      <w:r w:rsidRPr="009D6228">
        <w:rPr>
          <w:rFonts w:ascii="Palatino Linotype" w:eastAsia="Palatino Linotype" w:hAnsi="Palatino Linotype" w:cs="Palatino Linotype"/>
          <w:color w:val="000000"/>
        </w:rPr>
        <w:lastRenderedPageBreak/>
        <w:t xml:space="preserve">El Acuerdo emitido por el Comité de Transparencia, en donde de manera fundada y motivada, clasifique como información confidencial lo requerido en la solicitud de información </w:t>
      </w:r>
      <w:r w:rsidRPr="009D6228">
        <w:rPr>
          <w:rFonts w:ascii="Palatino Linotype" w:eastAsia="Palatino Linotype" w:hAnsi="Palatino Linotype" w:cs="Palatino Linotype"/>
          <w:b/>
          <w:color w:val="000000"/>
        </w:rPr>
        <w:t xml:space="preserve">00076/TEPOTZOT/IP/2024 </w:t>
      </w:r>
      <w:r w:rsidRPr="009D6228">
        <w:rPr>
          <w:rFonts w:ascii="Palatino Linotype" w:eastAsia="Palatino Linotype" w:hAnsi="Palatino Linotype" w:cs="Palatino Linotype"/>
          <w:color w:val="000000"/>
        </w:rPr>
        <w:t>de acuerdo a lo dispuesto en el artículo 143, fracción I, de la Ley de Transparencia y Acceso a la Información Pública del Estado de México y Municipios, al doce de febrero de dos mil veinticuatro.</w:t>
      </w:r>
    </w:p>
    <w:p w:rsidR="00E2319B" w:rsidRPr="009D6228" w:rsidRDefault="00E2319B">
      <w:pPr>
        <w:spacing w:line="360" w:lineRule="auto"/>
        <w:ind w:right="-787"/>
        <w:jc w:val="both"/>
        <w:rPr>
          <w:rFonts w:ascii="Palatino Linotype" w:eastAsia="Palatino Linotype" w:hAnsi="Palatino Linotype" w:cs="Palatino Linotype"/>
        </w:rPr>
      </w:pPr>
    </w:p>
    <w:p w:rsidR="00E2319B" w:rsidRPr="009D6228" w:rsidRDefault="005D3201">
      <w:pPr>
        <w:tabs>
          <w:tab w:val="left" w:pos="8080"/>
        </w:tabs>
        <w:spacing w:line="360" w:lineRule="auto"/>
        <w:ind w:right="-787"/>
        <w:jc w:val="both"/>
        <w:rPr>
          <w:rFonts w:ascii="Palatino Linotype" w:eastAsia="Palatino Linotype" w:hAnsi="Palatino Linotype" w:cs="Palatino Linotype"/>
        </w:rPr>
      </w:pPr>
      <w:r w:rsidRPr="009D6228">
        <w:rPr>
          <w:rFonts w:ascii="Palatino Linotype" w:eastAsia="Palatino Linotype" w:hAnsi="Palatino Linotype" w:cs="Palatino Linotype"/>
          <w:b/>
        </w:rPr>
        <w:t xml:space="preserve">TERCERO. </w:t>
      </w:r>
      <w:r w:rsidRPr="009D6228">
        <w:rPr>
          <w:rFonts w:ascii="Palatino Linotype" w:eastAsia="Palatino Linotype" w:hAnsi="Palatino Linotype" w:cs="Palatino Linotype"/>
          <w:b/>
          <w:color w:val="000000"/>
        </w:rPr>
        <w:t>Notifíquese</w:t>
      </w:r>
      <w:r w:rsidRPr="009D6228">
        <w:rPr>
          <w:rFonts w:ascii="Palatino Linotype" w:eastAsia="Palatino Linotype" w:hAnsi="Palatino Linotype" w:cs="Palatino Linotype"/>
          <w:color w:val="000000"/>
        </w:rPr>
        <w:t xml:space="preserve"> al </w:t>
      </w:r>
      <w:r w:rsidRPr="009D6228">
        <w:rPr>
          <w:rFonts w:ascii="Palatino Linotype" w:eastAsia="Palatino Linotype" w:hAnsi="Palatino Linotype" w:cs="Palatino Linotype"/>
          <w:color w:val="222222"/>
        </w:rPr>
        <w:t xml:space="preserve">Titular de la Unidad de Transparencia del </w:t>
      </w:r>
      <w:r w:rsidRPr="009D6228">
        <w:rPr>
          <w:rFonts w:ascii="Palatino Linotype" w:eastAsia="Palatino Linotype" w:hAnsi="Palatino Linotype" w:cs="Palatino Linotype"/>
          <w:b/>
          <w:color w:val="222222"/>
        </w:rPr>
        <w:t>SUJETO OBLIGADO</w:t>
      </w:r>
      <w:r w:rsidRPr="009D6228">
        <w:rPr>
          <w:rFonts w:ascii="Palatino Linotype" w:eastAsia="Palatino Linotype" w:hAnsi="Palatino Linotype" w:cs="Palatino Linotype"/>
          <w:color w:val="222222"/>
        </w:rPr>
        <w:t>, vía SAIMEX, la presente resolución, para que conforme al artículo 186 último párrafo, 189 segundo párrafo y 194 de la Ley de Transparencia y Acceso a la Información Pública del Estado de México y Municipios</w:t>
      </w:r>
      <w:r w:rsidRPr="009D6228">
        <w:rPr>
          <w:rFonts w:ascii="Palatino Linotype" w:eastAsia="Palatino Linotype" w:hAnsi="Palatino Linotype" w:cs="Palatino Linotype"/>
          <w:b/>
          <w:color w:val="222222"/>
        </w:rPr>
        <w:t xml:space="preserve"> de cumplimiento a lo ordenado dentro del plazo de diez días hábiles,</w:t>
      </w:r>
      <w:r w:rsidRPr="009D6228">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9D6228">
        <w:rPr>
          <w:rFonts w:ascii="Palatino Linotype" w:eastAsia="Palatino Linotype" w:hAnsi="Palatino Linotype" w:cs="Palatino Linotype"/>
        </w:rPr>
        <w:t>.</w:t>
      </w:r>
    </w:p>
    <w:p w:rsidR="00E2319B" w:rsidRPr="009D6228" w:rsidRDefault="00E2319B">
      <w:pPr>
        <w:tabs>
          <w:tab w:val="left" w:pos="8080"/>
        </w:tabs>
        <w:spacing w:line="360" w:lineRule="auto"/>
        <w:ind w:right="-787"/>
        <w:jc w:val="both"/>
        <w:rPr>
          <w:rFonts w:ascii="Palatino Linotype" w:eastAsia="Palatino Linotype" w:hAnsi="Palatino Linotype" w:cs="Palatino Linotype"/>
        </w:rPr>
      </w:pPr>
    </w:p>
    <w:p w:rsidR="00E2319B" w:rsidRPr="009D6228" w:rsidRDefault="005D3201">
      <w:pPr>
        <w:spacing w:line="360" w:lineRule="auto"/>
        <w:ind w:right="-787"/>
        <w:jc w:val="both"/>
        <w:rPr>
          <w:rFonts w:ascii="Palatino Linotype" w:eastAsia="Palatino Linotype" w:hAnsi="Palatino Linotype" w:cs="Palatino Linotype"/>
        </w:rPr>
      </w:pPr>
      <w:r w:rsidRPr="009D6228">
        <w:rPr>
          <w:rFonts w:ascii="Palatino Linotype" w:eastAsia="Palatino Linotype" w:hAnsi="Palatino Linotype" w:cs="Palatino Linotype"/>
          <w:b/>
        </w:rPr>
        <w:t xml:space="preserve">CUARTO. </w:t>
      </w:r>
      <w:r w:rsidRPr="009D6228">
        <w:rPr>
          <w:rFonts w:ascii="Palatino Linotype" w:eastAsia="Palatino Linotype" w:hAnsi="Palatino Linotype" w:cs="Palatino Linotype"/>
        </w:rPr>
        <w:t>De conformidad con el artículo 198</w:t>
      </w:r>
      <w:r w:rsidR="007D5063" w:rsidRPr="009D6228">
        <w:rPr>
          <w:rFonts w:ascii="Palatino Linotype" w:eastAsia="Palatino Linotype" w:hAnsi="Palatino Linotype" w:cs="Palatino Linotype"/>
        </w:rPr>
        <w:t>,</w:t>
      </w:r>
      <w:r w:rsidRPr="009D6228">
        <w:rPr>
          <w:rFonts w:ascii="Palatino Linotype" w:eastAsia="Palatino Linotype" w:hAnsi="Palatino Linotype" w:cs="Palatino Linotype"/>
        </w:rPr>
        <w:t xml:space="preserve"> de la Ley de Transparencia y Acceso a la Información Pública del Estado de México y Municipios, de considerarlo procedente, el </w:t>
      </w:r>
      <w:r w:rsidRPr="009D6228">
        <w:rPr>
          <w:rFonts w:ascii="Palatino Linotype" w:eastAsia="Palatino Linotype" w:hAnsi="Palatino Linotype" w:cs="Palatino Linotype"/>
          <w:b/>
        </w:rPr>
        <w:t>SUJETO OBLIGADO</w:t>
      </w:r>
      <w:r w:rsidRPr="009D6228">
        <w:rPr>
          <w:rFonts w:ascii="Palatino Linotype" w:eastAsia="Palatino Linotype" w:hAnsi="Palatino Linotype" w:cs="Palatino Linotype"/>
        </w:rPr>
        <w:t xml:space="preserve"> de manera fundada y motivada, podrá solicitar una ampliación de plazo para el cumplimiento de la presente resolución.</w:t>
      </w:r>
    </w:p>
    <w:p w:rsidR="00E2319B" w:rsidRPr="009D6228" w:rsidRDefault="00E2319B">
      <w:pPr>
        <w:shd w:val="clear" w:color="auto" w:fill="FFFFFF"/>
        <w:spacing w:line="360" w:lineRule="auto"/>
        <w:ind w:right="-787"/>
        <w:jc w:val="both"/>
        <w:rPr>
          <w:rFonts w:ascii="Palatino Linotype" w:eastAsia="Palatino Linotype" w:hAnsi="Palatino Linotype" w:cs="Palatino Linotype"/>
          <w:b/>
        </w:rPr>
      </w:pPr>
    </w:p>
    <w:p w:rsidR="00E2319B" w:rsidRPr="009D6228" w:rsidRDefault="005D3201">
      <w:pPr>
        <w:shd w:val="clear" w:color="auto" w:fill="FFFFFF"/>
        <w:spacing w:line="360" w:lineRule="auto"/>
        <w:ind w:right="-787"/>
        <w:jc w:val="both"/>
        <w:rPr>
          <w:rFonts w:ascii="Palatino Linotype" w:eastAsia="Palatino Linotype" w:hAnsi="Palatino Linotype" w:cs="Palatino Linotype"/>
          <w:b/>
        </w:rPr>
      </w:pPr>
      <w:r w:rsidRPr="009D6228">
        <w:rPr>
          <w:rFonts w:ascii="Palatino Linotype" w:eastAsia="Palatino Linotype" w:hAnsi="Palatino Linotype" w:cs="Palatino Linotype"/>
          <w:b/>
        </w:rPr>
        <w:lastRenderedPageBreak/>
        <w:t xml:space="preserve">QUINTO. </w:t>
      </w:r>
      <w:r w:rsidRPr="009D6228">
        <w:rPr>
          <w:rFonts w:ascii="Palatino Linotype" w:eastAsia="Palatino Linotype" w:hAnsi="Palatino Linotype" w:cs="Palatino Linotype"/>
        </w:rPr>
        <w:t xml:space="preserve">Notifíquese al </w:t>
      </w:r>
      <w:r w:rsidRPr="009D6228">
        <w:rPr>
          <w:rFonts w:ascii="Palatino Linotype" w:eastAsia="Palatino Linotype" w:hAnsi="Palatino Linotype" w:cs="Palatino Linotype"/>
          <w:b/>
        </w:rPr>
        <w:t xml:space="preserve">RECURRENTE </w:t>
      </w:r>
      <w:r w:rsidRPr="009D6228">
        <w:rPr>
          <w:rFonts w:ascii="Palatino Linotype" w:eastAsia="Palatino Linotype" w:hAnsi="Palatino Linotype" w:cs="Palatino Linotype"/>
        </w:rPr>
        <w:t>la presente resolución vía Sistema de Acceso a Información Mexiquense (SAIMEX)</w:t>
      </w:r>
      <w:r w:rsidRPr="009D6228">
        <w:rPr>
          <w:rFonts w:ascii="Palatino Linotype" w:eastAsia="Palatino Linotype" w:hAnsi="Palatino Linotype" w:cs="Palatino Linotype"/>
          <w:b/>
        </w:rPr>
        <w:t>.</w:t>
      </w:r>
    </w:p>
    <w:p w:rsidR="00E2319B" w:rsidRPr="009D6228" w:rsidRDefault="00E2319B">
      <w:pPr>
        <w:shd w:val="clear" w:color="auto" w:fill="FFFFFF"/>
        <w:spacing w:line="360" w:lineRule="auto"/>
        <w:ind w:right="-787"/>
        <w:jc w:val="both"/>
        <w:rPr>
          <w:rFonts w:ascii="Palatino Linotype" w:eastAsia="Palatino Linotype" w:hAnsi="Palatino Linotype" w:cs="Palatino Linotype"/>
          <w:b/>
        </w:rPr>
      </w:pPr>
    </w:p>
    <w:p w:rsidR="00E2319B" w:rsidRPr="009D6228" w:rsidRDefault="005D3201">
      <w:pPr>
        <w:shd w:val="clear" w:color="auto" w:fill="FFFFFF"/>
        <w:spacing w:line="360" w:lineRule="auto"/>
        <w:ind w:right="-787"/>
        <w:jc w:val="both"/>
        <w:rPr>
          <w:rFonts w:ascii="Palatino Linotype" w:eastAsia="Palatino Linotype" w:hAnsi="Palatino Linotype" w:cs="Palatino Linotype"/>
        </w:rPr>
      </w:pPr>
      <w:r w:rsidRPr="009D6228">
        <w:rPr>
          <w:rFonts w:ascii="Palatino Linotype" w:eastAsia="Palatino Linotype" w:hAnsi="Palatino Linotype" w:cs="Palatino Linotype"/>
          <w:b/>
        </w:rPr>
        <w:t>SEXTO.</w:t>
      </w:r>
      <w:r w:rsidRPr="009D6228">
        <w:rPr>
          <w:rFonts w:ascii="Palatino Linotype" w:eastAsia="Palatino Linotype" w:hAnsi="Palatino Linotype" w:cs="Palatino Linotype"/>
        </w:rPr>
        <w:t xml:space="preserve"> Se hace del conocimiento del </w:t>
      </w:r>
      <w:r w:rsidRPr="009D6228">
        <w:rPr>
          <w:rFonts w:ascii="Palatino Linotype" w:eastAsia="Palatino Linotype" w:hAnsi="Palatino Linotype" w:cs="Palatino Linotype"/>
          <w:b/>
        </w:rPr>
        <w:t>RECURRENTE</w:t>
      </w:r>
      <w:r w:rsidRPr="009D6228">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 vía recurso de inconformidad ante el Instituto Nacional de Transparencia, Acceso a la Información y Protección de Datos Personales, o bien, vía juicio de amparo en los términos de las Leyes aplicables.</w:t>
      </w:r>
    </w:p>
    <w:p w:rsidR="00E2319B" w:rsidRPr="009D6228" w:rsidRDefault="00E2319B">
      <w:pPr>
        <w:spacing w:line="360" w:lineRule="auto"/>
        <w:ind w:right="-787"/>
        <w:jc w:val="both"/>
        <w:rPr>
          <w:rFonts w:ascii="Palatino Linotype" w:eastAsia="Palatino Linotype" w:hAnsi="Palatino Linotype" w:cs="Palatino Linotype"/>
          <w:b/>
        </w:rPr>
      </w:pPr>
    </w:p>
    <w:p w:rsidR="007D5063" w:rsidRPr="003C7186" w:rsidRDefault="007D5063" w:rsidP="00350042">
      <w:pPr>
        <w:spacing w:line="360" w:lineRule="auto"/>
        <w:ind w:left="-142" w:right="-801" w:firstLine="1"/>
        <w:jc w:val="both"/>
        <w:rPr>
          <w:rFonts w:ascii="Palatino Linotype" w:hAnsi="Palatino Linotype"/>
        </w:rPr>
      </w:pPr>
      <w:r w:rsidRPr="009D6228">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3C7186">
        <w:rPr>
          <w:rFonts w:ascii="Palatino Linotype" w:hAnsi="Palatino Linotype"/>
        </w:rPr>
        <w:t xml:space="preserve"> </w:t>
      </w:r>
    </w:p>
    <w:p w:rsidR="00E2319B" w:rsidRDefault="00E2319B">
      <w:pPr>
        <w:spacing w:before="240" w:after="240" w:line="360" w:lineRule="auto"/>
        <w:ind w:right="-787" w:firstLine="1"/>
        <w:jc w:val="both"/>
        <w:rPr>
          <w:rFonts w:ascii="Palatino Linotype" w:eastAsia="Palatino Linotype" w:hAnsi="Palatino Linotype" w:cs="Palatino Linotype"/>
        </w:rPr>
      </w:pPr>
    </w:p>
    <w:p w:rsidR="00E2319B" w:rsidRDefault="00E2319B">
      <w:pPr>
        <w:spacing w:before="240" w:after="240" w:line="360" w:lineRule="auto"/>
        <w:ind w:right="-787" w:firstLine="1"/>
        <w:jc w:val="both"/>
        <w:rPr>
          <w:rFonts w:ascii="Palatino Linotype" w:eastAsia="Palatino Linotype" w:hAnsi="Palatino Linotype" w:cs="Palatino Linotype"/>
        </w:rPr>
      </w:pPr>
    </w:p>
    <w:p w:rsidR="00E2319B" w:rsidRDefault="00E2319B">
      <w:pPr>
        <w:spacing w:before="240" w:after="240" w:line="360" w:lineRule="auto"/>
        <w:ind w:right="-787" w:firstLine="1"/>
        <w:jc w:val="both"/>
        <w:rPr>
          <w:rFonts w:ascii="Palatino Linotype" w:eastAsia="Palatino Linotype" w:hAnsi="Palatino Linotype" w:cs="Palatino Linotype"/>
        </w:rPr>
      </w:pPr>
    </w:p>
    <w:p w:rsidR="00E2319B" w:rsidRDefault="00E2319B">
      <w:pPr>
        <w:spacing w:before="240" w:after="240" w:line="360" w:lineRule="auto"/>
        <w:ind w:right="-787" w:firstLine="1"/>
        <w:jc w:val="both"/>
        <w:rPr>
          <w:rFonts w:ascii="Palatino Linotype" w:eastAsia="Palatino Linotype" w:hAnsi="Palatino Linotype" w:cs="Palatino Linotype"/>
        </w:rPr>
      </w:pPr>
    </w:p>
    <w:p w:rsidR="00E2319B" w:rsidRDefault="00E2319B">
      <w:pPr>
        <w:spacing w:before="240" w:after="240" w:line="360" w:lineRule="auto"/>
        <w:ind w:right="-787" w:firstLine="1"/>
        <w:jc w:val="both"/>
        <w:rPr>
          <w:rFonts w:ascii="Palatino Linotype" w:eastAsia="Palatino Linotype" w:hAnsi="Palatino Linotype" w:cs="Palatino Linotype"/>
        </w:rPr>
      </w:pPr>
    </w:p>
    <w:p w:rsidR="00E2319B" w:rsidRDefault="00E2319B">
      <w:pPr>
        <w:spacing w:before="240" w:after="240" w:line="360" w:lineRule="auto"/>
        <w:ind w:right="-787" w:firstLine="1"/>
        <w:jc w:val="both"/>
        <w:rPr>
          <w:rFonts w:ascii="Palatino Linotype" w:eastAsia="Palatino Linotype" w:hAnsi="Palatino Linotype" w:cs="Palatino Linotype"/>
        </w:rPr>
      </w:pPr>
    </w:p>
    <w:p w:rsidR="00E2319B" w:rsidRDefault="00E2319B">
      <w:pPr>
        <w:spacing w:before="240" w:after="240" w:line="360" w:lineRule="auto"/>
        <w:ind w:right="-787" w:firstLine="1"/>
        <w:jc w:val="both"/>
        <w:rPr>
          <w:rFonts w:ascii="Palatino Linotype" w:eastAsia="Palatino Linotype" w:hAnsi="Palatino Linotype" w:cs="Palatino Linotype"/>
        </w:rPr>
      </w:pPr>
    </w:p>
    <w:p w:rsidR="00E2319B" w:rsidRDefault="00E2319B">
      <w:pPr>
        <w:spacing w:line="360" w:lineRule="auto"/>
        <w:ind w:right="-787"/>
        <w:rPr>
          <w:rFonts w:ascii="Palatino Linotype" w:eastAsia="Palatino Linotype" w:hAnsi="Palatino Linotype" w:cs="Palatino Linotype"/>
        </w:rPr>
      </w:pPr>
    </w:p>
    <w:p w:rsidR="00E2319B" w:rsidRDefault="00E2319B">
      <w:pPr>
        <w:spacing w:line="360" w:lineRule="auto"/>
        <w:ind w:right="-787"/>
        <w:rPr>
          <w:rFonts w:ascii="Palatino Linotype" w:eastAsia="Palatino Linotype" w:hAnsi="Palatino Linotype" w:cs="Palatino Linotype"/>
        </w:rPr>
      </w:pPr>
    </w:p>
    <w:p w:rsidR="00E2319B" w:rsidRDefault="005D3201">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sectPr w:rsidR="00E2319B">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9F1" w:rsidRDefault="00CF39F1">
      <w:r>
        <w:separator/>
      </w:r>
    </w:p>
  </w:endnote>
  <w:endnote w:type="continuationSeparator" w:id="0">
    <w:p w:rsidR="00CF39F1" w:rsidRDefault="00CF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9B" w:rsidRDefault="005D320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60ACF">
      <w:rPr>
        <w:rFonts w:ascii="Palatino Linotype" w:eastAsia="Palatino Linotype" w:hAnsi="Palatino Linotype" w:cs="Palatino Linotype"/>
        <w:noProof/>
        <w:color w:val="000000"/>
        <w:sz w:val="20"/>
        <w:szCs w:val="20"/>
      </w:rPr>
      <w:t>23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60ACF">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rsidR="00E2319B" w:rsidRDefault="00E2319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9B" w:rsidRDefault="005D320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60AC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60ACF">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rsidR="00E2319B" w:rsidRDefault="00E2319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9F1" w:rsidRDefault="00CF39F1">
      <w:r>
        <w:separator/>
      </w:r>
    </w:p>
  </w:footnote>
  <w:footnote w:type="continuationSeparator" w:id="0">
    <w:p w:rsidR="00CF39F1" w:rsidRDefault="00CF3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9B" w:rsidRDefault="00CF39F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7890" w:type="dxa"/>
      <w:tblInd w:w="3544" w:type="dxa"/>
      <w:tblLayout w:type="fixed"/>
      <w:tblLook w:val="0400" w:firstRow="0" w:lastRow="0" w:firstColumn="0" w:lastColumn="0" w:noHBand="0" w:noVBand="1"/>
    </w:tblPr>
    <w:tblGrid>
      <w:gridCol w:w="2970"/>
      <w:gridCol w:w="4920"/>
    </w:tblGrid>
    <w:tr w:rsidR="00E2319B" w:rsidTr="000D6BF4">
      <w:trPr>
        <w:trHeight w:val="227"/>
      </w:trPr>
      <w:tc>
        <w:tcPr>
          <w:tcW w:w="2970" w:type="dxa"/>
          <w:vAlign w:val="center"/>
        </w:tcPr>
        <w:p w:rsidR="00E2319B" w:rsidRDefault="005D32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20" w:type="dxa"/>
          <w:vAlign w:val="center"/>
        </w:tcPr>
        <w:p w:rsidR="00E2319B" w:rsidRDefault="005D320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01078/INFOEM/IP/RR/2024</w:t>
          </w:r>
        </w:p>
      </w:tc>
    </w:tr>
    <w:tr w:rsidR="00E2319B" w:rsidTr="000D6BF4">
      <w:trPr>
        <w:trHeight w:val="342"/>
      </w:trPr>
      <w:tc>
        <w:tcPr>
          <w:tcW w:w="2970" w:type="dxa"/>
        </w:tcPr>
        <w:p w:rsidR="00E2319B" w:rsidRDefault="005D32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0" w:type="dxa"/>
          <w:vAlign w:val="center"/>
        </w:tcPr>
        <w:p w:rsidR="00E2319B" w:rsidRDefault="005D320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Tepotzotlán</w:t>
          </w:r>
        </w:p>
      </w:tc>
    </w:tr>
    <w:tr w:rsidR="00E2319B" w:rsidTr="000D6BF4">
      <w:trPr>
        <w:trHeight w:val="342"/>
      </w:trPr>
      <w:tc>
        <w:tcPr>
          <w:tcW w:w="2970" w:type="dxa"/>
          <w:vAlign w:val="center"/>
        </w:tcPr>
        <w:p w:rsidR="00E2319B" w:rsidRDefault="005D32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0" w:type="dxa"/>
          <w:vAlign w:val="center"/>
        </w:tcPr>
        <w:p w:rsidR="00E2319B" w:rsidRDefault="005D320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2319B" w:rsidRDefault="00CF39F1">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4pt;margin-top:-118.85pt;width:609.4pt;height:793.75pt;z-index:-251659776;mso-position-horizontal-relative:margin;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6237" w:type="dxa"/>
      <w:tblInd w:w="3686" w:type="dxa"/>
      <w:tblLayout w:type="fixed"/>
      <w:tblLook w:val="0400" w:firstRow="0" w:lastRow="0" w:firstColumn="0" w:lastColumn="0" w:noHBand="0" w:noVBand="1"/>
    </w:tblPr>
    <w:tblGrid>
      <w:gridCol w:w="2970"/>
      <w:gridCol w:w="3267"/>
    </w:tblGrid>
    <w:tr w:rsidR="00E2319B" w:rsidTr="000D6BF4">
      <w:trPr>
        <w:trHeight w:val="227"/>
      </w:trPr>
      <w:tc>
        <w:tcPr>
          <w:tcW w:w="2970" w:type="dxa"/>
          <w:vAlign w:val="center"/>
        </w:tcPr>
        <w:p w:rsidR="00E2319B" w:rsidRDefault="005D32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7" w:type="dxa"/>
          <w:vAlign w:val="center"/>
        </w:tcPr>
        <w:p w:rsidR="00E2319B" w:rsidRDefault="005D320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01078/INFOEM/IP/RR/2024</w:t>
          </w:r>
        </w:p>
      </w:tc>
    </w:tr>
    <w:tr w:rsidR="00E2319B" w:rsidTr="000D6BF4">
      <w:trPr>
        <w:trHeight w:val="242"/>
      </w:trPr>
      <w:tc>
        <w:tcPr>
          <w:tcW w:w="2970" w:type="dxa"/>
          <w:vAlign w:val="center"/>
        </w:tcPr>
        <w:p w:rsidR="00E2319B" w:rsidRDefault="005D32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267" w:type="dxa"/>
        </w:tcPr>
        <w:p w:rsidR="00E2319B" w:rsidRDefault="00660ACF">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 XXXXX XXXX</w:t>
          </w:r>
        </w:p>
      </w:tc>
    </w:tr>
    <w:tr w:rsidR="00E2319B" w:rsidTr="000D6BF4">
      <w:trPr>
        <w:trHeight w:val="342"/>
      </w:trPr>
      <w:tc>
        <w:tcPr>
          <w:tcW w:w="2970" w:type="dxa"/>
        </w:tcPr>
        <w:p w:rsidR="00E2319B" w:rsidRDefault="005D32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7" w:type="dxa"/>
          <w:vAlign w:val="center"/>
        </w:tcPr>
        <w:p w:rsidR="00E2319B" w:rsidRDefault="005D320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Tepotzotlán</w:t>
          </w:r>
        </w:p>
      </w:tc>
    </w:tr>
    <w:tr w:rsidR="00E2319B" w:rsidTr="000D6BF4">
      <w:trPr>
        <w:trHeight w:val="342"/>
      </w:trPr>
      <w:tc>
        <w:tcPr>
          <w:tcW w:w="2970" w:type="dxa"/>
          <w:vAlign w:val="center"/>
        </w:tcPr>
        <w:p w:rsidR="00E2319B" w:rsidRDefault="005D32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7" w:type="dxa"/>
          <w:vAlign w:val="center"/>
        </w:tcPr>
        <w:p w:rsidR="00E2319B" w:rsidRDefault="005D320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2319B" w:rsidRDefault="00CF39F1">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C5B"/>
    <w:multiLevelType w:val="multilevel"/>
    <w:tmpl w:val="800234F6"/>
    <w:lvl w:ilvl="0">
      <w:start w:val="1"/>
      <w:numFmt w:val="decimal"/>
      <w:lvlText w:val="%1."/>
      <w:lvlJc w:val="left"/>
      <w:pPr>
        <w:ind w:left="192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44F89"/>
    <w:multiLevelType w:val="multilevel"/>
    <w:tmpl w:val="0DB41B0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61041E4"/>
    <w:multiLevelType w:val="multilevel"/>
    <w:tmpl w:val="EE7EF738"/>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 w15:restartNumberingAfterBreak="0">
    <w:nsid w:val="08345090"/>
    <w:multiLevelType w:val="multilevel"/>
    <w:tmpl w:val="B69C0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FB3544"/>
    <w:multiLevelType w:val="multilevel"/>
    <w:tmpl w:val="58D66A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9462156"/>
    <w:multiLevelType w:val="multilevel"/>
    <w:tmpl w:val="1CC2B54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15:restartNumberingAfterBreak="0">
    <w:nsid w:val="65595843"/>
    <w:multiLevelType w:val="multilevel"/>
    <w:tmpl w:val="709686E0"/>
    <w:lvl w:ilvl="0">
      <w:start w:val="1"/>
      <w:numFmt w:val="decimal"/>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7" w15:restartNumberingAfterBreak="0">
    <w:nsid w:val="68A55D10"/>
    <w:multiLevelType w:val="multilevel"/>
    <w:tmpl w:val="DD3CEA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21B421D"/>
    <w:multiLevelType w:val="multilevel"/>
    <w:tmpl w:val="3EB86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2"/>
  </w:num>
  <w:num w:numId="5">
    <w:abstractNumId w:val="6"/>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9B"/>
    <w:rsid w:val="000D6BF4"/>
    <w:rsid w:val="00350042"/>
    <w:rsid w:val="005D3201"/>
    <w:rsid w:val="00660ACF"/>
    <w:rsid w:val="00747291"/>
    <w:rsid w:val="007C5E3A"/>
    <w:rsid w:val="007D5063"/>
    <w:rsid w:val="00883365"/>
    <w:rsid w:val="009D6228"/>
    <w:rsid w:val="00A042D8"/>
    <w:rsid w:val="00B864D5"/>
    <w:rsid w:val="00CF39F1"/>
    <w:rsid w:val="00E2319B"/>
    <w:rsid w:val="00EB2CF9"/>
    <w:rsid w:val="00EE4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3E9B7A2-8D75-4407-A1C8-D0DC6980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QECq78GZmjztSc24iIi9JtEW/g==">CgMxLjAyCGguZ2pkZ3hzMgloLjMwajB6bGwyCWguMWZvYjl0ZTIJaC4zem55c2g3MgloLjJldDkycDAyCGgudHlqY3d0MgloLjNkeTZ2a20yCWguMXQzaDVzZjIJaC4xN2RwOHZ1MgloLjI2aW4xcmc4AHIhMUNSYWJ1WWw0d1JGSXFKWnliTjdBam1mOTRWZFlkUnlM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Pages>
  <Words>5587</Words>
  <Characters>30732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7</cp:revision>
  <cp:lastPrinted>2025-02-13T15:59:00Z</cp:lastPrinted>
  <dcterms:created xsi:type="dcterms:W3CDTF">2025-02-06T00:29:00Z</dcterms:created>
  <dcterms:modified xsi:type="dcterms:W3CDTF">2025-03-25T01:42:00Z</dcterms:modified>
</cp:coreProperties>
</file>