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29" w:rsidRPr="00890E7D" w:rsidRDefault="00463429" w:rsidP="00FA457A">
      <w:pPr>
        <w:tabs>
          <w:tab w:val="left" w:pos="3465"/>
          <w:tab w:val="left" w:pos="9072"/>
        </w:tabs>
        <w:spacing w:line="360" w:lineRule="auto"/>
        <w:ind w:right="49"/>
        <w:jc w:val="both"/>
        <w:rPr>
          <w:rFonts w:ascii="Palatino Linotype" w:eastAsia="Palatino Linotype" w:hAnsi="Palatino Linotype" w:cs="Palatino Linotype"/>
        </w:rPr>
      </w:pPr>
      <w:bookmarkStart w:id="0" w:name="_heading=h.gjdgxs" w:colFirst="0" w:colLast="0"/>
      <w:bookmarkStart w:id="1" w:name="_GoBack"/>
      <w:bookmarkEnd w:id="0"/>
      <w:bookmarkEnd w:id="1"/>
      <w:r w:rsidRPr="00890E7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890E7D">
        <w:rPr>
          <w:rFonts w:ascii="Palatino Linotype" w:eastAsia="Palatino Linotype" w:hAnsi="Palatino Linotype" w:cs="Palatino Linotype"/>
          <w:b/>
        </w:rPr>
        <w:t>de fecha</w:t>
      </w:r>
      <w:r w:rsidRPr="00890E7D">
        <w:rPr>
          <w:rFonts w:ascii="Palatino Linotype" w:eastAsia="Palatino Linotype" w:hAnsi="Palatino Linotype" w:cs="Palatino Linotype"/>
        </w:rPr>
        <w:t xml:space="preserve"> </w:t>
      </w:r>
      <w:r w:rsidRPr="00890E7D">
        <w:rPr>
          <w:rFonts w:ascii="Palatino Linotype" w:eastAsia="Palatino Linotype" w:hAnsi="Palatino Linotype" w:cs="Palatino Linotype"/>
          <w:b/>
        </w:rPr>
        <w:t xml:space="preserve">seis </w:t>
      </w:r>
      <w:r w:rsidR="00132C1B">
        <w:rPr>
          <w:rFonts w:ascii="Palatino Linotype" w:eastAsia="Palatino Linotype" w:hAnsi="Palatino Linotype" w:cs="Palatino Linotype"/>
          <w:b/>
        </w:rPr>
        <w:t xml:space="preserve">(06) </w:t>
      </w:r>
      <w:r w:rsidRPr="00890E7D">
        <w:rPr>
          <w:rFonts w:ascii="Palatino Linotype" w:eastAsia="Palatino Linotype" w:hAnsi="Palatino Linotype" w:cs="Palatino Linotype"/>
          <w:b/>
        </w:rPr>
        <w:t>de agosto de dos mil veinticinco</w:t>
      </w:r>
      <w:r w:rsidRPr="00890E7D">
        <w:rPr>
          <w:rFonts w:ascii="Palatino Linotype" w:eastAsia="Palatino Linotype" w:hAnsi="Palatino Linotype" w:cs="Palatino Linotype"/>
        </w:rPr>
        <w:t>.</w:t>
      </w:r>
    </w:p>
    <w:p w:rsidR="00463429" w:rsidRPr="00890E7D" w:rsidRDefault="00463429" w:rsidP="00FA457A">
      <w:pPr>
        <w:tabs>
          <w:tab w:val="left" w:pos="3465"/>
          <w:tab w:val="left" w:pos="9072"/>
        </w:tabs>
        <w:spacing w:line="360" w:lineRule="auto"/>
        <w:ind w:right="49"/>
        <w:jc w:val="both"/>
        <w:rPr>
          <w:rFonts w:ascii="Palatino Linotype" w:eastAsia="Palatino Linotype" w:hAnsi="Palatino Linotype" w:cs="Palatino Linotype"/>
        </w:rPr>
      </w:pP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rPr>
      </w:pPr>
      <w:r w:rsidRPr="00890E7D">
        <w:rPr>
          <w:rFonts w:ascii="Palatino Linotype" w:eastAsia="Palatino Linotype" w:hAnsi="Palatino Linotype" w:cs="Palatino Linotype"/>
          <w:b/>
        </w:rPr>
        <w:t xml:space="preserve">VISTAS </w:t>
      </w:r>
      <w:r w:rsidRPr="00890E7D">
        <w:rPr>
          <w:rFonts w:ascii="Palatino Linotype" w:eastAsia="Palatino Linotype" w:hAnsi="Palatino Linotype" w:cs="Palatino Linotype"/>
        </w:rPr>
        <w:t xml:space="preserve">las constancias para resolver el Recurso de Revisión presentado por </w:t>
      </w:r>
      <w:r w:rsidR="005945C8">
        <w:rPr>
          <w:rFonts w:ascii="Palatino Linotype" w:eastAsia="Palatino Linotype" w:hAnsi="Palatino Linotype" w:cs="Palatino Linotype"/>
          <w:b/>
          <w:color w:val="000000"/>
        </w:rPr>
        <w:t>XXXX</w:t>
      </w:r>
      <w:r w:rsidRPr="00890E7D">
        <w:rPr>
          <w:rFonts w:ascii="Palatino Linotype" w:eastAsia="Palatino Linotype" w:hAnsi="Palatino Linotype" w:cs="Palatino Linotype"/>
          <w:b/>
        </w:rPr>
        <w:t>,</w:t>
      </w:r>
      <w:r w:rsidRPr="00890E7D">
        <w:rPr>
          <w:rFonts w:ascii="Palatino Linotype" w:eastAsia="Palatino Linotype" w:hAnsi="Palatino Linotype" w:cs="Palatino Linotype"/>
        </w:rPr>
        <w:t xml:space="preserve"> en lo sucesivo el </w:t>
      </w:r>
      <w:r w:rsidRPr="00890E7D">
        <w:rPr>
          <w:rFonts w:ascii="Palatino Linotype" w:eastAsia="Palatino Linotype" w:hAnsi="Palatino Linotype" w:cs="Palatino Linotype"/>
          <w:b/>
        </w:rPr>
        <w:t>RECURRENTE,</w:t>
      </w:r>
      <w:r w:rsidRPr="00890E7D">
        <w:rPr>
          <w:rFonts w:ascii="Palatino Linotype" w:eastAsia="Palatino Linotype" w:hAnsi="Palatino Linotype" w:cs="Palatino Linotype"/>
        </w:rPr>
        <w:t xml:space="preserve"> en contra de la respuesta otorgada a la Solicitud de Acceso a Datos Personales con número de folio </w:t>
      </w:r>
      <w:r w:rsidRPr="00890E7D">
        <w:rPr>
          <w:rFonts w:ascii="Palatino Linotype" w:eastAsia="Palatino Linotype" w:hAnsi="Palatino Linotype" w:cs="Palatino Linotype"/>
          <w:b/>
        </w:rPr>
        <w:t>00188/SF/IP/2025</w:t>
      </w:r>
      <w:r w:rsidRPr="00890E7D">
        <w:rPr>
          <w:rFonts w:ascii="Palatino Linotype" w:eastAsia="Palatino Linotype" w:hAnsi="Palatino Linotype" w:cs="Palatino Linotype"/>
        </w:rPr>
        <w:t xml:space="preserve">, que dio origen al Recurso de Revisión </w:t>
      </w:r>
      <w:r w:rsidRPr="00890E7D">
        <w:rPr>
          <w:rFonts w:ascii="Palatino Linotype" w:eastAsia="Palatino Linotype" w:hAnsi="Palatino Linotype" w:cs="Palatino Linotype"/>
          <w:b/>
        </w:rPr>
        <w:t>02363/INFOEM/IP/RR/2025</w:t>
      </w:r>
      <w:r w:rsidRPr="00890E7D">
        <w:rPr>
          <w:rFonts w:ascii="Palatino Linotype" w:eastAsia="Palatino Linotype" w:hAnsi="Palatino Linotype" w:cs="Palatino Linotype"/>
        </w:rPr>
        <w:t xml:space="preserve">, por parte del </w:t>
      </w:r>
      <w:r w:rsidRPr="00890E7D">
        <w:rPr>
          <w:rFonts w:ascii="Palatino Linotype" w:eastAsia="Palatino Linotype" w:hAnsi="Palatino Linotype" w:cs="Palatino Linotype"/>
          <w:b/>
        </w:rPr>
        <w:t xml:space="preserve">Secretaría de Finanzas </w:t>
      </w:r>
      <w:r w:rsidRPr="00890E7D">
        <w:rPr>
          <w:rFonts w:ascii="Palatino Linotype" w:eastAsia="Palatino Linotype" w:hAnsi="Palatino Linotype" w:cs="Palatino Linotype"/>
        </w:rPr>
        <w:t>en adelante el</w:t>
      </w:r>
      <w:r w:rsidRPr="00890E7D">
        <w:rPr>
          <w:rFonts w:ascii="Palatino Linotype" w:eastAsia="Palatino Linotype" w:hAnsi="Palatino Linotype" w:cs="Palatino Linotype"/>
          <w:b/>
        </w:rPr>
        <w:t xml:space="preserve"> SUJETO OBLIGADO</w:t>
      </w:r>
      <w:r w:rsidRPr="00890E7D">
        <w:rPr>
          <w:rFonts w:ascii="Palatino Linotype" w:eastAsia="Palatino Linotype" w:hAnsi="Palatino Linotype" w:cs="Palatino Linotype"/>
        </w:rPr>
        <w:t>, se emite la presente Resolución con base en los siguientes:</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b/>
        </w:rPr>
      </w:pPr>
    </w:p>
    <w:p w:rsidR="00463429" w:rsidRPr="00890E7D" w:rsidRDefault="00463429" w:rsidP="00FA457A">
      <w:pPr>
        <w:pStyle w:val="Ttulo1"/>
        <w:tabs>
          <w:tab w:val="left" w:pos="9072"/>
        </w:tabs>
        <w:spacing w:before="0" w:line="360" w:lineRule="auto"/>
        <w:ind w:right="49"/>
        <w:jc w:val="center"/>
        <w:rPr>
          <w:rFonts w:ascii="Palatino Linotype" w:eastAsia="Palatino Linotype" w:hAnsi="Palatino Linotype" w:cs="Palatino Linotype"/>
          <w:b/>
          <w:color w:val="000000"/>
          <w:sz w:val="24"/>
          <w:szCs w:val="24"/>
        </w:rPr>
      </w:pPr>
      <w:bookmarkStart w:id="2" w:name="_heading=h.30j0zll" w:colFirst="0" w:colLast="0"/>
      <w:bookmarkEnd w:id="2"/>
      <w:r w:rsidRPr="00890E7D">
        <w:rPr>
          <w:rFonts w:ascii="Palatino Linotype" w:eastAsia="Palatino Linotype" w:hAnsi="Palatino Linotype" w:cs="Palatino Linotype"/>
          <w:b/>
          <w:color w:val="000000"/>
          <w:sz w:val="24"/>
          <w:szCs w:val="24"/>
        </w:rPr>
        <w:t>A N T E C E D E N T E S</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b/>
          <w:color w:val="000000"/>
          <w:u w:val="single"/>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90E7D">
        <w:rPr>
          <w:rFonts w:ascii="Palatino Linotype" w:eastAsia="Palatino Linotype" w:hAnsi="Palatino Linotype" w:cs="Palatino Linotype"/>
          <w:color w:val="000000"/>
        </w:rPr>
        <w:t>El día</w:t>
      </w:r>
      <w:r w:rsidRPr="00890E7D">
        <w:rPr>
          <w:rFonts w:ascii="Palatino Linotype" w:eastAsia="Palatino Linotype" w:hAnsi="Palatino Linotype" w:cs="Palatino Linotype"/>
          <w:b/>
          <w:color w:val="000000"/>
        </w:rPr>
        <w:t xml:space="preserve"> diecisiete de febrero de dos mil veinticinco</w:t>
      </w:r>
      <w:r w:rsidRPr="00890E7D">
        <w:rPr>
          <w:rFonts w:ascii="Palatino Linotype" w:eastAsia="Palatino Linotype" w:hAnsi="Palatino Linotype" w:cs="Palatino Linotype"/>
          <w:color w:val="000000"/>
        </w:rPr>
        <w:t>,</w:t>
      </w:r>
      <w:r w:rsidRPr="00890E7D">
        <w:rPr>
          <w:rFonts w:ascii="Palatino Linotype" w:eastAsia="Palatino Linotype" w:hAnsi="Palatino Linotype" w:cs="Palatino Linotype"/>
          <w:b/>
          <w:color w:val="000000"/>
        </w:rPr>
        <w:t xml:space="preserve"> </w:t>
      </w:r>
      <w:r w:rsidRPr="00890E7D">
        <w:rPr>
          <w:rFonts w:ascii="Palatino Linotype" w:eastAsia="Palatino Linotype" w:hAnsi="Palatino Linotype" w:cs="Palatino Linotype"/>
          <w:color w:val="000000"/>
        </w:rPr>
        <w:t xml:space="preserve">se presentó ante el </w:t>
      </w:r>
      <w:r w:rsidRPr="00890E7D">
        <w:rPr>
          <w:rFonts w:ascii="Palatino Linotype" w:eastAsia="Palatino Linotype" w:hAnsi="Palatino Linotype" w:cs="Palatino Linotype"/>
          <w:b/>
          <w:color w:val="000000"/>
        </w:rPr>
        <w:t>SUJETO OBLIGADO</w:t>
      </w:r>
      <w:r w:rsidRPr="00890E7D">
        <w:rPr>
          <w:rFonts w:ascii="Palatino Linotype" w:eastAsia="Palatino Linotype" w:hAnsi="Palatino Linotype" w:cs="Palatino Linotype"/>
          <w:color w:val="000000"/>
        </w:rPr>
        <w:t xml:space="preserve"> la solicitud de acceso a datos a través del Sistema de Acceso a la Información Mexiquense (SAIMEX), con el número de folio </w:t>
      </w:r>
      <w:r w:rsidRPr="00890E7D">
        <w:rPr>
          <w:rFonts w:ascii="Palatino Linotype" w:eastAsia="Palatino Linotype" w:hAnsi="Palatino Linotype" w:cs="Palatino Linotype"/>
          <w:b/>
          <w:color w:val="000000"/>
        </w:rPr>
        <w:t>00188/SF/IP/2025</w:t>
      </w:r>
      <w:r w:rsidRPr="00890E7D">
        <w:rPr>
          <w:rFonts w:ascii="Palatino Linotype" w:eastAsia="Palatino Linotype" w:hAnsi="Palatino Linotype" w:cs="Palatino Linotype"/>
          <w:color w:val="000000"/>
        </w:rPr>
        <w:t>, cuyo contenido es el siguiente:</w:t>
      </w:r>
    </w:p>
    <w:p w:rsidR="00463429" w:rsidRPr="00890E7D" w:rsidRDefault="00463429" w:rsidP="00FA457A">
      <w:pPr>
        <w:pBdr>
          <w:top w:val="nil"/>
          <w:left w:val="nil"/>
          <w:bottom w:val="nil"/>
          <w:right w:val="nil"/>
          <w:between w:val="nil"/>
        </w:pBdr>
        <w:tabs>
          <w:tab w:val="left" w:pos="0"/>
          <w:tab w:val="left" w:pos="9072"/>
        </w:tabs>
        <w:spacing w:line="360" w:lineRule="auto"/>
        <w:ind w:right="49"/>
        <w:jc w:val="both"/>
        <w:rPr>
          <w:rFonts w:ascii="Palatino Linotype" w:eastAsia="Palatino Linotype" w:hAnsi="Palatino Linotype" w:cs="Palatino Linotype"/>
        </w:rPr>
      </w:pP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i/>
          <w:color w:val="000000"/>
        </w:rPr>
      </w:pPr>
      <w:r w:rsidRPr="00890E7D">
        <w:rPr>
          <w:rFonts w:ascii="Palatino Linotype" w:eastAsia="Palatino Linotype" w:hAnsi="Palatino Linotype" w:cs="Palatino Linotype"/>
          <w:i/>
          <w:color w:val="000000"/>
        </w:rPr>
        <w:t>“</w:t>
      </w:r>
      <w:r w:rsidRPr="00890E7D">
        <w:rPr>
          <w:rFonts w:ascii="Palatino Linotype" w:hAnsi="Palatino Linotype"/>
          <w:i/>
          <w:color w:val="000000"/>
        </w:rPr>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5945C8">
        <w:rPr>
          <w:rFonts w:ascii="Palatino Linotype" w:hAnsi="Palatino Linotype"/>
          <w:i/>
          <w:color w:val="000000"/>
        </w:rPr>
        <w:t>XXXX</w:t>
      </w:r>
      <w:r w:rsidRPr="00890E7D">
        <w:rPr>
          <w:rFonts w:ascii="Palatino Linotype" w:hAnsi="Palatino Linotype"/>
          <w:i/>
          <w:color w:val="000000"/>
        </w:rPr>
        <w:t xml:space="preserve"> CURP: </w:t>
      </w:r>
      <w:r w:rsidR="005945C8">
        <w:rPr>
          <w:rFonts w:ascii="Palatino Linotype" w:hAnsi="Palatino Linotype"/>
          <w:i/>
          <w:color w:val="000000"/>
        </w:rPr>
        <w:t>XXXX</w:t>
      </w:r>
      <w:r w:rsidRPr="00890E7D">
        <w:rPr>
          <w:rFonts w:ascii="Palatino Linotype" w:hAnsi="Palatino Linotype"/>
          <w:i/>
          <w:color w:val="000000"/>
        </w:rPr>
        <w:t xml:space="preserve"> RFC: </w:t>
      </w:r>
      <w:r w:rsidR="005945C8">
        <w:rPr>
          <w:rFonts w:ascii="Palatino Linotype" w:hAnsi="Palatino Linotype"/>
          <w:i/>
          <w:color w:val="000000"/>
        </w:rPr>
        <w:t>XXXX</w:t>
      </w:r>
      <w:r w:rsidRPr="00890E7D">
        <w:rPr>
          <w:rFonts w:ascii="Palatino Linotype" w:hAnsi="Palatino Linotype"/>
          <w:i/>
          <w:color w:val="000000"/>
        </w:rPr>
        <w:t xml:space="preserve"> ADSCRPICION DE PLANTEL: PLANTEL 04 VALLE DE CHALCO CATEGORIA: SUDIRECTOR DE PLANTEL C NUMERO DE EMPLEADO O SERVIDOR PUBLICO: 001973 El que suscribe y atendiendo a que estoy solicitando datos personales acredito mi personalidad con la credencial de elector que adjunto a la </w:t>
      </w:r>
      <w:r w:rsidRPr="00890E7D">
        <w:rPr>
          <w:rFonts w:ascii="Palatino Linotype" w:hAnsi="Palatino Linotype"/>
          <w:i/>
          <w:color w:val="000000"/>
        </w:rPr>
        <w:lastRenderedPageBreak/>
        <w:t xml:space="preserve">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GRATIF X ESTUDIOS SUPERIORES • DIA DEL SERVIDOR PUBLICO OTRAS PERCEPCIONES: • PRIMA VACACIONAL • ISR PRIMA VACACIONAL • PAGO DE AGUINALDO • ISR AGUINALDO DEDUCCIONES: • CUOTAS DEL SIS.CAPITALIZ 1.4 • ISSEMYM 4.625 • ISSEMYM 6.1 • I.S.R. • CAJA DE AHORRO ATAYA Ahora bien, insisto, que la información solicitada, respecto del costo de mi plaza individual y el desglose anualizado de percepciones y deducciones que solicito, lo sea, con base, en el Anexo de </w:t>
      </w:r>
      <w:r w:rsidRPr="00890E7D">
        <w:rPr>
          <w:rFonts w:ascii="Palatino Linotype" w:hAnsi="Palatino Linotype"/>
          <w:i/>
          <w:color w:val="000000"/>
        </w:rPr>
        <w:lastRenderedPageBreak/>
        <w:t xml:space="preserve">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5945C8">
        <w:rPr>
          <w:rFonts w:ascii="Palatino Linotype" w:hAnsi="Palatino Linotype"/>
          <w:i/>
          <w:color w:val="000000"/>
        </w:rPr>
        <w:t>XXXX</w:t>
      </w:r>
      <w:r w:rsidRPr="00890E7D">
        <w:rPr>
          <w:rFonts w:ascii="Palatino Linotype" w:eastAsia="Palatino Linotype" w:hAnsi="Palatino Linotype" w:cs="Palatino Linotype"/>
          <w:i/>
          <w:color w:val="000000"/>
        </w:rPr>
        <w:t>”</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i/>
        </w:rPr>
      </w:pPr>
    </w:p>
    <w:p w:rsidR="00463429" w:rsidRPr="00132C1B" w:rsidRDefault="00463429" w:rsidP="00132C1B">
      <w:pPr>
        <w:pStyle w:val="Prrafodelista"/>
        <w:numPr>
          <w:ilvl w:val="0"/>
          <w:numId w:val="6"/>
        </w:num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color w:val="000000"/>
        </w:rPr>
      </w:pPr>
      <w:r w:rsidRPr="00132C1B">
        <w:rPr>
          <w:rFonts w:ascii="Palatino Linotype" w:eastAsia="Palatino Linotype" w:hAnsi="Palatino Linotype" w:cs="Palatino Linotype"/>
          <w:color w:val="000000"/>
        </w:rPr>
        <w:t xml:space="preserve">Se eligió como modalidad de entrega de la información: </w:t>
      </w:r>
      <w:r w:rsidRPr="00132C1B">
        <w:rPr>
          <w:rFonts w:ascii="Palatino Linotype" w:eastAsia="Palatino Linotype" w:hAnsi="Palatino Linotype" w:cs="Palatino Linotype"/>
          <w:b/>
          <w:color w:val="000000"/>
        </w:rPr>
        <w:t>a través del SAIMEX.</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color w:val="000000"/>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90E7D">
        <w:rPr>
          <w:rFonts w:ascii="Palatino Linotype" w:eastAsia="Palatino Linotype" w:hAnsi="Palatino Linotype" w:cs="Palatino Linotype"/>
          <w:color w:val="000000"/>
        </w:rPr>
        <w:t xml:space="preserve">Al momento de ingresar la solicitud de información el </w:t>
      </w:r>
      <w:r w:rsidRPr="00890E7D">
        <w:rPr>
          <w:rFonts w:ascii="Palatino Linotype" w:eastAsia="Palatino Linotype" w:hAnsi="Palatino Linotype" w:cs="Palatino Linotype"/>
          <w:b/>
          <w:color w:val="000000"/>
        </w:rPr>
        <w:t xml:space="preserve">RECURRENTE </w:t>
      </w:r>
      <w:r w:rsidRPr="00890E7D">
        <w:rPr>
          <w:rFonts w:ascii="Palatino Linotype" w:eastAsia="Palatino Linotype" w:hAnsi="Palatino Linotype" w:cs="Palatino Linotype"/>
          <w:color w:val="000000"/>
        </w:rPr>
        <w:t xml:space="preserve">anexo dos documentos en PDF, cuyo contenido grosso modo es el siguiente. </w:t>
      </w:r>
    </w:p>
    <w:p w:rsidR="00463429" w:rsidRPr="00890E7D" w:rsidRDefault="00463429" w:rsidP="00FA457A">
      <w:pPr>
        <w:pStyle w:val="Prrafodelista"/>
        <w:tabs>
          <w:tab w:val="left" w:pos="9072"/>
        </w:tabs>
        <w:ind w:left="0" w:right="49"/>
        <w:jc w:val="both"/>
        <w:rPr>
          <w:rFonts w:ascii="Palatino Linotype" w:hAnsi="Palatino Linotype"/>
          <w:b/>
          <w:i/>
        </w:rPr>
      </w:pPr>
      <w:r w:rsidRPr="00890E7D">
        <w:rPr>
          <w:rFonts w:ascii="Palatino Linotype" w:hAnsi="Palatino Linotype"/>
          <w:b/>
          <w:i/>
        </w:rPr>
        <w:t xml:space="preserve">31 INE </w:t>
      </w:r>
      <w:r w:rsidR="00952E4A">
        <w:rPr>
          <w:rFonts w:ascii="Palatino Linotype" w:hAnsi="Palatino Linotype"/>
          <w:b/>
          <w:i/>
        </w:rPr>
        <w:t>XXXX</w:t>
      </w:r>
      <w:r w:rsidRPr="00890E7D">
        <w:rPr>
          <w:rFonts w:ascii="Palatino Linotype" w:hAnsi="Palatino Linotype"/>
          <w:b/>
          <w:i/>
        </w:rPr>
        <w:t>.pdf</w:t>
      </w:r>
      <w:proofErr w:type="gramStart"/>
      <w:r w:rsidRPr="00890E7D">
        <w:rPr>
          <w:rFonts w:ascii="Palatino Linotype" w:hAnsi="Palatino Linotype"/>
          <w:b/>
          <w:i/>
        </w:rPr>
        <w:t xml:space="preserve">: </w:t>
      </w:r>
      <w:r w:rsidRPr="00890E7D">
        <w:rPr>
          <w:rFonts w:ascii="Palatino Linotype" w:hAnsi="Palatino Linotype"/>
          <w:i/>
        </w:rPr>
        <w:t xml:space="preserve"> </w:t>
      </w:r>
      <w:r w:rsidRPr="00890E7D">
        <w:rPr>
          <w:rFonts w:ascii="Palatino Linotype" w:eastAsia="Palatino Linotype" w:hAnsi="Palatino Linotype" w:cs="Palatino Linotype"/>
          <w:i/>
          <w:color w:val="000000"/>
        </w:rPr>
        <w:t>que</w:t>
      </w:r>
      <w:proofErr w:type="gramEnd"/>
      <w:r w:rsidRPr="00890E7D">
        <w:rPr>
          <w:rFonts w:ascii="Palatino Linotype" w:eastAsia="Palatino Linotype" w:hAnsi="Palatino Linotype" w:cs="Palatino Linotype"/>
          <w:i/>
          <w:color w:val="000000"/>
        </w:rPr>
        <w:t xml:space="preserve"> corresponde a la  imagen de la parte frontal y posterior de una credencial de elector.</w:t>
      </w:r>
    </w:p>
    <w:p w:rsidR="00463429" w:rsidRPr="00890E7D" w:rsidRDefault="00463429" w:rsidP="00FA457A">
      <w:pPr>
        <w:pStyle w:val="Prrafodelista"/>
        <w:tabs>
          <w:tab w:val="left" w:pos="9072"/>
        </w:tabs>
        <w:ind w:left="0" w:right="49"/>
        <w:jc w:val="both"/>
        <w:rPr>
          <w:rFonts w:ascii="Palatino Linotype" w:eastAsia="Palatino Linotype" w:hAnsi="Palatino Linotype" w:cs="Palatino Linotype"/>
          <w:i/>
          <w:color w:val="000000"/>
        </w:rPr>
      </w:pPr>
    </w:p>
    <w:p w:rsidR="00463429" w:rsidRPr="00890E7D" w:rsidRDefault="00463429" w:rsidP="00FA457A">
      <w:pPr>
        <w:pStyle w:val="Prrafodelista"/>
        <w:tabs>
          <w:tab w:val="left" w:pos="9072"/>
        </w:tabs>
        <w:ind w:left="0" w:right="49"/>
        <w:jc w:val="both"/>
        <w:rPr>
          <w:rFonts w:ascii="Palatino Linotype" w:eastAsia="Palatino Linotype" w:hAnsi="Palatino Linotype" w:cs="Palatino Linotype"/>
          <w:b/>
          <w:i/>
          <w:color w:val="000000"/>
        </w:rPr>
      </w:pPr>
      <w:r w:rsidRPr="00890E7D">
        <w:rPr>
          <w:rFonts w:ascii="Palatino Linotype" w:eastAsia="Palatino Linotype" w:hAnsi="Palatino Linotype" w:cs="Palatino Linotype"/>
          <w:b/>
          <w:i/>
          <w:color w:val="000000"/>
        </w:rPr>
        <w:t xml:space="preserve">15_ANEXO DE EJECUCION MEXICO 0236_24.pdf: </w:t>
      </w:r>
      <w:r w:rsidRPr="00890E7D">
        <w:rPr>
          <w:rFonts w:ascii="Palatino Linotype" w:eastAsia="Palatino Linotype" w:hAnsi="Palatino Linotype" w:cs="Palatino Linotype"/>
          <w:i/>
          <w:color w:val="000000"/>
        </w:rPr>
        <w:t xml:space="preserve"> </w:t>
      </w:r>
      <w:r w:rsidRPr="00890E7D">
        <w:rPr>
          <w:rFonts w:ascii="Palatino Linotype" w:hAnsi="Palatino Linotype" w:cs="Palatino Linotype"/>
          <w:i/>
          <w:color w:val="000000"/>
        </w:rPr>
        <w:t>Copia de un anexo de ejecución  entre la Secretaría de Educación Pública SEP, el Gobierno del Estado de México, y el Colegio de Bachilleres del Estado de México COBAEM.</w:t>
      </w:r>
    </w:p>
    <w:p w:rsidR="00463429" w:rsidRPr="00890E7D" w:rsidRDefault="00463429" w:rsidP="00FA457A">
      <w:pPr>
        <w:pBdr>
          <w:top w:val="nil"/>
          <w:left w:val="nil"/>
          <w:bottom w:val="nil"/>
          <w:right w:val="nil"/>
          <w:between w:val="nil"/>
        </w:pBdr>
        <w:tabs>
          <w:tab w:val="left" w:pos="0"/>
          <w:tab w:val="left" w:pos="9072"/>
        </w:tabs>
        <w:spacing w:line="360" w:lineRule="auto"/>
        <w:ind w:right="49"/>
        <w:jc w:val="both"/>
        <w:rPr>
          <w:rFonts w:ascii="Palatino Linotype" w:eastAsia="Palatino Linotype" w:hAnsi="Palatino Linotype" w:cs="Palatino Linotype"/>
          <w:color w:val="000000"/>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90E7D">
        <w:rPr>
          <w:rFonts w:ascii="Palatino Linotype" w:eastAsia="Palatino Linotype" w:hAnsi="Palatino Linotype" w:cs="Palatino Linotype"/>
          <w:color w:val="000000"/>
        </w:rPr>
        <w:t xml:space="preserve">En fecha </w:t>
      </w:r>
      <w:r w:rsidRPr="00890E7D">
        <w:rPr>
          <w:rFonts w:ascii="Palatino Linotype" w:eastAsia="Palatino Linotype" w:hAnsi="Palatino Linotype" w:cs="Palatino Linotype"/>
          <w:b/>
          <w:color w:val="000000"/>
        </w:rPr>
        <w:t>veinte de febrero de dos mil veinticinco</w:t>
      </w:r>
      <w:r w:rsidRPr="00890E7D">
        <w:rPr>
          <w:rFonts w:ascii="Palatino Linotype" w:eastAsia="Palatino Linotype" w:hAnsi="Palatino Linotype" w:cs="Palatino Linotype"/>
          <w:color w:val="000000"/>
        </w:rPr>
        <w:t xml:space="preserve"> el </w:t>
      </w:r>
      <w:r w:rsidRPr="00890E7D">
        <w:rPr>
          <w:rFonts w:ascii="Palatino Linotype" w:eastAsia="Palatino Linotype" w:hAnsi="Palatino Linotype" w:cs="Palatino Linotype"/>
          <w:b/>
          <w:color w:val="000000"/>
        </w:rPr>
        <w:t>SUJETO OBLIGADO</w:t>
      </w:r>
      <w:r w:rsidRPr="00890E7D">
        <w:rPr>
          <w:rFonts w:ascii="Palatino Linotype" w:eastAsia="Palatino Linotype" w:hAnsi="Palatino Linotype" w:cs="Palatino Linotype"/>
          <w:color w:val="000000"/>
        </w:rPr>
        <w:t>, emitió una respuesta, a través de un acuerdo de incompetencia, cuyo contenido toral es el siguiente:</w:t>
      </w:r>
    </w:p>
    <w:p w:rsidR="00463429" w:rsidRPr="00890E7D" w:rsidRDefault="00463429" w:rsidP="00FA457A">
      <w:pPr>
        <w:pBdr>
          <w:top w:val="nil"/>
          <w:left w:val="nil"/>
          <w:bottom w:val="nil"/>
          <w:right w:val="nil"/>
          <w:between w:val="nil"/>
        </w:pBdr>
        <w:tabs>
          <w:tab w:val="left" w:pos="0"/>
          <w:tab w:val="left" w:pos="9072"/>
        </w:tabs>
        <w:spacing w:line="360" w:lineRule="auto"/>
        <w:ind w:right="49"/>
        <w:jc w:val="center"/>
        <w:rPr>
          <w:rFonts w:ascii="Palatino Linotype" w:eastAsia="Palatino Linotype" w:hAnsi="Palatino Linotype" w:cs="Palatino Linotype"/>
          <w:color w:val="000000"/>
        </w:rPr>
      </w:pPr>
      <w:r w:rsidRPr="00890E7D">
        <w:rPr>
          <w:rFonts w:ascii="Palatino Linotype" w:eastAsia="Palatino Linotype" w:hAnsi="Palatino Linotype" w:cs="Palatino Linotype"/>
          <w:noProof/>
          <w:color w:val="000000"/>
          <w:lang w:val="es-MX" w:eastAsia="es-MX"/>
        </w:rPr>
        <w:lastRenderedPageBreak/>
        <w:drawing>
          <wp:inline distT="0" distB="0" distL="0" distR="0" wp14:anchorId="25E4CA20" wp14:editId="552AE2E6">
            <wp:extent cx="3403875" cy="3295650"/>
            <wp:effectExtent l="152400" t="152400" r="368300"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23946" cy="3315082"/>
                    </a:xfrm>
                    <a:prstGeom prst="rect">
                      <a:avLst/>
                    </a:prstGeom>
                    <a:ln>
                      <a:noFill/>
                    </a:ln>
                    <a:effectLst>
                      <a:outerShdw blurRad="292100" dist="139700" dir="2700000" algn="tl" rotWithShape="0">
                        <a:srgbClr val="333333">
                          <a:alpha val="65000"/>
                        </a:srgbClr>
                      </a:outerShdw>
                    </a:effectLst>
                  </pic:spPr>
                </pic:pic>
              </a:graphicData>
            </a:graphic>
          </wp:inline>
        </w:drawing>
      </w: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90E7D">
        <w:rPr>
          <w:rFonts w:ascii="Palatino Linotype" w:eastAsia="Palatino Linotype" w:hAnsi="Palatino Linotype" w:cs="Palatino Linotype"/>
          <w:color w:val="000000"/>
        </w:rPr>
        <w:t xml:space="preserve">El </w:t>
      </w:r>
      <w:r w:rsidRPr="00890E7D">
        <w:rPr>
          <w:rFonts w:ascii="Palatino Linotype" w:eastAsia="Palatino Linotype" w:hAnsi="Palatino Linotype" w:cs="Palatino Linotype"/>
          <w:b/>
          <w:color w:val="000000"/>
        </w:rPr>
        <w:t>dos de marzo de dos mil veinticinco</w:t>
      </w:r>
      <w:r w:rsidRPr="00890E7D">
        <w:rPr>
          <w:rFonts w:ascii="Palatino Linotype" w:eastAsia="Palatino Linotype" w:hAnsi="Palatino Linotype" w:cs="Palatino Linotype"/>
          <w:color w:val="000000"/>
        </w:rPr>
        <w:t>, el titular de los datos personales interpuso recurso de revisión en contra de la respuesta a la solicitud de acceso a datos, al tenor de los siguientes razones o motivos de inconformidad:</w:t>
      </w:r>
    </w:p>
    <w:p w:rsidR="00463429" w:rsidRPr="00890E7D" w:rsidRDefault="00463429" w:rsidP="00FA457A">
      <w:pPr>
        <w:pBdr>
          <w:top w:val="nil"/>
          <w:left w:val="nil"/>
          <w:bottom w:val="nil"/>
          <w:right w:val="nil"/>
          <w:between w:val="nil"/>
        </w:pBdr>
        <w:tabs>
          <w:tab w:val="left" w:pos="0"/>
          <w:tab w:val="left" w:pos="9072"/>
        </w:tabs>
        <w:spacing w:line="360" w:lineRule="auto"/>
        <w:ind w:right="49"/>
        <w:jc w:val="both"/>
        <w:rPr>
          <w:rFonts w:ascii="Palatino Linotype" w:eastAsia="Palatino Linotype" w:hAnsi="Palatino Linotype" w:cs="Palatino Linotype"/>
          <w:i/>
          <w:color w:val="000000"/>
          <w:u w:val="single"/>
        </w:rPr>
      </w:pPr>
      <w:bookmarkStart w:id="3" w:name="_heading=h.1fob9te" w:colFirst="0" w:colLast="0"/>
      <w:bookmarkEnd w:id="3"/>
    </w:p>
    <w:p w:rsidR="00463429" w:rsidRPr="00132C1B" w:rsidRDefault="00463429" w:rsidP="00132C1B">
      <w:pPr>
        <w:pStyle w:val="Prrafodelista"/>
        <w:numPr>
          <w:ilvl w:val="0"/>
          <w:numId w:val="6"/>
        </w:numPr>
        <w:pBdr>
          <w:top w:val="nil"/>
          <w:left w:val="nil"/>
          <w:bottom w:val="nil"/>
          <w:right w:val="nil"/>
          <w:between w:val="nil"/>
        </w:pBdr>
        <w:tabs>
          <w:tab w:val="left" w:pos="142"/>
          <w:tab w:val="left" w:pos="9072"/>
        </w:tabs>
        <w:ind w:right="49"/>
        <w:jc w:val="both"/>
        <w:rPr>
          <w:rFonts w:ascii="Palatino Linotype" w:eastAsia="Palatino Linotype" w:hAnsi="Palatino Linotype" w:cs="Palatino Linotype"/>
          <w:b/>
          <w:color w:val="000000"/>
        </w:rPr>
      </w:pPr>
      <w:r w:rsidRPr="00132C1B">
        <w:rPr>
          <w:rFonts w:ascii="Palatino Linotype" w:eastAsia="Palatino Linotype" w:hAnsi="Palatino Linotype" w:cs="Palatino Linotype"/>
          <w:b/>
          <w:color w:val="000000"/>
        </w:rPr>
        <w:t>ACTO IMPUGNADO</w:t>
      </w:r>
    </w:p>
    <w:p w:rsidR="00463429" w:rsidRDefault="00463429" w:rsidP="00FA457A">
      <w:pPr>
        <w:pBdr>
          <w:top w:val="nil"/>
          <w:left w:val="nil"/>
          <w:bottom w:val="nil"/>
          <w:right w:val="nil"/>
          <w:between w:val="nil"/>
        </w:pBdr>
        <w:tabs>
          <w:tab w:val="left" w:pos="142"/>
          <w:tab w:val="left" w:pos="9072"/>
        </w:tabs>
        <w:ind w:right="49"/>
        <w:jc w:val="both"/>
        <w:rPr>
          <w:rFonts w:ascii="Palatino Linotype" w:eastAsia="Palatino Linotype" w:hAnsi="Palatino Linotype" w:cs="Palatino Linotype"/>
          <w:i/>
          <w:color w:val="000000"/>
        </w:rPr>
      </w:pPr>
      <w:r w:rsidRPr="00890E7D">
        <w:rPr>
          <w:rFonts w:ascii="Palatino Linotype" w:eastAsia="Palatino Linotype" w:hAnsi="Palatino Linotype" w:cs="Palatino Linotype"/>
          <w:i/>
          <w:color w:val="000000"/>
        </w:rPr>
        <w:t>“</w:t>
      </w:r>
      <w:r w:rsidR="00F74B72" w:rsidRPr="00890E7D">
        <w:rPr>
          <w:rFonts w:ascii="Palatino Linotype" w:eastAsia="Palatino Linotype" w:hAnsi="Palatino Linotype" w:cs="Palatino Linotype"/>
          <w:i/>
          <w:color w:val="000000"/>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890E7D">
        <w:rPr>
          <w:rFonts w:ascii="Palatino Linotype" w:eastAsia="Palatino Linotype" w:hAnsi="Palatino Linotype" w:cs="Palatino Linotype"/>
          <w:i/>
          <w:color w:val="000000"/>
        </w:rPr>
        <w:t>.”</w:t>
      </w:r>
    </w:p>
    <w:p w:rsidR="00132C1B" w:rsidRPr="00890E7D" w:rsidRDefault="00132C1B" w:rsidP="00FA457A">
      <w:pPr>
        <w:pBdr>
          <w:top w:val="nil"/>
          <w:left w:val="nil"/>
          <w:bottom w:val="nil"/>
          <w:right w:val="nil"/>
          <w:between w:val="nil"/>
        </w:pBdr>
        <w:tabs>
          <w:tab w:val="left" w:pos="142"/>
          <w:tab w:val="left" w:pos="9072"/>
        </w:tabs>
        <w:ind w:right="49"/>
        <w:jc w:val="both"/>
        <w:rPr>
          <w:rFonts w:ascii="Palatino Linotype" w:eastAsia="Palatino Linotype" w:hAnsi="Palatino Linotype" w:cs="Palatino Linotype"/>
          <w:i/>
          <w:color w:val="000000"/>
        </w:rPr>
      </w:pPr>
    </w:p>
    <w:p w:rsidR="00463429" w:rsidRPr="00132C1B" w:rsidRDefault="00463429" w:rsidP="00132C1B">
      <w:pPr>
        <w:pStyle w:val="Prrafodelista"/>
        <w:numPr>
          <w:ilvl w:val="0"/>
          <w:numId w:val="6"/>
        </w:numPr>
        <w:pBdr>
          <w:top w:val="nil"/>
          <w:left w:val="nil"/>
          <w:bottom w:val="nil"/>
          <w:right w:val="nil"/>
          <w:between w:val="nil"/>
        </w:pBdr>
        <w:tabs>
          <w:tab w:val="left" w:pos="142"/>
          <w:tab w:val="left" w:pos="9072"/>
        </w:tabs>
        <w:ind w:right="49"/>
        <w:jc w:val="both"/>
        <w:rPr>
          <w:rFonts w:ascii="Palatino Linotype" w:eastAsia="Palatino Linotype" w:hAnsi="Palatino Linotype" w:cs="Palatino Linotype"/>
          <w:b/>
          <w:color w:val="000000"/>
        </w:rPr>
      </w:pPr>
      <w:r w:rsidRPr="00132C1B">
        <w:rPr>
          <w:rFonts w:ascii="Palatino Linotype" w:eastAsia="Palatino Linotype" w:hAnsi="Palatino Linotype" w:cs="Palatino Linotype"/>
          <w:b/>
          <w:color w:val="000000"/>
        </w:rPr>
        <w:t>RAZONES O MOTIVOS DE LA INCONFORMIDAD</w:t>
      </w:r>
      <w:r w:rsidRPr="00132C1B">
        <w:rPr>
          <w:rFonts w:ascii="Palatino Linotype" w:eastAsia="Palatino Linotype" w:hAnsi="Palatino Linotype" w:cs="Palatino Linotype"/>
          <w:b/>
          <w:color w:val="000000"/>
        </w:rPr>
        <w:tab/>
      </w:r>
    </w:p>
    <w:p w:rsidR="00463429" w:rsidRPr="00890E7D" w:rsidRDefault="00463429" w:rsidP="00FA457A">
      <w:pPr>
        <w:pBdr>
          <w:top w:val="nil"/>
          <w:left w:val="nil"/>
          <w:bottom w:val="nil"/>
          <w:right w:val="nil"/>
          <w:between w:val="nil"/>
        </w:pBdr>
        <w:tabs>
          <w:tab w:val="left" w:pos="142"/>
          <w:tab w:val="left" w:pos="9072"/>
        </w:tabs>
        <w:ind w:right="49"/>
        <w:jc w:val="both"/>
        <w:rPr>
          <w:rFonts w:ascii="Palatino Linotype" w:eastAsia="Palatino Linotype" w:hAnsi="Palatino Linotype" w:cs="Palatino Linotype"/>
          <w:i/>
          <w:color w:val="000000"/>
        </w:rPr>
      </w:pPr>
      <w:r w:rsidRPr="00890E7D">
        <w:rPr>
          <w:rFonts w:ascii="Palatino Linotype" w:eastAsia="Palatino Linotype" w:hAnsi="Palatino Linotype" w:cs="Palatino Linotype"/>
          <w:i/>
          <w:color w:val="000000"/>
        </w:rPr>
        <w:t>“</w:t>
      </w:r>
      <w:r w:rsidR="00F74B72" w:rsidRPr="00890E7D">
        <w:rPr>
          <w:rFonts w:ascii="Palatino Linotype" w:eastAsia="Palatino Linotype" w:hAnsi="Palatino Linotype" w:cs="Palatino Linotype"/>
          <w:i/>
          <w:color w:val="000000"/>
        </w:rPr>
        <w:t xml:space="preserve">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w:t>
      </w:r>
      <w:r w:rsidR="00F74B72" w:rsidRPr="00890E7D">
        <w:rPr>
          <w:rFonts w:ascii="Palatino Linotype" w:eastAsia="Palatino Linotype" w:hAnsi="Palatino Linotype" w:cs="Palatino Linotype"/>
          <w:i/>
          <w:color w:val="000000"/>
        </w:rPr>
        <w:lastRenderedPageBreak/>
        <w:t>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890E7D">
        <w:rPr>
          <w:rFonts w:ascii="Palatino Linotype" w:eastAsia="Palatino Linotype" w:hAnsi="Palatino Linotype" w:cs="Palatino Linotype"/>
          <w:i/>
          <w:color w:val="000000"/>
        </w:rPr>
        <w:t>”</w:t>
      </w:r>
    </w:p>
    <w:p w:rsidR="00463429" w:rsidRPr="00890E7D" w:rsidRDefault="00463429" w:rsidP="00FA457A">
      <w:pPr>
        <w:pBdr>
          <w:top w:val="nil"/>
          <w:left w:val="nil"/>
          <w:bottom w:val="nil"/>
          <w:right w:val="nil"/>
          <w:between w:val="nil"/>
        </w:pBdr>
        <w:tabs>
          <w:tab w:val="left" w:pos="142"/>
          <w:tab w:val="left" w:pos="9072"/>
        </w:tabs>
        <w:spacing w:line="360" w:lineRule="auto"/>
        <w:ind w:right="49"/>
        <w:jc w:val="center"/>
        <w:rPr>
          <w:rFonts w:ascii="Palatino Linotype" w:eastAsia="Palatino Linotype" w:hAnsi="Palatino Linotype" w:cs="Palatino Linotype"/>
          <w:i/>
          <w:color w:val="000000"/>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Se registró el Recurso de Revisión bajo el número de expediente al rubro indicado; asimismo con fundamento en lo dispuesto por los artículos 11 y 127 de la </w:t>
      </w:r>
      <w:r w:rsidRPr="00890E7D">
        <w:rPr>
          <w:rFonts w:ascii="Palatino Linotype" w:eastAsia="Palatino Linotype" w:hAnsi="Palatino Linotype" w:cs="Palatino Linotype"/>
          <w:b/>
        </w:rPr>
        <w:t xml:space="preserve">Ley de Protección de Datos Personales en Posesión de Sujetos Obligados del Estado de México y Municipios, </w:t>
      </w:r>
      <w:r w:rsidRPr="00890E7D">
        <w:rPr>
          <w:rFonts w:ascii="Palatino Linotype" w:eastAsia="Palatino Linotype" w:hAnsi="Palatino Linotype" w:cs="Palatino Linotype"/>
        </w:rPr>
        <w:t xml:space="preserve">en relación con el artículo 185 fracción I de la </w:t>
      </w:r>
      <w:r w:rsidRPr="00890E7D">
        <w:rPr>
          <w:rFonts w:ascii="Palatino Linotype" w:eastAsia="Palatino Linotype" w:hAnsi="Palatino Linotype" w:cs="Palatino Linotype"/>
          <w:b/>
        </w:rPr>
        <w:t xml:space="preserve">Ley de Transparencia y Acceso a la Información Pública del Estado de México y Municipios </w:t>
      </w:r>
      <w:r w:rsidRPr="00890E7D">
        <w:rPr>
          <w:rFonts w:ascii="Palatino Linotype" w:eastAsia="Palatino Linotype" w:hAnsi="Palatino Linotype" w:cs="Palatino Linotype"/>
        </w:rPr>
        <w:t xml:space="preserve">de aplicación supletoria, se turnó a la </w:t>
      </w:r>
      <w:r w:rsidRPr="00890E7D">
        <w:rPr>
          <w:rFonts w:ascii="Palatino Linotype" w:eastAsia="Palatino Linotype" w:hAnsi="Palatino Linotype" w:cs="Palatino Linotype"/>
          <w:b/>
        </w:rPr>
        <w:t xml:space="preserve">Comisionada María del Rosario  Mejía Ayala, </w:t>
      </w:r>
      <w:r w:rsidRPr="00890E7D">
        <w:rPr>
          <w:rFonts w:ascii="Palatino Linotype" w:eastAsia="Palatino Linotype" w:hAnsi="Palatino Linotype" w:cs="Palatino Linotype"/>
        </w:rPr>
        <w:t xml:space="preserve">para su análisis. </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Seguidamente el </w:t>
      </w:r>
      <w:r w:rsidR="00575E28" w:rsidRPr="00890E7D">
        <w:rPr>
          <w:rFonts w:ascii="Palatino Linotype" w:eastAsia="Palatino Linotype" w:hAnsi="Palatino Linotype" w:cs="Palatino Linotype"/>
          <w:b/>
        </w:rPr>
        <w:t xml:space="preserve">cuatro </w:t>
      </w:r>
      <w:r w:rsidRPr="00890E7D">
        <w:rPr>
          <w:rFonts w:ascii="Palatino Linotype" w:eastAsia="Palatino Linotype" w:hAnsi="Palatino Linotype" w:cs="Palatino Linotype"/>
          <w:b/>
        </w:rPr>
        <w:t>de marzo dos mil veinticinco</w:t>
      </w:r>
      <w:r w:rsidRPr="00890E7D">
        <w:rPr>
          <w:rFonts w:ascii="Palatino Linotype" w:eastAsia="Palatino Linotype" w:hAnsi="Palatino Linotype" w:cs="Palatino Linotype"/>
        </w:rPr>
        <w:t xml:space="preserve">, con fundamento en los artículos 11, 127 y 131 de la </w:t>
      </w:r>
      <w:r w:rsidRPr="00890E7D">
        <w:rPr>
          <w:rFonts w:ascii="Palatino Linotype" w:eastAsia="Palatino Linotype" w:hAnsi="Palatino Linotype" w:cs="Palatino Linotype"/>
          <w:b/>
        </w:rPr>
        <w:t>Ley de Protección de Datos Personales en Posesión de Sujetos Obligados del Estado de México y Municipios</w:t>
      </w:r>
      <w:r w:rsidRPr="00890E7D">
        <w:rPr>
          <w:rFonts w:ascii="Palatino Linotype" w:eastAsia="Palatino Linotype" w:hAnsi="Palatino Linotype" w:cs="Palatino Linotype"/>
        </w:rPr>
        <w:t xml:space="preserve"> y 185 fracciones I, II y IV de la Ley de Transparencia y Acceso a la Información Pública del Estado de México y Municipios de aplicación supletoria, se acordó la admisión a trámite.</w:t>
      </w:r>
    </w:p>
    <w:p w:rsidR="00463429" w:rsidRPr="00890E7D" w:rsidRDefault="00463429" w:rsidP="00FA457A">
      <w:pPr>
        <w:pStyle w:val="Prrafodelista"/>
        <w:tabs>
          <w:tab w:val="left" w:pos="9072"/>
        </w:tabs>
        <w:spacing w:line="360" w:lineRule="auto"/>
        <w:ind w:left="0" w:right="49"/>
        <w:rPr>
          <w:rFonts w:ascii="Palatino Linotype" w:eastAsia="Palatino Linotype" w:hAnsi="Palatino Linotype" w:cs="Palatino Linotype"/>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Al respecto, el </w:t>
      </w:r>
      <w:r w:rsidRPr="00890E7D">
        <w:rPr>
          <w:rFonts w:ascii="Palatino Linotype" w:eastAsia="Palatino Linotype" w:hAnsi="Palatino Linotype" w:cs="Palatino Linotype"/>
          <w:b/>
        </w:rPr>
        <w:t>RECURRENTE</w:t>
      </w:r>
      <w:r w:rsidRPr="00890E7D">
        <w:rPr>
          <w:rFonts w:ascii="Palatino Linotype" w:eastAsia="Palatino Linotype" w:hAnsi="Palatino Linotype" w:cs="Palatino Linotype"/>
        </w:rPr>
        <w:t xml:space="preserve"> el día </w:t>
      </w:r>
      <w:r w:rsidRPr="00890E7D">
        <w:rPr>
          <w:rFonts w:ascii="Palatino Linotype" w:eastAsia="Palatino Linotype" w:hAnsi="Palatino Linotype" w:cs="Palatino Linotype"/>
          <w:b/>
        </w:rPr>
        <w:t>catorce de marzo del año</w:t>
      </w:r>
      <w:r w:rsidRPr="00890E7D">
        <w:rPr>
          <w:rFonts w:ascii="Palatino Linotype" w:eastAsia="Palatino Linotype" w:hAnsi="Palatino Linotype" w:cs="Palatino Linotype"/>
        </w:rPr>
        <w:t xml:space="preserve">, realizó manifestaciones, adjuntando credencial de elector del titular de los datos mediante el archivo denominado </w:t>
      </w:r>
      <w:r w:rsidR="00EC450A">
        <w:rPr>
          <w:rFonts w:ascii="Palatino Linotype" w:eastAsia="Palatino Linotype" w:hAnsi="Palatino Linotype" w:cs="Palatino Linotype"/>
          <w:i/>
        </w:rPr>
        <w:t>08 INE XXXX</w:t>
      </w:r>
      <w:r w:rsidRPr="00890E7D">
        <w:rPr>
          <w:rFonts w:ascii="Palatino Linotype" w:eastAsia="Palatino Linotype" w:hAnsi="Palatino Linotype" w:cs="Palatino Linotype"/>
          <w:i/>
        </w:rPr>
        <w:t>.pdf</w:t>
      </w:r>
      <w:r w:rsidRPr="00890E7D">
        <w:rPr>
          <w:rFonts w:ascii="Palatino Linotype" w:eastAsia="Palatino Linotype" w:hAnsi="Palatino Linotype" w:cs="Palatino Linotype"/>
        </w:rPr>
        <w:t>; asimismo remite nuevamente el Anexo de Ejecución remitido en la solicitud de información inicial, acompañado del siguiente texto:</w:t>
      </w:r>
    </w:p>
    <w:p w:rsidR="00463429" w:rsidRPr="00890E7D" w:rsidRDefault="00463429" w:rsidP="00FA457A">
      <w:pPr>
        <w:pBdr>
          <w:top w:val="nil"/>
          <w:left w:val="nil"/>
          <w:bottom w:val="nil"/>
          <w:right w:val="nil"/>
          <w:between w:val="nil"/>
        </w:pBdr>
        <w:tabs>
          <w:tab w:val="left" w:pos="9072"/>
        </w:tabs>
        <w:ind w:right="49"/>
        <w:jc w:val="both"/>
        <w:rPr>
          <w:rFonts w:ascii="Palatino Linotype" w:eastAsia="Palatino Linotype" w:hAnsi="Palatino Linotype" w:cs="Palatino Linotype"/>
          <w:i/>
        </w:rPr>
      </w:pPr>
      <w:r w:rsidRPr="00890E7D">
        <w:rPr>
          <w:rFonts w:ascii="Palatino Linotype" w:eastAsia="Palatino Linotype" w:hAnsi="Palatino Linotype" w:cs="Palatino Linotype"/>
          <w:i/>
        </w:rPr>
        <w:t xml:space="preserve">“Que, estando en tiempo y forma, vengo a manifestar ante ese H. Instituto en vía de alegato, que previo el análisis de la documental agregada consistente en el ANEXO DE EJECUCIÓN QUE CELEBRÓ EL EJECUTIVO FEDERAL CON EL GOBIERNO DEL ESTADO DE MÉXICO, </w:t>
      </w:r>
      <w:r w:rsidRPr="00890E7D">
        <w:rPr>
          <w:rFonts w:ascii="Palatino Linotype" w:eastAsia="Palatino Linotype" w:hAnsi="Palatino Linotype" w:cs="Palatino Linotype"/>
          <w:i/>
        </w:rPr>
        <w:lastRenderedPageBreak/>
        <w:t>ASISTIDO DE LA SECRETARÍA DE FINANZAS Y EL COLEGIO DE BACHILLERES DEL ESTADO DE MÉXICO EN FECHA 10 DE ENERO 2024, no es posible, que la autoridad Secretaría de Finanzas, manifieste incompetencia y señale que el responsable de la información solicitada sea el Colegio de Bachilleres del Estado de México, pues esta Secretaría de Finanzas del Gobierno del Estado de México es parte integrante del pacto que se firmó con el Gobierno Federal para aportar el 50 por ciento de parte de la Federación y el 50 por ciento el Gobierno del Estado de México para mejorar los salarios de ciertas plazas descritas en el Anexo de Ejecución previamente descrito, y de la cual soy beneficiario, por lo que se insiste le asiste el derecho a contestar mi solicitud y manifestar categóricamente”</w:t>
      </w:r>
    </w:p>
    <w:p w:rsidR="00463429" w:rsidRPr="00890E7D" w:rsidRDefault="00463429" w:rsidP="00FA457A">
      <w:pPr>
        <w:pBdr>
          <w:top w:val="nil"/>
          <w:left w:val="nil"/>
          <w:bottom w:val="nil"/>
          <w:right w:val="nil"/>
          <w:between w:val="nil"/>
        </w:pBdr>
        <w:tabs>
          <w:tab w:val="left" w:pos="0"/>
          <w:tab w:val="left" w:pos="9072"/>
        </w:tabs>
        <w:spacing w:line="360" w:lineRule="auto"/>
        <w:ind w:right="49"/>
        <w:jc w:val="both"/>
        <w:rPr>
          <w:rFonts w:ascii="Palatino Linotype" w:eastAsia="Palatino Linotype" w:hAnsi="Palatino Linotype" w:cs="Palatino Linotype"/>
        </w:rPr>
      </w:pPr>
    </w:p>
    <w:p w:rsidR="001E3905"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rPr>
      </w:pPr>
      <w:r w:rsidRPr="00890E7D">
        <w:rPr>
          <w:rFonts w:ascii="Palatino Linotype" w:eastAsia="Palatino Linotype" w:hAnsi="Palatino Linotype" w:cs="Palatino Linotype"/>
        </w:rPr>
        <w:t xml:space="preserve">Por otro lado, en fecha </w:t>
      </w:r>
      <w:r w:rsidR="001E3905" w:rsidRPr="00890E7D">
        <w:rPr>
          <w:rFonts w:ascii="Palatino Linotype" w:eastAsia="Palatino Linotype" w:hAnsi="Palatino Linotype" w:cs="Palatino Linotype"/>
          <w:b/>
        </w:rPr>
        <w:t>doce de marzo del año dos mil veinticinco</w:t>
      </w:r>
      <w:r w:rsidRPr="00890E7D">
        <w:rPr>
          <w:rFonts w:ascii="Palatino Linotype" w:eastAsia="Palatino Linotype" w:hAnsi="Palatino Linotype" w:cs="Palatino Linotype"/>
          <w:b/>
        </w:rPr>
        <w:t>,</w:t>
      </w:r>
      <w:r w:rsidRPr="00890E7D">
        <w:rPr>
          <w:rFonts w:ascii="Palatino Linotype" w:eastAsia="Palatino Linotype" w:hAnsi="Palatino Linotype" w:cs="Palatino Linotype"/>
        </w:rPr>
        <w:t xml:space="preserve"> el </w:t>
      </w:r>
      <w:r w:rsidRPr="00890E7D">
        <w:rPr>
          <w:rFonts w:ascii="Palatino Linotype" w:eastAsia="Palatino Linotype" w:hAnsi="Palatino Linotype" w:cs="Palatino Linotype"/>
          <w:b/>
        </w:rPr>
        <w:t>SUJETO OBLIGADO</w:t>
      </w:r>
      <w:r w:rsidR="001E3905" w:rsidRPr="00890E7D">
        <w:rPr>
          <w:rFonts w:ascii="Palatino Linotype" w:eastAsia="Palatino Linotype" w:hAnsi="Palatino Linotype" w:cs="Palatino Linotype"/>
          <w:b/>
        </w:rPr>
        <w:t xml:space="preserve"> </w:t>
      </w:r>
      <w:r w:rsidR="001E3905" w:rsidRPr="00890E7D">
        <w:rPr>
          <w:rFonts w:ascii="Palatino Linotype" w:eastAsia="Palatino Linotype" w:hAnsi="Palatino Linotype" w:cs="Palatino Linotype"/>
        </w:rPr>
        <w:t xml:space="preserve">entrego un archivo electrónico en formato PDF, cuyo contenido grosso modo es el siguiente. </w:t>
      </w:r>
    </w:p>
    <w:p w:rsidR="001E3905" w:rsidRPr="00890E7D" w:rsidRDefault="001E3905" w:rsidP="00FA457A">
      <w:pPr>
        <w:pBdr>
          <w:top w:val="nil"/>
          <w:left w:val="nil"/>
          <w:bottom w:val="nil"/>
          <w:right w:val="nil"/>
          <w:between w:val="nil"/>
        </w:pBdr>
        <w:tabs>
          <w:tab w:val="left" w:pos="0"/>
          <w:tab w:val="left" w:pos="9072"/>
        </w:tabs>
        <w:spacing w:line="360" w:lineRule="auto"/>
        <w:ind w:right="49"/>
        <w:contextualSpacing/>
        <w:jc w:val="both"/>
        <w:rPr>
          <w:rFonts w:ascii="Palatino Linotype" w:hAnsi="Palatino Linotype" w:cs="Palatino Linotype"/>
          <w:color w:val="000000"/>
        </w:rPr>
      </w:pPr>
    </w:p>
    <w:p w:rsidR="00463429" w:rsidRPr="00890E7D" w:rsidRDefault="001E3905" w:rsidP="00FA457A">
      <w:pPr>
        <w:pBdr>
          <w:top w:val="nil"/>
          <w:left w:val="nil"/>
          <w:bottom w:val="nil"/>
          <w:right w:val="nil"/>
          <w:between w:val="nil"/>
        </w:pBdr>
        <w:tabs>
          <w:tab w:val="left" w:pos="9072"/>
        </w:tabs>
        <w:ind w:right="49"/>
        <w:contextualSpacing/>
        <w:jc w:val="both"/>
        <w:rPr>
          <w:rFonts w:ascii="Palatino Linotype" w:hAnsi="Palatino Linotype" w:cs="Palatino Linotype"/>
          <w:i/>
          <w:color w:val="000000"/>
        </w:rPr>
      </w:pPr>
      <w:r w:rsidRPr="00890E7D">
        <w:rPr>
          <w:rFonts w:ascii="Palatino Linotype" w:hAnsi="Palatino Linotype" w:cs="Palatino Linotype"/>
          <w:b/>
          <w:i/>
          <w:color w:val="000000"/>
        </w:rPr>
        <w:t xml:space="preserve">02363 INFOEM IP RR 2025.pdf: </w:t>
      </w:r>
      <w:r w:rsidRPr="00890E7D">
        <w:rPr>
          <w:rFonts w:ascii="Palatino Linotype" w:hAnsi="Palatino Linotype" w:cs="Palatino Linotype"/>
          <w:i/>
          <w:color w:val="000000"/>
        </w:rPr>
        <w:t xml:space="preserve">Informe Justificado mediante el cual el Encargado de la Unidad de Información, Planeación, Programación y Evaluación, ratifica la respuesta inicial. </w:t>
      </w:r>
    </w:p>
    <w:p w:rsidR="00463429" w:rsidRPr="00890E7D" w:rsidRDefault="00463429" w:rsidP="00FA457A">
      <w:pPr>
        <w:pBdr>
          <w:top w:val="nil"/>
          <w:left w:val="nil"/>
          <w:bottom w:val="nil"/>
          <w:right w:val="nil"/>
          <w:between w:val="nil"/>
        </w:pBdr>
        <w:tabs>
          <w:tab w:val="left" w:pos="0"/>
          <w:tab w:val="left" w:pos="9072"/>
        </w:tabs>
        <w:spacing w:line="360" w:lineRule="auto"/>
        <w:ind w:right="49"/>
        <w:contextualSpacing/>
        <w:jc w:val="both"/>
        <w:rPr>
          <w:rFonts w:ascii="Palatino Linotype" w:hAnsi="Palatino Linotype" w:cs="Palatino Linotype"/>
          <w:color w:val="000000"/>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rPr>
      </w:pPr>
      <w:r w:rsidRPr="00890E7D">
        <w:rPr>
          <w:rFonts w:ascii="Palatino Linotype" w:eastAsia="Palatino Linotype" w:hAnsi="Palatino Linotype" w:cs="Palatino Linotype"/>
          <w:color w:val="000000"/>
        </w:rPr>
        <w:t xml:space="preserve">En fecha </w:t>
      </w:r>
      <w:r w:rsidR="00843890" w:rsidRPr="00890E7D">
        <w:rPr>
          <w:rFonts w:ascii="Palatino Linotype" w:eastAsia="Palatino Linotype" w:hAnsi="Palatino Linotype" w:cs="Palatino Linotype"/>
          <w:b/>
          <w:color w:val="000000"/>
        </w:rPr>
        <w:t xml:space="preserve">diecinueve de junio </w:t>
      </w:r>
      <w:r w:rsidRPr="00890E7D">
        <w:rPr>
          <w:rFonts w:ascii="Palatino Linotype" w:eastAsia="Palatino Linotype" w:hAnsi="Palatino Linotype" w:cs="Palatino Linotype"/>
          <w:b/>
          <w:color w:val="000000"/>
        </w:rPr>
        <w:t>de dos mil veinticinco</w:t>
      </w:r>
      <w:r w:rsidRPr="00890E7D">
        <w:rPr>
          <w:rFonts w:ascii="Palatino Linotype" w:eastAsia="Palatino Linotype" w:hAnsi="Palatino Linotype" w:cs="Palatino Linotype"/>
          <w:color w:val="000000"/>
        </w:rPr>
        <w:t xml:space="preserve"> se realizó la </w:t>
      </w:r>
      <w:r w:rsidRPr="00890E7D">
        <w:rPr>
          <w:rFonts w:ascii="Palatino Linotype" w:hAnsi="Palatino Linotype" w:cs="Palatino Linotype"/>
          <w:color w:val="000000"/>
        </w:rPr>
        <w:t xml:space="preserve">reconducción de vía al haberse interpuesto la solicitud de acceso a datos, vía SAIMEX, </w:t>
      </w:r>
      <w:r w:rsidRPr="00890E7D">
        <w:rPr>
          <w:rFonts w:ascii="Palatino Linotype" w:hAnsi="Palatino Linotype" w:cs="Palatino Linotype"/>
        </w:rPr>
        <w:t>otorgándose</w:t>
      </w:r>
      <w:r w:rsidRPr="00890E7D">
        <w:rPr>
          <w:rFonts w:ascii="Palatino Linotype" w:hAnsi="Palatino Linotype" w:cs="Palatino Linotype"/>
          <w:color w:val="000000"/>
        </w:rPr>
        <w:t xml:space="preserve"> en él un plazo de siete días para que las partes manifestaran por cualquier medio su voluntad de conciliar en el presente Recurso, de conformidad con lo establecido en los artículos 131 y 132, fracción I de la Ley de Protección de Datos Personales en Posesión de Sujetos Obligados del Estado de México y Municipios.</w:t>
      </w:r>
    </w:p>
    <w:p w:rsidR="00463429" w:rsidRPr="00890E7D" w:rsidRDefault="00463429" w:rsidP="00FA457A">
      <w:pPr>
        <w:pStyle w:val="Prrafodelista"/>
        <w:tabs>
          <w:tab w:val="left" w:pos="9072"/>
        </w:tabs>
        <w:spacing w:line="360" w:lineRule="auto"/>
        <w:ind w:left="0" w:right="49"/>
        <w:rPr>
          <w:rFonts w:ascii="Palatino Linotype" w:hAnsi="Palatino Linotype" w:cs="Palatino Linotype"/>
          <w:color w:val="000000"/>
        </w:rPr>
      </w:pPr>
    </w:p>
    <w:p w:rsidR="00463429" w:rsidRPr="00890E7D" w:rsidRDefault="00463429" w:rsidP="00966826">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i/>
          <w:color w:val="000000"/>
        </w:rPr>
      </w:pPr>
      <w:r w:rsidRPr="00890E7D">
        <w:rPr>
          <w:rFonts w:ascii="Palatino Linotype" w:hAnsi="Palatino Linotype" w:cs="Palatino Linotype"/>
          <w:color w:val="000000"/>
        </w:rPr>
        <w:t xml:space="preserve">En fecha </w:t>
      </w:r>
      <w:r w:rsidR="00843890" w:rsidRPr="00890E7D">
        <w:rPr>
          <w:rFonts w:ascii="Palatino Linotype" w:hAnsi="Palatino Linotype" w:cs="Palatino Linotype"/>
          <w:b/>
          <w:color w:val="000000"/>
        </w:rPr>
        <w:t xml:space="preserve">veinticinco de junio </w:t>
      </w:r>
      <w:r w:rsidRPr="00890E7D">
        <w:rPr>
          <w:rFonts w:ascii="Palatino Linotype" w:hAnsi="Palatino Linotype" w:cs="Palatino Linotype"/>
          <w:b/>
          <w:color w:val="000000"/>
        </w:rPr>
        <w:t>de dos mil veinticinco</w:t>
      </w:r>
      <w:r w:rsidRPr="00890E7D">
        <w:rPr>
          <w:rFonts w:ascii="Palatino Linotype" w:hAnsi="Palatino Linotype" w:cs="Palatino Linotype"/>
          <w:color w:val="000000"/>
        </w:rPr>
        <w:t xml:space="preserve">, el </w:t>
      </w:r>
      <w:r w:rsidRPr="00890E7D">
        <w:rPr>
          <w:rFonts w:ascii="Palatino Linotype" w:hAnsi="Palatino Linotype" w:cs="Palatino Linotype"/>
          <w:b/>
          <w:color w:val="000000"/>
        </w:rPr>
        <w:t>SUJETO OBLIGADO</w:t>
      </w:r>
      <w:r w:rsidRPr="00890E7D">
        <w:rPr>
          <w:rFonts w:ascii="Palatino Linotype" w:hAnsi="Palatino Linotype" w:cs="Palatino Linotype"/>
          <w:color w:val="000000"/>
        </w:rPr>
        <w:t xml:space="preserve"> manifestó su voluntad a conciliar en el presente asunto mediante oficio signado por el Encargado de la UIPPE de la Secretaría de Finanzas. Por su parte el </w:t>
      </w:r>
      <w:r w:rsidRPr="00890E7D">
        <w:rPr>
          <w:rFonts w:ascii="Palatino Linotype" w:hAnsi="Palatino Linotype" w:cs="Palatino Linotype"/>
          <w:b/>
          <w:color w:val="000000"/>
        </w:rPr>
        <w:t xml:space="preserve">RECURRENTE </w:t>
      </w:r>
      <w:r w:rsidR="00843890" w:rsidRPr="00890E7D">
        <w:rPr>
          <w:rFonts w:ascii="Palatino Linotype" w:hAnsi="Palatino Linotype" w:cs="Palatino Linotype"/>
          <w:color w:val="000000"/>
        </w:rPr>
        <w:t xml:space="preserve">tal y como se observa en el expediente electrónico no manifestó su voluntad para conciliar. </w:t>
      </w:r>
    </w:p>
    <w:p w:rsidR="00843890" w:rsidRPr="00890E7D" w:rsidRDefault="00463429" w:rsidP="00966826">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890E7D">
        <w:rPr>
          <w:rFonts w:ascii="Palatino Linotype" w:eastAsia="Palatino Linotype" w:hAnsi="Palatino Linotype" w:cs="Palatino Linotype"/>
          <w:color w:val="000000"/>
        </w:rPr>
        <w:lastRenderedPageBreak/>
        <w:t xml:space="preserve">Luego entonces al no advertirse voluntad a conciliar de ambas partes, mediante Acuerdo de fecha </w:t>
      </w:r>
      <w:r w:rsidR="00843890" w:rsidRPr="00890E7D">
        <w:rPr>
          <w:rFonts w:ascii="Palatino Linotype" w:eastAsia="Palatino Linotype" w:hAnsi="Palatino Linotype" w:cs="Palatino Linotype"/>
          <w:b/>
          <w:color w:val="000000"/>
        </w:rPr>
        <w:t xml:space="preserve">diecinueve de junio </w:t>
      </w:r>
      <w:r w:rsidRPr="00890E7D">
        <w:rPr>
          <w:rFonts w:ascii="Palatino Linotype" w:eastAsia="Palatino Linotype" w:hAnsi="Palatino Linotype" w:cs="Palatino Linotype"/>
          <w:b/>
          <w:color w:val="000000"/>
        </w:rPr>
        <w:t>del año en curso</w:t>
      </w:r>
      <w:r w:rsidRPr="00890E7D">
        <w:rPr>
          <w:rFonts w:ascii="Palatino Linotype" w:eastAsia="Palatino Linotype" w:hAnsi="Palatino Linotype" w:cs="Palatino Linotype"/>
          <w:color w:val="000000"/>
        </w:rPr>
        <w:t>, se decretó el cierre de la etapa de exhorto a conciliación y se apertu</w:t>
      </w:r>
      <w:r w:rsidR="00843890" w:rsidRPr="00890E7D">
        <w:rPr>
          <w:rFonts w:ascii="Palatino Linotype" w:eastAsia="Palatino Linotype" w:hAnsi="Palatino Linotype" w:cs="Palatino Linotype"/>
          <w:color w:val="000000"/>
        </w:rPr>
        <w:t xml:space="preserve">ra la Etapa de Manifestaciones. </w:t>
      </w:r>
    </w:p>
    <w:p w:rsidR="00843890" w:rsidRPr="00890E7D" w:rsidRDefault="00843890" w:rsidP="00FA457A">
      <w:pPr>
        <w:pStyle w:val="Prrafodelista"/>
        <w:tabs>
          <w:tab w:val="left" w:pos="9072"/>
        </w:tabs>
        <w:ind w:left="0" w:right="49"/>
        <w:rPr>
          <w:rFonts w:ascii="Palatino Linotype" w:eastAsia="Palatino Linotype" w:hAnsi="Palatino Linotype" w:cs="Palatino Linotype"/>
          <w:color w:val="000000"/>
        </w:rPr>
      </w:pPr>
    </w:p>
    <w:p w:rsidR="00843890" w:rsidRPr="00890E7D" w:rsidRDefault="00843890" w:rsidP="00966826">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890E7D">
        <w:rPr>
          <w:rFonts w:ascii="Palatino Linotype" w:eastAsia="Palatino Linotype" w:hAnsi="Palatino Linotype" w:cs="Palatino Linotype"/>
          <w:color w:val="000000"/>
        </w:rPr>
        <w:t xml:space="preserve">Seguidamente, el </w:t>
      </w:r>
      <w:r w:rsidRPr="00890E7D">
        <w:rPr>
          <w:rFonts w:ascii="Palatino Linotype" w:eastAsia="Palatino Linotype" w:hAnsi="Palatino Linotype" w:cs="Palatino Linotype"/>
          <w:b/>
          <w:color w:val="000000"/>
        </w:rPr>
        <w:t xml:space="preserve">dieciséis de julio de dos mil veinticinco, </w:t>
      </w:r>
      <w:r w:rsidRPr="00890E7D">
        <w:rPr>
          <w:rFonts w:ascii="Palatino Linotype" w:eastAsia="Palatino Linotype" w:hAnsi="Palatino Linotype" w:cs="Palatino Linotype"/>
          <w:color w:val="000000"/>
        </w:rPr>
        <w:t xml:space="preserve">se puso a la vista del </w:t>
      </w:r>
      <w:r w:rsidRPr="00890E7D">
        <w:rPr>
          <w:rFonts w:ascii="Palatino Linotype" w:eastAsia="Palatino Linotype" w:hAnsi="Palatino Linotype" w:cs="Palatino Linotype"/>
          <w:b/>
          <w:color w:val="000000"/>
        </w:rPr>
        <w:t xml:space="preserve">RECURRENTE </w:t>
      </w:r>
      <w:r w:rsidRPr="00890E7D">
        <w:rPr>
          <w:rFonts w:ascii="Palatino Linotype" w:eastAsia="Palatino Linotype" w:hAnsi="Palatino Linotype" w:cs="Palatino Linotype"/>
          <w:color w:val="000000"/>
        </w:rPr>
        <w:t xml:space="preserve">la información remitida por el </w:t>
      </w:r>
      <w:r w:rsidRPr="00890E7D">
        <w:rPr>
          <w:rFonts w:ascii="Palatino Linotype" w:eastAsia="Palatino Linotype" w:hAnsi="Palatino Linotype" w:cs="Palatino Linotype"/>
          <w:b/>
          <w:color w:val="000000"/>
        </w:rPr>
        <w:t xml:space="preserve">SUJETO OBLIGADO, </w:t>
      </w:r>
      <w:r w:rsidRPr="00890E7D">
        <w:rPr>
          <w:rFonts w:ascii="Palatino Linotype" w:eastAsia="Palatino Linotype" w:hAnsi="Palatino Linotype" w:cs="Palatino Linotype"/>
          <w:color w:val="000000"/>
        </w:rPr>
        <w:t xml:space="preserve">para que manifieste lo que a su derecho convenga. </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b/>
          <w:color w:val="000000"/>
        </w:rPr>
      </w:pPr>
    </w:p>
    <w:p w:rsidR="00463429" w:rsidRPr="00890E7D" w:rsidRDefault="00463429" w:rsidP="00966826">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890E7D">
        <w:rPr>
          <w:rFonts w:ascii="Palatino Linotype" w:eastAsia="Palatino Linotype" w:hAnsi="Palatino Linotype" w:cs="Palatino Linotype"/>
          <w:color w:val="000000"/>
        </w:rPr>
        <w:t xml:space="preserve">En fecha </w:t>
      </w:r>
      <w:r w:rsidR="008B17F2" w:rsidRPr="00890E7D">
        <w:rPr>
          <w:rFonts w:ascii="Palatino Linotype" w:eastAsia="Palatino Linotype" w:hAnsi="Palatino Linotype" w:cs="Palatino Linotype"/>
          <w:b/>
          <w:color w:val="000000"/>
        </w:rPr>
        <w:t xml:space="preserve">cinco de agosto </w:t>
      </w:r>
      <w:r w:rsidRPr="00890E7D">
        <w:rPr>
          <w:rFonts w:ascii="Palatino Linotype" w:eastAsia="Palatino Linotype" w:hAnsi="Palatino Linotype" w:cs="Palatino Linotype"/>
          <w:b/>
          <w:color w:val="000000"/>
        </w:rPr>
        <w:t>de dos mil veinticinco,</w:t>
      </w:r>
      <w:r w:rsidRPr="00890E7D">
        <w:rPr>
          <w:rFonts w:ascii="Palatino Linotype" w:eastAsia="Palatino Linotype" w:hAnsi="Palatino Linotype" w:cs="Palatino Linotype"/>
          <w:color w:val="000000"/>
        </w:rPr>
        <w:t xml:space="preserve"> al no existir pendiente o diligencia por desahogar se decretó el cierre del periodo de instrucción y, se ordenó emitir la resolución que conforme a derecho proceda, de acuerdo a los siguientes:</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b/>
          <w:color w:val="000000"/>
        </w:rPr>
      </w:pPr>
    </w:p>
    <w:p w:rsidR="00463429" w:rsidRPr="00890E7D" w:rsidRDefault="00463429" w:rsidP="00FA457A">
      <w:pPr>
        <w:pBdr>
          <w:top w:val="nil"/>
          <w:left w:val="nil"/>
          <w:bottom w:val="nil"/>
          <w:right w:val="nil"/>
          <w:between w:val="nil"/>
        </w:pBdr>
        <w:tabs>
          <w:tab w:val="left" w:pos="9072"/>
        </w:tabs>
        <w:spacing w:line="360" w:lineRule="auto"/>
        <w:ind w:right="49"/>
        <w:jc w:val="center"/>
        <w:rPr>
          <w:rFonts w:ascii="Palatino Linotype" w:eastAsia="Palatino Linotype" w:hAnsi="Palatino Linotype" w:cs="Palatino Linotype"/>
          <w:b/>
          <w:color w:val="000000"/>
        </w:rPr>
      </w:pPr>
      <w:r w:rsidRPr="00890E7D">
        <w:rPr>
          <w:rFonts w:ascii="Palatino Linotype" w:eastAsia="Palatino Linotype" w:hAnsi="Palatino Linotype" w:cs="Palatino Linotype"/>
          <w:b/>
          <w:color w:val="000000"/>
        </w:rPr>
        <w:t>C O N S I D E R A N D O S</w:t>
      </w:r>
    </w:p>
    <w:p w:rsidR="00463429" w:rsidRPr="00890E7D" w:rsidRDefault="00463429" w:rsidP="00FA457A">
      <w:pPr>
        <w:pBdr>
          <w:top w:val="nil"/>
          <w:left w:val="nil"/>
          <w:bottom w:val="nil"/>
          <w:right w:val="nil"/>
          <w:between w:val="nil"/>
        </w:pBdr>
        <w:tabs>
          <w:tab w:val="left" w:pos="9072"/>
        </w:tabs>
        <w:spacing w:line="360" w:lineRule="auto"/>
        <w:ind w:right="49"/>
        <w:jc w:val="center"/>
        <w:rPr>
          <w:rFonts w:ascii="Palatino Linotype" w:eastAsia="Palatino Linotype" w:hAnsi="Palatino Linotype" w:cs="Palatino Linotype"/>
          <w:b/>
          <w:color w:val="000000"/>
        </w:rPr>
      </w:pPr>
    </w:p>
    <w:p w:rsidR="00463429" w:rsidRPr="00890E7D" w:rsidRDefault="00463429" w:rsidP="00FA457A">
      <w:pPr>
        <w:pStyle w:val="Ttulo2"/>
        <w:tabs>
          <w:tab w:val="left" w:pos="9072"/>
        </w:tabs>
        <w:spacing w:before="0" w:line="360" w:lineRule="auto"/>
        <w:ind w:right="49"/>
        <w:rPr>
          <w:rFonts w:ascii="Palatino Linotype" w:eastAsia="Palatino Linotype" w:hAnsi="Palatino Linotype" w:cs="Palatino Linotype"/>
          <w:b/>
          <w:color w:val="000000"/>
          <w:sz w:val="24"/>
          <w:szCs w:val="24"/>
        </w:rPr>
      </w:pPr>
      <w:bookmarkStart w:id="4" w:name="_heading=h.tyjcwt" w:colFirst="0" w:colLast="0"/>
      <w:bookmarkEnd w:id="4"/>
      <w:r w:rsidRPr="00890E7D">
        <w:rPr>
          <w:rFonts w:ascii="Palatino Linotype" w:eastAsia="Palatino Linotype" w:hAnsi="Palatino Linotype" w:cs="Palatino Linotype"/>
          <w:b/>
          <w:color w:val="000000"/>
          <w:sz w:val="24"/>
          <w:szCs w:val="24"/>
        </w:rPr>
        <w:t>PRIMERO. Competencia</w:t>
      </w:r>
    </w:p>
    <w:p w:rsidR="00463429" w:rsidRPr="00890E7D" w:rsidRDefault="00463429" w:rsidP="00966826">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890E7D">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w:t>
      </w:r>
      <w:r w:rsidRPr="00890E7D">
        <w:rPr>
          <w:rFonts w:ascii="Palatino Linotype" w:eastAsia="Palatino Linotype" w:hAnsi="Palatino Linotype" w:cs="Palatino Linotype"/>
        </w:rPr>
        <w:lastRenderedPageBreak/>
        <w:t>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color w:val="000000"/>
        </w:rPr>
      </w:pPr>
    </w:p>
    <w:p w:rsidR="00463429" w:rsidRPr="00890E7D" w:rsidRDefault="00463429" w:rsidP="00FA457A">
      <w:pPr>
        <w:pStyle w:val="Ttulo2"/>
        <w:tabs>
          <w:tab w:val="left" w:pos="9072"/>
        </w:tabs>
        <w:spacing w:before="0" w:line="360" w:lineRule="auto"/>
        <w:ind w:right="49"/>
        <w:rPr>
          <w:rFonts w:ascii="Palatino Linotype" w:eastAsia="Palatino Linotype" w:hAnsi="Palatino Linotype" w:cs="Palatino Linotype"/>
          <w:b/>
          <w:color w:val="000000"/>
          <w:sz w:val="24"/>
          <w:szCs w:val="24"/>
        </w:rPr>
      </w:pPr>
      <w:bookmarkStart w:id="5" w:name="_heading=h.3dy6vkm" w:colFirst="0" w:colLast="0"/>
      <w:bookmarkEnd w:id="5"/>
      <w:r w:rsidRPr="00890E7D">
        <w:rPr>
          <w:rFonts w:ascii="Palatino Linotype" w:eastAsia="Palatino Linotype" w:hAnsi="Palatino Linotype" w:cs="Palatino Linotype"/>
          <w:b/>
          <w:color w:val="000000"/>
          <w:sz w:val="24"/>
          <w:szCs w:val="24"/>
        </w:rPr>
        <w:t>SEGUNDO. Procedencia.</w:t>
      </w: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463429" w:rsidRPr="00890E7D" w:rsidRDefault="00463429" w:rsidP="00FA457A">
      <w:pPr>
        <w:tabs>
          <w:tab w:val="left" w:pos="9072"/>
        </w:tabs>
        <w:ind w:right="49"/>
        <w:jc w:val="both"/>
        <w:rPr>
          <w:rFonts w:ascii="Palatino Linotype" w:eastAsia="Palatino Linotype" w:hAnsi="Palatino Linotype" w:cs="Palatino Linotype"/>
          <w:i/>
        </w:rPr>
      </w:pPr>
      <w:r w:rsidRPr="00890E7D">
        <w:rPr>
          <w:rFonts w:ascii="Palatino Linotype" w:eastAsia="Palatino Linotype" w:hAnsi="Palatino Linotype" w:cs="Palatino Linotype"/>
          <w:i/>
        </w:rPr>
        <w:t>“</w:t>
      </w:r>
      <w:r w:rsidRPr="00890E7D">
        <w:rPr>
          <w:rFonts w:ascii="Palatino Linotype" w:eastAsia="Palatino Linotype" w:hAnsi="Palatino Linotype" w:cs="Palatino Linotype"/>
          <w:b/>
          <w:i/>
        </w:rPr>
        <w:t>Artículo 128.</w:t>
      </w:r>
      <w:r w:rsidRPr="00890E7D">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463429" w:rsidRPr="00890E7D" w:rsidRDefault="00463429" w:rsidP="00FA457A">
      <w:pPr>
        <w:tabs>
          <w:tab w:val="left" w:pos="9072"/>
        </w:tabs>
        <w:ind w:right="49"/>
        <w:jc w:val="both"/>
        <w:rPr>
          <w:rFonts w:ascii="Palatino Linotype" w:eastAsia="Palatino Linotype" w:hAnsi="Palatino Linotype" w:cs="Palatino Linotype"/>
          <w:i/>
        </w:rPr>
      </w:pPr>
      <w:r w:rsidRPr="00890E7D">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En esa tesitura, atendiendo a que el </w:t>
      </w:r>
      <w:r w:rsidRPr="00890E7D">
        <w:rPr>
          <w:rFonts w:ascii="Palatino Linotype" w:eastAsia="Palatino Linotype" w:hAnsi="Palatino Linotype" w:cs="Palatino Linotype"/>
          <w:b/>
        </w:rPr>
        <w:t>SUJETO OBLIGADO</w:t>
      </w:r>
      <w:r w:rsidRPr="00890E7D">
        <w:rPr>
          <w:rFonts w:ascii="Palatino Linotype" w:eastAsia="Palatino Linotype" w:hAnsi="Palatino Linotype" w:cs="Palatino Linotype"/>
        </w:rPr>
        <w:t xml:space="preserve"> notificó la respuesta a la solicitud de acceso a datos personales el </w:t>
      </w:r>
      <w:r w:rsidRPr="00890E7D">
        <w:rPr>
          <w:rFonts w:ascii="Palatino Linotype" w:eastAsia="Palatino Linotype" w:hAnsi="Palatino Linotype" w:cs="Palatino Linotype"/>
          <w:b/>
        </w:rPr>
        <w:t>veinte de febrero de dos mil veinticinco</w:t>
      </w:r>
      <w:r w:rsidRPr="00890E7D">
        <w:rPr>
          <w:rFonts w:ascii="Palatino Linotype" w:eastAsia="Palatino Linotype" w:hAnsi="Palatino Linotype" w:cs="Palatino Linotype"/>
        </w:rPr>
        <w:t xml:space="preserve">, a través del SAIMEX, el plazo de quince días hábiles que contempla el artículo 128 de la Ley de Protección de Datos Personales en Posesión de Sujetos Obligados del Estado de México y Municipios, transcurrió </w:t>
      </w:r>
      <w:r w:rsidRPr="00890E7D">
        <w:rPr>
          <w:rFonts w:ascii="Palatino Linotype" w:eastAsia="Palatino Linotype" w:hAnsi="Palatino Linotype" w:cs="Palatino Linotype"/>
          <w:b/>
        </w:rPr>
        <w:t xml:space="preserve">del veintiuno de febrero al catorce de marzo  de dos mil veinticinco; </w:t>
      </w:r>
      <w:r w:rsidRPr="00890E7D">
        <w:rPr>
          <w:rFonts w:ascii="Palatino Linotype" w:eastAsia="Palatino Linotype" w:hAnsi="Palatino Linotype" w:cs="Palatino Linotype"/>
        </w:rPr>
        <w:t>por lo que al haberse interpuesto el</w:t>
      </w:r>
      <w:r w:rsidRPr="00890E7D">
        <w:rPr>
          <w:rFonts w:ascii="Palatino Linotype" w:eastAsia="Palatino Linotype" w:hAnsi="Palatino Linotype" w:cs="Palatino Linotype"/>
          <w:b/>
        </w:rPr>
        <w:t xml:space="preserve"> </w:t>
      </w:r>
      <w:r w:rsidRPr="00890E7D">
        <w:rPr>
          <w:rFonts w:ascii="Palatino Linotype" w:eastAsia="Palatino Linotype" w:hAnsi="Palatino Linotype" w:cs="Palatino Linotype"/>
        </w:rPr>
        <w:t xml:space="preserve">recurso de revisión </w:t>
      </w:r>
      <w:r w:rsidRPr="00890E7D">
        <w:rPr>
          <w:rFonts w:ascii="Palatino Linotype" w:eastAsia="Palatino Linotype" w:hAnsi="Palatino Linotype" w:cs="Palatino Linotype"/>
          <w:b/>
        </w:rPr>
        <w:t xml:space="preserve">el dos de marzo del </w:t>
      </w:r>
      <w:r w:rsidRPr="00890E7D">
        <w:rPr>
          <w:rFonts w:ascii="Palatino Linotype" w:eastAsia="Palatino Linotype" w:hAnsi="Palatino Linotype" w:cs="Palatino Linotype"/>
          <w:b/>
        </w:rPr>
        <w:lastRenderedPageBreak/>
        <w:t>año en curso</w:t>
      </w:r>
      <w:r w:rsidRPr="00890E7D">
        <w:rPr>
          <w:rFonts w:ascii="Palatino Linotype" w:eastAsia="Palatino Linotype" w:hAnsi="Palatino Linotype" w:cs="Palatino Linotype"/>
        </w:rPr>
        <w:t>, este se encuentra dentro de los márgenes temporales previstos en el artículo 128 de la Ley de Protección de Datos Personales en Posesión de Sujetos Obligados del Estado de México y Municipios y, por tanto, su interposición se considera oportuna.</w:t>
      </w:r>
    </w:p>
    <w:p w:rsidR="00463429" w:rsidRPr="00890E7D" w:rsidRDefault="00463429" w:rsidP="00FA457A">
      <w:pPr>
        <w:pStyle w:val="Prrafodelista"/>
        <w:tabs>
          <w:tab w:val="left" w:pos="9072"/>
        </w:tabs>
        <w:spacing w:line="360" w:lineRule="auto"/>
        <w:ind w:left="0" w:right="49"/>
        <w:rPr>
          <w:rFonts w:ascii="Palatino Linotype" w:eastAsia="Palatino Linotype" w:hAnsi="Palatino Linotype" w:cs="Palatino Linotype"/>
        </w:rPr>
      </w:pPr>
    </w:p>
    <w:p w:rsidR="00463429" w:rsidRPr="00890E7D" w:rsidRDefault="00463429" w:rsidP="00FA457A">
      <w:pPr>
        <w:pStyle w:val="Ttulo1"/>
        <w:tabs>
          <w:tab w:val="left" w:pos="9072"/>
        </w:tabs>
        <w:spacing w:before="0" w:line="360" w:lineRule="auto"/>
        <w:ind w:right="49"/>
        <w:jc w:val="both"/>
        <w:rPr>
          <w:rFonts w:ascii="Palatino Linotype" w:eastAsia="Palatino Linotype" w:hAnsi="Palatino Linotype" w:cs="Palatino Linotype"/>
          <w:b/>
          <w:color w:val="000000"/>
          <w:sz w:val="24"/>
          <w:szCs w:val="24"/>
        </w:rPr>
      </w:pPr>
      <w:bookmarkStart w:id="6" w:name="_heading=h.1t3h5sf" w:colFirst="0" w:colLast="0"/>
      <w:bookmarkEnd w:id="6"/>
      <w:r w:rsidRPr="00890E7D">
        <w:rPr>
          <w:rFonts w:ascii="Palatino Linotype" w:eastAsia="Palatino Linotype" w:hAnsi="Palatino Linotype" w:cs="Palatino Linotype"/>
          <w:b/>
          <w:color w:val="000000"/>
          <w:sz w:val="24"/>
          <w:szCs w:val="24"/>
        </w:rPr>
        <w:t>TERCERO. Análisis de las causales de improcedencia y sobreseimiento del Recurso de Revisión.</w:t>
      </w: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Previo al análisis de fondo de la controversia presentada en el asunto que nos ocupa, es menester inicial, señalando que el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463429" w:rsidRPr="00890E7D" w:rsidRDefault="00463429" w:rsidP="00FA457A">
      <w:pPr>
        <w:pBdr>
          <w:top w:val="nil"/>
          <w:left w:val="nil"/>
          <w:bottom w:val="nil"/>
          <w:right w:val="nil"/>
          <w:between w:val="nil"/>
        </w:pBdr>
        <w:tabs>
          <w:tab w:val="left" w:pos="9072"/>
        </w:tabs>
        <w:spacing w:line="360" w:lineRule="auto"/>
        <w:ind w:right="49"/>
        <w:rPr>
          <w:rFonts w:ascii="Palatino Linotype" w:eastAsia="Palatino Linotype" w:hAnsi="Palatino Linotype" w:cs="Palatino Linotype"/>
          <w:color w:val="000000"/>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w:t>
      </w:r>
      <w:r w:rsidRPr="00890E7D">
        <w:rPr>
          <w:rFonts w:ascii="Palatino Linotype" w:eastAsia="Palatino Linotype" w:hAnsi="Palatino Linotype" w:cs="Palatino Linotype"/>
        </w:rPr>
        <w:lastRenderedPageBreak/>
        <w:t>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color w:val="000000"/>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890E7D">
        <w:rPr>
          <w:rFonts w:ascii="Palatino Linotype" w:eastAsia="Palatino Linotype" w:hAnsi="Palatino Linotype" w:cs="Palatino Linotype"/>
          <w:b/>
        </w:rPr>
        <w:t>Sujeto Obligado</w:t>
      </w:r>
      <w:r w:rsidRPr="00890E7D">
        <w:rPr>
          <w:rFonts w:ascii="Palatino Linotype" w:eastAsia="Palatino Linotype" w:hAnsi="Palatino Linotype" w:cs="Palatino Linotype"/>
        </w:rPr>
        <w:t xml:space="preserve"> que esté en posesión de los mismos.</w:t>
      </w:r>
    </w:p>
    <w:p w:rsidR="00463429" w:rsidRPr="00890E7D" w:rsidRDefault="00463429" w:rsidP="00FA457A">
      <w:pPr>
        <w:pStyle w:val="Prrafodelista"/>
        <w:tabs>
          <w:tab w:val="left" w:pos="9072"/>
        </w:tabs>
        <w:spacing w:line="360" w:lineRule="auto"/>
        <w:ind w:left="0" w:right="49"/>
        <w:rPr>
          <w:rFonts w:ascii="Palatino Linotype" w:eastAsia="Palatino Linotype" w:hAnsi="Palatino Linotype" w:cs="Palatino Linotype"/>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Es importante señalar, que  la procedencia de los derechos de acceso, rectificación, cancelación y oposición de datos personales, ARCO, es efectiva una vez que el titular o su representante legal acrediten su identidad o representación, respectivamente.</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rPr>
      </w:pPr>
    </w:p>
    <w:p w:rsidR="00463429" w:rsidRPr="00890E7D" w:rsidRDefault="00463429" w:rsidP="00FA457A">
      <w:pPr>
        <w:pStyle w:val="Ttulo1"/>
        <w:tabs>
          <w:tab w:val="left" w:pos="9072"/>
        </w:tabs>
        <w:spacing w:before="0" w:line="360" w:lineRule="auto"/>
        <w:ind w:right="49"/>
        <w:jc w:val="both"/>
        <w:rPr>
          <w:rFonts w:ascii="Palatino Linotype" w:eastAsia="Palatino Linotype" w:hAnsi="Palatino Linotype" w:cs="Palatino Linotype"/>
          <w:b/>
          <w:color w:val="000000"/>
          <w:sz w:val="24"/>
          <w:szCs w:val="24"/>
        </w:rPr>
      </w:pPr>
      <w:r w:rsidRPr="00890E7D">
        <w:rPr>
          <w:rFonts w:ascii="Palatino Linotype" w:eastAsia="Palatino Linotype" w:hAnsi="Palatino Linotype" w:cs="Palatino Linotype"/>
          <w:b/>
          <w:color w:val="000000"/>
          <w:sz w:val="24"/>
          <w:szCs w:val="24"/>
        </w:rPr>
        <w:t xml:space="preserve">CUARTO. Planteamiento de la </w:t>
      </w:r>
      <w:r w:rsidRPr="00890E7D">
        <w:rPr>
          <w:rFonts w:ascii="Palatino Linotype" w:eastAsia="Palatino Linotype" w:hAnsi="Palatino Linotype" w:cs="Palatino Linotype"/>
          <w:b/>
          <w:i/>
          <w:color w:val="000000"/>
          <w:sz w:val="24"/>
          <w:szCs w:val="24"/>
        </w:rPr>
        <w:t>Litis</w:t>
      </w:r>
      <w:r w:rsidRPr="00890E7D">
        <w:rPr>
          <w:rFonts w:ascii="Palatino Linotype" w:eastAsia="Palatino Linotype" w:hAnsi="Palatino Linotype" w:cs="Palatino Linotype"/>
          <w:b/>
          <w:color w:val="000000"/>
          <w:sz w:val="24"/>
          <w:szCs w:val="24"/>
        </w:rPr>
        <w:t>.</w:t>
      </w: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Del análisis a la solicitud se advierte que la parte </w:t>
      </w:r>
      <w:r w:rsidRPr="00890E7D">
        <w:rPr>
          <w:rFonts w:ascii="Palatino Linotype" w:eastAsia="Palatino Linotype" w:hAnsi="Palatino Linotype" w:cs="Palatino Linotype"/>
          <w:b/>
        </w:rPr>
        <w:t>Recurrente</w:t>
      </w:r>
      <w:r w:rsidRPr="00890E7D">
        <w:rPr>
          <w:rFonts w:ascii="Palatino Linotype" w:eastAsia="Palatino Linotype" w:hAnsi="Palatino Linotype" w:cs="Palatino Linotype"/>
        </w:rPr>
        <w:t xml:space="preserve"> requiere acceder los siguientes datos personales disgregados, vía</w:t>
      </w:r>
      <w:r w:rsidRPr="00890E7D">
        <w:rPr>
          <w:rFonts w:ascii="Palatino Linotype" w:eastAsia="Palatino Linotype" w:hAnsi="Palatino Linotype" w:cs="Palatino Linotype"/>
          <w:b/>
        </w:rPr>
        <w:t xml:space="preserve"> SAIMEX</w:t>
      </w:r>
      <w:r w:rsidRPr="00890E7D">
        <w:rPr>
          <w:rFonts w:ascii="Palatino Linotype" w:eastAsia="Palatino Linotype" w:hAnsi="Palatino Linotype" w:cs="Palatino Linotype"/>
        </w:rPr>
        <w:t xml:space="preserve">: </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b/>
        </w:rPr>
      </w:pPr>
      <w:r w:rsidRPr="00890E7D">
        <w:rPr>
          <w:rFonts w:ascii="Palatino Linotype" w:eastAsia="Palatino Linotype" w:hAnsi="Palatino Linotype" w:cs="Palatino Linotype"/>
          <w:b/>
        </w:rPr>
        <w:t>Con base al Anexo de Ejecución 0236/2024 celebrado entre el Ejecutivo Federal, Gobierno del Estado de México y el Colegio de Bachilleres, el diez de enero del dos mil veinticuatro, que incluye el Apartado Analítico de servicios personales 2024, plazas, horas y sueldos autorizados, la siguiente información del servidor público señalado en la solicitud de información:</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b/>
          <w:i/>
        </w:rPr>
      </w:pPr>
    </w:p>
    <w:p w:rsidR="00463429" w:rsidRPr="00890E7D" w:rsidRDefault="00463429" w:rsidP="00132C1B">
      <w:pPr>
        <w:pStyle w:val="Prrafodelista"/>
        <w:numPr>
          <w:ilvl w:val="0"/>
          <w:numId w:val="6"/>
        </w:numPr>
        <w:tabs>
          <w:tab w:val="left" w:pos="9072"/>
        </w:tabs>
        <w:spacing w:line="360" w:lineRule="auto"/>
        <w:ind w:right="49"/>
        <w:jc w:val="both"/>
        <w:rPr>
          <w:rFonts w:ascii="Palatino Linotype" w:eastAsia="Palatino Linotype" w:hAnsi="Palatino Linotype" w:cs="Palatino Linotype"/>
          <w:b/>
        </w:rPr>
      </w:pPr>
      <w:r w:rsidRPr="00890E7D">
        <w:rPr>
          <w:rFonts w:ascii="Palatino Linotype" w:eastAsia="Palatino Linotype" w:hAnsi="Palatino Linotype" w:cs="Palatino Linotype"/>
          <w:b/>
        </w:rPr>
        <w:lastRenderedPageBreak/>
        <w:t>Monto total individualizado asignado a la plaza del servidor público, como ingreso bruto, que debió y debo percibir en el ejercicio 2024;</w:t>
      </w:r>
    </w:p>
    <w:p w:rsidR="00463429" w:rsidRPr="00890E7D" w:rsidRDefault="00463429" w:rsidP="00132C1B">
      <w:pPr>
        <w:pStyle w:val="Prrafodelista"/>
        <w:numPr>
          <w:ilvl w:val="0"/>
          <w:numId w:val="6"/>
        </w:numPr>
        <w:tabs>
          <w:tab w:val="left" w:pos="9072"/>
        </w:tabs>
        <w:spacing w:line="360" w:lineRule="auto"/>
        <w:ind w:right="49"/>
        <w:jc w:val="both"/>
        <w:rPr>
          <w:rFonts w:ascii="Palatino Linotype" w:eastAsia="Palatino Linotype" w:hAnsi="Palatino Linotype" w:cs="Palatino Linotype"/>
          <w:b/>
        </w:rPr>
      </w:pPr>
      <w:r w:rsidRPr="00890E7D">
        <w:rPr>
          <w:rFonts w:ascii="Palatino Linotype" w:eastAsia="Palatino Linotype" w:hAnsi="Palatino Linotype" w:cs="Palatino Linotype"/>
          <w:b/>
        </w:rPr>
        <w:t xml:space="preserve">Monto detallado anual que debió aplicarse por concepto tanto de percepciones como de </w:t>
      </w:r>
      <w:r w:rsidR="00132C1B" w:rsidRPr="00890E7D">
        <w:rPr>
          <w:rFonts w:ascii="Palatino Linotype" w:eastAsia="Palatino Linotype" w:hAnsi="Palatino Linotype" w:cs="Palatino Linotype"/>
          <w:b/>
        </w:rPr>
        <w:t>deducciones</w:t>
      </w:r>
      <w:r w:rsidRPr="00890E7D">
        <w:rPr>
          <w:rFonts w:ascii="Palatino Linotype" w:eastAsia="Palatino Linotype" w:hAnsi="Palatino Linotype" w:cs="Palatino Linotype"/>
          <w:b/>
        </w:rPr>
        <w:t xml:space="preserve"> -cuyos conceptos se precisaron en cada caso, respecto del ejercicio 2024.</w:t>
      </w:r>
    </w:p>
    <w:p w:rsidR="00463429" w:rsidRPr="00890E7D" w:rsidRDefault="00463429" w:rsidP="00132C1B">
      <w:pPr>
        <w:pStyle w:val="Prrafodelista"/>
        <w:numPr>
          <w:ilvl w:val="0"/>
          <w:numId w:val="6"/>
        </w:numPr>
        <w:tabs>
          <w:tab w:val="left" w:pos="9072"/>
        </w:tabs>
        <w:spacing w:line="360" w:lineRule="auto"/>
        <w:ind w:right="49"/>
        <w:jc w:val="both"/>
        <w:rPr>
          <w:rFonts w:ascii="Palatino Linotype" w:eastAsia="Palatino Linotype" w:hAnsi="Palatino Linotype" w:cs="Palatino Linotype"/>
          <w:b/>
        </w:rPr>
      </w:pPr>
      <w:r w:rsidRPr="00890E7D">
        <w:rPr>
          <w:rFonts w:ascii="Palatino Linotype" w:eastAsia="Palatino Linotype" w:hAnsi="Palatino Linotype" w:cs="Palatino Linotype"/>
          <w:b/>
        </w:rPr>
        <w:t>En caso de que exista diferencia salarial entre lo autorizado en el Anexo de Ejecución y lo que realmente se ha pagado en 2024, se informe el monto que dejó de percibir el servidor público y los conceptos, en los cuales se aplicó la deducción.</w:t>
      </w:r>
    </w:p>
    <w:p w:rsidR="00463429" w:rsidRPr="00890E7D" w:rsidRDefault="00463429" w:rsidP="00FA457A">
      <w:pPr>
        <w:pBdr>
          <w:top w:val="nil"/>
          <w:left w:val="nil"/>
          <w:bottom w:val="nil"/>
          <w:right w:val="nil"/>
          <w:between w:val="nil"/>
        </w:pBdr>
        <w:tabs>
          <w:tab w:val="left" w:pos="9072"/>
        </w:tabs>
        <w:spacing w:line="360" w:lineRule="auto"/>
        <w:ind w:right="49"/>
        <w:jc w:val="both"/>
        <w:rPr>
          <w:rFonts w:ascii="Palatino Linotype" w:eastAsia="Palatino Linotype" w:hAnsi="Palatino Linotype" w:cs="Palatino Linotype"/>
          <w:b/>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En respuesta el </w:t>
      </w:r>
      <w:r w:rsidRPr="00890E7D">
        <w:rPr>
          <w:rFonts w:ascii="Palatino Linotype" w:eastAsia="Palatino Linotype" w:hAnsi="Palatino Linotype" w:cs="Palatino Linotype"/>
          <w:b/>
        </w:rPr>
        <w:t xml:space="preserve">SUJETO OBLIGADO </w:t>
      </w:r>
      <w:r w:rsidRPr="00890E7D">
        <w:rPr>
          <w:rFonts w:ascii="Palatino Linotype" w:eastAsia="Palatino Linotype" w:hAnsi="Palatino Linotype" w:cs="Palatino Linotype"/>
        </w:rPr>
        <w:t>hizo del conocimiento que es incompetente para dar atención a la solicitud de acceso a datos por corresponder a facultades y atribuciones de un sujeto obligado diverso. Inconforme, el solicitante interpuso recurso de revisión, impug</w:t>
      </w:r>
      <w:r w:rsidR="00DE0735" w:rsidRPr="00890E7D">
        <w:rPr>
          <w:rFonts w:ascii="Palatino Linotype" w:eastAsia="Palatino Linotype" w:hAnsi="Palatino Linotype" w:cs="Palatino Linotype"/>
        </w:rPr>
        <w:t>nando la incompetencia</w:t>
      </w:r>
      <w:r w:rsidRPr="00890E7D">
        <w:rPr>
          <w:rFonts w:ascii="Palatino Linotype" w:eastAsia="Palatino Linotype" w:hAnsi="Palatino Linotype" w:cs="Palatino Linotype"/>
        </w:rPr>
        <w:t xml:space="preserve">. </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rPr>
      </w:pPr>
    </w:p>
    <w:p w:rsidR="00463429" w:rsidRPr="00890E7D" w:rsidRDefault="00463429" w:rsidP="00966826">
      <w:pPr>
        <w:numPr>
          <w:ilvl w:val="0"/>
          <w:numId w:val="2"/>
        </w:numPr>
        <w:spacing w:line="360" w:lineRule="auto"/>
        <w:ind w:left="0" w:right="49" w:firstLine="0"/>
        <w:jc w:val="both"/>
        <w:rPr>
          <w:rFonts w:ascii="Palatino Linotype" w:hAnsi="Palatino Linotype"/>
        </w:rPr>
      </w:pPr>
      <w:r w:rsidRPr="00890E7D">
        <w:rPr>
          <w:rFonts w:ascii="Palatino Linotype" w:eastAsia="Palatino Linotype" w:hAnsi="Palatino Linotype" w:cs="Palatino Linotype"/>
        </w:rPr>
        <w:t xml:space="preserve">Por lo tanto la </w:t>
      </w:r>
      <w:r w:rsidRPr="00890E7D">
        <w:rPr>
          <w:rFonts w:ascii="Palatino Linotype" w:eastAsia="Palatino Linotype" w:hAnsi="Palatino Linotype" w:cs="Palatino Linotype"/>
          <w:i/>
        </w:rPr>
        <w:t>Litis</w:t>
      </w:r>
      <w:r w:rsidRPr="00890E7D">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890E7D">
        <w:rPr>
          <w:rFonts w:ascii="Palatino Linotype" w:eastAsia="Palatino Linotype" w:hAnsi="Palatino Linotype" w:cs="Palatino Linotype"/>
          <w:b/>
        </w:rPr>
        <w:t xml:space="preserve">fracción IV </w:t>
      </w:r>
      <w:r w:rsidRPr="00890E7D">
        <w:rPr>
          <w:rFonts w:ascii="Palatino Linotype" w:eastAsia="Palatino Linotype" w:hAnsi="Palatino Linotype" w:cs="Palatino Linotype"/>
        </w:rPr>
        <w:t xml:space="preserve">de la </w:t>
      </w:r>
      <w:r w:rsidRPr="00890E7D">
        <w:rPr>
          <w:rFonts w:ascii="Palatino Linotype" w:eastAsia="Palatino Linotype" w:hAnsi="Palatino Linotype" w:cs="Palatino Linotype"/>
          <w:b/>
        </w:rPr>
        <w:t>Ley de Transparencia y Acceso a la Información Pública del Estado de México y Municipios</w:t>
      </w:r>
      <w:r w:rsidRPr="00890E7D">
        <w:rPr>
          <w:rFonts w:ascii="Palatino Linotype" w:eastAsia="Palatino Linotype" w:hAnsi="Palatino Linotype" w:cs="Palatino Linotype"/>
          <w:color w:val="000000" w:themeColor="text1"/>
        </w:rPr>
        <w:t>;</w:t>
      </w:r>
      <w:r w:rsidRPr="00890E7D">
        <w:rPr>
          <w:rFonts w:ascii="Palatino Linotype" w:eastAsia="Palatino Linotype" w:hAnsi="Palatino Linotype" w:cs="Palatino Linotype"/>
        </w:rPr>
        <w:t xml:space="preserve"> fracción que determina las hipótesis jurídica relativa a la declaración de incompetencia por el sujeto obligado, contexto del cual se dolió </w:t>
      </w:r>
      <w:r w:rsidRPr="00890E7D">
        <w:rPr>
          <w:rFonts w:ascii="Palatino Linotype" w:eastAsia="Palatino Linotype" w:hAnsi="Palatino Linotype" w:cs="Palatino Linotype"/>
          <w:b/>
        </w:rPr>
        <w:t xml:space="preserve">EL RECURRENTE </w:t>
      </w:r>
      <w:r w:rsidRPr="00890E7D">
        <w:rPr>
          <w:rFonts w:ascii="Palatino Linotype" w:eastAsia="Palatino Linotype" w:hAnsi="Palatino Linotype" w:cs="Palatino Linotype"/>
        </w:rPr>
        <w:t>al momento de interponer su inconformidad.</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rPr>
      </w:pPr>
    </w:p>
    <w:p w:rsidR="00463429" w:rsidRPr="00890E7D" w:rsidRDefault="00463429" w:rsidP="00FA457A">
      <w:pPr>
        <w:pStyle w:val="Ttulo2"/>
        <w:tabs>
          <w:tab w:val="left" w:pos="9072"/>
        </w:tabs>
        <w:spacing w:before="0" w:line="360" w:lineRule="auto"/>
        <w:ind w:right="49"/>
        <w:rPr>
          <w:rFonts w:ascii="Palatino Linotype" w:eastAsia="Palatino Linotype" w:hAnsi="Palatino Linotype" w:cs="Palatino Linotype"/>
          <w:b/>
          <w:color w:val="000000"/>
          <w:sz w:val="24"/>
          <w:szCs w:val="24"/>
        </w:rPr>
      </w:pPr>
      <w:r w:rsidRPr="00890E7D">
        <w:rPr>
          <w:rFonts w:ascii="Palatino Linotype" w:eastAsia="Palatino Linotype" w:hAnsi="Palatino Linotype" w:cs="Palatino Linotype"/>
          <w:b/>
          <w:color w:val="000000"/>
          <w:sz w:val="24"/>
          <w:szCs w:val="24"/>
        </w:rPr>
        <w:t>QUINTO. Del estudio y resolución del asunto.</w:t>
      </w: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Dicho lo anterior, se advierte que se pretende obtener el acceso al monto de las deducciones personales que le son aplicadas al titular de los datos personales, información </w:t>
      </w:r>
      <w:r w:rsidRPr="00890E7D">
        <w:rPr>
          <w:rFonts w:ascii="Palatino Linotype" w:eastAsia="Palatino Linotype" w:hAnsi="Palatino Linotype" w:cs="Palatino Linotype"/>
        </w:rPr>
        <w:lastRenderedPageBreak/>
        <w:t>que por su naturaleza incide en su vida privada, al revelar parte de las decisiones que adopta 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información pública no es la vía para su sustanciación, siendo procedente su tratamiento vía derecho de acceso a datos personales, toda vez que este Instituto, al igual que otros Órganos Garantes como es el entonces Instituto Nacional de Acceso a la Información y Protección de Datos (INAI) se han pronunciado por la procedencia de los recursos de revisión según la materia de la solicitud.</w:t>
      </w:r>
    </w:p>
    <w:p w:rsidR="00463429" w:rsidRPr="00890E7D" w:rsidRDefault="00463429" w:rsidP="00FA457A">
      <w:pPr>
        <w:tabs>
          <w:tab w:val="left" w:pos="9072"/>
        </w:tabs>
        <w:spacing w:line="360" w:lineRule="auto"/>
        <w:ind w:right="49"/>
        <w:contextualSpacing/>
        <w:jc w:val="both"/>
        <w:rPr>
          <w:rFonts w:ascii="Palatino Linotype" w:eastAsia="Palatino Linotype" w:hAnsi="Palatino Linotype" w:cs="Palatino Linotype"/>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Determinación que se estableció dentro del Criterio </w:t>
      </w:r>
      <w:r w:rsidRPr="00890E7D">
        <w:rPr>
          <w:rFonts w:ascii="Palatino Linotype" w:eastAsia="Palatino Linotype" w:hAnsi="Palatino Linotype" w:cs="Palatino Linotype"/>
          <w:b/>
        </w:rPr>
        <w:t>008/2009</w:t>
      </w:r>
      <w:r w:rsidRPr="00890E7D">
        <w:rPr>
          <w:rFonts w:ascii="Palatino Linotype" w:eastAsia="Palatino Linotype" w:hAnsi="Palatino Linotype" w:cs="Palatino Linotype"/>
        </w:rPr>
        <w:t xml:space="preserve"> del entonces INAI, que a la letra dispone:</w:t>
      </w:r>
    </w:p>
    <w:p w:rsidR="00463429" w:rsidRPr="00890E7D" w:rsidRDefault="00463429" w:rsidP="00FA457A">
      <w:pPr>
        <w:tabs>
          <w:tab w:val="left" w:pos="7655"/>
          <w:tab w:val="left" w:pos="9072"/>
        </w:tabs>
        <w:ind w:right="49"/>
        <w:jc w:val="both"/>
        <w:rPr>
          <w:rFonts w:ascii="Palatino Linotype" w:eastAsia="Palatino Linotype" w:hAnsi="Palatino Linotype" w:cs="Palatino Linotype"/>
          <w:b/>
          <w:i/>
        </w:rPr>
      </w:pPr>
      <w:r w:rsidRPr="00890E7D">
        <w:rPr>
          <w:rFonts w:ascii="Palatino Linotype" w:eastAsia="Palatino Linotype" w:hAnsi="Palatino Linotype" w:cs="Palatino Linotype"/>
          <w:i/>
        </w:rPr>
        <w:t>“</w:t>
      </w:r>
      <w:r w:rsidRPr="00890E7D">
        <w:rPr>
          <w:rFonts w:ascii="Palatino Linotype" w:eastAsia="Palatino Linotype" w:hAnsi="Palatino Linotype" w:cs="Palatino Linotype"/>
          <w:b/>
          <w:i/>
        </w:rPr>
        <w:t>Las dependencias y entidades deberán dar trámite a las solicitudes aun cuando la vía en la que fueron presentadas -acceso a datos personales o información pública- no corresponda con la naturaleza de la materia de la misma.</w:t>
      </w:r>
      <w:r w:rsidRPr="00890E7D">
        <w:rPr>
          <w:rFonts w:ascii="Palatino Linotype" w:eastAsia="Palatino Linotype" w:hAnsi="Palatino Linotype" w:cs="Palatino Linotype"/>
          <w:i/>
        </w:rPr>
        <w:t xml:space="preserve"> </w:t>
      </w:r>
      <w:r w:rsidRPr="00890E7D">
        <w:rPr>
          <w:rFonts w:ascii="Palatino Linotype" w:eastAsia="Palatino Linotype" w:hAnsi="Palatino Linotype" w:cs="Palatino Linotype"/>
          <w:b/>
          <w:i/>
        </w:rPr>
        <w:t xml:space="preserve">Todas aquellas solicitudes cuyo objetivo sea allegarse de información pública y que sean ingresadas por la vía de acceso a datos personales, así como el caso contrario, </w:t>
      </w:r>
      <w:r w:rsidRPr="00890E7D">
        <w:rPr>
          <w:rFonts w:ascii="Palatino Linotype" w:eastAsia="Palatino Linotype" w:hAnsi="Palatino Linotype" w:cs="Palatino Linotype"/>
          <w:b/>
          <w:i/>
          <w:u w:val="single"/>
        </w:rPr>
        <w:t>deberán ser tramitadas por las dependencias y entidades de conformidad con la naturaleza de la información de que se trate</w:t>
      </w:r>
      <w:r w:rsidRPr="00890E7D">
        <w:rPr>
          <w:rFonts w:ascii="Palatino Linotype" w:eastAsia="Palatino Linotype" w:hAnsi="Palatino Linotype" w:cs="Palatino Linotype"/>
          <w:b/>
          <w:i/>
        </w:rPr>
        <w:t>, sin necesidad de que el particular requiera presentar una nueva solicitud.</w:t>
      </w:r>
    </w:p>
    <w:p w:rsidR="00463429" w:rsidRPr="00890E7D" w:rsidRDefault="00463429" w:rsidP="00FA457A">
      <w:pPr>
        <w:tabs>
          <w:tab w:val="left" w:pos="7655"/>
          <w:tab w:val="left" w:pos="9072"/>
        </w:tabs>
        <w:ind w:right="49"/>
        <w:jc w:val="both"/>
        <w:rPr>
          <w:rFonts w:ascii="Palatino Linotype" w:eastAsia="Palatino Linotype" w:hAnsi="Palatino Linotype" w:cs="Palatino Linotype"/>
          <w:i/>
        </w:rPr>
      </w:pPr>
      <w:r w:rsidRPr="00890E7D">
        <w:rPr>
          <w:rFonts w:ascii="Palatino Linotype" w:eastAsia="Palatino Linotype" w:hAnsi="Palatino Linotype" w:cs="Palatino Linotype"/>
          <w:i/>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w:t>
      </w:r>
      <w:r w:rsidRPr="00890E7D">
        <w:rPr>
          <w:rFonts w:ascii="Palatino Linotype" w:eastAsia="Palatino Linotype" w:hAnsi="Palatino Linotype" w:cs="Palatino Linotype"/>
          <w:i/>
        </w:rPr>
        <w:lastRenderedPageBreak/>
        <w:t xml:space="preserve">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890E7D">
        <w:rPr>
          <w:rFonts w:ascii="Palatino Linotype" w:eastAsia="Palatino Linotype" w:hAnsi="Palatino Linotype" w:cs="Palatino Linotype"/>
          <w:b/>
          <w:i/>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890E7D">
        <w:rPr>
          <w:rFonts w:ascii="Palatino Linotype" w:eastAsia="Palatino Linotype" w:hAnsi="Palatino Linotype" w:cs="Palatino Linotype"/>
          <w:i/>
        </w:rPr>
        <w:t>.”</w:t>
      </w:r>
    </w:p>
    <w:p w:rsidR="00463429" w:rsidRPr="00890E7D" w:rsidRDefault="00463429" w:rsidP="00FA457A">
      <w:pPr>
        <w:tabs>
          <w:tab w:val="left" w:pos="7655"/>
          <w:tab w:val="left" w:pos="9072"/>
        </w:tabs>
        <w:spacing w:line="360" w:lineRule="auto"/>
        <w:ind w:right="49"/>
        <w:rPr>
          <w:rFonts w:ascii="Palatino Linotype" w:eastAsia="Palatino Linotype" w:hAnsi="Palatino Linotype" w:cs="Palatino Linotype"/>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rPr>
        <w:t xml:space="preserve">Consecuencia a lo anterior, se decretó procedente dar trámite a la solicitud formulada por la parte </w:t>
      </w:r>
      <w:r w:rsidRPr="00890E7D">
        <w:rPr>
          <w:rFonts w:ascii="Palatino Linotype" w:eastAsia="Palatino Linotype" w:hAnsi="Palatino Linotype" w:cs="Palatino Linotype"/>
          <w:b/>
        </w:rPr>
        <w:t>RECURRENTE</w:t>
      </w:r>
      <w:r w:rsidRPr="00890E7D">
        <w:rPr>
          <w:rFonts w:ascii="Palatino Linotype" w:eastAsia="Palatino Linotype" w:hAnsi="Palatino Linotype" w:cs="Palatino Linotype"/>
        </w:rPr>
        <w:t xml:space="preserve"> 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w:t>
      </w:r>
      <w:r w:rsidR="00132C1B">
        <w:rPr>
          <w:rFonts w:ascii="Palatino Linotype" w:eastAsia="Palatino Linotype" w:hAnsi="Palatino Linotype" w:cs="Palatino Linotype"/>
        </w:rPr>
        <w:t xml:space="preserve">s que se encuentren en posesión de los </w:t>
      </w:r>
      <w:r w:rsidRPr="00890E7D">
        <w:rPr>
          <w:rFonts w:ascii="Palatino Linotype" w:eastAsia="Palatino Linotype" w:hAnsi="Palatino Linotype" w:cs="Palatino Linotype"/>
        </w:rPr>
        <w:t xml:space="preserve">sujetos obligados. </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rPr>
      </w:pPr>
    </w:p>
    <w:p w:rsidR="00463429" w:rsidRPr="00890E7D" w:rsidRDefault="00463429" w:rsidP="00966826">
      <w:pPr>
        <w:numPr>
          <w:ilvl w:val="0"/>
          <w:numId w:val="2"/>
        </w:numPr>
        <w:spacing w:line="360" w:lineRule="auto"/>
        <w:ind w:left="0" w:right="49" w:firstLine="0"/>
        <w:jc w:val="both"/>
        <w:rPr>
          <w:rFonts w:ascii="Palatino Linotype" w:hAnsi="Palatino Linotype" w:cs="Palatino Linotype"/>
          <w:color w:val="000000"/>
        </w:rPr>
      </w:pPr>
      <w:r w:rsidRPr="00890E7D">
        <w:rPr>
          <w:rFonts w:ascii="Palatino Linotype" w:hAnsi="Palatino Linotype" w:cs="Palatino Linotype"/>
          <w:color w:val="000000"/>
        </w:rPr>
        <w:t xml:space="preserve">El análisis y resolución del presente Recurso, se funda en el contenido íntegro de las actuaciones que </w:t>
      </w:r>
      <w:r w:rsidRPr="00890E7D">
        <w:rPr>
          <w:rFonts w:ascii="Palatino Linotype" w:eastAsia="Palatino Linotype" w:hAnsi="Palatino Linotype" w:cs="Palatino Linotype"/>
        </w:rPr>
        <w:t>obran</w:t>
      </w:r>
      <w:r w:rsidRPr="00890E7D">
        <w:rPr>
          <w:rFonts w:ascii="Palatino Linotype" w:hAnsi="Palatino Linotype" w:cs="Palatino Linotype"/>
          <w:color w:val="000000"/>
        </w:rPr>
        <w:t xml:space="preserve"> en el expediente electrónico, para así estar en posibilidad este Órgano Colegiado de dictar el fallo correspondiente conforme a derecho. En ese sentido se manifiesta que de conformidad a la Constitución Política del Estado Libre y Soberano de México, los particulares tienen derecho de acceso, rectificación, cancelación y oposición de datos personales (derechos ARCO).</w:t>
      </w:r>
    </w:p>
    <w:p w:rsidR="00463429" w:rsidRPr="00890E7D" w:rsidRDefault="00463429" w:rsidP="00FA457A">
      <w:pPr>
        <w:tabs>
          <w:tab w:val="left" w:pos="9072"/>
        </w:tabs>
        <w:ind w:right="49"/>
        <w:contextualSpacing/>
        <w:jc w:val="both"/>
        <w:rPr>
          <w:rFonts w:ascii="Palatino Linotype" w:hAnsi="Palatino Linotype"/>
          <w:b/>
          <w:i/>
          <w:kern w:val="28"/>
        </w:rPr>
      </w:pPr>
      <w:r w:rsidRPr="00890E7D">
        <w:rPr>
          <w:rFonts w:ascii="Palatino Linotype" w:hAnsi="Palatino Linotype"/>
          <w:b/>
          <w:i/>
          <w:kern w:val="28"/>
        </w:rPr>
        <w:t>“Constitución Política del Estado Libre y Soberano de México</w:t>
      </w:r>
    </w:p>
    <w:p w:rsidR="00463429" w:rsidRPr="00890E7D" w:rsidRDefault="00463429" w:rsidP="00FA457A">
      <w:pPr>
        <w:tabs>
          <w:tab w:val="left" w:pos="9072"/>
        </w:tabs>
        <w:ind w:right="49"/>
        <w:contextualSpacing/>
        <w:jc w:val="both"/>
        <w:rPr>
          <w:rFonts w:ascii="Palatino Linotype" w:hAnsi="Palatino Linotype"/>
          <w:b/>
          <w:i/>
          <w:kern w:val="28"/>
        </w:rPr>
      </w:pPr>
      <w:r w:rsidRPr="00890E7D">
        <w:rPr>
          <w:rFonts w:ascii="Palatino Linotype" w:hAnsi="Palatino Linotype"/>
          <w:b/>
          <w:i/>
          <w:kern w:val="28"/>
        </w:rPr>
        <w:t xml:space="preserve">Artículo 5.- </w:t>
      </w:r>
    </w:p>
    <w:p w:rsidR="00463429" w:rsidRPr="00890E7D" w:rsidRDefault="00463429" w:rsidP="00FA457A">
      <w:pPr>
        <w:tabs>
          <w:tab w:val="left" w:pos="9072"/>
        </w:tabs>
        <w:ind w:right="49"/>
        <w:contextualSpacing/>
        <w:jc w:val="both"/>
        <w:rPr>
          <w:rFonts w:ascii="Palatino Linotype" w:hAnsi="Palatino Linotype"/>
          <w:b/>
          <w:i/>
          <w:kern w:val="28"/>
        </w:rPr>
      </w:pPr>
      <w:r w:rsidRPr="00890E7D">
        <w:rPr>
          <w:rFonts w:ascii="Palatino Linotype" w:hAnsi="Palatino Linotype"/>
          <w:b/>
          <w:i/>
          <w:kern w:val="28"/>
        </w:rPr>
        <w:t>(…)</w:t>
      </w:r>
    </w:p>
    <w:p w:rsidR="00463429" w:rsidRPr="00890E7D" w:rsidRDefault="00463429" w:rsidP="00FA457A">
      <w:pPr>
        <w:tabs>
          <w:tab w:val="left" w:pos="9072"/>
        </w:tabs>
        <w:ind w:right="49"/>
        <w:contextualSpacing/>
        <w:jc w:val="both"/>
        <w:rPr>
          <w:rFonts w:ascii="Palatino Linotype" w:hAnsi="Palatino Linotype"/>
          <w:b/>
          <w:i/>
          <w:kern w:val="28"/>
        </w:rPr>
      </w:pPr>
      <w:r w:rsidRPr="00890E7D">
        <w:rPr>
          <w:rFonts w:ascii="Palatino Linotype" w:hAnsi="Palatino Linotype"/>
          <w:b/>
          <w:i/>
          <w:kern w:val="28"/>
        </w:rPr>
        <w:t xml:space="preserve">II. </w:t>
      </w:r>
      <w:r w:rsidRPr="00890E7D">
        <w:rPr>
          <w:rFonts w:ascii="Palatino Linotype" w:hAnsi="Palatino Linotype"/>
          <w:i/>
          <w:kern w:val="28"/>
        </w:rPr>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rsidR="00463429" w:rsidRPr="00890E7D" w:rsidRDefault="00463429" w:rsidP="00FA457A">
      <w:pPr>
        <w:tabs>
          <w:tab w:val="left" w:pos="9072"/>
        </w:tabs>
        <w:ind w:right="49"/>
        <w:contextualSpacing/>
        <w:jc w:val="both"/>
        <w:rPr>
          <w:rFonts w:ascii="Palatino Linotype" w:hAnsi="Palatino Linotype"/>
          <w:i/>
          <w:kern w:val="28"/>
        </w:rPr>
      </w:pPr>
      <w:r w:rsidRPr="00890E7D">
        <w:rPr>
          <w:rFonts w:ascii="Palatino Linotype" w:hAnsi="Palatino Linotype"/>
          <w:b/>
          <w:i/>
          <w:kern w:val="28"/>
        </w:rPr>
        <w:lastRenderedPageBreak/>
        <w:t>III</w:t>
      </w:r>
      <w:r w:rsidRPr="00890E7D">
        <w:rPr>
          <w:rFonts w:ascii="Palatino Linotype" w:hAnsi="Palatino Linotype"/>
          <w:i/>
          <w:kern w:val="28"/>
        </w:rPr>
        <w:t xml:space="preserve">. Toda persona, sin necesidad de acreditar interés alguno o justificar su utilización, tendrá acceso gratuito a la información pública, a sus datos personales o a la rectificación de éstos.  </w:t>
      </w:r>
    </w:p>
    <w:p w:rsidR="00463429" w:rsidRPr="00890E7D" w:rsidRDefault="00463429" w:rsidP="00FA457A">
      <w:pPr>
        <w:tabs>
          <w:tab w:val="left" w:pos="9072"/>
        </w:tabs>
        <w:ind w:right="49"/>
        <w:contextualSpacing/>
        <w:jc w:val="both"/>
        <w:rPr>
          <w:rFonts w:ascii="Palatino Linotype" w:hAnsi="Palatino Linotype"/>
          <w:i/>
          <w:kern w:val="28"/>
        </w:rPr>
      </w:pPr>
      <w:r w:rsidRPr="00890E7D">
        <w:rPr>
          <w:rFonts w:ascii="Palatino Linotype" w:hAnsi="Palatino Linotype"/>
          <w:b/>
          <w:i/>
          <w:kern w:val="28"/>
        </w:rPr>
        <w:t>V</w:t>
      </w:r>
      <w:r w:rsidRPr="00890E7D">
        <w:rPr>
          <w:rFonts w:ascii="Palatino Linotype" w:hAnsi="Palatino Linotype"/>
          <w:i/>
          <w:kern w:val="28"/>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rsidR="00463429" w:rsidRPr="00890E7D" w:rsidRDefault="00463429" w:rsidP="00FA457A">
      <w:pPr>
        <w:tabs>
          <w:tab w:val="left" w:pos="9072"/>
        </w:tabs>
        <w:spacing w:line="360" w:lineRule="auto"/>
        <w:ind w:right="49"/>
        <w:jc w:val="both"/>
        <w:rPr>
          <w:rFonts w:ascii="Palatino Linotype" w:hAnsi="Palatino Linotype"/>
        </w:rPr>
      </w:pPr>
    </w:p>
    <w:p w:rsidR="00463429" w:rsidRPr="00890E7D" w:rsidRDefault="00463429" w:rsidP="00966826">
      <w:pPr>
        <w:numPr>
          <w:ilvl w:val="0"/>
          <w:numId w:val="2"/>
        </w:numPr>
        <w:spacing w:line="360" w:lineRule="auto"/>
        <w:ind w:left="0" w:right="49" w:firstLine="0"/>
        <w:contextualSpacing/>
        <w:jc w:val="both"/>
        <w:rPr>
          <w:rFonts w:ascii="Palatino Linotype" w:hAnsi="Palatino Linotype" w:cs="Palatino Linotype"/>
          <w:color w:val="000000"/>
        </w:rPr>
      </w:pPr>
      <w:r w:rsidRPr="00890E7D">
        <w:rPr>
          <w:rFonts w:ascii="Palatino Linotype" w:hAnsi="Palatino Linotype" w:cs="Palatino Linotype"/>
          <w:color w:val="000000"/>
        </w:rPr>
        <w:t>En ese sentido se tiene la Ley de Protección de Datos Personales en Posesión de Sujetos Obligados del Estado de México y Municipios, tiene por finalidad que las personas que así lo soliciten puedan acceder a su derecho humano de la protección de sus datos personales.</w:t>
      </w:r>
    </w:p>
    <w:p w:rsidR="00463429" w:rsidRPr="00890E7D" w:rsidRDefault="00463429" w:rsidP="00FA457A">
      <w:pPr>
        <w:tabs>
          <w:tab w:val="left" w:pos="9072"/>
        </w:tabs>
        <w:ind w:right="49"/>
        <w:contextualSpacing/>
        <w:jc w:val="both"/>
        <w:rPr>
          <w:rFonts w:ascii="Palatino Linotype" w:hAnsi="Palatino Linotype" w:cs="Palatino Linotype"/>
          <w:b/>
          <w:i/>
          <w:color w:val="000000"/>
        </w:rPr>
      </w:pPr>
      <w:r w:rsidRPr="00890E7D">
        <w:rPr>
          <w:rFonts w:ascii="Palatino Linotype" w:hAnsi="Palatino Linotype" w:cs="Palatino Linotype"/>
          <w:b/>
          <w:i/>
          <w:color w:val="000000"/>
        </w:rPr>
        <w:t>De las finalidades de la Ley</w:t>
      </w:r>
    </w:p>
    <w:p w:rsidR="00463429" w:rsidRPr="00890E7D" w:rsidRDefault="00463429" w:rsidP="00FA457A">
      <w:pPr>
        <w:tabs>
          <w:tab w:val="left" w:pos="9072"/>
        </w:tabs>
        <w:ind w:right="49"/>
        <w:contextualSpacing/>
        <w:jc w:val="both"/>
        <w:rPr>
          <w:rFonts w:ascii="Palatino Linotype" w:hAnsi="Palatino Linotype" w:cs="Palatino Linotype"/>
          <w:i/>
          <w:color w:val="000000"/>
        </w:rPr>
      </w:pPr>
      <w:r w:rsidRPr="00890E7D">
        <w:rPr>
          <w:rFonts w:ascii="Palatino Linotype" w:hAnsi="Palatino Linotype" w:cs="Palatino Linotype"/>
          <w:b/>
          <w:i/>
          <w:color w:val="000000"/>
        </w:rPr>
        <w:t>Artículo 2.</w:t>
      </w:r>
      <w:r w:rsidRPr="00890E7D">
        <w:rPr>
          <w:rFonts w:ascii="Palatino Linotype" w:hAnsi="Palatino Linotype" w:cs="Palatino Linotype"/>
          <w:i/>
          <w:color w:val="000000"/>
        </w:rPr>
        <w:t xml:space="preserve"> Son finalidades de la presente Ley:</w:t>
      </w:r>
    </w:p>
    <w:p w:rsidR="00463429" w:rsidRPr="00890E7D" w:rsidRDefault="00463429" w:rsidP="00FA457A">
      <w:pPr>
        <w:tabs>
          <w:tab w:val="left" w:pos="9072"/>
        </w:tabs>
        <w:ind w:right="49"/>
        <w:contextualSpacing/>
        <w:jc w:val="both"/>
        <w:rPr>
          <w:rFonts w:ascii="Palatino Linotype" w:hAnsi="Palatino Linotype" w:cs="Palatino Linotype"/>
          <w:i/>
          <w:color w:val="000000"/>
        </w:rPr>
      </w:pPr>
      <w:r w:rsidRPr="00890E7D">
        <w:rPr>
          <w:rFonts w:ascii="Palatino Linotype" w:hAnsi="Palatino Linotype" w:cs="Palatino Linotype"/>
          <w:b/>
          <w:i/>
          <w:color w:val="000000"/>
        </w:rPr>
        <w:t>I.</w:t>
      </w:r>
      <w:r w:rsidRPr="00890E7D">
        <w:rPr>
          <w:rFonts w:ascii="Palatino Linotype" w:hAnsi="Palatino Linotype" w:cs="Palatino Linotype"/>
          <w:i/>
          <w:color w:val="000000"/>
        </w:rPr>
        <w:t xml:space="preserve"> Proveer lo necesario para que toda persona pueda ejercer su derecho fundamental a la protección de datos personales.</w:t>
      </w:r>
    </w:p>
    <w:p w:rsidR="00463429" w:rsidRPr="00890E7D" w:rsidRDefault="00463429" w:rsidP="00FA457A">
      <w:pPr>
        <w:tabs>
          <w:tab w:val="left" w:pos="9072"/>
        </w:tabs>
        <w:ind w:right="49"/>
        <w:contextualSpacing/>
        <w:jc w:val="both"/>
        <w:rPr>
          <w:rFonts w:ascii="Palatino Linotype" w:hAnsi="Palatino Linotype" w:cs="Palatino Linotype"/>
          <w:i/>
          <w:color w:val="000000"/>
        </w:rPr>
      </w:pPr>
      <w:r w:rsidRPr="00890E7D">
        <w:rPr>
          <w:rFonts w:ascii="Palatino Linotype" w:hAnsi="Palatino Linotype" w:cs="Palatino Linotype"/>
          <w:b/>
          <w:i/>
          <w:color w:val="000000"/>
        </w:rPr>
        <w:t>X.</w:t>
      </w:r>
      <w:r w:rsidRPr="00890E7D">
        <w:rPr>
          <w:rFonts w:ascii="Palatino Linotype" w:hAnsi="Palatino Linotype" w:cs="Palatino Linotype"/>
          <w:i/>
          <w:color w:val="000000"/>
        </w:rPr>
        <w:t xml:space="preserve"> Regular los medios de impugnación en la materia y los procedimientos para su interposición ante el Instituto de Transparencia, Acceso a la Información Pública y Protección de Personales del Estado de México y Municipios.</w:t>
      </w:r>
    </w:p>
    <w:p w:rsidR="00463429" w:rsidRPr="00890E7D" w:rsidRDefault="00463429" w:rsidP="00FA457A">
      <w:pPr>
        <w:tabs>
          <w:tab w:val="left" w:pos="9072"/>
        </w:tabs>
        <w:spacing w:line="360" w:lineRule="auto"/>
        <w:ind w:right="49"/>
        <w:contextualSpacing/>
        <w:jc w:val="both"/>
        <w:rPr>
          <w:rFonts w:ascii="Palatino Linotype" w:hAnsi="Palatino Linotype" w:cs="Palatino Linotype"/>
          <w:color w:val="000000"/>
        </w:rPr>
      </w:pPr>
    </w:p>
    <w:p w:rsidR="00463429" w:rsidRPr="00890E7D" w:rsidRDefault="00463429" w:rsidP="00966826">
      <w:pPr>
        <w:numPr>
          <w:ilvl w:val="0"/>
          <w:numId w:val="2"/>
        </w:numPr>
        <w:spacing w:line="360" w:lineRule="auto"/>
        <w:ind w:left="0" w:right="49" w:firstLine="0"/>
        <w:contextualSpacing/>
        <w:jc w:val="both"/>
        <w:rPr>
          <w:rFonts w:ascii="Palatino Linotype" w:hAnsi="Palatino Linotype" w:cs="Palatino Linotype"/>
          <w:color w:val="000000"/>
        </w:rPr>
      </w:pPr>
      <w:r w:rsidRPr="00890E7D">
        <w:rPr>
          <w:rFonts w:ascii="Palatino Linotype" w:hAnsi="Palatino Linotype" w:cs="Palatino Linotype"/>
          <w:color w:val="000000"/>
        </w:rPr>
        <w:t>Por tanto, es conveniente recordar que el hoy Recurrente requirió del Sujeto Obligado, lo ya desglosado en el anterior Párrafo 17, a lo cual el Sujeto Obligado manifiesta a través de SAIMEX su incompetencia; misma que ratifica en calidad de informe justificado, en el cual se detallaron las facultades y atribuciones del Colegio de Bachilleres del Estado de México y de la Oficialía Mayor. Mismas que se insertan para mayor ilustración.</w:t>
      </w:r>
    </w:p>
    <w:p w:rsidR="00463429" w:rsidRPr="00890E7D" w:rsidRDefault="00463429" w:rsidP="00FA457A">
      <w:pPr>
        <w:tabs>
          <w:tab w:val="left" w:pos="9072"/>
        </w:tabs>
        <w:spacing w:line="360" w:lineRule="auto"/>
        <w:ind w:right="49"/>
        <w:contextualSpacing/>
        <w:jc w:val="both"/>
        <w:rPr>
          <w:rFonts w:ascii="Palatino Linotype" w:hAnsi="Palatino Linotype" w:cs="Palatino Linotype"/>
          <w:color w:val="000000"/>
        </w:rPr>
      </w:pPr>
    </w:p>
    <w:p w:rsidR="00463429" w:rsidRPr="00890E7D" w:rsidRDefault="00463429" w:rsidP="00966826">
      <w:pPr>
        <w:numPr>
          <w:ilvl w:val="0"/>
          <w:numId w:val="2"/>
        </w:numPr>
        <w:spacing w:line="360" w:lineRule="auto"/>
        <w:ind w:left="0" w:right="49" w:firstLine="0"/>
        <w:contextualSpacing/>
        <w:jc w:val="both"/>
        <w:rPr>
          <w:rFonts w:ascii="Palatino Linotype" w:hAnsi="Palatino Linotype" w:cs="Palatino Linotype"/>
          <w:color w:val="000000"/>
        </w:rPr>
      </w:pPr>
      <w:r w:rsidRPr="00890E7D">
        <w:rPr>
          <w:rFonts w:ascii="Palatino Linotype" w:hAnsi="Palatino Linotype" w:cs="Palatino Linotype"/>
          <w:color w:val="000000"/>
        </w:rPr>
        <w:t>Del Manual General de Organización del Colegio de Bachilleres del Estado de México</w:t>
      </w:r>
    </w:p>
    <w:p w:rsidR="00463429" w:rsidRPr="00890E7D" w:rsidRDefault="00463429" w:rsidP="00FA457A">
      <w:pPr>
        <w:tabs>
          <w:tab w:val="left" w:pos="9072"/>
        </w:tabs>
        <w:spacing w:line="360" w:lineRule="auto"/>
        <w:ind w:right="49"/>
        <w:contextualSpacing/>
        <w:jc w:val="both"/>
        <w:rPr>
          <w:rFonts w:ascii="Palatino Linotype" w:hAnsi="Palatino Linotype" w:cs="Palatino Linotype"/>
          <w:color w:val="000000"/>
        </w:rPr>
      </w:pPr>
      <w:r w:rsidRPr="00890E7D">
        <w:rPr>
          <w:rFonts w:ascii="Palatino Linotype" w:hAnsi="Palatino Linotype" w:cs="Palatino Linotype"/>
          <w:color w:val="000000"/>
        </w:rPr>
        <w:t xml:space="preserve"> </w:t>
      </w:r>
    </w:p>
    <w:p w:rsidR="00463429" w:rsidRPr="00890E7D" w:rsidRDefault="00463429" w:rsidP="00FA457A">
      <w:pPr>
        <w:tabs>
          <w:tab w:val="left" w:pos="9072"/>
        </w:tabs>
        <w:ind w:right="49"/>
        <w:contextualSpacing/>
        <w:jc w:val="both"/>
        <w:rPr>
          <w:rFonts w:ascii="Palatino Linotype" w:hAnsi="Palatino Linotype" w:cs="Palatino Linotype"/>
          <w:b/>
          <w:bCs/>
          <w:i/>
          <w:iCs/>
          <w:color w:val="000000"/>
        </w:rPr>
      </w:pPr>
      <w:r w:rsidRPr="00890E7D">
        <w:rPr>
          <w:rFonts w:ascii="Palatino Linotype" w:hAnsi="Palatino Linotype" w:cs="Palatino Linotype"/>
          <w:b/>
          <w:bCs/>
          <w:i/>
          <w:iCs/>
          <w:color w:val="000000"/>
        </w:rPr>
        <w:lastRenderedPageBreak/>
        <w:t>210C0701040001L DEPARTAMENTO DE RECURSOS HUMANOS</w:t>
      </w:r>
    </w:p>
    <w:p w:rsidR="00463429" w:rsidRPr="00890E7D" w:rsidRDefault="00463429" w:rsidP="00FA457A">
      <w:pPr>
        <w:tabs>
          <w:tab w:val="left" w:pos="9072"/>
        </w:tabs>
        <w:ind w:right="49"/>
        <w:contextualSpacing/>
        <w:jc w:val="both"/>
        <w:rPr>
          <w:rFonts w:ascii="Palatino Linotype" w:hAnsi="Palatino Linotype" w:cs="Palatino Linotype"/>
          <w:b/>
          <w:bCs/>
          <w:i/>
          <w:iCs/>
          <w:color w:val="000000"/>
        </w:rPr>
      </w:pPr>
      <w:r w:rsidRPr="00890E7D">
        <w:rPr>
          <w:rFonts w:ascii="Palatino Linotype" w:hAnsi="Palatino Linotype" w:cs="Palatino Linotype"/>
          <w:b/>
          <w:bCs/>
          <w:i/>
          <w:iCs/>
          <w:color w:val="000000"/>
        </w:rPr>
        <w:t>OBJETIVO:</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i/>
          <w:iCs/>
          <w:color w:val="000000"/>
        </w:rPr>
        <w:t>Llevar a cabo las acciones de selección, contratación, registro, control, capacitación y desarrollo del personal adscrito al Colegio de</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i/>
          <w:iCs/>
          <w:color w:val="000000"/>
        </w:rPr>
        <w:t>Bachilleres, así como llevar a cabo las acciones necesarias para el pago oportuno de sus remuneraciones.</w:t>
      </w:r>
    </w:p>
    <w:p w:rsidR="00463429" w:rsidRPr="00890E7D" w:rsidRDefault="00463429" w:rsidP="00FA457A">
      <w:pPr>
        <w:tabs>
          <w:tab w:val="left" w:pos="9072"/>
        </w:tabs>
        <w:ind w:right="49"/>
        <w:contextualSpacing/>
        <w:jc w:val="both"/>
        <w:rPr>
          <w:rFonts w:ascii="Palatino Linotype" w:hAnsi="Palatino Linotype" w:cs="Palatino Linotype"/>
          <w:b/>
          <w:bCs/>
          <w:i/>
          <w:iCs/>
          <w:color w:val="000000"/>
        </w:rPr>
      </w:pPr>
      <w:r w:rsidRPr="00890E7D">
        <w:rPr>
          <w:rFonts w:ascii="Palatino Linotype" w:hAnsi="Palatino Linotype" w:cs="Palatino Linotype"/>
          <w:b/>
          <w:bCs/>
          <w:i/>
          <w:iCs/>
          <w:color w:val="000000"/>
        </w:rPr>
        <w:t>FUNCIONES:</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i/>
          <w:iCs/>
          <w:color w:val="000000"/>
        </w:rPr>
        <w:t> 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para el Estado, de acuerdo con la normatividad vigente en la materia.</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i/>
          <w:iCs/>
          <w:color w:val="000000"/>
        </w:rPr>
        <w:t> Elaborar las nóminas y pagar oportunamente las remuneraciones al personal; aplicar las sanciones y descuentos por concepto de retardos y faltas; Impuesto Sobre la Renta, sobre Sueldos y Salarios; cuotas al ISSEMyM, y otros impuestos y derechos de los y las trabajadoras del Colegio de Bachilleres.</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i/>
          <w:iCs/>
          <w:color w:val="000000"/>
        </w:rPr>
        <w:t> Informar detalladamente a la Subdirección de Planeación de Sueldos y Salarios del Sector Auxiliar de la Dirección de Política Salarial, de la plantilla y movimientos del personal adscrito al Colegio.</w:t>
      </w:r>
    </w:p>
    <w:p w:rsidR="00463429" w:rsidRPr="00890E7D" w:rsidRDefault="00463429" w:rsidP="00FA457A">
      <w:pPr>
        <w:tabs>
          <w:tab w:val="left" w:pos="9072"/>
        </w:tabs>
        <w:spacing w:line="360" w:lineRule="auto"/>
        <w:ind w:right="49"/>
        <w:contextualSpacing/>
        <w:jc w:val="both"/>
        <w:rPr>
          <w:rFonts w:ascii="Palatino Linotype" w:hAnsi="Palatino Linotype" w:cs="Palatino Linotype"/>
          <w:color w:val="000000"/>
        </w:rPr>
      </w:pPr>
    </w:p>
    <w:p w:rsidR="00463429" w:rsidRPr="00890E7D" w:rsidRDefault="00463429" w:rsidP="00966826">
      <w:pPr>
        <w:numPr>
          <w:ilvl w:val="0"/>
          <w:numId w:val="2"/>
        </w:numPr>
        <w:spacing w:line="360" w:lineRule="auto"/>
        <w:ind w:left="0" w:right="49" w:firstLine="0"/>
        <w:contextualSpacing/>
        <w:jc w:val="both"/>
        <w:rPr>
          <w:rFonts w:ascii="Palatino Linotype" w:hAnsi="Palatino Linotype" w:cs="Palatino Linotype"/>
          <w:color w:val="000000"/>
        </w:rPr>
      </w:pPr>
      <w:r w:rsidRPr="00890E7D">
        <w:rPr>
          <w:rFonts w:ascii="Palatino Linotype" w:hAnsi="Palatino Linotype" w:cs="Palatino Linotype"/>
          <w:color w:val="000000"/>
        </w:rPr>
        <w:t>Del Manual General de Organización de la Oficialía Mayor</w:t>
      </w:r>
    </w:p>
    <w:p w:rsidR="00463429" w:rsidRPr="00890E7D" w:rsidRDefault="00463429" w:rsidP="00FA457A">
      <w:pPr>
        <w:tabs>
          <w:tab w:val="left" w:pos="9072"/>
        </w:tabs>
        <w:ind w:right="49"/>
        <w:contextualSpacing/>
        <w:jc w:val="both"/>
        <w:rPr>
          <w:rFonts w:ascii="Palatino Linotype" w:hAnsi="Palatino Linotype" w:cs="Palatino Linotype"/>
          <w:b/>
          <w:bCs/>
          <w:i/>
          <w:iCs/>
          <w:color w:val="000000"/>
        </w:rPr>
      </w:pPr>
      <w:r w:rsidRPr="00890E7D">
        <w:rPr>
          <w:rFonts w:ascii="Palatino Linotype" w:hAnsi="Palatino Linotype" w:cs="Palatino Linotype"/>
          <w:b/>
          <w:bCs/>
          <w:i/>
          <w:iCs/>
          <w:color w:val="000000"/>
        </w:rPr>
        <w:t>23400004040000L. DIRECCIÓN DE REMUNERACIONES AL PERSONAL</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b/>
          <w:bCs/>
          <w:i/>
          <w:iCs/>
          <w:color w:val="000000"/>
        </w:rPr>
        <w:t>OBJETIVO:</w:t>
      </w:r>
      <w:r w:rsidRPr="00890E7D">
        <w:rPr>
          <w:rFonts w:ascii="Palatino Linotype" w:hAnsi="Palatino Linotype" w:cs="Palatino Linotype"/>
          <w:i/>
          <w:iCs/>
          <w:color w:val="000000"/>
        </w:rPr>
        <w:t xml:space="preserve"> Coordinar la sistematización y actualizacién de la información relativa a la situación laboral de las personas servidoras  públicas de las dependencias y órganos administrativos desconcentrados del Poder Ejecutivo del Estado, a través del Sistema de Nómina del Sector Central del Poder Ejecutivo, y entregarles las percepciones a que tienen derecho por la prestación de sus servicios.</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p>
    <w:p w:rsidR="00463429" w:rsidRPr="00890E7D" w:rsidRDefault="00463429" w:rsidP="00FA457A">
      <w:pPr>
        <w:tabs>
          <w:tab w:val="left" w:pos="9072"/>
        </w:tabs>
        <w:ind w:right="49"/>
        <w:contextualSpacing/>
        <w:jc w:val="both"/>
        <w:rPr>
          <w:rFonts w:ascii="Palatino Linotype" w:hAnsi="Palatino Linotype" w:cs="Palatino Linotype"/>
          <w:b/>
          <w:bCs/>
          <w:i/>
          <w:iCs/>
          <w:color w:val="000000"/>
        </w:rPr>
      </w:pPr>
      <w:r w:rsidRPr="00890E7D">
        <w:rPr>
          <w:rFonts w:ascii="Palatino Linotype" w:hAnsi="Palatino Linotype" w:cs="Palatino Linotype"/>
          <w:b/>
          <w:bCs/>
          <w:i/>
          <w:iCs/>
          <w:color w:val="000000"/>
        </w:rPr>
        <w:t>FUNCIONES:</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i/>
          <w:iCs/>
          <w:color w:val="000000"/>
        </w:rPr>
        <w:t>3. Aplicar las normas, políticas y disposiciones que regulan la remuneración que debe otorgarse a las personas servidoras públicas, de conformidad con las estructuras orgánicas, los tabuladores y los catálogos de puestos aprobados.</w:t>
      </w:r>
    </w:p>
    <w:p w:rsidR="00463429" w:rsidRPr="00890E7D" w:rsidRDefault="00463429" w:rsidP="00FA457A">
      <w:pPr>
        <w:tabs>
          <w:tab w:val="left" w:pos="9072"/>
        </w:tabs>
        <w:ind w:right="49"/>
        <w:contextualSpacing/>
        <w:jc w:val="both"/>
        <w:rPr>
          <w:rFonts w:ascii="Palatino Linotype" w:hAnsi="Palatino Linotype" w:cs="Palatino Linotype"/>
          <w:i/>
          <w:iCs/>
          <w:color w:val="000000"/>
        </w:rPr>
      </w:pPr>
      <w:r w:rsidRPr="00890E7D">
        <w:rPr>
          <w:rFonts w:ascii="Palatino Linotype" w:hAnsi="Palatino Linotype" w:cs="Palatino Linotype"/>
          <w:i/>
          <w:iCs/>
          <w:color w:val="000000"/>
        </w:rPr>
        <w:t>8. Instrumentar, en coordinación con la Dirección General de Recaudación de la Secretaría de Finanzas y con las coordinaciones y delegaciones administrativas o equivalentes, los mecanismos que conduzcan a la entrega oportuna de las percepciones a las personas servidoras públicas por la prestación de sus servicios.</w:t>
      </w:r>
    </w:p>
    <w:p w:rsidR="00463429" w:rsidRPr="00890E7D" w:rsidRDefault="00463429" w:rsidP="00966826">
      <w:pPr>
        <w:numPr>
          <w:ilvl w:val="0"/>
          <w:numId w:val="2"/>
        </w:numPr>
        <w:spacing w:line="360" w:lineRule="auto"/>
        <w:ind w:left="0" w:right="49" w:firstLine="0"/>
        <w:contextualSpacing/>
        <w:jc w:val="both"/>
        <w:rPr>
          <w:rFonts w:ascii="Palatino Linotype" w:hAnsi="Palatino Linotype"/>
          <w:color w:val="000000"/>
        </w:rPr>
      </w:pPr>
      <w:r w:rsidRPr="00890E7D">
        <w:rPr>
          <w:rFonts w:ascii="Palatino Linotype" w:hAnsi="Palatino Linotype" w:cs="Palatino Linotype"/>
          <w:color w:val="000000"/>
        </w:rPr>
        <w:lastRenderedPageBreak/>
        <w:t>En ambos casos se prevén las atribuciones para reglamentar desde la contratación de su personal, como el planificar, aplicar los pagos y descuentos a las nóminas y hacer entrega de las remuneraciones, se recalca a su personal. Por otro lado, se analizó el Anexo de Ejecución proporcionado por el solicitante, del cual se desprende que el objeto es dentro de sus posibilidades, la aportación de la SEP y del Gobierno del Estado de México al COBAEM, la aportación de cierta cantidad de dinero</w:t>
      </w:r>
      <w:r w:rsidRPr="00890E7D">
        <w:rPr>
          <w:rFonts w:ascii="Palatino Linotype" w:hAnsi="Palatino Linotype"/>
          <w:color w:val="000000"/>
        </w:rPr>
        <w:t xml:space="preserve">, en cuya cláusula cuarta, se desprende que el marco de actuación de la Secretaría de Finanzas, es como intermediario para la recepción del dinero de la SEP y la </w:t>
      </w:r>
      <w:r w:rsidRPr="00890E7D">
        <w:rPr>
          <w:rFonts w:ascii="Palatino Linotype" w:hAnsi="Palatino Linotype" w:cs="Palatino Linotype"/>
          <w:color w:val="000000"/>
        </w:rPr>
        <w:t>remisión</w:t>
      </w:r>
      <w:r w:rsidRPr="00890E7D">
        <w:rPr>
          <w:rFonts w:ascii="Palatino Linotype" w:hAnsi="Palatino Linotype"/>
          <w:color w:val="000000"/>
        </w:rPr>
        <w:t xml:space="preserve">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rsidR="00463429" w:rsidRPr="00890E7D" w:rsidRDefault="00463429" w:rsidP="00FA457A">
      <w:pPr>
        <w:tabs>
          <w:tab w:val="left" w:pos="9072"/>
        </w:tabs>
        <w:spacing w:line="360" w:lineRule="auto"/>
        <w:ind w:right="49"/>
        <w:contextualSpacing/>
        <w:jc w:val="both"/>
        <w:rPr>
          <w:rFonts w:ascii="Palatino Linotype" w:hAnsi="Palatino Linotype" w:cs="Palatino Linotype"/>
          <w:color w:val="000000"/>
        </w:rPr>
      </w:pPr>
    </w:p>
    <w:p w:rsidR="00463429" w:rsidRPr="00890E7D" w:rsidRDefault="00463429" w:rsidP="00966826">
      <w:pPr>
        <w:numPr>
          <w:ilvl w:val="0"/>
          <w:numId w:val="2"/>
        </w:numPr>
        <w:spacing w:line="360" w:lineRule="auto"/>
        <w:ind w:left="0" w:right="49" w:firstLine="0"/>
        <w:contextualSpacing/>
        <w:jc w:val="both"/>
        <w:rPr>
          <w:rFonts w:ascii="Palatino Linotype" w:hAnsi="Palatino Linotype" w:cs="Palatino Linotype"/>
          <w:color w:val="000000"/>
        </w:rPr>
      </w:pPr>
      <w:r w:rsidRPr="00890E7D">
        <w:rPr>
          <w:rFonts w:ascii="Palatino Linotype" w:hAnsi="Palatino Linotype" w:cs="Palatino Linotype"/>
          <w:color w:val="000000"/>
        </w:rPr>
        <w:t>Bajo esta clausulas y términos, el propio instrumento aportado por el Recurrente permite conocer que el Sujeto Obligado es incompetente para poseer la información correspondiente al monto individualizado, pues en su caso, conforme al mismo documento, quienes podrían tener la información, son el Colegio de Bachilleres del Estado de México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Colegio de Bachilleres del Estado de México, respecto a lo aportado por la SEP y por el Gobierno del Estado de México.</w:t>
      </w:r>
    </w:p>
    <w:p w:rsidR="00463429" w:rsidRPr="00890E7D" w:rsidRDefault="00463429" w:rsidP="00FA457A">
      <w:pPr>
        <w:tabs>
          <w:tab w:val="left" w:pos="9072"/>
        </w:tabs>
        <w:spacing w:line="360" w:lineRule="auto"/>
        <w:ind w:right="49"/>
        <w:contextualSpacing/>
        <w:jc w:val="both"/>
        <w:rPr>
          <w:rFonts w:ascii="Palatino Linotype" w:hAnsi="Palatino Linotype" w:cs="Palatino Linotype"/>
          <w:color w:val="000000"/>
        </w:rPr>
      </w:pPr>
    </w:p>
    <w:p w:rsidR="00463429" w:rsidRPr="00890E7D" w:rsidRDefault="00463429" w:rsidP="00966826">
      <w:pPr>
        <w:numPr>
          <w:ilvl w:val="0"/>
          <w:numId w:val="2"/>
        </w:numPr>
        <w:spacing w:line="360" w:lineRule="auto"/>
        <w:ind w:left="0" w:right="49" w:firstLine="0"/>
        <w:contextualSpacing/>
        <w:jc w:val="both"/>
        <w:rPr>
          <w:rFonts w:ascii="Palatino Linotype" w:eastAsia="Palatino Linotype" w:hAnsi="Palatino Linotype" w:cs="Palatino Linotype"/>
          <w:color w:val="000000"/>
        </w:rPr>
      </w:pPr>
      <w:r w:rsidRPr="00890E7D">
        <w:rPr>
          <w:rFonts w:ascii="Palatino Linotype" w:hAnsi="Palatino Linotype" w:cs="Palatino Linotype"/>
          <w:color w:val="000000"/>
        </w:rPr>
        <w:lastRenderedPageBreak/>
        <w:t xml:space="preserve">Por lo cual se concluye que existe una notoria incompetencia, </w:t>
      </w:r>
      <w:r w:rsidRPr="00890E7D">
        <w:rPr>
          <w:rFonts w:ascii="Palatino Linotype" w:eastAsia="Palatino Linotype" w:hAnsi="Palatino Linotype" w:cs="Palatino Linotype"/>
          <w:color w:val="000000"/>
        </w:rPr>
        <w:t xml:space="preserve">por lo que resulta dable traer a contexto lo dispuesto por el </w:t>
      </w:r>
      <w:r w:rsidRPr="00890E7D">
        <w:rPr>
          <w:rFonts w:ascii="Palatino Linotype" w:hAnsi="Palatino Linotype" w:cs="Palatino Linotype"/>
          <w:color w:val="000000"/>
        </w:rPr>
        <w:t>artículo</w:t>
      </w:r>
      <w:r w:rsidRPr="00890E7D">
        <w:rPr>
          <w:rFonts w:ascii="Palatino Linotype" w:eastAsia="Palatino Linotype" w:hAnsi="Palatino Linotype" w:cs="Palatino Linotype"/>
          <w:color w:val="000000"/>
        </w:rPr>
        <w:t xml:space="preserve"> 167 de la Ley de Transparencia y Acceso a la Información Pública del Estado de México y Municipios.</w:t>
      </w: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r w:rsidRPr="00890E7D">
        <w:rPr>
          <w:rFonts w:ascii="Palatino Linotype" w:eastAsia="Palatino Linotype" w:hAnsi="Palatino Linotype" w:cs="Palatino Linotype"/>
          <w:b/>
          <w:bCs/>
          <w:i/>
          <w:iCs/>
          <w:color w:val="000000"/>
        </w:rPr>
        <w:t>Artículo 167.</w:t>
      </w:r>
      <w:r w:rsidRPr="00890E7D">
        <w:rPr>
          <w:rFonts w:ascii="Palatino Linotype" w:eastAsia="Palatino Linotype" w:hAnsi="Palatino Linotype" w:cs="Palatino Linotype"/>
          <w:i/>
          <w:iCs/>
          <w:color w:val="000000"/>
        </w:rPr>
        <w:t xml:space="preserve"> Cuando las unidades de transparencia determinen la </w:t>
      </w:r>
      <w:r w:rsidRPr="00890E7D">
        <w:rPr>
          <w:rFonts w:ascii="Palatino Linotype" w:eastAsia="Palatino Linotype" w:hAnsi="Palatino Linotype" w:cs="Palatino Linotype"/>
          <w:i/>
          <w:iCs/>
          <w:color w:val="000000"/>
          <w:u w:val="single"/>
        </w:rPr>
        <w:t>notoria incompetencia</w:t>
      </w:r>
      <w:r w:rsidRPr="00890E7D">
        <w:rPr>
          <w:rFonts w:ascii="Palatino Linotype" w:eastAsia="Palatino Linotype" w:hAnsi="Palatino Linotype" w:cs="Palatino Linotype"/>
          <w:i/>
          <w:iCs/>
          <w:color w:val="000000"/>
        </w:rPr>
        <w:t xml:space="preserve"> por parte de los sujetos obligados, </w:t>
      </w:r>
      <w:r w:rsidRPr="00890E7D">
        <w:rPr>
          <w:rFonts w:ascii="Palatino Linotype" w:eastAsia="Palatino Linotype" w:hAnsi="Palatino Linotype" w:cs="Palatino Linotype"/>
          <w:i/>
          <w:iCs/>
          <w:color w:val="000000"/>
          <w:u w:val="single"/>
        </w:rPr>
        <w:t>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890E7D">
        <w:rPr>
          <w:rFonts w:ascii="Palatino Linotype" w:eastAsia="Palatino Linotype" w:hAnsi="Palatino Linotype" w:cs="Palatino Linotype"/>
          <w:i/>
          <w:iCs/>
          <w:color w:val="000000"/>
        </w:rPr>
        <w:t>.</w:t>
      </w: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r w:rsidRPr="00890E7D">
        <w:rPr>
          <w:rFonts w:ascii="Palatino Linotype" w:eastAsia="Palatino Linotype" w:hAnsi="Palatino Linotype" w:cs="Palatino Linotype"/>
          <w:i/>
          <w:iCs/>
          <w:color w:val="000000"/>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r w:rsidRPr="00890E7D">
        <w:rPr>
          <w:rFonts w:ascii="Palatino Linotype" w:eastAsia="Palatino Linotype" w:hAnsi="Palatino Linotype" w:cs="Palatino Linotype"/>
          <w:i/>
          <w:iCs/>
          <w:color w:val="000000"/>
        </w:rPr>
        <w:t>Si transcurrido el plazo señalado en el primer párrafo de este artículo, el sujeto obligado no declina la competencia en los términos establecidos, podrá canalizar la solicitud ante el sujeto obligado competente.</w:t>
      </w: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r w:rsidRPr="00890E7D">
        <w:rPr>
          <w:rFonts w:ascii="Palatino Linotype" w:eastAsia="Palatino Linotype" w:hAnsi="Palatino Linotype" w:cs="Palatino Linotype"/>
          <w:b/>
          <w:bCs/>
          <w:i/>
          <w:iCs/>
          <w:color w:val="000000"/>
        </w:rPr>
        <w:t>Artículo 49.</w:t>
      </w:r>
      <w:r w:rsidRPr="00890E7D">
        <w:rPr>
          <w:rFonts w:ascii="Palatino Linotype" w:eastAsia="Palatino Linotype" w:hAnsi="Palatino Linotype" w:cs="Palatino Linotype"/>
          <w:i/>
          <w:iCs/>
          <w:color w:val="000000"/>
        </w:rPr>
        <w:t xml:space="preserve"> Los Comités de Transparencia tendrán las siguientes atribuciones:</w:t>
      </w: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i/>
          <w:iCs/>
          <w:color w:val="000000"/>
        </w:rPr>
      </w:pPr>
      <w:r w:rsidRPr="00890E7D">
        <w:rPr>
          <w:rFonts w:ascii="Palatino Linotype" w:eastAsia="Palatino Linotype" w:hAnsi="Palatino Linotype" w:cs="Palatino Linotype"/>
          <w:b/>
          <w:bCs/>
          <w:i/>
          <w:iCs/>
          <w:color w:val="000000"/>
        </w:rPr>
        <w:t>II.</w:t>
      </w:r>
      <w:r w:rsidRPr="00890E7D">
        <w:rPr>
          <w:rFonts w:ascii="Palatino Linotype" w:eastAsia="Palatino Linotype" w:hAnsi="Palatino Linotype" w:cs="Palatino Linotype"/>
          <w:i/>
          <w:iCs/>
          <w:color w:val="000000"/>
        </w:rPr>
        <w:t xml:space="preserve"> Confirmar, modificar o revocar las determinaciones que en materia de ampliación del plazo de respuesta, clasificación de la información y </w:t>
      </w:r>
      <w:r w:rsidRPr="00890E7D">
        <w:rPr>
          <w:rFonts w:ascii="Palatino Linotype" w:eastAsia="Palatino Linotype" w:hAnsi="Palatino Linotype" w:cs="Palatino Linotype"/>
          <w:i/>
          <w:iCs/>
          <w:color w:val="000000"/>
          <w:u w:val="single"/>
        </w:rPr>
        <w:t>declaración de inexistencia o de incompetencia realicen los titulares de las áreas de los sujetos obligados</w:t>
      </w:r>
      <w:r w:rsidRPr="00890E7D">
        <w:rPr>
          <w:rFonts w:ascii="Palatino Linotype" w:eastAsia="Palatino Linotype" w:hAnsi="Palatino Linotype" w:cs="Palatino Linotype"/>
          <w:i/>
          <w:iCs/>
          <w:color w:val="000000"/>
        </w:rPr>
        <w:t>; (…)</w:t>
      </w:r>
    </w:p>
    <w:p w:rsidR="00463429" w:rsidRPr="00890E7D" w:rsidRDefault="00463429" w:rsidP="00FA457A">
      <w:pPr>
        <w:pBdr>
          <w:top w:val="nil"/>
          <w:left w:val="nil"/>
          <w:bottom w:val="nil"/>
          <w:right w:val="nil"/>
          <w:between w:val="nil"/>
        </w:pBdr>
        <w:tabs>
          <w:tab w:val="left" w:pos="9072"/>
        </w:tabs>
        <w:ind w:right="49"/>
        <w:contextualSpacing/>
        <w:jc w:val="both"/>
        <w:rPr>
          <w:rFonts w:ascii="Palatino Linotype" w:eastAsia="Palatino Linotype" w:hAnsi="Palatino Linotype" w:cs="Palatino Linotype"/>
          <w:color w:val="000000"/>
        </w:rPr>
      </w:pPr>
    </w:p>
    <w:p w:rsidR="00132C1B" w:rsidRPr="00132C1B" w:rsidRDefault="00463429" w:rsidP="00132C1B">
      <w:pPr>
        <w:numPr>
          <w:ilvl w:val="0"/>
          <w:numId w:val="2"/>
        </w:numPr>
        <w:spacing w:line="360" w:lineRule="auto"/>
        <w:ind w:left="0" w:right="49" w:firstLine="0"/>
        <w:contextualSpacing/>
        <w:jc w:val="both"/>
        <w:rPr>
          <w:rFonts w:ascii="Palatino Linotype" w:eastAsia="Palatino Linotype" w:hAnsi="Palatino Linotype" w:cs="Palatino Linotype"/>
          <w:lang w:val="es-ES"/>
        </w:rPr>
      </w:pPr>
      <w:r w:rsidRPr="00890E7D">
        <w:rPr>
          <w:rFonts w:ascii="Palatino Linotype" w:eastAsia="Palatino Linotype" w:hAnsi="Palatino Linotype" w:cs="Palatino Linotype"/>
          <w:lang w:val="es-ES"/>
        </w:rPr>
        <w:t xml:space="preserve">Como advierte, la Ley de la materia, prevé el supuesto de incompetencia para que los Sujetos Obligados den atención a las solicitudes de información, </w:t>
      </w:r>
      <w:r w:rsidRPr="00890E7D">
        <w:rPr>
          <w:rFonts w:ascii="Palatino Linotype" w:hAnsi="Palatino Linotype" w:cs="Palatino Linotype"/>
          <w:color w:val="000000"/>
        </w:rPr>
        <w:t>también</w:t>
      </w:r>
      <w:r w:rsidRPr="00890E7D">
        <w:rPr>
          <w:rFonts w:ascii="Palatino Linotype" w:eastAsia="Palatino Linotype" w:hAnsi="Palatino Linotype" w:cs="Palatino Linotype"/>
          <w:lang w:val="es-ES"/>
        </w:rPr>
        <w:t xml:space="preserve"> lo es, que no se precisa en que consiste dicho concepto; sobre dicha situación, según Cabanellas, Guillermo (1993), en el “Diccionario Jurídico Elemental” (p. 32 y 161), precisó los siguientes conceptos:</w:t>
      </w:r>
    </w:p>
    <w:p w:rsidR="00463429" w:rsidRPr="00132C1B" w:rsidRDefault="00463429" w:rsidP="00132C1B">
      <w:pPr>
        <w:pStyle w:val="Prrafodelista"/>
        <w:numPr>
          <w:ilvl w:val="0"/>
          <w:numId w:val="7"/>
        </w:numPr>
        <w:tabs>
          <w:tab w:val="left" w:pos="9072"/>
        </w:tabs>
        <w:spacing w:line="360" w:lineRule="auto"/>
        <w:ind w:right="49"/>
        <w:jc w:val="both"/>
        <w:rPr>
          <w:rFonts w:ascii="Palatino Linotype" w:eastAsia="Palatino Linotype" w:hAnsi="Palatino Linotype" w:cs="Palatino Linotype"/>
          <w:lang w:val="es-ES"/>
        </w:rPr>
      </w:pPr>
      <w:r w:rsidRPr="00132C1B">
        <w:rPr>
          <w:rFonts w:ascii="Palatino Linotype" w:eastAsia="Palatino Linotype" w:hAnsi="Palatino Linotype" w:cs="Palatino Linotype"/>
          <w:b/>
          <w:lang w:val="es-ES"/>
        </w:rPr>
        <w:t xml:space="preserve">Competencia: </w:t>
      </w:r>
      <w:r w:rsidRPr="00132C1B">
        <w:rPr>
          <w:rFonts w:ascii="Palatino Linotype" w:eastAsia="Palatino Linotype" w:hAnsi="Palatino Linotype" w:cs="Palatino Linotype"/>
          <w:lang w:val="es-ES"/>
        </w:rPr>
        <w:t>La capacidad de una autoridad para conocer sobre una materia o asunto.</w:t>
      </w:r>
    </w:p>
    <w:p w:rsidR="00463429" w:rsidRPr="00132C1B" w:rsidRDefault="00463429" w:rsidP="00132C1B">
      <w:pPr>
        <w:pStyle w:val="Prrafodelista"/>
        <w:numPr>
          <w:ilvl w:val="0"/>
          <w:numId w:val="7"/>
        </w:numPr>
        <w:tabs>
          <w:tab w:val="left" w:pos="9072"/>
        </w:tabs>
        <w:spacing w:line="360" w:lineRule="auto"/>
        <w:ind w:right="49"/>
        <w:jc w:val="both"/>
        <w:rPr>
          <w:rFonts w:ascii="Palatino Linotype" w:eastAsia="Palatino Linotype" w:hAnsi="Palatino Linotype" w:cs="Palatino Linotype"/>
          <w:lang w:val="es-ES"/>
        </w:rPr>
      </w:pPr>
      <w:r w:rsidRPr="00132C1B">
        <w:rPr>
          <w:rFonts w:ascii="Palatino Linotype" w:eastAsia="Palatino Linotype" w:hAnsi="Palatino Linotype" w:cs="Palatino Linotype"/>
          <w:b/>
          <w:lang w:val="es-ES"/>
        </w:rPr>
        <w:t>Incompetencia:</w:t>
      </w:r>
      <w:r w:rsidRPr="00132C1B">
        <w:rPr>
          <w:rFonts w:ascii="Palatino Linotype" w:eastAsia="Palatino Linotype" w:hAnsi="Palatino Linotype" w:cs="Palatino Linotype"/>
          <w:lang w:val="es-ES"/>
        </w:rPr>
        <w:t xml:space="preserve"> Falta de Competencia.</w:t>
      </w:r>
    </w:p>
    <w:p w:rsidR="00463429" w:rsidRPr="00890E7D" w:rsidRDefault="00463429" w:rsidP="00FA457A">
      <w:pPr>
        <w:tabs>
          <w:tab w:val="left" w:pos="9072"/>
        </w:tabs>
        <w:spacing w:line="360" w:lineRule="auto"/>
        <w:ind w:right="49"/>
        <w:jc w:val="both"/>
        <w:rPr>
          <w:rFonts w:ascii="Palatino Linotype" w:eastAsia="Palatino Linotype" w:hAnsi="Palatino Linotype" w:cs="Palatino Linotype"/>
          <w:lang w:val="es-ES"/>
        </w:rPr>
      </w:pPr>
    </w:p>
    <w:p w:rsidR="00463429" w:rsidRPr="00890E7D" w:rsidRDefault="00463429" w:rsidP="00966826">
      <w:pPr>
        <w:numPr>
          <w:ilvl w:val="0"/>
          <w:numId w:val="2"/>
        </w:numPr>
        <w:spacing w:line="360" w:lineRule="auto"/>
        <w:ind w:left="0" w:right="49" w:firstLine="0"/>
        <w:jc w:val="both"/>
        <w:rPr>
          <w:rFonts w:ascii="Palatino Linotype" w:hAnsi="Palatino Linotype" w:cs="Arial"/>
        </w:rPr>
      </w:pPr>
      <w:r w:rsidRPr="00890E7D">
        <w:rPr>
          <w:rFonts w:ascii="Palatino Linotype" w:eastAsia="Palatino Linotype" w:hAnsi="Palatino Linotype" w:cs="Palatino Linotype"/>
          <w:lang w:val="es-ES"/>
        </w:rPr>
        <w:lastRenderedPageBreak/>
        <w:t xml:space="preserve">Luego entonces, la incompetencia radica en la incapacidad de una autoridad para conocer de un tema o asunto. Así el propio primer párrafo del artículo 167, prevé que para que la notoria incompetencia tenga validez se requiere manifestarse dentro de los tres hábiles días posteriores a la recepción de la solicitud, cuestión que si bien en el caso concreto no sucedió como quedó descrito en el apartado de antecedentes del presente proveído; no obstante </w:t>
      </w:r>
      <w:r w:rsidRPr="00890E7D">
        <w:rPr>
          <w:rFonts w:ascii="Palatino Linotype" w:hAnsi="Palatino Linotype"/>
        </w:rPr>
        <w:t>ha sido criterio del Pleno de este Instituto que ante una notoria incompetencia no comunicada en el plazo de referencia, resulta innecesario ordenar un nuevo acuerdo adicional al remitido en respuesta, que vuelva confirmar la incompetencia, misma que al ser notoria ya le ha sido confirmada al solicitante a través de la presente Resolución. Atento a lo anterior se tiene por válida la declaratoria de incompetencia, dejando a salvo los derechos del titular de los datos para interponer nuevas solicitudes de acceso a datos personales ante los sujetos obligados que a sus intereses convenga.</w:t>
      </w:r>
    </w:p>
    <w:p w:rsidR="00463429" w:rsidRPr="00890E7D" w:rsidRDefault="00463429" w:rsidP="00FA457A">
      <w:pPr>
        <w:tabs>
          <w:tab w:val="left" w:pos="9072"/>
        </w:tabs>
        <w:spacing w:line="360" w:lineRule="auto"/>
        <w:ind w:right="49"/>
        <w:jc w:val="both"/>
        <w:rPr>
          <w:rFonts w:ascii="Palatino Linotype" w:hAnsi="Palatino Linotype" w:cs="Arial"/>
        </w:rPr>
      </w:pPr>
    </w:p>
    <w:p w:rsidR="00463429" w:rsidRPr="00890E7D" w:rsidRDefault="00423B59" w:rsidP="00966826">
      <w:pPr>
        <w:numPr>
          <w:ilvl w:val="0"/>
          <w:numId w:val="2"/>
        </w:numPr>
        <w:spacing w:line="360" w:lineRule="auto"/>
        <w:ind w:left="0" w:right="49" w:firstLine="0"/>
        <w:jc w:val="both"/>
        <w:rPr>
          <w:rFonts w:ascii="Palatino Linotype" w:hAnsi="Palatino Linotype" w:cs="Arial"/>
          <w:lang w:val="es-ES"/>
        </w:rPr>
      </w:pPr>
      <w:r w:rsidRPr="00890E7D">
        <w:rPr>
          <w:rFonts w:ascii="Palatino Linotype" w:hAnsi="Palatino Linotype" w:cs="Arial"/>
          <w:lang w:val="es-ES"/>
        </w:rPr>
        <w:t>Seguidamente</w:t>
      </w:r>
      <w:r w:rsidR="00463429" w:rsidRPr="00890E7D">
        <w:rPr>
          <w:rFonts w:ascii="Palatino Linotype" w:hAnsi="Palatino Linotype" w:cs="Arial"/>
          <w:lang w:val="es-ES"/>
        </w:rPr>
        <w:t xml:space="preserve">, se reitera </w:t>
      </w:r>
      <w:r w:rsidRPr="00890E7D">
        <w:rPr>
          <w:rFonts w:ascii="Palatino Linotype" w:hAnsi="Palatino Linotype" w:cs="Arial"/>
          <w:lang w:val="es-ES"/>
        </w:rPr>
        <w:t xml:space="preserve">que </w:t>
      </w:r>
      <w:r w:rsidR="00463429" w:rsidRPr="00890E7D">
        <w:rPr>
          <w:rFonts w:ascii="Palatino Linotype" w:hAnsi="Palatino Linotype" w:cs="Arial"/>
          <w:lang w:val="es-ES"/>
        </w:rPr>
        <w:t>se tiene por acreditado que el</w:t>
      </w:r>
      <w:r w:rsidR="00463429" w:rsidRPr="00890E7D">
        <w:rPr>
          <w:rFonts w:ascii="Palatino Linotype" w:hAnsi="Palatino Linotype" w:cs="Arial"/>
          <w:b/>
          <w:lang w:val="es-ES"/>
        </w:rPr>
        <w:t xml:space="preserve"> SUJETO OBLIGADO</w:t>
      </w:r>
      <w:r w:rsidR="00463429" w:rsidRPr="00890E7D">
        <w:rPr>
          <w:rFonts w:ascii="Palatino Linotype" w:hAnsi="Palatino Linotype" w:cs="Arial"/>
          <w:lang w:val="es-ES"/>
        </w:rPr>
        <w:t xml:space="preserve"> ajustó su actuar </w:t>
      </w:r>
      <w:r w:rsidR="00463429" w:rsidRPr="00890E7D">
        <w:rPr>
          <w:rFonts w:ascii="Palatino Linotype" w:eastAsiaTheme="minorHAnsi" w:hAnsi="Palatino Linotype" w:cs="Arial"/>
          <w:bCs/>
          <w:lang w:val="es-MX" w:eastAsia="es-MX"/>
        </w:rPr>
        <w:t>conforme</w:t>
      </w:r>
      <w:r w:rsidR="00463429" w:rsidRPr="00890E7D">
        <w:rPr>
          <w:rFonts w:ascii="Palatino Linotype" w:hAnsi="Palatino Linotype" w:cs="Arial"/>
          <w:lang w:val="es-ES"/>
        </w:rPr>
        <w:t xml:space="preserve"> a derecho, ello al determinar su notoria incompetencia en observancia del artículo 167 primer párrafo de la Ley de Transparencia local, por lo que con base en las consideraciones de hecho y de derecho expuestas anteriormente, lo dable es confirmar la respuesta emitida por la </w:t>
      </w:r>
      <w:r w:rsidR="00463429" w:rsidRPr="00890E7D">
        <w:rPr>
          <w:rFonts w:ascii="Palatino Linotype" w:hAnsi="Palatino Linotype" w:cs="Arial"/>
          <w:b/>
          <w:lang w:val="es-ES"/>
        </w:rPr>
        <w:t>Secretaría de Finanzas.</w:t>
      </w:r>
    </w:p>
    <w:p w:rsidR="00463429" w:rsidRPr="00890E7D" w:rsidRDefault="00463429" w:rsidP="00FA457A">
      <w:pPr>
        <w:tabs>
          <w:tab w:val="left" w:pos="7938"/>
          <w:tab w:val="left" w:pos="9072"/>
        </w:tabs>
        <w:spacing w:line="360" w:lineRule="auto"/>
        <w:ind w:right="49"/>
        <w:jc w:val="both"/>
        <w:rPr>
          <w:rFonts w:ascii="Palatino Linotype" w:hAnsi="Palatino Linotype" w:cs="Arial"/>
          <w:lang w:val="es-ES"/>
        </w:rPr>
      </w:pPr>
    </w:p>
    <w:p w:rsidR="00463429" w:rsidRPr="00890E7D" w:rsidRDefault="00463429" w:rsidP="00966826">
      <w:pPr>
        <w:numPr>
          <w:ilvl w:val="0"/>
          <w:numId w:val="2"/>
        </w:numPr>
        <w:spacing w:line="360" w:lineRule="auto"/>
        <w:ind w:left="0" w:right="49" w:firstLine="0"/>
        <w:jc w:val="both"/>
        <w:rPr>
          <w:rFonts w:ascii="Palatino Linotype" w:eastAsiaTheme="minorHAnsi" w:hAnsi="Palatino Linotype" w:cs="Arial"/>
          <w:lang w:eastAsia="en-US"/>
        </w:rPr>
      </w:pPr>
      <w:r w:rsidRPr="00890E7D">
        <w:rPr>
          <w:rFonts w:ascii="Palatino Linotype" w:eastAsiaTheme="minorHAnsi" w:hAnsi="Palatino Linotype" w:cs="Arial"/>
          <w:lang w:eastAsia="en-US"/>
        </w:rPr>
        <w:t>En mérito de lo ya expuesto, las razones o motivos de inconformidad devienen infundadas, toda vez que conforme al estudio realizado el</w:t>
      </w:r>
      <w:r w:rsidRPr="00890E7D">
        <w:rPr>
          <w:rFonts w:ascii="Palatino Linotype" w:eastAsiaTheme="minorHAnsi" w:hAnsi="Palatino Linotype" w:cs="Arial"/>
          <w:b/>
          <w:lang w:eastAsia="en-US"/>
        </w:rPr>
        <w:t xml:space="preserve"> SUJETO OBLIGADO</w:t>
      </w:r>
      <w:r w:rsidRPr="00890E7D">
        <w:rPr>
          <w:rFonts w:ascii="Palatino Linotype" w:eastAsiaTheme="minorHAnsi" w:hAnsi="Palatino Linotype" w:cs="Arial"/>
          <w:lang w:eastAsia="en-US"/>
        </w:rPr>
        <w:t xml:space="preserve"> no genera, posee o administra la información con la cual se pudiera colmar el derecho de acceso a la información de la particular, por lo que no se actualiza ninguna de las hipótesis previstas en el artículo 179 de la </w:t>
      </w:r>
      <w:r w:rsidRPr="00890E7D">
        <w:rPr>
          <w:rFonts w:ascii="Palatino Linotype" w:eastAsiaTheme="minorHAnsi" w:hAnsi="Palatino Linotype" w:cs="Arial"/>
        </w:rPr>
        <w:t xml:space="preserve">Ley de Transparencia y Acceso a la Información Pública del Estado </w:t>
      </w:r>
      <w:r w:rsidRPr="00890E7D">
        <w:rPr>
          <w:rFonts w:ascii="Palatino Linotype" w:eastAsiaTheme="minorHAnsi" w:hAnsi="Palatino Linotype" w:cs="Arial"/>
        </w:rPr>
        <w:lastRenderedPageBreak/>
        <w:t xml:space="preserve">de México y Municipios, </w:t>
      </w:r>
      <w:r w:rsidRPr="00890E7D">
        <w:rPr>
          <w:rFonts w:ascii="Palatino Linotype" w:eastAsiaTheme="minorHAnsi" w:hAnsi="Palatino Linotype" w:cs="Arial"/>
          <w:lang w:eastAsia="en-US"/>
        </w:rPr>
        <w:t>en consecuencia el Pleno de este Instituto determina confirmar la respuesta emitida.</w:t>
      </w:r>
    </w:p>
    <w:p w:rsidR="00463429" w:rsidRPr="00890E7D" w:rsidRDefault="00463429" w:rsidP="00FA457A">
      <w:pPr>
        <w:tabs>
          <w:tab w:val="left" w:pos="9072"/>
        </w:tabs>
        <w:autoSpaceDE w:val="0"/>
        <w:autoSpaceDN w:val="0"/>
        <w:adjustRightInd w:val="0"/>
        <w:spacing w:line="360" w:lineRule="auto"/>
        <w:ind w:right="49"/>
        <w:jc w:val="both"/>
        <w:rPr>
          <w:rFonts w:ascii="Palatino Linotype" w:eastAsiaTheme="minorHAnsi" w:hAnsi="Palatino Linotype" w:cs="Arial"/>
          <w:lang w:eastAsia="en-US"/>
        </w:rPr>
      </w:pPr>
    </w:p>
    <w:p w:rsidR="00463429" w:rsidRPr="00890E7D" w:rsidRDefault="00463429" w:rsidP="00966826">
      <w:pPr>
        <w:numPr>
          <w:ilvl w:val="0"/>
          <w:numId w:val="2"/>
        </w:numPr>
        <w:spacing w:line="360" w:lineRule="auto"/>
        <w:ind w:left="0" w:right="49" w:firstLine="0"/>
        <w:jc w:val="both"/>
        <w:rPr>
          <w:rFonts w:ascii="Palatino Linotype" w:eastAsia="Palatino Linotype" w:hAnsi="Palatino Linotype" w:cs="Palatino Linotype"/>
        </w:rPr>
      </w:pPr>
      <w:r w:rsidRPr="00890E7D">
        <w:rPr>
          <w:rFonts w:ascii="Palatino Linotype" w:eastAsia="Palatino Linotype" w:hAnsi="Palatino Linotype" w:cs="Palatino Linotype"/>
          <w:color w:val="222222"/>
        </w:rPr>
        <w:t xml:space="preserve">Por lo </w:t>
      </w:r>
      <w:r w:rsidRPr="00890E7D">
        <w:rPr>
          <w:rFonts w:ascii="Palatino Linotype" w:eastAsiaTheme="minorHAnsi" w:hAnsi="Palatino Linotype" w:cs="Arial"/>
          <w:lang w:eastAsia="en-US"/>
        </w:rPr>
        <w:t>anteriormente</w:t>
      </w:r>
      <w:r w:rsidRPr="00890E7D">
        <w:rPr>
          <w:rFonts w:ascii="Palatino Linotype" w:eastAsia="Palatino Linotype" w:hAnsi="Palatino Linotype" w:cs="Palatino Linotype"/>
          <w:color w:val="222222"/>
        </w:rPr>
        <w:t xml:space="preserve"> expuesto y fundado, este </w:t>
      </w:r>
      <w:r w:rsidRPr="00890E7D">
        <w:rPr>
          <w:rFonts w:ascii="Palatino Linotype" w:eastAsia="Palatino Linotype" w:hAnsi="Palatino Linotype" w:cs="Palatino Linotype"/>
          <w:b/>
          <w:color w:val="222222"/>
        </w:rPr>
        <w:t>ÓRGANO GARANTE</w:t>
      </w:r>
      <w:r w:rsidRPr="00890E7D">
        <w:rPr>
          <w:rFonts w:ascii="Palatino Linotype" w:eastAsia="Palatino Linotype" w:hAnsi="Palatino Linotype" w:cs="Palatino Linotype"/>
          <w:color w:val="222222"/>
        </w:rPr>
        <w:t xml:space="preserve"> emite los siguientes:</w:t>
      </w:r>
    </w:p>
    <w:p w:rsidR="00463429" w:rsidRPr="00890E7D" w:rsidRDefault="00463429" w:rsidP="00FA457A">
      <w:pPr>
        <w:keepNext/>
        <w:keepLines/>
        <w:tabs>
          <w:tab w:val="left" w:pos="9072"/>
        </w:tabs>
        <w:spacing w:line="360" w:lineRule="auto"/>
        <w:ind w:right="49"/>
        <w:jc w:val="center"/>
        <w:rPr>
          <w:rFonts w:ascii="Palatino Linotype" w:eastAsia="Palatino Linotype" w:hAnsi="Palatino Linotype" w:cs="Palatino Linotype"/>
          <w:b/>
          <w:color w:val="000000"/>
        </w:rPr>
      </w:pPr>
      <w:r w:rsidRPr="00890E7D">
        <w:rPr>
          <w:rFonts w:ascii="Palatino Linotype" w:eastAsia="Palatino Linotype" w:hAnsi="Palatino Linotype" w:cs="Palatino Linotype"/>
          <w:b/>
          <w:color w:val="000000"/>
        </w:rPr>
        <w:t>R E S O L U T I V O S</w:t>
      </w:r>
    </w:p>
    <w:p w:rsidR="00463429" w:rsidRPr="00890E7D" w:rsidRDefault="00463429" w:rsidP="00FA457A">
      <w:pPr>
        <w:keepNext/>
        <w:keepLines/>
        <w:tabs>
          <w:tab w:val="left" w:pos="9072"/>
        </w:tabs>
        <w:spacing w:line="360" w:lineRule="auto"/>
        <w:ind w:right="49"/>
        <w:jc w:val="center"/>
        <w:rPr>
          <w:rFonts w:ascii="Palatino Linotype" w:eastAsia="Palatino Linotype" w:hAnsi="Palatino Linotype" w:cs="Palatino Linotype"/>
          <w:b/>
          <w:color w:val="000000"/>
        </w:rPr>
      </w:pPr>
    </w:p>
    <w:p w:rsidR="00463429" w:rsidRPr="00890E7D" w:rsidRDefault="00463429" w:rsidP="00FA457A">
      <w:pPr>
        <w:tabs>
          <w:tab w:val="left" w:pos="8080"/>
          <w:tab w:val="left" w:pos="9072"/>
        </w:tabs>
        <w:spacing w:line="360" w:lineRule="auto"/>
        <w:ind w:right="49"/>
        <w:jc w:val="both"/>
        <w:rPr>
          <w:rFonts w:ascii="Palatino Linotype" w:eastAsia="Times New Roman" w:hAnsi="Palatino Linotype" w:cs="Arial"/>
          <w:bCs/>
        </w:rPr>
      </w:pPr>
      <w:bookmarkStart w:id="7" w:name="_heading=h.17dp8vu" w:colFirst="0" w:colLast="0"/>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bookmarkStart w:id="16" w:name="_Toc511647758"/>
      <w:bookmarkStart w:id="17" w:name="_Toc511647819"/>
      <w:bookmarkEnd w:id="7"/>
      <w:r w:rsidRPr="00890E7D">
        <w:rPr>
          <w:rFonts w:ascii="Palatino Linotype" w:eastAsia="Times New Roman" w:hAnsi="Palatino Linotype" w:cs="Arial"/>
          <w:b/>
          <w:bCs/>
        </w:rPr>
        <w:t>PRIMERO</w:t>
      </w:r>
      <w:r w:rsidRPr="00890E7D">
        <w:rPr>
          <w:rFonts w:ascii="Palatino Linotype" w:eastAsia="Times New Roman" w:hAnsi="Palatino Linotype" w:cs="Arial"/>
        </w:rPr>
        <w:t xml:space="preserve">. Resultan infundadas las </w:t>
      </w:r>
      <w:r w:rsidRPr="00890E7D">
        <w:rPr>
          <w:rFonts w:ascii="Palatino Linotype" w:eastAsia="Times New Roman" w:hAnsi="Palatino Linotype" w:cs="Arial"/>
          <w:lang w:val="es-ES"/>
        </w:rPr>
        <w:t xml:space="preserve">razones o motivos de inconformidad hechos valer en los Recursos de Revisión </w:t>
      </w:r>
      <w:r w:rsidRPr="00890E7D">
        <w:rPr>
          <w:rFonts w:ascii="Palatino Linotype" w:eastAsia="Times New Roman" w:hAnsi="Palatino Linotype" w:cs="Arial"/>
          <w:b/>
          <w:bCs/>
        </w:rPr>
        <w:t xml:space="preserve">02363/INFOEM/IP/RR/2025, </w:t>
      </w:r>
      <w:r w:rsidRPr="00890E7D">
        <w:rPr>
          <w:rFonts w:ascii="Palatino Linotype" w:eastAsia="Times New Roman" w:hAnsi="Palatino Linotype" w:cs="Arial"/>
          <w:bCs/>
        </w:rPr>
        <w:t xml:space="preserve">en términos del Considerando </w:t>
      </w:r>
      <w:r w:rsidRPr="00890E7D">
        <w:rPr>
          <w:rFonts w:ascii="Palatino Linotype" w:eastAsia="Times New Roman" w:hAnsi="Palatino Linotype" w:cs="Arial"/>
          <w:b/>
          <w:bCs/>
        </w:rPr>
        <w:t>QUINTO</w:t>
      </w:r>
      <w:r w:rsidRPr="00890E7D">
        <w:rPr>
          <w:rFonts w:ascii="Palatino Linotype" w:eastAsia="Times New Roman" w:hAnsi="Palatino Linotype" w:cs="Arial"/>
          <w:bCs/>
        </w:rPr>
        <w:t xml:space="preserve"> de la presente Resolución.</w:t>
      </w:r>
    </w:p>
    <w:p w:rsidR="00463429" w:rsidRPr="00890E7D" w:rsidRDefault="00463429" w:rsidP="00FA457A">
      <w:pPr>
        <w:tabs>
          <w:tab w:val="left" w:pos="8080"/>
          <w:tab w:val="left" w:pos="9072"/>
        </w:tabs>
        <w:spacing w:line="360" w:lineRule="auto"/>
        <w:ind w:right="49"/>
        <w:jc w:val="both"/>
        <w:rPr>
          <w:rFonts w:ascii="Palatino Linotype" w:eastAsia="Times New Roman" w:hAnsi="Palatino Linotype" w:cs="Arial"/>
          <w:bCs/>
        </w:rPr>
      </w:pPr>
    </w:p>
    <w:p w:rsidR="00463429" w:rsidRPr="00890E7D" w:rsidRDefault="00463429" w:rsidP="00FA457A">
      <w:pPr>
        <w:tabs>
          <w:tab w:val="left" w:pos="8080"/>
          <w:tab w:val="left" w:pos="9072"/>
        </w:tabs>
        <w:spacing w:line="360" w:lineRule="auto"/>
        <w:ind w:right="49"/>
        <w:jc w:val="both"/>
        <w:rPr>
          <w:rFonts w:ascii="Palatino Linotype" w:eastAsia="Times New Roman" w:hAnsi="Palatino Linotype" w:cs="Arial"/>
          <w:b/>
          <w:bCs/>
        </w:rPr>
      </w:pPr>
      <w:r w:rsidRPr="00890E7D">
        <w:rPr>
          <w:rFonts w:ascii="Palatino Linotype" w:eastAsia="Times New Roman" w:hAnsi="Palatino Linotype" w:cs="Arial"/>
          <w:b/>
        </w:rPr>
        <w:t>SEGUNDO</w:t>
      </w:r>
      <w:r w:rsidRPr="00890E7D">
        <w:rPr>
          <w:rFonts w:ascii="Palatino Linotype" w:eastAsia="Times New Roman" w:hAnsi="Palatino Linotype" w:cs="Arial"/>
        </w:rPr>
        <w:t xml:space="preserve">. </w:t>
      </w:r>
      <w:r w:rsidRPr="00890E7D">
        <w:rPr>
          <w:rFonts w:ascii="Palatino Linotype" w:eastAsia="Times New Roman" w:hAnsi="Palatino Linotype" w:cs="Arial"/>
          <w:lang w:val="es-ES"/>
        </w:rPr>
        <w:t xml:space="preserve">Se </w:t>
      </w:r>
      <w:r w:rsidRPr="00890E7D">
        <w:rPr>
          <w:rFonts w:ascii="Palatino Linotype" w:eastAsia="Times New Roman" w:hAnsi="Palatino Linotype" w:cs="Arial"/>
          <w:b/>
          <w:lang w:val="es-ES"/>
        </w:rPr>
        <w:t>CONFIRMA</w:t>
      </w:r>
      <w:r w:rsidRPr="00890E7D">
        <w:rPr>
          <w:rFonts w:ascii="Palatino Linotype" w:eastAsia="Times New Roman" w:hAnsi="Palatino Linotype" w:cs="Arial"/>
          <w:lang w:val="es-ES"/>
        </w:rPr>
        <w:t xml:space="preserve"> la respuesta emitida por la </w:t>
      </w:r>
      <w:r w:rsidRPr="00890E7D">
        <w:rPr>
          <w:rFonts w:ascii="Palatino Linotype" w:eastAsia="Palatino Linotype" w:hAnsi="Palatino Linotype" w:cs="Palatino Linotype"/>
          <w:color w:val="000000"/>
        </w:rPr>
        <w:t>Secretaría de Finanzas</w:t>
      </w:r>
      <w:r w:rsidRPr="00890E7D">
        <w:rPr>
          <w:rFonts w:ascii="Palatino Linotype" w:eastAsia="Times New Roman" w:hAnsi="Palatino Linotype" w:cs="Arial"/>
          <w:b/>
          <w:lang w:val="es-ES"/>
        </w:rPr>
        <w:t xml:space="preserve">, </w:t>
      </w:r>
      <w:r w:rsidRPr="00890E7D">
        <w:rPr>
          <w:rFonts w:ascii="Palatino Linotype" w:eastAsia="Times New Roman" w:hAnsi="Palatino Linotype" w:cs="Arial"/>
          <w:lang w:val="es-ES"/>
        </w:rPr>
        <w:t>en la Solicitud de Información</w:t>
      </w:r>
      <w:r w:rsidRPr="00890E7D">
        <w:rPr>
          <w:rFonts w:ascii="Palatino Linotype" w:hAnsi="Palatino Linotype"/>
        </w:rPr>
        <w:t xml:space="preserve"> </w:t>
      </w:r>
      <w:r w:rsidRPr="00890E7D">
        <w:rPr>
          <w:rFonts w:ascii="Palatino Linotype" w:eastAsia="Times New Roman" w:hAnsi="Palatino Linotype" w:cs="Arial"/>
          <w:b/>
          <w:lang w:val="es-ES"/>
        </w:rPr>
        <w:t>00188/SF/IP/2025</w:t>
      </w:r>
      <w:r w:rsidRPr="00890E7D">
        <w:rPr>
          <w:rFonts w:ascii="Palatino Linotype" w:eastAsia="Times New Roman" w:hAnsi="Palatino Linotype" w:cs="Arial"/>
          <w:b/>
          <w:bCs/>
        </w:rPr>
        <w:t>.</w:t>
      </w:r>
    </w:p>
    <w:p w:rsidR="00463429" w:rsidRPr="00890E7D" w:rsidRDefault="00463429" w:rsidP="00FA457A">
      <w:pPr>
        <w:tabs>
          <w:tab w:val="left" w:pos="8080"/>
          <w:tab w:val="left" w:pos="9072"/>
        </w:tabs>
        <w:spacing w:line="360" w:lineRule="auto"/>
        <w:ind w:right="49"/>
        <w:jc w:val="both"/>
        <w:rPr>
          <w:rFonts w:ascii="Palatino Linotype" w:eastAsia="Times New Roman" w:hAnsi="Palatino Linotype" w:cs="Arial"/>
          <w:b/>
          <w:bCs/>
        </w:rPr>
      </w:pPr>
    </w:p>
    <w:p w:rsidR="00463429" w:rsidRPr="00890E7D" w:rsidRDefault="00463429" w:rsidP="00FA457A">
      <w:pPr>
        <w:shd w:val="clear" w:color="auto" w:fill="FFFFFF"/>
        <w:tabs>
          <w:tab w:val="left" w:pos="9072"/>
        </w:tabs>
        <w:spacing w:line="360" w:lineRule="auto"/>
        <w:ind w:right="49"/>
        <w:jc w:val="both"/>
        <w:rPr>
          <w:rFonts w:ascii="Palatino Linotype" w:eastAsia="Times New Roman" w:hAnsi="Palatino Linotype" w:cs="Times New Roman"/>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bookmarkEnd w:id="8"/>
      <w:bookmarkEnd w:id="9"/>
      <w:bookmarkEnd w:id="10"/>
      <w:bookmarkEnd w:id="11"/>
      <w:bookmarkEnd w:id="12"/>
      <w:bookmarkEnd w:id="13"/>
      <w:bookmarkEnd w:id="14"/>
      <w:bookmarkEnd w:id="15"/>
      <w:bookmarkEnd w:id="16"/>
      <w:bookmarkEnd w:id="17"/>
      <w:r w:rsidRPr="00890E7D">
        <w:rPr>
          <w:rFonts w:ascii="Palatino Linotype" w:eastAsia="Times New Roman" w:hAnsi="Palatino Linotype" w:cs="Times New Roman"/>
          <w:b/>
        </w:rPr>
        <w:t>TERCERO.</w:t>
      </w:r>
      <w:bookmarkEnd w:id="18"/>
      <w:bookmarkEnd w:id="19"/>
      <w:bookmarkEnd w:id="20"/>
      <w:bookmarkEnd w:id="21"/>
      <w:bookmarkEnd w:id="22"/>
      <w:bookmarkEnd w:id="23"/>
      <w:bookmarkEnd w:id="24"/>
      <w:bookmarkEnd w:id="25"/>
      <w:bookmarkEnd w:id="26"/>
      <w:r w:rsidRPr="00890E7D">
        <w:rPr>
          <w:rFonts w:ascii="Palatino Linotype" w:eastAsia="Times New Roman" w:hAnsi="Palatino Linotype" w:cs="Times New Roman"/>
        </w:rPr>
        <w:t xml:space="preserve"> Notifíquese al Titular de la Unidad de Transparencia del</w:t>
      </w:r>
      <w:r w:rsidRPr="00890E7D">
        <w:rPr>
          <w:rFonts w:ascii="Palatino Linotype" w:eastAsia="Times New Roman" w:hAnsi="Palatino Linotype" w:cs="Times New Roman"/>
          <w:b/>
        </w:rPr>
        <w:t xml:space="preserve"> SUJETO OBLIGADO</w:t>
      </w:r>
      <w:r w:rsidRPr="00890E7D">
        <w:rPr>
          <w:rFonts w:ascii="Palatino Linotype" w:eastAsia="Times New Roman" w:hAnsi="Palatino Linotype" w:cs="Times New Roman"/>
        </w:rPr>
        <w:t xml:space="preserve"> vía</w:t>
      </w:r>
      <w:r w:rsidRPr="00890E7D">
        <w:rPr>
          <w:rFonts w:ascii="Palatino Linotype" w:eastAsia="Times New Roman" w:hAnsi="Palatino Linotype" w:cs="Times New Roman"/>
          <w:b/>
        </w:rPr>
        <w:t xml:space="preserve"> SAIMEX</w:t>
      </w:r>
      <w:r w:rsidRPr="00890E7D">
        <w:rPr>
          <w:rFonts w:ascii="Palatino Linotype" w:eastAsia="Times New Roman" w:hAnsi="Palatino Linotype" w:cs="Times New Roman"/>
        </w:rPr>
        <w:t>, para su conocimiento.</w:t>
      </w:r>
    </w:p>
    <w:p w:rsidR="00463429" w:rsidRPr="00890E7D" w:rsidRDefault="00463429" w:rsidP="00FA457A">
      <w:pPr>
        <w:shd w:val="clear" w:color="auto" w:fill="FFFFFF"/>
        <w:tabs>
          <w:tab w:val="left" w:pos="9072"/>
        </w:tabs>
        <w:spacing w:line="360" w:lineRule="auto"/>
        <w:ind w:right="49"/>
        <w:jc w:val="both"/>
        <w:rPr>
          <w:rFonts w:ascii="Palatino Linotype" w:eastAsia="Times New Roman" w:hAnsi="Palatino Linotype" w:cs="Times New Roman"/>
        </w:rPr>
      </w:pPr>
    </w:p>
    <w:p w:rsidR="00463429" w:rsidRPr="00890E7D" w:rsidRDefault="00463429" w:rsidP="00FA457A">
      <w:pPr>
        <w:shd w:val="clear" w:color="auto" w:fill="FFFFFF"/>
        <w:tabs>
          <w:tab w:val="left" w:pos="9072"/>
        </w:tabs>
        <w:spacing w:line="360" w:lineRule="auto"/>
        <w:ind w:right="49"/>
        <w:jc w:val="both"/>
        <w:rPr>
          <w:rFonts w:ascii="Palatino Linotype" w:eastAsia="Times New Roman" w:hAnsi="Palatino Linotype" w:cs="Times New Roman"/>
        </w:rPr>
      </w:pPr>
      <w:r w:rsidRPr="00890E7D">
        <w:rPr>
          <w:rFonts w:ascii="Palatino Linotype" w:eastAsia="Times New Roman" w:hAnsi="Palatino Linotype" w:cs="Times New Roman"/>
          <w:b/>
        </w:rPr>
        <w:t>CUARTO.</w:t>
      </w:r>
      <w:r w:rsidRPr="00890E7D">
        <w:rPr>
          <w:rFonts w:ascii="Palatino Linotype" w:eastAsia="Times New Roman" w:hAnsi="Palatino Linotype" w:cs="Times New Roman"/>
        </w:rPr>
        <w:t xml:space="preserve"> Notifíquese a </w:t>
      </w:r>
      <w:r w:rsidRPr="00890E7D">
        <w:rPr>
          <w:rFonts w:ascii="Palatino Linotype" w:eastAsia="Times New Roman" w:hAnsi="Palatino Linotype" w:cs="Times New Roman"/>
          <w:b/>
        </w:rPr>
        <w:t>EL RECURRENTE</w:t>
      </w:r>
      <w:r w:rsidRPr="00890E7D">
        <w:rPr>
          <w:rFonts w:ascii="Palatino Linotype" w:eastAsia="Times New Roman" w:hAnsi="Palatino Linotype" w:cs="Times New Roman"/>
        </w:rPr>
        <w:t xml:space="preserve"> la presente Resolución vía SAIMEX.</w:t>
      </w:r>
    </w:p>
    <w:p w:rsidR="00463429" w:rsidRPr="00890E7D" w:rsidRDefault="00463429" w:rsidP="00FA457A">
      <w:pPr>
        <w:shd w:val="clear" w:color="auto" w:fill="FFFFFF"/>
        <w:tabs>
          <w:tab w:val="left" w:pos="9072"/>
        </w:tabs>
        <w:spacing w:line="360" w:lineRule="auto"/>
        <w:ind w:right="49"/>
        <w:jc w:val="both"/>
        <w:rPr>
          <w:rFonts w:ascii="Palatino Linotype" w:eastAsia="Times New Roman" w:hAnsi="Palatino Linotype" w:cs="Times New Roman"/>
        </w:rPr>
      </w:pPr>
    </w:p>
    <w:p w:rsidR="00463429" w:rsidRPr="00890E7D" w:rsidRDefault="00463429" w:rsidP="00FA457A">
      <w:pPr>
        <w:shd w:val="clear" w:color="auto" w:fill="FFFFFF"/>
        <w:tabs>
          <w:tab w:val="left" w:pos="9072"/>
        </w:tabs>
        <w:spacing w:line="360" w:lineRule="auto"/>
        <w:ind w:right="49"/>
        <w:jc w:val="both"/>
        <w:rPr>
          <w:rFonts w:ascii="Palatino Linotype" w:eastAsia="Times New Roman" w:hAnsi="Palatino Linotype" w:cs="Times New Roman"/>
        </w:rPr>
      </w:pPr>
      <w:r w:rsidRPr="00890E7D">
        <w:rPr>
          <w:rFonts w:ascii="Palatino Linotype" w:eastAsia="Times New Roman" w:hAnsi="Palatino Linotype" w:cs="Times New Roman"/>
          <w:b/>
        </w:rPr>
        <w:t>QUINTO.</w:t>
      </w:r>
      <w:r w:rsidRPr="00890E7D">
        <w:rPr>
          <w:rFonts w:ascii="Palatino Linotype" w:eastAsia="Times New Roman" w:hAnsi="Palatino Linotype" w:cs="Times New Roman"/>
        </w:rPr>
        <w:t xml:space="preserve"> </w:t>
      </w:r>
      <w:r w:rsidRPr="00890E7D">
        <w:rPr>
          <w:rFonts w:ascii="Palatino Linotype" w:eastAsia="Palatino Linotype" w:hAnsi="Palatino Linotype" w:cs="Palatino Linotype"/>
          <w:color w:val="000000"/>
        </w:rPr>
        <w:t xml:space="preserve">Se hace de conocimiento al </w:t>
      </w:r>
      <w:r w:rsidRPr="00890E7D">
        <w:rPr>
          <w:rFonts w:ascii="Palatino Linotype" w:eastAsia="Palatino Linotype" w:hAnsi="Palatino Linotype" w:cs="Palatino Linotype"/>
          <w:b/>
          <w:color w:val="000000"/>
        </w:rPr>
        <w:t>RECURRENTE</w:t>
      </w:r>
      <w:r w:rsidRPr="00890E7D">
        <w:rPr>
          <w:rFonts w:ascii="Palatino Linotype" w:eastAsia="Palatino Linotype" w:hAnsi="Palatino Linotype" w:cs="Palatino Linotype"/>
          <w:color w:val="000000"/>
        </w:rPr>
        <w:t xml:space="preserve"> que, de conformidad con lo establecido en el artículo 142 de la Ley de Protección de Datos Personales en Posesión de Sujetos Obligados del Estado de México y Municipios, en caso de que considere que la resolución le cause algún perjuicio podrá </w:t>
      </w:r>
      <w:r w:rsidRPr="00890E7D">
        <w:rPr>
          <w:rFonts w:ascii="Palatino Linotype" w:eastAsia="Palatino Linotype" w:hAnsi="Palatino Linotype" w:cs="Palatino Linotype"/>
        </w:rPr>
        <w:t>impugnar vía</w:t>
      </w:r>
      <w:r w:rsidRPr="00890E7D">
        <w:rPr>
          <w:rFonts w:ascii="Palatino Linotype" w:eastAsia="Palatino Linotype" w:hAnsi="Palatino Linotype" w:cs="Palatino Linotype"/>
          <w:color w:val="000000"/>
        </w:rPr>
        <w:t xml:space="preserve"> Juicio de Amparo en los términos de las leyes aplicables.</w:t>
      </w:r>
    </w:p>
    <w:p w:rsidR="00463429" w:rsidRPr="00FA457A" w:rsidRDefault="00344EB4" w:rsidP="00FA457A">
      <w:pPr>
        <w:tabs>
          <w:tab w:val="left" w:pos="9072"/>
        </w:tabs>
        <w:spacing w:line="360" w:lineRule="auto"/>
        <w:ind w:right="49"/>
        <w:jc w:val="both"/>
        <w:rPr>
          <w:rFonts w:ascii="Palatino Linotype" w:eastAsia="Palatino Linotype" w:hAnsi="Palatino Linotype" w:cs="Palatino Linotype"/>
        </w:rPr>
      </w:pPr>
      <w:r w:rsidRPr="00890E7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1097F" w:rsidRPr="00890E7D">
        <w:rPr>
          <w:rFonts w:ascii="Palatino Linotype" w:eastAsia="Palatino Linotype" w:hAnsi="Palatino Linotype" w:cs="Palatino Linotype"/>
        </w:rPr>
        <w:t xml:space="preserve"> EMITIENDO OPINIÓN PÚBLICA</w:t>
      </w:r>
      <w:r w:rsidRPr="00890E7D">
        <w:rPr>
          <w:rFonts w:ascii="Palatino Linotype" w:eastAsia="Palatino Linotype" w:hAnsi="Palatino Linotype" w:cs="Palatino Linotype"/>
        </w:rPr>
        <w:t>, SHARON CRISTINA MORALES MARTÍNEZ, LUIS GUSTAVO PARRA NORIEGA Y GUADALUPE RAMÍREZ PEÑA; EN LA VIGÉSIMA SÉPTIMA SESIÓN ORDINARIA, CELEBRADA EL SEIS (06) DE AGOSTO DE DOS MIL VEINTICINCO, ANTE EL SECRETARIO TÉCNICO DEL PLENO ALEXIS TAPIA RAMÍREZ.</w:t>
      </w: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463429" w:rsidRPr="00FA457A" w:rsidRDefault="00463429" w:rsidP="00FA457A">
      <w:pPr>
        <w:tabs>
          <w:tab w:val="left" w:pos="9072"/>
        </w:tabs>
        <w:spacing w:line="360" w:lineRule="auto"/>
        <w:ind w:right="49" w:firstLine="1"/>
        <w:jc w:val="both"/>
        <w:rPr>
          <w:rFonts w:ascii="Palatino Linotype" w:eastAsia="Palatino Linotype" w:hAnsi="Palatino Linotype" w:cs="Palatino Linotype"/>
        </w:rPr>
      </w:pPr>
    </w:p>
    <w:p w:rsidR="00E2771D" w:rsidRPr="00FA457A" w:rsidRDefault="00E2771D" w:rsidP="00FA457A">
      <w:pPr>
        <w:tabs>
          <w:tab w:val="left" w:pos="9072"/>
        </w:tabs>
        <w:ind w:right="49"/>
        <w:rPr>
          <w:rFonts w:ascii="Palatino Linotype" w:hAnsi="Palatino Linotype"/>
        </w:rPr>
      </w:pPr>
    </w:p>
    <w:sectPr w:rsidR="00E2771D" w:rsidRPr="00FA457A" w:rsidSect="00132C1B">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535" w:rsidRDefault="00256535" w:rsidP="00463429">
      <w:r>
        <w:separator/>
      </w:r>
    </w:p>
  </w:endnote>
  <w:endnote w:type="continuationSeparator" w:id="0">
    <w:p w:rsidR="00256535" w:rsidRDefault="00256535" w:rsidP="0046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32" w:rsidRDefault="00756B3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C450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C450A">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756B32" w:rsidRDefault="00756B3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32" w:rsidRDefault="00756B3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C450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C450A">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756B32" w:rsidRDefault="00756B3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535" w:rsidRDefault="00256535" w:rsidP="00463429">
      <w:r>
        <w:separator/>
      </w:r>
    </w:p>
  </w:footnote>
  <w:footnote w:type="continuationSeparator" w:id="0">
    <w:p w:rsidR="00256535" w:rsidRDefault="00256535" w:rsidP="0046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32" w:rsidRDefault="0025653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75" w:type="dxa"/>
      <w:tblInd w:w="3261" w:type="dxa"/>
      <w:tblLayout w:type="fixed"/>
      <w:tblLook w:val="0400" w:firstRow="0" w:lastRow="0" w:firstColumn="0" w:lastColumn="0" w:noHBand="0" w:noVBand="1"/>
    </w:tblPr>
    <w:tblGrid>
      <w:gridCol w:w="2754"/>
      <w:gridCol w:w="4821"/>
    </w:tblGrid>
    <w:tr w:rsidR="00756B32" w:rsidTr="00132C1B">
      <w:trPr>
        <w:trHeight w:val="227"/>
      </w:trPr>
      <w:tc>
        <w:tcPr>
          <w:tcW w:w="2754" w:type="dxa"/>
          <w:vAlign w:val="center"/>
        </w:tcPr>
        <w:p w:rsidR="00756B32" w:rsidRPr="00E55503" w:rsidRDefault="00756B32" w:rsidP="00E55503">
          <w:pPr>
            <w:ind w:left="-708" w:right="58"/>
            <w:jc w:val="right"/>
            <w:rPr>
              <w:rFonts w:ascii="Palatino Linotype" w:eastAsia="Palatino Linotype" w:hAnsi="Palatino Linotype" w:cs="Palatino Linotype"/>
              <w:b/>
            </w:rPr>
          </w:pPr>
          <w:r w:rsidRPr="00E55503">
            <w:rPr>
              <w:rFonts w:ascii="Palatino Linotype" w:eastAsia="Palatino Linotype" w:hAnsi="Palatino Linotype" w:cs="Palatino Linotype"/>
              <w:b/>
            </w:rPr>
            <w:t>Recurso de Revisión:</w:t>
          </w:r>
        </w:p>
      </w:tc>
      <w:tc>
        <w:tcPr>
          <w:tcW w:w="4821" w:type="dxa"/>
          <w:vAlign w:val="center"/>
        </w:tcPr>
        <w:p w:rsidR="00756B32" w:rsidRPr="00E55503" w:rsidRDefault="00756B32" w:rsidP="00E55503">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highlight w:val="green"/>
            </w:rPr>
          </w:pPr>
          <w:r w:rsidRPr="00E55503">
            <w:rPr>
              <w:rFonts w:ascii="Palatino Linotype" w:eastAsia="Palatino Linotype" w:hAnsi="Palatino Linotype" w:cs="Palatino Linotype"/>
              <w:color w:val="000000"/>
            </w:rPr>
            <w:t>02363/INFOEM/IP/RR/2025</w:t>
          </w:r>
        </w:p>
      </w:tc>
    </w:tr>
    <w:tr w:rsidR="00756B32" w:rsidTr="00132C1B">
      <w:trPr>
        <w:trHeight w:val="242"/>
      </w:trPr>
      <w:tc>
        <w:tcPr>
          <w:tcW w:w="2754" w:type="dxa"/>
          <w:vAlign w:val="center"/>
        </w:tcPr>
        <w:p w:rsidR="00756B32" w:rsidRPr="00E55503" w:rsidRDefault="00756B32" w:rsidP="00E55503">
          <w:pPr>
            <w:ind w:left="-708" w:right="58"/>
            <w:jc w:val="right"/>
            <w:rPr>
              <w:rFonts w:ascii="Palatino Linotype" w:eastAsia="Palatino Linotype" w:hAnsi="Palatino Linotype" w:cs="Palatino Linotype"/>
              <w:b/>
            </w:rPr>
          </w:pPr>
          <w:r w:rsidRPr="00E55503">
            <w:rPr>
              <w:rFonts w:ascii="Palatino Linotype" w:eastAsia="Palatino Linotype" w:hAnsi="Palatino Linotype" w:cs="Palatino Linotype"/>
              <w:b/>
            </w:rPr>
            <w:t>Sujeto Obligado:</w:t>
          </w:r>
        </w:p>
      </w:tc>
      <w:tc>
        <w:tcPr>
          <w:tcW w:w="4821" w:type="dxa"/>
          <w:vAlign w:val="center"/>
        </w:tcPr>
        <w:p w:rsidR="00756B32" w:rsidRPr="00E55503" w:rsidRDefault="00756B32" w:rsidP="00E55503">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highlight w:val="green"/>
            </w:rPr>
          </w:pPr>
          <w:r w:rsidRPr="00E55503">
            <w:rPr>
              <w:rFonts w:ascii="Palatino Linotype" w:eastAsia="Palatino Linotype" w:hAnsi="Palatino Linotype" w:cs="Palatino Linotype"/>
              <w:color w:val="000000"/>
            </w:rPr>
            <w:t>Secretaría de Finanzas</w:t>
          </w:r>
        </w:p>
      </w:tc>
    </w:tr>
    <w:tr w:rsidR="00756B32" w:rsidTr="00132C1B">
      <w:trPr>
        <w:trHeight w:val="342"/>
      </w:trPr>
      <w:tc>
        <w:tcPr>
          <w:tcW w:w="2754" w:type="dxa"/>
          <w:vAlign w:val="center"/>
        </w:tcPr>
        <w:p w:rsidR="00756B32" w:rsidRPr="00E55503" w:rsidRDefault="00756B32" w:rsidP="00E55503">
          <w:pPr>
            <w:ind w:left="-708" w:right="58"/>
            <w:jc w:val="right"/>
            <w:rPr>
              <w:rFonts w:ascii="Palatino Linotype" w:eastAsia="Palatino Linotype" w:hAnsi="Palatino Linotype" w:cs="Palatino Linotype"/>
              <w:b/>
            </w:rPr>
          </w:pPr>
          <w:r w:rsidRPr="00E55503">
            <w:rPr>
              <w:rFonts w:ascii="Palatino Linotype" w:eastAsia="Palatino Linotype" w:hAnsi="Palatino Linotype" w:cs="Palatino Linotype"/>
              <w:b/>
            </w:rPr>
            <w:t>Comisionada Ponente:</w:t>
          </w:r>
        </w:p>
      </w:tc>
      <w:tc>
        <w:tcPr>
          <w:tcW w:w="4821" w:type="dxa"/>
          <w:vAlign w:val="center"/>
        </w:tcPr>
        <w:p w:rsidR="00756B32" w:rsidRPr="00E55503" w:rsidRDefault="00756B32" w:rsidP="00E55503">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rPr>
          </w:pPr>
          <w:r w:rsidRPr="00E55503">
            <w:rPr>
              <w:rFonts w:ascii="Palatino Linotype" w:eastAsia="Palatino Linotype" w:hAnsi="Palatino Linotype" w:cs="Palatino Linotype"/>
              <w:color w:val="000000"/>
            </w:rPr>
            <w:t>María del Rosario Mejía Ayala</w:t>
          </w:r>
        </w:p>
      </w:tc>
    </w:tr>
  </w:tbl>
  <w:p w:rsidR="00756B32" w:rsidRDefault="00256535">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56.45pt;margin-top:-120.95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32" w:rsidRDefault="00756B32">
    <w:pPr>
      <w:widowControl w:val="0"/>
      <w:pBdr>
        <w:top w:val="nil"/>
        <w:left w:val="nil"/>
        <w:bottom w:val="nil"/>
        <w:right w:val="nil"/>
        <w:between w:val="nil"/>
      </w:pBdr>
      <w:spacing w:line="276" w:lineRule="auto"/>
      <w:rPr>
        <w:color w:val="000000"/>
        <w:sz w:val="14"/>
        <w:szCs w:val="14"/>
      </w:rPr>
    </w:pPr>
  </w:p>
  <w:tbl>
    <w:tblPr>
      <w:tblW w:w="8560" w:type="dxa"/>
      <w:tblInd w:w="2694" w:type="dxa"/>
      <w:tblLayout w:type="fixed"/>
      <w:tblLook w:val="0400" w:firstRow="0" w:lastRow="0" w:firstColumn="0" w:lastColumn="0" w:noHBand="0" w:noVBand="1"/>
    </w:tblPr>
    <w:tblGrid>
      <w:gridCol w:w="3070"/>
      <w:gridCol w:w="5490"/>
    </w:tblGrid>
    <w:tr w:rsidR="00756B32" w:rsidTr="00132C1B">
      <w:trPr>
        <w:trHeight w:val="227"/>
      </w:trPr>
      <w:tc>
        <w:tcPr>
          <w:tcW w:w="3070" w:type="dxa"/>
          <w:vAlign w:val="center"/>
        </w:tcPr>
        <w:p w:rsidR="00756B32" w:rsidRPr="00E55503" w:rsidRDefault="00756B32" w:rsidP="00FA457A">
          <w:pPr>
            <w:ind w:left="141"/>
            <w:jc w:val="right"/>
            <w:rPr>
              <w:rFonts w:ascii="Palatino Linotype" w:eastAsia="Palatino Linotype" w:hAnsi="Palatino Linotype" w:cs="Palatino Linotype"/>
              <w:b/>
            </w:rPr>
          </w:pPr>
          <w:r w:rsidRPr="00E55503">
            <w:rPr>
              <w:rFonts w:ascii="Palatino Linotype" w:eastAsia="Palatino Linotype" w:hAnsi="Palatino Linotype" w:cs="Palatino Linotype"/>
              <w:b/>
            </w:rPr>
            <w:t>Recurso de Revisión:</w:t>
          </w:r>
        </w:p>
      </w:tc>
      <w:tc>
        <w:tcPr>
          <w:tcW w:w="5490" w:type="dxa"/>
          <w:vAlign w:val="center"/>
        </w:tcPr>
        <w:p w:rsidR="00756B32" w:rsidRPr="00E55503" w:rsidRDefault="00756B32" w:rsidP="00FA457A">
          <w:pPr>
            <w:pBdr>
              <w:top w:val="nil"/>
              <w:left w:val="nil"/>
              <w:bottom w:val="nil"/>
              <w:right w:val="nil"/>
              <w:between w:val="nil"/>
            </w:pBdr>
            <w:tabs>
              <w:tab w:val="center" w:pos="4419"/>
              <w:tab w:val="right" w:pos="8838"/>
            </w:tabs>
            <w:ind w:left="141"/>
            <w:rPr>
              <w:rFonts w:ascii="Palatino Linotype" w:eastAsia="Palatino Linotype" w:hAnsi="Palatino Linotype" w:cs="Palatino Linotype"/>
              <w:color w:val="000000"/>
              <w:highlight w:val="green"/>
            </w:rPr>
          </w:pPr>
          <w:r w:rsidRPr="00E55503">
            <w:rPr>
              <w:rFonts w:ascii="Palatino Linotype" w:eastAsia="Palatino Linotype" w:hAnsi="Palatino Linotype" w:cs="Palatino Linotype"/>
              <w:color w:val="000000"/>
            </w:rPr>
            <w:t>02363/INFOEM/IP/RR/2025</w:t>
          </w:r>
        </w:p>
      </w:tc>
    </w:tr>
    <w:tr w:rsidR="00756B32" w:rsidTr="00132C1B">
      <w:trPr>
        <w:trHeight w:val="242"/>
      </w:trPr>
      <w:tc>
        <w:tcPr>
          <w:tcW w:w="3070" w:type="dxa"/>
          <w:vAlign w:val="center"/>
        </w:tcPr>
        <w:p w:rsidR="00756B32" w:rsidRPr="00E55503" w:rsidRDefault="00756B32" w:rsidP="00FA457A">
          <w:pPr>
            <w:ind w:left="141"/>
            <w:jc w:val="right"/>
            <w:rPr>
              <w:rFonts w:ascii="Palatino Linotype" w:eastAsia="Palatino Linotype" w:hAnsi="Palatino Linotype" w:cs="Palatino Linotype"/>
              <w:b/>
            </w:rPr>
          </w:pPr>
          <w:r w:rsidRPr="00E55503">
            <w:rPr>
              <w:rFonts w:ascii="Palatino Linotype" w:eastAsia="Palatino Linotype" w:hAnsi="Palatino Linotype" w:cs="Palatino Linotype"/>
              <w:b/>
            </w:rPr>
            <w:t>Recurrente:</w:t>
          </w:r>
        </w:p>
      </w:tc>
      <w:tc>
        <w:tcPr>
          <w:tcW w:w="5490" w:type="dxa"/>
        </w:tcPr>
        <w:p w:rsidR="00756B32" w:rsidRPr="00E55503" w:rsidRDefault="005945C8" w:rsidP="00FA457A">
          <w:pPr>
            <w:ind w:left="141"/>
            <w:rPr>
              <w:rFonts w:ascii="Palatino Linotype" w:eastAsia="Palatino Linotype" w:hAnsi="Palatino Linotype" w:cs="Palatino Linotype"/>
              <w:color w:val="FF0000"/>
              <w:highlight w:val="green"/>
            </w:rPr>
          </w:pPr>
          <w:r>
            <w:rPr>
              <w:rFonts w:ascii="Palatino Linotype" w:eastAsia="Palatino Linotype" w:hAnsi="Palatino Linotype" w:cs="Palatino Linotype"/>
              <w:bCs/>
              <w:color w:val="000000"/>
            </w:rPr>
            <w:t>XXXX</w:t>
          </w:r>
        </w:p>
      </w:tc>
    </w:tr>
    <w:tr w:rsidR="00756B32" w:rsidTr="00132C1B">
      <w:trPr>
        <w:trHeight w:val="342"/>
      </w:trPr>
      <w:tc>
        <w:tcPr>
          <w:tcW w:w="3070" w:type="dxa"/>
          <w:vAlign w:val="center"/>
        </w:tcPr>
        <w:p w:rsidR="00756B32" w:rsidRPr="00E55503" w:rsidRDefault="00756B32" w:rsidP="00FA457A">
          <w:pPr>
            <w:ind w:left="141"/>
            <w:jc w:val="right"/>
            <w:rPr>
              <w:rFonts w:ascii="Palatino Linotype" w:eastAsia="Palatino Linotype" w:hAnsi="Palatino Linotype" w:cs="Palatino Linotype"/>
              <w:b/>
            </w:rPr>
          </w:pPr>
          <w:r w:rsidRPr="00E55503">
            <w:rPr>
              <w:rFonts w:ascii="Palatino Linotype" w:eastAsia="Palatino Linotype" w:hAnsi="Palatino Linotype" w:cs="Palatino Linotype"/>
              <w:b/>
            </w:rPr>
            <w:t>Sujeto Obligado:</w:t>
          </w:r>
        </w:p>
      </w:tc>
      <w:tc>
        <w:tcPr>
          <w:tcW w:w="5490" w:type="dxa"/>
          <w:vAlign w:val="center"/>
        </w:tcPr>
        <w:p w:rsidR="00756B32" w:rsidRPr="00E55503" w:rsidRDefault="00756B32" w:rsidP="00FA457A">
          <w:pPr>
            <w:pBdr>
              <w:top w:val="nil"/>
              <w:left w:val="nil"/>
              <w:bottom w:val="nil"/>
              <w:right w:val="nil"/>
              <w:between w:val="nil"/>
            </w:pBdr>
            <w:tabs>
              <w:tab w:val="center" w:pos="4419"/>
              <w:tab w:val="right" w:pos="8838"/>
            </w:tabs>
            <w:ind w:left="141"/>
            <w:rPr>
              <w:rFonts w:ascii="Palatino Linotype" w:eastAsia="Palatino Linotype" w:hAnsi="Palatino Linotype" w:cs="Palatino Linotype"/>
              <w:color w:val="000000"/>
              <w:highlight w:val="green"/>
            </w:rPr>
          </w:pPr>
          <w:r w:rsidRPr="00E55503">
            <w:rPr>
              <w:rFonts w:ascii="Palatino Linotype" w:eastAsia="Palatino Linotype" w:hAnsi="Palatino Linotype" w:cs="Palatino Linotype"/>
              <w:color w:val="000000"/>
            </w:rPr>
            <w:t>Secretaría de Finanzas</w:t>
          </w:r>
        </w:p>
      </w:tc>
    </w:tr>
    <w:tr w:rsidR="00756B32" w:rsidTr="00132C1B">
      <w:trPr>
        <w:trHeight w:val="342"/>
      </w:trPr>
      <w:tc>
        <w:tcPr>
          <w:tcW w:w="3070" w:type="dxa"/>
          <w:vAlign w:val="center"/>
        </w:tcPr>
        <w:p w:rsidR="00756B32" w:rsidRPr="00E55503" w:rsidRDefault="00756B32" w:rsidP="00FA457A">
          <w:pPr>
            <w:ind w:left="141"/>
            <w:jc w:val="right"/>
            <w:rPr>
              <w:rFonts w:ascii="Palatino Linotype" w:eastAsia="Palatino Linotype" w:hAnsi="Palatino Linotype" w:cs="Palatino Linotype"/>
              <w:b/>
            </w:rPr>
          </w:pPr>
          <w:r w:rsidRPr="00E55503">
            <w:rPr>
              <w:rFonts w:ascii="Palatino Linotype" w:eastAsia="Palatino Linotype" w:hAnsi="Palatino Linotype" w:cs="Palatino Linotype"/>
              <w:b/>
            </w:rPr>
            <w:t>Comisionada Ponente:</w:t>
          </w:r>
        </w:p>
      </w:tc>
      <w:tc>
        <w:tcPr>
          <w:tcW w:w="5490" w:type="dxa"/>
          <w:vAlign w:val="center"/>
        </w:tcPr>
        <w:p w:rsidR="00756B32" w:rsidRPr="00E55503" w:rsidRDefault="00756B32" w:rsidP="00FA457A">
          <w:pPr>
            <w:pBdr>
              <w:top w:val="nil"/>
              <w:left w:val="nil"/>
              <w:bottom w:val="nil"/>
              <w:right w:val="nil"/>
              <w:between w:val="nil"/>
            </w:pBdr>
            <w:tabs>
              <w:tab w:val="center" w:pos="4419"/>
              <w:tab w:val="right" w:pos="8838"/>
            </w:tabs>
            <w:ind w:left="141"/>
            <w:rPr>
              <w:rFonts w:ascii="Palatino Linotype" w:eastAsia="Palatino Linotype" w:hAnsi="Palatino Linotype" w:cs="Palatino Linotype"/>
              <w:color w:val="000000"/>
            </w:rPr>
          </w:pPr>
          <w:r w:rsidRPr="00E55503">
            <w:rPr>
              <w:rFonts w:ascii="Palatino Linotype" w:eastAsia="Palatino Linotype" w:hAnsi="Palatino Linotype" w:cs="Palatino Linotype"/>
              <w:color w:val="000000"/>
            </w:rPr>
            <w:t>María del Rosario Mejía Ayala</w:t>
          </w:r>
        </w:p>
      </w:tc>
    </w:tr>
  </w:tbl>
  <w:p w:rsidR="00756B32" w:rsidRDefault="0025653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A6952"/>
    <w:multiLevelType w:val="hybridMultilevel"/>
    <w:tmpl w:val="7A0813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2" w15:restartNumberingAfterBreak="0">
    <w:nsid w:val="3D442A81"/>
    <w:multiLevelType w:val="hybridMultilevel"/>
    <w:tmpl w:val="B4B64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4A7F14"/>
    <w:multiLevelType w:val="hybridMultilevel"/>
    <w:tmpl w:val="62BA1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29"/>
    <w:rsid w:val="00083590"/>
    <w:rsid w:val="000B2D19"/>
    <w:rsid w:val="00132C1B"/>
    <w:rsid w:val="00194BCF"/>
    <w:rsid w:val="001E3905"/>
    <w:rsid w:val="001F7CAB"/>
    <w:rsid w:val="00256535"/>
    <w:rsid w:val="002818B7"/>
    <w:rsid w:val="00344EB4"/>
    <w:rsid w:val="00423B59"/>
    <w:rsid w:val="00463429"/>
    <w:rsid w:val="0053189D"/>
    <w:rsid w:val="00575E28"/>
    <w:rsid w:val="005945C8"/>
    <w:rsid w:val="006629D7"/>
    <w:rsid w:val="006E5E2D"/>
    <w:rsid w:val="006F574F"/>
    <w:rsid w:val="00756B32"/>
    <w:rsid w:val="00843890"/>
    <w:rsid w:val="00890E7D"/>
    <w:rsid w:val="0089245E"/>
    <w:rsid w:val="008B17F2"/>
    <w:rsid w:val="00952E4A"/>
    <w:rsid w:val="00966826"/>
    <w:rsid w:val="00993B0F"/>
    <w:rsid w:val="00A90D4A"/>
    <w:rsid w:val="00B1097F"/>
    <w:rsid w:val="00B114A0"/>
    <w:rsid w:val="00C212D8"/>
    <w:rsid w:val="00DB209B"/>
    <w:rsid w:val="00DE0735"/>
    <w:rsid w:val="00DF65C4"/>
    <w:rsid w:val="00E037BC"/>
    <w:rsid w:val="00E2771D"/>
    <w:rsid w:val="00E55503"/>
    <w:rsid w:val="00E673E8"/>
    <w:rsid w:val="00E8161B"/>
    <w:rsid w:val="00EC450A"/>
    <w:rsid w:val="00EF216F"/>
    <w:rsid w:val="00F148A1"/>
    <w:rsid w:val="00F74B72"/>
    <w:rsid w:val="00FA45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386C815-24FC-438A-8656-AF926B6A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429"/>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4634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634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429"/>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463429"/>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42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429"/>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463429"/>
    <w:pPr>
      <w:tabs>
        <w:tab w:val="center" w:pos="4419"/>
        <w:tab w:val="right" w:pos="8838"/>
      </w:tabs>
    </w:pPr>
  </w:style>
  <w:style w:type="character" w:customStyle="1" w:styleId="PiedepginaCar">
    <w:name w:val="Pie de página Car"/>
    <w:basedOn w:val="Fuentedeprrafopredeter"/>
    <w:link w:val="Piedepgina"/>
    <w:uiPriority w:val="99"/>
    <w:rsid w:val="00463429"/>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5320</Words>
  <Characters>29260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14</cp:revision>
  <cp:lastPrinted>2025-08-08T16:26:00Z</cp:lastPrinted>
  <dcterms:created xsi:type="dcterms:W3CDTF">2025-07-16T18:39:00Z</dcterms:created>
  <dcterms:modified xsi:type="dcterms:W3CDTF">2025-10-08T00:25:00Z</dcterms:modified>
</cp:coreProperties>
</file>