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39B7C"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doce de febrero de dos mil veinticinco. </w:t>
      </w:r>
    </w:p>
    <w:p w14:paraId="4940D749"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VISTO</w:t>
      </w:r>
      <w:r w:rsidRPr="007A4C3D">
        <w:rPr>
          <w:rFonts w:ascii="Palatino Linotype" w:eastAsia="Palatino Linotype" w:hAnsi="Palatino Linotype" w:cs="Palatino Linotype"/>
        </w:rPr>
        <w:t xml:space="preserve"> el expediente formado con motivo del recurso de revisión </w:t>
      </w:r>
      <w:r w:rsidRPr="007A4C3D">
        <w:rPr>
          <w:rFonts w:ascii="Palatino Linotype" w:eastAsia="Palatino Linotype" w:hAnsi="Palatino Linotype" w:cs="Palatino Linotype"/>
          <w:b/>
        </w:rPr>
        <w:t>00144/INFOEM/IP/RR/2025</w:t>
      </w:r>
      <w:r w:rsidRPr="007A4C3D">
        <w:rPr>
          <w:rFonts w:ascii="Palatino Linotype" w:eastAsia="Palatino Linotype" w:hAnsi="Palatino Linotype" w:cs="Palatino Linotype"/>
        </w:rPr>
        <w:t>, interpuesto por</w:t>
      </w:r>
      <w:r w:rsidRPr="007A4C3D">
        <w:rPr>
          <w:rFonts w:ascii="Palatino Linotype" w:eastAsia="Palatino Linotype" w:hAnsi="Palatino Linotype" w:cs="Palatino Linotype"/>
          <w:b/>
        </w:rPr>
        <w:t xml:space="preserve"> una persona que no proporcionó nombre o seudónimo,</w:t>
      </w:r>
      <w:r w:rsidRPr="007A4C3D">
        <w:rPr>
          <w:rFonts w:ascii="Palatino Linotype" w:eastAsia="Palatino Linotype" w:hAnsi="Palatino Linotype" w:cs="Palatino Linotype"/>
        </w:rPr>
        <w:t xml:space="preserve"> en lo sucesivo</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 xml:space="preserve">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en contra de la respuesta a la solicitud de información con número de folio </w:t>
      </w:r>
      <w:r w:rsidRPr="007A4C3D">
        <w:rPr>
          <w:rFonts w:ascii="Palatino Linotype" w:eastAsia="Palatino Linotype" w:hAnsi="Palatino Linotype" w:cs="Palatino Linotype"/>
          <w:b/>
        </w:rPr>
        <w:t xml:space="preserve">00837/SMOV/IP/2024, </w:t>
      </w:r>
      <w:r w:rsidRPr="007A4C3D">
        <w:rPr>
          <w:rFonts w:ascii="Palatino Linotype" w:eastAsia="Palatino Linotype" w:hAnsi="Palatino Linotype" w:cs="Palatino Linotype"/>
        </w:rPr>
        <w:t xml:space="preserve">por parte de la </w:t>
      </w:r>
      <w:r w:rsidRPr="007A4C3D">
        <w:rPr>
          <w:rFonts w:ascii="Palatino Linotype" w:eastAsia="Palatino Linotype" w:hAnsi="Palatino Linotype" w:cs="Palatino Linotype"/>
          <w:b/>
        </w:rPr>
        <w:t xml:space="preserve">Secretaría de Movilidad, </w:t>
      </w:r>
      <w:r w:rsidRPr="007A4C3D">
        <w:rPr>
          <w:rFonts w:ascii="Palatino Linotype" w:eastAsia="Palatino Linotype" w:hAnsi="Palatino Linotype" w:cs="Palatino Linotype"/>
        </w:rPr>
        <w:t xml:space="preserve">en lo sucesivo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 xml:space="preserve">se procede a dictar la presente resolución con base en los siguientes: </w:t>
      </w:r>
    </w:p>
    <w:p w14:paraId="578FF34B" w14:textId="77777777" w:rsidR="0099366F" w:rsidRPr="007A4C3D" w:rsidRDefault="00647768">
      <w:pPr>
        <w:spacing w:before="240" w:after="240" w:line="360" w:lineRule="auto"/>
        <w:jc w:val="center"/>
        <w:rPr>
          <w:rFonts w:ascii="Palatino Linotype" w:eastAsia="Palatino Linotype" w:hAnsi="Palatino Linotype" w:cs="Palatino Linotype"/>
          <w:b/>
        </w:rPr>
      </w:pPr>
      <w:r w:rsidRPr="007A4C3D">
        <w:rPr>
          <w:rFonts w:ascii="Palatino Linotype" w:eastAsia="Palatino Linotype" w:hAnsi="Palatino Linotype" w:cs="Palatino Linotype"/>
          <w:b/>
        </w:rPr>
        <w:t>I. A N T E C E D E N T E S</w:t>
      </w:r>
    </w:p>
    <w:p w14:paraId="4875740A"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0" w:name="_heading=h.4d34og8" w:colFirst="0" w:colLast="0"/>
      <w:bookmarkEnd w:id="0"/>
      <w:r w:rsidRPr="007A4C3D">
        <w:rPr>
          <w:rFonts w:ascii="Palatino Linotype" w:eastAsia="Palatino Linotype" w:hAnsi="Palatino Linotype" w:cs="Palatino Linotype"/>
          <w:b/>
        </w:rPr>
        <w:t>1. Solicitud de acceso a la información.</w:t>
      </w:r>
      <w:r w:rsidRPr="007A4C3D">
        <w:rPr>
          <w:rFonts w:ascii="Palatino Linotype" w:eastAsia="Palatino Linotype" w:hAnsi="Palatino Linotype" w:cs="Palatino Linotype"/>
        </w:rPr>
        <w:t xml:space="preserve"> El </w:t>
      </w:r>
      <w:r w:rsidRPr="007A4C3D">
        <w:rPr>
          <w:rFonts w:ascii="Palatino Linotype" w:eastAsia="Palatino Linotype" w:hAnsi="Palatino Linotype" w:cs="Palatino Linotype"/>
          <w:b/>
        </w:rPr>
        <w:t>veinte de noviembre de dos mil veinticuatro,</w:t>
      </w:r>
      <w:r w:rsidRPr="007A4C3D">
        <w:rPr>
          <w:rFonts w:ascii="Palatino Linotype" w:eastAsia="Palatino Linotype" w:hAnsi="Palatino Linotype" w:cs="Palatino Linotype"/>
        </w:rPr>
        <w:t xml:space="preserve"> la parte </w:t>
      </w:r>
      <w:r w:rsidRPr="007A4C3D">
        <w:rPr>
          <w:rFonts w:ascii="Palatino Linotype" w:eastAsia="Palatino Linotype" w:hAnsi="Palatino Linotype" w:cs="Palatino Linotype"/>
          <w:b/>
        </w:rPr>
        <w:t xml:space="preserve">Recurrente </w:t>
      </w:r>
      <w:r w:rsidRPr="007A4C3D">
        <w:rPr>
          <w:rFonts w:ascii="Palatino Linotype" w:eastAsia="Palatino Linotype" w:hAnsi="Palatino Linotype" w:cs="Palatino Linotype"/>
        </w:rPr>
        <w:t xml:space="preserve">presentó, a través del Sistema de Acceso a la Información Mexiquense, en lo subsecuente el </w:t>
      </w:r>
      <w:r w:rsidRPr="007A4C3D">
        <w:rPr>
          <w:rFonts w:ascii="Palatino Linotype" w:eastAsia="Palatino Linotype" w:hAnsi="Palatino Linotype" w:cs="Palatino Linotype"/>
          <w:b/>
        </w:rPr>
        <w:t>SAIMEX,</w:t>
      </w:r>
      <w:r w:rsidRPr="007A4C3D">
        <w:rPr>
          <w:rFonts w:ascii="Palatino Linotype" w:eastAsia="Palatino Linotype" w:hAnsi="Palatino Linotype" w:cs="Palatino Linotype"/>
        </w:rPr>
        <w:t xml:space="preserve"> ante 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la solicitud de acceso a la información pública, mediante la cual requirió la información siguiente: </w:t>
      </w:r>
    </w:p>
    <w:p w14:paraId="5CF17DC5" w14:textId="77777777" w:rsidR="0099366F" w:rsidRPr="007A4C3D" w:rsidRDefault="00647768">
      <w:pPr>
        <w:spacing w:before="120" w:after="12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7A4C3D">
        <w:rPr>
          <w:rFonts w:ascii="Palatino Linotype" w:eastAsia="Palatino Linotype" w:hAnsi="Palatino Linotype" w:cs="Palatino Linotype"/>
          <w:i/>
          <w:sz w:val="22"/>
          <w:szCs w:val="22"/>
        </w:rPr>
        <w:t xml:space="preserve"> “Se </w:t>
      </w:r>
      <w:proofErr w:type="spellStart"/>
      <w:r w:rsidRPr="007A4C3D">
        <w:rPr>
          <w:rFonts w:ascii="Palatino Linotype" w:eastAsia="Palatino Linotype" w:hAnsi="Palatino Linotype" w:cs="Palatino Linotype"/>
          <w:i/>
          <w:sz w:val="22"/>
          <w:szCs w:val="22"/>
        </w:rPr>
        <w:t>solciita</w:t>
      </w:r>
      <w:proofErr w:type="spellEnd"/>
      <w:r w:rsidRPr="007A4C3D">
        <w:rPr>
          <w:rFonts w:ascii="Palatino Linotype" w:eastAsia="Palatino Linotype" w:hAnsi="Palatino Linotype" w:cs="Palatino Linotype"/>
          <w:i/>
          <w:sz w:val="22"/>
          <w:szCs w:val="22"/>
        </w:rPr>
        <w:t xml:space="preserve"> el </w:t>
      </w:r>
      <w:proofErr w:type="spellStart"/>
      <w:r w:rsidRPr="007A4C3D">
        <w:rPr>
          <w:rFonts w:ascii="Palatino Linotype" w:eastAsia="Palatino Linotype" w:hAnsi="Palatino Linotype" w:cs="Palatino Linotype"/>
          <w:i/>
          <w:sz w:val="22"/>
          <w:szCs w:val="22"/>
        </w:rPr>
        <w:t>vanace</w:t>
      </w:r>
      <w:proofErr w:type="spellEnd"/>
      <w:r w:rsidRPr="007A4C3D">
        <w:rPr>
          <w:rFonts w:ascii="Palatino Linotype" w:eastAsia="Palatino Linotype" w:hAnsi="Palatino Linotype" w:cs="Palatino Linotype"/>
          <w:i/>
          <w:sz w:val="22"/>
          <w:szCs w:val="22"/>
        </w:rPr>
        <w:t xml:space="preserve"> de cada una de las acciones del Plan </w:t>
      </w:r>
      <w:proofErr w:type="spellStart"/>
      <w:r w:rsidRPr="007A4C3D">
        <w:rPr>
          <w:rFonts w:ascii="Palatino Linotype" w:eastAsia="Palatino Linotype" w:hAnsi="Palatino Linotype" w:cs="Palatino Linotype"/>
          <w:i/>
          <w:sz w:val="22"/>
          <w:szCs w:val="22"/>
        </w:rPr>
        <w:t>Colibri</w:t>
      </w:r>
      <w:proofErr w:type="spellEnd"/>
      <w:r w:rsidRPr="007A4C3D">
        <w:rPr>
          <w:rFonts w:ascii="Palatino Linotype" w:eastAsia="Palatino Linotype" w:hAnsi="Palatino Linotype" w:cs="Palatino Linotype"/>
          <w:i/>
          <w:sz w:val="22"/>
          <w:szCs w:val="22"/>
        </w:rPr>
        <w:t xml:space="preserve"> a la fecha con los documentos que los soporten</w:t>
      </w:r>
      <w:r w:rsidRPr="007A4C3D">
        <w:rPr>
          <w:rFonts w:ascii="Palatino Linotype" w:eastAsia="Palatino Linotype" w:hAnsi="Palatino Linotype" w:cs="Palatino Linotype"/>
          <w:b/>
          <w:i/>
          <w:sz w:val="22"/>
          <w:szCs w:val="22"/>
        </w:rPr>
        <w:t>”</w:t>
      </w:r>
      <w:r w:rsidRPr="007A4C3D">
        <w:rPr>
          <w:rFonts w:ascii="Palatino Linotype" w:eastAsia="Palatino Linotype" w:hAnsi="Palatino Linotype" w:cs="Palatino Linotype"/>
          <w:i/>
          <w:sz w:val="22"/>
          <w:szCs w:val="22"/>
        </w:rPr>
        <w:t xml:space="preserve"> (sic) </w:t>
      </w:r>
    </w:p>
    <w:p w14:paraId="3772DC1D"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7A4C3D">
        <w:rPr>
          <w:rFonts w:ascii="Palatino Linotype" w:eastAsia="Palatino Linotype" w:hAnsi="Palatino Linotype" w:cs="Palatino Linotype"/>
          <w:b/>
        </w:rPr>
        <w:t>Modalidad de Entrega:</w:t>
      </w:r>
      <w:r w:rsidRPr="007A4C3D">
        <w:rPr>
          <w:rFonts w:ascii="Palatino Linotype" w:eastAsia="Palatino Linotype" w:hAnsi="Palatino Linotype" w:cs="Palatino Linotype"/>
        </w:rPr>
        <w:t xml:space="preserve"> a través </w:t>
      </w:r>
      <w:r w:rsidRPr="007A4C3D">
        <w:rPr>
          <w:rFonts w:ascii="Palatino Linotype" w:eastAsia="Palatino Linotype" w:hAnsi="Palatino Linotype" w:cs="Palatino Linotype"/>
          <w:b/>
        </w:rPr>
        <w:t>de SAIMEX</w:t>
      </w:r>
    </w:p>
    <w:p w14:paraId="4C730D71"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 xml:space="preserve">2. Respuesta. </w:t>
      </w:r>
      <w:r w:rsidRPr="007A4C3D">
        <w:rPr>
          <w:rFonts w:ascii="Palatino Linotype" w:eastAsia="Palatino Linotype" w:hAnsi="Palatino Linotype" w:cs="Palatino Linotype"/>
        </w:rPr>
        <w:t>El</w:t>
      </w:r>
      <w:r w:rsidRPr="007A4C3D">
        <w:rPr>
          <w:rFonts w:ascii="Palatino Linotype" w:eastAsia="Palatino Linotype" w:hAnsi="Palatino Linotype" w:cs="Palatino Linotype"/>
          <w:b/>
        </w:rPr>
        <w:t xml:space="preserve"> diez de diciembre de dos mil veinticuatro</w:t>
      </w:r>
      <w:r w:rsidRPr="007A4C3D">
        <w:rPr>
          <w:rFonts w:ascii="Palatino Linotype" w:eastAsia="Palatino Linotype" w:hAnsi="Palatino Linotype" w:cs="Palatino Linotype"/>
        </w:rPr>
        <w:t xml:space="preserve">,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74D777C6" w14:textId="77777777" w:rsidR="0099366F" w:rsidRPr="007A4C3D" w:rsidRDefault="00647768">
      <w:pPr>
        <w:spacing w:before="240" w:after="240"/>
        <w:ind w:left="851" w:right="902"/>
        <w:jc w:val="both"/>
        <w:rPr>
          <w:rFonts w:ascii="Palatino Linotype" w:eastAsia="Palatino Linotype" w:hAnsi="Palatino Linotype" w:cs="Palatino Linotype"/>
          <w:b/>
          <w:i/>
          <w:sz w:val="22"/>
          <w:szCs w:val="22"/>
        </w:rPr>
      </w:pPr>
      <w:r w:rsidRPr="007A4C3D">
        <w:rPr>
          <w:rFonts w:ascii="Palatino Linotype" w:eastAsia="Palatino Linotype" w:hAnsi="Palatino Linotype" w:cs="Palatino Linotype"/>
          <w:i/>
          <w:sz w:val="22"/>
          <w:szCs w:val="22"/>
        </w:rPr>
        <w:lastRenderedPageBreak/>
        <w:t>“…LICENCIADO ALEJANDRO HERNANDEZ AGUILAR COORDINADOR DE CONTROL TÉCNICO Y TITULAR DE LA UNIDAD DE TRANSPARENCIA DE LA SECRETARÍA DE MOVILIDAD DEL GOBIERNO DEL ESTADO DE MÉXICO PRESENTE Por medio de la presente comunicación me permito adjuntar el oficio 2200001000000S/223/2024 de fecha 09 de noviembre del 2024 y los archivos anexos (ANEXO 1. PLAN COLIBRÍ - REPORTE TERCER TRIMESTRE 2024.pdf y ANEXO 2. EVIDENCIA DE CUMPLIMIENTO DE ACCIONES DEL PLAN COLIBRÍ.pdf); como respuesta a la solicitud de Información Pública que fue turnada a la Coordinación a mi cargo, presentada el 21 de noviembre del 2024 a través del Sistema de Acceso a la Información Mexiquense (SAIMEX) con número 00837/SMOV/IP/2024. Sin más por el momento aprovecho la ocasión para enviarle un cordial saludo. ATENTAMENTE LICENCIADO CANEK PAVEL FLORES CHAVESTE COORDINADOR DE CONCERTACIÓN SECTORIAL SERVIDOR PÚBLICO HABILITADO...” (sic)</w:t>
      </w:r>
    </w:p>
    <w:p w14:paraId="091ACAF6"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adjuntó lo siguiente:</w:t>
      </w:r>
    </w:p>
    <w:p w14:paraId="63E905B9"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Oficio número 22000010000000S/223/2024, del nueve de diciembre de dos mil veinticuatro, mediante el cual el Coordinador de Concentración Sectorial, en atención a la solicitud informó que el “Plan Colibrí, 100 compromisos por la movilidad sostenible” cuenta con un avance al tercer trimestre (julio-septiembre) del año 2024 del 52%, de conformidad con la información obtenida de la evaluación y el seguimiento a las acciones del citado plan que realiza la Coordinación con las Áreas Responsables que forman parte de la Secretaria de Movilidad del Estado de México.</w:t>
      </w:r>
    </w:p>
    <w:p w14:paraId="7D8D798C"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Asimismo, informó que el “Plan Colibrí, 100 compromisos por la movilidad sostenible”, está conformado por </w:t>
      </w:r>
      <w:r w:rsidRPr="007A4C3D">
        <w:rPr>
          <w:rFonts w:ascii="Palatino Linotype" w:eastAsia="Palatino Linotype" w:hAnsi="Palatino Linotype" w:cs="Palatino Linotype"/>
          <w:b/>
        </w:rPr>
        <w:t>10 Ejes Transversales</w:t>
      </w:r>
      <w:r w:rsidRPr="007A4C3D">
        <w:rPr>
          <w:rFonts w:ascii="Palatino Linotype" w:eastAsia="Palatino Linotype" w:hAnsi="Palatino Linotype" w:cs="Palatino Linotype"/>
        </w:rPr>
        <w:t xml:space="preserve"> para los cuales el avance es el siguiente en cada uno, al tercer trimestre (julio-septiembre) del año 2024: </w:t>
      </w:r>
      <w:r w:rsidRPr="007A4C3D">
        <w:rPr>
          <w:rFonts w:ascii="Palatino Linotype" w:eastAsia="Palatino Linotype" w:hAnsi="Palatino Linotype" w:cs="Palatino Linotype"/>
          <w:b/>
        </w:rPr>
        <w:t>Eje 1.</w:t>
      </w:r>
      <w:r w:rsidRPr="007A4C3D">
        <w:rPr>
          <w:rFonts w:ascii="Palatino Linotype" w:eastAsia="Palatino Linotype" w:hAnsi="Palatino Linotype" w:cs="Palatino Linotype"/>
        </w:rPr>
        <w:t xml:space="preserve"> Línea Anticorrupción y Participación Ciudadana 67%; </w:t>
      </w:r>
      <w:r w:rsidRPr="007A4C3D">
        <w:rPr>
          <w:rFonts w:ascii="Palatino Linotype" w:eastAsia="Palatino Linotype" w:hAnsi="Palatino Linotype" w:cs="Palatino Linotype"/>
          <w:b/>
        </w:rPr>
        <w:t>Eje 2</w:t>
      </w:r>
      <w:r w:rsidRPr="007A4C3D">
        <w:rPr>
          <w:rFonts w:ascii="Palatino Linotype" w:eastAsia="Palatino Linotype" w:hAnsi="Palatino Linotype" w:cs="Palatino Linotype"/>
        </w:rPr>
        <w:t xml:space="preserve">. Programa de Movilidad Segura del Estado de México 41%; </w:t>
      </w:r>
      <w:r w:rsidRPr="007A4C3D">
        <w:rPr>
          <w:rFonts w:ascii="Palatino Linotype" w:eastAsia="Palatino Linotype" w:hAnsi="Palatino Linotype" w:cs="Palatino Linotype"/>
          <w:b/>
        </w:rPr>
        <w:t xml:space="preserve">Eje 3. </w:t>
      </w:r>
      <w:r w:rsidRPr="007A4C3D">
        <w:rPr>
          <w:rFonts w:ascii="Palatino Linotype" w:eastAsia="Palatino Linotype" w:hAnsi="Palatino Linotype" w:cs="Palatino Linotype"/>
        </w:rPr>
        <w:t xml:space="preserve">Caracterización y Atención de </w:t>
      </w:r>
      <w:r w:rsidRPr="007A4C3D">
        <w:rPr>
          <w:rFonts w:ascii="Palatino Linotype" w:eastAsia="Palatino Linotype" w:hAnsi="Palatino Linotype" w:cs="Palatino Linotype"/>
        </w:rPr>
        <w:lastRenderedPageBreak/>
        <w:t xml:space="preserve">las Problemáticas del Transporte Público 58%; </w:t>
      </w:r>
      <w:r w:rsidRPr="007A4C3D">
        <w:rPr>
          <w:rFonts w:ascii="Palatino Linotype" w:eastAsia="Palatino Linotype" w:hAnsi="Palatino Linotype" w:cs="Palatino Linotype"/>
          <w:b/>
        </w:rPr>
        <w:t>Eje 4.</w:t>
      </w:r>
      <w:r w:rsidRPr="007A4C3D">
        <w:rPr>
          <w:rFonts w:ascii="Palatino Linotype" w:eastAsia="Palatino Linotype" w:hAnsi="Palatino Linotype" w:cs="Palatino Linotype"/>
        </w:rPr>
        <w:t xml:space="preserve"> Unificación de la Red de Movilidad Integrada en la ZMVM 44%; </w:t>
      </w:r>
      <w:r w:rsidRPr="007A4C3D">
        <w:rPr>
          <w:rFonts w:ascii="Palatino Linotype" w:eastAsia="Palatino Linotype" w:hAnsi="Palatino Linotype" w:cs="Palatino Linotype"/>
          <w:b/>
        </w:rPr>
        <w:t>Eje 5.</w:t>
      </w:r>
      <w:r w:rsidRPr="007A4C3D">
        <w:rPr>
          <w:rFonts w:ascii="Palatino Linotype" w:eastAsia="Palatino Linotype" w:hAnsi="Palatino Linotype" w:cs="Palatino Linotype"/>
        </w:rPr>
        <w:t xml:space="preserve"> Reactivación del Plan Ritmo: Red Integrada de Transporte Masivo Ordenado 45%; </w:t>
      </w:r>
      <w:r w:rsidRPr="007A4C3D">
        <w:rPr>
          <w:rFonts w:ascii="Palatino Linotype" w:eastAsia="Palatino Linotype" w:hAnsi="Palatino Linotype" w:cs="Palatino Linotype"/>
          <w:b/>
        </w:rPr>
        <w:t>Eje 6</w:t>
      </w:r>
      <w:r w:rsidRPr="007A4C3D">
        <w:rPr>
          <w:rFonts w:ascii="Palatino Linotype" w:eastAsia="Palatino Linotype" w:hAnsi="Palatino Linotype" w:cs="Palatino Linotype"/>
        </w:rPr>
        <w:t xml:space="preserve">. Impulso a la Movilidad Activa 21%; </w:t>
      </w:r>
      <w:r w:rsidRPr="007A4C3D">
        <w:rPr>
          <w:rFonts w:ascii="Palatino Linotype" w:eastAsia="Palatino Linotype" w:hAnsi="Palatino Linotype" w:cs="Palatino Linotype"/>
          <w:b/>
        </w:rPr>
        <w:t>Eje 7.</w:t>
      </w:r>
      <w:r w:rsidRPr="007A4C3D">
        <w:rPr>
          <w:rFonts w:ascii="Palatino Linotype" w:eastAsia="Palatino Linotype" w:hAnsi="Palatino Linotype" w:cs="Palatino Linotype"/>
        </w:rPr>
        <w:t xml:space="preserve"> Vialidades y Movilidad Motorizada 37%; </w:t>
      </w:r>
      <w:r w:rsidRPr="007A4C3D">
        <w:rPr>
          <w:rFonts w:ascii="Palatino Linotype" w:eastAsia="Palatino Linotype" w:hAnsi="Palatino Linotype" w:cs="Palatino Linotype"/>
          <w:b/>
        </w:rPr>
        <w:t>Eje 8.</w:t>
      </w:r>
      <w:r w:rsidRPr="007A4C3D">
        <w:rPr>
          <w:rFonts w:ascii="Palatino Linotype" w:eastAsia="Palatino Linotype" w:hAnsi="Palatino Linotype" w:cs="Palatino Linotype"/>
        </w:rPr>
        <w:t xml:space="preserve"> Alinear el Marco Institucional y Jurídico de la Movilidad 59%; </w:t>
      </w:r>
      <w:r w:rsidRPr="007A4C3D">
        <w:rPr>
          <w:rFonts w:ascii="Palatino Linotype" w:eastAsia="Palatino Linotype" w:hAnsi="Palatino Linotype" w:cs="Palatino Linotype"/>
          <w:b/>
        </w:rPr>
        <w:t>Eje 9</w:t>
      </w:r>
      <w:r w:rsidRPr="007A4C3D">
        <w:rPr>
          <w:rFonts w:ascii="Palatino Linotype" w:eastAsia="Palatino Linotype" w:hAnsi="Palatino Linotype" w:cs="Palatino Linotype"/>
        </w:rPr>
        <w:t xml:space="preserve">. Perspectiva de Género e Interseccionalidad de las Personas 72% y </w:t>
      </w:r>
      <w:r w:rsidRPr="007A4C3D">
        <w:rPr>
          <w:rFonts w:ascii="Palatino Linotype" w:eastAsia="Palatino Linotype" w:hAnsi="Palatino Linotype" w:cs="Palatino Linotype"/>
          <w:b/>
        </w:rPr>
        <w:t>Eje 10.</w:t>
      </w:r>
      <w:r w:rsidRPr="007A4C3D">
        <w:rPr>
          <w:rFonts w:ascii="Palatino Linotype" w:eastAsia="Palatino Linotype" w:hAnsi="Palatino Linotype" w:cs="Palatino Linotype"/>
        </w:rPr>
        <w:t xml:space="preserve"> Desarrollo Sostenible, Eficiencia Energética y Medio Ambiente 88%, y para mejor referencia anexó un archivo en formato PDF, donde se detalla el porcentaje de avance de cada una de las 100 Acciones que conforman el “Plan Colibrí, 100 compromisos por la movilidad sostenible”, el cual se encuentra publicado en la página oficial de la Secretaría de Movilidad del Estado de México, a través del siguiente link </w:t>
      </w:r>
      <w:hyperlink r:id="rId8">
        <w:r w:rsidRPr="007A4C3D">
          <w:rPr>
            <w:rFonts w:ascii="Palatino Linotype" w:eastAsia="Palatino Linotype" w:hAnsi="Palatino Linotype" w:cs="Palatino Linotype"/>
            <w:u w:val="single"/>
          </w:rPr>
          <w:t>https://smovilidad.edomex.gob.mx/sites/smovilidad.edomex.gob.mx/files/files/pdf/Colibri/100%20COMPROMISOS%20PARA%20LA%20MOVILIDAD%20SOSTENIBLE%20PLAN%20COLIBRI%CC%81_TCARTA%20(2).pdf</w:t>
        </w:r>
      </w:hyperlink>
      <w:r w:rsidRPr="007A4C3D">
        <w:rPr>
          <w:rFonts w:ascii="Palatino Linotype" w:eastAsia="Palatino Linotype" w:hAnsi="Palatino Linotype" w:cs="Palatino Linotype"/>
        </w:rPr>
        <w:t>, en formato abierto, en donde se encuentra el contenido del mismo, la referencia y nombre de cada una de las 100 acciones que conforman dicho Plan.</w:t>
      </w:r>
    </w:p>
    <w:p w14:paraId="377CECEA"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Finalmente, en cuanto a los documentos que soporten el avance, informó que la Coordinación  no genera dicha información, ya que el reporte de avance trimestral señalado se nutre de la información que reporta cada área encargada de la implementación de las acciones del citado Plan. Por lo anterior, el momento procesal en que las áreas responsables presentan evidencias del cumplimiento de las acciones a la Coordinación, es cuando se dan por cumplidas a través del Procedimiento de Baja y Liberación, por lo que de la búsqueda exhaustiva y razonable en los archivos que obran en la Coordinación de Concertación Sectorial y </w:t>
      </w:r>
      <w:r w:rsidRPr="007A4C3D">
        <w:rPr>
          <w:rFonts w:ascii="Palatino Linotype" w:eastAsia="Palatino Linotype" w:hAnsi="Palatino Linotype" w:cs="Palatino Linotype"/>
        </w:rPr>
        <w:lastRenderedPageBreak/>
        <w:t>la Dirección de Gestión adscrita, únicamente se cuenta con evidencia de cumplimiento de acciones del plan colibrí, a través de los formatos denominados “INFORME FINAL DEL ESTADO ACTUAL DE LAS ACCIONES DEL PLAN COLIBRÍ” respecto de las acciones con los numerales 1, 2, 16, 26 y 82, documentales que fueron remitidas por las Áreas Responsables de su ejecución, que solicitaron iniciar el Procedimiento de Baja y Liberación, mismo que se encuentra en trámite. En relación a la información descrita proporcionó el archivo electrónico que contiene la evidencia de cumplimiento de acciones del Plan Colibrí.</w:t>
      </w:r>
    </w:p>
    <w:p w14:paraId="4E99ACFE"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Reporte tercer trimestre 2024, que consta de veintitrés hojas, en las cuales se detalla el porcentaje de avance por cada eje que conforma el “Plan Colibrí, 100 compromisos por la movilidad sostenible”, con sus respectivas líneas de acción.</w:t>
      </w:r>
    </w:p>
    <w:p w14:paraId="788E59E5"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Informe final del estado actual de las acciones del Plan Colibrí, 1, 2, 16, 26 y 82, el cual consta de 87 hojas.</w:t>
      </w:r>
    </w:p>
    <w:p w14:paraId="081BAD4A" w14:textId="77777777" w:rsidR="0099366F" w:rsidRPr="007A4C3D" w:rsidRDefault="00647768">
      <w:pPr>
        <w:spacing w:before="240" w:after="240" w:line="360" w:lineRule="auto"/>
        <w:ind w:right="49"/>
        <w:jc w:val="both"/>
        <w:rPr>
          <w:rFonts w:ascii="Palatino Linotype" w:eastAsia="Palatino Linotype" w:hAnsi="Palatino Linotype" w:cs="Palatino Linotype"/>
          <w:b/>
        </w:rPr>
      </w:pPr>
      <w:r w:rsidRPr="007A4C3D">
        <w:rPr>
          <w:rFonts w:ascii="Palatino Linotype" w:eastAsia="Palatino Linotype" w:hAnsi="Palatino Linotype" w:cs="Palatino Linotype"/>
          <w:b/>
        </w:rPr>
        <w:t xml:space="preserve">3. Interposición del recurso de revisión. </w:t>
      </w:r>
      <w:r w:rsidRPr="007A4C3D">
        <w:rPr>
          <w:rFonts w:ascii="Palatino Linotype" w:eastAsia="Palatino Linotype" w:hAnsi="Palatino Linotype" w:cs="Palatino Linotype"/>
        </w:rPr>
        <w:t xml:space="preserve">Inconforme con los términos de la respuesta emitida por parte del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el </w:t>
      </w:r>
      <w:r w:rsidRPr="007A4C3D">
        <w:rPr>
          <w:rFonts w:ascii="Palatino Linotype" w:eastAsia="Palatino Linotype" w:hAnsi="Palatino Linotype" w:cs="Palatino Linotype"/>
          <w:b/>
        </w:rPr>
        <w:t>veintiuno de enero de dos mil veinticinco,</w:t>
      </w:r>
      <w:r w:rsidRPr="007A4C3D">
        <w:rPr>
          <w:rFonts w:ascii="Palatino Linotype" w:eastAsia="Palatino Linotype" w:hAnsi="Palatino Linotype" w:cs="Palatino Linotype"/>
        </w:rPr>
        <w:t xml:space="preserve"> 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interpuso el recurso de revisión a través de </w:t>
      </w:r>
      <w:r w:rsidRPr="007A4C3D">
        <w:rPr>
          <w:rFonts w:ascii="Palatino Linotype" w:eastAsia="Palatino Linotype" w:hAnsi="Palatino Linotype" w:cs="Palatino Linotype"/>
          <w:b/>
        </w:rPr>
        <w:t xml:space="preserve">SAIMEX, </w:t>
      </w:r>
      <w:r w:rsidRPr="007A4C3D">
        <w:rPr>
          <w:rFonts w:ascii="Palatino Linotype" w:eastAsia="Palatino Linotype" w:hAnsi="Palatino Linotype" w:cs="Palatino Linotype"/>
        </w:rPr>
        <w:t>en donde se manifestó de la siguiente manera:</w:t>
      </w:r>
    </w:p>
    <w:p w14:paraId="28D3B68B" w14:textId="77777777" w:rsidR="0099366F" w:rsidRPr="007A4C3D" w:rsidRDefault="00647768">
      <w:pPr>
        <w:tabs>
          <w:tab w:val="left" w:pos="2745"/>
        </w:tabs>
        <w:spacing w:before="240" w:after="240" w:line="360" w:lineRule="auto"/>
        <w:jc w:val="both"/>
        <w:rPr>
          <w:rFonts w:ascii="Palatino Linotype" w:eastAsia="Palatino Linotype" w:hAnsi="Palatino Linotype" w:cs="Palatino Linotype"/>
          <w:b/>
        </w:rPr>
      </w:pPr>
      <w:r w:rsidRPr="007A4C3D">
        <w:rPr>
          <w:rFonts w:ascii="Palatino Linotype" w:eastAsia="Palatino Linotype" w:hAnsi="Palatino Linotype" w:cs="Palatino Linotype"/>
          <w:b/>
        </w:rPr>
        <w:t xml:space="preserve">Acto impugnado: </w:t>
      </w:r>
    </w:p>
    <w:p w14:paraId="5D0EB0FC" w14:textId="77777777" w:rsidR="0099366F" w:rsidRPr="007A4C3D" w:rsidRDefault="00647768">
      <w:pPr>
        <w:tabs>
          <w:tab w:val="left" w:pos="2745"/>
        </w:tabs>
        <w:spacing w:before="240" w:after="240"/>
        <w:ind w:left="851" w:right="900"/>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“No entrega lo que se pide” (sic)</w:t>
      </w:r>
    </w:p>
    <w:p w14:paraId="17A8A01F" w14:textId="77777777" w:rsidR="0099366F" w:rsidRPr="007A4C3D" w:rsidRDefault="00647768">
      <w:pPr>
        <w:spacing w:line="360" w:lineRule="auto"/>
        <w:jc w:val="both"/>
        <w:rPr>
          <w:rFonts w:ascii="Palatino Linotype" w:eastAsia="Palatino Linotype" w:hAnsi="Palatino Linotype" w:cs="Palatino Linotype"/>
        </w:rPr>
      </w:pPr>
      <w:bookmarkStart w:id="3" w:name="_heading=h.30j0zll" w:colFirst="0" w:colLast="0"/>
      <w:bookmarkEnd w:id="3"/>
      <w:r w:rsidRPr="007A4C3D">
        <w:rPr>
          <w:rFonts w:ascii="Palatino Linotype" w:eastAsia="Palatino Linotype" w:hAnsi="Palatino Linotype" w:cs="Palatino Linotype"/>
          <w:b/>
        </w:rPr>
        <w:t>Y Razones o motivos de inconformidad</w:t>
      </w:r>
      <w:r w:rsidRPr="007A4C3D">
        <w:rPr>
          <w:rFonts w:ascii="Palatino Linotype" w:eastAsia="Palatino Linotype" w:hAnsi="Palatino Linotype" w:cs="Palatino Linotype"/>
        </w:rPr>
        <w:t xml:space="preserve">: </w:t>
      </w:r>
    </w:p>
    <w:p w14:paraId="3B13804E" w14:textId="77777777" w:rsidR="0099366F" w:rsidRPr="007A4C3D" w:rsidRDefault="00647768">
      <w:pPr>
        <w:tabs>
          <w:tab w:val="left" w:pos="2745"/>
        </w:tabs>
        <w:spacing w:before="240" w:after="240"/>
        <w:ind w:left="851" w:right="900"/>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“revisando la información no cumple con lo que se pide” (sic)</w:t>
      </w:r>
    </w:p>
    <w:p w14:paraId="762E0F44"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b/>
        </w:rPr>
        <w:lastRenderedPageBreak/>
        <w:t xml:space="preserve">4. Turno. </w:t>
      </w:r>
      <w:r w:rsidRPr="007A4C3D">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A4C3D">
        <w:rPr>
          <w:rFonts w:ascii="Palatino Linotype" w:eastAsia="Palatino Linotype" w:hAnsi="Palatino Linotype" w:cs="Palatino Linotype"/>
          <w:b/>
        </w:rPr>
        <w:t xml:space="preserve">Guadalupe Ramírez Peña, </w:t>
      </w:r>
      <w:r w:rsidRPr="007A4C3D">
        <w:rPr>
          <w:rFonts w:ascii="Palatino Linotype" w:eastAsia="Palatino Linotype" w:hAnsi="Palatino Linotype" w:cs="Palatino Linotype"/>
        </w:rPr>
        <w:t xml:space="preserve">a efecto de que analizara sobre su admisión o su </w:t>
      </w:r>
      <w:proofErr w:type="spellStart"/>
      <w:r w:rsidRPr="007A4C3D">
        <w:rPr>
          <w:rFonts w:ascii="Palatino Linotype" w:eastAsia="Palatino Linotype" w:hAnsi="Palatino Linotype" w:cs="Palatino Linotype"/>
        </w:rPr>
        <w:t>desechamiento</w:t>
      </w:r>
      <w:proofErr w:type="spellEnd"/>
      <w:r w:rsidRPr="007A4C3D">
        <w:rPr>
          <w:rFonts w:ascii="Palatino Linotype" w:eastAsia="Palatino Linotype" w:hAnsi="Palatino Linotype" w:cs="Palatino Linotype"/>
        </w:rPr>
        <w:t>.</w:t>
      </w:r>
    </w:p>
    <w:p w14:paraId="600CA939"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4" w:name="_heading=h.2s8eyo1" w:colFirst="0" w:colLast="0"/>
      <w:bookmarkEnd w:id="4"/>
      <w:r w:rsidRPr="007A4C3D">
        <w:rPr>
          <w:rFonts w:ascii="Palatino Linotype" w:eastAsia="Palatino Linotype" w:hAnsi="Palatino Linotype" w:cs="Palatino Linotype"/>
          <w:b/>
        </w:rPr>
        <w:t>5. Admisión del Recurso de revisión.</w:t>
      </w:r>
      <w:r w:rsidRPr="007A4C3D">
        <w:rPr>
          <w:rFonts w:ascii="Palatino Linotype" w:eastAsia="Palatino Linotype" w:hAnsi="Palatino Linotype" w:cs="Palatino Linotype"/>
        </w:rPr>
        <w:t xml:space="preserve"> El</w:t>
      </w:r>
      <w:r w:rsidRPr="007A4C3D">
        <w:rPr>
          <w:rFonts w:ascii="Palatino Linotype" w:eastAsia="Palatino Linotype" w:hAnsi="Palatino Linotype" w:cs="Palatino Linotype"/>
          <w:b/>
        </w:rPr>
        <w:t xml:space="preserve"> veinticuatro de enero de dos mil veinticinco, </w:t>
      </w:r>
      <w:r w:rsidRPr="007A4C3D">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presentara su informe justificado.</w:t>
      </w:r>
    </w:p>
    <w:p w14:paraId="60C4E3EB"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6. Manifestaciones</w:t>
      </w:r>
      <w:r w:rsidRPr="007A4C3D">
        <w:rPr>
          <w:rFonts w:ascii="Palatino Linotype" w:eastAsia="Palatino Linotype" w:hAnsi="Palatino Linotype" w:cs="Palatino Linotype"/>
        </w:rPr>
        <w:t xml:space="preserve">. El </w:t>
      </w:r>
      <w:r w:rsidRPr="007A4C3D">
        <w:rPr>
          <w:rFonts w:ascii="Palatino Linotype" w:eastAsia="Palatino Linotype" w:hAnsi="Palatino Linotype" w:cs="Palatino Linotype"/>
          <w:b/>
        </w:rPr>
        <w:t xml:space="preserve">cuatro de febrero de dos mil veinticinco, </w:t>
      </w:r>
      <w:r w:rsidRPr="007A4C3D">
        <w:rPr>
          <w:rFonts w:ascii="Palatino Linotype" w:eastAsia="Palatino Linotype" w:hAnsi="Palatino Linotype" w:cs="Palatino Linotype"/>
        </w:rPr>
        <w:t xml:space="preserve">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remitió, a través de SAIMEX su informe justificado, mediante el cual ratificó la respuesta proporcionada por el servidor público habilitado de la Coordinación de Concertación Sectorial.</w:t>
      </w:r>
    </w:p>
    <w:p w14:paraId="7C68A401" w14:textId="77777777" w:rsidR="0099366F" w:rsidRPr="007A4C3D" w:rsidRDefault="00647768">
      <w:pPr>
        <w:widowControl w:val="0"/>
        <w:spacing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Anexos:</w:t>
      </w:r>
    </w:p>
    <w:p w14:paraId="5568C14F"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Oficio número 22000010000000S/029/2025, del veintiocho de enero de dos mil veinticinco, mediante el cual el servidor público habilitado de la Coordinación de Concertación Sectorial ratifica la respuesta entregada a la solicitud a través del oficio número 22000010000000S/223/2024, reiterando que se hizo entrega de toda la documentación que obra en los archivos de la misma.</w:t>
      </w:r>
    </w:p>
    <w:p w14:paraId="2ECCD2C9"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 xml:space="preserve">Una vez analizados los documentos referidos, se determinó hacerlos del conocimiento de la parte </w:t>
      </w:r>
      <w:r w:rsidRPr="007A4C3D">
        <w:rPr>
          <w:rFonts w:ascii="Palatino Linotype" w:eastAsia="Palatino Linotype" w:hAnsi="Palatino Linotype" w:cs="Palatino Linotype"/>
          <w:b/>
        </w:rPr>
        <w:t xml:space="preserve">Recurrente </w:t>
      </w:r>
      <w:r w:rsidRPr="007A4C3D">
        <w:rPr>
          <w:rFonts w:ascii="Palatino Linotype" w:eastAsia="Palatino Linotype" w:hAnsi="Palatino Linotype" w:cs="Palatino Linotype"/>
        </w:rPr>
        <w:t>con la finalidad de que manifestara lo que a su derecho estimara conveniente, sin embargo, fue omisa en ejercer dicha prerrogativa.</w:t>
      </w:r>
    </w:p>
    <w:p w14:paraId="02BF2FC2"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5" w:name="_heading=h.44sinio" w:colFirst="0" w:colLast="0"/>
      <w:bookmarkEnd w:id="5"/>
      <w:r w:rsidRPr="007A4C3D">
        <w:rPr>
          <w:rFonts w:ascii="Palatino Linotype" w:eastAsia="Palatino Linotype" w:hAnsi="Palatino Linotype" w:cs="Palatino Linotype"/>
          <w:b/>
        </w:rPr>
        <w:t xml:space="preserve">7. Cierre de instrucción. </w:t>
      </w:r>
      <w:r w:rsidRPr="007A4C3D">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7A4C3D">
        <w:rPr>
          <w:rFonts w:ascii="Palatino Linotype" w:eastAsia="Palatino Linotype" w:hAnsi="Palatino Linotype" w:cs="Palatino Linotype"/>
          <w:b/>
        </w:rPr>
        <w:t>once de febrero de dos mil veinticinco</w:t>
      </w:r>
      <w:r w:rsidRPr="007A4C3D">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7B97C492"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85CFD7F" w14:textId="77777777" w:rsidR="0099366F" w:rsidRPr="007A4C3D" w:rsidRDefault="00647768">
      <w:pPr>
        <w:widowControl w:val="0"/>
        <w:spacing w:before="240" w:after="240" w:line="360" w:lineRule="auto"/>
        <w:jc w:val="center"/>
        <w:rPr>
          <w:rFonts w:ascii="Palatino Linotype" w:eastAsia="Palatino Linotype" w:hAnsi="Palatino Linotype" w:cs="Palatino Linotype"/>
          <w:b/>
        </w:rPr>
      </w:pPr>
      <w:r w:rsidRPr="007A4C3D">
        <w:rPr>
          <w:rFonts w:ascii="Palatino Linotype" w:eastAsia="Palatino Linotype" w:hAnsi="Palatino Linotype" w:cs="Palatino Linotype"/>
          <w:b/>
        </w:rPr>
        <w:t>II. C O N S I D E R A N D O S</w:t>
      </w:r>
    </w:p>
    <w:p w14:paraId="72759D44"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Primero. Competencia.</w:t>
      </w:r>
      <w:r w:rsidRPr="007A4C3D">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51F3962"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7A4C3D">
        <w:rPr>
          <w:rFonts w:ascii="Palatino Linotype" w:eastAsia="Palatino Linotype" w:hAnsi="Palatino Linotype" w:cs="Palatino Linotype"/>
          <w:b/>
        </w:rPr>
        <w:lastRenderedPageBreak/>
        <w:t>Segundo. Oportunidad y Procedibilidad del Recurso de Revisión</w:t>
      </w:r>
      <w:r w:rsidRPr="007A4C3D">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9E92BDC"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 xml:space="preserve">remitió la respuesta a la solicitud de información el </w:t>
      </w:r>
      <w:r w:rsidRPr="007A4C3D">
        <w:rPr>
          <w:rFonts w:ascii="Palatino Linotype" w:eastAsia="Palatino Linotype" w:hAnsi="Palatino Linotype" w:cs="Palatino Linotype"/>
          <w:b/>
        </w:rPr>
        <w:t xml:space="preserve">diez de diciembre de dos mil veinticuatro, </w:t>
      </w:r>
      <w:r w:rsidRPr="007A4C3D">
        <w:rPr>
          <w:rFonts w:ascii="Palatino Linotype" w:eastAsia="Palatino Linotype" w:hAnsi="Palatino Linotype" w:cs="Palatino Linotype"/>
        </w:rPr>
        <w:t xml:space="preserve">mientras que el recurso de revisión interpuesto por </w:t>
      </w:r>
      <w:r w:rsidRPr="007A4C3D">
        <w:rPr>
          <w:rFonts w:ascii="Palatino Linotype" w:eastAsia="Palatino Linotype" w:hAnsi="Palatino Linotype" w:cs="Palatino Linotype"/>
          <w:b/>
        </w:rPr>
        <w:t>la parte</w:t>
      </w:r>
      <w:r w:rsidRPr="007A4C3D">
        <w:rPr>
          <w:rFonts w:ascii="Palatino Linotype" w:eastAsia="Palatino Linotype" w:hAnsi="Palatino Linotype" w:cs="Palatino Linotype"/>
        </w:rPr>
        <w:t xml:space="preserv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se tuvo por presentado el </w:t>
      </w:r>
      <w:r w:rsidRPr="007A4C3D">
        <w:rPr>
          <w:rFonts w:ascii="Palatino Linotype" w:eastAsia="Palatino Linotype" w:hAnsi="Palatino Linotype" w:cs="Palatino Linotype"/>
          <w:b/>
        </w:rPr>
        <w:t xml:space="preserve">veintiuno de enero de dos mil veinticinco </w:t>
      </w:r>
      <w:r w:rsidRPr="007A4C3D">
        <w:rPr>
          <w:rFonts w:ascii="Palatino Linotype" w:eastAsia="Palatino Linotype" w:hAnsi="Palatino Linotype" w:cs="Palatino Linotype"/>
        </w:rPr>
        <w:t xml:space="preserve">esto es, </w:t>
      </w:r>
      <w:r w:rsidRPr="007A4C3D">
        <w:rPr>
          <w:rFonts w:ascii="Palatino Linotype" w:eastAsia="Palatino Linotype" w:hAnsi="Palatino Linotype" w:cs="Palatino Linotype"/>
          <w:b/>
        </w:rPr>
        <w:t>al décimo quinto día hábil posterior a aquel</w:t>
      </w:r>
      <w:r w:rsidRPr="007A4C3D">
        <w:rPr>
          <w:rFonts w:ascii="Palatino Linotype" w:eastAsia="Palatino Linotype" w:hAnsi="Palatino Linotype" w:cs="Palatino Linotype"/>
        </w:rPr>
        <w:t xml:space="preserve"> </w:t>
      </w:r>
      <w:r w:rsidRPr="007A4C3D">
        <w:rPr>
          <w:rFonts w:ascii="Palatino Linotype" w:eastAsia="Palatino Linotype" w:hAnsi="Palatino Linotype" w:cs="Palatino Linotype"/>
          <w:b/>
        </w:rPr>
        <w:t>en que se tuvo conocimiento de la respuesta impugnada</w:t>
      </w:r>
      <w:r w:rsidRPr="007A4C3D">
        <w:rPr>
          <w:rFonts w:ascii="Palatino Linotype" w:eastAsia="Palatino Linotype" w:hAnsi="Palatino Linotype" w:cs="Palatino Linotype"/>
        </w:rPr>
        <w:t>. En este sentido, se concluye que el presente recurso de revisión se encuentra dentro de los márgenes temporales previstos en las disposiciones legales referidas.</w:t>
      </w:r>
    </w:p>
    <w:p w14:paraId="414466CC" w14:textId="77777777" w:rsidR="0099366F" w:rsidRPr="007A4C3D" w:rsidRDefault="00647768">
      <w:pPr>
        <w:spacing w:line="360" w:lineRule="auto"/>
        <w:jc w:val="both"/>
        <w:rPr>
          <w:rFonts w:ascii="Palatino Linotype" w:eastAsia="Palatino Linotype" w:hAnsi="Palatino Linotype" w:cs="Palatino Linotype"/>
        </w:rPr>
      </w:pPr>
      <w:bookmarkStart w:id="7" w:name="_heading=h.3znysh7" w:colFirst="0" w:colLast="0"/>
      <w:bookmarkEnd w:id="7"/>
      <w:r w:rsidRPr="007A4C3D">
        <w:rPr>
          <w:rFonts w:ascii="Palatino Linotype" w:eastAsia="Palatino Linotype" w:hAnsi="Palatino Linotype" w:cs="Palatino Linotype"/>
        </w:rPr>
        <w:t>Además, por cuanto hace a la procedibilidad del recurso de revisión, es de suma importancia señalar que la parte</w:t>
      </w:r>
      <w:r w:rsidRPr="007A4C3D">
        <w:rPr>
          <w:rFonts w:ascii="Palatino Linotype" w:eastAsia="Palatino Linotype" w:hAnsi="Palatino Linotype" w:cs="Palatino Linotype"/>
          <w:b/>
        </w:rPr>
        <w:t xml:space="preserve"> Recurrente</w:t>
      </w:r>
      <w:r w:rsidRPr="007A4C3D">
        <w:rPr>
          <w:rFonts w:ascii="Palatino Linotype" w:eastAsia="Palatino Linotype" w:hAnsi="Palatino Linotype" w:cs="Palatino Linotype"/>
        </w:rPr>
        <w:t xml:space="preserve">, no señaló un </w:t>
      </w:r>
      <w:r w:rsidRPr="007A4C3D">
        <w:rPr>
          <w:rFonts w:ascii="Palatino Linotype" w:eastAsia="Palatino Linotype" w:hAnsi="Palatino Linotype" w:cs="Palatino Linotype"/>
          <w:b/>
        </w:rPr>
        <w:t>nombre</w:t>
      </w:r>
      <w:r w:rsidRPr="007A4C3D">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8286BB5"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r w:rsidRPr="007A4C3D">
        <w:rPr>
          <w:rFonts w:ascii="Palatino Linotype" w:eastAsia="Palatino Linotype" w:hAnsi="Palatino Linotype" w:cs="Palatino Linotype"/>
          <w:b/>
          <w:i/>
          <w:sz w:val="22"/>
          <w:szCs w:val="22"/>
        </w:rPr>
        <w:t>Las solicitudes anónimas</w:t>
      </w:r>
      <w:r w:rsidRPr="007A4C3D">
        <w:rPr>
          <w:rFonts w:ascii="Palatino Linotype" w:eastAsia="Palatino Linotype" w:hAnsi="Palatino Linotype" w:cs="Palatino Linotype"/>
          <w:i/>
          <w:sz w:val="22"/>
          <w:szCs w:val="22"/>
        </w:rPr>
        <w:t xml:space="preserve">, con nombre incompleto o </w:t>
      </w:r>
      <w:r w:rsidRPr="007A4C3D">
        <w:rPr>
          <w:rFonts w:ascii="Palatino Linotype" w:eastAsia="Palatino Linotype" w:hAnsi="Palatino Linotype" w:cs="Palatino Linotype"/>
          <w:b/>
          <w:i/>
          <w:sz w:val="22"/>
          <w:szCs w:val="22"/>
        </w:rPr>
        <w:t>seudónimo</w:t>
      </w:r>
      <w:r w:rsidRPr="007A4C3D">
        <w:rPr>
          <w:rFonts w:ascii="Palatino Linotype" w:eastAsia="Palatino Linotype" w:hAnsi="Palatino Linotype" w:cs="Palatino Linotype"/>
          <w:i/>
          <w:sz w:val="22"/>
          <w:szCs w:val="22"/>
        </w:rPr>
        <w:t xml:space="preserve"> serán procedentes para su trámite por parte del sujeto obligado ante quien se presente. </w:t>
      </w:r>
      <w:r w:rsidRPr="007A4C3D">
        <w:rPr>
          <w:rFonts w:ascii="Palatino Linotype" w:eastAsia="Palatino Linotype" w:hAnsi="Palatino Linotype" w:cs="Palatino Linotype"/>
          <w:i/>
          <w:sz w:val="22"/>
          <w:szCs w:val="22"/>
        </w:rPr>
        <w:lastRenderedPageBreak/>
        <w:t>No podrá requerirse información adicional con motivo del nombre proporcionado por el solicitante."</w:t>
      </w:r>
    </w:p>
    <w:p w14:paraId="41B90985" w14:textId="77777777" w:rsidR="0099366F" w:rsidRPr="007A4C3D" w:rsidRDefault="00647768">
      <w:pPr>
        <w:spacing w:before="240" w:after="240" w:line="360" w:lineRule="auto"/>
        <w:jc w:val="both"/>
        <w:rPr>
          <w:rFonts w:ascii="Palatino Linotype" w:eastAsia="Palatino Linotype" w:hAnsi="Palatino Linotype" w:cs="Palatino Linotype"/>
          <w:b/>
        </w:rPr>
      </w:pPr>
      <w:r w:rsidRPr="007A4C3D">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7A4C3D">
        <w:rPr>
          <w:rFonts w:ascii="Palatino Linotype" w:eastAsia="Palatino Linotype" w:hAnsi="Palatino Linotype" w:cs="Palatino Linotype"/>
          <w:b/>
        </w:rPr>
        <w:t xml:space="preserve"> SAIMEX.</w:t>
      </w:r>
    </w:p>
    <w:p w14:paraId="72AF1C70"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Finalmente, se advierte que resulta procedente la interposición del recurso, según lo manifestado por 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en sus motivos de inconformidad, de acuerdo al artículo 179, fracciones I y VI del ordenamiento legal citado, que a la letra dice: </w:t>
      </w:r>
    </w:p>
    <w:p w14:paraId="42E2EED2"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r w:rsidRPr="007A4C3D">
        <w:rPr>
          <w:rFonts w:ascii="Palatino Linotype" w:eastAsia="Palatino Linotype" w:hAnsi="Palatino Linotype" w:cs="Palatino Linotype"/>
          <w:b/>
          <w:i/>
          <w:sz w:val="22"/>
          <w:szCs w:val="22"/>
        </w:rPr>
        <w:t>Artículo 179.</w:t>
      </w:r>
      <w:r w:rsidRPr="007A4C3D">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6F0CB21" w14:textId="77777777" w:rsidR="0099366F" w:rsidRPr="007A4C3D" w:rsidRDefault="00647768">
      <w:pPr>
        <w:spacing w:before="120" w:after="120"/>
        <w:ind w:left="1134"/>
      </w:pPr>
      <w:r w:rsidRPr="007A4C3D">
        <w:rPr>
          <w:rFonts w:ascii="Palatino Linotype" w:eastAsia="Palatino Linotype" w:hAnsi="Palatino Linotype" w:cs="Palatino Linotype"/>
          <w:b/>
          <w:i/>
          <w:sz w:val="22"/>
          <w:szCs w:val="22"/>
        </w:rPr>
        <w:t>I</w:t>
      </w:r>
      <w:r w:rsidRPr="007A4C3D">
        <w:rPr>
          <w:rFonts w:ascii="Palatino Linotype" w:eastAsia="Palatino Linotype" w:hAnsi="Palatino Linotype" w:cs="Palatino Linotype"/>
          <w:i/>
          <w:sz w:val="22"/>
          <w:szCs w:val="22"/>
        </w:rPr>
        <w:t>. La negativa a la información solicitada</w:t>
      </w:r>
      <w:r w:rsidRPr="007A4C3D">
        <w:t>;</w:t>
      </w:r>
    </w:p>
    <w:p w14:paraId="2EAD667D" w14:textId="77777777" w:rsidR="0099366F" w:rsidRPr="007A4C3D" w:rsidRDefault="00647768">
      <w:pPr>
        <w:spacing w:before="120" w:after="120"/>
        <w:ind w:left="1134"/>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p>
    <w:p w14:paraId="4D419769" w14:textId="77777777" w:rsidR="0099366F" w:rsidRPr="007A4C3D" w:rsidRDefault="00647768">
      <w:pPr>
        <w:spacing w:before="120" w:after="120"/>
        <w:ind w:left="1134"/>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VI</w:t>
      </w:r>
      <w:r w:rsidRPr="007A4C3D">
        <w:rPr>
          <w:rFonts w:ascii="Palatino Linotype" w:eastAsia="Palatino Linotype" w:hAnsi="Palatino Linotype" w:cs="Palatino Linotype"/>
          <w:i/>
          <w:sz w:val="22"/>
          <w:szCs w:val="22"/>
        </w:rPr>
        <w:t>. La entrega de información que no corresponda con lo solicitado</w:t>
      </w:r>
      <w:r w:rsidRPr="007A4C3D">
        <w:t>;</w:t>
      </w:r>
      <w:r w:rsidRPr="007A4C3D">
        <w:rPr>
          <w:rFonts w:ascii="Palatino Linotype" w:eastAsia="Palatino Linotype" w:hAnsi="Palatino Linotype" w:cs="Palatino Linotype"/>
          <w:i/>
          <w:sz w:val="22"/>
          <w:szCs w:val="22"/>
        </w:rPr>
        <w:t>”</w:t>
      </w:r>
    </w:p>
    <w:p w14:paraId="685A745A" w14:textId="77777777" w:rsidR="0099366F" w:rsidRPr="007A4C3D" w:rsidRDefault="00647768">
      <w:pPr>
        <w:spacing w:before="240" w:after="240" w:line="360" w:lineRule="auto"/>
        <w:jc w:val="both"/>
        <w:rPr>
          <w:rFonts w:ascii="Palatino Linotype" w:eastAsia="Palatino Linotype" w:hAnsi="Palatino Linotype" w:cs="Palatino Linotype"/>
          <w:b/>
        </w:rPr>
      </w:pPr>
      <w:r w:rsidRPr="007A4C3D">
        <w:rPr>
          <w:rFonts w:ascii="Palatino Linotype" w:eastAsia="Palatino Linotype" w:hAnsi="Palatino Linotype" w:cs="Palatino Linotype"/>
          <w:b/>
        </w:rPr>
        <w:t xml:space="preserve">Tercero. Materia de la revisión. </w:t>
      </w:r>
      <w:r w:rsidRPr="007A4C3D">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7A4C3D">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7A4C3D">
        <w:rPr>
          <w:rFonts w:ascii="Palatino Linotype" w:eastAsia="Palatino Linotype" w:hAnsi="Palatino Linotype" w:cs="Palatino Linotype"/>
        </w:rPr>
        <w:t xml:space="preserve">de 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o en su defecto, en caso de ser procedente, ordenar la entrega de información.</w:t>
      </w:r>
    </w:p>
    <w:p w14:paraId="712E9F65" w14:textId="77777777" w:rsidR="0099366F" w:rsidRPr="007A4C3D" w:rsidRDefault="00647768">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7A4C3D">
        <w:rPr>
          <w:rFonts w:ascii="Palatino Linotype" w:eastAsia="Palatino Linotype" w:hAnsi="Palatino Linotype" w:cs="Palatino Linotype"/>
          <w:b/>
        </w:rPr>
        <w:lastRenderedPageBreak/>
        <w:t xml:space="preserve">Cuarto. Estudio del asunto. </w:t>
      </w:r>
      <w:r w:rsidRPr="007A4C3D">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4A5EBD1"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r w:rsidRPr="007A4C3D">
        <w:rPr>
          <w:rFonts w:ascii="Palatino Linotype" w:eastAsia="Palatino Linotype" w:hAnsi="Palatino Linotype" w:cs="Palatino Linotype"/>
          <w:b/>
          <w:i/>
          <w:sz w:val="22"/>
          <w:szCs w:val="22"/>
        </w:rPr>
        <w:t>Artículo 4</w:t>
      </w:r>
      <w:r w:rsidRPr="007A4C3D">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C5469CD"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7A4C3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D6B8BC8"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7A4C3D">
        <w:rPr>
          <w:rFonts w:ascii="Palatino Linotype" w:eastAsia="Palatino Linotype" w:hAnsi="Palatino Linotype" w:cs="Palatino Linotype"/>
          <w:i/>
          <w:sz w:val="22"/>
          <w:szCs w:val="22"/>
        </w:rPr>
        <w:t>.”</w:t>
      </w:r>
    </w:p>
    <w:p w14:paraId="41DE34DF"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7A4C3D">
        <w:rPr>
          <w:rFonts w:ascii="Palatino Linotype" w:eastAsia="Palatino Linotype" w:hAnsi="Palatino Linotype" w:cs="Palatino Linotype"/>
        </w:rPr>
        <w:lastRenderedPageBreak/>
        <w:t>Transparencia y Acceso a la Información Pública del Estado de México y Municipios, que a la letra dice:</w:t>
      </w:r>
    </w:p>
    <w:p w14:paraId="049F3837"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“Artículo 12.-</w:t>
      </w:r>
      <w:r w:rsidRPr="007A4C3D">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B3C4A5A"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7A4C3D">
        <w:rPr>
          <w:rFonts w:ascii="Palatino Linotype" w:eastAsia="Palatino Linotype" w:hAnsi="Palatino Linotype" w:cs="Palatino Linotype"/>
          <w:i/>
          <w:sz w:val="22"/>
          <w:szCs w:val="22"/>
        </w:rPr>
        <w:t xml:space="preserve">. </w:t>
      </w:r>
      <w:r w:rsidRPr="007A4C3D">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2FD5DA1" w14:textId="77777777" w:rsidR="0099366F" w:rsidRPr="007A4C3D" w:rsidRDefault="00647768">
      <w:pPr>
        <w:spacing w:before="240" w:after="240" w:line="360" w:lineRule="auto"/>
        <w:ind w:right="-93"/>
        <w:jc w:val="both"/>
        <w:rPr>
          <w:rFonts w:ascii="Palatino Linotype" w:eastAsia="Palatino Linotype" w:hAnsi="Palatino Linotype" w:cs="Palatino Linotype"/>
        </w:rPr>
      </w:pPr>
      <w:r w:rsidRPr="007A4C3D">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CFD9193" w14:textId="77777777" w:rsidR="0099366F" w:rsidRPr="007A4C3D" w:rsidRDefault="00647768">
      <w:pPr>
        <w:spacing w:before="240" w:after="240" w:line="360" w:lineRule="auto"/>
        <w:jc w:val="both"/>
        <w:rPr>
          <w:rFonts w:ascii="Palatino Linotype" w:eastAsia="Palatino Linotype" w:hAnsi="Palatino Linotype" w:cs="Palatino Linotype"/>
          <w:b/>
        </w:rPr>
      </w:pPr>
      <w:r w:rsidRPr="007A4C3D">
        <w:rPr>
          <w:rFonts w:ascii="Palatino Linotype" w:eastAsia="Palatino Linotype" w:hAnsi="Palatino Linotype" w:cs="Palatino Linotype"/>
        </w:rPr>
        <w:t>Sirve de apoyo a lo anterior, el Criterio de Interpretación, con clave de control número SO/003/2017, emitido por el Instituto Nacional de Transparencia, Acceso a la Información y Protección de Datos Personales, que por rubro y texto, dispone lo siguiente:</w:t>
      </w:r>
      <w:r w:rsidRPr="007A4C3D">
        <w:rPr>
          <w:rFonts w:ascii="Palatino Linotype" w:eastAsia="Palatino Linotype" w:hAnsi="Palatino Linotype" w:cs="Palatino Linotype"/>
          <w:b/>
        </w:rPr>
        <w:t xml:space="preserve"> </w:t>
      </w:r>
    </w:p>
    <w:p w14:paraId="36C69510"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r w:rsidRPr="007A4C3D">
        <w:rPr>
          <w:rFonts w:ascii="Palatino Linotype" w:eastAsia="Palatino Linotype" w:hAnsi="Palatino Linotype" w:cs="Palatino Linotype"/>
          <w:b/>
          <w:i/>
          <w:sz w:val="22"/>
          <w:szCs w:val="22"/>
        </w:rPr>
        <w:t>No existe obligación de elaborar documentos ad hoc para atender las solicitudes de acceso a la información.</w:t>
      </w:r>
      <w:r w:rsidRPr="007A4C3D">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w:t>
      </w:r>
      <w:r w:rsidRPr="007A4C3D">
        <w:rPr>
          <w:rFonts w:ascii="Palatino Linotype" w:eastAsia="Palatino Linotype" w:hAnsi="Palatino Linotype" w:cs="Palatino Linotype"/>
          <w:i/>
          <w:sz w:val="22"/>
          <w:szCs w:val="22"/>
        </w:rPr>
        <w:lastRenderedPageBreak/>
        <w:t>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7B515D6D"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B7A1DE6"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6D9F1C6"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r w:rsidRPr="007A4C3D">
        <w:rPr>
          <w:rFonts w:ascii="Palatino Linotype" w:eastAsia="Palatino Linotype" w:hAnsi="Palatino Linotype" w:cs="Palatino Linotype"/>
          <w:b/>
          <w:i/>
          <w:sz w:val="22"/>
          <w:szCs w:val="22"/>
        </w:rPr>
        <w:t xml:space="preserve">Artículo 3. </w:t>
      </w:r>
      <w:r w:rsidRPr="007A4C3D">
        <w:rPr>
          <w:rFonts w:ascii="Palatino Linotype" w:eastAsia="Palatino Linotype" w:hAnsi="Palatino Linotype" w:cs="Palatino Linotype"/>
          <w:i/>
          <w:sz w:val="22"/>
          <w:szCs w:val="22"/>
        </w:rPr>
        <w:t>Para los efectos de la presente Ley se entenderá por:</w:t>
      </w:r>
    </w:p>
    <w:p w14:paraId="421CFE17"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w:t>
      </w:r>
    </w:p>
    <w:p w14:paraId="6D4C84EE"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XI. Documento:</w:t>
      </w:r>
      <w:r w:rsidRPr="007A4C3D">
        <w:rPr>
          <w:rFonts w:ascii="Palatino Linotype" w:eastAsia="Palatino Linotype" w:hAnsi="Palatino Linotype" w:cs="Palatino Linotype"/>
          <w:i/>
          <w:sz w:val="22"/>
          <w:szCs w:val="22"/>
        </w:rPr>
        <w:t xml:space="preserve"> Los expedientes, reportes, estudios, actas</w:t>
      </w:r>
      <w:r w:rsidRPr="007A4C3D">
        <w:rPr>
          <w:rFonts w:ascii="Palatino Linotype" w:eastAsia="Palatino Linotype" w:hAnsi="Palatino Linotype" w:cs="Palatino Linotype"/>
          <w:b/>
          <w:i/>
          <w:sz w:val="22"/>
          <w:szCs w:val="22"/>
        </w:rPr>
        <w:t>,</w:t>
      </w:r>
      <w:r w:rsidRPr="007A4C3D">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7A4C3D">
        <w:rPr>
          <w:rFonts w:ascii="Palatino Linotype" w:eastAsia="Palatino Linotype" w:hAnsi="Palatino Linotype" w:cs="Palatino Linotype"/>
          <w:i/>
          <w:sz w:val="22"/>
          <w:szCs w:val="22"/>
        </w:rPr>
        <w:lastRenderedPageBreak/>
        <w:t>y competencias de los sujetos obligados, sus servidores públicos e integrantes, sin importar su fuente o fecha de elaboración. Los documentos podrán estar en cualquier medio, sea escrito, impreso, sonoro, visual, electrónico, informático u holográfico…” (Sic)</w:t>
      </w:r>
    </w:p>
    <w:p w14:paraId="2B9490BA"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81098E"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sz w:val="22"/>
          <w:szCs w:val="22"/>
        </w:rPr>
        <w:t>“</w:t>
      </w:r>
      <w:r w:rsidRPr="007A4C3D">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7A4C3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58928E" w14:textId="77777777" w:rsidR="0099366F" w:rsidRPr="007A4C3D" w:rsidRDefault="00647768">
      <w:pPr>
        <w:spacing w:before="120" w:after="120"/>
        <w:ind w:left="851"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12FB491A"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1)</w:t>
      </w:r>
      <w:r w:rsidRPr="007A4C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generada por los Sujetos Obligados;</w:t>
      </w:r>
    </w:p>
    <w:p w14:paraId="4D30130E"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2)</w:t>
      </w:r>
      <w:r w:rsidRPr="007A4C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sea administrada por los Sujetos Obligados, y</w:t>
      </w:r>
    </w:p>
    <w:p w14:paraId="4857EB29" w14:textId="77777777" w:rsidR="0099366F" w:rsidRPr="007A4C3D" w:rsidRDefault="00647768">
      <w:pPr>
        <w:spacing w:before="120" w:after="120"/>
        <w:ind w:left="1134" w:right="902"/>
        <w:jc w:val="both"/>
        <w:rPr>
          <w:rFonts w:ascii="Palatino Linotype" w:eastAsia="Palatino Linotype" w:hAnsi="Palatino Linotype" w:cs="Palatino Linotype"/>
          <w:i/>
          <w:sz w:val="22"/>
          <w:szCs w:val="22"/>
        </w:rPr>
      </w:pPr>
      <w:r w:rsidRPr="007A4C3D">
        <w:rPr>
          <w:rFonts w:ascii="Palatino Linotype" w:eastAsia="Palatino Linotype" w:hAnsi="Palatino Linotype" w:cs="Palatino Linotype"/>
          <w:b/>
          <w:i/>
          <w:sz w:val="22"/>
          <w:szCs w:val="22"/>
        </w:rPr>
        <w:t>3)</w:t>
      </w:r>
      <w:r w:rsidRPr="007A4C3D">
        <w:rPr>
          <w:rFonts w:ascii="Palatino Linotype" w:eastAsia="Palatino Linotype" w:hAnsi="Palatino Linotype" w:cs="Palatino Linotype"/>
          <w:i/>
          <w:sz w:val="22"/>
          <w:szCs w:val="22"/>
        </w:rPr>
        <w:t xml:space="preserve"> Que se trate de información registrada en cualquier soporte documental, que en ejercicio de las atribuciones conferidas, se encuentre en posesión de los Sujetos Obligados.” </w:t>
      </w:r>
    </w:p>
    <w:p w14:paraId="6FE54D06" w14:textId="77777777" w:rsidR="0099366F" w:rsidRPr="007A4C3D" w:rsidRDefault="00647768">
      <w:pPr>
        <w:spacing w:before="240" w:after="240" w:line="360" w:lineRule="auto"/>
        <w:ind w:right="51"/>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w:t>
      </w:r>
      <w:r w:rsidRPr="007A4C3D">
        <w:rPr>
          <w:rFonts w:ascii="Palatino Linotype" w:eastAsia="Palatino Linotype" w:hAnsi="Palatino Linotype" w:cs="Palatino Linotype"/>
        </w:rPr>
        <w:lastRenderedPageBreak/>
        <w:t>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AC8C3CF"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30CB3F1" w14:textId="77777777" w:rsidR="0099366F" w:rsidRPr="007A4C3D" w:rsidRDefault="00647768">
      <w:pPr>
        <w:spacing w:before="240" w:after="240" w:line="360" w:lineRule="auto"/>
        <w:ind w:right="51"/>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requirió al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le proporcione, información consistente en lo siguiente:</w:t>
      </w:r>
    </w:p>
    <w:p w14:paraId="695FF2EC" w14:textId="77777777" w:rsidR="0099366F" w:rsidRPr="007A4C3D" w:rsidRDefault="00647768">
      <w:pPr>
        <w:numPr>
          <w:ilvl w:val="0"/>
          <w:numId w:val="2"/>
        </w:numPr>
        <w:pBdr>
          <w:top w:val="nil"/>
          <w:left w:val="nil"/>
          <w:bottom w:val="nil"/>
          <w:right w:val="nil"/>
          <w:between w:val="nil"/>
        </w:pBdr>
        <w:spacing w:before="240" w:line="360" w:lineRule="auto"/>
        <w:ind w:left="426" w:right="51" w:firstLine="0"/>
        <w:jc w:val="both"/>
        <w:rPr>
          <w:rFonts w:ascii="Palatino Linotype" w:eastAsia="Palatino Linotype" w:hAnsi="Palatino Linotype" w:cs="Palatino Linotype"/>
        </w:rPr>
      </w:pPr>
      <w:r w:rsidRPr="007A4C3D">
        <w:rPr>
          <w:rFonts w:ascii="Palatino Linotype" w:eastAsia="Palatino Linotype" w:hAnsi="Palatino Linotype" w:cs="Palatino Linotype"/>
        </w:rPr>
        <w:t>El avance de cada una de las acciones del Plan Colibrí al veinte de noviembre de dos mil veinticuatro.</w:t>
      </w:r>
    </w:p>
    <w:p w14:paraId="20F747CA" w14:textId="77777777" w:rsidR="0099366F" w:rsidRPr="007A4C3D" w:rsidRDefault="00647768">
      <w:pPr>
        <w:numPr>
          <w:ilvl w:val="0"/>
          <w:numId w:val="2"/>
        </w:numPr>
        <w:pBdr>
          <w:top w:val="nil"/>
          <w:left w:val="nil"/>
          <w:bottom w:val="nil"/>
          <w:right w:val="nil"/>
          <w:between w:val="nil"/>
        </w:pBdr>
        <w:spacing w:after="240" w:line="360" w:lineRule="auto"/>
        <w:ind w:left="426" w:right="51" w:firstLine="0"/>
        <w:jc w:val="both"/>
        <w:rPr>
          <w:rFonts w:ascii="Palatino Linotype" w:eastAsia="Palatino Linotype" w:hAnsi="Palatino Linotype" w:cs="Palatino Linotype"/>
        </w:rPr>
      </w:pPr>
      <w:r w:rsidRPr="007A4C3D">
        <w:rPr>
          <w:rFonts w:ascii="Palatino Linotype" w:eastAsia="Palatino Linotype" w:hAnsi="Palatino Linotype" w:cs="Palatino Linotype"/>
        </w:rPr>
        <w:t>Los documentos soporte, del punto anterior.</w:t>
      </w:r>
    </w:p>
    <w:p w14:paraId="4989D41E"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 xml:space="preserve">En respuesta,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por conducto del titular de la Unidad de Transparencia hizo del conocimiento de la persona solicitante el pronunciamiento emitido por Coordinador de Concentración Sectorial, quien en atención a la solicitud de información informó que el “Plan Colibrí, 100 compromisos por la movilidad sostenible” cuenta con un avance al tercer trimestre (julio-septiembre) del año 2024 del 52%, de conformidad con la información obtenida de la evaluación y el seguimiento a las acciones realiza la Coordinación a su cargo con las áreas responsables que forman parte de la Secretaria de Movilidad del Estado de México.</w:t>
      </w:r>
    </w:p>
    <w:p w14:paraId="479B6488"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Informó el porcentaje de avance en cada uno de los 10 Ejes Transversales que conforman el “Plan Colibrí, 100 compromisos por la movilidad sostenible”, al tercer trimestre (julio-septiembre) del año 2024, lo cual se sustenta con el documento adjunto a la respuesta que contiene el reporte tercer trimestre 2024, en el que se detalla además, el porcentaje de avance por cada línea de acción de cada eje que conforma el Plan. Asimismo, proporcionó en formato abierto, la  dirección electrónica de la página oficial de la Secretaría de Movilidad del Estado de México, en donde se encuentra publicado el Plan Colibrí, con la finalidad de que la persona solicitante pudiera consultar el contenido del mismo, así como la referencia y nombre de cada una de las 100 acciones que lo conforman.</w:t>
      </w:r>
    </w:p>
    <w:p w14:paraId="2F6C82E2"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Y, Por lo que se refiere a los documentos que soporten el avance, informó que la Coordinación  no genera dicha información, ya que el reporte de avance trimestral señalado se nutre de la información que reporta cada área encargada de la implementación de las acciones del citado Plan, en tal sentido, las acciones se dan por cumplidas a través del Procedimiento de Baja y Liberación en el momento procesal en que las áreas responsables presentan evidencias del cumplimiento, y </w:t>
      </w:r>
      <w:r w:rsidRPr="007A4C3D">
        <w:rPr>
          <w:rFonts w:ascii="Palatino Linotype" w:eastAsia="Palatino Linotype" w:hAnsi="Palatino Linotype" w:cs="Palatino Linotype"/>
        </w:rPr>
        <w:lastRenderedPageBreak/>
        <w:t>como resultado de ello, de la búsqueda exhaustiva y razonable en los archivos que obran en la Coordinación de Concertación Sectorial y la Dirección de Gestión adscrita, únicamente se cuenta con evidencia de cumplimiento de acciones del Plan Colibrí, a través de los formatos denominados “INFORME FINAL DEL ESTADO ACTUAL DE LAS ACCIONES DEL PLAN COLIBRÍ”, respecto de las acciones con los numerales 1, 2, 16, 26 y 82, documentales que fueron remitidas por las áreas responsables de su ejecución, que solicitaron iniciar el Procedimiento de Baja y Liberación, cuyo informe final adjuntó a la respuesta proporcionada.</w:t>
      </w:r>
    </w:p>
    <w:p w14:paraId="70E5EAE5"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Sin embargo, al no estar conforme con la respuesta emitida, la parte </w:t>
      </w:r>
      <w:r w:rsidRPr="007A4C3D">
        <w:rPr>
          <w:rFonts w:ascii="Palatino Linotype" w:eastAsia="Palatino Linotype" w:hAnsi="Palatino Linotype" w:cs="Palatino Linotype"/>
          <w:b/>
        </w:rPr>
        <w:t xml:space="preserve">Recurrente </w:t>
      </w:r>
      <w:r w:rsidRPr="007A4C3D">
        <w:rPr>
          <w:rFonts w:ascii="Palatino Linotype" w:eastAsia="Palatino Linotype" w:hAnsi="Palatino Linotype" w:cs="Palatino Linotype"/>
        </w:rPr>
        <w:t xml:space="preserve">interpuso el recurso de revisión que nos ocupa, donde señaló como motivo de inconformidad, en lo medular que de la revisión de la información entregada por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esta no cumple con lo que se pidió.</w:t>
      </w:r>
    </w:p>
    <w:p w14:paraId="3F714861"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Durante el periodo de manifestaciones 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ratificó en lo sustancial la respuesta emitida en primera instancia, mientras que la parte </w:t>
      </w:r>
      <w:r w:rsidRPr="007A4C3D">
        <w:rPr>
          <w:rFonts w:ascii="Palatino Linotype" w:eastAsia="Palatino Linotype" w:hAnsi="Palatino Linotype" w:cs="Palatino Linotype"/>
          <w:b/>
        </w:rPr>
        <w:t xml:space="preserve">Recurrente </w:t>
      </w:r>
      <w:r w:rsidRPr="007A4C3D">
        <w:rPr>
          <w:rFonts w:ascii="Palatino Linotype" w:eastAsia="Palatino Linotype" w:hAnsi="Palatino Linotype" w:cs="Palatino Linotype"/>
        </w:rPr>
        <w:t>fue omisa en hacer valer manifestaciones o rendir alegatos que conforme a derecho resultaran procedentes; por lo tanto, se tiene por precluido su derecho.</w:t>
      </w:r>
    </w:p>
    <w:p w14:paraId="77F28E5F" w14:textId="77777777" w:rsidR="0099366F" w:rsidRPr="007A4C3D" w:rsidRDefault="00647768">
      <w:pPr>
        <w:spacing w:before="280" w:after="28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Una vez establecidas las posturas de las partes, se procede al análisis del requerimiento de información, así como la información proporcionada por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 xml:space="preserve">en contraposición con el motivo de inconformidad alegado por la parte </w:t>
      </w:r>
      <w:r w:rsidRPr="007A4C3D">
        <w:rPr>
          <w:rFonts w:ascii="Palatino Linotype" w:eastAsia="Palatino Linotype" w:hAnsi="Palatino Linotype" w:cs="Palatino Linotype"/>
          <w:b/>
        </w:rPr>
        <w:t xml:space="preserve">Recurrente, </w:t>
      </w:r>
      <w:r w:rsidRPr="007A4C3D">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2F4CCA40" w14:textId="77777777" w:rsidR="0099366F" w:rsidRPr="007A4C3D" w:rsidRDefault="0064776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En este tenor,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2FF7B6EB"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4D311BA7" w14:textId="77777777" w:rsidR="0099366F" w:rsidRPr="007A4C3D" w:rsidRDefault="00647768">
      <w:pPr>
        <w:spacing w:before="240" w:after="240" w:line="360" w:lineRule="auto"/>
        <w:ind w:right="51"/>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w:t>
      </w:r>
      <w:r w:rsidRPr="007A4C3D">
        <w:rPr>
          <w:rFonts w:ascii="Palatino Linotype" w:eastAsia="Palatino Linotype" w:hAnsi="Palatino Linotype" w:cs="Palatino Linotype"/>
        </w:rPr>
        <w:lastRenderedPageBreak/>
        <w:t>información clasificada, de conformidad con los artículos 3, fracción XXXIX, 58 y 59, de la Ley de Transparencia y Acceso a la Información Pública del Estado de México y Municipios.</w:t>
      </w:r>
    </w:p>
    <w:p w14:paraId="6FFEBE0A"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1ACD86D0"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En esta línea de pensamiento, derivado del análisis de las constancias que obran en el expediente electrónico en el que se actúa, se advirtió que la Unidad de Transparencia del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turnó la solicitud al servidor público habilitado de la Coordinación de Concentración Sectorial, la cual, de conformidad con la Codificación estructural 22000006000000S del Manual General de Organización de la Secretaría de Movilidad, tiene como objetivo planear, coordinar, dirigir y supervisar la ejecución de las acciones técnicas de seguimiento y control de las obras de infraestructura de comunicaciones de jurisdicción local, así como los procesos de programación, presupuestación y evaluación de la información de la Secretaría de Movilidad para el ejercicio del gasto corriente y gasto de inversión pública de carácter sectorial, regional y especial, además de generar el seguimiento al desempeño institucional de acuerdo con los lineamientos, criterios y metodología que emita la Secretaría de Finanzas, y, para el cumplimiento del mismo, se le confieren entre otras, las siguientes atribuciones:</w:t>
      </w:r>
    </w:p>
    <w:p w14:paraId="59B992BB" w14:textId="77777777" w:rsidR="0099366F" w:rsidRPr="007A4C3D" w:rsidRDefault="0064776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 Coordinar el proceso de integración y reporte de información para la elaboración y evaluación del Plan de Desarrollo del Estado de México y de los programas que de este se derivan, que sean competencia de la dependencia.</w:t>
      </w:r>
    </w:p>
    <w:p w14:paraId="3F3F007A" w14:textId="77777777" w:rsidR="0099366F" w:rsidRPr="007A4C3D" w:rsidRDefault="0064776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 Coordinar la formulación y desarrollo de estrategias de planeación, programación y evaluación de programas y acciones de competencia de la Secretaría de Movilidad. </w:t>
      </w:r>
    </w:p>
    <w:p w14:paraId="6F021B6A" w14:textId="77777777" w:rsidR="0099366F" w:rsidRPr="007A4C3D" w:rsidRDefault="00647768">
      <w:pPr>
        <w:pBdr>
          <w:top w:val="nil"/>
          <w:left w:val="nil"/>
          <w:bottom w:val="nil"/>
          <w:right w:val="nil"/>
          <w:between w:val="nil"/>
        </w:pBdr>
        <w:spacing w:before="240" w:after="240" w:line="360" w:lineRule="auto"/>
        <w:ind w:left="284"/>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 Coordinar la integración y análisis de la información que generen las unidades administrativas de la Secretaría, para la integración de programas y apoyar la toma de decisiones en los procesos de programación, presupuestación y evaluación de los programas de inversión pública. </w:t>
      </w:r>
    </w:p>
    <w:p w14:paraId="3EE29C35" w14:textId="77777777" w:rsidR="0099366F" w:rsidRPr="007A4C3D" w:rsidRDefault="00647768">
      <w:pPr>
        <w:spacing w:before="240" w:after="240" w:line="360" w:lineRule="auto"/>
        <w:ind w:left="284" w:right="49"/>
        <w:jc w:val="both"/>
        <w:rPr>
          <w:rFonts w:ascii="Palatino Linotype" w:eastAsia="Palatino Linotype" w:hAnsi="Palatino Linotype" w:cs="Palatino Linotype"/>
        </w:rPr>
      </w:pPr>
      <w:r w:rsidRPr="007A4C3D">
        <w:rPr>
          <w:rFonts w:ascii="Palatino Linotype" w:eastAsia="Palatino Linotype" w:hAnsi="Palatino Linotype" w:cs="Palatino Linotype"/>
        </w:rPr>
        <w:t>- Coordinar y reportar el seguimiento a las obras de alto impacto que realizan las unidades administrativas y organismos auxiliares sectorizados e informar al titular de la Secretaría de los resultados obtenidos.</w:t>
      </w:r>
    </w:p>
    <w:p w14:paraId="168F69E9" w14:textId="77777777" w:rsidR="0099366F" w:rsidRPr="007A4C3D" w:rsidRDefault="00647768">
      <w:pPr>
        <w:spacing w:before="240" w:after="240" w:line="360" w:lineRule="auto"/>
        <w:ind w:left="284" w:right="49"/>
        <w:jc w:val="both"/>
        <w:rPr>
          <w:rFonts w:ascii="Palatino Linotype" w:eastAsia="Palatino Linotype" w:hAnsi="Palatino Linotype" w:cs="Palatino Linotype"/>
        </w:rPr>
      </w:pPr>
      <w:r w:rsidRPr="007A4C3D">
        <w:rPr>
          <w:rFonts w:ascii="Palatino Linotype" w:eastAsia="Palatino Linotype" w:hAnsi="Palatino Linotype" w:cs="Palatino Linotype"/>
        </w:rPr>
        <w:t>- Proponer y dar seguimiento a los sistemas de registro, control y evaluación de las obras, proyectos y acciones con programas de inversión pública, reportando su avance a la o el titular de la Secretaría.</w:t>
      </w:r>
    </w:p>
    <w:p w14:paraId="16DEBC28" w14:textId="77777777" w:rsidR="0099366F" w:rsidRPr="007A4C3D" w:rsidRDefault="00647768">
      <w:pPr>
        <w:spacing w:before="240" w:after="240" w:line="360" w:lineRule="auto"/>
        <w:ind w:left="284" w:right="49"/>
        <w:jc w:val="both"/>
        <w:rPr>
          <w:rFonts w:ascii="Palatino Linotype" w:eastAsia="Palatino Linotype" w:hAnsi="Palatino Linotype" w:cs="Palatino Linotype"/>
        </w:rPr>
      </w:pPr>
      <w:r w:rsidRPr="007A4C3D">
        <w:rPr>
          <w:rFonts w:ascii="Palatino Linotype" w:eastAsia="Palatino Linotype" w:hAnsi="Palatino Linotype" w:cs="Palatino Linotype"/>
        </w:rPr>
        <w:t>- Promover que los recursos de los programas de inversión pública se orienten a proyectos y estrategias prioritarias para el desarrollo y modernización de la infraestructura para la movilidad.</w:t>
      </w:r>
    </w:p>
    <w:p w14:paraId="79E4F9F5" w14:textId="77777777" w:rsidR="0099366F" w:rsidRPr="007A4C3D" w:rsidRDefault="00647768">
      <w:pPr>
        <w:spacing w:before="240" w:after="240" w:line="360" w:lineRule="auto"/>
        <w:ind w:left="284" w:right="49"/>
        <w:jc w:val="both"/>
        <w:rPr>
          <w:rFonts w:ascii="Palatino Linotype" w:eastAsia="Palatino Linotype" w:hAnsi="Palatino Linotype" w:cs="Palatino Linotype"/>
        </w:rPr>
      </w:pPr>
      <w:r w:rsidRPr="007A4C3D">
        <w:rPr>
          <w:rFonts w:ascii="Palatino Linotype" w:eastAsia="Palatino Linotype" w:hAnsi="Palatino Linotype" w:cs="Palatino Linotype"/>
        </w:rPr>
        <w:t>- Coordinar la integración y análisis de la información del sector para su incorporación a los Informes de Gobierno, así como para la evaluación del Plan de Desarrollo del Estado de México</w:t>
      </w:r>
    </w:p>
    <w:p w14:paraId="60562B61" w14:textId="77777777" w:rsidR="0099366F" w:rsidRPr="007A4C3D" w:rsidRDefault="0064776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Ahora bien, conviene referir que el “Plan Colibrí 100 Compromisos por la Movilidad Sostenible”</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es una estrategia del gobierno estatal que busca mejorar la movilidad urbana en la entidad, con el enfoque en la sostenibilidad y la mejora de la calidad de vida de los habitantes. Al igual que en la Ciudad de México, este plan tiene como objetivo reducir el uso excesivo del automóvil, disminuir la contaminación y promover modos de transporte más ecológicos y accesibles.</w:t>
      </w:r>
    </w:p>
    <w:p w14:paraId="64CB2059" w14:textId="77777777" w:rsidR="0099366F" w:rsidRPr="007A4C3D" w:rsidRDefault="0064776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Dentro de las principales áreas que aborda el plan en el Estado de México se incluyen:</w:t>
      </w:r>
    </w:p>
    <w:p w14:paraId="5FA4D6B0" w14:textId="77777777" w:rsidR="0099366F" w:rsidRPr="007A4C3D" w:rsidRDefault="00647768">
      <w:pPr>
        <w:numPr>
          <w:ilvl w:val="0"/>
          <w:numId w:val="1"/>
        </w:numPr>
        <w:pBdr>
          <w:top w:val="nil"/>
          <w:left w:val="nil"/>
          <w:bottom w:val="nil"/>
          <w:right w:val="nil"/>
          <w:between w:val="nil"/>
        </w:pBdr>
        <w:spacing w:before="280" w:line="360" w:lineRule="auto"/>
        <w:ind w:left="284" w:firstLine="0"/>
        <w:jc w:val="both"/>
        <w:rPr>
          <w:rFonts w:ascii="Palatino Linotype" w:eastAsia="Palatino Linotype" w:hAnsi="Palatino Linotype" w:cs="Palatino Linotype"/>
        </w:rPr>
      </w:pPr>
      <w:r w:rsidRPr="007A4C3D">
        <w:rPr>
          <w:rFonts w:ascii="Palatino Linotype" w:eastAsia="Palatino Linotype" w:hAnsi="Palatino Linotype" w:cs="Palatino Linotype"/>
          <w:b/>
        </w:rPr>
        <w:t>Mejora del transporte público:</w:t>
      </w:r>
      <w:r w:rsidRPr="007A4C3D">
        <w:rPr>
          <w:rFonts w:ascii="Palatino Linotype" w:eastAsia="Palatino Linotype" w:hAnsi="Palatino Linotype" w:cs="Palatino Linotype"/>
        </w:rPr>
        <w:t xml:space="preserve"> Asegurar que los sistemas de transporte público sean más eficientes, accesibles y sostenibles, incentivando su uso sobre los vehículos particulares.</w:t>
      </w:r>
    </w:p>
    <w:p w14:paraId="51CD0E67" w14:textId="77777777" w:rsidR="0099366F" w:rsidRPr="007A4C3D" w:rsidRDefault="00647768">
      <w:pPr>
        <w:numPr>
          <w:ilvl w:val="0"/>
          <w:numId w:val="1"/>
        </w:numPr>
        <w:pBdr>
          <w:top w:val="nil"/>
          <w:left w:val="nil"/>
          <w:bottom w:val="nil"/>
          <w:right w:val="nil"/>
          <w:between w:val="nil"/>
        </w:pBdr>
        <w:spacing w:line="360" w:lineRule="auto"/>
        <w:ind w:left="284" w:firstLine="0"/>
        <w:jc w:val="both"/>
        <w:rPr>
          <w:rFonts w:ascii="Palatino Linotype" w:eastAsia="Palatino Linotype" w:hAnsi="Palatino Linotype" w:cs="Palatino Linotype"/>
        </w:rPr>
      </w:pPr>
      <w:r w:rsidRPr="007A4C3D">
        <w:rPr>
          <w:rFonts w:ascii="Palatino Linotype" w:eastAsia="Palatino Linotype" w:hAnsi="Palatino Linotype" w:cs="Palatino Linotype"/>
          <w:b/>
        </w:rPr>
        <w:t>Infraestructura para ciclistas y peatones:</w:t>
      </w:r>
      <w:r w:rsidRPr="007A4C3D">
        <w:rPr>
          <w:rFonts w:ascii="Palatino Linotype" w:eastAsia="Palatino Linotype" w:hAnsi="Palatino Linotype" w:cs="Palatino Linotype"/>
        </w:rPr>
        <w:t xml:space="preserve"> Promover la creación y mejora de ciclovías y caminos seguros para peatones, así como espacios públicos que faciliten el uso de bicicletas y recorridos a pie.</w:t>
      </w:r>
    </w:p>
    <w:p w14:paraId="42AE77E9" w14:textId="77777777" w:rsidR="0099366F" w:rsidRPr="007A4C3D" w:rsidRDefault="00647768">
      <w:pPr>
        <w:numPr>
          <w:ilvl w:val="0"/>
          <w:numId w:val="1"/>
        </w:numPr>
        <w:pBdr>
          <w:top w:val="nil"/>
          <w:left w:val="nil"/>
          <w:bottom w:val="nil"/>
          <w:right w:val="nil"/>
          <w:between w:val="nil"/>
        </w:pBdr>
        <w:spacing w:line="360" w:lineRule="auto"/>
        <w:ind w:left="284" w:firstLine="0"/>
        <w:jc w:val="both"/>
        <w:rPr>
          <w:rFonts w:ascii="Palatino Linotype" w:eastAsia="Palatino Linotype" w:hAnsi="Palatino Linotype" w:cs="Palatino Linotype"/>
        </w:rPr>
      </w:pPr>
      <w:r w:rsidRPr="007A4C3D">
        <w:rPr>
          <w:rFonts w:ascii="Palatino Linotype" w:eastAsia="Palatino Linotype" w:hAnsi="Palatino Linotype" w:cs="Palatino Linotype"/>
          <w:b/>
        </w:rPr>
        <w:t>Reducción de la huella de carbono:</w:t>
      </w:r>
      <w:r w:rsidRPr="007A4C3D">
        <w:rPr>
          <w:rFonts w:ascii="Palatino Linotype" w:eastAsia="Palatino Linotype" w:hAnsi="Palatino Linotype" w:cs="Palatino Linotype"/>
        </w:rPr>
        <w:t xml:space="preserve"> Incentivar el uso de tecnologías limpias y sostenibles, como vehículos eléctricos o híbridos, en el transporte público y privado.</w:t>
      </w:r>
    </w:p>
    <w:p w14:paraId="3A3AEE1A" w14:textId="77777777" w:rsidR="0099366F" w:rsidRPr="007A4C3D" w:rsidRDefault="00647768">
      <w:pPr>
        <w:numPr>
          <w:ilvl w:val="0"/>
          <w:numId w:val="1"/>
        </w:numPr>
        <w:pBdr>
          <w:top w:val="nil"/>
          <w:left w:val="nil"/>
          <w:bottom w:val="nil"/>
          <w:right w:val="nil"/>
          <w:between w:val="nil"/>
        </w:pBdr>
        <w:spacing w:line="360" w:lineRule="auto"/>
        <w:ind w:left="284" w:firstLine="0"/>
        <w:jc w:val="both"/>
        <w:rPr>
          <w:rFonts w:ascii="Palatino Linotype" w:eastAsia="Palatino Linotype" w:hAnsi="Palatino Linotype" w:cs="Palatino Linotype"/>
        </w:rPr>
      </w:pPr>
      <w:r w:rsidRPr="007A4C3D">
        <w:rPr>
          <w:rFonts w:ascii="Palatino Linotype" w:eastAsia="Palatino Linotype" w:hAnsi="Palatino Linotype" w:cs="Palatino Linotype"/>
          <w:b/>
        </w:rPr>
        <w:t>Conectividad regional:</w:t>
      </w:r>
      <w:r w:rsidRPr="007A4C3D">
        <w:rPr>
          <w:rFonts w:ascii="Palatino Linotype" w:eastAsia="Palatino Linotype" w:hAnsi="Palatino Linotype" w:cs="Palatino Linotype"/>
        </w:rPr>
        <w:t xml:space="preserve"> Mejorar la conectividad entre los diferentes municipios del Estado de México, facilitando un sistema de transporte más integrado.</w:t>
      </w:r>
    </w:p>
    <w:p w14:paraId="01CD27BA" w14:textId="77777777" w:rsidR="0099366F" w:rsidRPr="007A4C3D" w:rsidRDefault="00647768">
      <w:pPr>
        <w:numPr>
          <w:ilvl w:val="0"/>
          <w:numId w:val="1"/>
        </w:numPr>
        <w:pBdr>
          <w:top w:val="nil"/>
          <w:left w:val="nil"/>
          <w:bottom w:val="nil"/>
          <w:right w:val="nil"/>
          <w:between w:val="nil"/>
        </w:pBdr>
        <w:spacing w:after="280" w:line="360" w:lineRule="auto"/>
        <w:ind w:left="284" w:firstLine="0"/>
        <w:jc w:val="both"/>
        <w:rPr>
          <w:rFonts w:ascii="Palatino Linotype" w:eastAsia="Palatino Linotype" w:hAnsi="Palatino Linotype" w:cs="Palatino Linotype"/>
        </w:rPr>
      </w:pPr>
      <w:r w:rsidRPr="007A4C3D">
        <w:rPr>
          <w:rFonts w:ascii="Palatino Linotype" w:eastAsia="Palatino Linotype" w:hAnsi="Palatino Linotype" w:cs="Palatino Linotype"/>
          <w:b/>
        </w:rPr>
        <w:t>Educación y sensibilización:</w:t>
      </w:r>
      <w:r w:rsidRPr="007A4C3D">
        <w:rPr>
          <w:rFonts w:ascii="Palatino Linotype" w:eastAsia="Palatino Linotype" w:hAnsi="Palatino Linotype" w:cs="Palatino Linotype"/>
        </w:rPr>
        <w:t xml:space="preserve"> Implementar campañas para educar a la población sobre la importancia de cambiar los hábitos de movilidad hacia opciones más sostenibles.</w:t>
      </w:r>
    </w:p>
    <w:p w14:paraId="3679BA9A" w14:textId="77777777" w:rsidR="0099366F" w:rsidRPr="007A4C3D" w:rsidRDefault="00647768">
      <w:pPr>
        <w:pBdr>
          <w:top w:val="nil"/>
          <w:left w:val="nil"/>
          <w:bottom w:val="nil"/>
          <w:right w:val="nil"/>
          <w:between w:val="nil"/>
        </w:pBdr>
        <w:spacing w:before="280" w:after="280" w:line="360" w:lineRule="auto"/>
        <w:jc w:val="both"/>
      </w:pPr>
      <w:r w:rsidRPr="007A4C3D">
        <w:rPr>
          <w:rFonts w:ascii="Palatino Linotype" w:eastAsia="Palatino Linotype" w:hAnsi="Palatino Linotype" w:cs="Palatino Linotype"/>
        </w:rPr>
        <w:lastRenderedPageBreak/>
        <w:t xml:space="preserve">Este plan no solo tiene como fin mejorar la infraestructura y el acceso al transporte, sino también contribuir a la </w:t>
      </w:r>
      <w:r w:rsidRPr="007A4C3D">
        <w:rPr>
          <w:rFonts w:ascii="Palatino Linotype" w:eastAsia="Palatino Linotype" w:hAnsi="Palatino Linotype" w:cs="Palatino Linotype"/>
          <w:b/>
        </w:rPr>
        <w:t>reducción de la contaminación</w:t>
      </w:r>
      <w:r w:rsidRPr="007A4C3D">
        <w:rPr>
          <w:rFonts w:ascii="Palatino Linotype" w:eastAsia="Palatino Linotype" w:hAnsi="Palatino Linotype" w:cs="Palatino Linotype"/>
        </w:rPr>
        <w:t xml:space="preserve">, la </w:t>
      </w:r>
      <w:r w:rsidRPr="007A4C3D">
        <w:rPr>
          <w:rFonts w:ascii="Palatino Linotype" w:eastAsia="Palatino Linotype" w:hAnsi="Palatino Linotype" w:cs="Palatino Linotype"/>
          <w:b/>
        </w:rPr>
        <w:t>mejora de la seguridad vial</w:t>
      </w:r>
      <w:r w:rsidRPr="007A4C3D">
        <w:rPr>
          <w:rFonts w:ascii="Palatino Linotype" w:eastAsia="Palatino Linotype" w:hAnsi="Palatino Linotype" w:cs="Palatino Linotype"/>
        </w:rPr>
        <w:t xml:space="preserve"> y el </w:t>
      </w:r>
      <w:r w:rsidRPr="007A4C3D">
        <w:rPr>
          <w:rFonts w:ascii="Palatino Linotype" w:eastAsia="Palatino Linotype" w:hAnsi="Palatino Linotype" w:cs="Palatino Linotype"/>
          <w:b/>
        </w:rPr>
        <w:t>fomento del uso responsable de recursos</w:t>
      </w:r>
      <w:r w:rsidRPr="007A4C3D">
        <w:rPr>
          <w:rFonts w:ascii="Palatino Linotype" w:eastAsia="Palatino Linotype" w:hAnsi="Palatino Linotype" w:cs="Palatino Linotype"/>
        </w:rPr>
        <w:t>. La implementación de estos compromisos también busca apoyar el bienestar de la población, especialmente en zonas metropolitanas con alta concentración de tráfico y problemas de calidad del aire</w:t>
      </w:r>
      <w:r w:rsidRPr="007A4C3D">
        <w:t>.</w:t>
      </w:r>
    </w:p>
    <w:p w14:paraId="76F869FB"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Y, si bien, el Plan Colibrí no tiene una fecha exacta de conclusión en su totalidad, ya que se trata de una iniciativa de largo plazo, no debe perderse de vista que las autoridades han establecido objetivos a corto, mediano y largo plazo para la implementación de sus compromisos. </w:t>
      </w:r>
    </w:p>
    <w:p w14:paraId="3306B054"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En general, se espera que las acciones más inmediatas (como la mejora de infraestructura para peatones y ciclistas, y el impulso al transporte público) se concreten en los primeros años de la implementación, sin embargo, los compromisos más ambiciosos, como la transformación completa de la movilidad urbana y la integración de nuevas tecnologías en el transporte pueden tomar más tiempo.</w:t>
      </w:r>
    </w:p>
    <w:p w14:paraId="22A760F5"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El avance y la finalización de las diferentes fases del Plan dependen de varios factores, como la disponibilidad de recursos financieros, el compromiso político, y la colaboración con las dependencias de la administración pública y los municipios involucrados, sin embargo, en este tipo de proyectos, es común que se vayan realizando evaluaciones periódicas y ajustes según el progreso alcanzado. </w:t>
      </w:r>
    </w:p>
    <w:p w14:paraId="0A3F53B3"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 xml:space="preserve">A partir de lo anterior, se menciona que en atención a la solicitud el servidor público habilitado, informó que </w:t>
      </w:r>
      <w:r w:rsidRPr="007A4C3D">
        <w:rPr>
          <w:rFonts w:ascii="Palatino Linotype" w:eastAsia="Palatino Linotype" w:hAnsi="Palatino Linotype" w:cs="Palatino Linotype"/>
          <w:b/>
          <w:u w:val="single"/>
        </w:rPr>
        <w:t>el “Plan Colibrí, 100 compromisos por la movilidad sostenible” cuenta con un avance al Tercer Trimestre, esto es de julio a septiembre del año 2024,  del 52%,</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de conformidad con la información obtenida de la evaluación y el seguimiento a las acciones del citado Plan que realiza la Coordinador de Concentración Sectorial con las áreas responsables que forman parte de la Secretaria de Movilidad del Estado de México.</w:t>
      </w:r>
    </w:p>
    <w:p w14:paraId="3A7AB273"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Asimismo, toda vez que los 100 compromisos por la movilidad sostenible se integran en 10 acciones prioritarias o ejes transversales, el servidor público habilitado informó el porcentaje de avance por cada uno de los ejes al primer trimestre de 2024, y, respecto del avance por cada acción o compromiso, hizo entrega del Reporte del tercer trimestre de 2024 en el que se detalla el porcentaje de cada acción, así como la dirección electrónica de la página en la que se encuentra publicado el Plan Colibrí para efectos de su consulta, con la finalidad de que la persona solicitante pudiera conocer la referencia y el nombre de cada una de las 100 acciones.</w:t>
      </w:r>
    </w:p>
    <w:p w14:paraId="101CB701" w14:textId="77777777" w:rsidR="0099366F" w:rsidRPr="007A4C3D" w:rsidRDefault="00647768">
      <w:pPr>
        <w:spacing w:before="240" w:after="240" w:line="360" w:lineRule="auto"/>
        <w:ind w:right="49"/>
        <w:jc w:val="both"/>
        <w:rPr>
          <w:rFonts w:ascii="Palatino Linotype" w:eastAsia="Palatino Linotype" w:hAnsi="Palatino Linotype" w:cs="Palatino Linotype"/>
          <w:b/>
          <w:u w:val="single"/>
        </w:rPr>
      </w:pPr>
      <w:r w:rsidRPr="007A4C3D">
        <w:rPr>
          <w:rFonts w:ascii="Palatino Linotype" w:eastAsia="Palatino Linotype" w:hAnsi="Palatino Linotype" w:cs="Palatino Linotype"/>
        </w:rPr>
        <w:t>Las siguientes imágenes corresponden a los documentos referidos obtenidas de la consulta realizada por este Organismo Garante, mismas que se agregan para un mejor entendimiento.</w:t>
      </w:r>
    </w:p>
    <w:p w14:paraId="38A550F2"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391F1481"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7862625D"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71649141" w14:textId="77777777" w:rsidR="0099366F" w:rsidRPr="007A4C3D" w:rsidRDefault="00647768">
      <w:pPr>
        <w:spacing w:before="240" w:after="240" w:line="360" w:lineRule="auto"/>
        <w:ind w:right="49"/>
        <w:jc w:val="both"/>
        <w:rPr>
          <w:rFonts w:ascii="Palatino Linotype" w:eastAsia="Palatino Linotype" w:hAnsi="Palatino Linotype" w:cs="Palatino Linotype"/>
          <w:b/>
          <w:u w:val="single"/>
        </w:rPr>
      </w:pPr>
      <w:r w:rsidRPr="007A4C3D">
        <w:rPr>
          <w:rFonts w:ascii="Palatino Linotype" w:eastAsia="Palatino Linotype" w:hAnsi="Palatino Linotype" w:cs="Palatino Linotype"/>
          <w:b/>
          <w:u w:val="single"/>
        </w:rPr>
        <w:lastRenderedPageBreak/>
        <w:t>Reporte de avance al tercer trimestre 2024</w:t>
      </w:r>
    </w:p>
    <w:tbl>
      <w:tblPr>
        <w:tblStyle w:val="af1"/>
        <w:tblW w:w="88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7E3A53" w:rsidRPr="007A4C3D" w14:paraId="7065D914" w14:textId="77777777">
        <w:tc>
          <w:tcPr>
            <w:tcW w:w="4414" w:type="dxa"/>
          </w:tcPr>
          <w:p w14:paraId="3A25540A" w14:textId="77777777" w:rsidR="0099366F" w:rsidRPr="007A4C3D" w:rsidRDefault="00647768">
            <w:pPr>
              <w:spacing w:before="120" w:after="120"/>
              <w:ind w:right="51"/>
              <w:jc w:val="center"/>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35E9196D" wp14:editId="4A814C3B">
                  <wp:extent cx="2520000" cy="3236695"/>
                  <wp:effectExtent l="0" t="0" r="0" b="0"/>
                  <wp:docPr id="15243189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520000" cy="3236695"/>
                          </a:xfrm>
                          <a:prstGeom prst="rect">
                            <a:avLst/>
                          </a:prstGeom>
                          <a:ln/>
                        </pic:spPr>
                      </pic:pic>
                    </a:graphicData>
                  </a:graphic>
                </wp:inline>
              </w:drawing>
            </w:r>
          </w:p>
        </w:tc>
        <w:tc>
          <w:tcPr>
            <w:tcW w:w="4414" w:type="dxa"/>
          </w:tcPr>
          <w:p w14:paraId="4515CCFD" w14:textId="77777777" w:rsidR="0099366F" w:rsidRPr="007A4C3D" w:rsidRDefault="00647768">
            <w:pPr>
              <w:spacing w:before="120" w:after="120"/>
              <w:ind w:right="51"/>
              <w:jc w:val="center"/>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5D5640E8" wp14:editId="5104FD71">
                  <wp:extent cx="2520000" cy="3187590"/>
                  <wp:effectExtent l="0" t="0" r="0" b="0"/>
                  <wp:docPr id="152431896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520000" cy="3187590"/>
                          </a:xfrm>
                          <a:prstGeom prst="rect">
                            <a:avLst/>
                          </a:prstGeom>
                          <a:ln/>
                        </pic:spPr>
                      </pic:pic>
                    </a:graphicData>
                  </a:graphic>
                </wp:inline>
              </w:drawing>
            </w:r>
          </w:p>
        </w:tc>
      </w:tr>
      <w:tr w:rsidR="007E3A53" w:rsidRPr="007A4C3D" w14:paraId="64B3982C" w14:textId="77777777">
        <w:tc>
          <w:tcPr>
            <w:tcW w:w="4414" w:type="dxa"/>
          </w:tcPr>
          <w:p w14:paraId="0E45C5EF" w14:textId="77777777" w:rsidR="0099366F" w:rsidRPr="007A4C3D" w:rsidRDefault="00647768">
            <w:pPr>
              <w:spacing w:before="120" w:after="120"/>
              <w:ind w:right="51"/>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477BA6E0" wp14:editId="6DBDBC82">
                  <wp:extent cx="2520000" cy="2242433"/>
                  <wp:effectExtent l="0" t="0" r="0" b="0"/>
                  <wp:docPr id="152431896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520000" cy="2242433"/>
                          </a:xfrm>
                          <a:prstGeom prst="rect">
                            <a:avLst/>
                          </a:prstGeom>
                          <a:ln/>
                        </pic:spPr>
                      </pic:pic>
                    </a:graphicData>
                  </a:graphic>
                </wp:inline>
              </w:drawing>
            </w:r>
          </w:p>
        </w:tc>
        <w:tc>
          <w:tcPr>
            <w:tcW w:w="4414" w:type="dxa"/>
          </w:tcPr>
          <w:p w14:paraId="25C72A6F" w14:textId="77777777" w:rsidR="0099366F" w:rsidRPr="007A4C3D" w:rsidRDefault="00647768">
            <w:pPr>
              <w:spacing w:before="120" w:after="120"/>
              <w:ind w:right="51"/>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22F5BEF7" wp14:editId="48ABC765">
                  <wp:extent cx="2520000" cy="1721512"/>
                  <wp:effectExtent l="0" t="0" r="0" b="0"/>
                  <wp:docPr id="152431896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2520000" cy="1721512"/>
                          </a:xfrm>
                          <a:prstGeom prst="rect">
                            <a:avLst/>
                          </a:prstGeom>
                          <a:ln/>
                        </pic:spPr>
                      </pic:pic>
                    </a:graphicData>
                  </a:graphic>
                </wp:inline>
              </w:drawing>
            </w:r>
          </w:p>
        </w:tc>
      </w:tr>
    </w:tbl>
    <w:p w14:paraId="58E1C47F"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683C2748"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66BBEB9E" w14:textId="77777777" w:rsidR="0099366F" w:rsidRPr="007A4C3D" w:rsidRDefault="0099366F">
      <w:pPr>
        <w:spacing w:before="240" w:after="240" w:line="360" w:lineRule="auto"/>
        <w:ind w:right="49"/>
        <w:jc w:val="both"/>
        <w:rPr>
          <w:rFonts w:ascii="Palatino Linotype" w:eastAsia="Palatino Linotype" w:hAnsi="Palatino Linotype" w:cs="Palatino Linotype"/>
          <w:b/>
          <w:u w:val="single"/>
        </w:rPr>
      </w:pPr>
    </w:p>
    <w:p w14:paraId="524AECE8" w14:textId="77777777" w:rsidR="0099366F" w:rsidRPr="007A4C3D" w:rsidRDefault="00647768">
      <w:pPr>
        <w:spacing w:before="240" w:after="240" w:line="360" w:lineRule="auto"/>
        <w:ind w:right="49"/>
        <w:jc w:val="both"/>
        <w:rPr>
          <w:rFonts w:ascii="Palatino Linotype" w:eastAsia="Palatino Linotype" w:hAnsi="Palatino Linotype" w:cs="Palatino Linotype"/>
          <w:b/>
          <w:u w:val="single"/>
        </w:rPr>
      </w:pPr>
      <w:r w:rsidRPr="007A4C3D">
        <w:rPr>
          <w:rFonts w:ascii="Palatino Linotype" w:eastAsia="Palatino Linotype" w:hAnsi="Palatino Linotype" w:cs="Palatino Linotype"/>
          <w:b/>
          <w:u w:val="single"/>
        </w:rPr>
        <w:lastRenderedPageBreak/>
        <w:t>“Plan Colibrí, 100 compromisos por la movilidad sostenible”</w:t>
      </w:r>
    </w:p>
    <w:tbl>
      <w:tblPr>
        <w:tblStyle w:val="af2"/>
        <w:tblW w:w="8828"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4414"/>
        <w:gridCol w:w="4414"/>
      </w:tblGrid>
      <w:tr w:rsidR="007E3A53" w:rsidRPr="007A4C3D" w14:paraId="33CB2A27" w14:textId="77777777">
        <w:trPr>
          <w:jc w:val="center"/>
        </w:trPr>
        <w:tc>
          <w:tcPr>
            <w:tcW w:w="4414" w:type="dxa"/>
          </w:tcPr>
          <w:p w14:paraId="1F6F5853" w14:textId="77777777" w:rsidR="0099366F" w:rsidRPr="007A4C3D" w:rsidRDefault="00647768">
            <w:pPr>
              <w:spacing w:before="240" w:after="240" w:line="360" w:lineRule="auto"/>
              <w:ind w:right="49"/>
              <w:jc w:val="center"/>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010D5A57" wp14:editId="784F7D9D">
                  <wp:extent cx="2520000" cy="2873564"/>
                  <wp:effectExtent l="0" t="0" r="0" b="0"/>
                  <wp:docPr id="152431896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2520000" cy="2873564"/>
                          </a:xfrm>
                          <a:prstGeom prst="rect">
                            <a:avLst/>
                          </a:prstGeom>
                          <a:ln/>
                        </pic:spPr>
                      </pic:pic>
                    </a:graphicData>
                  </a:graphic>
                </wp:inline>
              </w:drawing>
            </w:r>
          </w:p>
          <w:p w14:paraId="0D9C2C0A" w14:textId="77777777" w:rsidR="0099366F" w:rsidRPr="007A4C3D" w:rsidRDefault="00647768">
            <w:pPr>
              <w:spacing w:before="240" w:after="240" w:line="360" w:lineRule="auto"/>
              <w:ind w:right="49"/>
              <w:jc w:val="center"/>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1C92F137" wp14:editId="4C3C8FB0">
                  <wp:extent cx="2520000" cy="2857541"/>
                  <wp:effectExtent l="0" t="0" r="0" b="0"/>
                  <wp:docPr id="152431896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4"/>
                          <a:srcRect/>
                          <a:stretch>
                            <a:fillRect/>
                          </a:stretch>
                        </pic:blipFill>
                        <pic:spPr>
                          <a:xfrm>
                            <a:off x="0" y="0"/>
                            <a:ext cx="2520000" cy="2857541"/>
                          </a:xfrm>
                          <a:prstGeom prst="rect">
                            <a:avLst/>
                          </a:prstGeom>
                          <a:ln/>
                        </pic:spPr>
                      </pic:pic>
                    </a:graphicData>
                  </a:graphic>
                </wp:inline>
              </w:drawing>
            </w:r>
          </w:p>
        </w:tc>
        <w:tc>
          <w:tcPr>
            <w:tcW w:w="4414" w:type="dxa"/>
          </w:tcPr>
          <w:p w14:paraId="3B5244D7" w14:textId="77777777" w:rsidR="0099366F" w:rsidRPr="007A4C3D" w:rsidRDefault="00647768">
            <w:pPr>
              <w:spacing w:before="240" w:after="240" w:line="360" w:lineRule="auto"/>
              <w:ind w:right="49"/>
              <w:jc w:val="center"/>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4A61426E" wp14:editId="103E5A98">
                  <wp:extent cx="2520000" cy="2753524"/>
                  <wp:effectExtent l="0" t="0" r="0" b="0"/>
                  <wp:docPr id="15243189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520000" cy="2753524"/>
                          </a:xfrm>
                          <a:prstGeom prst="rect">
                            <a:avLst/>
                          </a:prstGeom>
                          <a:ln/>
                        </pic:spPr>
                      </pic:pic>
                    </a:graphicData>
                  </a:graphic>
                </wp:inline>
              </w:drawing>
            </w:r>
          </w:p>
          <w:p w14:paraId="5E27B156" w14:textId="77777777" w:rsidR="0099366F" w:rsidRPr="007A4C3D" w:rsidRDefault="00647768">
            <w:pPr>
              <w:spacing w:before="240" w:after="240" w:line="360" w:lineRule="auto"/>
              <w:ind w:right="49"/>
              <w:jc w:val="both"/>
              <w:rPr>
                <w:rFonts w:ascii="Palatino Linotype" w:eastAsia="Palatino Linotype" w:hAnsi="Palatino Linotype" w:cs="Palatino Linotype"/>
                <w:b/>
                <w:u w:val="single"/>
              </w:rPr>
            </w:pPr>
            <w:r w:rsidRPr="007A4C3D">
              <w:rPr>
                <w:rFonts w:ascii="Palatino Linotype" w:eastAsia="Palatino Linotype" w:hAnsi="Palatino Linotype" w:cs="Palatino Linotype"/>
                <w:noProof/>
              </w:rPr>
              <w:drawing>
                <wp:inline distT="0" distB="0" distL="0" distR="0" wp14:anchorId="43262A86" wp14:editId="2A3A1E17">
                  <wp:extent cx="2520000" cy="1385074"/>
                  <wp:effectExtent l="0" t="0" r="0" b="0"/>
                  <wp:docPr id="152431896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2520000" cy="1385074"/>
                          </a:xfrm>
                          <a:prstGeom prst="rect">
                            <a:avLst/>
                          </a:prstGeom>
                          <a:ln/>
                        </pic:spPr>
                      </pic:pic>
                    </a:graphicData>
                  </a:graphic>
                </wp:inline>
              </w:drawing>
            </w:r>
          </w:p>
        </w:tc>
      </w:tr>
    </w:tbl>
    <w:p w14:paraId="141CE1F4"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Como pude advertirse, la información proporcionada por el servidor público habilitado de la Coordinación de Concertación Sectorial satisface el punto uno de la </w:t>
      </w:r>
      <w:r w:rsidRPr="007A4C3D">
        <w:rPr>
          <w:rFonts w:ascii="Palatino Linotype" w:eastAsia="Palatino Linotype" w:hAnsi="Palatino Linotype" w:cs="Palatino Linotype"/>
        </w:rPr>
        <w:lastRenderedPageBreak/>
        <w:t xml:space="preserve">solicitud, respecto del avance de cada una de las acciones del Plan Colibrí, toda vez que </w:t>
      </w:r>
      <w:r w:rsidRPr="007A4C3D">
        <w:rPr>
          <w:rFonts w:ascii="Palatino Linotype" w:eastAsia="Palatino Linotype" w:hAnsi="Palatino Linotype" w:cs="Palatino Linotype"/>
          <w:b/>
          <w:u w:val="single"/>
        </w:rPr>
        <w:t>el Reporte de avance al tercer trimestre de 2024 entregado da cuenta del porcentaje de avance de cada uno de los 100 compromisos que integran el referido plan</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como ha quedado demostrado.</w:t>
      </w:r>
    </w:p>
    <w:p w14:paraId="33150191"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Respecto del Plan Colibrí y los 100 compromisos que lo integran, es importante mencionar el mismo no forma parte de la materia de la solicitud, sin embargo, como ya se refirió, se proporcionó con la finalidad de que la persona solicitante pudiera conocer la referencia y el nombre de cada una de las 100 acciones, cuya dirección electrónica se proporcionó a través de un documento en formato abierto, es decir, que permite su interoperabilidad por medio de un hipervínculo o bien copiar la dirección electrónica y pegarla en el navegador que se elija. Cabe mencionar que en la consulta realizada se advirtió que el hipervínculo o enlace, cuyo objetivo consiste en dirigir a un usuario a otra página o recurso digital al dar clic o pasar el mouse sobre el mismo está roto, ya que al dar clic, dirigió a la siguiente página:</w:t>
      </w:r>
    </w:p>
    <w:p w14:paraId="47E9ECCB"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12A10FCE" wp14:editId="47E81532">
            <wp:extent cx="5612130" cy="2530475"/>
            <wp:effectExtent l="0" t="0" r="0" b="0"/>
            <wp:docPr id="152431896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a:stretch>
                      <a:fillRect/>
                    </a:stretch>
                  </pic:blipFill>
                  <pic:spPr>
                    <a:xfrm>
                      <a:off x="0" y="0"/>
                      <a:ext cx="5612130" cy="2530475"/>
                    </a:xfrm>
                    <a:prstGeom prst="rect">
                      <a:avLst/>
                    </a:prstGeom>
                    <a:ln/>
                  </pic:spPr>
                </pic:pic>
              </a:graphicData>
            </a:graphic>
          </wp:inline>
        </w:drawing>
      </w:r>
    </w:p>
    <w:p w14:paraId="742E0EC5"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Sin embargo, al copiar manualmente la dirección electrónica del documento entregado por medio del mouse, es posible acceder a la página donde se encuentra alojada la información, como se demostró anteriormente.</w:t>
      </w:r>
    </w:p>
    <w:p w14:paraId="25F99268" w14:textId="77777777" w:rsidR="0099366F" w:rsidRPr="007A4C3D" w:rsidRDefault="00647768">
      <w:pPr>
        <w:spacing w:before="240" w:after="240" w:line="360" w:lineRule="auto"/>
        <w:ind w:right="49"/>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Por otro lado, si bien es cierto que la persona solicitante requirió la información a la fecha de presentación de la solicitud, no debe perderse de vista que, de conformidad con lo manifestado por el servidor público habilitado, dicha información, es decir, </w:t>
      </w:r>
      <w:r w:rsidRPr="007A4C3D">
        <w:rPr>
          <w:rFonts w:ascii="Palatino Linotype" w:eastAsia="Palatino Linotype" w:hAnsi="Palatino Linotype" w:cs="Palatino Linotype"/>
          <w:b/>
          <w:u w:val="single"/>
        </w:rPr>
        <w:t>el reporte de avance, se genera de manera trimestral,</w:t>
      </w:r>
      <w:r w:rsidRPr="007A4C3D">
        <w:rPr>
          <w:rFonts w:ascii="Palatino Linotype" w:eastAsia="Palatino Linotype" w:hAnsi="Palatino Linotype" w:cs="Palatino Linotype"/>
          <w:u w:val="single"/>
        </w:rPr>
        <w:t xml:space="preserve"> </w:t>
      </w:r>
      <w:r w:rsidRPr="007A4C3D">
        <w:rPr>
          <w:rFonts w:ascii="Palatino Linotype" w:eastAsia="Palatino Linotype" w:hAnsi="Palatino Linotype" w:cs="Palatino Linotype"/>
          <w:b/>
          <w:u w:val="single"/>
        </w:rPr>
        <w:t>tomando como referencia la información que cada área encargada de la implementación de las acciones reporta a la Coordinación de Concertación Sectorial</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por lo que es evidente que, si la solicitud se tuvo por presentada el día veinte de noviembre de dos mil veinticuatro, la Coordinación aún se encontraba en tiempo para integrar el reporte de avance correspondiente al cuarto trimestre, esto es, de octubre a diciembre de 2024, lo que se traduce en que a la fecha de la solicitud la información vigente corresponde a la generada al tercer trimestre de dicho ejercicio, misma que fue proporcionada por el servidor público habilitado competente.</w:t>
      </w:r>
    </w:p>
    <w:p w14:paraId="7272568D"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Por otro lado, respecto del punto 2 de la solicitud, donde se requiere el soporte documental que sustente el avance de cada una de las acciones del Plan Colibrí, recordemos que el servidor público habilitado manifestó en lo medular que de la búsqueda exhaustiva y razonable en los archivos de la Coordinación de Concentración Sectorial y la Dirección de Gestión a su cargo, únicamente contaba con los documentos evidencia del cumplimiento de las acciones con los numerales 1, 2, 16, 26 y 82, como resultado de la entrega del Informe Final del estado actual de las acciones del Plan Colibrí, por parte de las áreas responsables de su ejecución, </w:t>
      </w:r>
      <w:r w:rsidRPr="007A4C3D">
        <w:rPr>
          <w:rFonts w:ascii="Palatino Linotype" w:eastAsia="Palatino Linotype" w:hAnsi="Palatino Linotype" w:cs="Palatino Linotype"/>
        </w:rPr>
        <w:lastRenderedPageBreak/>
        <w:t>para dar paso al Procedimiento de Baja y Liberación, mismo que se encontraba en trámite. Dichos documentos fueron entregados como parte de la respuesta emitida:</w:t>
      </w:r>
    </w:p>
    <w:p w14:paraId="276F56F6"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2D820452" wp14:editId="6FEC7981">
            <wp:extent cx="4860000" cy="2669206"/>
            <wp:effectExtent l="0" t="0" r="0" b="0"/>
            <wp:docPr id="152431897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860000" cy="2669206"/>
                    </a:xfrm>
                    <a:prstGeom prst="rect">
                      <a:avLst/>
                    </a:prstGeom>
                    <a:ln/>
                  </pic:spPr>
                </pic:pic>
              </a:graphicData>
            </a:graphic>
          </wp:inline>
        </w:drawing>
      </w:r>
    </w:p>
    <w:p w14:paraId="7567D908"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5DFE4126" wp14:editId="7E162F3C">
            <wp:extent cx="4860000" cy="1403890"/>
            <wp:effectExtent l="0" t="0" r="0" b="0"/>
            <wp:docPr id="152431896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860000" cy="1403890"/>
                    </a:xfrm>
                    <a:prstGeom prst="rect">
                      <a:avLst/>
                    </a:prstGeom>
                    <a:ln/>
                  </pic:spPr>
                </pic:pic>
              </a:graphicData>
            </a:graphic>
          </wp:inline>
        </w:drawing>
      </w:r>
    </w:p>
    <w:p w14:paraId="2BFDF48E"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341F083C" wp14:editId="258BADF4">
            <wp:extent cx="3600000" cy="2137985"/>
            <wp:effectExtent l="0" t="0" r="0" b="0"/>
            <wp:docPr id="152431897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t="1" b="52404"/>
                    <a:stretch>
                      <a:fillRect/>
                    </a:stretch>
                  </pic:blipFill>
                  <pic:spPr>
                    <a:xfrm>
                      <a:off x="0" y="0"/>
                      <a:ext cx="3600000" cy="2137985"/>
                    </a:xfrm>
                    <a:prstGeom prst="rect">
                      <a:avLst/>
                    </a:prstGeom>
                    <a:ln/>
                  </pic:spPr>
                </pic:pic>
              </a:graphicData>
            </a:graphic>
          </wp:inline>
        </w:drawing>
      </w:r>
    </w:p>
    <w:p w14:paraId="489BADBF"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lastRenderedPageBreak/>
        <w:drawing>
          <wp:inline distT="0" distB="0" distL="0" distR="0" wp14:anchorId="7A9D4068" wp14:editId="7DBCBCA8">
            <wp:extent cx="4860000" cy="3114896"/>
            <wp:effectExtent l="0" t="0" r="0" b="0"/>
            <wp:docPr id="152431897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b="13399"/>
                    <a:stretch>
                      <a:fillRect/>
                    </a:stretch>
                  </pic:blipFill>
                  <pic:spPr>
                    <a:xfrm>
                      <a:off x="0" y="0"/>
                      <a:ext cx="4860000" cy="3114896"/>
                    </a:xfrm>
                    <a:prstGeom prst="rect">
                      <a:avLst/>
                    </a:prstGeom>
                    <a:ln/>
                  </pic:spPr>
                </pic:pic>
              </a:graphicData>
            </a:graphic>
          </wp:inline>
        </w:drawing>
      </w:r>
    </w:p>
    <w:p w14:paraId="17656124"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4C9E6201" wp14:editId="7322ACA2">
            <wp:extent cx="4860000" cy="1879002"/>
            <wp:effectExtent l="0" t="0" r="0" b="0"/>
            <wp:docPr id="152431897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4860000" cy="1879002"/>
                    </a:xfrm>
                    <a:prstGeom prst="rect">
                      <a:avLst/>
                    </a:prstGeom>
                    <a:ln/>
                  </pic:spPr>
                </pic:pic>
              </a:graphicData>
            </a:graphic>
          </wp:inline>
        </w:drawing>
      </w:r>
    </w:p>
    <w:p w14:paraId="274C5302"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sidRPr="007A4C3D">
        <w:rPr>
          <w:rFonts w:ascii="Palatino Linotype" w:eastAsia="Palatino Linotype" w:hAnsi="Palatino Linotype" w:cs="Palatino Linotype"/>
        </w:rPr>
        <w:t xml:space="preserve">En este sentido, </w:t>
      </w:r>
      <w:r w:rsidRPr="007A4C3D">
        <w:rPr>
          <w:rFonts w:ascii="Palatino Linotype" w:eastAsia="Palatino Linotype" w:hAnsi="Palatino Linotype" w:cs="Palatino Linotype"/>
          <w:b/>
        </w:rPr>
        <w:t xml:space="preserve">la documentación entregada por el servidor público habilitado es suficiente para tener por satisfecho el requerimiento de información en análisis </w:t>
      </w:r>
      <w:r w:rsidRPr="007A4C3D">
        <w:rPr>
          <w:rFonts w:ascii="Palatino Linotype" w:eastAsia="Palatino Linotype" w:hAnsi="Palatino Linotype" w:cs="Palatino Linotype"/>
          <w:b/>
          <w:u w:val="single"/>
        </w:rPr>
        <w:t>por lo que se refiere a las acciones 1, 2, 16, 26 y 82 del Plan Colibrí</w:t>
      </w:r>
      <w:r w:rsidRPr="007A4C3D">
        <w:rPr>
          <w:rFonts w:ascii="Palatino Linotype" w:eastAsia="Palatino Linotype" w:hAnsi="Palatino Linotype" w:cs="Palatino Linotype"/>
          <w:b/>
        </w:rPr>
        <w:t>.</w:t>
      </w:r>
    </w:p>
    <w:p w14:paraId="36193EA8"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No obstante, es de señalar que de la revisión efectuada por este Organismo Garante se advirtió que dicho soporte documental se entregó de manera íntegra, dejándose visibles datos personales que debieron clasificarse como confidenciales, de manera </w:t>
      </w:r>
      <w:r w:rsidRPr="007A4C3D">
        <w:rPr>
          <w:rFonts w:ascii="Palatino Linotype" w:eastAsia="Palatino Linotype" w:hAnsi="Palatino Linotype" w:cs="Palatino Linotype"/>
        </w:rPr>
        <w:lastRenderedPageBreak/>
        <w:t>concreta, la fotografía de personas que no ostentan el carácter de servidores públicos.</w:t>
      </w:r>
    </w:p>
    <w:p w14:paraId="01857F16" w14:textId="77777777" w:rsidR="0099366F" w:rsidRPr="007A4C3D" w:rsidRDefault="00647768">
      <w:pPr>
        <w:spacing w:before="280" w:after="28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Sobre el particular, si bien, la presente resolución no tiene por objetivo investigar y determinar posibles violaciones al derecho de acceso a la información; toda vez que se advirtió la posible publicación de datos personales, se considera procedente dar vista al Titular de la Dirección General de Protección de Datos Personales de este Órgano,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investigue y sanciones las posibles omisiones en las que 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pudo haber incurrido por el incumplimiento a las obligaciones previstas en la Ley de Protección de Datos Personales en Posesión de Sujetos Obligados del Estado de México y Municipios y, las demás disposiciones jurídicas aplicables en la materia; en caso de acreditarse las mismas, lo deberá hacer del conocimiento del Órgano de Control Interno del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para que éste determine lo que conforme derecho corresponda, cuyo resultado deberá ser informado a este Instituto.</w:t>
      </w:r>
    </w:p>
    <w:p w14:paraId="7969307A"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Ahora bien, toda vez que </w:t>
      </w:r>
      <w:r w:rsidRPr="007A4C3D">
        <w:rPr>
          <w:rFonts w:ascii="Palatino Linotype" w:eastAsia="Palatino Linotype" w:hAnsi="Palatino Linotype" w:cs="Palatino Linotype"/>
          <w:b/>
        </w:rPr>
        <w:t xml:space="preserve">el servidor público habilitado omitió hacer entrega del soporte documental que sustenta el avance de las acciones restantes, </w:t>
      </w:r>
      <w:r w:rsidRPr="007A4C3D">
        <w:rPr>
          <w:rFonts w:ascii="Palatino Linotype" w:eastAsia="Palatino Linotype" w:hAnsi="Palatino Linotype" w:cs="Palatino Linotype"/>
        </w:rPr>
        <w:t xml:space="preserve">se menciona que el veinte de junio de dos mil veinticuatro, mediante los oficios con número 22000010000000S/68-A/2024, 22000010000000S/68-B/2024, 22000010000000S/68-C/2024, 22000010000000S/68-D/2024, 22000010000000S/68-E/2024, </w:t>
      </w:r>
      <w:r w:rsidRPr="007A4C3D">
        <w:rPr>
          <w:rFonts w:ascii="Palatino Linotype" w:eastAsia="Palatino Linotype" w:hAnsi="Palatino Linotype" w:cs="Palatino Linotype"/>
        </w:rPr>
        <w:lastRenderedPageBreak/>
        <w:t>22000010000000S/68-F/2024, 22000010000000S/68-G/2024, 22000010000000S/68-H/2024, 22000010000000S/68-I/2024, 22000010000000S/68-J/2024, 22000010000000S/68-K/2024 Y 22000010000000S/68-L/2024, la Coordinación de Concentración Sectorial hizo de conocimiento de las áreas responsables de la implementación de las 100 acciones que contiene el Plan Colibrí, el Procedimiento de Baja y Liberación que éstas deben observar cuando alguna de las acciones esté concluida, el cual consiste en lo siguiente:</w:t>
      </w:r>
    </w:p>
    <w:p w14:paraId="5375AF15"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7A4C3D">
        <w:rPr>
          <w:rFonts w:ascii="Palatino Linotype" w:eastAsia="Palatino Linotype" w:hAnsi="Palatino Linotype" w:cs="Palatino Linotype"/>
          <w:noProof/>
        </w:rPr>
        <w:drawing>
          <wp:inline distT="0" distB="0" distL="0" distR="0" wp14:anchorId="1445AEC0" wp14:editId="504DC4CE">
            <wp:extent cx="5040000" cy="3968475"/>
            <wp:effectExtent l="0" t="0" r="0" b="0"/>
            <wp:docPr id="152431897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5040000" cy="3968475"/>
                    </a:xfrm>
                    <a:prstGeom prst="rect">
                      <a:avLst/>
                    </a:prstGeom>
                    <a:ln/>
                  </pic:spPr>
                </pic:pic>
              </a:graphicData>
            </a:graphic>
          </wp:inline>
        </w:drawing>
      </w:r>
      <w:r w:rsidRPr="007A4C3D">
        <w:rPr>
          <w:rFonts w:ascii="Palatino Linotype" w:eastAsia="Palatino Linotype" w:hAnsi="Palatino Linotype" w:cs="Palatino Linotype"/>
          <w:noProof/>
        </w:rPr>
        <w:drawing>
          <wp:inline distT="0" distB="0" distL="0" distR="0" wp14:anchorId="5283F07F" wp14:editId="2AAE13ED">
            <wp:extent cx="5040000" cy="911854"/>
            <wp:effectExtent l="0" t="0" r="0" b="0"/>
            <wp:docPr id="15243189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040000" cy="911854"/>
                    </a:xfrm>
                    <a:prstGeom prst="rect">
                      <a:avLst/>
                    </a:prstGeom>
                    <a:ln/>
                  </pic:spPr>
                </pic:pic>
              </a:graphicData>
            </a:graphic>
          </wp:inline>
        </w:drawing>
      </w:r>
    </w:p>
    <w:p w14:paraId="64CA9A42"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lastRenderedPageBreak/>
        <w:t xml:space="preserve">Como se desprende de lo anterior, el Procedimiento de Baja y Liberación debe realizarse respecto de cada acción una vez que se encuentran concluidas o debidamente finalizadas, debiendo las áreas responsables de la implementación, entre otras acciones, adjuntar evidencia del cumplimiento a la Plataforma de Seguimiento y Evaluación de las acciones del Plan Colibrí, </w:t>
      </w:r>
      <w:r w:rsidRPr="007A4C3D">
        <w:rPr>
          <w:rFonts w:ascii="Palatino Linotype" w:eastAsia="Palatino Linotype" w:hAnsi="Palatino Linotype" w:cs="Palatino Linotype"/>
          <w:b/>
          <w:u w:val="single"/>
        </w:rPr>
        <w:t>y remitir de manera física el soporte documental correspondiente a la Coordinación de Concentración Sectorial, junto con el Reporte fin</w:t>
      </w:r>
      <w:r w:rsidRPr="007A4C3D">
        <w:rPr>
          <w:rFonts w:ascii="Palatino Linotype" w:eastAsia="Palatino Linotype" w:hAnsi="Palatino Linotype" w:cs="Palatino Linotype"/>
          <w:u w:val="single"/>
        </w:rPr>
        <w:t>al,</w:t>
      </w:r>
      <w:r w:rsidRPr="007A4C3D">
        <w:rPr>
          <w:rFonts w:ascii="Palatino Linotype" w:eastAsia="Palatino Linotype" w:hAnsi="Palatino Linotype" w:cs="Palatino Linotype"/>
        </w:rPr>
        <w:t xml:space="preserve"> como lo  tal y como lo refirió el servidor público habilitado.</w:t>
      </w:r>
    </w:p>
    <w:p w14:paraId="4B8CC9D1"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Para mayor claridad se menciona que si bien, las áreas responsables de la implementación de las 100 acciones del Plan Colibrí se encuentran obligadas a reportar el avance de cada acción a su cargo a través de la Plataforma de Seguimiento y Evaluación de las acciones del Plan Colibrí</w:t>
      </w:r>
      <w:r w:rsidRPr="007A4C3D">
        <w:rPr>
          <w:rFonts w:ascii="Palatino Linotype" w:eastAsia="Palatino Linotype" w:hAnsi="Palatino Linotype" w:cs="Palatino Linotype"/>
          <w:b/>
        </w:rPr>
        <w:t>,</w:t>
      </w:r>
      <w:r w:rsidRPr="007A4C3D">
        <w:rPr>
          <w:rFonts w:ascii="Palatino Linotype" w:eastAsia="Palatino Linotype" w:hAnsi="Palatino Linotype" w:cs="Palatino Linotype"/>
        </w:rPr>
        <w:t xml:space="preserve"> con la finalidad de que la Coordinación de Concentración Sectorial pueda evaluar el seguimiento, </w:t>
      </w:r>
      <w:r w:rsidRPr="007A4C3D">
        <w:rPr>
          <w:rFonts w:ascii="Palatino Linotype" w:eastAsia="Palatino Linotype" w:hAnsi="Palatino Linotype" w:cs="Palatino Linotype"/>
          <w:b/>
        </w:rPr>
        <w:t xml:space="preserve">el momento en el que remiten el soporte documental del cumplimiento de las acciones a su cargo, </w:t>
      </w:r>
      <w:r w:rsidRPr="007A4C3D">
        <w:rPr>
          <w:rFonts w:ascii="Palatino Linotype" w:eastAsia="Palatino Linotype" w:hAnsi="Palatino Linotype" w:cs="Palatino Linotype"/>
          <w:b/>
          <w:u w:val="single"/>
        </w:rPr>
        <w:t>de manera física,</w:t>
      </w:r>
      <w:r w:rsidRPr="007A4C3D">
        <w:rPr>
          <w:rFonts w:ascii="Palatino Linotype" w:eastAsia="Palatino Linotype" w:hAnsi="Palatino Linotype" w:cs="Palatino Linotype"/>
          <w:b/>
        </w:rPr>
        <w:t xml:space="preserve"> a dicha unidad administrativa, lo es cuando se inicia el Procedimiento de Baja y Liberación, </w:t>
      </w:r>
      <w:r w:rsidRPr="007A4C3D">
        <w:rPr>
          <w:rFonts w:ascii="Palatino Linotype" w:eastAsia="Palatino Linotype" w:hAnsi="Palatino Linotype" w:cs="Palatino Linotype"/>
        </w:rPr>
        <w:t>situación que imposibilita a la Coordinación para atender en su totalidad lo solicitado, al no contar con documentos que sustenten el avance de las acciones faltantes del Plan.</w:t>
      </w:r>
    </w:p>
    <w:p w14:paraId="732729B8"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Con base en lo previo, se colige que el </w:t>
      </w:r>
      <w:r w:rsidRPr="007A4C3D">
        <w:rPr>
          <w:rFonts w:ascii="Palatino Linotype" w:eastAsia="Palatino Linotype" w:hAnsi="Palatino Linotype" w:cs="Palatino Linotype"/>
          <w:b/>
        </w:rPr>
        <w:t xml:space="preserve">Sujeto Obligado </w:t>
      </w:r>
      <w:r w:rsidRPr="007A4C3D">
        <w:rPr>
          <w:rFonts w:ascii="Palatino Linotype" w:eastAsia="Palatino Linotype" w:hAnsi="Palatino Linotype" w:cs="Palatino Linotype"/>
        </w:rPr>
        <w:t xml:space="preserve">hizo entrega de la información que administra o posee a la fecha de la solicitud, siendo esta la evidencia documental del cumplimiento de las acciones con los numerales 1, 2, 16, 26 y 82, que fueron localizados derivado de la búsqueda exhaustiva y razonable instaurada en los archivos de la Coordinación de Concertación Sectorial, por lo que se entiende </w:t>
      </w:r>
      <w:r w:rsidRPr="007A4C3D">
        <w:rPr>
          <w:rFonts w:ascii="Palatino Linotype" w:eastAsia="Palatino Linotype" w:hAnsi="Palatino Linotype" w:cs="Palatino Linotype"/>
        </w:rPr>
        <w:lastRenderedPageBreak/>
        <w:t>que no cuenta con documentos que satisfagan la pretensión de la persona solicitante respecto a las acciones faltantes al no encontrarse cumplimentadas.</w:t>
      </w:r>
    </w:p>
    <w:p w14:paraId="40786D08"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Asimismo, dado que del análisis de la normativa aplicable en el presente asunto no se localizó disposición alguna en la que se establezca un periodo cierto o determinado para concluir las acciones, se estima que el pronunciamiento emitido por el servidor público habilitado es suficiente para atender el requerimiento en análisis.</w:t>
      </w:r>
    </w:p>
    <w:p w14:paraId="66FBA90A" w14:textId="77777777" w:rsidR="0099366F" w:rsidRPr="007A4C3D" w:rsidRDefault="0064776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Atento a las consideraciones expuestas, no es procedente la entrega de información alguna para atender la solicitud de información,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A4C3D">
        <w:rPr>
          <w:rFonts w:ascii="Palatino Linotype" w:eastAsia="Palatino Linotype" w:hAnsi="Palatino Linotype" w:cs="Palatino Linotype"/>
          <w:i/>
        </w:rPr>
        <w:t xml:space="preserve"> contrario sensu</w:t>
      </w:r>
      <w:r w:rsidRPr="007A4C3D">
        <w:rPr>
          <w:rFonts w:ascii="Palatino Linotype" w:eastAsia="Palatino Linotype" w:hAnsi="Palatino Linotype" w:cs="Palatino Linotype"/>
        </w:rPr>
        <w:t xml:space="preserve"> significa que no se está obligado a proporcionar lo que no obre en sus archivos, así como tampoco el Acuerdo de Inexistencia, toda vez que el pronunciamiento del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declararía en automática la inexistencia de la información solicitada de modo que no existe obligación de justificar o allegar pruebas, y por ende no tiene aplicación lo estatuido en el artículo 49, fracción XIII</w:t>
      </w:r>
      <w:r w:rsidRPr="007A4C3D">
        <w:rPr>
          <w:rFonts w:ascii="Palatino Linotype" w:eastAsia="Palatino Linotype" w:hAnsi="Palatino Linotype" w:cs="Palatino Linotype"/>
          <w:vertAlign w:val="superscript"/>
        </w:rPr>
        <w:footnoteReference w:id="1"/>
      </w:r>
      <w:r w:rsidRPr="007A4C3D">
        <w:rPr>
          <w:rFonts w:ascii="Palatino Linotype" w:eastAsia="Palatino Linotype" w:hAnsi="Palatino Linotype" w:cs="Palatino Linotype"/>
        </w:rPr>
        <w:t xml:space="preserve"> de la Ley de Transparencia y Acceso a la Información Pública del Estado de México y Municipios.</w:t>
      </w:r>
    </w:p>
    <w:p w14:paraId="5F90DC5E"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 xml:space="preserve">Derivado de los argumentos expuestos, si bien 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a través de respuesta proporcionó información que se traduce en lo solicitado, no es posible </w:t>
      </w:r>
      <w:r w:rsidRPr="007A4C3D">
        <w:rPr>
          <w:rFonts w:ascii="Palatino Linotype" w:eastAsia="Palatino Linotype" w:hAnsi="Palatino Linotype" w:cs="Palatino Linotype"/>
        </w:rPr>
        <w:lastRenderedPageBreak/>
        <w:t xml:space="preserve">confirmar la respuesta, al haberse dejado datos personales visibles como se acotó en líneas anteriores, por tanto, se estima que se actualiza la causal de sobreseimiento que prevé que por cualquier causa quede sin materia el Recurso de Revisión, ello en atención a que el presente asunto se inició bajo el motivo de inconformidad, que describe que se negó el acceso a la información, así como que se hizo entrega de información que no corresponde con lo solicitado, lo cual resulta infundado, pues en análisis a la respuesta, la información entregada si coincide con lo solicitado; por tanto, es pertinente </w:t>
      </w:r>
      <w:r w:rsidRPr="007A4C3D">
        <w:rPr>
          <w:rFonts w:ascii="Palatino Linotype" w:eastAsia="Palatino Linotype" w:hAnsi="Palatino Linotype" w:cs="Palatino Linotype"/>
          <w:b/>
        </w:rPr>
        <w:t xml:space="preserve">Sobreseer </w:t>
      </w:r>
      <w:r w:rsidRPr="007A4C3D">
        <w:rPr>
          <w:rFonts w:ascii="Palatino Linotype" w:eastAsia="Palatino Linotype" w:hAnsi="Palatino Linotype" w:cs="Palatino Linotype"/>
        </w:rPr>
        <w:t>el</w:t>
      </w:r>
      <w:r w:rsidRPr="007A4C3D">
        <w:rPr>
          <w:rFonts w:ascii="Palatino Linotype" w:eastAsia="Palatino Linotype" w:hAnsi="Palatino Linotype" w:cs="Palatino Linotype"/>
          <w:b/>
        </w:rPr>
        <w:t xml:space="preserve"> </w:t>
      </w:r>
      <w:r w:rsidRPr="007A4C3D">
        <w:rPr>
          <w:rFonts w:ascii="Palatino Linotype" w:eastAsia="Palatino Linotype" w:hAnsi="Palatino Linotype" w:cs="Palatino Linotype"/>
        </w:rPr>
        <w:t>presente Recurso de Revisión en atención a que se actualizó la causal de sobreseimiento prevista en el artículo 192 fracción V de la Ley de Transparencia y Acceso a la Información Pública del Estado de México y Municipios, en atención a que los medios de impugnación quedaron sin materia, ya que los motivos de inconformidad resultaron infundados y desvirtuados.</w:t>
      </w:r>
    </w:p>
    <w:p w14:paraId="5362E607"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141F7941" w14:textId="77777777" w:rsidR="0099366F" w:rsidRPr="007A4C3D" w:rsidRDefault="00647768">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7A4C3D">
        <w:rPr>
          <w:rFonts w:ascii="Palatino Linotype" w:eastAsia="Palatino Linotype" w:hAnsi="Palatino Linotype" w:cs="Palatino Linotype"/>
          <w:b/>
        </w:rPr>
        <w:t>III. R E S U E L V E</w:t>
      </w:r>
    </w:p>
    <w:p w14:paraId="167B7CDF" w14:textId="77777777" w:rsidR="0099366F" w:rsidRPr="007A4C3D" w:rsidRDefault="00647768">
      <w:pPr>
        <w:pBdr>
          <w:top w:val="nil"/>
          <w:left w:val="nil"/>
          <w:bottom w:val="nil"/>
          <w:right w:val="nil"/>
          <w:between w:val="nil"/>
        </w:pBdr>
        <w:tabs>
          <w:tab w:val="left" w:pos="7936"/>
        </w:tabs>
        <w:spacing w:before="240" w:after="240" w:line="360" w:lineRule="auto"/>
        <w:jc w:val="both"/>
        <w:rPr>
          <w:rFonts w:ascii="Palatino Linotype" w:eastAsia="Palatino Linotype" w:hAnsi="Palatino Linotype" w:cs="Palatino Linotype"/>
        </w:rPr>
      </w:pPr>
      <w:bookmarkStart w:id="9" w:name="_heading=h.26in1rg" w:colFirst="0" w:colLast="0"/>
      <w:bookmarkEnd w:id="9"/>
      <w:r w:rsidRPr="007A4C3D">
        <w:rPr>
          <w:rFonts w:ascii="Palatino Linotype" w:eastAsia="Palatino Linotype" w:hAnsi="Palatino Linotype" w:cs="Palatino Linotype"/>
          <w:b/>
        </w:rPr>
        <w:t xml:space="preserve">Primero. </w:t>
      </w:r>
      <w:r w:rsidRPr="007A4C3D">
        <w:rPr>
          <w:rFonts w:ascii="Palatino Linotype" w:eastAsia="Palatino Linotype" w:hAnsi="Palatino Linotype" w:cs="Palatino Linotype"/>
        </w:rPr>
        <w:t>Se</w:t>
      </w:r>
      <w:r w:rsidRPr="007A4C3D">
        <w:rPr>
          <w:rFonts w:ascii="Palatino Linotype" w:eastAsia="Palatino Linotype" w:hAnsi="Palatino Linotype" w:cs="Palatino Linotype"/>
          <w:b/>
        </w:rPr>
        <w:t xml:space="preserve"> Sobresee </w:t>
      </w:r>
      <w:r w:rsidRPr="007A4C3D">
        <w:rPr>
          <w:rFonts w:ascii="Palatino Linotype" w:eastAsia="Palatino Linotype" w:hAnsi="Palatino Linotype" w:cs="Palatino Linotype"/>
        </w:rPr>
        <w:t xml:space="preserve">el recurso de revisión número </w:t>
      </w:r>
      <w:r w:rsidRPr="007A4C3D">
        <w:rPr>
          <w:rFonts w:ascii="Palatino Linotype" w:eastAsia="Palatino Linotype" w:hAnsi="Palatino Linotype" w:cs="Palatino Linotype"/>
          <w:b/>
        </w:rPr>
        <w:t xml:space="preserve">000144/INFOEM/IP/RR/2025, </w:t>
      </w:r>
      <w:r w:rsidRPr="007A4C3D">
        <w:rPr>
          <w:rFonts w:ascii="Palatino Linotype" w:eastAsia="Palatino Linotype" w:hAnsi="Palatino Linotype" w:cs="Palatino Linotype"/>
        </w:rPr>
        <w:t>en términos del Considerando</w:t>
      </w:r>
      <w:r w:rsidRPr="007A4C3D">
        <w:rPr>
          <w:rFonts w:ascii="Palatino Linotype" w:eastAsia="Palatino Linotype" w:hAnsi="Palatino Linotype" w:cs="Palatino Linotype"/>
          <w:b/>
        </w:rPr>
        <w:t xml:space="preserve"> Cuarto </w:t>
      </w:r>
      <w:r w:rsidRPr="007A4C3D">
        <w:rPr>
          <w:rFonts w:ascii="Palatino Linotype" w:eastAsia="Palatino Linotype" w:hAnsi="Palatino Linotype" w:cs="Palatino Linotype"/>
        </w:rPr>
        <w:t>de la presente resolución, por haber quedado sin materia al actualizar el supuesto previsto en artículo 192, fracción V de la Ley de Transparencia y Acceso a la Información Pública del Estado de México y Municipios.</w:t>
      </w:r>
    </w:p>
    <w:p w14:paraId="1A722AB7" w14:textId="77777777" w:rsidR="0099366F" w:rsidRPr="007A4C3D" w:rsidRDefault="0099366F">
      <w:pPr>
        <w:spacing w:before="240" w:after="240" w:line="360" w:lineRule="auto"/>
        <w:jc w:val="both"/>
        <w:rPr>
          <w:rFonts w:ascii="Palatino Linotype" w:eastAsia="Palatino Linotype" w:hAnsi="Palatino Linotype" w:cs="Palatino Linotype"/>
          <w:b/>
        </w:rPr>
      </w:pPr>
    </w:p>
    <w:p w14:paraId="28DD6EB2"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lastRenderedPageBreak/>
        <w:t xml:space="preserve">Segundo. Notifíquese, </w:t>
      </w:r>
      <w:r w:rsidRPr="007A4C3D">
        <w:rPr>
          <w:rFonts w:ascii="Palatino Linotype" w:eastAsia="Palatino Linotype" w:hAnsi="Palatino Linotype" w:cs="Palatino Linotype"/>
        </w:rPr>
        <w:t xml:space="preserve">vía </w:t>
      </w:r>
      <w:r w:rsidRPr="007A4C3D">
        <w:rPr>
          <w:rFonts w:ascii="Palatino Linotype" w:eastAsia="Palatino Linotype" w:hAnsi="Palatino Linotype" w:cs="Palatino Linotype"/>
          <w:b/>
        </w:rPr>
        <w:t xml:space="preserve">SAIMEX, </w:t>
      </w:r>
      <w:r w:rsidRPr="007A4C3D">
        <w:rPr>
          <w:rFonts w:ascii="Palatino Linotype" w:eastAsia="Palatino Linotype" w:hAnsi="Palatino Linotype" w:cs="Palatino Linotype"/>
        </w:rPr>
        <w:t xml:space="preserve">al Titular de la Unidad de Transparencia del </w:t>
      </w:r>
      <w:r w:rsidRPr="007A4C3D">
        <w:rPr>
          <w:rFonts w:ascii="Palatino Linotype" w:eastAsia="Palatino Linotype" w:hAnsi="Palatino Linotype" w:cs="Palatino Linotype"/>
          <w:b/>
        </w:rPr>
        <w:t>Sujeto Obligado</w:t>
      </w:r>
      <w:r w:rsidRPr="007A4C3D">
        <w:rPr>
          <w:rFonts w:ascii="Palatino Linotype" w:eastAsia="Palatino Linotype" w:hAnsi="Palatino Linotype" w:cs="Palatino Linotype"/>
        </w:rPr>
        <w:t xml:space="preserve"> para su conocimiento, la presente resolución.</w:t>
      </w:r>
    </w:p>
    <w:p w14:paraId="51EC6FB1" w14:textId="77777777"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 xml:space="preserve">Tercero.  Notifíquese, </w:t>
      </w:r>
      <w:r w:rsidRPr="007A4C3D">
        <w:rPr>
          <w:rFonts w:ascii="Palatino Linotype" w:eastAsia="Palatino Linotype" w:hAnsi="Palatino Linotype" w:cs="Palatino Linotype"/>
        </w:rPr>
        <w:t xml:space="preserve">vía </w:t>
      </w:r>
      <w:r w:rsidRPr="007A4C3D">
        <w:rPr>
          <w:rFonts w:ascii="Palatino Linotype" w:eastAsia="Palatino Linotype" w:hAnsi="Palatino Linotype" w:cs="Palatino Linotype"/>
          <w:b/>
        </w:rPr>
        <w:t xml:space="preserve">SAIMEX, </w:t>
      </w:r>
      <w:r w:rsidRPr="007A4C3D">
        <w:rPr>
          <w:rFonts w:ascii="Palatino Linotype" w:eastAsia="Palatino Linotype" w:hAnsi="Palatino Linotype" w:cs="Palatino Linotype"/>
        </w:rPr>
        <w:t xml:space="preserve">a la parte </w:t>
      </w:r>
      <w:r w:rsidRPr="007A4C3D">
        <w:rPr>
          <w:rFonts w:ascii="Palatino Linotype" w:eastAsia="Palatino Linotype" w:hAnsi="Palatino Linotype" w:cs="Palatino Linotype"/>
          <w:b/>
        </w:rPr>
        <w:t>Recurrente</w:t>
      </w:r>
      <w:r w:rsidRPr="007A4C3D">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7685A8A6" w14:textId="4DA355A5" w:rsidR="0099366F" w:rsidRPr="007A4C3D" w:rsidRDefault="00647768">
      <w:pPr>
        <w:spacing w:before="240" w:after="240" w:line="360" w:lineRule="auto"/>
        <w:jc w:val="both"/>
        <w:rPr>
          <w:rFonts w:ascii="Palatino Linotype" w:eastAsia="Palatino Linotype" w:hAnsi="Palatino Linotype" w:cs="Palatino Linotype"/>
        </w:rPr>
      </w:pPr>
      <w:r w:rsidRPr="007A4C3D">
        <w:rPr>
          <w:rFonts w:ascii="Palatino Linotype" w:eastAsia="Palatino Linotype" w:hAnsi="Palatino Linotype" w:cs="Palatino Linotype"/>
          <w:b/>
        </w:rPr>
        <w:t>Cuarto.</w:t>
      </w:r>
      <w:r w:rsidRPr="007A4C3D">
        <w:rPr>
          <w:rFonts w:ascii="Palatino Linotype" w:eastAsia="Palatino Linotype" w:hAnsi="Palatino Linotype" w:cs="Palatino Linotype"/>
        </w:rPr>
        <w:t xml:space="preserve"> </w:t>
      </w:r>
      <w:r w:rsidRPr="007A4C3D">
        <w:rPr>
          <w:rFonts w:ascii="Palatino Linotype" w:eastAsia="Palatino Linotype" w:hAnsi="Palatino Linotype" w:cs="Palatino Linotype"/>
          <w:b/>
        </w:rPr>
        <w:t>Gírese</w:t>
      </w:r>
      <w:r w:rsidRPr="007A4C3D">
        <w:rPr>
          <w:rFonts w:ascii="Palatino Linotype" w:eastAsia="Palatino Linotype" w:hAnsi="Palatino Linotype" w:cs="Palatino Linotype"/>
        </w:rPr>
        <w:t xml:space="preserve"> a la </w:t>
      </w:r>
      <w:r w:rsidRPr="007A4C3D">
        <w:rPr>
          <w:rFonts w:ascii="Palatino Linotype" w:eastAsia="Palatino Linotype" w:hAnsi="Palatino Linotype" w:cs="Palatino Linotype"/>
          <w:b/>
        </w:rPr>
        <w:t>Dirección General de Protección de Datos Personales</w:t>
      </w:r>
      <w:r w:rsidRPr="007A4C3D">
        <w:rPr>
          <w:rFonts w:ascii="Palatino Linotype" w:eastAsia="Palatino Linotype" w:hAnsi="Palatino Linotype" w:cs="Palatino Linotype"/>
        </w:rPr>
        <w:t xml:space="preserve">, en atención al artículo 82, fracción XXVII de la Ley de Protección de Datos Personales en Posesión de Sujetos Obligados del Estado de México y Municipios en términos de lo señalado en el </w:t>
      </w:r>
      <w:r w:rsidRPr="007A4C3D">
        <w:rPr>
          <w:rFonts w:ascii="Palatino Linotype" w:eastAsia="Palatino Linotype" w:hAnsi="Palatino Linotype" w:cs="Palatino Linotype"/>
          <w:b/>
        </w:rPr>
        <w:t>Considerando Cuarto</w:t>
      </w:r>
      <w:r w:rsidRPr="007A4C3D">
        <w:rPr>
          <w:rFonts w:ascii="Palatino Linotype" w:eastAsia="Palatino Linotype" w:hAnsi="Palatino Linotype" w:cs="Palatino Linotype"/>
        </w:rPr>
        <w:t xml:space="preserve"> de la presente resolución.  </w:t>
      </w:r>
    </w:p>
    <w:p w14:paraId="00A3CFDC" w14:textId="77777777" w:rsidR="0099366F" w:rsidRPr="007E3A53" w:rsidRDefault="00647768">
      <w:pPr>
        <w:spacing w:line="360" w:lineRule="auto"/>
        <w:jc w:val="both"/>
        <w:rPr>
          <w:rFonts w:ascii="Palatino Linotype" w:eastAsia="Palatino Linotype" w:hAnsi="Palatino Linotype" w:cs="Palatino Linotype"/>
        </w:rPr>
      </w:pPr>
      <w:bookmarkStart w:id="10" w:name="_heading=h.1fob9te" w:colFirst="0" w:colLast="0"/>
      <w:bookmarkEnd w:id="10"/>
      <w:r w:rsidRPr="007A4C3D">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QUINTA SESIÓN ORDINARIA CELEBRADA EL DOCE DE FEBRERO DE DOS MIL VEINTICINCO, ANTE EL SECRETARIO TÉCNICO DEL PLENO ALEXIS TAPIA RAMÍREZ.</w:t>
      </w:r>
    </w:p>
    <w:p w14:paraId="2769DF99" w14:textId="77777777" w:rsidR="0099366F" w:rsidRPr="007E3A53" w:rsidRDefault="0099366F">
      <w:pPr>
        <w:spacing w:line="360" w:lineRule="auto"/>
        <w:jc w:val="both"/>
        <w:rPr>
          <w:rFonts w:ascii="Palatino Linotype" w:eastAsia="Palatino Linotype" w:hAnsi="Palatino Linotype" w:cs="Palatino Linotype"/>
        </w:rPr>
      </w:pPr>
    </w:p>
    <w:p w14:paraId="23B3BEA9" w14:textId="77777777" w:rsidR="0099366F" w:rsidRPr="007E3A53" w:rsidRDefault="0099366F">
      <w:pPr>
        <w:spacing w:line="360" w:lineRule="auto"/>
        <w:jc w:val="both"/>
        <w:rPr>
          <w:rFonts w:ascii="Palatino Linotype" w:eastAsia="Palatino Linotype" w:hAnsi="Palatino Linotype" w:cs="Palatino Linotype"/>
        </w:rPr>
      </w:pPr>
    </w:p>
    <w:p w14:paraId="41A622B6" w14:textId="77777777" w:rsidR="0099366F" w:rsidRPr="007E3A53" w:rsidRDefault="0099366F">
      <w:pPr>
        <w:spacing w:line="360" w:lineRule="auto"/>
        <w:jc w:val="both"/>
        <w:rPr>
          <w:rFonts w:ascii="Palatino Linotype" w:eastAsia="Palatino Linotype" w:hAnsi="Palatino Linotype" w:cs="Palatino Linotype"/>
        </w:rPr>
      </w:pPr>
    </w:p>
    <w:p w14:paraId="1D8E82FD" w14:textId="77777777" w:rsidR="0099366F" w:rsidRPr="007E3A53" w:rsidRDefault="0099366F">
      <w:pPr>
        <w:spacing w:line="360" w:lineRule="auto"/>
        <w:jc w:val="both"/>
        <w:rPr>
          <w:rFonts w:ascii="Palatino Linotype" w:eastAsia="Palatino Linotype" w:hAnsi="Palatino Linotype" w:cs="Palatino Linotype"/>
        </w:rPr>
      </w:pPr>
    </w:p>
    <w:p w14:paraId="7F43DE0D" w14:textId="77777777" w:rsidR="0099366F" w:rsidRPr="007E3A53" w:rsidRDefault="0099366F">
      <w:pPr>
        <w:spacing w:line="360" w:lineRule="auto"/>
        <w:jc w:val="both"/>
        <w:rPr>
          <w:rFonts w:ascii="Palatino Linotype" w:eastAsia="Palatino Linotype" w:hAnsi="Palatino Linotype" w:cs="Palatino Linotype"/>
        </w:rPr>
      </w:pPr>
    </w:p>
    <w:p w14:paraId="69AA9720" w14:textId="77777777" w:rsidR="0099366F" w:rsidRPr="007E3A53" w:rsidRDefault="0099366F">
      <w:pPr>
        <w:spacing w:line="360" w:lineRule="auto"/>
        <w:jc w:val="both"/>
        <w:rPr>
          <w:rFonts w:ascii="Palatino Linotype" w:eastAsia="Palatino Linotype" w:hAnsi="Palatino Linotype" w:cs="Palatino Linotype"/>
        </w:rPr>
      </w:pPr>
    </w:p>
    <w:p w14:paraId="507490F3" w14:textId="77777777" w:rsidR="0099366F" w:rsidRPr="007E3A53" w:rsidRDefault="0099366F">
      <w:pPr>
        <w:spacing w:line="360" w:lineRule="auto"/>
        <w:jc w:val="both"/>
        <w:rPr>
          <w:rFonts w:ascii="Palatino Linotype" w:eastAsia="Palatino Linotype" w:hAnsi="Palatino Linotype" w:cs="Palatino Linotype"/>
        </w:rPr>
      </w:pPr>
    </w:p>
    <w:p w14:paraId="22E98A74" w14:textId="77777777" w:rsidR="0099366F" w:rsidRPr="007E3A53" w:rsidRDefault="0099366F">
      <w:pPr>
        <w:spacing w:line="360" w:lineRule="auto"/>
        <w:jc w:val="both"/>
        <w:rPr>
          <w:rFonts w:ascii="Palatino Linotype" w:eastAsia="Palatino Linotype" w:hAnsi="Palatino Linotype" w:cs="Palatino Linotype"/>
        </w:rPr>
      </w:pPr>
    </w:p>
    <w:p w14:paraId="74714540" w14:textId="77777777" w:rsidR="0099366F" w:rsidRPr="007E3A53" w:rsidRDefault="0099366F">
      <w:pPr>
        <w:spacing w:line="360" w:lineRule="auto"/>
        <w:jc w:val="both"/>
        <w:rPr>
          <w:rFonts w:ascii="Palatino Linotype" w:eastAsia="Palatino Linotype" w:hAnsi="Palatino Linotype" w:cs="Palatino Linotype"/>
        </w:rPr>
      </w:pPr>
    </w:p>
    <w:p w14:paraId="387AA289" w14:textId="77777777" w:rsidR="0099366F" w:rsidRPr="007E3A53" w:rsidRDefault="0099366F">
      <w:pPr>
        <w:spacing w:line="360" w:lineRule="auto"/>
        <w:jc w:val="both"/>
        <w:rPr>
          <w:rFonts w:ascii="Palatino Linotype" w:eastAsia="Palatino Linotype" w:hAnsi="Palatino Linotype" w:cs="Palatino Linotype"/>
        </w:rPr>
      </w:pPr>
    </w:p>
    <w:p w14:paraId="53BA2607" w14:textId="77777777" w:rsidR="0099366F" w:rsidRPr="007E3A53" w:rsidRDefault="0099366F">
      <w:pPr>
        <w:spacing w:line="360" w:lineRule="auto"/>
        <w:jc w:val="both"/>
        <w:rPr>
          <w:rFonts w:ascii="Palatino Linotype" w:eastAsia="Palatino Linotype" w:hAnsi="Palatino Linotype" w:cs="Palatino Linotype"/>
        </w:rPr>
      </w:pPr>
    </w:p>
    <w:p w14:paraId="2751C697" w14:textId="77777777" w:rsidR="0099366F" w:rsidRPr="007E3A53" w:rsidRDefault="0099366F">
      <w:pPr>
        <w:spacing w:line="360" w:lineRule="auto"/>
        <w:jc w:val="both"/>
        <w:rPr>
          <w:rFonts w:ascii="Palatino Linotype" w:eastAsia="Palatino Linotype" w:hAnsi="Palatino Linotype" w:cs="Palatino Linotype"/>
        </w:rPr>
      </w:pPr>
    </w:p>
    <w:p w14:paraId="073C65DA" w14:textId="77777777" w:rsidR="0099366F" w:rsidRPr="007E3A53" w:rsidRDefault="0099366F">
      <w:pPr>
        <w:spacing w:line="360" w:lineRule="auto"/>
        <w:jc w:val="both"/>
        <w:rPr>
          <w:rFonts w:ascii="Palatino Linotype" w:eastAsia="Palatino Linotype" w:hAnsi="Palatino Linotype" w:cs="Palatino Linotype"/>
        </w:rPr>
      </w:pPr>
    </w:p>
    <w:p w14:paraId="331C0B40" w14:textId="77777777" w:rsidR="0099366F" w:rsidRPr="007E3A53" w:rsidRDefault="0099366F">
      <w:pPr>
        <w:spacing w:line="360" w:lineRule="auto"/>
        <w:jc w:val="both"/>
        <w:rPr>
          <w:rFonts w:ascii="Palatino Linotype" w:eastAsia="Palatino Linotype" w:hAnsi="Palatino Linotype" w:cs="Palatino Linotype"/>
        </w:rPr>
      </w:pPr>
    </w:p>
    <w:p w14:paraId="55E872C9" w14:textId="77777777" w:rsidR="0099366F" w:rsidRPr="007E3A53" w:rsidRDefault="0099366F">
      <w:pPr>
        <w:spacing w:line="360" w:lineRule="auto"/>
        <w:jc w:val="both"/>
        <w:rPr>
          <w:rFonts w:ascii="Palatino Linotype" w:eastAsia="Palatino Linotype" w:hAnsi="Palatino Linotype" w:cs="Palatino Linotype"/>
        </w:rPr>
      </w:pPr>
    </w:p>
    <w:p w14:paraId="51886F5F" w14:textId="77777777" w:rsidR="0099366F" w:rsidRPr="007E3A53" w:rsidRDefault="0099366F">
      <w:pPr>
        <w:spacing w:line="360" w:lineRule="auto"/>
        <w:jc w:val="both"/>
        <w:rPr>
          <w:rFonts w:ascii="Palatino Linotype" w:eastAsia="Palatino Linotype" w:hAnsi="Palatino Linotype" w:cs="Palatino Linotype"/>
        </w:rPr>
      </w:pPr>
    </w:p>
    <w:p w14:paraId="7A256DFE" w14:textId="77777777" w:rsidR="0099366F" w:rsidRPr="007E3A53" w:rsidRDefault="0099366F">
      <w:pPr>
        <w:spacing w:line="360" w:lineRule="auto"/>
        <w:jc w:val="both"/>
        <w:rPr>
          <w:rFonts w:ascii="Palatino Linotype" w:eastAsia="Palatino Linotype" w:hAnsi="Palatino Linotype" w:cs="Palatino Linotype"/>
        </w:rPr>
      </w:pPr>
    </w:p>
    <w:p w14:paraId="08F9AB5A" w14:textId="77777777" w:rsidR="0099366F" w:rsidRPr="007E3A53" w:rsidRDefault="0099366F">
      <w:pPr>
        <w:spacing w:line="360" w:lineRule="auto"/>
        <w:jc w:val="both"/>
        <w:rPr>
          <w:rFonts w:ascii="Palatino Linotype" w:eastAsia="Palatino Linotype" w:hAnsi="Palatino Linotype" w:cs="Palatino Linotype"/>
        </w:rPr>
      </w:pPr>
    </w:p>
    <w:p w14:paraId="6D2F5BC2" w14:textId="77777777" w:rsidR="0099366F" w:rsidRPr="007E3A53" w:rsidRDefault="0099366F">
      <w:pPr>
        <w:spacing w:line="360" w:lineRule="auto"/>
        <w:jc w:val="both"/>
        <w:rPr>
          <w:rFonts w:ascii="Palatino Linotype" w:eastAsia="Palatino Linotype" w:hAnsi="Palatino Linotype" w:cs="Palatino Linotype"/>
        </w:rPr>
      </w:pPr>
    </w:p>
    <w:p w14:paraId="4CE006EE" w14:textId="77777777" w:rsidR="0099366F" w:rsidRPr="007E3A53" w:rsidRDefault="0099366F">
      <w:pPr>
        <w:spacing w:line="360" w:lineRule="auto"/>
        <w:jc w:val="both"/>
        <w:rPr>
          <w:rFonts w:ascii="Palatino Linotype" w:eastAsia="Palatino Linotype" w:hAnsi="Palatino Linotype" w:cs="Palatino Linotype"/>
        </w:rPr>
      </w:pPr>
    </w:p>
    <w:p w14:paraId="4976B034" w14:textId="77777777" w:rsidR="0099366F" w:rsidRPr="007E3A53" w:rsidRDefault="0099366F">
      <w:pPr>
        <w:spacing w:line="360" w:lineRule="auto"/>
        <w:jc w:val="both"/>
        <w:rPr>
          <w:rFonts w:ascii="Palatino Linotype" w:eastAsia="Palatino Linotype" w:hAnsi="Palatino Linotype" w:cs="Palatino Linotype"/>
        </w:rPr>
      </w:pPr>
    </w:p>
    <w:p w14:paraId="69528943" w14:textId="77777777" w:rsidR="0099366F" w:rsidRPr="007E3A53" w:rsidRDefault="0099366F">
      <w:pPr>
        <w:spacing w:line="360" w:lineRule="auto"/>
        <w:jc w:val="both"/>
        <w:rPr>
          <w:rFonts w:ascii="Palatino Linotype" w:eastAsia="Palatino Linotype" w:hAnsi="Palatino Linotype" w:cs="Palatino Linotype"/>
        </w:rPr>
      </w:pPr>
    </w:p>
    <w:p w14:paraId="1E68CF65" w14:textId="77777777" w:rsidR="0099366F" w:rsidRPr="007E3A53" w:rsidRDefault="00647768">
      <w:pPr>
        <w:spacing w:line="360" w:lineRule="auto"/>
        <w:jc w:val="both"/>
        <w:rPr>
          <w:rFonts w:ascii="Palatino Linotype" w:eastAsia="Palatino Linotype" w:hAnsi="Palatino Linotype" w:cs="Palatino Linotype"/>
        </w:rPr>
      </w:pPr>
      <w:r w:rsidRPr="007E3A53">
        <w:rPr>
          <w:rFonts w:ascii="Palatino Linotype" w:eastAsia="Palatino Linotype" w:hAnsi="Palatino Linotype" w:cs="Palatino Linotype"/>
        </w:rPr>
        <w:t xml:space="preserve"> </w:t>
      </w:r>
    </w:p>
    <w:sectPr w:rsidR="0099366F" w:rsidRPr="007E3A53">
      <w:headerReference w:type="default" r:id="rId25"/>
      <w:footerReference w:type="default" r:id="rId26"/>
      <w:headerReference w:type="first" r:id="rId27"/>
      <w:footerReference w:type="first" r:id="rId2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201DD" w14:textId="77777777" w:rsidR="00DC462E" w:rsidRDefault="00DC462E">
      <w:r>
        <w:separator/>
      </w:r>
    </w:p>
  </w:endnote>
  <w:endnote w:type="continuationSeparator" w:id="0">
    <w:p w14:paraId="3C9D3F04" w14:textId="77777777" w:rsidR="00DC462E" w:rsidRDefault="00DC46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2476A" w14:textId="77777777" w:rsidR="0099366F" w:rsidRDefault="006477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4C3D">
      <w:rPr>
        <w:rFonts w:ascii="Palatino Linotype" w:eastAsia="Palatino Linotype" w:hAnsi="Palatino Linotype" w:cs="Palatino Linotype"/>
        <w:b/>
        <w:noProof/>
        <w:color w:val="000000"/>
        <w:sz w:val="20"/>
        <w:szCs w:val="20"/>
      </w:rPr>
      <w:t>32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4C3D">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4E6A8A32" w14:textId="77777777" w:rsidR="0099366F" w:rsidRDefault="0099366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773E" w14:textId="77777777" w:rsidR="0099366F" w:rsidRDefault="0064776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A4C3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A4C3D">
      <w:rPr>
        <w:rFonts w:ascii="Palatino Linotype" w:eastAsia="Palatino Linotype" w:hAnsi="Palatino Linotype" w:cs="Palatino Linotype"/>
        <w:b/>
        <w:noProof/>
        <w:color w:val="000000"/>
        <w:sz w:val="20"/>
        <w:szCs w:val="20"/>
      </w:rPr>
      <w:t>34</w:t>
    </w:r>
    <w:r>
      <w:rPr>
        <w:rFonts w:ascii="Palatino Linotype" w:eastAsia="Palatino Linotype" w:hAnsi="Palatino Linotype" w:cs="Palatino Linotype"/>
        <w:b/>
        <w:color w:val="000000"/>
        <w:sz w:val="20"/>
        <w:szCs w:val="20"/>
      </w:rPr>
      <w:fldChar w:fldCharType="end"/>
    </w:r>
  </w:p>
  <w:p w14:paraId="23AA49EF" w14:textId="77777777" w:rsidR="0099366F" w:rsidRDefault="0099366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975E9" w14:textId="77777777" w:rsidR="00DC462E" w:rsidRDefault="00DC462E">
      <w:r>
        <w:separator/>
      </w:r>
    </w:p>
  </w:footnote>
  <w:footnote w:type="continuationSeparator" w:id="0">
    <w:p w14:paraId="6C516F62" w14:textId="77777777" w:rsidR="00DC462E" w:rsidRDefault="00DC462E">
      <w:r>
        <w:continuationSeparator/>
      </w:r>
    </w:p>
  </w:footnote>
  <w:footnote w:id="1">
    <w:p w14:paraId="12548308" w14:textId="77777777" w:rsidR="0099366F" w:rsidRDefault="0064776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F337BBC" w14:textId="77777777" w:rsidR="0099366F" w:rsidRDefault="00647768">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XIII. Dictaminar las declaratorias de inexistencia de la información que les remitan las unidades administrativas y resolver en consecuencia;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F1042" w14:textId="77777777" w:rsidR="0099366F" w:rsidRDefault="00647768">
    <w:pPr>
      <w:rPr>
        <w:rFonts w:ascii="Cambria" w:eastAsia="Cambria" w:hAnsi="Cambria" w:cs="Cambria"/>
        <w:color w:val="000000"/>
      </w:rPr>
    </w:pPr>
    <w:r>
      <w:rPr>
        <w:noProof/>
      </w:rPr>
      <w:drawing>
        <wp:anchor distT="0" distB="0" distL="0" distR="0" simplePos="0" relativeHeight="251658240" behindDoc="1" locked="0" layoutInCell="1" hidden="0" allowOverlap="1" wp14:anchorId="6967266C" wp14:editId="3539F918">
          <wp:simplePos x="0" y="0"/>
          <wp:positionH relativeFrom="column">
            <wp:posOffset>-1080101</wp:posOffset>
          </wp:positionH>
          <wp:positionV relativeFrom="paragraph">
            <wp:posOffset>-488275</wp:posOffset>
          </wp:positionV>
          <wp:extent cx="7809865" cy="10165715"/>
          <wp:effectExtent l="0" t="0" r="0" b="0"/>
          <wp:wrapNone/>
          <wp:docPr id="15243189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3"/>
      <w:tblW w:w="5953" w:type="dxa"/>
      <w:tblInd w:w="3261" w:type="dxa"/>
      <w:tblLayout w:type="fixed"/>
      <w:tblLook w:val="0400" w:firstRow="0" w:lastRow="0" w:firstColumn="0" w:lastColumn="0" w:noHBand="0" w:noVBand="1"/>
    </w:tblPr>
    <w:tblGrid>
      <w:gridCol w:w="2489"/>
      <w:gridCol w:w="3464"/>
    </w:tblGrid>
    <w:tr w:rsidR="0099366F" w14:paraId="793355C4" w14:textId="77777777">
      <w:tc>
        <w:tcPr>
          <w:tcW w:w="2489" w:type="dxa"/>
          <w:shd w:val="clear" w:color="auto" w:fill="auto"/>
        </w:tcPr>
        <w:p w14:paraId="41CFAF89" w14:textId="77777777" w:rsidR="0099366F" w:rsidRDefault="00647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578DE266" w14:textId="77777777" w:rsidR="0099366F" w:rsidRDefault="00647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00144/INFOEM/IP/RR/2025</w:t>
          </w:r>
        </w:p>
      </w:tc>
    </w:tr>
    <w:tr w:rsidR="0099366F" w14:paraId="6F7D1721" w14:textId="77777777">
      <w:trPr>
        <w:trHeight w:val="228"/>
      </w:trPr>
      <w:tc>
        <w:tcPr>
          <w:tcW w:w="2489" w:type="dxa"/>
          <w:shd w:val="clear" w:color="auto" w:fill="auto"/>
          <w:vAlign w:val="center"/>
        </w:tcPr>
        <w:p w14:paraId="416E43ED" w14:textId="77777777" w:rsidR="0099366F" w:rsidRDefault="00647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3E30C186" w14:textId="77777777" w:rsidR="0099366F" w:rsidRDefault="006477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99366F" w14:paraId="6E74CC7F" w14:textId="77777777">
      <w:tc>
        <w:tcPr>
          <w:tcW w:w="2489" w:type="dxa"/>
          <w:shd w:val="clear" w:color="auto" w:fill="auto"/>
          <w:vAlign w:val="center"/>
        </w:tcPr>
        <w:p w14:paraId="2CED4AF2" w14:textId="77777777" w:rsidR="0099366F" w:rsidRDefault="006477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660E66E" w14:textId="77777777" w:rsidR="0099366F" w:rsidRDefault="00647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1D6095E" w14:textId="77777777" w:rsidR="0099366F" w:rsidRDefault="0064776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03E9A" w14:textId="77777777" w:rsidR="0099366F" w:rsidRDefault="0064776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 xml:space="preserve"> </w:t>
    </w:r>
    <w:r>
      <w:rPr>
        <w:noProof/>
      </w:rPr>
      <w:drawing>
        <wp:anchor distT="0" distB="0" distL="0" distR="0" simplePos="0" relativeHeight="251659264" behindDoc="1" locked="0" layoutInCell="1" hidden="0" allowOverlap="1" wp14:anchorId="0C15CADD" wp14:editId="3B143C27">
          <wp:simplePos x="0" y="0"/>
          <wp:positionH relativeFrom="column">
            <wp:posOffset>-1080127</wp:posOffset>
          </wp:positionH>
          <wp:positionV relativeFrom="paragraph">
            <wp:posOffset>-369902</wp:posOffset>
          </wp:positionV>
          <wp:extent cx="7809865" cy="10165715"/>
          <wp:effectExtent l="0" t="0" r="0" b="0"/>
          <wp:wrapNone/>
          <wp:docPr id="15243189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4"/>
      <w:tblW w:w="5953" w:type="dxa"/>
      <w:tblInd w:w="3261" w:type="dxa"/>
      <w:tblLayout w:type="fixed"/>
      <w:tblLook w:val="0400" w:firstRow="0" w:lastRow="0" w:firstColumn="0" w:lastColumn="0" w:noHBand="0" w:noVBand="1"/>
    </w:tblPr>
    <w:tblGrid>
      <w:gridCol w:w="2489"/>
      <w:gridCol w:w="3464"/>
    </w:tblGrid>
    <w:tr w:rsidR="0099366F" w14:paraId="080C8CD9" w14:textId="77777777">
      <w:tc>
        <w:tcPr>
          <w:tcW w:w="2489" w:type="dxa"/>
          <w:shd w:val="clear" w:color="auto" w:fill="auto"/>
        </w:tcPr>
        <w:p w14:paraId="4FAE500B" w14:textId="77777777" w:rsidR="0099366F" w:rsidRDefault="00647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6D419561" w14:textId="77777777" w:rsidR="0099366F" w:rsidRDefault="00647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00144/INFOEM/IP/RR/2025</w:t>
          </w:r>
        </w:p>
      </w:tc>
    </w:tr>
    <w:tr w:rsidR="0099366F" w14:paraId="13F817B8" w14:textId="77777777">
      <w:tc>
        <w:tcPr>
          <w:tcW w:w="2489" w:type="dxa"/>
          <w:shd w:val="clear" w:color="auto" w:fill="auto"/>
        </w:tcPr>
        <w:p w14:paraId="648415CE" w14:textId="77777777" w:rsidR="0099366F" w:rsidRDefault="00647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3A4569C9" w14:textId="77777777" w:rsidR="0099366F" w:rsidRDefault="0099366F">
          <w:pPr>
            <w:ind w:right="175"/>
            <w:jc w:val="both"/>
            <w:rPr>
              <w:rFonts w:ascii="Palatino Linotype" w:eastAsia="Palatino Linotype" w:hAnsi="Palatino Linotype" w:cs="Palatino Linotype"/>
              <w:b/>
              <w:sz w:val="22"/>
              <w:szCs w:val="22"/>
            </w:rPr>
          </w:pPr>
        </w:p>
      </w:tc>
    </w:tr>
    <w:tr w:rsidR="0099366F" w14:paraId="6F3C0045" w14:textId="77777777">
      <w:trPr>
        <w:trHeight w:val="228"/>
      </w:trPr>
      <w:tc>
        <w:tcPr>
          <w:tcW w:w="2489" w:type="dxa"/>
          <w:shd w:val="clear" w:color="auto" w:fill="auto"/>
          <w:vAlign w:val="center"/>
        </w:tcPr>
        <w:p w14:paraId="2FB29D33" w14:textId="77777777" w:rsidR="0099366F" w:rsidRDefault="0064776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2457F92" w14:textId="77777777" w:rsidR="0099366F" w:rsidRDefault="00647768">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99366F" w14:paraId="7A86D9CA" w14:textId="77777777">
      <w:tc>
        <w:tcPr>
          <w:tcW w:w="2489" w:type="dxa"/>
          <w:shd w:val="clear" w:color="auto" w:fill="auto"/>
          <w:vAlign w:val="center"/>
        </w:tcPr>
        <w:p w14:paraId="6BE33732" w14:textId="77777777" w:rsidR="0099366F" w:rsidRDefault="0064776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06C97B2B" w14:textId="77777777" w:rsidR="0099366F" w:rsidRDefault="0064776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25E0AED" w14:textId="77777777" w:rsidR="0099366F" w:rsidRDefault="009936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71D"/>
    <w:multiLevelType w:val="multilevel"/>
    <w:tmpl w:val="1BAE6108"/>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 w15:restartNumberingAfterBreak="0">
    <w:nsid w:val="70D277AB"/>
    <w:multiLevelType w:val="multilevel"/>
    <w:tmpl w:val="4678C822"/>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66F"/>
    <w:rsid w:val="00380D0D"/>
    <w:rsid w:val="00647768"/>
    <w:rsid w:val="00685B3E"/>
    <w:rsid w:val="007A4C3D"/>
    <w:rsid w:val="007E3A53"/>
    <w:rsid w:val="0099366F"/>
    <w:rsid w:val="00DC46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A0E"/>
  <w15:docId w15:val="{688DF749-F29A-4093-BE94-71A0019FB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2"/>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4D7E58"/>
    <w:rPr>
      <w:color w:val="605E5C"/>
      <w:shd w:val="clear" w:color="auto" w:fill="E1DFDD"/>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725B9E"/>
    <w:rPr>
      <w:color w:val="605E5C"/>
      <w:shd w:val="clear" w:color="auto" w:fill="E1DFDD"/>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61419D"/>
    <w:rPr>
      <w:sz w:val="16"/>
      <w:szCs w:val="16"/>
    </w:rPr>
  </w:style>
  <w:style w:type="paragraph" w:styleId="Textocomentario">
    <w:name w:val="annotation text"/>
    <w:basedOn w:val="Normal"/>
    <w:link w:val="TextocomentarioCar"/>
    <w:uiPriority w:val="99"/>
    <w:semiHidden/>
    <w:unhideWhenUsed/>
    <w:rsid w:val="0061419D"/>
    <w:rPr>
      <w:sz w:val="20"/>
      <w:szCs w:val="20"/>
    </w:rPr>
  </w:style>
  <w:style w:type="character" w:customStyle="1" w:styleId="TextocomentarioCar">
    <w:name w:val="Texto comentario Car"/>
    <w:basedOn w:val="Fuentedeprrafopredeter"/>
    <w:link w:val="Textocomentario"/>
    <w:uiPriority w:val="99"/>
    <w:semiHidden/>
    <w:rsid w:val="0061419D"/>
    <w:rPr>
      <w:sz w:val="20"/>
      <w:szCs w:val="20"/>
    </w:rPr>
  </w:style>
  <w:style w:type="paragraph" w:styleId="Asuntodelcomentario">
    <w:name w:val="annotation subject"/>
    <w:basedOn w:val="Textocomentario"/>
    <w:next w:val="Textocomentario"/>
    <w:link w:val="AsuntodelcomentarioCar"/>
    <w:uiPriority w:val="99"/>
    <w:semiHidden/>
    <w:unhideWhenUsed/>
    <w:rsid w:val="0061419D"/>
    <w:rPr>
      <w:b/>
      <w:bCs/>
    </w:rPr>
  </w:style>
  <w:style w:type="character" w:customStyle="1" w:styleId="AsuntodelcomentarioCar">
    <w:name w:val="Asunto del comentario Car"/>
    <w:basedOn w:val="TextocomentarioCar"/>
    <w:link w:val="Asuntodelcomentario"/>
    <w:uiPriority w:val="99"/>
    <w:semiHidden/>
    <w:rsid w:val="0061419D"/>
    <w:rPr>
      <w:b/>
      <w:bCs/>
      <w:sz w:val="20"/>
      <w:szCs w:val="20"/>
    </w:r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B225C6"/>
    <w:rPr>
      <w:b/>
      <w:bCs/>
    </w:rPr>
  </w:style>
  <w:style w:type="table" w:customStyle="1" w:styleId="af1">
    <w:basedOn w:val="TableNormal0"/>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108" w:type="dxa"/>
        <w:right w:w="108"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movilidad.edomex.gob.mx/sites/smovilidad.edomex.gob.mx/files/files/pdf/Colibri/100%20COMPROMISOS%20PARA%20LA%20MOVILIDAD%20SOSTENIBLE%20PLAN%20COLIBRI%CC%81_TCARTA%20(2).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CJQ1RKaTwSZsxZIz/2XLjvEzIg==">CgMxLjAyCWguNGQzNG9nODIIaC5namRneHMyCWguM2R5NnZrbTIJaC4zMGowemxsMgloLjJzOGV5bzEyCWguNDRzaW5pbzIIaC50eWpjd3QyCWguM3pueXNoNzIJaC4yZXQ5MnAwMgloLjI2aW4xcmcyCWguMWZvYjl0ZTgAciExTEVrMElsREFVR1VScFVDVjdNMVlfQV9tYXV6MHlBMm4=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34</Pages>
  <Words>7516</Words>
  <Characters>41342</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2025-02-14T18:53:00Z</cp:lastPrinted>
  <dcterms:created xsi:type="dcterms:W3CDTF">2025-02-25T16:16:00Z</dcterms:created>
  <dcterms:modified xsi:type="dcterms:W3CDTF">2025-02-25T16:16:00Z</dcterms:modified>
</cp:coreProperties>
</file>