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1C" w:rsidRDefault="00991C1C" w:rsidP="0001175E">
      <w:pPr>
        <w:spacing w:line="360" w:lineRule="auto"/>
        <w:ind w:right="49"/>
        <w:jc w:val="both"/>
        <w:rPr>
          <w:rFonts w:ascii="Palatino Linotype" w:hAnsi="Palatino Linotype"/>
          <w:color w:val="000000" w:themeColor="text1"/>
        </w:rPr>
      </w:pPr>
      <w:r w:rsidRPr="006F4AC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1175E">
        <w:rPr>
          <w:rFonts w:ascii="Palatino Linotype" w:eastAsia="Palatino Linotype" w:hAnsi="Palatino Linotype" w:cs="Palatino Linotype"/>
          <w:b/>
          <w:color w:val="000000" w:themeColor="text1"/>
        </w:rPr>
        <w:t xml:space="preserve">de fecha diez (10) </w:t>
      </w:r>
      <w:r w:rsidR="0001175E" w:rsidRPr="00157555">
        <w:rPr>
          <w:rFonts w:ascii="Palatino Linotype" w:eastAsia="Palatino Linotype" w:hAnsi="Palatino Linotype" w:cs="Palatino Linotype"/>
          <w:b/>
          <w:color w:val="000000" w:themeColor="text1"/>
        </w:rPr>
        <w:t xml:space="preserve">de </w:t>
      </w:r>
      <w:r w:rsidR="0001175E">
        <w:rPr>
          <w:rFonts w:ascii="Palatino Linotype" w:eastAsia="Palatino Linotype" w:hAnsi="Palatino Linotype" w:cs="Palatino Linotype"/>
          <w:b/>
          <w:color w:val="000000" w:themeColor="text1"/>
        </w:rPr>
        <w:t xml:space="preserve">diciembre </w:t>
      </w:r>
      <w:r w:rsidR="0001175E" w:rsidRPr="00157555">
        <w:rPr>
          <w:rFonts w:ascii="Palatino Linotype" w:eastAsia="Palatino Linotype" w:hAnsi="Palatino Linotype" w:cs="Palatino Linotype"/>
          <w:b/>
          <w:color w:val="000000" w:themeColor="text1"/>
        </w:rPr>
        <w:t>de dos mil veinticinco</w:t>
      </w:r>
      <w:r w:rsidRPr="006F4AC6">
        <w:rPr>
          <w:rFonts w:ascii="Palatino Linotype" w:hAnsi="Palatino Linotype"/>
          <w:color w:val="000000" w:themeColor="text1"/>
        </w:rPr>
        <w:t>.</w:t>
      </w:r>
    </w:p>
    <w:p w:rsidR="0001175E" w:rsidRPr="0001175E" w:rsidRDefault="0001175E" w:rsidP="0001175E">
      <w:pPr>
        <w:spacing w:line="360" w:lineRule="auto"/>
        <w:ind w:right="49"/>
        <w:jc w:val="both"/>
        <w:rPr>
          <w:rFonts w:ascii="Palatino Linotype" w:eastAsia="Palatino Linotype" w:hAnsi="Palatino Linotype" w:cs="Palatino Linotype"/>
          <w:b/>
          <w:color w:val="000000" w:themeColor="text1"/>
        </w:rPr>
      </w:pPr>
    </w:p>
    <w:p w:rsidR="00991C1C" w:rsidRPr="006F4AC6" w:rsidRDefault="00991C1C" w:rsidP="006F4AC6">
      <w:pPr>
        <w:pStyle w:val="Encabezado"/>
        <w:spacing w:line="360" w:lineRule="auto"/>
        <w:jc w:val="both"/>
        <w:rPr>
          <w:rFonts w:ascii="Palatino Linotype" w:hAnsi="Palatino Linotype"/>
          <w:color w:val="000000" w:themeColor="text1"/>
          <w:sz w:val="24"/>
          <w:szCs w:val="24"/>
        </w:rPr>
      </w:pPr>
      <w:r w:rsidRPr="006F4AC6">
        <w:rPr>
          <w:rFonts w:ascii="Palatino Linotype" w:hAnsi="Palatino Linotype"/>
          <w:b/>
          <w:color w:val="000000" w:themeColor="text1"/>
          <w:sz w:val="24"/>
          <w:szCs w:val="24"/>
        </w:rPr>
        <w:t>VISTO el</w:t>
      </w:r>
      <w:r w:rsidRPr="006F4AC6">
        <w:rPr>
          <w:rFonts w:ascii="Palatino Linotype" w:hAnsi="Palatino Linotype"/>
          <w:color w:val="000000" w:themeColor="text1"/>
          <w:sz w:val="24"/>
          <w:szCs w:val="24"/>
        </w:rPr>
        <w:t xml:space="preserve"> expediente electrónico formado con motivo del recurso de revisión </w:t>
      </w:r>
      <w:r w:rsidR="00183B96" w:rsidRPr="006F4AC6">
        <w:rPr>
          <w:rFonts w:ascii="Palatino Linotype" w:eastAsia="Calibri" w:hAnsi="Palatino Linotype" w:cs="Tahoma"/>
          <w:b/>
          <w:color w:val="000000" w:themeColor="text1"/>
          <w:sz w:val="24"/>
          <w:szCs w:val="24"/>
          <w:lang w:eastAsia="en-US"/>
        </w:rPr>
        <w:t>12548</w:t>
      </w:r>
      <w:r w:rsidRPr="006F4AC6">
        <w:rPr>
          <w:rFonts w:ascii="Palatino Linotype" w:eastAsia="Calibri" w:hAnsi="Palatino Linotype" w:cs="Tahoma"/>
          <w:b/>
          <w:color w:val="000000" w:themeColor="text1"/>
          <w:sz w:val="24"/>
          <w:szCs w:val="24"/>
          <w:lang w:eastAsia="en-US"/>
        </w:rPr>
        <w:t>/INFOEM/IP/RR/2025</w:t>
      </w:r>
      <w:r w:rsidRPr="006F4AC6">
        <w:rPr>
          <w:rFonts w:ascii="Palatino Linotype" w:hAnsi="Palatino Linotype"/>
          <w:b/>
          <w:color w:val="000000" w:themeColor="text1"/>
          <w:sz w:val="24"/>
          <w:szCs w:val="24"/>
        </w:rPr>
        <w:t xml:space="preserve">, </w:t>
      </w:r>
      <w:r w:rsidRPr="006F4AC6">
        <w:rPr>
          <w:rFonts w:ascii="Palatino Linotype" w:hAnsi="Palatino Linotype"/>
          <w:color w:val="000000" w:themeColor="text1"/>
          <w:sz w:val="24"/>
          <w:szCs w:val="24"/>
        </w:rPr>
        <w:t xml:space="preserve">promovido </w:t>
      </w:r>
      <w:r w:rsidRPr="006F4AC6">
        <w:rPr>
          <w:rFonts w:ascii="Palatino Linotype" w:hAnsi="Palatino Linotype"/>
          <w:b/>
          <w:color w:val="000000" w:themeColor="text1"/>
          <w:sz w:val="24"/>
          <w:szCs w:val="24"/>
        </w:rPr>
        <w:t xml:space="preserve">por </w:t>
      </w:r>
      <w:r w:rsidR="00183B96" w:rsidRPr="006F4AC6">
        <w:rPr>
          <w:rFonts w:ascii="Palatino Linotype" w:hAnsi="Palatino Linotype"/>
          <w:b/>
          <w:bCs/>
          <w:color w:val="000000" w:themeColor="text1"/>
          <w:sz w:val="24"/>
          <w:szCs w:val="24"/>
        </w:rPr>
        <w:t>un usuario que no proporcionó nombre para ser identificado</w:t>
      </w:r>
      <w:r w:rsidRPr="006F4AC6">
        <w:rPr>
          <w:rFonts w:ascii="Palatino Linotype" w:hAnsi="Palatino Linotype"/>
          <w:color w:val="000000" w:themeColor="text1"/>
          <w:sz w:val="24"/>
          <w:szCs w:val="24"/>
        </w:rPr>
        <w:t xml:space="preserve">, en su calidad de </w:t>
      </w:r>
      <w:r w:rsidRPr="006F4AC6">
        <w:rPr>
          <w:rFonts w:ascii="Palatino Linotype" w:hAnsi="Palatino Linotype"/>
          <w:b/>
          <w:color w:val="000000" w:themeColor="text1"/>
          <w:sz w:val="24"/>
          <w:szCs w:val="24"/>
        </w:rPr>
        <w:t>RECURRENTE</w:t>
      </w:r>
      <w:r w:rsidRPr="006F4AC6">
        <w:rPr>
          <w:rFonts w:ascii="Palatino Linotype" w:hAnsi="Palatino Linotype" w:cs="Arial"/>
          <w:color w:val="000000" w:themeColor="text1"/>
          <w:sz w:val="24"/>
          <w:szCs w:val="24"/>
        </w:rPr>
        <w:t xml:space="preserve">, en contra de la respuesta del </w:t>
      </w:r>
      <w:r w:rsidR="00183B96" w:rsidRPr="006F4AC6">
        <w:rPr>
          <w:rFonts w:ascii="Palatino Linotype" w:eastAsia="Calibri" w:hAnsi="Palatino Linotype" w:cs="Arial"/>
          <w:b/>
          <w:bCs/>
          <w:color w:val="000000" w:themeColor="text1"/>
          <w:sz w:val="24"/>
          <w:szCs w:val="24"/>
        </w:rPr>
        <w:t>Consejo Estatal para el Desarrollo Integral de Los Pueblos Indígenas del Estado de México</w:t>
      </w:r>
      <w:r w:rsidRPr="006F4AC6">
        <w:rPr>
          <w:rFonts w:ascii="Palatino Linotype" w:hAnsi="Palatino Linotype" w:cs="Arial"/>
          <w:color w:val="000000" w:themeColor="text1"/>
          <w:sz w:val="24"/>
          <w:szCs w:val="24"/>
        </w:rPr>
        <w:t>,</w:t>
      </w:r>
      <w:r w:rsidRPr="006F4AC6">
        <w:rPr>
          <w:rFonts w:ascii="Palatino Linotype" w:hAnsi="Palatino Linotype"/>
          <w:b/>
          <w:color w:val="000000" w:themeColor="text1"/>
          <w:sz w:val="24"/>
          <w:szCs w:val="24"/>
        </w:rPr>
        <w:t xml:space="preserve"> </w:t>
      </w:r>
      <w:r w:rsidRPr="006F4AC6">
        <w:rPr>
          <w:rFonts w:ascii="Palatino Linotype" w:hAnsi="Palatino Linotype"/>
          <w:color w:val="000000" w:themeColor="text1"/>
          <w:sz w:val="24"/>
          <w:szCs w:val="24"/>
        </w:rPr>
        <w:t>en lo sucesivo el</w:t>
      </w:r>
      <w:r w:rsidRPr="006F4AC6">
        <w:rPr>
          <w:rFonts w:ascii="Palatino Linotype" w:hAnsi="Palatino Linotype"/>
          <w:b/>
          <w:color w:val="000000" w:themeColor="text1"/>
          <w:sz w:val="24"/>
          <w:szCs w:val="24"/>
        </w:rPr>
        <w:t xml:space="preserve"> SUJETO OBLIGADO, </w:t>
      </w:r>
      <w:r w:rsidRPr="006F4AC6">
        <w:rPr>
          <w:rFonts w:ascii="Palatino Linotype" w:hAnsi="Palatino Linotype"/>
          <w:color w:val="000000" w:themeColor="text1"/>
          <w:sz w:val="24"/>
          <w:szCs w:val="24"/>
        </w:rPr>
        <w:t>se procede a dictar la presente resolución, con base en los siguientes:</w:t>
      </w:r>
    </w:p>
    <w:p w:rsidR="00991C1C" w:rsidRPr="006F4AC6" w:rsidRDefault="00991C1C" w:rsidP="006F4AC6">
      <w:pPr>
        <w:pStyle w:val="Ttulo1"/>
        <w:jc w:val="center"/>
        <w:rPr>
          <w:rFonts w:ascii="Palatino Linotype" w:hAnsi="Palatino Linotype"/>
          <w:b/>
          <w:color w:val="000000" w:themeColor="text1"/>
          <w:sz w:val="24"/>
          <w:szCs w:val="24"/>
        </w:rPr>
      </w:pPr>
      <w:bookmarkStart w:id="0" w:name="_Toc87549671"/>
      <w:r w:rsidRPr="006F4AC6">
        <w:rPr>
          <w:rFonts w:ascii="Palatino Linotype" w:hAnsi="Palatino Linotype"/>
          <w:b/>
          <w:color w:val="000000" w:themeColor="text1"/>
          <w:sz w:val="24"/>
          <w:szCs w:val="24"/>
        </w:rPr>
        <w:t>A</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N</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T</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E</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C</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E</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D</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E</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N</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T</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E</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S</w:t>
      </w:r>
      <w:bookmarkEnd w:id="0"/>
    </w:p>
    <w:p w:rsidR="00991C1C" w:rsidRDefault="00991C1C" w:rsidP="006F4AC6">
      <w:pPr>
        <w:rPr>
          <w:rFonts w:ascii="Palatino Linotype" w:hAnsi="Palatino Linotype"/>
          <w:color w:val="000000" w:themeColor="text1"/>
          <w:lang w:eastAsia="en-US"/>
        </w:rPr>
      </w:pPr>
    </w:p>
    <w:p w:rsidR="0001175E" w:rsidRPr="006F4AC6" w:rsidRDefault="0001175E" w:rsidP="006F4AC6">
      <w:pPr>
        <w:rPr>
          <w:rFonts w:ascii="Palatino Linotype" w:hAnsi="Palatino Linotype"/>
          <w:color w:val="000000" w:themeColor="text1"/>
          <w:lang w:eastAsia="en-US"/>
        </w:rPr>
      </w:pPr>
    </w:p>
    <w:p w:rsidR="00991C1C" w:rsidRPr="006F4AC6" w:rsidRDefault="00991C1C" w:rsidP="006F4AC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6F4AC6">
        <w:rPr>
          <w:rFonts w:ascii="Palatino Linotype" w:eastAsia="Calibri" w:hAnsi="Palatino Linotype" w:cs="Arial"/>
          <w:color w:val="000000" w:themeColor="text1"/>
          <w:sz w:val="24"/>
          <w:lang w:val="es-ES"/>
        </w:rPr>
        <w:t xml:space="preserve">El </w:t>
      </w:r>
      <w:r w:rsidR="00183B96" w:rsidRPr="006F4AC6">
        <w:rPr>
          <w:rFonts w:ascii="Palatino Linotype" w:eastAsia="Calibri" w:hAnsi="Palatino Linotype" w:cs="Arial"/>
          <w:b/>
          <w:color w:val="000000" w:themeColor="text1"/>
          <w:sz w:val="24"/>
          <w:lang w:val="es-ES"/>
        </w:rPr>
        <w:t>veintidós de septiembre</w:t>
      </w:r>
      <w:r w:rsidRPr="006F4AC6">
        <w:rPr>
          <w:rFonts w:ascii="Palatino Linotype" w:eastAsia="Calibri" w:hAnsi="Palatino Linotype" w:cs="Arial"/>
          <w:b/>
          <w:color w:val="000000" w:themeColor="text1"/>
          <w:sz w:val="24"/>
          <w:lang w:val="es-ES"/>
        </w:rPr>
        <w:t xml:space="preserve"> de dos mil veinticinco,</w:t>
      </w:r>
      <w:r w:rsidRPr="006F4AC6">
        <w:rPr>
          <w:rFonts w:ascii="Palatino Linotype" w:eastAsia="Calibri" w:hAnsi="Palatino Linotype"/>
          <w:color w:val="000000" w:themeColor="text1"/>
          <w:sz w:val="24"/>
          <w:lang w:val="es-ES"/>
        </w:rPr>
        <w:t xml:space="preserve"> </w:t>
      </w:r>
      <w:r w:rsidRPr="006F4AC6">
        <w:rPr>
          <w:rFonts w:ascii="Palatino Linotype" w:eastAsia="Calibri" w:hAnsi="Palatino Linotype"/>
          <w:b/>
          <w:color w:val="000000" w:themeColor="text1"/>
          <w:sz w:val="24"/>
          <w:lang w:val="es-ES"/>
        </w:rPr>
        <w:t xml:space="preserve">EL RECURRENTE </w:t>
      </w:r>
      <w:r w:rsidRPr="006F4AC6">
        <w:rPr>
          <w:rFonts w:ascii="Palatino Linotype" w:eastAsia="Calibri" w:hAnsi="Palatino Linotype"/>
          <w:bCs/>
          <w:color w:val="000000" w:themeColor="text1"/>
          <w:sz w:val="24"/>
          <w:lang w:val="es-ES"/>
        </w:rPr>
        <w:t>presentó</w:t>
      </w:r>
      <w:r w:rsidRPr="006F4AC6">
        <w:rPr>
          <w:rFonts w:ascii="Palatino Linotype" w:hAnsi="Palatino Linotype"/>
          <w:b/>
          <w:color w:val="000000" w:themeColor="text1"/>
          <w:sz w:val="24"/>
        </w:rPr>
        <w:t>,</w:t>
      </w:r>
      <w:r w:rsidRPr="006F4AC6">
        <w:rPr>
          <w:rFonts w:ascii="Palatino Linotype" w:eastAsia="Calibri" w:hAnsi="Palatino Linotype" w:cs="Arial"/>
          <w:color w:val="000000" w:themeColor="text1"/>
          <w:sz w:val="24"/>
          <w:lang w:val="es-ES"/>
        </w:rPr>
        <w:t xml:space="preserve"> ante el </w:t>
      </w:r>
      <w:r w:rsidRPr="006F4AC6">
        <w:rPr>
          <w:rFonts w:ascii="Palatino Linotype" w:eastAsia="Calibri" w:hAnsi="Palatino Linotype" w:cs="Arial"/>
          <w:b/>
          <w:color w:val="000000" w:themeColor="text1"/>
          <w:sz w:val="24"/>
          <w:lang w:val="es-ES"/>
        </w:rPr>
        <w:t>SUJETO OBLIGADO</w:t>
      </w:r>
      <w:r w:rsidRPr="006F4AC6">
        <w:rPr>
          <w:rFonts w:ascii="Palatino Linotype" w:eastAsia="Calibri" w:hAnsi="Palatino Linotype" w:cs="Arial"/>
          <w:color w:val="000000" w:themeColor="text1"/>
          <w:sz w:val="24"/>
        </w:rPr>
        <w:t>, a través del Sistema de Acceso a la Información Mexiquense (SAIMEX)</w:t>
      </w:r>
      <w:r w:rsidRPr="006F4AC6">
        <w:rPr>
          <w:rFonts w:ascii="Palatino Linotype" w:eastAsia="Calibri" w:hAnsi="Palatino Linotype" w:cs="Arial"/>
          <w:color w:val="000000" w:themeColor="text1"/>
          <w:sz w:val="24"/>
          <w:lang w:val="es-ES"/>
        </w:rPr>
        <w:t xml:space="preserve">, la solicitud de información pública registrada con el número </w:t>
      </w:r>
      <w:r w:rsidR="00183B96" w:rsidRPr="006F4AC6">
        <w:rPr>
          <w:rFonts w:ascii="Palatino Linotype" w:hAnsi="Palatino Linotype" w:cs="Arial"/>
          <w:b/>
          <w:bCs/>
          <w:color w:val="000000" w:themeColor="text1"/>
          <w:sz w:val="24"/>
        </w:rPr>
        <w:t>00122/CEDIPIEM/IP/2025</w:t>
      </w:r>
      <w:r w:rsidRPr="006F4AC6">
        <w:rPr>
          <w:rFonts w:ascii="Palatino Linotype" w:hAnsi="Palatino Linotype" w:cs="Arial"/>
          <w:b/>
          <w:bCs/>
          <w:color w:val="000000" w:themeColor="text1"/>
          <w:sz w:val="24"/>
        </w:rPr>
        <w:t xml:space="preserve">, </w:t>
      </w:r>
      <w:r w:rsidR="00AC1C70">
        <w:rPr>
          <w:rFonts w:ascii="Palatino Linotype" w:eastAsia="Calibri" w:hAnsi="Palatino Linotype" w:cs="Arial"/>
          <w:color w:val="000000" w:themeColor="text1"/>
          <w:sz w:val="24"/>
          <w:lang w:val="es-ES"/>
        </w:rPr>
        <w:t>en la que</w:t>
      </w:r>
      <w:r w:rsidRPr="006F4AC6">
        <w:rPr>
          <w:rFonts w:ascii="Palatino Linotype" w:eastAsia="Calibri" w:hAnsi="Palatino Linotype" w:cs="Arial"/>
          <w:color w:val="000000" w:themeColor="text1"/>
          <w:sz w:val="24"/>
          <w:lang w:val="es-ES"/>
        </w:rPr>
        <w:t xml:space="preserve"> solicitó lo siguiente:</w:t>
      </w:r>
    </w:p>
    <w:p w:rsidR="00991C1C" w:rsidRPr="006F4AC6" w:rsidRDefault="00991C1C" w:rsidP="006F4AC6">
      <w:pPr>
        <w:pStyle w:val="Prrafodelista"/>
        <w:spacing w:line="360" w:lineRule="auto"/>
        <w:ind w:left="0"/>
        <w:jc w:val="both"/>
        <w:rPr>
          <w:rFonts w:ascii="Palatino Linotype" w:hAnsi="Palatino Linotype" w:cs="Arial"/>
          <w:color w:val="000000" w:themeColor="text1"/>
          <w:sz w:val="24"/>
          <w:lang w:val="es-ES"/>
        </w:rPr>
      </w:pPr>
    </w:p>
    <w:p w:rsidR="00991C1C" w:rsidRPr="006F4AC6" w:rsidRDefault="00991C1C" w:rsidP="006F4AC6">
      <w:pPr>
        <w:pStyle w:val="Prrafodelista"/>
        <w:spacing w:line="360" w:lineRule="auto"/>
        <w:ind w:left="0"/>
        <w:jc w:val="both"/>
        <w:rPr>
          <w:rFonts w:ascii="Palatino Linotype" w:hAnsi="Palatino Linotype"/>
          <w:i/>
          <w:color w:val="000000" w:themeColor="text1"/>
          <w:sz w:val="24"/>
        </w:rPr>
      </w:pPr>
      <w:r w:rsidRPr="006F4AC6">
        <w:rPr>
          <w:rFonts w:ascii="Palatino Linotype" w:hAnsi="Palatino Linotype"/>
          <w:i/>
          <w:color w:val="000000" w:themeColor="text1"/>
          <w:sz w:val="24"/>
        </w:rPr>
        <w:t>“</w:t>
      </w:r>
      <w:r w:rsidR="00183B96" w:rsidRPr="006F4AC6">
        <w:rPr>
          <w:rFonts w:ascii="Palatino Linotype" w:hAnsi="Palatino Linotype"/>
          <w:i/>
          <w:color w:val="000000" w:themeColor="text1"/>
          <w:sz w:val="24"/>
        </w:rPr>
        <w:t>solicito declaraciones patrimoniales del encargado de la vocalía ejecutiva del cedipiem, verificando adquisición del vehículo y fuente de recursos.</w:t>
      </w:r>
      <w:r w:rsidRPr="006F4AC6">
        <w:rPr>
          <w:rFonts w:ascii="Palatino Linotype" w:hAnsi="Palatino Linotype"/>
          <w:i/>
          <w:color w:val="000000" w:themeColor="text1"/>
          <w:sz w:val="24"/>
        </w:rPr>
        <w:t>”</w:t>
      </w:r>
    </w:p>
    <w:p w:rsidR="00991C1C" w:rsidRDefault="00991C1C" w:rsidP="006F4AC6">
      <w:pPr>
        <w:rPr>
          <w:rFonts w:ascii="Palatino Linotype" w:hAnsi="Palatino Linotype" w:cs="Arial"/>
          <w:color w:val="000000" w:themeColor="text1"/>
          <w:lang w:val="es-ES"/>
        </w:rPr>
      </w:pPr>
    </w:p>
    <w:p w:rsidR="00AC1C70" w:rsidRPr="006F4AC6" w:rsidRDefault="00AC1C70" w:rsidP="006F4AC6">
      <w:pPr>
        <w:rPr>
          <w:rFonts w:ascii="Palatino Linotype" w:hAnsi="Palatino Linotype" w:cs="Arial"/>
          <w:color w:val="000000" w:themeColor="text1"/>
          <w:lang w:val="es-ES"/>
        </w:rPr>
      </w:pPr>
    </w:p>
    <w:p w:rsidR="00183B96" w:rsidRPr="006F4AC6" w:rsidRDefault="00183B96" w:rsidP="006F4AC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6F4AC6">
        <w:rPr>
          <w:rFonts w:ascii="Palatino Linotype" w:hAnsi="Palatino Linotype" w:cs="Arial"/>
          <w:color w:val="000000" w:themeColor="text1"/>
          <w:sz w:val="24"/>
          <w:lang w:val="es-ES"/>
        </w:rPr>
        <w:t xml:space="preserve">En dos de octubre de dos mil veinticinco, se realizó un requerimiento al servidor público habilitado. </w:t>
      </w:r>
    </w:p>
    <w:p w:rsidR="00183B96" w:rsidRPr="006F4AC6" w:rsidRDefault="00183B96" w:rsidP="006F4AC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6F4AC6">
        <w:rPr>
          <w:rFonts w:ascii="Palatino Linotype" w:hAnsi="Palatino Linotype" w:cs="Arial"/>
          <w:color w:val="000000" w:themeColor="text1"/>
          <w:sz w:val="24"/>
          <w:lang w:val="es-ES"/>
        </w:rPr>
        <w:lastRenderedPageBreak/>
        <w:t>El trece de octubre, se notificó una prórroga por parte del Sujeto Obligado para emitir respuesta., en el siguiente sentido:</w:t>
      </w:r>
    </w:p>
    <w:tbl>
      <w:tblPr>
        <w:tblW w:w="7487" w:type="dxa"/>
        <w:jc w:val="center"/>
        <w:tblCellSpacing w:w="0" w:type="dxa"/>
        <w:tblCellMar>
          <w:left w:w="0" w:type="dxa"/>
          <w:right w:w="0" w:type="dxa"/>
        </w:tblCellMar>
        <w:tblLook w:val="04A0" w:firstRow="1" w:lastRow="0" w:firstColumn="1" w:lastColumn="0" w:noHBand="0" w:noVBand="1"/>
      </w:tblPr>
      <w:tblGrid>
        <w:gridCol w:w="7487"/>
      </w:tblGrid>
      <w:tr w:rsidR="006F4AC6" w:rsidRPr="006F4AC6" w:rsidTr="00183B96">
        <w:trPr>
          <w:trHeight w:val="301"/>
          <w:tblCellSpacing w:w="0" w:type="dxa"/>
          <w:jc w:val="center"/>
        </w:trPr>
        <w:tc>
          <w:tcPr>
            <w:tcW w:w="0" w:type="auto"/>
            <w:vAlign w:val="center"/>
            <w:hideMark/>
          </w:tcPr>
          <w:p w:rsidR="00183B96" w:rsidRPr="006F4AC6" w:rsidRDefault="00183B96" w:rsidP="006F4AC6">
            <w:pPr>
              <w:jc w:val="right"/>
              <w:rPr>
                <w:rFonts w:ascii="Palatino Linotype" w:hAnsi="Palatino Linotype"/>
                <w:i/>
                <w:color w:val="000000" w:themeColor="text1"/>
              </w:rPr>
            </w:pPr>
            <w:r w:rsidRPr="006F4AC6">
              <w:rPr>
                <w:rFonts w:ascii="Palatino Linotype" w:hAnsi="Palatino Linotype"/>
                <w:i/>
                <w:color w:val="000000" w:themeColor="text1"/>
              </w:rPr>
              <w:br/>
              <w:t>“Metepec, México a 13 de Octubre de 2025</w:t>
            </w:r>
          </w:p>
        </w:tc>
      </w:tr>
      <w:tr w:rsidR="006F4AC6" w:rsidRPr="006F4AC6" w:rsidTr="00183B96">
        <w:trPr>
          <w:trHeight w:val="301"/>
          <w:tblCellSpacing w:w="0" w:type="dxa"/>
          <w:jc w:val="center"/>
        </w:trPr>
        <w:tc>
          <w:tcPr>
            <w:tcW w:w="0" w:type="auto"/>
            <w:vAlign w:val="center"/>
            <w:hideMark/>
          </w:tcPr>
          <w:p w:rsidR="00183B96" w:rsidRPr="006F4AC6" w:rsidRDefault="00183B96" w:rsidP="006F4AC6">
            <w:pPr>
              <w:jc w:val="right"/>
              <w:rPr>
                <w:rFonts w:ascii="Palatino Linotype" w:hAnsi="Palatino Linotype"/>
                <w:i/>
                <w:color w:val="000000" w:themeColor="text1"/>
              </w:rPr>
            </w:pPr>
            <w:r w:rsidRPr="006F4AC6">
              <w:rPr>
                <w:rFonts w:ascii="Palatino Linotype" w:hAnsi="Palatino Linotype"/>
                <w:i/>
                <w:color w:val="000000" w:themeColor="text1"/>
              </w:rPr>
              <w:t>Nombre del solicitante: C. Solicitante</w:t>
            </w:r>
          </w:p>
        </w:tc>
      </w:tr>
      <w:tr w:rsidR="006F4AC6" w:rsidRPr="006F4AC6" w:rsidTr="00183B96">
        <w:trPr>
          <w:trHeight w:val="301"/>
          <w:tblCellSpacing w:w="0" w:type="dxa"/>
          <w:jc w:val="center"/>
        </w:trPr>
        <w:tc>
          <w:tcPr>
            <w:tcW w:w="0" w:type="auto"/>
            <w:vAlign w:val="center"/>
            <w:hideMark/>
          </w:tcPr>
          <w:p w:rsidR="00183B96" w:rsidRPr="006F4AC6" w:rsidRDefault="00183B96" w:rsidP="006F4AC6">
            <w:pPr>
              <w:jc w:val="right"/>
              <w:rPr>
                <w:rFonts w:ascii="Palatino Linotype" w:hAnsi="Palatino Linotype"/>
                <w:i/>
                <w:color w:val="000000" w:themeColor="text1"/>
              </w:rPr>
            </w:pPr>
            <w:r w:rsidRPr="006F4AC6">
              <w:rPr>
                <w:rFonts w:ascii="Palatino Linotype" w:hAnsi="Palatino Linotype"/>
                <w:i/>
                <w:color w:val="000000" w:themeColor="text1"/>
              </w:rPr>
              <w:t>Folio de la solicitud: 00122/CEDIPIEM/IP/2025</w:t>
            </w:r>
          </w:p>
        </w:tc>
      </w:tr>
      <w:tr w:rsidR="006F4AC6" w:rsidRPr="006F4AC6" w:rsidTr="00183B96">
        <w:trPr>
          <w:trHeight w:val="451"/>
          <w:tblCellSpacing w:w="0" w:type="dxa"/>
          <w:jc w:val="center"/>
        </w:trPr>
        <w:tc>
          <w:tcPr>
            <w:tcW w:w="0" w:type="auto"/>
            <w:vAlign w:val="center"/>
            <w:hideMark/>
          </w:tcPr>
          <w:p w:rsidR="00183B96" w:rsidRPr="006F4AC6" w:rsidRDefault="00183B96" w:rsidP="006F4AC6">
            <w:pPr>
              <w:jc w:val="right"/>
              <w:rPr>
                <w:rFonts w:ascii="Palatino Linotype" w:hAnsi="Palatino Linotype"/>
                <w:i/>
                <w:color w:val="000000" w:themeColor="text1"/>
              </w:rPr>
            </w:pPr>
          </w:p>
        </w:tc>
      </w:tr>
      <w:tr w:rsidR="006F4AC6" w:rsidRPr="006F4AC6" w:rsidTr="00183B96">
        <w:trPr>
          <w:trHeight w:val="150"/>
          <w:tblCellSpacing w:w="0" w:type="dxa"/>
          <w:jc w:val="center"/>
        </w:trPr>
        <w:tc>
          <w:tcPr>
            <w:tcW w:w="0" w:type="auto"/>
            <w:vAlign w:val="center"/>
            <w:hideMark/>
          </w:tcPr>
          <w:p w:rsidR="00183B96" w:rsidRPr="006F4AC6" w:rsidRDefault="00183B96" w:rsidP="006F4AC6">
            <w:pPr>
              <w:jc w:val="both"/>
              <w:rPr>
                <w:rFonts w:ascii="Palatino Linotype" w:hAnsi="Palatino Linotype"/>
                <w:i/>
                <w:color w:val="000000" w:themeColor="text1"/>
              </w:rPr>
            </w:pPr>
            <w:r w:rsidRPr="006F4AC6">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6F4AC6" w:rsidRPr="006F4AC6" w:rsidTr="00183B96">
        <w:trPr>
          <w:trHeight w:val="376"/>
          <w:tblCellSpacing w:w="0" w:type="dxa"/>
          <w:jc w:val="center"/>
        </w:trPr>
        <w:tc>
          <w:tcPr>
            <w:tcW w:w="0" w:type="auto"/>
            <w:vAlign w:val="center"/>
            <w:hideMark/>
          </w:tcPr>
          <w:p w:rsidR="00183B96" w:rsidRPr="006F4AC6" w:rsidRDefault="00183B96" w:rsidP="006F4AC6">
            <w:pPr>
              <w:jc w:val="both"/>
              <w:rPr>
                <w:rFonts w:ascii="Palatino Linotype" w:hAnsi="Palatino Linotype"/>
                <w:i/>
                <w:color w:val="000000" w:themeColor="text1"/>
              </w:rPr>
            </w:pPr>
          </w:p>
        </w:tc>
      </w:tr>
      <w:tr w:rsidR="006F4AC6" w:rsidRPr="006F4AC6" w:rsidTr="00183B96">
        <w:trPr>
          <w:trHeight w:val="150"/>
          <w:tblCellSpacing w:w="0" w:type="dxa"/>
          <w:jc w:val="center"/>
        </w:trPr>
        <w:tc>
          <w:tcPr>
            <w:tcW w:w="0" w:type="auto"/>
            <w:vAlign w:val="center"/>
            <w:hideMark/>
          </w:tcPr>
          <w:p w:rsidR="00183B96" w:rsidRPr="006F4AC6" w:rsidRDefault="00183B96" w:rsidP="006F4AC6">
            <w:pPr>
              <w:jc w:val="both"/>
              <w:rPr>
                <w:rFonts w:ascii="Palatino Linotype" w:hAnsi="Palatino Linotype"/>
                <w:i/>
                <w:color w:val="000000" w:themeColor="text1"/>
              </w:rPr>
            </w:pPr>
            <w:r w:rsidRPr="006F4AC6">
              <w:rPr>
                <w:rFonts w:ascii="Palatino Linotype" w:hAnsi="Palatino Linotype"/>
                <w:i/>
                <w:color w:val="000000" w:themeColor="text1"/>
              </w:rPr>
              <w:t>JUSTIFICACIÓN PARA ACEPTAR LA PRÓRROGA POR PARTE DE LA UNIDAD DE TRANSPARENCIA En virtud de que la Servidora Pública Habilitada del Organo Interno de Coltrol del CEDIPIEM, está concentranda y revisando la información, el cual requiere de un plazo adicional para recabar la información, por lo que es necesario contar con 7 días hábiles más, contados a partir del día 13 de octubre del año en curso, para entregarle la información solicitada y dar cumplimiento a lo dispuesto por el artículo 49 de la Ley de Transparencia y Acceso a la Información Pública del Estado de México y Municipios.</w:t>
            </w:r>
          </w:p>
        </w:tc>
      </w:tr>
      <w:tr w:rsidR="006F4AC6" w:rsidRPr="006F4AC6" w:rsidTr="00183B96">
        <w:trPr>
          <w:trHeight w:val="376"/>
          <w:tblCellSpacing w:w="0" w:type="dxa"/>
          <w:jc w:val="center"/>
        </w:trPr>
        <w:tc>
          <w:tcPr>
            <w:tcW w:w="0" w:type="auto"/>
            <w:vAlign w:val="center"/>
            <w:hideMark/>
          </w:tcPr>
          <w:p w:rsidR="00183B96" w:rsidRPr="006F4AC6" w:rsidRDefault="00183B96" w:rsidP="006F4AC6">
            <w:pPr>
              <w:rPr>
                <w:rFonts w:ascii="Palatino Linotype" w:hAnsi="Palatino Linotype"/>
                <w:i/>
                <w:color w:val="000000" w:themeColor="text1"/>
              </w:rPr>
            </w:pPr>
          </w:p>
        </w:tc>
      </w:tr>
      <w:tr w:rsidR="006F4AC6" w:rsidRPr="006F4AC6" w:rsidTr="00183B96">
        <w:trPr>
          <w:trHeight w:val="150"/>
          <w:tblCellSpacing w:w="0" w:type="dxa"/>
          <w:jc w:val="center"/>
        </w:trPr>
        <w:tc>
          <w:tcPr>
            <w:tcW w:w="0" w:type="auto"/>
            <w:vAlign w:val="center"/>
            <w:hideMark/>
          </w:tcPr>
          <w:p w:rsidR="00183B96" w:rsidRPr="006F4AC6" w:rsidRDefault="00183B96" w:rsidP="006F4AC6">
            <w:pPr>
              <w:jc w:val="center"/>
              <w:rPr>
                <w:rFonts w:ascii="Palatino Linotype" w:hAnsi="Palatino Linotype"/>
                <w:i/>
                <w:color w:val="000000" w:themeColor="text1"/>
              </w:rPr>
            </w:pPr>
          </w:p>
        </w:tc>
      </w:tr>
      <w:tr w:rsidR="006F4AC6" w:rsidRPr="006F4AC6" w:rsidTr="00183B96">
        <w:trPr>
          <w:trHeight w:val="150"/>
          <w:tblCellSpacing w:w="0" w:type="dxa"/>
          <w:jc w:val="center"/>
        </w:trPr>
        <w:tc>
          <w:tcPr>
            <w:tcW w:w="0" w:type="auto"/>
            <w:vAlign w:val="center"/>
            <w:hideMark/>
          </w:tcPr>
          <w:p w:rsidR="00183B96" w:rsidRPr="006F4AC6" w:rsidRDefault="00183B96" w:rsidP="006F4AC6">
            <w:pPr>
              <w:rPr>
                <w:rFonts w:ascii="Palatino Linotype" w:hAnsi="Palatino Linotype"/>
                <w:i/>
                <w:color w:val="000000" w:themeColor="text1"/>
              </w:rPr>
            </w:pPr>
            <w:r w:rsidRPr="006F4AC6">
              <w:rPr>
                <w:rFonts w:ascii="Palatino Linotype" w:hAnsi="Palatino Linotype"/>
                <w:i/>
                <w:color w:val="000000" w:themeColor="text1"/>
              </w:rPr>
              <w:t>Mtro. Carmelo Rosales Valle</w:t>
            </w:r>
          </w:p>
        </w:tc>
      </w:tr>
      <w:tr w:rsidR="00183B96" w:rsidRPr="006F4AC6" w:rsidTr="00183B96">
        <w:trPr>
          <w:trHeight w:val="150"/>
          <w:tblCellSpacing w:w="0" w:type="dxa"/>
          <w:jc w:val="center"/>
        </w:trPr>
        <w:tc>
          <w:tcPr>
            <w:tcW w:w="0" w:type="auto"/>
            <w:vAlign w:val="center"/>
            <w:hideMark/>
          </w:tcPr>
          <w:p w:rsidR="00183B96" w:rsidRPr="006F4AC6" w:rsidRDefault="00183B96" w:rsidP="006F4AC6">
            <w:pPr>
              <w:rPr>
                <w:rFonts w:ascii="Palatino Linotype" w:hAnsi="Palatino Linotype"/>
                <w:i/>
                <w:color w:val="000000" w:themeColor="text1"/>
              </w:rPr>
            </w:pPr>
            <w:r w:rsidRPr="006F4AC6">
              <w:rPr>
                <w:rFonts w:ascii="Palatino Linotype" w:hAnsi="Palatino Linotype"/>
                <w:b/>
                <w:bCs/>
                <w:i/>
                <w:color w:val="000000" w:themeColor="text1"/>
              </w:rPr>
              <w:t>Responsable de la Unidad de Transparencia”</w:t>
            </w:r>
          </w:p>
        </w:tc>
      </w:tr>
    </w:tbl>
    <w:p w:rsidR="00183B96" w:rsidRPr="006F4AC6" w:rsidRDefault="00183B96" w:rsidP="006F4AC6">
      <w:pPr>
        <w:pStyle w:val="Prrafodelista"/>
        <w:spacing w:line="360" w:lineRule="auto"/>
        <w:ind w:left="0"/>
        <w:jc w:val="both"/>
        <w:rPr>
          <w:rFonts w:ascii="Palatino Linotype" w:hAnsi="Palatino Linotype" w:cs="Arial"/>
          <w:color w:val="000000" w:themeColor="text1"/>
          <w:sz w:val="24"/>
          <w:lang w:val="es-ES"/>
        </w:rPr>
      </w:pPr>
    </w:p>
    <w:p w:rsidR="00183B96" w:rsidRPr="006F4AC6" w:rsidRDefault="00183B96" w:rsidP="006F4AC6">
      <w:pPr>
        <w:pStyle w:val="Prrafodelista"/>
        <w:numPr>
          <w:ilvl w:val="0"/>
          <w:numId w:val="5"/>
        </w:numPr>
        <w:spacing w:line="360" w:lineRule="auto"/>
        <w:ind w:left="0" w:firstLine="0"/>
        <w:jc w:val="both"/>
        <w:rPr>
          <w:rFonts w:ascii="Palatino Linotype" w:hAnsi="Palatino Linotype" w:cs="Arial"/>
          <w:color w:val="000000" w:themeColor="text1"/>
          <w:sz w:val="24"/>
          <w:lang w:val="es-ES"/>
        </w:rPr>
      </w:pPr>
      <w:r w:rsidRPr="006F4AC6">
        <w:rPr>
          <w:rFonts w:ascii="Palatino Linotype" w:hAnsi="Palatino Linotype" w:cs="Arial"/>
          <w:color w:val="000000" w:themeColor="text1"/>
          <w:sz w:val="24"/>
          <w:lang w:val="es-ES"/>
        </w:rPr>
        <w:t xml:space="preserve">A la prórroga se adjuntó el archivo denominado </w:t>
      </w:r>
      <w:hyperlink r:id="rId7" w:tgtFrame="_blank" w:history="1">
        <w:r w:rsidRPr="006F4AC6">
          <w:rPr>
            <w:rStyle w:val="Hipervnculo"/>
            <w:rFonts w:ascii="Palatino Linotype" w:hAnsi="Palatino Linotype" w:cs="Arial"/>
            <w:b/>
            <w:bCs/>
            <w:color w:val="000000" w:themeColor="text1"/>
            <w:sz w:val="24"/>
          </w:rPr>
          <w:t>AUTORIZACIÓN UIT.doc</w:t>
        </w:r>
      </w:hyperlink>
      <w:r w:rsidRPr="006F4AC6">
        <w:rPr>
          <w:rFonts w:ascii="Palatino Linotype" w:hAnsi="Palatino Linotype" w:cs="Arial"/>
          <w:color w:val="000000" w:themeColor="text1"/>
          <w:sz w:val="24"/>
          <w:lang w:val="es-ES"/>
        </w:rPr>
        <w:t>, en el que se refiere lo siguiente:</w:t>
      </w:r>
    </w:p>
    <w:p w:rsidR="00183B96" w:rsidRPr="006F4AC6" w:rsidRDefault="00183B96" w:rsidP="006F4AC6">
      <w:pPr>
        <w:pStyle w:val="Prrafodelista"/>
        <w:ind w:left="0"/>
        <w:jc w:val="center"/>
        <w:rPr>
          <w:rFonts w:ascii="Palatino Linotype" w:hAnsi="Palatino Linotype" w:cs="Arial"/>
          <w:b/>
          <w:i/>
          <w:color w:val="000000" w:themeColor="text1"/>
          <w:sz w:val="24"/>
          <w:lang w:val="en-US"/>
        </w:rPr>
      </w:pPr>
      <w:r w:rsidRPr="006F4AC6">
        <w:rPr>
          <w:rFonts w:ascii="Palatino Linotype" w:hAnsi="Palatino Linotype" w:cs="Arial"/>
          <w:color w:val="000000" w:themeColor="text1"/>
          <w:sz w:val="24"/>
          <w:lang w:val="es-ES"/>
        </w:rPr>
        <w:t xml:space="preserve">“ </w:t>
      </w:r>
      <w:r w:rsidRPr="006F4AC6">
        <w:rPr>
          <w:rFonts w:ascii="Palatino Linotype" w:hAnsi="Palatino Linotype" w:cs="Arial"/>
          <w:b/>
          <w:i/>
          <w:color w:val="000000" w:themeColor="text1"/>
          <w:sz w:val="24"/>
          <w:lang w:val="en-US"/>
        </w:rPr>
        <w:t>JUSTIFICACIÓN PARA ACEPTAR LA PRÓRROGA POR</w:t>
      </w:r>
    </w:p>
    <w:p w:rsidR="00183B96" w:rsidRPr="006F4AC6" w:rsidRDefault="00183B96" w:rsidP="006F4AC6">
      <w:pPr>
        <w:pStyle w:val="Prrafodelista"/>
        <w:ind w:left="0"/>
        <w:jc w:val="center"/>
        <w:rPr>
          <w:rFonts w:ascii="Palatino Linotype" w:hAnsi="Palatino Linotype" w:cs="Arial"/>
          <w:b/>
          <w:i/>
          <w:color w:val="000000" w:themeColor="text1"/>
          <w:sz w:val="24"/>
          <w:lang w:val="en-US"/>
        </w:rPr>
      </w:pPr>
      <w:r w:rsidRPr="006F4AC6">
        <w:rPr>
          <w:rFonts w:ascii="Palatino Linotype" w:hAnsi="Palatino Linotype" w:cs="Arial"/>
          <w:b/>
          <w:i/>
          <w:color w:val="000000" w:themeColor="text1"/>
          <w:sz w:val="24"/>
          <w:lang w:val="en-US"/>
        </w:rPr>
        <w:t>PARTE DE LA UNIDAD DE TRANSPARENCIA</w:t>
      </w:r>
    </w:p>
    <w:p w:rsidR="00183B96" w:rsidRPr="006F4AC6" w:rsidRDefault="00183B96" w:rsidP="006F4AC6">
      <w:pPr>
        <w:pStyle w:val="Prrafodelista"/>
        <w:ind w:left="0"/>
        <w:jc w:val="both"/>
        <w:rPr>
          <w:rFonts w:ascii="Palatino Linotype" w:hAnsi="Palatino Linotype" w:cs="Arial"/>
          <w:i/>
          <w:color w:val="000000" w:themeColor="text1"/>
          <w:sz w:val="24"/>
          <w:lang w:val="en-US"/>
        </w:rPr>
      </w:pPr>
      <w:proofErr w:type="spellStart"/>
      <w:r w:rsidRPr="006F4AC6">
        <w:rPr>
          <w:rFonts w:ascii="Palatino Linotype" w:hAnsi="Palatino Linotype" w:cs="Arial"/>
          <w:i/>
          <w:color w:val="000000" w:themeColor="text1"/>
          <w:sz w:val="24"/>
          <w:lang w:val="en-US"/>
        </w:rPr>
        <w:lastRenderedPageBreak/>
        <w:t>En</w:t>
      </w:r>
      <w:proofErr w:type="spellEnd"/>
      <w:r w:rsidRPr="006F4AC6">
        <w:rPr>
          <w:rFonts w:ascii="Palatino Linotype" w:hAnsi="Palatino Linotype" w:cs="Arial"/>
          <w:i/>
          <w:color w:val="000000" w:themeColor="text1"/>
          <w:sz w:val="24"/>
          <w:lang w:val="en-US"/>
        </w:rPr>
        <w:t xml:space="preserve"> </w:t>
      </w:r>
      <w:proofErr w:type="spellStart"/>
      <w:r w:rsidRPr="006F4AC6">
        <w:rPr>
          <w:rFonts w:ascii="Palatino Linotype" w:hAnsi="Palatino Linotype" w:cs="Arial"/>
          <w:i/>
          <w:color w:val="000000" w:themeColor="text1"/>
          <w:sz w:val="24"/>
          <w:lang w:val="en-US"/>
        </w:rPr>
        <w:t>virtud</w:t>
      </w:r>
      <w:proofErr w:type="spellEnd"/>
      <w:r w:rsidRPr="006F4AC6">
        <w:rPr>
          <w:rFonts w:ascii="Palatino Linotype" w:hAnsi="Palatino Linotype" w:cs="Arial"/>
          <w:i/>
          <w:color w:val="000000" w:themeColor="text1"/>
          <w:sz w:val="24"/>
          <w:lang w:val="en-US"/>
        </w:rPr>
        <w:t xml:space="preserve"> de que la Servidora Pública Habilitada del Organo Interno de Coltrol del CEDIPIEM, está concentranda y revisando la información, el cual requiere de un plazo adicional para recabar la información, por lo que es necesario contar con 7 días hábiles más, contados a partir del día </w:t>
      </w:r>
      <w:r w:rsidRPr="006F4AC6">
        <w:rPr>
          <w:rFonts w:ascii="Palatino Linotype" w:hAnsi="Palatino Linotype" w:cs="Arial"/>
          <w:b/>
          <w:i/>
          <w:color w:val="000000" w:themeColor="text1"/>
          <w:sz w:val="24"/>
          <w:lang w:val="en-US"/>
        </w:rPr>
        <w:t>13 de octubre</w:t>
      </w:r>
      <w:r w:rsidRPr="006F4AC6">
        <w:rPr>
          <w:rFonts w:ascii="Palatino Linotype" w:hAnsi="Palatino Linotype" w:cs="Arial"/>
          <w:i/>
          <w:color w:val="000000" w:themeColor="text1"/>
          <w:sz w:val="24"/>
          <w:lang w:val="en-US"/>
        </w:rPr>
        <w:t xml:space="preserve"> del año en curso, para entregarle la información solicitada y dar cumplimiento a lo dispuesto por el artículo 49 de la Ley de Transparencia y Acceso a la Información Pública del Estado de México y Municipios.”</w:t>
      </w:r>
    </w:p>
    <w:p w:rsidR="00183B96" w:rsidRPr="006F4AC6" w:rsidRDefault="00183B96" w:rsidP="006F4AC6">
      <w:pPr>
        <w:pStyle w:val="Prrafodelista"/>
        <w:spacing w:line="360" w:lineRule="auto"/>
        <w:ind w:left="0"/>
        <w:jc w:val="both"/>
        <w:rPr>
          <w:rFonts w:ascii="Palatino Linotype" w:hAnsi="Palatino Linotype" w:cs="Arial"/>
          <w:color w:val="000000" w:themeColor="text1"/>
          <w:sz w:val="24"/>
          <w:lang w:val="es-ES"/>
        </w:rPr>
      </w:pPr>
    </w:p>
    <w:p w:rsidR="00991C1C" w:rsidRPr="006F4AC6" w:rsidRDefault="00991C1C" w:rsidP="006F4AC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6F4AC6">
        <w:rPr>
          <w:rFonts w:ascii="Palatino Linotype" w:hAnsi="Palatino Linotype" w:cs="Arial"/>
          <w:color w:val="000000" w:themeColor="text1"/>
          <w:sz w:val="24"/>
          <w:lang w:val="es-ES"/>
        </w:rPr>
        <w:t xml:space="preserve">El </w:t>
      </w:r>
      <w:r w:rsidR="00183B96" w:rsidRPr="006F4AC6">
        <w:rPr>
          <w:rFonts w:ascii="Palatino Linotype" w:hAnsi="Palatino Linotype" w:cs="Arial"/>
          <w:b/>
          <w:color w:val="000000" w:themeColor="text1"/>
          <w:sz w:val="24"/>
          <w:lang w:val="es-ES"/>
        </w:rPr>
        <w:t xml:space="preserve">treinta de octubre </w:t>
      </w:r>
      <w:r w:rsidRPr="006F4AC6">
        <w:rPr>
          <w:rFonts w:ascii="Palatino Linotype" w:hAnsi="Palatino Linotype" w:cs="Arial"/>
          <w:b/>
          <w:color w:val="000000" w:themeColor="text1"/>
          <w:sz w:val="24"/>
          <w:lang w:val="es-ES"/>
        </w:rPr>
        <w:t>de dos mil veinticinco</w:t>
      </w:r>
      <w:r w:rsidRPr="006F4AC6">
        <w:rPr>
          <w:rFonts w:ascii="Palatino Linotype" w:hAnsi="Palatino Linotype" w:cs="Arial"/>
          <w:color w:val="000000" w:themeColor="text1"/>
          <w:sz w:val="24"/>
          <w:lang w:val="es-ES"/>
        </w:rPr>
        <w:t>, el Sujeto Obligado dio respuesta a la solicitud, en los siguientes términos:</w:t>
      </w:r>
    </w:p>
    <w:tbl>
      <w:tblPr>
        <w:tblW w:w="7294" w:type="dxa"/>
        <w:jc w:val="center"/>
        <w:tblCellSpacing w:w="0" w:type="dxa"/>
        <w:tblCellMar>
          <w:left w:w="0" w:type="dxa"/>
          <w:right w:w="0" w:type="dxa"/>
        </w:tblCellMar>
        <w:tblLook w:val="04A0" w:firstRow="1" w:lastRow="0" w:firstColumn="1" w:lastColumn="0" w:noHBand="0" w:noVBand="1"/>
      </w:tblPr>
      <w:tblGrid>
        <w:gridCol w:w="7294"/>
      </w:tblGrid>
      <w:tr w:rsidR="006F4AC6" w:rsidRPr="006F4AC6" w:rsidTr="00183B96">
        <w:trPr>
          <w:trHeight w:val="337"/>
          <w:tblCellSpacing w:w="0" w:type="dxa"/>
          <w:jc w:val="center"/>
        </w:trPr>
        <w:tc>
          <w:tcPr>
            <w:tcW w:w="0" w:type="auto"/>
            <w:vAlign w:val="center"/>
            <w:hideMark/>
          </w:tcPr>
          <w:p w:rsidR="00183B96" w:rsidRPr="006F4AC6" w:rsidRDefault="00183B96" w:rsidP="006F4AC6">
            <w:pPr>
              <w:jc w:val="right"/>
              <w:rPr>
                <w:rFonts w:ascii="Palatino Linotype" w:hAnsi="Palatino Linotype"/>
                <w:color w:val="000000" w:themeColor="text1"/>
              </w:rPr>
            </w:pPr>
            <w:r w:rsidRPr="006F4AC6">
              <w:rPr>
                <w:rFonts w:ascii="Palatino Linotype" w:hAnsi="Palatino Linotype"/>
                <w:color w:val="000000" w:themeColor="text1"/>
              </w:rPr>
              <w:t>Nombre del solicitante: C. Solicitante</w:t>
            </w:r>
          </w:p>
        </w:tc>
      </w:tr>
      <w:tr w:rsidR="006F4AC6" w:rsidRPr="006F4AC6" w:rsidTr="00183B96">
        <w:trPr>
          <w:trHeight w:val="337"/>
          <w:tblCellSpacing w:w="0" w:type="dxa"/>
          <w:jc w:val="center"/>
        </w:trPr>
        <w:tc>
          <w:tcPr>
            <w:tcW w:w="0" w:type="auto"/>
            <w:vAlign w:val="center"/>
            <w:hideMark/>
          </w:tcPr>
          <w:p w:rsidR="00183B96" w:rsidRPr="006F4AC6" w:rsidRDefault="00183B96" w:rsidP="006F4AC6">
            <w:pPr>
              <w:jc w:val="right"/>
              <w:rPr>
                <w:rFonts w:ascii="Palatino Linotype" w:hAnsi="Palatino Linotype"/>
                <w:color w:val="000000" w:themeColor="text1"/>
              </w:rPr>
            </w:pPr>
            <w:r w:rsidRPr="006F4AC6">
              <w:rPr>
                <w:rFonts w:ascii="Palatino Linotype" w:hAnsi="Palatino Linotype"/>
                <w:color w:val="000000" w:themeColor="text1"/>
              </w:rPr>
              <w:t>Folio de la solicitud: 00122/CEDIPIEM/IP/2025</w:t>
            </w:r>
          </w:p>
        </w:tc>
      </w:tr>
      <w:tr w:rsidR="006F4AC6" w:rsidRPr="006F4AC6" w:rsidTr="00183B96">
        <w:trPr>
          <w:trHeight w:val="505"/>
          <w:tblCellSpacing w:w="0" w:type="dxa"/>
          <w:jc w:val="center"/>
        </w:trPr>
        <w:tc>
          <w:tcPr>
            <w:tcW w:w="0" w:type="auto"/>
            <w:vAlign w:val="center"/>
            <w:hideMark/>
          </w:tcPr>
          <w:p w:rsidR="00183B96" w:rsidRPr="006F4AC6" w:rsidRDefault="00183B96" w:rsidP="006F4AC6">
            <w:pPr>
              <w:jc w:val="right"/>
              <w:rPr>
                <w:rFonts w:ascii="Palatino Linotype" w:hAnsi="Palatino Linotype"/>
                <w:color w:val="000000" w:themeColor="text1"/>
              </w:rPr>
            </w:pPr>
          </w:p>
        </w:tc>
      </w:tr>
      <w:tr w:rsidR="006F4AC6" w:rsidRPr="006F4AC6" w:rsidTr="00183B96">
        <w:trPr>
          <w:trHeight w:val="168"/>
          <w:tblCellSpacing w:w="0" w:type="dxa"/>
          <w:jc w:val="center"/>
        </w:trPr>
        <w:tc>
          <w:tcPr>
            <w:tcW w:w="0" w:type="auto"/>
            <w:vAlign w:val="center"/>
            <w:hideMark/>
          </w:tcPr>
          <w:p w:rsidR="00183B96" w:rsidRPr="006F4AC6" w:rsidRDefault="00183B96" w:rsidP="006F4AC6">
            <w:pPr>
              <w:rPr>
                <w:rFonts w:ascii="Palatino Linotype" w:hAnsi="Palatino Linotype"/>
                <w:color w:val="000000" w:themeColor="text1"/>
              </w:rPr>
            </w:pPr>
            <w:r w:rsidRPr="006F4AC6">
              <w:rPr>
                <w:rFonts w:ascii="Palatino Linotype" w:hAnsi="Palatino Linotype"/>
                <w:color w:val="000000" w:themeColor="text1"/>
              </w:rPr>
              <w:t>Se anexa oficio número 229C01010300S/796/2025</w:t>
            </w:r>
          </w:p>
        </w:tc>
      </w:tr>
      <w:tr w:rsidR="006F4AC6" w:rsidRPr="006F4AC6" w:rsidTr="00183B96">
        <w:trPr>
          <w:trHeight w:val="421"/>
          <w:tblCellSpacing w:w="0" w:type="dxa"/>
          <w:jc w:val="center"/>
        </w:trPr>
        <w:tc>
          <w:tcPr>
            <w:tcW w:w="0" w:type="auto"/>
            <w:vAlign w:val="center"/>
            <w:hideMark/>
          </w:tcPr>
          <w:p w:rsidR="00183B96" w:rsidRPr="006F4AC6" w:rsidRDefault="00183B96" w:rsidP="006F4AC6">
            <w:pPr>
              <w:rPr>
                <w:rFonts w:ascii="Palatino Linotype" w:hAnsi="Palatino Linotype"/>
                <w:color w:val="000000" w:themeColor="text1"/>
              </w:rPr>
            </w:pPr>
          </w:p>
        </w:tc>
      </w:tr>
      <w:tr w:rsidR="006F4AC6" w:rsidRPr="006F4AC6" w:rsidTr="00183B96">
        <w:trPr>
          <w:trHeight w:val="168"/>
          <w:tblCellSpacing w:w="0" w:type="dxa"/>
          <w:jc w:val="center"/>
        </w:trPr>
        <w:tc>
          <w:tcPr>
            <w:tcW w:w="0" w:type="auto"/>
            <w:vAlign w:val="center"/>
            <w:hideMark/>
          </w:tcPr>
          <w:p w:rsidR="00183B96" w:rsidRPr="006F4AC6" w:rsidRDefault="00183B96" w:rsidP="006F4AC6">
            <w:pPr>
              <w:jc w:val="center"/>
              <w:rPr>
                <w:rFonts w:ascii="Palatino Linotype" w:hAnsi="Palatino Linotype"/>
                <w:color w:val="000000" w:themeColor="text1"/>
              </w:rPr>
            </w:pPr>
          </w:p>
        </w:tc>
      </w:tr>
      <w:tr w:rsidR="006F4AC6" w:rsidRPr="006F4AC6" w:rsidTr="00183B96">
        <w:trPr>
          <w:trHeight w:val="168"/>
          <w:tblCellSpacing w:w="0" w:type="dxa"/>
          <w:jc w:val="center"/>
        </w:trPr>
        <w:tc>
          <w:tcPr>
            <w:tcW w:w="0" w:type="auto"/>
            <w:vAlign w:val="center"/>
            <w:hideMark/>
          </w:tcPr>
          <w:p w:rsidR="00183B96" w:rsidRPr="006F4AC6" w:rsidRDefault="00183B96" w:rsidP="006F4AC6">
            <w:pPr>
              <w:rPr>
                <w:rFonts w:ascii="Palatino Linotype" w:hAnsi="Palatino Linotype"/>
                <w:color w:val="000000" w:themeColor="text1"/>
              </w:rPr>
            </w:pPr>
          </w:p>
        </w:tc>
      </w:tr>
      <w:tr w:rsidR="006F4AC6" w:rsidRPr="006F4AC6" w:rsidTr="00183B96">
        <w:trPr>
          <w:trHeight w:val="168"/>
          <w:tblCellSpacing w:w="0" w:type="dxa"/>
          <w:jc w:val="center"/>
        </w:trPr>
        <w:tc>
          <w:tcPr>
            <w:tcW w:w="0" w:type="auto"/>
            <w:vAlign w:val="center"/>
            <w:hideMark/>
          </w:tcPr>
          <w:p w:rsidR="00183B96" w:rsidRPr="006F4AC6" w:rsidRDefault="00183B96" w:rsidP="006F4AC6">
            <w:pPr>
              <w:rPr>
                <w:rFonts w:ascii="Palatino Linotype" w:hAnsi="Palatino Linotype"/>
                <w:color w:val="000000" w:themeColor="text1"/>
              </w:rPr>
            </w:pPr>
            <w:r w:rsidRPr="006F4AC6">
              <w:rPr>
                <w:rFonts w:ascii="Palatino Linotype" w:hAnsi="Palatino Linotype"/>
                <w:color w:val="000000" w:themeColor="text1"/>
              </w:rPr>
              <w:t>ATENTAMENTE</w:t>
            </w:r>
          </w:p>
        </w:tc>
      </w:tr>
      <w:tr w:rsidR="006F4AC6" w:rsidRPr="006F4AC6" w:rsidTr="00183B96">
        <w:trPr>
          <w:trHeight w:val="252"/>
          <w:tblCellSpacing w:w="0" w:type="dxa"/>
          <w:jc w:val="center"/>
        </w:trPr>
        <w:tc>
          <w:tcPr>
            <w:tcW w:w="0" w:type="auto"/>
            <w:vAlign w:val="center"/>
            <w:hideMark/>
          </w:tcPr>
          <w:p w:rsidR="00183B96" w:rsidRPr="006F4AC6" w:rsidRDefault="00183B96" w:rsidP="006F4AC6">
            <w:pPr>
              <w:rPr>
                <w:rFonts w:ascii="Palatino Linotype" w:hAnsi="Palatino Linotype"/>
                <w:color w:val="000000" w:themeColor="text1"/>
              </w:rPr>
            </w:pPr>
          </w:p>
        </w:tc>
      </w:tr>
      <w:tr w:rsidR="00183B96" w:rsidRPr="006F4AC6" w:rsidTr="00183B96">
        <w:trPr>
          <w:trHeight w:val="168"/>
          <w:tblCellSpacing w:w="0" w:type="dxa"/>
          <w:jc w:val="center"/>
        </w:trPr>
        <w:tc>
          <w:tcPr>
            <w:tcW w:w="0" w:type="auto"/>
            <w:vAlign w:val="center"/>
            <w:hideMark/>
          </w:tcPr>
          <w:p w:rsidR="00183B96" w:rsidRPr="006F4AC6" w:rsidRDefault="00183B96" w:rsidP="006F4AC6">
            <w:pPr>
              <w:rPr>
                <w:rFonts w:ascii="Palatino Linotype" w:hAnsi="Palatino Linotype"/>
                <w:color w:val="000000" w:themeColor="text1"/>
              </w:rPr>
            </w:pPr>
            <w:r w:rsidRPr="006F4AC6">
              <w:rPr>
                <w:rFonts w:ascii="Palatino Linotype" w:hAnsi="Palatino Linotype"/>
                <w:color w:val="000000" w:themeColor="text1"/>
              </w:rPr>
              <w:t>Mtro. Carmelo Rosales Valle</w:t>
            </w:r>
          </w:p>
        </w:tc>
      </w:tr>
    </w:tbl>
    <w:p w:rsidR="00991C1C" w:rsidRPr="006F4AC6" w:rsidRDefault="00991C1C" w:rsidP="006F4AC6">
      <w:pPr>
        <w:spacing w:line="360" w:lineRule="auto"/>
        <w:jc w:val="both"/>
        <w:rPr>
          <w:rStyle w:val="Hipervnculo"/>
          <w:rFonts w:ascii="Palatino Linotype" w:hAnsi="Palatino Linotype" w:cs="Arial"/>
          <w:bCs/>
          <w:color w:val="000000" w:themeColor="text1"/>
        </w:rPr>
      </w:pPr>
    </w:p>
    <w:p w:rsidR="00991C1C" w:rsidRPr="006F4AC6" w:rsidRDefault="00991C1C" w:rsidP="006F4AC6">
      <w:pPr>
        <w:pStyle w:val="Prrafodelista"/>
        <w:numPr>
          <w:ilvl w:val="0"/>
          <w:numId w:val="3"/>
        </w:numPr>
        <w:spacing w:line="360" w:lineRule="auto"/>
        <w:ind w:left="0" w:firstLine="0"/>
        <w:jc w:val="both"/>
        <w:rPr>
          <w:rFonts w:ascii="Palatino Linotype" w:hAnsi="Palatino Linotype" w:cs="Arial"/>
          <w:bCs/>
          <w:i/>
          <w:color w:val="000000" w:themeColor="text1"/>
          <w:sz w:val="24"/>
        </w:rPr>
      </w:pPr>
      <w:r w:rsidRPr="006F4AC6">
        <w:rPr>
          <w:rStyle w:val="Hipervnculo"/>
          <w:rFonts w:ascii="Palatino Linotype" w:hAnsi="Palatino Linotype" w:cs="Arial"/>
          <w:bCs/>
          <w:color w:val="000000" w:themeColor="text1"/>
          <w:sz w:val="24"/>
          <w:u w:val="none"/>
        </w:rPr>
        <w:t xml:space="preserve">A la respuesta se adjuntó el archivo </w:t>
      </w:r>
      <w:hyperlink r:id="rId8" w:tgtFrame="_blank" w:history="1">
        <w:r w:rsidR="00183B96" w:rsidRPr="006F4AC6">
          <w:rPr>
            <w:rStyle w:val="Hipervnculo"/>
            <w:rFonts w:ascii="Palatino Linotype" w:eastAsiaTheme="majorEastAsia" w:hAnsi="Palatino Linotype" w:cs="Arial"/>
            <w:b/>
            <w:bCs/>
            <w:color w:val="000000" w:themeColor="text1"/>
            <w:sz w:val="24"/>
          </w:rPr>
          <w:t>OTUT-122.pdf</w:t>
        </w:r>
      </w:hyperlink>
      <w:r w:rsidRPr="006F4AC6">
        <w:rPr>
          <w:rFonts w:ascii="Palatino Linotype" w:eastAsiaTheme="majorEastAsia" w:hAnsi="Palatino Linotype" w:cs="Arial"/>
          <w:bCs/>
          <w:color w:val="000000" w:themeColor="text1"/>
          <w:sz w:val="24"/>
        </w:rPr>
        <w:t xml:space="preserve">, en el que se advierte </w:t>
      </w:r>
      <w:r w:rsidR="00183B96" w:rsidRPr="006F4AC6">
        <w:rPr>
          <w:rFonts w:ascii="Palatino Linotype" w:eastAsiaTheme="majorEastAsia" w:hAnsi="Palatino Linotype" w:cs="Arial"/>
          <w:bCs/>
          <w:color w:val="000000" w:themeColor="text1"/>
          <w:sz w:val="24"/>
        </w:rPr>
        <w:t xml:space="preserve">el oficio número 229C01010300S/796/2020 de fecha treinta de octubre de dos mil veinticinco, suscrito por el Jefe de la Unidad de Información, Planeación, Programación y Evaluación y Titular de la Unidad de Transparencia quien señaló, </w:t>
      </w:r>
      <w:r w:rsidR="00377811" w:rsidRPr="006F4AC6">
        <w:rPr>
          <w:rFonts w:ascii="Palatino Linotype" w:eastAsiaTheme="majorEastAsia" w:hAnsi="Palatino Linotype" w:cs="Arial"/>
          <w:bCs/>
          <w:color w:val="000000" w:themeColor="text1"/>
          <w:sz w:val="24"/>
        </w:rPr>
        <w:t xml:space="preserve">de forma medular, su incompetencia para conocer de la información solicitada, asimismo, orientó al Recurrente para dirigir su solicitud a la Secretaría de la Contraloría del Estado de México. </w:t>
      </w:r>
    </w:p>
    <w:p w:rsidR="00991C1C" w:rsidRPr="006F4AC6" w:rsidRDefault="00991C1C" w:rsidP="006F4AC6">
      <w:pPr>
        <w:pStyle w:val="Prrafodelista"/>
        <w:spacing w:line="360" w:lineRule="auto"/>
        <w:ind w:left="0"/>
        <w:jc w:val="both"/>
        <w:rPr>
          <w:rStyle w:val="Hipervnculo"/>
          <w:rFonts w:ascii="Palatino Linotype" w:hAnsi="Palatino Linotype" w:cs="Arial"/>
          <w:bCs/>
          <w:i/>
          <w:color w:val="000000" w:themeColor="text1"/>
          <w:sz w:val="24"/>
          <w:u w:val="none"/>
        </w:rPr>
      </w:pPr>
    </w:p>
    <w:p w:rsidR="00991C1C" w:rsidRPr="006F4AC6" w:rsidRDefault="00991C1C" w:rsidP="006F4AC6">
      <w:pPr>
        <w:pStyle w:val="Prrafodelista"/>
        <w:numPr>
          <w:ilvl w:val="0"/>
          <w:numId w:val="2"/>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eastAsia="Calibri" w:hAnsi="Palatino Linotype" w:cs="Arial"/>
          <w:color w:val="000000" w:themeColor="text1"/>
          <w:sz w:val="24"/>
          <w:lang w:val="es-AR"/>
        </w:rPr>
        <w:lastRenderedPageBreak/>
        <w:t xml:space="preserve">El </w:t>
      </w:r>
      <w:r w:rsidR="00377811" w:rsidRPr="006F4AC6">
        <w:rPr>
          <w:rFonts w:ascii="Palatino Linotype" w:eastAsia="Calibri" w:hAnsi="Palatino Linotype" w:cs="Arial"/>
          <w:b/>
          <w:color w:val="000000" w:themeColor="text1"/>
          <w:sz w:val="24"/>
          <w:lang w:val="es-AR"/>
        </w:rPr>
        <w:t>treinta d octubre</w:t>
      </w:r>
      <w:r w:rsidRPr="006F4AC6">
        <w:rPr>
          <w:rFonts w:ascii="Palatino Linotype" w:eastAsia="Calibri" w:hAnsi="Palatino Linotype" w:cs="Arial"/>
          <w:b/>
          <w:color w:val="000000" w:themeColor="text1"/>
          <w:sz w:val="24"/>
          <w:lang w:val="es-AR"/>
        </w:rPr>
        <w:t xml:space="preserve"> de dos mil veinticinco</w:t>
      </w:r>
      <w:r w:rsidRPr="006F4AC6">
        <w:rPr>
          <w:rFonts w:ascii="Palatino Linotype" w:hAnsi="Palatino Linotype" w:cs="Arial"/>
          <w:color w:val="000000" w:themeColor="text1"/>
          <w:sz w:val="24"/>
          <w:lang w:val="es-ES"/>
        </w:rPr>
        <w:t xml:space="preserve">, </w:t>
      </w:r>
      <w:r w:rsidRPr="006F4AC6">
        <w:rPr>
          <w:rFonts w:ascii="Palatino Linotype" w:hAnsi="Palatino Linotype"/>
          <w:b/>
          <w:color w:val="000000" w:themeColor="text1"/>
          <w:sz w:val="24"/>
        </w:rPr>
        <w:t>EL RECURRENTE</w:t>
      </w:r>
      <w:r w:rsidRPr="006F4AC6">
        <w:rPr>
          <w:rFonts w:ascii="Palatino Linotype" w:hAnsi="Palatino Linotype" w:cs="Arial"/>
          <w:color w:val="000000" w:themeColor="text1"/>
          <w:sz w:val="24"/>
          <w:lang w:val="es-ES"/>
        </w:rPr>
        <w:t xml:space="preserve"> interpuso el recurso de revisión, en contra de la respuesta y señaló como:</w:t>
      </w:r>
      <w:bookmarkStart w:id="1" w:name="_Toc462307683"/>
      <w:bookmarkStart w:id="2" w:name="_Toc472427085"/>
      <w:bookmarkStart w:id="3" w:name="_Toc472500652"/>
    </w:p>
    <w:p w:rsidR="00991C1C" w:rsidRPr="006F4AC6" w:rsidRDefault="00991C1C" w:rsidP="006F4AC6">
      <w:pPr>
        <w:pStyle w:val="Prrafodelista"/>
        <w:ind w:left="0"/>
        <w:rPr>
          <w:rFonts w:ascii="Palatino Linotype" w:eastAsia="Calibri" w:hAnsi="Palatino Linotype" w:cs="Tahoma"/>
          <w:b/>
          <w:color w:val="000000" w:themeColor="text1"/>
          <w:sz w:val="24"/>
          <w:lang w:eastAsia="en-US"/>
        </w:rPr>
      </w:pPr>
    </w:p>
    <w:p w:rsidR="00991C1C" w:rsidRPr="006F4AC6" w:rsidRDefault="00AC1C70" w:rsidP="00AC1C70">
      <w:pPr>
        <w:pStyle w:val="Prrafodelista"/>
        <w:numPr>
          <w:ilvl w:val="0"/>
          <w:numId w:val="3"/>
        </w:numPr>
        <w:spacing w:line="360" w:lineRule="auto"/>
        <w:jc w:val="both"/>
        <w:rPr>
          <w:rFonts w:ascii="Palatino Linotype" w:hAnsi="Palatino Linotype"/>
          <w:bCs/>
          <w:i/>
          <w:iCs/>
          <w:color w:val="000000" w:themeColor="text1"/>
          <w:sz w:val="24"/>
        </w:rPr>
      </w:pPr>
      <w:r w:rsidRPr="006F4AC6">
        <w:rPr>
          <w:rFonts w:ascii="Palatino Linotype" w:hAnsi="Palatino Linotype"/>
          <w:b/>
          <w:color w:val="000000" w:themeColor="text1"/>
          <w:sz w:val="24"/>
        </w:rPr>
        <w:t>ACTO IMPUGNADO</w:t>
      </w:r>
      <w:r w:rsidR="00991C1C" w:rsidRPr="006F4AC6">
        <w:rPr>
          <w:rFonts w:ascii="Palatino Linotype" w:hAnsi="Palatino Linotype"/>
          <w:b/>
          <w:color w:val="000000" w:themeColor="text1"/>
          <w:sz w:val="24"/>
        </w:rPr>
        <w:t xml:space="preserve">: </w:t>
      </w:r>
      <w:r w:rsidR="00991C1C" w:rsidRPr="006F4AC6">
        <w:rPr>
          <w:rFonts w:ascii="Palatino Linotype" w:hAnsi="Palatino Linotype"/>
          <w:bCs/>
          <w:i/>
          <w:iCs/>
          <w:color w:val="000000" w:themeColor="text1"/>
          <w:sz w:val="24"/>
        </w:rPr>
        <w:t>“</w:t>
      </w:r>
      <w:r w:rsidR="00377811" w:rsidRPr="006F4AC6">
        <w:rPr>
          <w:rFonts w:ascii="Palatino Linotype" w:hAnsi="Palatino Linotype"/>
          <w:bCs/>
          <w:i/>
          <w:iCs/>
          <w:color w:val="000000" w:themeColor="text1"/>
          <w:sz w:val="24"/>
        </w:rPr>
        <w:t>El sujeto obligado respondió que el CEDIPIEM no tiene atribuciones ni funciones para recopilar, administrar o conservar declaraciones patrimoniales, señalando que dicha competencia corresponde a la Secretaría de la Contraloría del Estado de México, y sugirió dirigir la solicitud a esa dependencia.</w:t>
      </w:r>
      <w:r w:rsidR="00991C1C" w:rsidRPr="006F4AC6">
        <w:rPr>
          <w:rFonts w:ascii="Palatino Linotype" w:hAnsi="Palatino Linotype"/>
          <w:bCs/>
          <w:i/>
          <w:iCs/>
          <w:color w:val="000000" w:themeColor="text1"/>
          <w:sz w:val="24"/>
        </w:rPr>
        <w:t>” (sic)</w:t>
      </w:r>
    </w:p>
    <w:p w:rsidR="00991C1C" w:rsidRPr="006F4AC6" w:rsidRDefault="00991C1C" w:rsidP="006F4AC6">
      <w:pPr>
        <w:pStyle w:val="Prrafodelista"/>
        <w:spacing w:line="360" w:lineRule="auto"/>
        <w:ind w:left="0"/>
        <w:jc w:val="both"/>
        <w:rPr>
          <w:rFonts w:ascii="Palatino Linotype" w:hAnsi="Palatino Linotype"/>
          <w:bCs/>
          <w:i/>
          <w:iCs/>
          <w:color w:val="000000" w:themeColor="text1"/>
          <w:sz w:val="24"/>
        </w:rPr>
      </w:pPr>
    </w:p>
    <w:p w:rsidR="000E5C09" w:rsidRPr="006F4AC6" w:rsidRDefault="00AC1C70" w:rsidP="00AC1C70">
      <w:pPr>
        <w:pStyle w:val="Prrafodelista"/>
        <w:numPr>
          <w:ilvl w:val="0"/>
          <w:numId w:val="3"/>
        </w:numPr>
        <w:spacing w:line="360" w:lineRule="auto"/>
        <w:jc w:val="both"/>
        <w:rPr>
          <w:rFonts w:ascii="Palatino Linotype" w:hAnsi="Palatino Linotype"/>
          <w:bCs/>
          <w:i/>
          <w:iCs/>
          <w:color w:val="000000" w:themeColor="text1"/>
          <w:sz w:val="24"/>
        </w:rPr>
      </w:pPr>
      <w:r w:rsidRPr="006F4AC6">
        <w:rPr>
          <w:rFonts w:ascii="Palatino Linotype" w:hAnsi="Palatino Linotype"/>
          <w:b/>
          <w:color w:val="000000" w:themeColor="text1"/>
          <w:sz w:val="24"/>
        </w:rPr>
        <w:t>MOTIVOS O RAZONES DE INCONFORMIDAD</w:t>
      </w:r>
      <w:bookmarkEnd w:id="1"/>
      <w:bookmarkEnd w:id="2"/>
      <w:bookmarkEnd w:id="3"/>
      <w:r w:rsidR="00991C1C" w:rsidRPr="006F4AC6">
        <w:rPr>
          <w:rFonts w:ascii="Palatino Linotype" w:hAnsi="Palatino Linotype"/>
          <w:b/>
          <w:color w:val="000000" w:themeColor="text1"/>
          <w:sz w:val="24"/>
        </w:rPr>
        <w:t xml:space="preserve">: </w:t>
      </w:r>
      <w:r w:rsidR="00991C1C" w:rsidRPr="006F4AC6">
        <w:rPr>
          <w:rFonts w:ascii="Palatino Linotype" w:hAnsi="Palatino Linotype"/>
          <w:bCs/>
          <w:i/>
          <w:iCs/>
          <w:color w:val="000000" w:themeColor="text1"/>
          <w:sz w:val="24"/>
        </w:rPr>
        <w:t>“</w:t>
      </w:r>
      <w:r w:rsidR="00377811" w:rsidRPr="006F4AC6">
        <w:rPr>
          <w:rFonts w:ascii="Palatino Linotype" w:hAnsi="Palatino Linotype"/>
          <w:bCs/>
          <w:i/>
          <w:iCs/>
          <w:color w:val="000000" w:themeColor="text1"/>
          <w:sz w:val="24"/>
        </w:rPr>
        <w:t>el CEDIPIEM cuenta con un Órgano Interno de Control (OIC), el cual tiene entre sus funciones: Verificar el cumplimiento de las obligaciones de los servidores públicos en materia de declaración patrimonial. Dar seguimiento y verificar la evolución patrimonial cuando se detecten posibles irregularidades. Recibir denuncias e iniciar investigaciones relacionadas con el uso indebido de recursos o enriquecimiento injustificado. Por lo tanto, el CEDIPIEM sí debe contar en sus archivos con información, constancias o verificaciones internas sobre el cumplimiento de las declaraciones patrimoniales y sobre la adquisición de bienes (como vehículos) de sus funcionarios. La respuesta no acredita haber realizado búsqueda exhaustiva y razonable en el Órgano Interno de Control del propio CEDIPIEM, instancia que sí tiene competencia en la materia, La sugerencia de dirigir la solicitud a la Secretaría de la Contraloría no exime al sujeto obligado de realizar la búsqueda en sus propios archivos ni de emitir, en su caso, un acta de inexistencia debidamente fundada y motivada. La respuesta no garantiza el acceso efectivo a la información pública relacionada con el uso de recursos y la rendición de cuentas de los servidores públicos</w:t>
      </w:r>
    </w:p>
    <w:p w:rsidR="00991C1C" w:rsidRPr="006F4AC6" w:rsidRDefault="00991C1C" w:rsidP="006F4AC6">
      <w:pPr>
        <w:pStyle w:val="Prrafodelista"/>
        <w:spacing w:line="360" w:lineRule="auto"/>
        <w:ind w:left="0"/>
        <w:jc w:val="both"/>
        <w:rPr>
          <w:rFonts w:ascii="Palatino Linotype" w:hAnsi="Palatino Linotype"/>
          <w:b/>
          <w:color w:val="000000" w:themeColor="text1"/>
          <w:sz w:val="24"/>
        </w:rPr>
      </w:pPr>
      <w:r w:rsidRPr="006F4AC6">
        <w:rPr>
          <w:rFonts w:ascii="Palatino Linotype" w:hAnsi="Palatino Linotype"/>
          <w:bCs/>
          <w:i/>
          <w:iCs/>
          <w:color w:val="000000" w:themeColor="text1"/>
          <w:sz w:val="24"/>
        </w:rPr>
        <w:lastRenderedPageBreak/>
        <w:t>” (sic)</w:t>
      </w:r>
    </w:p>
    <w:p w:rsidR="000E5C09" w:rsidRPr="006F4AC6" w:rsidRDefault="000E5C09" w:rsidP="006F4AC6">
      <w:pPr>
        <w:pStyle w:val="Prrafodelista"/>
        <w:spacing w:before="240" w:after="240" w:line="360" w:lineRule="auto"/>
        <w:ind w:left="0"/>
        <w:jc w:val="both"/>
        <w:rPr>
          <w:rFonts w:ascii="Palatino Linotype" w:eastAsia="Calibri" w:hAnsi="Palatino Linotype" w:cs="Arial"/>
          <w:color w:val="000000" w:themeColor="text1"/>
          <w:sz w:val="24"/>
          <w:lang w:val="es-AR"/>
        </w:rPr>
      </w:pPr>
    </w:p>
    <w:p w:rsidR="00991C1C" w:rsidRPr="006F4AC6" w:rsidRDefault="00991C1C" w:rsidP="006F4AC6">
      <w:pPr>
        <w:pStyle w:val="Prrafodelista"/>
        <w:numPr>
          <w:ilvl w:val="0"/>
          <w:numId w:val="2"/>
        </w:numPr>
        <w:spacing w:before="240" w:after="240" w:line="360" w:lineRule="auto"/>
        <w:ind w:left="0" w:firstLine="0"/>
        <w:jc w:val="both"/>
        <w:rPr>
          <w:rFonts w:ascii="Palatino Linotype" w:eastAsia="Calibri" w:hAnsi="Palatino Linotype" w:cs="Arial"/>
          <w:color w:val="000000" w:themeColor="text1"/>
          <w:sz w:val="24"/>
          <w:lang w:val="es-AR"/>
        </w:rPr>
      </w:pPr>
      <w:r w:rsidRPr="006F4AC6">
        <w:rPr>
          <w:rFonts w:ascii="Palatino Linotype" w:hAnsi="Palatino Linotype" w:cs="Arial"/>
          <w:color w:val="000000" w:themeColor="text1"/>
          <w:sz w:val="24"/>
          <w:lang w:val="es-ES"/>
        </w:rPr>
        <w:t xml:space="preserve">Se registró el recurso de revisión bajo el número de expediente </w:t>
      </w:r>
      <w:r w:rsidRPr="006F4AC6">
        <w:rPr>
          <w:rFonts w:ascii="Palatino Linotype" w:hAnsi="Palatino Linotype" w:cs="Arial"/>
          <w:bCs/>
          <w:color w:val="000000" w:themeColor="text1"/>
          <w:sz w:val="24"/>
        </w:rPr>
        <w:t xml:space="preserve">al rubro indicado, asimismo con fundamento en lo dispuesto por el </w:t>
      </w:r>
      <w:r w:rsidRPr="006F4AC6">
        <w:rPr>
          <w:rFonts w:ascii="Palatino Linotype" w:eastAsia="Calibri" w:hAnsi="Palatino Linotype" w:cs="Arial"/>
          <w:color w:val="000000" w:themeColor="text1"/>
          <w:sz w:val="24"/>
          <w:lang w:val="es-ES"/>
        </w:rPr>
        <w:t xml:space="preserve">artículo 185 fracción I de la </w:t>
      </w:r>
      <w:r w:rsidRPr="006F4AC6">
        <w:rPr>
          <w:rFonts w:ascii="Palatino Linotype" w:eastAsia="Calibri" w:hAnsi="Palatino Linotype" w:cs="Arial"/>
          <w:b/>
          <w:color w:val="000000" w:themeColor="text1"/>
          <w:sz w:val="24"/>
          <w:lang w:val="es-ES"/>
        </w:rPr>
        <w:t xml:space="preserve">Ley de Transparencia y Acceso a la Información Pública del Estado de México y Municipios </w:t>
      </w:r>
      <w:r w:rsidRPr="006F4AC6">
        <w:rPr>
          <w:rFonts w:ascii="Palatino Linotype" w:hAnsi="Palatino Linotype" w:cs="Arial"/>
          <w:color w:val="000000" w:themeColor="text1"/>
          <w:sz w:val="24"/>
          <w:lang w:val="es-ES"/>
        </w:rPr>
        <w:t xml:space="preserve">se turnó a la </w:t>
      </w:r>
      <w:r w:rsidRPr="006F4AC6">
        <w:rPr>
          <w:rFonts w:ascii="Palatino Linotype" w:hAnsi="Palatino Linotype" w:cs="Arial"/>
          <w:b/>
          <w:color w:val="000000" w:themeColor="text1"/>
          <w:sz w:val="24"/>
          <w:lang w:val="es-ES"/>
        </w:rPr>
        <w:t xml:space="preserve">Comisionada María del Rosario Mejía Ayala, </w:t>
      </w:r>
      <w:r w:rsidR="00AC1C70">
        <w:rPr>
          <w:rFonts w:ascii="Palatino Linotype" w:hAnsi="Palatino Linotype" w:cs="Arial"/>
          <w:color w:val="000000" w:themeColor="text1"/>
          <w:sz w:val="24"/>
          <w:lang w:val="es-ES"/>
        </w:rPr>
        <w:t>para</w:t>
      </w:r>
      <w:r w:rsidRPr="006F4AC6">
        <w:rPr>
          <w:rFonts w:ascii="Palatino Linotype" w:hAnsi="Palatino Linotype" w:cs="Arial"/>
          <w:color w:val="000000" w:themeColor="text1"/>
          <w:sz w:val="24"/>
          <w:lang w:val="es-ES"/>
        </w:rPr>
        <w:t xml:space="preserve"> </w:t>
      </w:r>
      <w:r w:rsidRPr="006F4AC6">
        <w:rPr>
          <w:rFonts w:ascii="Palatino Linotype" w:hAnsi="Palatino Linotype" w:cs="Arial"/>
          <w:color w:val="000000" w:themeColor="text1"/>
          <w:sz w:val="24"/>
        </w:rPr>
        <w:t>su análisis.</w:t>
      </w:r>
    </w:p>
    <w:p w:rsidR="00991C1C" w:rsidRPr="006F4AC6" w:rsidRDefault="00991C1C" w:rsidP="006F4AC6">
      <w:pPr>
        <w:pStyle w:val="Prrafodelista"/>
        <w:spacing w:before="240" w:after="240" w:line="360" w:lineRule="auto"/>
        <w:ind w:left="0"/>
        <w:jc w:val="both"/>
        <w:rPr>
          <w:rFonts w:ascii="Palatino Linotype" w:eastAsia="Calibri" w:hAnsi="Palatino Linotype" w:cs="Arial"/>
          <w:color w:val="000000" w:themeColor="text1"/>
          <w:sz w:val="24"/>
          <w:lang w:val="es-AR"/>
        </w:rPr>
      </w:pPr>
    </w:p>
    <w:p w:rsidR="00991C1C" w:rsidRPr="006F4AC6" w:rsidRDefault="00AC1C70" w:rsidP="006F4AC6">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themeColor="text1"/>
          <w:sz w:val="24"/>
          <w:lang w:val="es-ES_tradnl"/>
        </w:rPr>
      </w:pPr>
      <w:r>
        <w:rPr>
          <w:rFonts w:ascii="Palatino Linotype" w:eastAsia="Calibri" w:hAnsi="Palatino Linotype" w:cs="Arial"/>
          <w:color w:val="000000" w:themeColor="text1"/>
          <w:sz w:val="24"/>
          <w:lang w:val="es-ES"/>
        </w:rPr>
        <w:t>La Comisionada p</w:t>
      </w:r>
      <w:r w:rsidR="00991C1C" w:rsidRPr="006F4AC6">
        <w:rPr>
          <w:rFonts w:ascii="Palatino Linotype" w:eastAsia="Calibri" w:hAnsi="Palatino Linotype" w:cs="Arial"/>
          <w:color w:val="000000" w:themeColor="text1"/>
          <w:sz w:val="24"/>
          <w:lang w:val="es-ES"/>
        </w:rPr>
        <w:t xml:space="preserve">onente con fundamento en lo dispuesto por el artículo 185 fracción II de la ley de la materia, a través del acuerdo de admisión de fecha </w:t>
      </w:r>
      <w:r w:rsidR="000E5C09" w:rsidRPr="006F4AC6">
        <w:rPr>
          <w:rFonts w:ascii="Palatino Linotype" w:eastAsia="Calibri" w:hAnsi="Palatino Linotype" w:cs="Arial"/>
          <w:b/>
          <w:color w:val="000000" w:themeColor="text1"/>
          <w:sz w:val="24"/>
          <w:lang w:val="es-ES"/>
        </w:rPr>
        <w:t>cinco de noviembre</w:t>
      </w:r>
      <w:r w:rsidR="00991C1C" w:rsidRPr="006F4AC6">
        <w:rPr>
          <w:rFonts w:ascii="Palatino Linotype" w:eastAsia="Calibri" w:hAnsi="Palatino Linotype" w:cs="Arial"/>
          <w:b/>
          <w:color w:val="000000" w:themeColor="text1"/>
          <w:sz w:val="24"/>
          <w:lang w:val="es-ES"/>
        </w:rPr>
        <w:t xml:space="preserve"> de dos mil veinticinco</w:t>
      </w:r>
      <w:r w:rsidR="00991C1C" w:rsidRPr="006F4AC6">
        <w:rPr>
          <w:rFonts w:ascii="Palatino Linotype" w:eastAsia="Calibri" w:hAnsi="Palatino Linotype" w:cs="Arial"/>
          <w:color w:val="000000" w:themeColor="text1"/>
          <w:sz w:val="24"/>
          <w:lang w:val="es-ES"/>
        </w:rPr>
        <w:t xml:space="preserve">, puso a disposición de las partes el expediente electrónico </w:t>
      </w:r>
      <w:r w:rsidR="00991C1C" w:rsidRPr="006F4AC6">
        <w:rPr>
          <w:rFonts w:ascii="Palatino Linotype" w:eastAsia="Calibri" w:hAnsi="Palatino Linotype" w:cs="Arial"/>
          <w:color w:val="000000" w:themeColor="text1"/>
          <w:sz w:val="24"/>
        </w:rPr>
        <w:t xml:space="preserve">vía </w:t>
      </w:r>
      <w:r w:rsidR="00991C1C" w:rsidRPr="006F4AC6">
        <w:rPr>
          <w:rFonts w:ascii="Palatino Linotype" w:eastAsia="Calibri" w:hAnsi="Palatino Linotype" w:cs="Arial"/>
          <w:b/>
          <w:color w:val="000000" w:themeColor="text1"/>
          <w:sz w:val="24"/>
          <w:lang w:val="es-ES"/>
        </w:rPr>
        <w:t xml:space="preserve">SAIMEX </w:t>
      </w:r>
      <w:r w:rsidR="00991C1C" w:rsidRPr="006F4AC6">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00991C1C" w:rsidRPr="006F4AC6">
        <w:rPr>
          <w:rFonts w:ascii="Palatino Linotype" w:eastAsia="Calibri" w:hAnsi="Palatino Linotype" w:cs="Arial"/>
          <w:b/>
          <w:color w:val="000000" w:themeColor="text1"/>
          <w:sz w:val="24"/>
          <w:lang w:val="es-ES"/>
        </w:rPr>
        <w:t>SUJETO OBLIGADO</w:t>
      </w:r>
      <w:r w:rsidR="00991C1C" w:rsidRPr="006F4AC6">
        <w:rPr>
          <w:rFonts w:ascii="Palatino Linotype" w:eastAsia="Calibri" w:hAnsi="Palatino Linotype" w:cs="Arial"/>
          <w:color w:val="000000" w:themeColor="text1"/>
          <w:sz w:val="24"/>
          <w:lang w:val="es-ES"/>
        </w:rPr>
        <w:t xml:space="preserve"> presentara el informe justificado procedente.</w:t>
      </w:r>
    </w:p>
    <w:p w:rsidR="00991C1C" w:rsidRPr="006F4AC6" w:rsidRDefault="00991C1C" w:rsidP="006F4AC6">
      <w:pPr>
        <w:numPr>
          <w:ilvl w:val="0"/>
          <w:numId w:val="1"/>
        </w:numPr>
        <w:tabs>
          <w:tab w:val="left" w:pos="284"/>
        </w:tabs>
        <w:spacing w:before="240" w:after="240" w:line="360" w:lineRule="auto"/>
        <w:ind w:left="0" w:firstLine="0"/>
        <w:contextualSpacing/>
        <w:jc w:val="both"/>
        <w:rPr>
          <w:rFonts w:ascii="Palatino Linotype" w:hAnsi="Palatino Linotype" w:cs="Tahoma"/>
          <w:color w:val="000000" w:themeColor="text1"/>
        </w:rPr>
      </w:pPr>
      <w:r w:rsidRPr="006F4AC6">
        <w:rPr>
          <w:rFonts w:ascii="Palatino Linotype" w:hAnsi="Palatino Linotype" w:cs="Tahoma"/>
          <w:color w:val="000000" w:themeColor="text1"/>
        </w:rPr>
        <w:t xml:space="preserve">De las constancias del expediente electrónico SAIMEX, se advierte que el Recurrente  </w:t>
      </w:r>
      <w:r w:rsidR="000E5C09" w:rsidRPr="006F4AC6">
        <w:rPr>
          <w:rFonts w:ascii="Palatino Linotype" w:hAnsi="Palatino Linotype" w:cs="Tahoma"/>
          <w:color w:val="000000" w:themeColor="text1"/>
        </w:rPr>
        <w:t xml:space="preserve">no </w:t>
      </w:r>
      <w:r w:rsidRPr="006F4AC6">
        <w:rPr>
          <w:rFonts w:ascii="Palatino Linotype" w:hAnsi="Palatino Linotype" w:cs="Tahoma"/>
          <w:color w:val="000000" w:themeColor="text1"/>
        </w:rPr>
        <w:t xml:space="preserve">realizó manifestaciones </w:t>
      </w:r>
      <w:r w:rsidR="000E5C09" w:rsidRPr="006F4AC6">
        <w:rPr>
          <w:rFonts w:ascii="Palatino Linotype" w:hAnsi="Palatino Linotype" w:cs="Tahoma"/>
          <w:color w:val="000000" w:themeColor="text1"/>
        </w:rPr>
        <w:t>que a su derecho convinieran</w:t>
      </w:r>
      <w:r w:rsidRPr="006F4AC6">
        <w:rPr>
          <w:rFonts w:ascii="Palatino Linotype" w:hAnsi="Palatino Linotype" w:cs="Tahoma"/>
          <w:color w:val="000000" w:themeColor="text1"/>
        </w:rPr>
        <w:t>; por</w:t>
      </w:r>
      <w:r w:rsidR="000E5C09" w:rsidRPr="006F4AC6">
        <w:rPr>
          <w:rFonts w:ascii="Palatino Linotype" w:hAnsi="Palatino Linotype" w:cs="Tahoma"/>
          <w:color w:val="000000" w:themeColor="text1"/>
        </w:rPr>
        <w:t xml:space="preserve"> su parte, el Sujeto Obligado entregó informe justificado, el veinte de noviembre de dos mil veinticinco, mismo que fue puesto a la vista del Recurrente el cuatro de diciembre del mismo año,  y que consta del archivo denominado </w:t>
      </w:r>
      <w:hyperlink r:id="rId9" w:history="1">
        <w:r w:rsidR="000E5C09" w:rsidRPr="006F4AC6">
          <w:rPr>
            <w:rStyle w:val="Hipervnculo"/>
            <w:rFonts w:ascii="Palatino Linotype" w:hAnsi="Palatino Linotype" w:cs="Tahoma"/>
            <w:b/>
            <w:bCs/>
            <w:color w:val="000000" w:themeColor="text1"/>
          </w:rPr>
          <w:t>IJ-12548-INFOEM-IP-RR-2025.pdf</w:t>
        </w:r>
      </w:hyperlink>
      <w:r w:rsidR="000E5C09" w:rsidRPr="006F4AC6">
        <w:rPr>
          <w:rFonts w:ascii="Palatino Linotype" w:hAnsi="Palatino Linotype" w:cs="Tahoma"/>
          <w:color w:val="000000" w:themeColor="text1"/>
        </w:rPr>
        <w:t xml:space="preserve">, en el que, de forma medular, se ratificó la respuesta y se solicitó el sobreseimiento del recurso de revisión por no actualizar una causal de procedencia. </w:t>
      </w:r>
    </w:p>
    <w:p w:rsidR="00991C1C" w:rsidRPr="006F4AC6" w:rsidRDefault="00991C1C" w:rsidP="006F4AC6">
      <w:pPr>
        <w:pStyle w:val="Prrafodelista"/>
        <w:numPr>
          <w:ilvl w:val="0"/>
          <w:numId w:val="2"/>
        </w:numPr>
        <w:spacing w:line="360" w:lineRule="auto"/>
        <w:ind w:left="0" w:firstLine="0"/>
        <w:jc w:val="both"/>
        <w:rPr>
          <w:rFonts w:ascii="Palatino Linotype" w:hAnsi="Palatino Linotype" w:cs="Tahoma"/>
          <w:color w:val="000000" w:themeColor="text1"/>
          <w:sz w:val="24"/>
        </w:rPr>
      </w:pPr>
      <w:r w:rsidRPr="006F4AC6">
        <w:rPr>
          <w:rFonts w:ascii="Palatino Linotype" w:hAnsi="Palatino Linotype" w:cs="Arial"/>
          <w:color w:val="000000" w:themeColor="text1"/>
          <w:sz w:val="24"/>
        </w:rPr>
        <w:lastRenderedPageBreak/>
        <w:t xml:space="preserve">El </w:t>
      </w:r>
      <w:r w:rsidR="00B91572" w:rsidRPr="006F4AC6">
        <w:rPr>
          <w:rFonts w:ascii="Palatino Linotype" w:hAnsi="Palatino Linotype" w:cs="Arial"/>
          <w:b/>
          <w:color w:val="000000" w:themeColor="text1"/>
          <w:sz w:val="24"/>
        </w:rPr>
        <w:t>diez de diciembre</w:t>
      </w:r>
      <w:r w:rsidRPr="006F4AC6">
        <w:rPr>
          <w:rFonts w:ascii="Palatino Linotype" w:hAnsi="Palatino Linotype" w:cs="Arial"/>
          <w:b/>
          <w:color w:val="000000" w:themeColor="text1"/>
          <w:sz w:val="24"/>
        </w:rPr>
        <w:t xml:space="preserve"> de dos mil veinticinco</w:t>
      </w:r>
      <w:r w:rsidRPr="006F4AC6">
        <w:rPr>
          <w:rFonts w:ascii="Palatino Linotype" w:hAnsi="Palatino Linotype" w:cs="Arial"/>
          <w:color w:val="000000" w:themeColor="text1"/>
          <w:sz w:val="24"/>
        </w:rPr>
        <w:t xml:space="preserve">, </w:t>
      </w:r>
      <w:r w:rsidR="00B91572" w:rsidRPr="006F4AC6">
        <w:rPr>
          <w:rFonts w:ascii="Palatino Linotype" w:hAnsi="Palatino Linotype" w:cs="Arial"/>
          <w:color w:val="000000" w:themeColor="text1"/>
          <w:sz w:val="24"/>
        </w:rPr>
        <w:t>se</w:t>
      </w:r>
      <w:r w:rsidRPr="006F4AC6">
        <w:rPr>
          <w:rFonts w:ascii="Palatino Linotype" w:hAnsi="Palatino Linotype" w:cs="Arial"/>
          <w:color w:val="000000" w:themeColor="text1"/>
          <w:sz w:val="24"/>
        </w:rPr>
        <w:t xml:space="preserve"> notificó el acuerdo mediante el cual decretó el cierre de instrucción. </w:t>
      </w:r>
    </w:p>
    <w:p w:rsidR="00991C1C" w:rsidRPr="006F4AC6" w:rsidRDefault="00991C1C" w:rsidP="006F4AC6">
      <w:pPr>
        <w:pStyle w:val="Ttulo1"/>
        <w:jc w:val="center"/>
        <w:rPr>
          <w:rFonts w:ascii="Palatino Linotype" w:hAnsi="Palatino Linotype"/>
          <w:b/>
          <w:color w:val="000000" w:themeColor="text1"/>
          <w:sz w:val="24"/>
          <w:szCs w:val="24"/>
        </w:rPr>
      </w:pPr>
      <w:bookmarkStart w:id="4" w:name="_Toc87549672"/>
      <w:r w:rsidRPr="006F4AC6">
        <w:rPr>
          <w:rFonts w:ascii="Palatino Linotype" w:hAnsi="Palatino Linotype"/>
          <w:b/>
          <w:color w:val="000000" w:themeColor="text1"/>
          <w:sz w:val="24"/>
          <w:szCs w:val="24"/>
        </w:rPr>
        <w:t>C</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O</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N</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S</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I</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D</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E</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R</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A</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N</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D</w:t>
      </w:r>
      <w:r w:rsidR="00AC1C70">
        <w:rPr>
          <w:rFonts w:ascii="Palatino Linotype" w:hAnsi="Palatino Linotype"/>
          <w:b/>
          <w:color w:val="000000" w:themeColor="text1"/>
          <w:sz w:val="24"/>
          <w:szCs w:val="24"/>
        </w:rPr>
        <w:t xml:space="preserve"> </w:t>
      </w:r>
      <w:r w:rsidRPr="006F4AC6">
        <w:rPr>
          <w:rFonts w:ascii="Palatino Linotype" w:hAnsi="Palatino Linotype"/>
          <w:b/>
          <w:color w:val="000000" w:themeColor="text1"/>
          <w:sz w:val="24"/>
          <w:szCs w:val="24"/>
        </w:rPr>
        <w:t>O</w:t>
      </w:r>
      <w:bookmarkEnd w:id="4"/>
    </w:p>
    <w:p w:rsidR="00991C1C" w:rsidRPr="006F4AC6" w:rsidRDefault="00991C1C" w:rsidP="006F4AC6">
      <w:pPr>
        <w:rPr>
          <w:rFonts w:ascii="Palatino Linotype" w:hAnsi="Palatino Linotype"/>
          <w:color w:val="000000" w:themeColor="text1"/>
          <w:lang w:eastAsia="en-US"/>
        </w:rPr>
      </w:pPr>
    </w:p>
    <w:p w:rsidR="00991C1C" w:rsidRPr="006F4AC6" w:rsidRDefault="00991C1C" w:rsidP="006F4AC6">
      <w:pPr>
        <w:pStyle w:val="Ttulo2"/>
        <w:rPr>
          <w:rFonts w:ascii="Palatino Linotype" w:hAnsi="Palatino Linotype"/>
          <w:b/>
          <w:bCs/>
          <w:color w:val="000000" w:themeColor="text1"/>
          <w:spacing w:val="60"/>
          <w:sz w:val="24"/>
          <w:szCs w:val="24"/>
          <w:lang w:eastAsia="en-US"/>
        </w:rPr>
      </w:pPr>
      <w:bookmarkStart w:id="5" w:name="_Toc87549673"/>
      <w:r w:rsidRPr="006F4AC6">
        <w:rPr>
          <w:rFonts w:ascii="Palatino Linotype" w:hAnsi="Palatino Linotype"/>
          <w:b/>
          <w:color w:val="000000" w:themeColor="text1"/>
          <w:sz w:val="24"/>
          <w:szCs w:val="24"/>
        </w:rPr>
        <w:t>PRIMERO. De la competencia</w:t>
      </w:r>
      <w:bookmarkEnd w:id="5"/>
    </w:p>
    <w:p w:rsidR="00991C1C" w:rsidRDefault="00991C1C" w:rsidP="006F4AC6">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6F4AC6">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F4AC6">
        <w:rPr>
          <w:rFonts w:ascii="Palatino Linotype" w:eastAsia="Calibri" w:hAnsi="Palatino Linotype"/>
          <w:b/>
          <w:color w:val="000000" w:themeColor="text1"/>
          <w:sz w:val="24"/>
          <w:lang w:val="es-ES"/>
        </w:rPr>
        <w:t>Constitución Política de los Estados Unidos Mexicanos</w:t>
      </w:r>
      <w:r w:rsidRPr="006F4AC6">
        <w:rPr>
          <w:rFonts w:ascii="Palatino Linotype" w:eastAsia="Calibri" w:hAnsi="Palatino Linotype"/>
          <w:color w:val="000000" w:themeColor="text1"/>
          <w:sz w:val="24"/>
          <w:lang w:val="es-ES"/>
        </w:rPr>
        <w:t xml:space="preserve">; 5, párrafos </w:t>
      </w:r>
      <w:r w:rsidRPr="006F4AC6">
        <w:rPr>
          <w:rFonts w:ascii="Palatino Linotype" w:hAnsi="Palatino Linotype" w:cs="Arial"/>
          <w:bCs/>
          <w:color w:val="000000" w:themeColor="text1"/>
          <w:sz w:val="24"/>
          <w:lang w:val="es-ES"/>
        </w:rPr>
        <w:t>trigésimo noveno, cuadragésimo y cuadragésimo primero fracciones</w:t>
      </w:r>
      <w:r w:rsidRPr="006F4AC6">
        <w:rPr>
          <w:rFonts w:ascii="Palatino Linotype" w:eastAsia="Calibri" w:hAnsi="Palatino Linotype"/>
          <w:color w:val="000000" w:themeColor="text1"/>
          <w:sz w:val="24"/>
          <w:lang w:val="es-ES"/>
        </w:rPr>
        <w:t xml:space="preserve"> IV y V de la </w:t>
      </w:r>
      <w:r w:rsidRPr="006F4AC6">
        <w:rPr>
          <w:rFonts w:ascii="Palatino Linotype" w:eastAsia="Calibri" w:hAnsi="Palatino Linotype"/>
          <w:b/>
          <w:color w:val="000000" w:themeColor="text1"/>
          <w:sz w:val="24"/>
          <w:lang w:val="es-ES"/>
        </w:rPr>
        <w:t>Constitución Política del Estado Libre y Soberano de México</w:t>
      </w:r>
      <w:r w:rsidRPr="006F4AC6">
        <w:rPr>
          <w:rFonts w:ascii="Palatino Linotype" w:eastAsia="Calibri" w:hAnsi="Palatino Linotype"/>
          <w:color w:val="000000" w:themeColor="text1"/>
          <w:sz w:val="24"/>
          <w:lang w:val="es-ES"/>
        </w:rPr>
        <w:t xml:space="preserve">; artículos 1, 2 fracción II, 13, 29, 36 fracciones I y II, 176, 178, 179, 181 párrafo tercero y 185 </w:t>
      </w:r>
      <w:r w:rsidRPr="006F4AC6">
        <w:rPr>
          <w:rFonts w:ascii="Palatino Linotype" w:eastAsia="Calibri" w:hAnsi="Palatino Linotype" w:cs="Arial"/>
          <w:color w:val="000000" w:themeColor="text1"/>
          <w:sz w:val="24"/>
          <w:lang w:val="es-ES"/>
        </w:rPr>
        <w:t xml:space="preserve">de la </w:t>
      </w:r>
      <w:r w:rsidRPr="006F4AC6">
        <w:rPr>
          <w:rFonts w:ascii="Palatino Linotype" w:eastAsia="Calibri" w:hAnsi="Palatino Linotype" w:cs="Arial"/>
          <w:b/>
          <w:color w:val="000000" w:themeColor="text1"/>
          <w:sz w:val="24"/>
          <w:lang w:val="es-ES"/>
        </w:rPr>
        <w:t>Ley de Transparencia y Acceso a la Información Pública del Estado de México y Municipios</w:t>
      </w:r>
      <w:r w:rsidRPr="006F4AC6">
        <w:rPr>
          <w:rFonts w:ascii="Palatino Linotype" w:eastAsia="Calibri" w:hAnsi="Palatino Linotype" w:cs="Arial"/>
          <w:color w:val="000000" w:themeColor="text1"/>
          <w:sz w:val="24"/>
          <w:lang w:val="es-ES"/>
        </w:rPr>
        <w:t xml:space="preserve">; y 7, 9 fracciones I y XXIII, y 11 del </w:t>
      </w:r>
      <w:r w:rsidRPr="006F4AC6">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r w:rsidRPr="006F4AC6">
        <w:rPr>
          <w:rFonts w:ascii="Palatino Linotype" w:hAnsi="Palatino Linotype"/>
          <w:color w:val="000000" w:themeColor="text1"/>
          <w:sz w:val="24"/>
        </w:rPr>
        <w:t>.</w:t>
      </w:r>
    </w:p>
    <w:p w:rsidR="0001175E" w:rsidRPr="006F4AC6" w:rsidRDefault="0001175E" w:rsidP="0001175E">
      <w:pPr>
        <w:pStyle w:val="Prrafodelista"/>
        <w:spacing w:before="240" w:after="240" w:line="360" w:lineRule="auto"/>
        <w:ind w:left="0"/>
        <w:jc w:val="both"/>
        <w:rPr>
          <w:rFonts w:ascii="Palatino Linotype" w:hAnsi="Palatino Linotype"/>
          <w:color w:val="000000" w:themeColor="text1"/>
          <w:sz w:val="24"/>
        </w:rPr>
      </w:pPr>
    </w:p>
    <w:p w:rsidR="00991C1C" w:rsidRPr="006F4AC6" w:rsidRDefault="00991C1C" w:rsidP="006F4AC6">
      <w:pPr>
        <w:pStyle w:val="Ttulo2"/>
        <w:rPr>
          <w:rFonts w:ascii="Palatino Linotype" w:hAnsi="Palatino Linotype"/>
          <w:b/>
          <w:color w:val="000000" w:themeColor="text1"/>
          <w:sz w:val="24"/>
          <w:szCs w:val="24"/>
        </w:rPr>
      </w:pPr>
      <w:bookmarkStart w:id="6" w:name="_Toc87549674"/>
      <w:r w:rsidRPr="006F4AC6">
        <w:rPr>
          <w:rFonts w:ascii="Palatino Linotype" w:hAnsi="Palatino Linotype"/>
          <w:b/>
          <w:color w:val="000000" w:themeColor="text1"/>
          <w:sz w:val="24"/>
          <w:szCs w:val="24"/>
        </w:rPr>
        <w:t>SEGUNDO. De la oportunidad y procedencia.</w:t>
      </w:r>
      <w:bookmarkEnd w:id="6"/>
    </w:p>
    <w:p w:rsidR="00991C1C" w:rsidRPr="006F4AC6" w:rsidRDefault="00991C1C" w:rsidP="006F4AC6">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bookmarkStart w:id="7" w:name="_Toc87549675"/>
      <w:r w:rsidRPr="006F4AC6">
        <w:rPr>
          <w:rFonts w:ascii="Palatino Linotype" w:eastAsia="Calibri" w:hAnsi="Palatino Linotype" w:cs="Arial"/>
          <w:color w:val="000000" w:themeColor="text1"/>
          <w:sz w:val="24"/>
        </w:rPr>
        <w:t xml:space="preserve">El medio de impugnación fue presentado a través del </w:t>
      </w:r>
      <w:r w:rsidRPr="006F4AC6">
        <w:rPr>
          <w:rFonts w:ascii="Palatino Linotype" w:eastAsia="Calibri" w:hAnsi="Palatino Linotype" w:cs="Arial"/>
          <w:bCs/>
          <w:iCs/>
          <w:color w:val="000000" w:themeColor="text1"/>
          <w:sz w:val="24"/>
        </w:rPr>
        <w:t>SAIMEX</w:t>
      </w:r>
      <w:r w:rsidRPr="006F4AC6">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6F4AC6">
        <w:rPr>
          <w:rFonts w:ascii="Palatino Linotype" w:eastAsia="Calibri" w:hAnsi="Palatino Linotype" w:cs="Arial"/>
          <w:b/>
          <w:color w:val="000000" w:themeColor="text1"/>
          <w:sz w:val="24"/>
        </w:rPr>
        <w:t>SUJETO OBLIGADO</w:t>
      </w:r>
      <w:r w:rsidRPr="006F4AC6">
        <w:rPr>
          <w:rFonts w:ascii="Palatino Linotype" w:eastAsia="Calibri" w:hAnsi="Palatino Linotype" w:cs="Arial"/>
          <w:color w:val="000000" w:themeColor="text1"/>
          <w:sz w:val="24"/>
        </w:rPr>
        <w:t xml:space="preserve"> entregó respuesta el </w:t>
      </w:r>
      <w:r w:rsidR="00B91572" w:rsidRPr="006F4AC6">
        <w:rPr>
          <w:rFonts w:ascii="Palatino Linotype" w:eastAsia="Calibri" w:hAnsi="Palatino Linotype" w:cs="Arial"/>
          <w:b/>
          <w:color w:val="000000" w:themeColor="text1"/>
          <w:sz w:val="24"/>
        </w:rPr>
        <w:t>treinta de octubre</w:t>
      </w:r>
      <w:r w:rsidRPr="006F4AC6">
        <w:rPr>
          <w:rFonts w:ascii="Palatino Linotype" w:eastAsia="Calibri" w:hAnsi="Palatino Linotype" w:cs="Arial"/>
          <w:b/>
          <w:color w:val="000000" w:themeColor="text1"/>
          <w:sz w:val="24"/>
        </w:rPr>
        <w:t xml:space="preserve"> de dos mil veinticinco</w:t>
      </w:r>
      <w:r w:rsidRPr="006F4AC6">
        <w:rPr>
          <w:rFonts w:ascii="Palatino Linotype" w:eastAsia="Calibri" w:hAnsi="Palatino Linotype" w:cs="Arial"/>
          <w:color w:val="000000" w:themeColor="text1"/>
          <w:sz w:val="24"/>
        </w:rPr>
        <w:t xml:space="preserve">, de tal forma que el plazo para interponer el recurso de revisión transcurrió del </w:t>
      </w:r>
      <w:r w:rsidR="00B91572" w:rsidRPr="006F4AC6">
        <w:rPr>
          <w:rFonts w:ascii="Palatino Linotype" w:eastAsia="Calibri" w:hAnsi="Palatino Linotype" w:cs="Arial"/>
          <w:b/>
          <w:color w:val="000000" w:themeColor="text1"/>
          <w:sz w:val="24"/>
        </w:rPr>
        <w:t>treinta y uno de octubre al veintiuno de noviembre</w:t>
      </w:r>
      <w:r w:rsidRPr="006F4AC6">
        <w:rPr>
          <w:rFonts w:ascii="Palatino Linotype" w:eastAsia="Calibri" w:hAnsi="Palatino Linotype" w:cs="Arial"/>
          <w:b/>
          <w:color w:val="000000" w:themeColor="text1"/>
          <w:sz w:val="24"/>
        </w:rPr>
        <w:t xml:space="preserve"> de dos mil veinticinco</w:t>
      </w:r>
      <w:r w:rsidRPr="006F4AC6">
        <w:rPr>
          <w:rFonts w:ascii="Palatino Linotype" w:eastAsia="Calibri" w:hAnsi="Palatino Linotype" w:cs="Arial"/>
          <w:color w:val="000000" w:themeColor="text1"/>
          <w:sz w:val="24"/>
        </w:rPr>
        <w:t xml:space="preserve">. El recurso de revisión </w:t>
      </w:r>
      <w:r w:rsidRPr="006F4AC6">
        <w:rPr>
          <w:rFonts w:ascii="Palatino Linotype" w:hAnsi="Palatino Linotype"/>
          <w:color w:val="000000" w:themeColor="text1"/>
          <w:sz w:val="24"/>
        </w:rPr>
        <w:t xml:space="preserve">fue </w:t>
      </w:r>
      <w:r w:rsidRPr="006F4AC6">
        <w:rPr>
          <w:rFonts w:ascii="Palatino Linotype" w:hAnsi="Palatino Linotype"/>
          <w:color w:val="000000" w:themeColor="text1"/>
          <w:sz w:val="24"/>
        </w:rPr>
        <w:lastRenderedPageBreak/>
        <w:t xml:space="preserve">interpuesto el </w:t>
      </w:r>
      <w:r w:rsidR="00B91572" w:rsidRPr="006F4AC6">
        <w:rPr>
          <w:rFonts w:ascii="Palatino Linotype" w:hAnsi="Palatino Linotype"/>
          <w:b/>
          <w:color w:val="000000" w:themeColor="text1"/>
          <w:sz w:val="24"/>
        </w:rPr>
        <w:t>treinta de octubre</w:t>
      </w:r>
      <w:r w:rsidRPr="006F4AC6">
        <w:rPr>
          <w:rFonts w:ascii="Palatino Linotype" w:hAnsi="Palatino Linotype"/>
          <w:b/>
          <w:color w:val="000000" w:themeColor="text1"/>
          <w:sz w:val="24"/>
        </w:rPr>
        <w:t xml:space="preserve"> de dos mil veinticinco</w:t>
      </w:r>
      <w:r w:rsidRPr="006F4AC6">
        <w:rPr>
          <w:rFonts w:ascii="Palatino Linotype" w:hAnsi="Palatino Linotype"/>
          <w:color w:val="000000" w:themeColor="text1"/>
          <w:sz w:val="24"/>
        </w:rPr>
        <w:t>, éste</w:t>
      </w:r>
      <w:r w:rsidRPr="006F4AC6">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6F4AC6">
        <w:rPr>
          <w:rFonts w:ascii="Palatino Linotype" w:hAnsi="Palatino Linotype" w:cs="Arial"/>
          <w:b/>
          <w:color w:val="000000" w:themeColor="text1"/>
          <w:sz w:val="24"/>
        </w:rPr>
        <w:t xml:space="preserve"> </w:t>
      </w:r>
      <w:r w:rsidRPr="006F4AC6">
        <w:rPr>
          <w:rFonts w:ascii="Palatino Linotype" w:hAnsi="Palatino Linotype" w:cs="Arial"/>
          <w:color w:val="000000" w:themeColor="text1"/>
          <w:sz w:val="24"/>
        </w:rPr>
        <w:t xml:space="preserve">vigente. </w:t>
      </w:r>
    </w:p>
    <w:p w:rsidR="00B91572" w:rsidRPr="006F4AC6" w:rsidRDefault="00B91572" w:rsidP="006F4AC6">
      <w:pPr>
        <w:pStyle w:val="Prrafodelista"/>
        <w:tabs>
          <w:tab w:val="left" w:pos="426"/>
        </w:tabs>
        <w:spacing w:line="360" w:lineRule="auto"/>
        <w:ind w:left="0"/>
        <w:jc w:val="both"/>
        <w:rPr>
          <w:rFonts w:ascii="Palatino Linotype" w:hAnsi="Palatino Linotype" w:cs="Arial"/>
          <w:bCs/>
          <w:color w:val="000000" w:themeColor="text1"/>
          <w:sz w:val="24"/>
          <w:lang w:eastAsia="es-MX"/>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bCs/>
          <w:color w:val="000000" w:themeColor="text1"/>
          <w:sz w:val="24"/>
          <w:lang w:eastAsia="es-MX"/>
        </w:rPr>
      </w:pPr>
      <w:r w:rsidRPr="006F4AC6">
        <w:rPr>
          <w:rFonts w:ascii="Palatino Linotype" w:hAnsi="Palatino Linotype" w:cs="Arial"/>
          <w:bCs/>
          <w:color w:val="000000" w:themeColor="text1"/>
          <w:sz w:val="24"/>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B91572" w:rsidRPr="006F4AC6" w:rsidRDefault="00B91572" w:rsidP="006F4AC6">
      <w:pPr>
        <w:pStyle w:val="Prrafodelista"/>
        <w:ind w:left="0"/>
        <w:rPr>
          <w:rFonts w:ascii="Palatino Linotype" w:hAnsi="Palatino Linotype" w:cs="Arial"/>
          <w:color w:val="000000" w:themeColor="text1"/>
          <w:sz w:val="24"/>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color w:val="000000" w:themeColor="text1"/>
          <w:sz w:val="24"/>
        </w:rPr>
      </w:pPr>
      <w:r w:rsidRPr="006F4AC6">
        <w:rPr>
          <w:rFonts w:ascii="Palatino Linotype" w:hAnsi="Palatino Linotype" w:cs="Arial"/>
          <w:color w:val="000000" w:themeColor="text1"/>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r w:rsidRPr="006F4AC6">
        <w:rPr>
          <w:rFonts w:ascii="Palatino Linotype" w:hAnsi="Palatino Linotype" w:cs="Arial"/>
          <w:i/>
          <w:color w:val="000000" w:themeColor="text1"/>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w:t>
      </w:r>
      <w:r w:rsidRPr="006F4AC6">
        <w:rPr>
          <w:rFonts w:ascii="Palatino Linotype" w:hAnsi="Palatino Linotype" w:cs="Arial"/>
          <w:i/>
          <w:color w:val="000000" w:themeColor="text1"/>
        </w:rPr>
        <w:lastRenderedPageBreak/>
        <w:t>antes de iniciado ese término. De ahí que si dicho recurso se interpone antes de que inicie el plazo para hacerlo, su presentación no es extemporánea.</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r w:rsidRPr="006F4AC6">
        <w:rPr>
          <w:rFonts w:ascii="Palatino Linotype" w:hAnsi="Palatino Linotype" w:cs="Arial"/>
          <w:i/>
          <w:color w:val="000000" w:themeColor="text1"/>
        </w:rPr>
        <w:t xml:space="preserve"> 1a./J. 41/2015 (10a.) </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r w:rsidRPr="006F4AC6">
        <w:rPr>
          <w:rFonts w:ascii="Palatino Linotype" w:hAnsi="Palatino Linotype" w:cs="Arial"/>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r w:rsidRPr="006F4AC6">
        <w:rPr>
          <w:rFonts w:ascii="Palatino Linotype" w:hAnsi="Palatino Linotype" w:cs="Arial"/>
          <w:i/>
          <w:color w:val="000000" w:themeColor="text1"/>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r w:rsidRPr="006F4AC6">
        <w:rPr>
          <w:rFonts w:ascii="Palatino Linotype" w:hAnsi="Palatino Linotype" w:cs="Arial"/>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r w:rsidRPr="006F4AC6">
        <w:rPr>
          <w:rFonts w:ascii="Palatino Linotype" w:hAnsi="Palatino Linotype" w:cs="Arial"/>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r w:rsidRPr="006F4AC6">
        <w:rPr>
          <w:rFonts w:ascii="Palatino Linotype" w:hAnsi="Palatino Linotype" w:cs="Arial"/>
          <w:i/>
          <w:color w:val="000000" w:themeColor="text1"/>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B91572" w:rsidRPr="006F4AC6" w:rsidRDefault="00B91572" w:rsidP="006F4AC6">
      <w:pPr>
        <w:spacing w:before="240" w:after="240" w:line="276" w:lineRule="auto"/>
        <w:contextualSpacing/>
        <w:jc w:val="both"/>
        <w:rPr>
          <w:rFonts w:ascii="Palatino Linotype" w:hAnsi="Palatino Linotype" w:cs="Arial"/>
          <w:i/>
          <w:color w:val="000000" w:themeColor="text1"/>
        </w:rPr>
      </w:pPr>
    </w:p>
    <w:p w:rsidR="00B91572" w:rsidRPr="006F4AC6" w:rsidRDefault="00B91572" w:rsidP="006F4AC6">
      <w:pPr>
        <w:spacing w:before="240" w:after="240" w:line="276" w:lineRule="auto"/>
        <w:contextualSpacing/>
        <w:jc w:val="both"/>
        <w:rPr>
          <w:rFonts w:ascii="Palatino Linotype" w:hAnsi="Palatino Linotype"/>
          <w:i/>
          <w:color w:val="000000" w:themeColor="text1"/>
        </w:rPr>
      </w:pPr>
      <w:r w:rsidRPr="006F4AC6">
        <w:rPr>
          <w:rFonts w:ascii="Palatino Linotype" w:hAnsi="Palatino Linotype" w:cs="Arial"/>
          <w:i/>
          <w:color w:val="000000" w:themeColor="text1"/>
        </w:rPr>
        <w:lastRenderedPageBreak/>
        <w:t>Tesis de jurisprudencia 41/2015 (10a.). Aprobada por la Primera Sala de este Alto Tribunal, en sesión privada de veintisiete de mayo de dos mil quince.</w:t>
      </w:r>
    </w:p>
    <w:p w:rsidR="00B91572" w:rsidRPr="006F4AC6" w:rsidRDefault="00B91572" w:rsidP="006F4AC6">
      <w:pPr>
        <w:pStyle w:val="Prrafodelista"/>
        <w:spacing w:before="240" w:after="240" w:line="360" w:lineRule="auto"/>
        <w:ind w:left="0"/>
        <w:jc w:val="both"/>
        <w:rPr>
          <w:rFonts w:ascii="Palatino Linotype" w:hAnsi="Palatino Linotype"/>
          <w:color w:val="000000" w:themeColor="text1"/>
          <w:sz w:val="24"/>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hAnsi="Palatino Linotype"/>
          <w:color w:val="000000" w:themeColor="text1"/>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B91572" w:rsidRPr="006F4AC6" w:rsidRDefault="00B91572" w:rsidP="006F4AC6">
      <w:pPr>
        <w:pStyle w:val="Prrafodelista"/>
        <w:spacing w:before="240" w:after="240" w:line="360" w:lineRule="auto"/>
        <w:ind w:left="0"/>
        <w:jc w:val="both"/>
        <w:rPr>
          <w:rFonts w:ascii="Palatino Linotype" w:hAnsi="Palatino Linotype" w:cs="Arial"/>
          <w:i/>
          <w:color w:val="000000" w:themeColor="text1"/>
          <w:sz w:val="24"/>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hAnsi="Palatino Linotype"/>
          <w:color w:val="000000" w:themeColor="text1"/>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B91572" w:rsidRPr="006F4AC6" w:rsidRDefault="00B91572" w:rsidP="006F4AC6">
      <w:pPr>
        <w:pStyle w:val="Prrafodelista"/>
        <w:ind w:left="0"/>
        <w:rPr>
          <w:rFonts w:ascii="Palatino Linotype" w:hAnsi="Palatino Linotype" w:cs="Arial"/>
          <w:i/>
          <w:color w:val="000000" w:themeColor="text1"/>
          <w:sz w:val="24"/>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hAnsi="Palatino Linotype"/>
          <w:color w:val="000000" w:themeColor="text1"/>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6F4AC6">
        <w:rPr>
          <w:rFonts w:ascii="Palatino Linotype" w:hAnsi="Palatino Linotype"/>
          <w:b/>
          <w:color w:val="000000" w:themeColor="text1"/>
          <w:sz w:val="24"/>
        </w:rPr>
        <w:t>SUJETO OBLIGADO</w:t>
      </w:r>
      <w:r w:rsidRPr="006F4AC6">
        <w:rPr>
          <w:rFonts w:ascii="Palatino Linotype" w:hAnsi="Palatino Linotype"/>
          <w:color w:val="000000" w:themeColor="text1"/>
          <w:sz w:val="24"/>
        </w:rPr>
        <w:t>.</w:t>
      </w:r>
    </w:p>
    <w:p w:rsidR="00B91572" w:rsidRPr="006F4AC6" w:rsidRDefault="00B91572" w:rsidP="006F4AC6">
      <w:pPr>
        <w:pStyle w:val="Prrafodelista"/>
        <w:ind w:left="0"/>
        <w:rPr>
          <w:rFonts w:ascii="Palatino Linotype" w:eastAsia="Calibri" w:hAnsi="Palatino Linotype" w:cs="Arial"/>
          <w:color w:val="000000" w:themeColor="text1"/>
          <w:sz w:val="24"/>
          <w:lang w:val="es-ES_tradnl"/>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eastAsia="Calibri" w:hAnsi="Palatino Linotype" w:cs="Arial"/>
          <w:color w:val="000000" w:themeColor="text1"/>
          <w:sz w:val="24"/>
          <w:lang w:val="es-ES_tradnl"/>
        </w:rPr>
        <w:t xml:space="preserve">Por otra parte, de la revisión al expediente electrónico del </w:t>
      </w:r>
      <w:r w:rsidRPr="006F4AC6">
        <w:rPr>
          <w:rFonts w:ascii="Palatino Linotype" w:eastAsia="Calibri" w:hAnsi="Palatino Linotype" w:cs="Arial"/>
          <w:b/>
          <w:color w:val="000000" w:themeColor="text1"/>
          <w:sz w:val="24"/>
          <w:lang w:val="es-ES_tradnl"/>
        </w:rPr>
        <w:t>SAIMEX</w:t>
      </w:r>
      <w:r w:rsidRPr="006F4AC6">
        <w:rPr>
          <w:rFonts w:ascii="Palatino Linotype" w:eastAsia="Calibri" w:hAnsi="Palatino Linotype" w:cs="Arial"/>
          <w:color w:val="000000" w:themeColor="text1"/>
          <w:sz w:val="24"/>
          <w:lang w:val="es-ES_tradnl"/>
        </w:rPr>
        <w:t xml:space="preserve"> se desprende que la parte solicitante en ejercicio de su derecho de acceso a la información pública en el expediente que se revisa, tanto en la solicitud de información como en el recurso de revisión </w:t>
      </w:r>
      <w:r w:rsidRPr="006F4AC6">
        <w:rPr>
          <w:rFonts w:ascii="Palatino Linotype" w:eastAsia="Calibri" w:hAnsi="Palatino Linotype" w:cs="Arial"/>
          <w:color w:val="000000" w:themeColor="text1"/>
          <w:sz w:val="24"/>
          <w:lang w:val="es-ES_tradnl"/>
        </w:rPr>
        <w:lastRenderedPageBreak/>
        <w:t>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91572" w:rsidRPr="006F4AC6" w:rsidRDefault="00B91572" w:rsidP="006F4AC6">
      <w:pPr>
        <w:pStyle w:val="Prrafodelista"/>
        <w:ind w:left="0"/>
        <w:rPr>
          <w:rFonts w:ascii="Palatino Linotype" w:eastAsia="Calibri" w:hAnsi="Palatino Linotype" w:cs="Arial"/>
          <w:color w:val="000000" w:themeColor="text1"/>
          <w:sz w:val="24"/>
          <w:lang w:val="es-ES_tradnl"/>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eastAsia="Calibri" w:hAnsi="Palatino Linotype" w:cs="Arial"/>
          <w:color w:val="000000" w:themeColor="text1"/>
          <w:sz w:val="24"/>
          <w:lang w:val="es-ES_tradnl"/>
        </w:rPr>
        <w:t xml:space="preserve">Esto es así, ya que de conformidad con los artículos 6, Apartado A, fracciones III y IV de la Constitución Política de los Estados Unidos Mexicanos y </w:t>
      </w:r>
      <w:r w:rsidRPr="006F4AC6">
        <w:rPr>
          <w:rFonts w:ascii="Palatino Linotype" w:eastAsia="Calibri" w:hAnsi="Palatino Linotype" w:cs="Arial"/>
          <w:bCs/>
          <w:color w:val="000000" w:themeColor="text1"/>
          <w:sz w:val="24"/>
          <w:lang w:val="es-ES"/>
        </w:rPr>
        <w:t>5, párrafos vigésimo, vigésimo primero y vigésimo segundo fracciones IV y V </w:t>
      </w:r>
      <w:r w:rsidRPr="006F4AC6">
        <w:rPr>
          <w:rFonts w:ascii="Palatino Linotype" w:eastAsia="Calibri" w:hAnsi="Palatino Linotype" w:cs="Arial"/>
          <w:color w:val="000000" w:themeColor="text1"/>
          <w:sz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91572" w:rsidRPr="006F4AC6" w:rsidRDefault="00B91572" w:rsidP="006F4AC6">
      <w:pPr>
        <w:pStyle w:val="Prrafodelista"/>
        <w:ind w:left="0"/>
        <w:rPr>
          <w:rFonts w:ascii="Palatino Linotype" w:eastAsia="Calibri" w:hAnsi="Palatino Linotype" w:cs="Arial"/>
          <w:color w:val="000000" w:themeColor="text1"/>
          <w:sz w:val="24"/>
          <w:lang w:val="es-ES_tradnl"/>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eastAsia="Calibri" w:hAnsi="Palatino Linotype" w:cs="Arial"/>
          <w:color w:val="000000" w:themeColor="text1"/>
          <w:sz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eastAsia="Calibri" w:hAnsi="Palatino Linotype" w:cs="Arial"/>
          <w:color w:val="000000" w:themeColor="text1"/>
          <w:sz w:val="24"/>
          <w:lang w:val="es-ES_tradnl"/>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91572" w:rsidRPr="006F4AC6" w:rsidRDefault="00B91572" w:rsidP="006F4AC6">
      <w:pPr>
        <w:pStyle w:val="Prrafodelista"/>
        <w:ind w:left="0"/>
        <w:rPr>
          <w:rFonts w:ascii="Palatino Linotype" w:eastAsia="Calibri" w:hAnsi="Palatino Linotype" w:cs="Arial"/>
          <w:color w:val="000000" w:themeColor="text1"/>
          <w:sz w:val="24"/>
          <w:lang w:val="es-ES_tradnl"/>
        </w:rPr>
      </w:pPr>
    </w:p>
    <w:p w:rsidR="00B91572" w:rsidRPr="006F4AC6" w:rsidRDefault="00B91572"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eastAsia="Calibri" w:hAnsi="Palatino Linotype" w:cs="Arial"/>
          <w:color w:val="000000" w:themeColor="text1"/>
          <w:sz w:val="24"/>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91572" w:rsidRPr="006F4AC6" w:rsidRDefault="00B91572" w:rsidP="006F4AC6">
      <w:pPr>
        <w:pStyle w:val="Prrafodelista"/>
        <w:ind w:left="0"/>
        <w:rPr>
          <w:rFonts w:ascii="Palatino Linotype" w:eastAsia="Calibri" w:hAnsi="Palatino Linotype" w:cs="Arial"/>
          <w:color w:val="000000" w:themeColor="text1"/>
          <w:sz w:val="24"/>
        </w:rPr>
      </w:pPr>
    </w:p>
    <w:p w:rsidR="00991C1C" w:rsidRPr="006F4AC6" w:rsidRDefault="00991C1C" w:rsidP="006F4AC6">
      <w:pPr>
        <w:pStyle w:val="Prrafodelista"/>
        <w:numPr>
          <w:ilvl w:val="0"/>
          <w:numId w:val="1"/>
        </w:numPr>
        <w:spacing w:before="240" w:after="240" w:line="360" w:lineRule="auto"/>
        <w:ind w:left="0" w:firstLine="0"/>
        <w:jc w:val="both"/>
        <w:rPr>
          <w:rFonts w:ascii="Palatino Linotype" w:hAnsi="Palatino Linotype" w:cs="Arial"/>
          <w:i/>
          <w:color w:val="000000" w:themeColor="text1"/>
          <w:sz w:val="24"/>
        </w:rPr>
      </w:pPr>
      <w:r w:rsidRPr="006F4AC6">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991C1C" w:rsidRPr="006F4AC6" w:rsidRDefault="00991C1C" w:rsidP="006F4AC6">
      <w:pPr>
        <w:pStyle w:val="Ttulo1"/>
        <w:rPr>
          <w:rFonts w:ascii="Palatino Linotype" w:hAnsi="Palatino Linotype"/>
          <w:b/>
          <w:color w:val="000000" w:themeColor="text1"/>
          <w:sz w:val="24"/>
          <w:szCs w:val="24"/>
        </w:rPr>
      </w:pPr>
      <w:r w:rsidRPr="006F4AC6">
        <w:rPr>
          <w:rFonts w:ascii="Palatino Linotype" w:hAnsi="Palatino Linotype"/>
          <w:b/>
          <w:color w:val="000000" w:themeColor="text1"/>
          <w:sz w:val="24"/>
          <w:szCs w:val="24"/>
        </w:rPr>
        <w:t>TERCERO. Planteamiento de la Litis</w:t>
      </w:r>
      <w:bookmarkEnd w:id="7"/>
      <w:r w:rsidRPr="006F4AC6">
        <w:rPr>
          <w:rFonts w:ascii="Palatino Linotype" w:hAnsi="Palatino Linotype"/>
          <w:b/>
          <w:color w:val="000000" w:themeColor="text1"/>
          <w:sz w:val="24"/>
          <w:szCs w:val="24"/>
        </w:rPr>
        <w:t xml:space="preserve"> </w:t>
      </w:r>
    </w:p>
    <w:p w:rsidR="00991C1C" w:rsidRPr="006F4AC6" w:rsidRDefault="00991C1C" w:rsidP="006F4AC6">
      <w:pPr>
        <w:pStyle w:val="Prrafodelista"/>
        <w:numPr>
          <w:ilvl w:val="0"/>
          <w:numId w:val="2"/>
        </w:numPr>
        <w:spacing w:before="240" w:after="240" w:line="360" w:lineRule="auto"/>
        <w:ind w:left="0" w:firstLine="0"/>
        <w:jc w:val="both"/>
        <w:rPr>
          <w:rFonts w:ascii="Palatino Linotype" w:hAnsi="Palatino Linotype"/>
          <w:i/>
          <w:color w:val="000000" w:themeColor="text1"/>
          <w:sz w:val="24"/>
          <w:lang w:eastAsia="es-MX"/>
        </w:rPr>
      </w:pPr>
      <w:r w:rsidRPr="006F4AC6">
        <w:rPr>
          <w:rFonts w:ascii="Palatino Linotype" w:hAnsi="Palatino Linotype"/>
          <w:bCs/>
          <w:color w:val="000000" w:themeColor="text1"/>
          <w:sz w:val="24"/>
        </w:rPr>
        <w:t xml:space="preserve">El recurrente solicitó </w:t>
      </w:r>
      <w:r w:rsidR="00B91572" w:rsidRPr="006F4AC6">
        <w:rPr>
          <w:rFonts w:ascii="Palatino Linotype" w:hAnsi="Palatino Linotype"/>
          <w:bCs/>
          <w:color w:val="000000" w:themeColor="text1"/>
          <w:sz w:val="24"/>
        </w:rPr>
        <w:t xml:space="preserve">las declaraciones patrimoniales del encargado de la vocalía ejecutiva del CEDIPIEM, verificando la adquisición del vehículo y la fuente de recursos. </w:t>
      </w:r>
    </w:p>
    <w:p w:rsidR="00991C1C" w:rsidRPr="006F4AC6" w:rsidRDefault="00991C1C" w:rsidP="006F4AC6">
      <w:pPr>
        <w:pStyle w:val="Prrafodelista"/>
        <w:spacing w:before="240" w:after="240" w:line="360" w:lineRule="auto"/>
        <w:ind w:left="0"/>
        <w:jc w:val="both"/>
        <w:rPr>
          <w:rFonts w:ascii="Palatino Linotype" w:hAnsi="Palatino Linotype"/>
          <w:i/>
          <w:color w:val="000000" w:themeColor="text1"/>
          <w:sz w:val="24"/>
          <w:lang w:eastAsia="es-MX"/>
        </w:rPr>
      </w:pPr>
    </w:p>
    <w:p w:rsidR="00991C1C" w:rsidRPr="006F4AC6" w:rsidRDefault="00991C1C" w:rsidP="006F4AC6">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color w:val="000000" w:themeColor="text1"/>
          <w:sz w:val="24"/>
          <w:lang w:val="es-ES_tradnl"/>
        </w:rPr>
      </w:pPr>
      <w:r w:rsidRPr="006F4AC6">
        <w:rPr>
          <w:rFonts w:ascii="Palatino Linotype" w:eastAsiaTheme="minorEastAsia" w:hAnsi="Palatino Linotype"/>
          <w:iCs/>
          <w:color w:val="000000" w:themeColor="text1"/>
          <w:sz w:val="24"/>
          <w:lang w:val="es-ES_tradnl"/>
        </w:rPr>
        <w:t>En respuesta El Sujeto Obligado se declaró incompetente para atender la solicitud y oriento al particular para solicitar la información ate el Sujeto Obligado competente; posteriormente, el</w:t>
      </w:r>
      <w:r w:rsidRPr="006F4AC6">
        <w:rPr>
          <w:rFonts w:ascii="Palatino Linotype" w:eastAsiaTheme="minorEastAsia" w:hAnsi="Palatino Linotype"/>
          <w:color w:val="000000" w:themeColor="text1"/>
          <w:sz w:val="24"/>
          <w:lang w:val="es-ES_tradnl"/>
        </w:rPr>
        <w:t xml:space="preserve"> particular interpuso recurso de revisión y se inconformó por la negativa de la información y la declaración de incompetencia. </w:t>
      </w:r>
    </w:p>
    <w:p w:rsidR="00991C1C" w:rsidRPr="006F4AC6" w:rsidRDefault="00991C1C" w:rsidP="006F4AC6">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themeColor="text1"/>
          <w:lang w:val="es-ES_tradnl"/>
        </w:rPr>
      </w:pPr>
      <w:r w:rsidRPr="006F4AC6">
        <w:rPr>
          <w:rFonts w:ascii="Palatino Linotype" w:eastAsiaTheme="minorEastAsia" w:hAnsi="Palatino Linotype" w:cs="Arial"/>
          <w:color w:val="000000" w:themeColor="text1"/>
          <w:lang w:val="es-ES_tradnl"/>
        </w:rPr>
        <w:lastRenderedPageBreak/>
        <w:t xml:space="preserve">Por lo tanto, el presente recurso de revisión se circunscribe en determinar si se </w:t>
      </w:r>
      <w:r w:rsidRPr="006F4AC6">
        <w:rPr>
          <w:rFonts w:ascii="Palatino Linotype" w:hAnsi="Palatino Linotype"/>
          <w:color w:val="000000" w:themeColor="text1"/>
          <w:lang w:val="es-ES_tradnl"/>
        </w:rPr>
        <w:t>actualiza la causal de procedencia</w:t>
      </w:r>
      <w:r w:rsidRPr="006F4AC6">
        <w:rPr>
          <w:rFonts w:ascii="Palatino Linotype" w:hAnsi="Palatino Linotype"/>
          <w:b/>
          <w:color w:val="000000" w:themeColor="text1"/>
          <w:lang w:val="es-ES_tradnl"/>
        </w:rPr>
        <w:t xml:space="preserve"> </w:t>
      </w:r>
      <w:r w:rsidRPr="006F4AC6">
        <w:rPr>
          <w:rFonts w:ascii="Palatino Linotype" w:hAnsi="Palatino Linotype" w:cs="Arial"/>
          <w:color w:val="000000" w:themeColor="text1"/>
          <w:lang w:val="es-ES_tradnl"/>
        </w:rPr>
        <w:t xml:space="preserve">contenida en </w:t>
      </w:r>
      <w:r w:rsidRPr="006F4AC6">
        <w:rPr>
          <w:rFonts w:ascii="Palatino Linotype" w:hAnsi="Palatino Linotype" w:cs="Arial"/>
          <w:color w:val="000000" w:themeColor="text1"/>
          <w:lang w:val="es-ES"/>
        </w:rPr>
        <w:t xml:space="preserve">el artículo 179 fracción  I y IV, de la </w:t>
      </w:r>
      <w:r w:rsidRPr="006F4AC6">
        <w:rPr>
          <w:rFonts w:ascii="Palatino Linotype" w:eastAsia="Calibri" w:hAnsi="Palatino Linotype" w:cs="Arial"/>
          <w:b/>
          <w:color w:val="000000" w:themeColor="text1"/>
          <w:lang w:val="es-ES"/>
        </w:rPr>
        <w:t>Ley de Transparencia y Acceso a la Información Pública del Estado de México y Municipios</w:t>
      </w:r>
      <w:r w:rsidRPr="006F4AC6">
        <w:rPr>
          <w:rFonts w:ascii="Palatino Linotype" w:hAnsi="Palatino Linotype" w:cs="Arial"/>
          <w:color w:val="000000" w:themeColor="text1"/>
          <w:lang w:val="es-ES"/>
        </w:rPr>
        <w:t>, relativo a la negativa de la información y la declaración de incomp</w:t>
      </w:r>
      <w:r w:rsidR="00B401E0" w:rsidRPr="006F4AC6">
        <w:rPr>
          <w:rFonts w:ascii="Palatino Linotype" w:hAnsi="Palatino Linotype" w:cs="Arial"/>
          <w:color w:val="000000" w:themeColor="text1"/>
          <w:lang w:val="es-ES"/>
        </w:rPr>
        <w:t>etencia por el Sujeto Obligado.</w:t>
      </w:r>
    </w:p>
    <w:p w:rsidR="00991C1C" w:rsidRPr="006F4AC6" w:rsidRDefault="00991C1C" w:rsidP="006F4AC6">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6F4AC6">
        <w:rPr>
          <w:rFonts w:ascii="Palatino Linotype" w:hAnsi="Palatino Linotype" w:cs="Arial"/>
          <w:b/>
          <w:color w:val="000000" w:themeColor="text1"/>
          <w:sz w:val="24"/>
          <w:szCs w:val="24"/>
        </w:rPr>
        <w:t>CUARTO. Estudio y Resolución del asunto.</w:t>
      </w:r>
      <w:bookmarkEnd w:id="8"/>
    </w:p>
    <w:p w:rsidR="00991C1C" w:rsidRPr="006F4AC6" w:rsidRDefault="00991C1C" w:rsidP="006F4AC6">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6F4AC6">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991C1C" w:rsidRPr="006F4AC6" w:rsidRDefault="00991C1C" w:rsidP="006F4AC6">
      <w:pPr>
        <w:pStyle w:val="Prrafodelista"/>
        <w:tabs>
          <w:tab w:val="left" w:pos="567"/>
        </w:tabs>
        <w:spacing w:line="360" w:lineRule="auto"/>
        <w:ind w:left="0"/>
        <w:jc w:val="both"/>
        <w:rPr>
          <w:rFonts w:ascii="Palatino Linotype" w:eastAsia="Calibri" w:hAnsi="Palatino Linotype" w:cs="Arial"/>
          <w:color w:val="000000" w:themeColor="text1"/>
          <w:sz w:val="24"/>
        </w:rPr>
      </w:pPr>
    </w:p>
    <w:p w:rsidR="00B401E0" w:rsidRPr="006F4AC6" w:rsidRDefault="00991C1C" w:rsidP="006F4AC6">
      <w:pPr>
        <w:pStyle w:val="Prrafodelista"/>
        <w:numPr>
          <w:ilvl w:val="0"/>
          <w:numId w:val="2"/>
        </w:numPr>
        <w:tabs>
          <w:tab w:val="left" w:pos="567"/>
        </w:tabs>
        <w:spacing w:line="360" w:lineRule="auto"/>
        <w:ind w:left="0" w:firstLine="0"/>
        <w:jc w:val="both"/>
        <w:rPr>
          <w:rFonts w:ascii="Palatino Linotype" w:eastAsia="Calibri" w:hAnsi="Palatino Linotype" w:cs="Arial"/>
          <w:color w:val="000000" w:themeColor="text1"/>
          <w:sz w:val="24"/>
        </w:rPr>
      </w:pPr>
      <w:r w:rsidRPr="006F4AC6">
        <w:rPr>
          <w:rFonts w:ascii="Palatino Linotype" w:eastAsia="Calibri" w:hAnsi="Palatino Linotype" w:cs="Arial"/>
          <w:color w:val="000000" w:themeColor="text1"/>
          <w:sz w:val="24"/>
        </w:rPr>
        <w:t xml:space="preserve">El Particular solicitó </w:t>
      </w:r>
      <w:r w:rsidR="00B401E0" w:rsidRPr="006F4AC6">
        <w:rPr>
          <w:rFonts w:ascii="Palatino Linotype" w:hAnsi="Palatino Linotype"/>
          <w:bCs/>
          <w:color w:val="000000" w:themeColor="text1"/>
          <w:sz w:val="24"/>
        </w:rPr>
        <w:t xml:space="preserve">las declaraciones patrimoniales del encargado de la vocalía ejecutiva del CEDIPIEM, verificando la adquisición del vehículo y la fuente de recursos, en respuesta, el Sujeto Obligado declaró su incompetencia para conocer de la información solicitada. </w:t>
      </w:r>
    </w:p>
    <w:p w:rsidR="00B401E0" w:rsidRPr="006F4AC6" w:rsidRDefault="00B401E0" w:rsidP="006F4AC6">
      <w:pPr>
        <w:pStyle w:val="Prrafodelista"/>
        <w:ind w:left="0"/>
        <w:rPr>
          <w:rFonts w:ascii="Palatino Linotype" w:eastAsia="Calibri" w:hAnsi="Palatino Linotype" w:cs="Arial"/>
          <w:color w:val="000000" w:themeColor="text1"/>
          <w:sz w:val="24"/>
        </w:rPr>
      </w:pPr>
    </w:p>
    <w:p w:rsidR="00DC6565" w:rsidRPr="006F4AC6" w:rsidRDefault="00DC6565" w:rsidP="006F4AC6">
      <w:pPr>
        <w:pStyle w:val="Prrafodelista"/>
        <w:numPr>
          <w:ilvl w:val="0"/>
          <w:numId w:val="8"/>
        </w:numPr>
        <w:ind w:left="0" w:firstLine="0"/>
        <w:rPr>
          <w:rFonts w:ascii="Palatino Linotype" w:eastAsia="Calibri" w:hAnsi="Palatino Linotype" w:cs="Arial"/>
          <w:b/>
          <w:color w:val="000000" w:themeColor="text1"/>
          <w:sz w:val="24"/>
        </w:rPr>
      </w:pPr>
      <w:r w:rsidRPr="006F4AC6">
        <w:rPr>
          <w:rFonts w:ascii="Palatino Linotype" w:eastAsia="Calibri" w:hAnsi="Palatino Linotype" w:cs="Arial"/>
          <w:b/>
          <w:color w:val="000000" w:themeColor="text1"/>
          <w:sz w:val="24"/>
        </w:rPr>
        <w:t>De las declaraciones de situación patrimonial y de intereses.</w:t>
      </w:r>
    </w:p>
    <w:p w:rsidR="00DC6565" w:rsidRPr="006F4AC6" w:rsidRDefault="00DC6565" w:rsidP="006F4AC6">
      <w:pPr>
        <w:pStyle w:val="Prrafodelista"/>
        <w:numPr>
          <w:ilvl w:val="0"/>
          <w:numId w:val="2"/>
        </w:numPr>
        <w:spacing w:line="360" w:lineRule="auto"/>
        <w:ind w:left="0" w:firstLine="0"/>
        <w:jc w:val="both"/>
        <w:rPr>
          <w:rFonts w:ascii="Palatino Linotype" w:eastAsiaTheme="minorEastAsia" w:hAnsi="Palatino Linotype"/>
          <w:color w:val="000000" w:themeColor="text1"/>
          <w:sz w:val="24"/>
          <w:lang w:val="es-ES_tradnl"/>
        </w:rPr>
      </w:pPr>
      <w:r w:rsidRPr="006F4AC6">
        <w:rPr>
          <w:rFonts w:ascii="Palatino Linotype" w:eastAsiaTheme="minorEastAsia" w:hAnsi="Palatino Linotype"/>
          <w:color w:val="000000" w:themeColor="text1"/>
          <w:sz w:val="24"/>
          <w:lang w:val="es-ES_tradnl"/>
        </w:rPr>
        <w:t xml:space="preserve">La ley Orgánica Municipal del Estado de México dispone en sus artículo 1110, 111, 112, fracción XVI, que la Contraloría Municipal estará a cargo de un Contralor quien tiene dentro de sus funciones la de verificar que los servidores públicos municipales cumplan con </w:t>
      </w:r>
      <w:r w:rsidRPr="006F4AC6">
        <w:rPr>
          <w:rFonts w:ascii="Palatino Linotype" w:eastAsiaTheme="minorEastAsia" w:hAnsi="Palatino Linotype"/>
          <w:color w:val="000000" w:themeColor="text1"/>
          <w:sz w:val="24"/>
          <w:lang w:val="es-ES_tradnl"/>
        </w:rPr>
        <w:lastRenderedPageBreak/>
        <w:t xml:space="preserve">la obligación de presentar oportunamente la manifestación de bienes, como se observa enseguida: </w:t>
      </w:r>
    </w:p>
    <w:p w:rsidR="00DC6565" w:rsidRPr="006F4AC6" w:rsidRDefault="00DC6565" w:rsidP="006F4AC6">
      <w:pPr>
        <w:tabs>
          <w:tab w:val="left" w:pos="1528"/>
          <w:tab w:val="left" w:pos="8222"/>
        </w:tabs>
        <w:spacing w:line="360" w:lineRule="auto"/>
        <w:jc w:val="center"/>
        <w:rPr>
          <w:rFonts w:ascii="Palatino Linotype" w:eastAsia="Calibri" w:hAnsi="Palatino Linotype" w:cs="Tahoma"/>
          <w:b/>
          <w:i/>
          <w:iCs/>
          <w:color w:val="000000" w:themeColor="text1"/>
          <w:lang w:val="es-ES" w:eastAsia="es-ES_tradnl"/>
        </w:rPr>
      </w:pPr>
      <w:r w:rsidRPr="006F4AC6">
        <w:rPr>
          <w:rFonts w:ascii="Palatino Linotype" w:eastAsia="Calibri" w:hAnsi="Palatino Linotype" w:cs="Tahoma"/>
          <w:b/>
          <w:i/>
          <w:iCs/>
          <w:color w:val="000000" w:themeColor="text1"/>
          <w:lang w:val="es-ES" w:eastAsia="es-ES_tradnl"/>
        </w:rPr>
        <w:t>CAPITULO CUARTO</w:t>
      </w:r>
    </w:p>
    <w:p w:rsidR="00DC6565" w:rsidRPr="006F4AC6" w:rsidRDefault="00DC6565" w:rsidP="006F4AC6">
      <w:pPr>
        <w:tabs>
          <w:tab w:val="left" w:pos="1528"/>
          <w:tab w:val="left" w:pos="8222"/>
        </w:tabs>
        <w:spacing w:line="360" w:lineRule="auto"/>
        <w:jc w:val="center"/>
        <w:rPr>
          <w:rFonts w:ascii="Palatino Linotype" w:eastAsia="Calibri" w:hAnsi="Palatino Linotype" w:cs="Tahoma"/>
          <w:b/>
          <w:i/>
          <w:iCs/>
          <w:color w:val="000000" w:themeColor="text1"/>
          <w:lang w:val="es-ES" w:eastAsia="es-ES_tradnl"/>
        </w:rPr>
      </w:pPr>
      <w:r w:rsidRPr="006F4AC6">
        <w:rPr>
          <w:rFonts w:ascii="Palatino Linotype" w:eastAsia="Calibri" w:hAnsi="Palatino Linotype" w:cs="Tahoma"/>
          <w:b/>
          <w:i/>
          <w:iCs/>
          <w:color w:val="000000" w:themeColor="text1"/>
          <w:lang w:val="es-ES" w:eastAsia="es-ES_tradnl"/>
        </w:rPr>
        <w:t>De la Contraloría Municipal</w:t>
      </w:r>
    </w:p>
    <w:p w:rsidR="00DC6565" w:rsidRPr="006F4AC6" w:rsidRDefault="00DC6565" w:rsidP="006F4AC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p>
    <w:p w:rsidR="00DC6565" w:rsidRPr="006F4AC6" w:rsidRDefault="00DC6565" w:rsidP="006F4AC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b/>
          <w:i/>
          <w:iCs/>
          <w:color w:val="000000" w:themeColor="text1"/>
          <w:lang w:val="es-ES" w:eastAsia="es-ES_tradnl"/>
        </w:rPr>
        <w:t>Artículo 110.</w:t>
      </w:r>
      <w:r w:rsidRPr="006F4AC6">
        <w:rPr>
          <w:rFonts w:ascii="Palatino Linotype" w:eastAsia="Calibri" w:hAnsi="Palatino Linotype" w:cs="Tahoma"/>
          <w:i/>
          <w:iCs/>
          <w:color w:val="000000" w:themeColor="text1"/>
          <w:lang w:val="es-ES" w:eastAsia="es-ES_tradnl"/>
        </w:rPr>
        <w:t xml:space="preserve">- Las funciones de contraloría interna estarán a cargo del órgano que establezca el Ayuntamiento. </w:t>
      </w:r>
    </w:p>
    <w:p w:rsidR="00DC6565" w:rsidRPr="006F4AC6" w:rsidRDefault="00DC6565" w:rsidP="006F4AC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b/>
          <w:i/>
          <w:iCs/>
          <w:color w:val="000000" w:themeColor="text1"/>
          <w:lang w:val="es-ES" w:eastAsia="es-ES_tradnl"/>
        </w:rPr>
        <w:t>Artículo 111.-</w:t>
      </w:r>
      <w:r w:rsidRPr="006F4AC6">
        <w:rPr>
          <w:rFonts w:ascii="Palatino Linotype" w:eastAsia="Calibri" w:hAnsi="Palatino Linotype" w:cs="Tahoma"/>
          <w:i/>
          <w:iCs/>
          <w:color w:val="000000" w:themeColor="text1"/>
          <w:lang w:val="es-ES" w:eastAsia="es-ES_tradnl"/>
        </w:rPr>
        <w:t xml:space="preserve"> La contraloría municipal tendrá un titular denominado Contralor, quien será designado por el ayuntamiento a propuesta del presidente municipal. </w:t>
      </w:r>
    </w:p>
    <w:p w:rsidR="00DC6565" w:rsidRPr="006F4AC6" w:rsidRDefault="00DC6565" w:rsidP="006F4AC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b/>
          <w:i/>
          <w:iCs/>
          <w:color w:val="000000" w:themeColor="text1"/>
          <w:lang w:val="es-ES" w:eastAsia="es-ES_tradnl"/>
        </w:rPr>
        <w:t>Artículo 112.</w:t>
      </w:r>
      <w:r w:rsidRPr="006F4AC6">
        <w:rPr>
          <w:rFonts w:ascii="Palatino Linotype" w:eastAsia="Calibri" w:hAnsi="Palatino Linotype" w:cs="Tahoma"/>
          <w:i/>
          <w:iCs/>
          <w:color w:val="000000" w:themeColor="text1"/>
          <w:lang w:val="es-ES" w:eastAsia="es-ES_tradnl"/>
        </w:rPr>
        <w:t xml:space="preserve"> El órgano interno de control municipal, tendrá a su cargo las funciones siguientes: </w:t>
      </w:r>
    </w:p>
    <w:p w:rsidR="00DC6565" w:rsidRPr="006F4AC6" w:rsidRDefault="00DC6565" w:rsidP="006F4AC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i/>
          <w:iCs/>
          <w:color w:val="000000" w:themeColor="text1"/>
          <w:lang w:val="es-ES" w:eastAsia="es-ES_tradnl"/>
        </w:rPr>
        <w:t>I a XV…</w:t>
      </w:r>
    </w:p>
    <w:p w:rsidR="00DC6565" w:rsidRPr="006F4AC6" w:rsidRDefault="00DC6565" w:rsidP="006F4AC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i/>
          <w:iCs/>
          <w:color w:val="000000" w:themeColor="text1"/>
          <w:lang w:val="es-ES" w:eastAsia="es-ES_tradnl"/>
        </w:rPr>
        <w:t xml:space="preserve">XVI. </w:t>
      </w:r>
      <w:r w:rsidRPr="006F4AC6">
        <w:rPr>
          <w:rFonts w:ascii="Palatino Linotype" w:eastAsia="Calibri" w:hAnsi="Palatino Linotype" w:cs="Tahoma"/>
          <w:b/>
          <w:i/>
          <w:iCs/>
          <w:color w:val="000000" w:themeColor="text1"/>
          <w:lang w:val="es-ES" w:eastAsia="es-ES_tradnl"/>
        </w:rPr>
        <w:t>Verificar que los servidores públicos municipales cumplan con la obligación de presentar oportunamente la manifestación de bienes</w:t>
      </w:r>
      <w:r w:rsidRPr="006F4AC6">
        <w:rPr>
          <w:rFonts w:ascii="Palatino Linotype" w:eastAsia="Calibri" w:hAnsi="Palatino Linotype" w:cs="Tahoma"/>
          <w:i/>
          <w:iCs/>
          <w:color w:val="000000" w:themeColor="text1"/>
          <w:lang w:val="es-ES" w:eastAsia="es-ES_tradnl"/>
        </w:rPr>
        <w:t>, en términos de la Ley de Responsabilidades de los Servidores Públicos del Estado y Municipios;</w:t>
      </w:r>
    </w:p>
    <w:p w:rsidR="00DC6565" w:rsidRPr="006F4AC6" w:rsidRDefault="00DC6565" w:rsidP="006F4AC6">
      <w:pPr>
        <w:tabs>
          <w:tab w:val="left" w:pos="1528"/>
          <w:tab w:val="left" w:pos="8222"/>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i/>
          <w:iCs/>
          <w:color w:val="000000" w:themeColor="text1"/>
          <w:lang w:val="es-ES" w:eastAsia="es-ES_tradnl"/>
        </w:rPr>
        <w:t>XII a XX…</w:t>
      </w:r>
    </w:p>
    <w:p w:rsidR="00DC6565" w:rsidRPr="006F4AC6" w:rsidRDefault="00DC6565" w:rsidP="006F4AC6">
      <w:pPr>
        <w:spacing w:line="360" w:lineRule="auto"/>
        <w:contextualSpacing/>
        <w:jc w:val="both"/>
        <w:rPr>
          <w:rFonts w:ascii="Palatino Linotype" w:eastAsiaTheme="minorEastAsia" w:hAnsi="Palatino Linotype"/>
          <w:color w:val="000000" w:themeColor="text1"/>
          <w:lang w:val="es-ES_tradnl" w:eastAsia="es-ES"/>
        </w:rPr>
      </w:pPr>
    </w:p>
    <w:p w:rsidR="00DC6565" w:rsidRPr="006F4AC6" w:rsidRDefault="00DC6565" w:rsidP="006F4AC6">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color w:val="000000" w:themeColor="text1"/>
          <w:lang w:val="es-ES_tradnl" w:eastAsia="es-ES"/>
        </w:rPr>
        <w:t>Por su parte, la Ley de Responsabilidades Administrativas del Estado de México y Municipios establece los siguiente:</w:t>
      </w:r>
    </w:p>
    <w:p w:rsidR="00DC6565" w:rsidRPr="006F4AC6" w:rsidRDefault="00DC6565" w:rsidP="006F4AC6">
      <w:pPr>
        <w:tabs>
          <w:tab w:val="left" w:pos="1528"/>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b/>
          <w:i/>
          <w:iCs/>
          <w:color w:val="000000" w:themeColor="text1"/>
          <w:lang w:val="es-ES" w:eastAsia="es-ES_tradnl"/>
        </w:rPr>
        <w:t>Artículo 33.</w:t>
      </w:r>
      <w:r w:rsidRPr="006F4AC6">
        <w:rPr>
          <w:rFonts w:ascii="Palatino Linotype" w:eastAsia="Calibri" w:hAnsi="Palatino Linotype" w:cs="Tahoma"/>
          <w:i/>
          <w:iCs/>
          <w:color w:val="000000" w:themeColor="text1"/>
          <w:lang w:val="es-ES" w:eastAsia="es-ES_tradnl"/>
        </w:rPr>
        <w:t xml:space="preserve"> Estarán obligados a presentar </w:t>
      </w:r>
      <w:r w:rsidRPr="006F4AC6">
        <w:rPr>
          <w:rFonts w:ascii="Palatino Linotype" w:eastAsia="Calibri" w:hAnsi="Palatino Linotype" w:cs="Tahoma"/>
          <w:b/>
          <w:i/>
          <w:iCs/>
          <w:color w:val="000000" w:themeColor="text1"/>
          <w:lang w:val="es-ES" w:eastAsia="es-ES_tradnl"/>
        </w:rPr>
        <w:t>las declaraciones de situación patrimonial y de intereses</w:t>
      </w:r>
      <w:r w:rsidRPr="006F4AC6">
        <w:rPr>
          <w:rFonts w:ascii="Palatino Linotype" w:eastAsia="Calibri" w:hAnsi="Palatino Linotype" w:cs="Tahoma"/>
          <w:i/>
          <w:iCs/>
          <w:color w:val="000000" w:themeColor="text1"/>
          <w:lang w:val="es-ES" w:eastAsia="es-ES_tradnl"/>
        </w:rPr>
        <w:t>, bajo protesta de decir verdad ante la Secretaría de la Contraloría o los órganos internos de control, t</w:t>
      </w:r>
      <w:r w:rsidRPr="006F4AC6">
        <w:rPr>
          <w:rFonts w:ascii="Palatino Linotype" w:eastAsia="Calibri" w:hAnsi="Palatino Linotype" w:cs="Tahoma"/>
          <w:b/>
          <w:i/>
          <w:iCs/>
          <w:color w:val="000000" w:themeColor="text1"/>
          <w:lang w:val="es-ES" w:eastAsia="es-ES_tradnl"/>
        </w:rPr>
        <w:t>odos los servidores públicos estatales y municipales,</w:t>
      </w:r>
      <w:r w:rsidRPr="006F4AC6">
        <w:rPr>
          <w:rFonts w:ascii="Palatino Linotype" w:eastAsia="Calibri" w:hAnsi="Palatino Linotype" w:cs="Tahoma"/>
          <w:i/>
          <w:iCs/>
          <w:color w:val="000000" w:themeColor="text1"/>
          <w:lang w:val="es-ES" w:eastAsia="es-ES_tradnl"/>
        </w:rPr>
        <w:t xml:space="preserve"> en los términos previstos en la presente Ley. </w:t>
      </w:r>
    </w:p>
    <w:p w:rsidR="00DC6565" w:rsidRPr="006F4AC6" w:rsidRDefault="00DC6565" w:rsidP="006F4AC6">
      <w:pPr>
        <w:tabs>
          <w:tab w:val="left" w:pos="1528"/>
        </w:tabs>
        <w:spacing w:line="360" w:lineRule="auto"/>
        <w:jc w:val="both"/>
        <w:rPr>
          <w:rFonts w:ascii="Palatino Linotype" w:eastAsia="Calibri" w:hAnsi="Palatino Linotype" w:cs="Tahoma"/>
          <w:i/>
          <w:iCs/>
          <w:color w:val="000000" w:themeColor="text1"/>
          <w:lang w:val="es-ES" w:eastAsia="es-ES_tradnl"/>
        </w:rPr>
      </w:pPr>
      <w:r w:rsidRPr="006F4AC6">
        <w:rPr>
          <w:rFonts w:ascii="Palatino Linotype" w:eastAsia="Calibri" w:hAnsi="Palatino Linotype" w:cs="Tahoma"/>
          <w:i/>
          <w:iCs/>
          <w:color w:val="000000" w:themeColor="text1"/>
          <w:lang w:val="es-ES" w:eastAsia="es-ES_tradnl"/>
        </w:rPr>
        <w:lastRenderedPageBreak/>
        <w:t xml:space="preserve">Asimismo, deberán presentar su declaración fiscal anual, en los términos que disponga la legislación de la materia. </w:t>
      </w:r>
    </w:p>
    <w:p w:rsidR="00DC6565" w:rsidRPr="006F4AC6" w:rsidRDefault="00DC6565" w:rsidP="006F4AC6">
      <w:pPr>
        <w:spacing w:line="360" w:lineRule="auto"/>
        <w:contextualSpacing/>
        <w:jc w:val="both"/>
        <w:rPr>
          <w:rFonts w:ascii="Palatino Linotype" w:eastAsiaTheme="minorEastAsia" w:hAnsi="Palatino Linotype"/>
          <w:color w:val="000000" w:themeColor="text1"/>
          <w:lang w:val="es-ES_tradnl" w:eastAsia="es-ES"/>
        </w:rPr>
      </w:pPr>
    </w:p>
    <w:p w:rsidR="00DC6565" w:rsidRPr="006F4AC6" w:rsidRDefault="00DC6565" w:rsidP="006F4AC6">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color w:val="000000" w:themeColor="text1"/>
          <w:lang w:val="es-ES_tradnl" w:eastAsia="es-ES"/>
        </w:rPr>
        <w:t xml:space="preserve">Consecuentemente conviene señalar que el artículo 92, fracción XIII de la Ley de Transparencia y Acceso a la Información Pública del Estado de México y Municipios estipula que los Sujeto Obligados deberán de poner </w:t>
      </w:r>
      <w:r w:rsidRPr="006F4AC6">
        <w:rPr>
          <w:rFonts w:ascii="Palatino Linotype" w:eastAsiaTheme="minorEastAsia" w:hAnsi="Palatino Linotype"/>
          <w:iCs/>
          <w:color w:val="000000" w:themeColor="text1"/>
          <w:lang w:val="es-ES" w:eastAsia="es-ES"/>
        </w:rPr>
        <w:t xml:space="preserve">a disposición del público de manera permanente y actualizada de forma sencilla, precisa y entendible, en los respectivos medios electrónicos, de acuerdo con sus facultades, atribuciones, funciones u objeto social, según corresponda, la información en versión pública de las declaraciones patrimoniales y de interés de los servidores públicos que así lo determinen. </w:t>
      </w:r>
    </w:p>
    <w:p w:rsidR="00DC6565" w:rsidRPr="006F4AC6" w:rsidRDefault="00DC6565" w:rsidP="006F4AC6">
      <w:pPr>
        <w:spacing w:line="360" w:lineRule="auto"/>
        <w:contextualSpacing/>
        <w:jc w:val="both"/>
        <w:rPr>
          <w:rFonts w:ascii="Palatino Linotype" w:eastAsiaTheme="minorEastAsia" w:hAnsi="Palatino Linotype"/>
          <w:color w:val="000000" w:themeColor="text1"/>
          <w:lang w:val="es-ES_tradnl" w:eastAsia="es-ES"/>
        </w:rPr>
      </w:pPr>
    </w:p>
    <w:p w:rsidR="00DC6565" w:rsidRPr="006F4AC6" w:rsidRDefault="00DC6565" w:rsidP="006F4AC6">
      <w:pPr>
        <w:numPr>
          <w:ilvl w:val="0"/>
          <w:numId w:val="2"/>
        </w:numPr>
        <w:spacing w:line="360" w:lineRule="auto"/>
        <w:ind w:left="0" w:firstLine="0"/>
        <w:contextualSpacing/>
        <w:jc w:val="both"/>
        <w:rPr>
          <w:rFonts w:ascii="Palatino Linotype" w:eastAsiaTheme="minorEastAsia" w:hAnsi="Palatino Linotype"/>
          <w:iCs/>
          <w:color w:val="000000" w:themeColor="text1"/>
          <w:lang w:val="es-ES" w:eastAsia="es-ES"/>
        </w:rPr>
      </w:pPr>
      <w:r w:rsidRPr="006F4AC6">
        <w:rPr>
          <w:rFonts w:ascii="Palatino Linotype" w:eastAsiaTheme="minorEastAsia" w:hAnsi="Palatino Linotype"/>
          <w:color w:val="000000" w:themeColor="text1"/>
          <w:lang w:val="es-ES_tradnl" w:eastAsia="es-ES"/>
        </w:rPr>
        <w:t>Aunado a lo anterior, los Lineamientos Técnicos</w:t>
      </w:r>
      <w:r w:rsidRPr="006F4AC6">
        <w:rPr>
          <w:rFonts w:ascii="Palatino Linotype" w:eastAsia="Calibri" w:hAnsi="Palatino Linotype" w:cs="Tahoma"/>
          <w:iCs/>
          <w:color w:val="000000" w:themeColor="text1"/>
          <w:lang w:val="es-ES" w:eastAsia="es-ES_tradnl"/>
        </w:rPr>
        <w:t xml:space="preserve"> </w:t>
      </w:r>
      <w:r w:rsidRPr="006F4AC6">
        <w:rPr>
          <w:rFonts w:ascii="Palatino Linotype" w:eastAsiaTheme="minorEastAsia" w:hAnsi="Palatino Linotype"/>
          <w:iCs/>
          <w:color w:val="000000" w:themeColor="text1"/>
          <w:lang w:val="es-ES" w:eastAsia="es-ES"/>
        </w:rPr>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00DC6565" w:rsidRPr="006F4AC6" w:rsidRDefault="00DC6565" w:rsidP="006F4AC6">
      <w:pPr>
        <w:spacing w:line="360" w:lineRule="auto"/>
        <w:contextualSpacing/>
        <w:jc w:val="both"/>
        <w:rPr>
          <w:rFonts w:ascii="Palatino Linotype" w:eastAsiaTheme="minorEastAsia" w:hAnsi="Palatino Linotype"/>
          <w:iCs/>
          <w:color w:val="000000" w:themeColor="text1"/>
          <w:lang w:val="es-ES" w:eastAsia="es-ES"/>
        </w:rPr>
      </w:pPr>
    </w:p>
    <w:p w:rsidR="00DC6565" w:rsidRPr="006F4AC6" w:rsidRDefault="00DC6565" w:rsidP="006F4AC6">
      <w:pPr>
        <w:spacing w:line="276" w:lineRule="auto"/>
        <w:contextualSpacing/>
        <w:jc w:val="both"/>
        <w:rPr>
          <w:rFonts w:ascii="Palatino Linotype" w:eastAsiaTheme="minorEastAsia" w:hAnsi="Palatino Linotype"/>
          <w:i/>
          <w:iCs/>
          <w:color w:val="000000" w:themeColor="text1"/>
          <w:lang w:val="es-ES" w:eastAsia="es-ES"/>
        </w:rPr>
      </w:pPr>
      <w:r w:rsidRPr="006F4AC6">
        <w:rPr>
          <w:rFonts w:ascii="Palatino Linotype" w:eastAsiaTheme="minorEastAsia" w:hAnsi="Palatino Linotype"/>
          <w:i/>
          <w:iCs/>
          <w:color w:val="000000" w:themeColor="text1"/>
          <w:lang w:val="es-ES" w:eastAsia="es-ES"/>
        </w:rPr>
        <w:lastRenderedPageBreak/>
        <w:t xml:space="preserve">XII. La información en Versión Pública de las declaraciones patrimoniales, de los Servidores Públicos que así lo determinen, en los sistemas habilitados para ello de acuerdo a la normatividad aplicable </w:t>
      </w:r>
    </w:p>
    <w:p w:rsidR="00DC6565" w:rsidRPr="006F4AC6" w:rsidRDefault="00DC6565" w:rsidP="006F4AC6">
      <w:pPr>
        <w:spacing w:line="276" w:lineRule="auto"/>
        <w:contextualSpacing/>
        <w:jc w:val="both"/>
        <w:rPr>
          <w:rFonts w:ascii="Palatino Linotype" w:eastAsiaTheme="minorEastAsia" w:hAnsi="Palatino Linotype"/>
          <w:i/>
          <w:iCs/>
          <w:color w:val="000000" w:themeColor="text1"/>
          <w:lang w:val="es-ES" w:eastAsia="es-ES"/>
        </w:rPr>
      </w:pPr>
    </w:p>
    <w:p w:rsidR="00DC6565" w:rsidRPr="006F4AC6" w:rsidRDefault="00DC6565" w:rsidP="006F4AC6">
      <w:pPr>
        <w:spacing w:line="276" w:lineRule="auto"/>
        <w:contextualSpacing/>
        <w:jc w:val="both"/>
        <w:rPr>
          <w:rFonts w:ascii="Palatino Linotype" w:eastAsiaTheme="minorEastAsia" w:hAnsi="Palatino Linotype"/>
          <w:i/>
          <w:iCs/>
          <w:color w:val="000000" w:themeColor="text1"/>
          <w:lang w:val="es-ES" w:eastAsia="es-ES"/>
        </w:rPr>
      </w:pPr>
      <w:r w:rsidRPr="006F4AC6">
        <w:rPr>
          <w:rFonts w:ascii="Palatino Linotype" w:eastAsiaTheme="minorEastAsia" w:hAnsi="Palatino Linotype"/>
          <w:i/>
          <w:iCs/>
          <w:color w:val="000000" w:themeColor="text1"/>
          <w:lang w:val="es-ES" w:eastAsia="es-ES"/>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DC6565" w:rsidRPr="006F4AC6" w:rsidRDefault="00DC6565" w:rsidP="006F4AC6">
      <w:pPr>
        <w:spacing w:line="276" w:lineRule="auto"/>
        <w:contextualSpacing/>
        <w:jc w:val="both"/>
        <w:rPr>
          <w:rFonts w:ascii="Palatino Linotype" w:eastAsiaTheme="minorEastAsia" w:hAnsi="Palatino Linotype"/>
          <w:i/>
          <w:iCs/>
          <w:color w:val="000000" w:themeColor="text1"/>
          <w:lang w:val="es-ES" w:eastAsia="es-ES"/>
        </w:rPr>
      </w:pPr>
    </w:p>
    <w:p w:rsidR="00DC6565" w:rsidRPr="006F4AC6" w:rsidRDefault="00DC6565" w:rsidP="006F4AC6">
      <w:pPr>
        <w:spacing w:line="276" w:lineRule="auto"/>
        <w:contextualSpacing/>
        <w:jc w:val="both"/>
        <w:rPr>
          <w:rFonts w:ascii="Palatino Linotype" w:eastAsiaTheme="minorEastAsia" w:hAnsi="Palatino Linotype"/>
          <w:i/>
          <w:iCs/>
          <w:color w:val="000000" w:themeColor="text1"/>
          <w:lang w:eastAsia="es-ES"/>
        </w:rPr>
      </w:pPr>
      <w:r w:rsidRPr="006F4AC6">
        <w:rPr>
          <w:rFonts w:ascii="Palatino Linotype" w:eastAsiaTheme="minorEastAsia" w:hAnsi="Palatino Linotype"/>
          <w:i/>
          <w:iCs/>
          <w:color w:val="000000" w:themeColor="text1"/>
          <w:lang w:eastAsia="es-ES"/>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DC6565" w:rsidRPr="006F4AC6" w:rsidRDefault="00DC6565" w:rsidP="006F4AC6">
      <w:pPr>
        <w:spacing w:line="360" w:lineRule="auto"/>
        <w:contextualSpacing/>
        <w:jc w:val="both"/>
        <w:rPr>
          <w:rFonts w:ascii="Palatino Linotype" w:eastAsiaTheme="minorEastAsia" w:hAnsi="Palatino Linotype"/>
          <w:i/>
          <w:iCs/>
          <w:color w:val="000000" w:themeColor="text1"/>
          <w:lang w:val="es-ES" w:eastAsia="es-ES"/>
        </w:rPr>
      </w:pPr>
    </w:p>
    <w:p w:rsidR="00DC6565" w:rsidRPr="006F4AC6" w:rsidRDefault="00DC6565" w:rsidP="006F4AC6">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color w:val="000000" w:themeColor="text1"/>
          <w:lang w:val="es-ES_tradnl" w:eastAsia="es-ES"/>
        </w:rPr>
        <w:t xml:space="preserve">Como se advierte, de los preceptos legales señalados, los Sujetos Obligados tienen la obligación de publicar de manera permanente y actualizada, sencilla y entendible, la información correspondiente a las declaraciones patrimoniales </w:t>
      </w:r>
      <w:r w:rsidRPr="006F4AC6">
        <w:rPr>
          <w:rFonts w:ascii="Palatino Linotype" w:eastAsiaTheme="minorEastAsia" w:hAnsi="Palatino Linotype"/>
          <w:b/>
          <w:color w:val="000000" w:themeColor="text1"/>
          <w:u w:val="single"/>
          <w:lang w:val="es-ES_tradnl" w:eastAsia="es-ES"/>
        </w:rPr>
        <w:t>de los servidores públicos que así lo determinen</w:t>
      </w:r>
      <w:r w:rsidRPr="006F4AC6">
        <w:rPr>
          <w:rFonts w:ascii="Palatino Linotype" w:eastAsiaTheme="minorEastAsia" w:hAnsi="Palatino Linotype"/>
          <w:color w:val="000000" w:themeColor="text1"/>
          <w:lang w:val="es-ES_tradnl" w:eastAsia="es-ES"/>
        </w:rPr>
        <w:t xml:space="preserve">, es decir, que sea a través de previa autorización de los servidores públicos, sin embargo, también es importante señalar que esa obligatoriedad se encuentra sujeta a las tablas de aplicabilidad de las Obligaciones de Transparencia Comunes y Específicas de los Sujetos Obligados aprobadas por el Pleno del Instituto de Transparencia, Acceso a la Información Pública y Protección de Datos Personales del Estado de México y Municipios. </w:t>
      </w:r>
    </w:p>
    <w:p w:rsidR="009D5F26" w:rsidRPr="006F4AC6" w:rsidRDefault="009D5F26" w:rsidP="006F4AC6">
      <w:pPr>
        <w:spacing w:line="360" w:lineRule="auto"/>
        <w:contextualSpacing/>
        <w:jc w:val="both"/>
        <w:rPr>
          <w:rFonts w:ascii="Palatino Linotype" w:eastAsiaTheme="minorEastAsia" w:hAnsi="Palatino Linotype"/>
          <w:color w:val="000000" w:themeColor="text1"/>
          <w:lang w:val="es-ES_tradnl" w:eastAsia="es-ES"/>
        </w:rPr>
      </w:pPr>
    </w:p>
    <w:p w:rsidR="00DC6565" w:rsidRPr="006F4AC6" w:rsidRDefault="00DC6565" w:rsidP="006F4AC6">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color w:val="000000" w:themeColor="text1"/>
          <w:lang w:val="es-ES_tradnl" w:eastAsia="es-ES"/>
        </w:rPr>
        <w:lastRenderedPageBreak/>
        <w:t>Así, conviene señalar que de acuerdo a las Tablas de Aplicabilidad, al Ayuntamiento de Valle de Chalco Solidaridad no le aplica el cumplimiento del artículo 92, fracción XIII de la Ley de Transparencia, como se muestra enseguida:</w:t>
      </w:r>
    </w:p>
    <w:p w:rsidR="00DC6565" w:rsidRPr="006F4AC6" w:rsidRDefault="00DC6565" w:rsidP="006F4AC6">
      <w:pPr>
        <w:pStyle w:val="Prrafodelista"/>
        <w:ind w:left="0"/>
        <w:rPr>
          <w:rFonts w:ascii="Palatino Linotype" w:eastAsiaTheme="minorEastAsia" w:hAnsi="Palatino Linotype"/>
          <w:color w:val="000000" w:themeColor="text1"/>
          <w:sz w:val="24"/>
          <w:lang w:val="es-ES_tradnl"/>
        </w:rPr>
      </w:pPr>
    </w:p>
    <w:p w:rsidR="0001175E" w:rsidRDefault="009D5F26" w:rsidP="00AC1C70">
      <w:pPr>
        <w:spacing w:line="360" w:lineRule="auto"/>
        <w:contextualSpacing/>
        <w:jc w:val="center"/>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noProof/>
          <w:color w:val="000000" w:themeColor="text1"/>
        </w:rPr>
        <w:drawing>
          <wp:inline distT="0" distB="0" distL="0" distR="0" wp14:anchorId="604B303E" wp14:editId="4B01E4DB">
            <wp:extent cx="5740953" cy="3538846"/>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0867" cy="3575779"/>
                    </a:xfrm>
                    <a:prstGeom prst="rect">
                      <a:avLst/>
                    </a:prstGeom>
                  </pic:spPr>
                </pic:pic>
              </a:graphicData>
            </a:graphic>
          </wp:inline>
        </w:drawing>
      </w:r>
    </w:p>
    <w:p w:rsidR="00DC6565" w:rsidRPr="006F4AC6" w:rsidRDefault="009D5F26" w:rsidP="006F4AC6">
      <w:pPr>
        <w:spacing w:line="360" w:lineRule="auto"/>
        <w:contextualSpacing/>
        <w:jc w:val="both"/>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noProof/>
          <w:color w:val="000000" w:themeColor="text1"/>
        </w:rPr>
        <mc:AlternateContent>
          <mc:Choice Requires="wps">
            <w:drawing>
              <wp:anchor distT="0" distB="0" distL="114300" distR="114300" simplePos="0" relativeHeight="251661312" behindDoc="0" locked="0" layoutInCell="1" allowOverlap="1" wp14:anchorId="27FE36DC" wp14:editId="5E8B577C">
                <wp:simplePos x="0" y="0"/>
                <wp:positionH relativeFrom="margin">
                  <wp:align>left</wp:align>
                </wp:positionH>
                <wp:positionV relativeFrom="paragraph">
                  <wp:posOffset>5151613</wp:posOffset>
                </wp:positionV>
                <wp:extent cx="5729292" cy="341194"/>
                <wp:effectExtent l="19050" t="19050" r="24130" b="20955"/>
                <wp:wrapNone/>
                <wp:docPr id="6" name="Rectángulo redondeado 6"/>
                <wp:cNvGraphicFramePr/>
                <a:graphic xmlns:a="http://schemas.openxmlformats.org/drawingml/2006/main">
                  <a:graphicData uri="http://schemas.microsoft.com/office/word/2010/wordprocessingShape">
                    <wps:wsp>
                      <wps:cNvSpPr/>
                      <wps:spPr>
                        <a:xfrm>
                          <a:off x="0" y="0"/>
                          <a:ext cx="5729292" cy="341194"/>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B6C3AD" id="Rectángulo redondeado 6" o:spid="_x0000_s1026" style="position:absolute;margin-left:0;margin-top:405.65pt;width:451.15pt;height:26.8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" filled="f" strokecolor="red" strokeweight="3pt">
                <v:stroke joinstyle="miter"/>
                <w10:wrap anchorx="margin"/>
              </v:roundrect>
            </w:pict>
          </mc:Fallback>
        </mc:AlternateContent>
      </w:r>
    </w:p>
    <w:p w:rsidR="00DC6565" w:rsidRPr="006F4AC6" w:rsidRDefault="00DC6565" w:rsidP="006F4AC6">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color w:val="000000" w:themeColor="text1"/>
          <w:lang w:val="es-ES_tradnl" w:eastAsia="es-ES"/>
        </w:rPr>
        <w:t xml:space="preserve">En ese contexto, podemos advertir que en el presente caso no corresponde al Sujeto Obligado la publicación de las declaraciones patrimoniales, es decir, que lo único que corresponde a la Contraloría Municipal, es verificar que los servidores públicos municipales cumplan con la obligación de presentar oportunamente las declaraciones patrimoniales. </w:t>
      </w:r>
    </w:p>
    <w:p w:rsidR="00DC6565" w:rsidRPr="006F4AC6" w:rsidRDefault="00DC6565" w:rsidP="006F4AC6">
      <w:pPr>
        <w:spacing w:line="360" w:lineRule="auto"/>
        <w:contextualSpacing/>
        <w:jc w:val="both"/>
        <w:rPr>
          <w:rFonts w:ascii="Palatino Linotype" w:eastAsiaTheme="minorEastAsia" w:hAnsi="Palatino Linotype"/>
          <w:color w:val="000000" w:themeColor="text1"/>
          <w:lang w:val="es-ES_tradnl" w:eastAsia="es-ES"/>
        </w:rPr>
      </w:pPr>
    </w:p>
    <w:p w:rsidR="00A741EC" w:rsidRPr="006F4AC6" w:rsidRDefault="00A741EC" w:rsidP="006F4AC6">
      <w:pPr>
        <w:pStyle w:val="Prrafodelista"/>
        <w:numPr>
          <w:ilvl w:val="0"/>
          <w:numId w:val="8"/>
        </w:numPr>
        <w:spacing w:line="360" w:lineRule="auto"/>
        <w:ind w:left="0" w:firstLine="0"/>
        <w:jc w:val="both"/>
        <w:rPr>
          <w:rFonts w:ascii="Palatino Linotype" w:eastAsiaTheme="minorEastAsia" w:hAnsi="Palatino Linotype"/>
          <w:b/>
          <w:color w:val="000000" w:themeColor="text1"/>
          <w:sz w:val="24"/>
          <w:lang w:val="es-ES_tradnl"/>
        </w:rPr>
      </w:pPr>
      <w:r w:rsidRPr="006F4AC6">
        <w:rPr>
          <w:rFonts w:ascii="Palatino Linotype" w:eastAsiaTheme="minorEastAsia" w:hAnsi="Palatino Linotype"/>
          <w:b/>
          <w:color w:val="000000" w:themeColor="text1"/>
          <w:sz w:val="24"/>
          <w:lang w:val="es-ES_tradnl"/>
        </w:rPr>
        <w:lastRenderedPageBreak/>
        <w:t xml:space="preserve">De la incompetencia de los Sujetos Obligados. </w:t>
      </w:r>
    </w:p>
    <w:p w:rsidR="00B401E0" w:rsidRPr="006F4AC6" w:rsidRDefault="00DC6565" w:rsidP="006F4AC6">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F4AC6">
        <w:rPr>
          <w:rFonts w:ascii="Palatino Linotype" w:eastAsiaTheme="minorEastAsia" w:hAnsi="Palatino Linotype"/>
          <w:color w:val="000000" w:themeColor="text1"/>
          <w:lang w:val="es-ES_tradnl" w:eastAsia="es-ES"/>
        </w:rPr>
        <w:t>D</w:t>
      </w:r>
      <w:r w:rsidRPr="006F4AC6">
        <w:rPr>
          <w:rFonts w:ascii="Palatino Linotype" w:hAnsi="Palatino Linotype" w:cs="Arial"/>
          <w:bCs/>
          <w:color w:val="000000" w:themeColor="text1"/>
        </w:rPr>
        <w:t>icho lo anterior, es necesario traer a colación el artículo 167 de la Ley de Transparencia y Acceso a la Información Pública del</w:t>
      </w:r>
      <w:r w:rsidR="00A741EC" w:rsidRPr="006F4AC6">
        <w:rPr>
          <w:rFonts w:ascii="Palatino Linotype" w:hAnsi="Palatino Linotype" w:cs="Arial"/>
          <w:bCs/>
          <w:color w:val="000000" w:themeColor="text1"/>
        </w:rPr>
        <w:t xml:space="preserve"> Estado de México y Municipios</w:t>
      </w:r>
      <w:r w:rsidRPr="006F4AC6">
        <w:rPr>
          <w:rFonts w:ascii="Palatino Linotype" w:hAnsi="Palatino Linotype" w:cs="Arial"/>
          <w:bCs/>
          <w:color w:val="000000" w:themeColor="text1"/>
        </w:rPr>
        <w:t xml:space="preserve">, que establece que </w:t>
      </w:r>
      <w:r w:rsidRPr="006F4AC6">
        <w:rPr>
          <w:rFonts w:ascii="Palatino Linotype" w:eastAsia="Calibri" w:hAnsi="Palatino Linotype" w:cs="Arial"/>
          <w:color w:val="000000" w:themeColor="text1"/>
        </w:rPr>
        <w:t xml:space="preserve">al detectar qué una solicitud de acceso a la información </w:t>
      </w:r>
      <w:r w:rsidRPr="006F4AC6">
        <w:rPr>
          <w:rFonts w:ascii="Palatino Linotype" w:eastAsia="Calibri" w:hAnsi="Palatino Linotype" w:cs="Arial"/>
          <w:b/>
          <w:color w:val="000000" w:themeColor="text1"/>
        </w:rPr>
        <w:t>no</w:t>
      </w:r>
      <w:r w:rsidRPr="006F4AC6">
        <w:rPr>
          <w:rFonts w:ascii="Palatino Linotype" w:eastAsia="Calibri" w:hAnsi="Palatino Linotype" w:cs="Arial"/>
          <w:color w:val="000000" w:themeColor="text1"/>
        </w:rPr>
        <w:t xml:space="preserve"> es de su competencia, dentro de los 3 días posteriores a su recepción, deberán de comunicar tal situación al recurrente y, en su caso orientarlo al Sujeto Obligado correspondiente. </w:t>
      </w:r>
      <w:r w:rsidRPr="006F4AC6">
        <w:rPr>
          <w:rFonts w:ascii="Palatino Linotype" w:eastAsiaTheme="minorEastAsia" w:hAnsi="Palatino Linotype"/>
          <w:color w:val="000000" w:themeColor="text1"/>
          <w:lang w:val="es-ES_tradnl" w:eastAsia="es-ES"/>
        </w:rPr>
        <w:t xml:space="preserve">En ese sentido, si bien, el Sujeto Obligado no refirió su incompetencia para conocer de la información solicitada, </w:t>
      </w:r>
      <w:r w:rsidR="006246E3" w:rsidRPr="006F4AC6">
        <w:rPr>
          <w:rFonts w:ascii="Palatino Linotype" w:eastAsiaTheme="minorEastAsia" w:hAnsi="Palatino Linotype"/>
          <w:color w:val="000000" w:themeColor="text1"/>
          <w:lang w:val="es-ES_tradnl" w:eastAsia="es-ES"/>
        </w:rPr>
        <w:t xml:space="preserve">dentro del plazo señalado, no es procedente ordenar </w:t>
      </w:r>
      <w:r w:rsidR="0001175E" w:rsidRPr="006F4AC6">
        <w:rPr>
          <w:rFonts w:ascii="Palatino Linotype" w:eastAsiaTheme="minorEastAsia" w:hAnsi="Palatino Linotype"/>
          <w:color w:val="000000" w:themeColor="text1"/>
          <w:lang w:val="es-ES_tradnl" w:eastAsia="es-ES"/>
        </w:rPr>
        <w:t>las declaraciones</w:t>
      </w:r>
      <w:r w:rsidR="006246E3" w:rsidRPr="006F4AC6">
        <w:rPr>
          <w:rFonts w:ascii="Palatino Linotype" w:eastAsiaTheme="minorEastAsia" w:hAnsi="Palatino Linotype"/>
          <w:color w:val="000000" w:themeColor="text1"/>
          <w:lang w:val="es-ES_tradnl" w:eastAsia="es-ES"/>
        </w:rPr>
        <w:t xml:space="preserve"> patrimoniales del servidor público</w:t>
      </w:r>
      <w:r w:rsidRPr="006F4AC6">
        <w:rPr>
          <w:rFonts w:ascii="Palatino Linotype" w:eastAsiaTheme="minorEastAsia" w:hAnsi="Palatino Linotype"/>
          <w:color w:val="000000" w:themeColor="text1"/>
          <w:lang w:val="es-ES_tradnl" w:eastAsia="es-ES"/>
        </w:rPr>
        <w:t xml:space="preserve"> ya que es notoria la incompetencia del Sujeto Obligado para poseer la información requerida.</w:t>
      </w:r>
    </w:p>
    <w:p w:rsidR="006246E3" w:rsidRPr="006F4AC6" w:rsidRDefault="006246E3" w:rsidP="006F4AC6">
      <w:pPr>
        <w:spacing w:line="360" w:lineRule="auto"/>
        <w:contextualSpacing/>
        <w:jc w:val="both"/>
        <w:rPr>
          <w:rFonts w:ascii="Palatino Linotype" w:eastAsiaTheme="minorEastAsia" w:hAnsi="Palatino Linotype"/>
          <w:color w:val="000000" w:themeColor="text1"/>
          <w:lang w:val="es-ES_tradnl" w:eastAsia="es-ES"/>
        </w:rPr>
      </w:pPr>
    </w:p>
    <w:p w:rsidR="00991C1C" w:rsidRPr="006F4AC6" w:rsidRDefault="00991C1C" w:rsidP="006F4AC6">
      <w:pPr>
        <w:pStyle w:val="Prrafodelista"/>
        <w:numPr>
          <w:ilvl w:val="0"/>
          <w:numId w:val="2"/>
        </w:numPr>
        <w:tabs>
          <w:tab w:val="left" w:pos="426"/>
        </w:tabs>
        <w:spacing w:line="360" w:lineRule="auto"/>
        <w:ind w:left="0" w:firstLine="0"/>
        <w:jc w:val="both"/>
        <w:rPr>
          <w:rFonts w:ascii="Palatino Linotype" w:hAnsi="Palatino Linotype" w:cs="Arial"/>
          <w:color w:val="000000" w:themeColor="text1"/>
          <w:sz w:val="24"/>
        </w:rPr>
      </w:pPr>
      <w:r w:rsidRPr="006F4AC6">
        <w:rPr>
          <w:rFonts w:ascii="Palatino Linotype" w:eastAsia="MS Mincho" w:hAnsi="Palatino Linotype"/>
          <w:color w:val="000000" w:themeColor="text1"/>
          <w:sz w:val="24"/>
        </w:rPr>
        <w:t xml:space="preserve">En ese sentido, es necesario mencionar que el acceso a la información es un derecho humano constitucional y convencionalmente reconocido y para tal efecto </w:t>
      </w:r>
      <w:r w:rsidRPr="006F4AC6">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6F4AC6">
        <w:rPr>
          <w:rFonts w:ascii="Palatino Linotype" w:eastAsia="Calibri" w:hAnsi="Palatino Linotype"/>
          <w:i/>
          <w:color w:val="000000" w:themeColor="text1"/>
          <w:sz w:val="24"/>
          <w:lang w:val="es-ES"/>
        </w:rPr>
        <w:t xml:space="preserve">en el ámbito de sus atribuciones, de promover, respetar, proteger y </w:t>
      </w:r>
      <w:r w:rsidRPr="006F4AC6">
        <w:rPr>
          <w:rFonts w:ascii="Palatino Linotype" w:eastAsia="Calibri" w:hAnsi="Palatino Linotype"/>
          <w:b/>
          <w:i/>
          <w:color w:val="000000" w:themeColor="text1"/>
          <w:sz w:val="24"/>
          <w:lang w:val="es-ES"/>
        </w:rPr>
        <w:t>garantizar</w:t>
      </w:r>
      <w:r w:rsidRPr="006F4AC6">
        <w:rPr>
          <w:rFonts w:ascii="Palatino Linotype" w:eastAsia="Calibri" w:hAnsi="Palatino Linotype"/>
          <w:i/>
          <w:color w:val="000000" w:themeColor="text1"/>
          <w:sz w:val="24"/>
          <w:lang w:val="es-ES"/>
        </w:rPr>
        <w:t xml:space="preserve"> los derechos humanos. </w:t>
      </w:r>
      <w:r w:rsidRPr="006F4AC6">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6F4AC6">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6F4AC6">
        <w:rPr>
          <w:rStyle w:val="Refdenotaalpie"/>
          <w:rFonts w:ascii="Palatino Linotype" w:hAnsi="Palatino Linotype"/>
          <w:i/>
          <w:color w:val="000000" w:themeColor="text1"/>
          <w:sz w:val="24"/>
        </w:rPr>
        <w:footnoteReference w:id="1"/>
      </w:r>
      <w:r w:rsidRPr="006F4AC6">
        <w:rPr>
          <w:rFonts w:ascii="Palatino Linotype" w:hAnsi="Palatino Linotype"/>
          <w:i/>
          <w:color w:val="000000" w:themeColor="text1"/>
          <w:sz w:val="24"/>
        </w:rPr>
        <w:t xml:space="preserve">, </w:t>
      </w:r>
      <w:r w:rsidRPr="006F4AC6">
        <w:rPr>
          <w:rFonts w:ascii="Palatino Linotype" w:hAnsi="Palatino Linotype"/>
          <w:color w:val="000000" w:themeColor="text1"/>
          <w:sz w:val="24"/>
        </w:rPr>
        <w:t>asimismo establece</w:t>
      </w:r>
      <w:r w:rsidRPr="006F4AC6">
        <w:rPr>
          <w:rFonts w:ascii="Palatino Linotype" w:hAnsi="Palatino Linotype"/>
          <w:i/>
          <w:color w:val="000000" w:themeColor="text1"/>
          <w:sz w:val="24"/>
        </w:rPr>
        <w:t xml:space="preserve"> que las unidades de </w:t>
      </w:r>
      <w:r w:rsidRPr="006F4AC6">
        <w:rPr>
          <w:rFonts w:ascii="Palatino Linotype" w:hAnsi="Palatino Linotype"/>
          <w:i/>
          <w:color w:val="000000" w:themeColor="text1"/>
          <w:sz w:val="24"/>
        </w:rPr>
        <w:lastRenderedPageBreak/>
        <w:t>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91C1C" w:rsidRPr="006F4AC6" w:rsidRDefault="00991C1C" w:rsidP="006F4AC6">
      <w:pPr>
        <w:rPr>
          <w:rFonts w:ascii="Palatino Linotype" w:hAnsi="Palatino Linotype"/>
          <w:color w:val="000000" w:themeColor="text1"/>
        </w:rPr>
      </w:pPr>
    </w:p>
    <w:p w:rsidR="00991C1C" w:rsidRPr="006F4AC6" w:rsidRDefault="00991C1C" w:rsidP="006F4AC6">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6F4AC6">
        <w:rPr>
          <w:rFonts w:ascii="Palatino Linotype" w:hAnsi="Palatino Linotype"/>
          <w:color w:val="000000" w:themeColor="text1"/>
          <w:sz w:val="24"/>
        </w:rPr>
        <w:t xml:space="preserve">Es así que, su obligación es </w:t>
      </w:r>
      <w:r w:rsidRPr="006F4AC6">
        <w:rPr>
          <w:rFonts w:ascii="Palatino Linotype" w:hAnsi="Palatino Linotype"/>
          <w:i/>
          <w:color w:val="000000" w:themeColor="text1"/>
          <w:sz w:val="24"/>
        </w:rPr>
        <w:t>realizar, con efectividad, los trámites internos necesarios para la atención de las solicitudes de información</w:t>
      </w:r>
      <w:r w:rsidRPr="006F4AC6">
        <w:rPr>
          <w:rStyle w:val="Refdenotaalpie"/>
          <w:rFonts w:ascii="Palatino Linotype" w:hAnsi="Palatino Linotype"/>
          <w:color w:val="000000" w:themeColor="text1"/>
          <w:sz w:val="24"/>
        </w:rPr>
        <w:footnoteReference w:id="2"/>
      </w:r>
      <w:r w:rsidRPr="006F4AC6">
        <w:rPr>
          <w:rFonts w:ascii="Palatino Linotype" w:hAnsi="Palatino Linotype"/>
          <w:color w:val="000000" w:themeColor="text1"/>
          <w:sz w:val="24"/>
        </w:rPr>
        <w:t>, es decir, deben otorgar respuestas concisas, contundentes y sobre todo que den la certeza de los actos que realizan.</w:t>
      </w:r>
    </w:p>
    <w:p w:rsidR="00991C1C" w:rsidRPr="006F4AC6" w:rsidRDefault="00991C1C" w:rsidP="006F4AC6">
      <w:pPr>
        <w:pStyle w:val="Prrafodelista"/>
        <w:spacing w:line="360" w:lineRule="auto"/>
        <w:ind w:left="0"/>
        <w:jc w:val="both"/>
        <w:rPr>
          <w:rFonts w:ascii="Palatino Linotype" w:eastAsia="Calibri" w:hAnsi="Palatino Linotype" w:cs="Arial"/>
          <w:color w:val="000000" w:themeColor="text1"/>
          <w:sz w:val="24"/>
        </w:rPr>
      </w:pPr>
    </w:p>
    <w:p w:rsidR="00991C1C" w:rsidRPr="006F4AC6" w:rsidRDefault="00991C1C" w:rsidP="006F4AC6">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6F4AC6">
        <w:rPr>
          <w:rFonts w:ascii="Palatino Linotype" w:hAnsi="Palatino Linotype" w:cs="Arial"/>
          <w:bCs/>
          <w:color w:val="000000" w:themeColor="text1"/>
          <w:sz w:val="24"/>
        </w:rPr>
        <w:t>Dicho lo anterior, es necesario traer a colación el artículo 167 de la Ley de Transparencia y Acceso a la Información Pública del Estado de México y Municipios, el cual establece lo siguiente:</w:t>
      </w:r>
    </w:p>
    <w:p w:rsidR="00991C1C" w:rsidRPr="006F4AC6" w:rsidRDefault="00991C1C" w:rsidP="006F4AC6">
      <w:pPr>
        <w:autoSpaceDE w:val="0"/>
        <w:autoSpaceDN w:val="0"/>
        <w:adjustRightInd w:val="0"/>
        <w:spacing w:line="360" w:lineRule="auto"/>
        <w:jc w:val="both"/>
        <w:rPr>
          <w:rFonts w:ascii="Palatino Linotype" w:hAnsi="Palatino Linotype" w:cs="Bookman Old Style"/>
          <w:i/>
          <w:color w:val="000000" w:themeColor="text1"/>
        </w:rPr>
      </w:pPr>
      <w:r w:rsidRPr="006F4AC6">
        <w:rPr>
          <w:rFonts w:ascii="Palatino Linotype" w:hAnsi="Palatino Linotype" w:cs="Bookman Old Style,Bold"/>
          <w:b/>
          <w:bCs/>
          <w:i/>
          <w:color w:val="000000" w:themeColor="text1"/>
        </w:rPr>
        <w:t xml:space="preserve">Artículo 167. </w:t>
      </w:r>
      <w:r w:rsidRPr="006F4AC6">
        <w:rPr>
          <w:rFonts w:ascii="Palatino Linotype" w:hAnsi="Palatino Linotype" w:cs="Bookman Old Style"/>
          <w:i/>
          <w:color w:val="000000" w:themeColor="text1"/>
        </w:rPr>
        <w:t xml:space="preserve">Cuando las </w:t>
      </w:r>
      <w:r w:rsidRPr="006F4AC6">
        <w:rPr>
          <w:rFonts w:ascii="Palatino Linotype" w:hAnsi="Palatino Linotype" w:cs="Bookman Old Style"/>
          <w:b/>
          <w:i/>
          <w:color w:val="000000" w:themeColor="text1"/>
        </w:rPr>
        <w:t>unidades de transparencia determinen la notoria incompetencia por parte de los sujetos obligado</w:t>
      </w:r>
      <w:r w:rsidRPr="006F4AC6">
        <w:rPr>
          <w:rFonts w:ascii="Palatino Linotype" w:hAnsi="Palatino Linotype" w:cs="Bookman Old Style"/>
          <w:i/>
          <w:color w:val="000000" w:themeColor="text1"/>
        </w:rPr>
        <w:t xml:space="preserve">s, dentro del ámbito de aplicación, para atender la solicitud de acceso a la información, deberán comunicarlo al solicitante, dentro de los </w:t>
      </w:r>
      <w:r w:rsidRPr="006F4AC6">
        <w:rPr>
          <w:rFonts w:ascii="Palatino Linotype" w:hAnsi="Palatino Linotype" w:cs="Bookman Old Style"/>
          <w:b/>
          <w:i/>
          <w:color w:val="000000" w:themeColor="text1"/>
        </w:rPr>
        <w:t>tres días hábiles posteriores a la recepción de la solicitud</w:t>
      </w:r>
      <w:r w:rsidRPr="006F4AC6">
        <w:rPr>
          <w:rFonts w:ascii="Palatino Linotype" w:hAnsi="Palatino Linotype" w:cs="Bookman Old Style"/>
          <w:i/>
          <w:color w:val="000000" w:themeColor="text1"/>
        </w:rPr>
        <w:t xml:space="preserve"> y, en su caso orientar al solicitante, el o los sujetos obligados competentes. </w:t>
      </w:r>
    </w:p>
    <w:p w:rsidR="00991C1C" w:rsidRPr="006F4AC6" w:rsidRDefault="00991C1C" w:rsidP="006F4AC6">
      <w:pPr>
        <w:pStyle w:val="Prrafodelista"/>
        <w:spacing w:line="360" w:lineRule="auto"/>
        <w:ind w:left="0"/>
        <w:jc w:val="both"/>
        <w:rPr>
          <w:rFonts w:ascii="Palatino Linotype" w:eastAsia="Calibri" w:hAnsi="Palatino Linotype" w:cs="Arial"/>
          <w:color w:val="000000" w:themeColor="text1"/>
          <w:sz w:val="24"/>
        </w:rPr>
      </w:pPr>
    </w:p>
    <w:p w:rsidR="00991C1C" w:rsidRPr="006F4AC6" w:rsidRDefault="00991C1C" w:rsidP="006F4AC6">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color w:val="000000" w:themeColor="text1"/>
          <w:sz w:val="24"/>
        </w:rPr>
      </w:pPr>
      <w:r w:rsidRPr="006F4AC6">
        <w:rPr>
          <w:rFonts w:ascii="Palatino Linotype" w:eastAsia="Calibri" w:hAnsi="Palatino Linotype" w:cs="Arial"/>
          <w:color w:val="000000" w:themeColor="text1"/>
          <w:sz w:val="24"/>
        </w:rPr>
        <w:t xml:space="preserve">Tal y como se aprecia, los Sujetos Obligados al detectar qué una solicitud de acceso a la información </w:t>
      </w:r>
      <w:r w:rsidRPr="006F4AC6">
        <w:rPr>
          <w:rFonts w:ascii="Palatino Linotype" w:eastAsia="Calibri" w:hAnsi="Palatino Linotype" w:cs="Arial"/>
          <w:b/>
          <w:color w:val="000000" w:themeColor="text1"/>
          <w:sz w:val="24"/>
        </w:rPr>
        <w:t>NO</w:t>
      </w:r>
      <w:r w:rsidRPr="006F4AC6">
        <w:rPr>
          <w:rFonts w:ascii="Palatino Linotype" w:eastAsia="Calibri" w:hAnsi="Palatino Linotype" w:cs="Arial"/>
          <w:color w:val="000000" w:themeColor="text1"/>
          <w:sz w:val="24"/>
        </w:rPr>
        <w:t xml:space="preserve"> es de su competencia, dentro de los 3 días posteriores a su recepción, deberán de comunicar tal situación al recurrente y, en su caso orientarlo al </w:t>
      </w:r>
      <w:r w:rsidR="006246E3" w:rsidRPr="006F4AC6">
        <w:rPr>
          <w:rFonts w:ascii="Palatino Linotype" w:eastAsia="Calibri" w:hAnsi="Palatino Linotype" w:cs="Arial"/>
          <w:color w:val="000000" w:themeColor="text1"/>
          <w:sz w:val="24"/>
        </w:rPr>
        <w:t xml:space="preserve">Sujeto Obligado </w:t>
      </w:r>
      <w:r w:rsidR="006246E3" w:rsidRPr="006F4AC6">
        <w:rPr>
          <w:rFonts w:ascii="Palatino Linotype" w:eastAsia="Calibri" w:hAnsi="Palatino Linotype" w:cs="Arial"/>
          <w:color w:val="000000" w:themeColor="text1"/>
          <w:sz w:val="24"/>
        </w:rPr>
        <w:lastRenderedPageBreak/>
        <w:t xml:space="preserve">correspondiente, situación que no sucedió en el presente caso, sin embargo, no es procedente ordenar la información solicitada por tratarse de una notoria incompetencia. </w:t>
      </w:r>
    </w:p>
    <w:p w:rsidR="006246E3" w:rsidRPr="006F4AC6" w:rsidRDefault="006246E3" w:rsidP="006F4AC6">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rsidR="006246E3" w:rsidRPr="006F4AC6" w:rsidRDefault="00991C1C" w:rsidP="006F4AC6">
      <w:pPr>
        <w:pStyle w:val="Prrafodelista"/>
        <w:numPr>
          <w:ilvl w:val="0"/>
          <w:numId w:val="2"/>
        </w:numPr>
        <w:spacing w:before="240" w:after="240" w:line="360" w:lineRule="auto"/>
        <w:ind w:left="0" w:firstLine="0"/>
        <w:jc w:val="both"/>
        <w:rPr>
          <w:rFonts w:ascii="Palatino Linotype" w:eastAsia="MS Gothic" w:hAnsi="Palatino Linotype"/>
          <w:color w:val="000000" w:themeColor="text1"/>
          <w:sz w:val="24"/>
        </w:rPr>
      </w:pPr>
      <w:r w:rsidRPr="006F4AC6">
        <w:rPr>
          <w:rFonts w:ascii="Palatino Linotype" w:eastAsia="MS Gothic" w:hAnsi="Palatino Linotype"/>
          <w:color w:val="000000" w:themeColor="text1"/>
          <w:sz w:val="24"/>
        </w:rPr>
        <w:t xml:space="preserve">En este sentido, se advierte que, tanto el acto impugnado como los motivos de inconformidad hechos valer por el </w:t>
      </w:r>
      <w:r w:rsidRPr="006F4AC6">
        <w:rPr>
          <w:rFonts w:ascii="Palatino Linotype" w:eastAsia="MS Gothic" w:hAnsi="Palatino Linotype"/>
          <w:b/>
          <w:bCs/>
          <w:color w:val="000000" w:themeColor="text1"/>
          <w:sz w:val="24"/>
        </w:rPr>
        <w:t>RECURRENTE</w:t>
      </w:r>
      <w:r w:rsidRPr="006F4AC6">
        <w:rPr>
          <w:rFonts w:ascii="Palatino Linotype" w:eastAsia="MS Gothic" w:hAnsi="Palatino Linotype"/>
          <w:color w:val="000000" w:themeColor="text1"/>
          <w:sz w:val="24"/>
        </w:rPr>
        <w:t xml:space="preserve"> son improcedentes, puesto que la información que solicitó es competencia de un Sujeto Obligado distinto al que se le formuló la solicitud. Entonces, al ser dos entes distintos en materia de transparencia, resulta en obviedad que uno no puede atender las solicitudes de información de otro, puesto que es información que cada Sujeto Obligado posee, genera y administra.</w:t>
      </w:r>
    </w:p>
    <w:p w:rsidR="006246E3" w:rsidRPr="006F4AC6" w:rsidRDefault="006246E3" w:rsidP="006F4AC6">
      <w:pPr>
        <w:pStyle w:val="Prrafodelista"/>
        <w:ind w:left="0"/>
        <w:rPr>
          <w:rFonts w:ascii="Palatino Linotype" w:eastAsia="MS Gothic" w:hAnsi="Palatino Linotype"/>
          <w:color w:val="000000" w:themeColor="text1"/>
          <w:sz w:val="24"/>
        </w:rPr>
      </w:pPr>
    </w:p>
    <w:p w:rsidR="00991C1C" w:rsidRPr="006F4AC6" w:rsidRDefault="00991C1C" w:rsidP="006F4AC6">
      <w:pPr>
        <w:pStyle w:val="Prrafodelista"/>
        <w:numPr>
          <w:ilvl w:val="0"/>
          <w:numId w:val="2"/>
        </w:numPr>
        <w:spacing w:before="240" w:after="240" w:line="360" w:lineRule="auto"/>
        <w:ind w:left="0" w:firstLine="0"/>
        <w:jc w:val="both"/>
        <w:rPr>
          <w:rFonts w:ascii="Palatino Linotype" w:eastAsia="MS Gothic" w:hAnsi="Palatino Linotype"/>
          <w:color w:val="000000" w:themeColor="text1"/>
          <w:sz w:val="24"/>
        </w:rPr>
      </w:pPr>
      <w:r w:rsidRPr="006F4AC6">
        <w:rPr>
          <w:rFonts w:ascii="Palatino Linotype" w:eastAsia="MS Gothic" w:hAnsi="Palatino Linotype"/>
          <w:color w:val="000000" w:themeColor="text1"/>
          <w:sz w:val="24"/>
        </w:rPr>
        <w:t xml:space="preserve">Ahora bien, este Órgano Garante estima que el actuar del </w:t>
      </w:r>
      <w:r w:rsidRPr="006F4AC6">
        <w:rPr>
          <w:rFonts w:ascii="Palatino Linotype" w:eastAsia="MS Gothic" w:hAnsi="Palatino Linotype"/>
          <w:b/>
          <w:color w:val="000000" w:themeColor="text1"/>
          <w:sz w:val="24"/>
        </w:rPr>
        <w:t>SUJETO OBLIGADO</w:t>
      </w:r>
      <w:r w:rsidRPr="006F4AC6">
        <w:rPr>
          <w:rFonts w:ascii="Palatino Linotype" w:eastAsia="MS Gothic" w:hAnsi="Palatino Linotype"/>
          <w:color w:val="000000" w:themeColor="text1"/>
          <w:sz w:val="24"/>
        </w:rPr>
        <w:t xml:space="preserve"> encuadra en lo preceptuado por la Ley de la materia, por lo que es necesario señalar los siguientes preceptos legales:</w:t>
      </w:r>
    </w:p>
    <w:p w:rsidR="00991C1C" w:rsidRPr="006F4AC6" w:rsidRDefault="00991C1C" w:rsidP="006F4AC6">
      <w:pPr>
        <w:jc w:val="both"/>
        <w:rPr>
          <w:rFonts w:ascii="Palatino Linotype" w:hAnsi="Palatino Linotype"/>
          <w:i/>
          <w:color w:val="000000" w:themeColor="text1"/>
        </w:rPr>
      </w:pPr>
      <w:r w:rsidRPr="006F4AC6">
        <w:rPr>
          <w:rFonts w:ascii="Palatino Linotype" w:hAnsi="Palatino Linotype"/>
          <w:b/>
          <w:i/>
          <w:color w:val="000000" w:themeColor="text1"/>
        </w:rPr>
        <w:t>“Artículo 53</w:t>
      </w:r>
      <w:r w:rsidRPr="006F4AC6">
        <w:rPr>
          <w:rFonts w:ascii="Palatino Linotype" w:hAnsi="Palatino Linotype"/>
          <w:i/>
          <w:color w:val="000000" w:themeColor="text1"/>
        </w:rPr>
        <w:t xml:space="preserve">. Las Unidades de Transparencia tendrán las siguientes funciones: </w:t>
      </w:r>
    </w:p>
    <w:p w:rsidR="00991C1C" w:rsidRPr="006F4AC6" w:rsidRDefault="00991C1C" w:rsidP="006F4AC6">
      <w:pPr>
        <w:jc w:val="both"/>
        <w:rPr>
          <w:rFonts w:ascii="Palatino Linotype" w:hAnsi="Palatino Linotype"/>
          <w:i/>
          <w:color w:val="000000" w:themeColor="text1"/>
        </w:rPr>
      </w:pPr>
      <w:r w:rsidRPr="006F4AC6">
        <w:rPr>
          <w:rFonts w:ascii="Palatino Linotype" w:hAnsi="Palatino Linotype"/>
          <w:i/>
          <w:color w:val="000000" w:themeColor="text1"/>
        </w:rPr>
        <w:t>(…)</w:t>
      </w:r>
    </w:p>
    <w:p w:rsidR="00991C1C" w:rsidRPr="006F4AC6" w:rsidRDefault="00991C1C" w:rsidP="006F4AC6">
      <w:pPr>
        <w:jc w:val="both"/>
        <w:rPr>
          <w:rFonts w:ascii="Palatino Linotype" w:hAnsi="Palatino Linotype"/>
          <w:b/>
          <w:i/>
          <w:color w:val="000000" w:themeColor="text1"/>
        </w:rPr>
      </w:pPr>
      <w:r w:rsidRPr="006F4AC6">
        <w:rPr>
          <w:rFonts w:ascii="Palatino Linotype" w:hAnsi="Palatino Linotype"/>
          <w:b/>
          <w:i/>
          <w:color w:val="000000" w:themeColor="text1"/>
        </w:rPr>
        <w:t>III. Auxiliar a los particulares en la elaboración de solicitudes de acceso a la información y, en su caso, orientarlos sobre los sujetos obligados competentes conforme a la normatividad aplicable;</w:t>
      </w:r>
    </w:p>
    <w:p w:rsidR="00991C1C" w:rsidRPr="006F4AC6" w:rsidRDefault="00991C1C" w:rsidP="006F4AC6">
      <w:pPr>
        <w:jc w:val="both"/>
        <w:rPr>
          <w:rFonts w:ascii="Palatino Linotype" w:eastAsia="MS Gothic" w:hAnsi="Palatino Linotype"/>
          <w:i/>
          <w:color w:val="000000" w:themeColor="text1"/>
        </w:rPr>
      </w:pPr>
      <w:r w:rsidRPr="006F4AC6">
        <w:rPr>
          <w:rFonts w:ascii="Palatino Linotype" w:eastAsia="MS Gothic" w:hAnsi="Palatino Linotype"/>
          <w:i/>
          <w:color w:val="000000" w:themeColor="text1"/>
        </w:rPr>
        <w:t>(…)”</w:t>
      </w:r>
    </w:p>
    <w:p w:rsidR="00991C1C" w:rsidRPr="006F4AC6" w:rsidRDefault="00991C1C" w:rsidP="006F4AC6">
      <w:pPr>
        <w:pStyle w:val="Prrafodelista"/>
        <w:spacing w:before="240" w:after="240"/>
        <w:ind w:left="0"/>
        <w:jc w:val="center"/>
        <w:rPr>
          <w:rFonts w:ascii="Palatino Linotype" w:hAnsi="Palatino Linotype"/>
          <w:b/>
          <w:i/>
          <w:color w:val="000000" w:themeColor="text1"/>
          <w:sz w:val="24"/>
        </w:rPr>
      </w:pPr>
      <w:r w:rsidRPr="006F4AC6">
        <w:rPr>
          <w:rFonts w:ascii="Palatino Linotype" w:hAnsi="Palatino Linotype"/>
          <w:b/>
          <w:i/>
          <w:color w:val="000000" w:themeColor="text1"/>
          <w:sz w:val="24"/>
        </w:rPr>
        <w:t>Capítulo I</w:t>
      </w:r>
    </w:p>
    <w:p w:rsidR="00991C1C" w:rsidRPr="006F4AC6" w:rsidRDefault="00991C1C" w:rsidP="006F4AC6">
      <w:pPr>
        <w:pStyle w:val="Prrafodelista"/>
        <w:spacing w:before="240" w:after="240"/>
        <w:ind w:left="0"/>
        <w:jc w:val="center"/>
        <w:rPr>
          <w:rFonts w:ascii="Palatino Linotype" w:hAnsi="Palatino Linotype"/>
          <w:b/>
          <w:i/>
          <w:color w:val="000000" w:themeColor="text1"/>
          <w:sz w:val="24"/>
        </w:rPr>
      </w:pPr>
      <w:r w:rsidRPr="006F4AC6">
        <w:rPr>
          <w:rFonts w:ascii="Palatino Linotype" w:hAnsi="Palatino Linotype"/>
          <w:b/>
          <w:i/>
          <w:color w:val="000000" w:themeColor="text1"/>
          <w:sz w:val="24"/>
        </w:rPr>
        <w:t>Del Procedimiento de Acceso a la Información Pública</w:t>
      </w:r>
    </w:p>
    <w:p w:rsidR="00991C1C" w:rsidRPr="006F4AC6" w:rsidRDefault="00991C1C" w:rsidP="006F4AC6">
      <w:pPr>
        <w:pStyle w:val="Prrafodelista"/>
        <w:spacing w:before="240" w:after="240"/>
        <w:ind w:left="0"/>
        <w:jc w:val="center"/>
        <w:rPr>
          <w:rFonts w:ascii="Palatino Linotype" w:hAnsi="Palatino Linotype"/>
          <w:b/>
          <w:i/>
          <w:color w:val="000000" w:themeColor="text1"/>
          <w:sz w:val="24"/>
        </w:rPr>
      </w:pPr>
    </w:p>
    <w:p w:rsidR="00991C1C" w:rsidRPr="006F4AC6" w:rsidRDefault="00991C1C" w:rsidP="006F4AC6">
      <w:pPr>
        <w:pStyle w:val="Prrafodelista"/>
        <w:spacing w:before="240" w:after="240"/>
        <w:ind w:left="0"/>
        <w:jc w:val="both"/>
        <w:rPr>
          <w:rFonts w:ascii="Palatino Linotype" w:eastAsia="MS Gothic" w:hAnsi="Palatino Linotype"/>
          <w:i/>
          <w:color w:val="000000" w:themeColor="text1"/>
          <w:sz w:val="24"/>
        </w:rPr>
      </w:pPr>
      <w:r w:rsidRPr="006F4AC6">
        <w:rPr>
          <w:rFonts w:ascii="Palatino Linotype" w:hAnsi="Palatino Linotype"/>
          <w:b/>
          <w:i/>
          <w:color w:val="000000" w:themeColor="text1"/>
          <w:sz w:val="24"/>
        </w:rPr>
        <w:t>“Artículo 150.</w:t>
      </w:r>
      <w:r w:rsidRPr="006F4AC6">
        <w:rPr>
          <w:rFonts w:ascii="Palatino Linotype" w:hAnsi="Palatino Linotype"/>
          <w:i/>
          <w:color w:val="000000" w:themeColor="text1"/>
          <w:sz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w:t>
      </w:r>
      <w:r w:rsidRPr="006F4AC6">
        <w:rPr>
          <w:rFonts w:ascii="Palatino Linotype" w:hAnsi="Palatino Linotype"/>
          <w:i/>
          <w:color w:val="000000" w:themeColor="text1"/>
          <w:sz w:val="24"/>
        </w:rPr>
        <w:lastRenderedPageBreak/>
        <w:t>hablantes de lengua indígena con el objeto de otorgar la protección más amplia del derecho de las personas.”</w:t>
      </w:r>
    </w:p>
    <w:p w:rsidR="00991C1C" w:rsidRPr="006F4AC6" w:rsidRDefault="00991C1C" w:rsidP="006F4AC6">
      <w:pPr>
        <w:pStyle w:val="Prrafodelista"/>
        <w:spacing w:before="240" w:after="240" w:line="360" w:lineRule="auto"/>
        <w:ind w:left="0"/>
        <w:jc w:val="both"/>
        <w:rPr>
          <w:rFonts w:ascii="Palatino Linotype" w:eastAsia="MS Gothic" w:hAnsi="Palatino Linotype"/>
          <w:color w:val="000000" w:themeColor="text1"/>
          <w:sz w:val="24"/>
        </w:rPr>
      </w:pPr>
    </w:p>
    <w:p w:rsidR="00991C1C" w:rsidRPr="006F4AC6" w:rsidRDefault="00991C1C" w:rsidP="006F4AC6">
      <w:pPr>
        <w:pStyle w:val="Prrafodelista"/>
        <w:numPr>
          <w:ilvl w:val="0"/>
          <w:numId w:val="2"/>
        </w:numPr>
        <w:spacing w:before="240" w:after="240" w:line="360" w:lineRule="auto"/>
        <w:ind w:left="0" w:firstLine="0"/>
        <w:jc w:val="both"/>
        <w:rPr>
          <w:rFonts w:ascii="Palatino Linotype" w:eastAsia="MS Gothic" w:hAnsi="Palatino Linotype"/>
          <w:color w:val="000000" w:themeColor="text1"/>
          <w:sz w:val="24"/>
        </w:rPr>
      </w:pPr>
      <w:r w:rsidRPr="006F4AC6">
        <w:rPr>
          <w:rFonts w:ascii="Palatino Linotype" w:eastAsia="MS Gothic" w:hAnsi="Palatino Linotype"/>
          <w:color w:val="000000" w:themeColor="text1"/>
          <w:sz w:val="24"/>
        </w:rPr>
        <w:t>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w:t>
      </w:r>
      <w:r w:rsidR="006246E3" w:rsidRPr="006F4AC6">
        <w:rPr>
          <w:rFonts w:ascii="Palatino Linotype" w:eastAsia="MS Gothic" w:hAnsi="Palatino Linotype"/>
          <w:color w:val="000000" w:themeColor="text1"/>
          <w:sz w:val="24"/>
        </w:rPr>
        <w:t xml:space="preserve"> el Sujeto Obligado competente, lo cual sucedió en el presente caso. </w:t>
      </w:r>
    </w:p>
    <w:p w:rsidR="00991C1C" w:rsidRPr="006F4AC6" w:rsidRDefault="00991C1C" w:rsidP="006F4AC6">
      <w:pPr>
        <w:pStyle w:val="Prrafodelista"/>
        <w:spacing w:before="100" w:beforeAutospacing="1" w:after="100" w:afterAutospacing="1" w:line="360" w:lineRule="auto"/>
        <w:ind w:left="0"/>
        <w:jc w:val="both"/>
        <w:rPr>
          <w:rFonts w:ascii="Palatino Linotype" w:eastAsia="Calibri" w:hAnsi="Palatino Linotype" w:cs="Arial"/>
          <w:color w:val="000000" w:themeColor="text1"/>
          <w:sz w:val="24"/>
        </w:rPr>
      </w:pPr>
    </w:p>
    <w:p w:rsidR="00991C1C" w:rsidRPr="006F4AC6" w:rsidRDefault="00991C1C" w:rsidP="006F4AC6">
      <w:pPr>
        <w:pStyle w:val="Prrafodelista"/>
        <w:numPr>
          <w:ilvl w:val="0"/>
          <w:numId w:val="2"/>
        </w:numPr>
        <w:spacing w:line="360" w:lineRule="auto"/>
        <w:ind w:left="0" w:firstLine="0"/>
        <w:jc w:val="both"/>
        <w:rPr>
          <w:rFonts w:ascii="Palatino Linotype" w:eastAsia="Calibri" w:hAnsi="Palatino Linotype" w:cs="Arial"/>
          <w:color w:val="000000" w:themeColor="text1"/>
          <w:sz w:val="24"/>
        </w:rPr>
      </w:pPr>
      <w:r w:rsidRPr="006F4AC6">
        <w:rPr>
          <w:rFonts w:ascii="Palatino Linotype" w:eastAsia="Calibri" w:hAnsi="Palatino Linotype" w:cs="Arial"/>
          <w:color w:val="000000" w:themeColor="text1"/>
          <w:sz w:val="24"/>
        </w:rPr>
        <w:t xml:space="preserve">Derivado de lo expuesto en líneas anteriores, podemos concluir que el Sujeto Obligado es incompetente para conocer de la información </w:t>
      </w:r>
      <w:r w:rsidR="006246E3" w:rsidRPr="006F4AC6">
        <w:rPr>
          <w:rFonts w:ascii="Palatino Linotype" w:eastAsia="Calibri" w:hAnsi="Palatino Linotype" w:cs="Arial"/>
          <w:color w:val="000000" w:themeColor="text1"/>
          <w:sz w:val="24"/>
        </w:rPr>
        <w:t xml:space="preserve">solicitada y que corresponde a la Secretaría de la Contraloría del Estado de México conocer de la información solicitada. </w:t>
      </w:r>
    </w:p>
    <w:p w:rsidR="00991C1C" w:rsidRPr="006F4AC6" w:rsidRDefault="00991C1C" w:rsidP="006F4AC6">
      <w:pPr>
        <w:pStyle w:val="Default"/>
        <w:numPr>
          <w:ilvl w:val="0"/>
          <w:numId w:val="2"/>
        </w:numPr>
        <w:tabs>
          <w:tab w:val="left" w:pos="0"/>
        </w:tabs>
        <w:spacing w:before="240" w:after="360" w:line="360" w:lineRule="auto"/>
        <w:ind w:left="0" w:firstLine="0"/>
        <w:jc w:val="both"/>
        <w:rPr>
          <w:rFonts w:ascii="Palatino Linotype" w:hAnsi="Palatino Linotype"/>
          <w:color w:val="000000" w:themeColor="text1"/>
        </w:rPr>
      </w:pPr>
      <w:r w:rsidRPr="006F4AC6">
        <w:rPr>
          <w:rFonts w:ascii="Palatino Linotype" w:hAnsi="Palatino Linotype"/>
          <w:color w:val="000000" w:themeColor="text1"/>
        </w:rPr>
        <w:t xml:space="preserve">Asimismo, la </w:t>
      </w:r>
      <w:r w:rsidRPr="006F4AC6">
        <w:rPr>
          <w:rFonts w:ascii="Palatino Linotype" w:hAnsi="Palatino Linotype"/>
          <w:b/>
          <w:color w:val="000000" w:themeColor="text1"/>
        </w:rPr>
        <w:t>Ley de Transparencia y Acceso a la Información Pública del Estado de México y Municipios</w:t>
      </w:r>
      <w:r w:rsidRPr="006F4AC6">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6F4AC6">
        <w:rPr>
          <w:rFonts w:ascii="Palatino Linotype" w:hAnsi="Palatino Linotype"/>
          <w:b/>
          <w:color w:val="000000" w:themeColor="text1"/>
        </w:rPr>
        <w:t>veracidad</w:t>
      </w:r>
      <w:r w:rsidRPr="006F4AC6">
        <w:rPr>
          <w:rFonts w:ascii="Palatino Linotype" w:hAnsi="Palatino Linotype"/>
          <w:color w:val="000000" w:themeColor="text1"/>
        </w:rPr>
        <w:t>, oportunidad entre otros, numeral en comento que a la letra señala:</w:t>
      </w:r>
    </w:p>
    <w:p w:rsidR="00991C1C" w:rsidRPr="006F4AC6" w:rsidRDefault="00991C1C" w:rsidP="006F4AC6">
      <w:pPr>
        <w:pStyle w:val="Prrafodelista"/>
        <w:spacing w:line="276" w:lineRule="auto"/>
        <w:ind w:left="0"/>
        <w:jc w:val="both"/>
        <w:rPr>
          <w:rFonts w:ascii="Palatino Linotype" w:hAnsi="Palatino Linotype" w:cs="Arial"/>
          <w:i/>
          <w:color w:val="000000" w:themeColor="text1"/>
          <w:sz w:val="24"/>
        </w:rPr>
      </w:pPr>
      <w:r w:rsidRPr="006F4AC6">
        <w:rPr>
          <w:rFonts w:ascii="Palatino Linotype" w:hAnsi="Palatino Linotype" w:cs="Arial"/>
          <w:i/>
          <w:color w:val="000000" w:themeColor="text1"/>
          <w:sz w:val="24"/>
        </w:rPr>
        <w:t xml:space="preserve">“Artículo 4.- </w:t>
      </w:r>
    </w:p>
    <w:p w:rsidR="00991C1C" w:rsidRPr="006F4AC6" w:rsidRDefault="00991C1C" w:rsidP="006F4AC6">
      <w:pPr>
        <w:pStyle w:val="Prrafodelista"/>
        <w:spacing w:line="276" w:lineRule="auto"/>
        <w:ind w:left="0"/>
        <w:jc w:val="both"/>
        <w:rPr>
          <w:rFonts w:ascii="Palatino Linotype" w:hAnsi="Palatino Linotype" w:cs="Arial"/>
          <w:i/>
          <w:color w:val="000000" w:themeColor="text1"/>
          <w:sz w:val="24"/>
        </w:rPr>
      </w:pPr>
      <w:r w:rsidRPr="006F4AC6">
        <w:rPr>
          <w:rFonts w:ascii="Palatino Linotype" w:hAnsi="Palatino Linotype" w:cs="Arial"/>
          <w:i/>
          <w:color w:val="000000" w:themeColor="text1"/>
          <w:sz w:val="24"/>
        </w:rPr>
        <w:t>..</w:t>
      </w:r>
    </w:p>
    <w:p w:rsidR="00991C1C" w:rsidRPr="006F4AC6" w:rsidRDefault="00991C1C" w:rsidP="006F4AC6">
      <w:pPr>
        <w:pStyle w:val="Prrafodelista"/>
        <w:spacing w:line="276" w:lineRule="auto"/>
        <w:ind w:left="0"/>
        <w:jc w:val="both"/>
        <w:rPr>
          <w:rFonts w:ascii="Palatino Linotype" w:hAnsi="Palatino Linotype" w:cs="Arial"/>
          <w:i/>
          <w:color w:val="000000" w:themeColor="text1"/>
          <w:sz w:val="24"/>
        </w:rPr>
      </w:pPr>
      <w:r w:rsidRPr="006F4AC6">
        <w:rPr>
          <w:rFonts w:ascii="Palatino Linotype" w:hAnsi="Palatino Linotype" w:cs="Arial"/>
          <w:i/>
          <w:color w:val="000000" w:themeColor="text1"/>
          <w:sz w:val="24"/>
        </w:rPr>
        <w:lastRenderedPageBreak/>
        <w:t>Los sujetos obligados deben poner en práctica, políticas y programas de acceso a la información que se apeguen a criterios de publicidad, veracidad, oportunidad, precisión y suficiencia en beneficio de los solicitantes.</w:t>
      </w:r>
    </w:p>
    <w:p w:rsidR="00991C1C" w:rsidRPr="006F4AC6" w:rsidRDefault="00991C1C" w:rsidP="006F4AC6">
      <w:pPr>
        <w:pStyle w:val="Prrafodelista"/>
        <w:spacing w:line="276" w:lineRule="auto"/>
        <w:ind w:left="0"/>
        <w:jc w:val="both"/>
        <w:rPr>
          <w:rFonts w:ascii="Palatino Linotype" w:hAnsi="Palatino Linotype" w:cs="Arial"/>
          <w:b/>
          <w:i/>
          <w:color w:val="000000" w:themeColor="text1"/>
          <w:sz w:val="24"/>
        </w:rPr>
      </w:pPr>
      <w:r w:rsidRPr="006F4AC6">
        <w:rPr>
          <w:rFonts w:ascii="Palatino Linotype" w:hAnsi="Palatino Linotype" w:cs="Arial"/>
          <w:i/>
          <w:color w:val="000000" w:themeColor="text1"/>
          <w:sz w:val="24"/>
        </w:rPr>
        <w:t>…”</w:t>
      </w:r>
    </w:p>
    <w:p w:rsidR="00991C1C" w:rsidRPr="006F4AC6" w:rsidRDefault="00991C1C" w:rsidP="006F4AC6">
      <w:pPr>
        <w:pStyle w:val="Prrafodelista"/>
        <w:tabs>
          <w:tab w:val="left" w:pos="709"/>
        </w:tabs>
        <w:spacing w:line="360" w:lineRule="auto"/>
        <w:ind w:left="0"/>
        <w:jc w:val="both"/>
        <w:rPr>
          <w:rFonts w:ascii="Palatino Linotype" w:hAnsi="Palatino Linotype" w:cs="Arial"/>
          <w:noProof/>
          <w:color w:val="000000" w:themeColor="text1"/>
          <w:sz w:val="24"/>
        </w:rPr>
      </w:pPr>
    </w:p>
    <w:p w:rsidR="00991C1C" w:rsidRPr="006F4AC6" w:rsidRDefault="00991C1C" w:rsidP="006F4AC6">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sz w:val="24"/>
        </w:rPr>
      </w:pPr>
      <w:r w:rsidRPr="006F4AC6">
        <w:rPr>
          <w:rFonts w:ascii="Palatino Linotype" w:hAnsi="Palatino Linotype" w:cs="Arial"/>
          <w:noProof/>
          <w:color w:val="000000" w:themeColor="text1"/>
          <w:sz w:val="24"/>
        </w:rPr>
        <w:t xml:space="preserve">Numerales que compelen al </w:t>
      </w:r>
      <w:r w:rsidRPr="006F4AC6">
        <w:rPr>
          <w:rFonts w:ascii="Palatino Linotype" w:hAnsi="Palatino Linotype" w:cs="Arial"/>
          <w:b/>
          <w:noProof/>
          <w:color w:val="000000" w:themeColor="text1"/>
          <w:sz w:val="24"/>
        </w:rPr>
        <w:t>SUJETO OBLIGADO</w:t>
      </w:r>
      <w:r w:rsidRPr="006F4AC6">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p>
    <w:p w:rsidR="00991C1C" w:rsidRPr="006F4AC6" w:rsidRDefault="00991C1C" w:rsidP="006F4AC6">
      <w:pPr>
        <w:pStyle w:val="Prrafodelista"/>
        <w:shd w:val="clear" w:color="auto" w:fill="FFFFFF"/>
        <w:tabs>
          <w:tab w:val="left" w:pos="284"/>
        </w:tabs>
        <w:spacing w:before="240" w:after="240" w:line="360" w:lineRule="auto"/>
        <w:ind w:left="0"/>
        <w:jc w:val="both"/>
        <w:rPr>
          <w:rFonts w:ascii="Palatino Linotype" w:hAnsi="Palatino Linotype" w:cs="Arial"/>
          <w:color w:val="000000" w:themeColor="text1"/>
          <w:sz w:val="24"/>
          <w:lang w:val="es-ES_tradnl"/>
        </w:rPr>
      </w:pPr>
    </w:p>
    <w:bookmarkEnd w:id="9"/>
    <w:p w:rsidR="00F956F0" w:rsidRPr="006F4AC6" w:rsidRDefault="00F956F0" w:rsidP="006F4AC6">
      <w:pPr>
        <w:pStyle w:val="Prrafodelista"/>
        <w:numPr>
          <w:ilvl w:val="0"/>
          <w:numId w:val="1"/>
        </w:numPr>
        <w:spacing w:line="360" w:lineRule="auto"/>
        <w:ind w:left="0" w:firstLine="0"/>
        <w:jc w:val="both"/>
        <w:rPr>
          <w:rFonts w:ascii="Palatino Linotype" w:hAnsi="Palatino Linotype"/>
          <w:color w:val="000000" w:themeColor="text1"/>
          <w:sz w:val="24"/>
        </w:rPr>
      </w:pPr>
      <w:r w:rsidRPr="006F4AC6">
        <w:rPr>
          <w:rFonts w:ascii="Palatino Linotype" w:eastAsia="MS Gothic" w:hAnsi="Palatino Linotype" w:cstheme="majorBidi"/>
          <w:color w:val="000000" w:themeColor="text1"/>
          <w:sz w:val="24"/>
          <w:lang w:val="es-ES"/>
        </w:rPr>
        <w:t xml:space="preserve">Atento a todo lo anteriormente señalado, resultan infundadas las razones o motivos de </w:t>
      </w:r>
      <w:r w:rsidRPr="006F4AC6">
        <w:rPr>
          <w:rFonts w:ascii="Palatino Linotype" w:eastAsia="MS Gothic" w:hAnsi="Palatino Linotype" w:cstheme="majorBidi"/>
          <w:color w:val="000000" w:themeColor="text1"/>
          <w:sz w:val="24"/>
        </w:rPr>
        <w:t xml:space="preserve">inconformidad hechos valer por el </w:t>
      </w:r>
      <w:r w:rsidRPr="006F4AC6">
        <w:rPr>
          <w:rFonts w:ascii="Palatino Linotype" w:eastAsia="MS Gothic" w:hAnsi="Palatino Linotype" w:cstheme="majorBidi"/>
          <w:b/>
          <w:color w:val="000000" w:themeColor="text1"/>
          <w:sz w:val="24"/>
        </w:rPr>
        <w:t>RECURRENTE, y</w:t>
      </w:r>
      <w:r w:rsidRPr="006F4AC6">
        <w:rPr>
          <w:rFonts w:ascii="Palatino Linotype" w:eastAsia="MS Gothic" w:hAnsi="Palatino Linotype" w:cstheme="majorBidi"/>
          <w:color w:val="000000" w:themeColor="text1"/>
          <w:sz w:val="24"/>
          <w:lang w:val="es-ES_tradnl"/>
        </w:rPr>
        <w:t xml:space="preserve"> en términos del artículo 186 fracción </w:t>
      </w:r>
      <w:bookmarkStart w:id="10" w:name="_GoBack"/>
      <w:bookmarkEnd w:id="10"/>
      <w:r w:rsidRPr="006F4AC6">
        <w:rPr>
          <w:rFonts w:ascii="Palatino Linotype" w:eastAsia="MS Gothic" w:hAnsi="Palatino Linotype" w:cstheme="majorBidi"/>
          <w:color w:val="000000" w:themeColor="text1"/>
          <w:sz w:val="24"/>
          <w:lang w:val="es-ES_tradnl"/>
        </w:rPr>
        <w:t xml:space="preserve">II este Pleno determina procedente </w:t>
      </w:r>
      <w:r w:rsidRPr="006F4AC6">
        <w:rPr>
          <w:rFonts w:ascii="Palatino Linotype" w:eastAsia="MS Gothic" w:hAnsi="Palatino Linotype" w:cstheme="majorBidi"/>
          <w:b/>
          <w:color w:val="000000" w:themeColor="text1"/>
          <w:sz w:val="24"/>
          <w:lang w:val="es-ES_tradnl"/>
        </w:rPr>
        <w:t>CONFIRMAR</w:t>
      </w:r>
      <w:r w:rsidRPr="006F4AC6">
        <w:rPr>
          <w:rFonts w:ascii="Palatino Linotype" w:eastAsia="MS Gothic" w:hAnsi="Palatino Linotype" w:cstheme="majorBidi"/>
          <w:color w:val="000000" w:themeColor="text1"/>
          <w:sz w:val="24"/>
          <w:lang w:val="es-ES_tradnl"/>
        </w:rPr>
        <w:t xml:space="preserve"> la respuesta del presente recurso de revisión, toda vez que no hubo afectación al derecho de acceso a la información pública establecido constitucionalmente a favor del particular.</w:t>
      </w:r>
    </w:p>
    <w:p w:rsidR="00991C1C" w:rsidRPr="006F4AC6" w:rsidRDefault="00991C1C" w:rsidP="006F4AC6">
      <w:pPr>
        <w:pStyle w:val="Prrafodelista"/>
        <w:ind w:left="0"/>
        <w:rPr>
          <w:rFonts w:ascii="Palatino Linotype" w:hAnsi="Palatino Linotype" w:cs="Arial"/>
          <w:color w:val="000000" w:themeColor="text1"/>
          <w:sz w:val="24"/>
        </w:rPr>
      </w:pPr>
    </w:p>
    <w:p w:rsidR="00991C1C" w:rsidRPr="006F4AC6" w:rsidRDefault="00991C1C" w:rsidP="006F4AC6">
      <w:pPr>
        <w:pStyle w:val="Prrafodelista"/>
        <w:numPr>
          <w:ilvl w:val="0"/>
          <w:numId w:val="2"/>
        </w:numPr>
        <w:tabs>
          <w:tab w:val="left" w:pos="567"/>
        </w:tabs>
        <w:spacing w:line="360" w:lineRule="auto"/>
        <w:ind w:left="0" w:firstLine="0"/>
        <w:jc w:val="both"/>
        <w:rPr>
          <w:rFonts w:ascii="Palatino Linotype" w:eastAsia="Calibri" w:hAnsi="Palatino Linotype" w:cs="Arial"/>
          <w:color w:val="000000" w:themeColor="text1"/>
          <w:sz w:val="24"/>
        </w:rPr>
      </w:pPr>
      <w:r w:rsidRPr="006F4AC6">
        <w:rPr>
          <w:rFonts w:ascii="Palatino Linotype" w:hAnsi="Palatino Linotype" w:cs="Arial"/>
          <w:color w:val="000000" w:themeColor="text1"/>
          <w:sz w:val="24"/>
          <w:lang w:eastAsia="es-MX"/>
        </w:rPr>
        <w:t xml:space="preserve">Por lo anteriormente expuesto y fundado, este </w:t>
      </w:r>
      <w:r w:rsidRPr="006F4AC6">
        <w:rPr>
          <w:rFonts w:ascii="Palatino Linotype" w:hAnsi="Palatino Linotype" w:cs="Arial"/>
          <w:b/>
          <w:bCs/>
          <w:color w:val="000000" w:themeColor="text1"/>
          <w:sz w:val="24"/>
          <w:lang w:eastAsia="es-MX"/>
        </w:rPr>
        <w:t>ÓRGANO GARANTE</w:t>
      </w:r>
      <w:r w:rsidRPr="006F4AC6">
        <w:rPr>
          <w:rFonts w:ascii="Palatino Linotype" w:hAnsi="Palatino Linotype" w:cs="Arial"/>
          <w:color w:val="000000" w:themeColor="text1"/>
          <w:sz w:val="24"/>
          <w:lang w:eastAsia="es-MX"/>
        </w:rPr>
        <w:t xml:space="preserve"> emite los siguientes:</w:t>
      </w:r>
    </w:p>
    <w:p w:rsidR="00991C1C" w:rsidRPr="006F4AC6" w:rsidRDefault="00991C1C" w:rsidP="006F4AC6">
      <w:pPr>
        <w:pStyle w:val="Ttulo1"/>
        <w:jc w:val="center"/>
        <w:rPr>
          <w:rFonts w:ascii="Palatino Linotype" w:hAnsi="Palatino Linotype"/>
          <w:b/>
          <w:color w:val="000000" w:themeColor="text1"/>
          <w:sz w:val="24"/>
          <w:szCs w:val="24"/>
        </w:rPr>
      </w:pPr>
      <w:bookmarkStart w:id="11" w:name="_Toc4061692"/>
      <w:bookmarkStart w:id="12" w:name="_Toc486525261"/>
      <w:bookmarkStart w:id="13" w:name="_Toc445745148"/>
      <w:bookmarkStart w:id="14" w:name="_Toc447699324"/>
      <w:bookmarkStart w:id="15" w:name="_Toc87549684"/>
      <w:r w:rsidRPr="006F4AC6">
        <w:rPr>
          <w:rFonts w:ascii="Palatino Linotype" w:hAnsi="Palatino Linotype"/>
          <w:b/>
          <w:color w:val="000000" w:themeColor="text1"/>
          <w:sz w:val="24"/>
          <w:szCs w:val="24"/>
        </w:rPr>
        <w:t>R E S O L U T I V O S</w:t>
      </w:r>
      <w:bookmarkEnd w:id="11"/>
      <w:bookmarkEnd w:id="12"/>
      <w:bookmarkEnd w:id="13"/>
      <w:bookmarkEnd w:id="14"/>
      <w:bookmarkEnd w:id="15"/>
    </w:p>
    <w:p w:rsidR="00991C1C" w:rsidRPr="006F4AC6" w:rsidRDefault="00991C1C" w:rsidP="006F4AC6">
      <w:pPr>
        <w:keepNext/>
        <w:keepLines/>
        <w:spacing w:line="360" w:lineRule="auto"/>
        <w:jc w:val="center"/>
        <w:outlineLvl w:val="0"/>
        <w:rPr>
          <w:rFonts w:ascii="Palatino Linotype" w:hAnsi="Palatino Linotype" w:cstheme="majorBidi"/>
          <w:b/>
          <w:bCs/>
          <w:color w:val="000000" w:themeColor="text1"/>
        </w:rPr>
      </w:pPr>
    </w:p>
    <w:p w:rsidR="00991C1C" w:rsidRPr="006F4AC6" w:rsidRDefault="00991C1C" w:rsidP="006F4AC6">
      <w:pPr>
        <w:spacing w:line="360" w:lineRule="auto"/>
        <w:jc w:val="both"/>
        <w:rPr>
          <w:rFonts w:ascii="Palatino Linotype" w:hAnsi="Palatino Linotype"/>
          <w:color w:val="000000" w:themeColor="text1"/>
        </w:rPr>
      </w:pPr>
      <w:r w:rsidRPr="006F4AC6">
        <w:rPr>
          <w:rFonts w:ascii="Palatino Linotype" w:hAnsi="Palatino Linotype" w:cs="Arial"/>
          <w:b/>
          <w:color w:val="000000" w:themeColor="text1"/>
        </w:rPr>
        <w:t xml:space="preserve">PRIMERO. </w:t>
      </w:r>
      <w:r w:rsidRPr="006F4AC6">
        <w:rPr>
          <w:rFonts w:ascii="Palatino Linotype" w:hAnsi="Palatino Linotype" w:cs="Arial"/>
          <w:color w:val="000000" w:themeColor="text1"/>
        </w:rPr>
        <w:t>Resultan infundadas las</w:t>
      </w:r>
      <w:r w:rsidRPr="006F4AC6">
        <w:rPr>
          <w:rFonts w:ascii="Palatino Linotype" w:hAnsi="Palatino Linotype" w:cs="Arial"/>
          <w:b/>
          <w:color w:val="000000" w:themeColor="text1"/>
        </w:rPr>
        <w:t xml:space="preserve"> </w:t>
      </w:r>
      <w:r w:rsidRPr="006F4AC6">
        <w:rPr>
          <w:rFonts w:ascii="Palatino Linotype" w:hAnsi="Palatino Linotype" w:cs="Arial"/>
          <w:color w:val="000000" w:themeColor="text1"/>
          <w:lang w:val="es-ES"/>
        </w:rPr>
        <w:t xml:space="preserve">razones o motivos de inconformidad hechos valer </w:t>
      </w:r>
      <w:r w:rsidRPr="006F4AC6">
        <w:rPr>
          <w:rFonts w:ascii="Palatino Linotype" w:eastAsia="Calibri" w:hAnsi="Palatino Linotype" w:cs="Arial"/>
          <w:color w:val="000000" w:themeColor="text1"/>
          <w:lang w:val="es-ES"/>
        </w:rPr>
        <w:t xml:space="preserve">en el recurso de revisión </w:t>
      </w:r>
      <w:r w:rsidR="00F956F0" w:rsidRPr="006F4AC6">
        <w:rPr>
          <w:rFonts w:ascii="Palatino Linotype" w:eastAsia="Calibri" w:hAnsi="Palatino Linotype" w:cs="Tahoma"/>
          <w:b/>
          <w:color w:val="000000" w:themeColor="text1"/>
          <w:lang w:eastAsia="en-US"/>
        </w:rPr>
        <w:t>12548</w:t>
      </w:r>
      <w:r w:rsidRPr="006F4AC6">
        <w:rPr>
          <w:rFonts w:ascii="Palatino Linotype" w:eastAsia="Calibri" w:hAnsi="Palatino Linotype" w:cs="Tahoma"/>
          <w:b/>
          <w:color w:val="000000" w:themeColor="text1"/>
          <w:lang w:eastAsia="en-US"/>
        </w:rPr>
        <w:t>/INFOEM/IP/RR/2025</w:t>
      </w:r>
      <w:r w:rsidRPr="006F4AC6">
        <w:rPr>
          <w:rFonts w:ascii="Palatino Linotype" w:hAnsi="Palatino Linotype"/>
          <w:b/>
          <w:color w:val="000000" w:themeColor="text1"/>
        </w:rPr>
        <w:t xml:space="preserve"> </w:t>
      </w:r>
      <w:r w:rsidRPr="006F4AC6">
        <w:rPr>
          <w:rFonts w:ascii="Palatino Linotype" w:hAnsi="Palatino Linotype"/>
          <w:color w:val="000000" w:themeColor="text1"/>
        </w:rPr>
        <w:t>en términos del</w:t>
      </w:r>
      <w:r w:rsidRPr="006F4AC6">
        <w:rPr>
          <w:rFonts w:ascii="Palatino Linotype" w:hAnsi="Palatino Linotype"/>
          <w:b/>
          <w:bCs/>
          <w:color w:val="000000" w:themeColor="text1"/>
        </w:rPr>
        <w:t xml:space="preserve"> Considerando</w:t>
      </w:r>
      <w:r w:rsidRPr="006F4AC6">
        <w:rPr>
          <w:rFonts w:ascii="Palatino Linotype" w:hAnsi="Palatino Linotype"/>
          <w:color w:val="000000" w:themeColor="text1"/>
        </w:rPr>
        <w:t xml:space="preserve"> </w:t>
      </w:r>
      <w:r w:rsidRPr="006F4AC6">
        <w:rPr>
          <w:rFonts w:ascii="Palatino Linotype" w:hAnsi="Palatino Linotype"/>
          <w:b/>
          <w:color w:val="000000" w:themeColor="text1"/>
        </w:rPr>
        <w:t>CUARTO</w:t>
      </w:r>
      <w:r w:rsidRPr="006F4AC6">
        <w:rPr>
          <w:rFonts w:ascii="Palatino Linotype" w:hAnsi="Palatino Linotype"/>
          <w:color w:val="000000" w:themeColor="text1"/>
        </w:rPr>
        <w:t xml:space="preserve"> de la presente resolución.</w:t>
      </w:r>
    </w:p>
    <w:p w:rsidR="00991C1C" w:rsidRPr="006F4AC6" w:rsidRDefault="00991C1C" w:rsidP="006F4AC6">
      <w:pPr>
        <w:spacing w:line="360" w:lineRule="auto"/>
        <w:contextualSpacing/>
        <w:jc w:val="both"/>
        <w:rPr>
          <w:rFonts w:ascii="Palatino Linotype" w:eastAsia="Calibri" w:hAnsi="Palatino Linotype" w:cs="Arial"/>
          <w:b/>
          <w:bCs/>
          <w:color w:val="000000" w:themeColor="text1"/>
          <w:lang w:val="es-ES"/>
        </w:rPr>
      </w:pPr>
    </w:p>
    <w:p w:rsidR="00991C1C" w:rsidRPr="006F4AC6" w:rsidRDefault="00991C1C" w:rsidP="006F4AC6">
      <w:pPr>
        <w:spacing w:line="360" w:lineRule="auto"/>
        <w:contextualSpacing/>
        <w:jc w:val="both"/>
        <w:rPr>
          <w:rFonts w:ascii="Palatino Linotype" w:eastAsia="Calibri" w:hAnsi="Palatino Linotype" w:cs="Arial"/>
          <w:color w:val="000000" w:themeColor="text1"/>
        </w:rPr>
      </w:pPr>
      <w:r w:rsidRPr="006F4AC6">
        <w:rPr>
          <w:rFonts w:ascii="Palatino Linotype" w:eastAsia="Calibri" w:hAnsi="Palatino Linotype" w:cs="Arial"/>
          <w:b/>
          <w:bCs/>
          <w:color w:val="000000" w:themeColor="text1"/>
          <w:lang w:val="es-ES"/>
        </w:rPr>
        <w:lastRenderedPageBreak/>
        <w:t xml:space="preserve">SEGUNDO. </w:t>
      </w:r>
      <w:r w:rsidRPr="006F4AC6">
        <w:rPr>
          <w:rFonts w:ascii="Palatino Linotype" w:eastAsia="Calibri" w:hAnsi="Palatino Linotype" w:cs="Arial"/>
          <w:color w:val="000000" w:themeColor="text1"/>
          <w:lang w:val="es-ES"/>
        </w:rPr>
        <w:t xml:space="preserve">Se </w:t>
      </w:r>
      <w:r w:rsidRPr="006F4AC6">
        <w:rPr>
          <w:rFonts w:ascii="Palatino Linotype" w:eastAsia="Calibri" w:hAnsi="Palatino Linotype" w:cs="Arial"/>
          <w:b/>
          <w:color w:val="000000" w:themeColor="text1"/>
          <w:lang w:val="es-ES"/>
        </w:rPr>
        <w:t>CONFIRMA</w:t>
      </w:r>
      <w:r w:rsidRPr="006F4AC6">
        <w:rPr>
          <w:rFonts w:ascii="Palatino Linotype" w:eastAsia="Calibri" w:hAnsi="Palatino Linotype" w:cs="Arial"/>
          <w:color w:val="000000" w:themeColor="text1"/>
          <w:lang w:val="es-ES"/>
        </w:rPr>
        <w:t xml:space="preserve"> la respuesta emitida por </w:t>
      </w:r>
      <w:r w:rsidRPr="006F4AC6">
        <w:rPr>
          <w:rFonts w:ascii="Palatino Linotype" w:eastAsia="Calibri" w:hAnsi="Palatino Linotype" w:cs="Arial"/>
          <w:b/>
          <w:color w:val="000000" w:themeColor="text1"/>
          <w:lang w:val="es-ES"/>
        </w:rPr>
        <w:t xml:space="preserve">el </w:t>
      </w:r>
      <w:r w:rsidR="00F956F0" w:rsidRPr="006F4AC6">
        <w:rPr>
          <w:rFonts w:ascii="Palatino Linotype" w:eastAsia="Calibri" w:hAnsi="Palatino Linotype" w:cs="Arial"/>
          <w:b/>
          <w:bCs/>
          <w:color w:val="000000" w:themeColor="text1"/>
        </w:rPr>
        <w:t>Consejo Estatal para el Desarrollo Integral de Los Pueblos Indígenas del Estado de México</w:t>
      </w:r>
      <w:r w:rsidRPr="006F4AC6">
        <w:rPr>
          <w:rFonts w:ascii="Palatino Linotype" w:eastAsia="Calibri" w:hAnsi="Palatino Linotype" w:cs="Arial"/>
          <w:bCs/>
          <w:color w:val="000000" w:themeColor="text1"/>
        </w:rPr>
        <w:t xml:space="preserve"> a la solicitud </w:t>
      </w:r>
      <w:bookmarkStart w:id="16" w:name="_Toc460947013"/>
      <w:r w:rsidR="00F956F0" w:rsidRPr="006F4AC6">
        <w:rPr>
          <w:rFonts w:ascii="Palatino Linotype" w:hAnsi="Palatino Linotype" w:cs="Arial"/>
          <w:b/>
          <w:bCs/>
          <w:color w:val="000000" w:themeColor="text1"/>
        </w:rPr>
        <w:t>00122/CEDIPIEM/IP/2025</w:t>
      </w:r>
      <w:r w:rsidRPr="006F4AC6">
        <w:rPr>
          <w:rFonts w:ascii="Palatino Linotype" w:eastAsia="Calibri" w:hAnsi="Palatino Linotype" w:cs="Arial"/>
          <w:color w:val="000000" w:themeColor="text1"/>
        </w:rPr>
        <w:t>.</w:t>
      </w:r>
    </w:p>
    <w:p w:rsidR="00991C1C" w:rsidRPr="006F4AC6" w:rsidRDefault="00991C1C" w:rsidP="006F4AC6">
      <w:pPr>
        <w:tabs>
          <w:tab w:val="left" w:pos="993"/>
        </w:tabs>
        <w:spacing w:line="360" w:lineRule="auto"/>
        <w:jc w:val="both"/>
        <w:rPr>
          <w:rFonts w:ascii="Palatino Linotype" w:eastAsia="Calibri" w:hAnsi="Palatino Linotype" w:cs="Arial"/>
          <w:color w:val="000000" w:themeColor="text1"/>
        </w:rPr>
      </w:pPr>
    </w:p>
    <w:p w:rsidR="00991C1C" w:rsidRPr="006F4AC6" w:rsidRDefault="00991C1C" w:rsidP="006F4AC6">
      <w:pPr>
        <w:tabs>
          <w:tab w:val="left" w:pos="8080"/>
        </w:tabs>
        <w:spacing w:line="360" w:lineRule="auto"/>
        <w:contextualSpacing/>
        <w:jc w:val="both"/>
        <w:rPr>
          <w:rFonts w:ascii="Palatino Linotype" w:eastAsia="Palatino Linotype" w:hAnsi="Palatino Linotype" w:cs="Palatino Linotype"/>
          <w:b/>
          <w:color w:val="000000" w:themeColor="text1"/>
        </w:rPr>
      </w:pPr>
      <w:r w:rsidRPr="006F4AC6">
        <w:rPr>
          <w:rFonts w:ascii="Palatino Linotype" w:eastAsia="MS Mincho" w:hAnsi="Palatino Linotype"/>
          <w:b/>
          <w:color w:val="000000" w:themeColor="text1"/>
        </w:rPr>
        <w:t>TERCERO.</w:t>
      </w:r>
      <w:r w:rsidRPr="006F4AC6">
        <w:rPr>
          <w:rFonts w:ascii="Palatino Linotype" w:eastAsia="MS Mincho" w:hAnsi="Palatino Linotype"/>
          <w:color w:val="000000" w:themeColor="text1"/>
        </w:rPr>
        <w:t xml:space="preserve"> </w:t>
      </w:r>
      <w:bookmarkEnd w:id="16"/>
      <w:r w:rsidRPr="006F4AC6">
        <w:rPr>
          <w:rFonts w:ascii="Palatino Linotype" w:eastAsia="Palatino Linotype" w:hAnsi="Palatino Linotype" w:cs="Palatino Linotype"/>
          <w:b/>
          <w:color w:val="000000" w:themeColor="text1"/>
        </w:rPr>
        <w:t xml:space="preserve">Notifíquese, </w:t>
      </w:r>
      <w:r w:rsidRPr="006F4AC6">
        <w:rPr>
          <w:rFonts w:ascii="Palatino Linotype" w:eastAsia="Palatino Linotype" w:hAnsi="Palatino Linotype" w:cs="Palatino Linotype"/>
          <w:color w:val="000000" w:themeColor="text1"/>
        </w:rPr>
        <w:t xml:space="preserve">vía Sistema de Acceso a la Información Mexiquense (SAIMEX), la presente resolución a la Titular de la Unidad de Transparencia del </w:t>
      </w:r>
      <w:r w:rsidRPr="006F4AC6">
        <w:rPr>
          <w:rFonts w:ascii="Palatino Linotype" w:eastAsia="Palatino Linotype" w:hAnsi="Palatino Linotype" w:cs="Palatino Linotype"/>
          <w:b/>
          <w:color w:val="000000" w:themeColor="text1"/>
        </w:rPr>
        <w:t>SUJETO OBLIGADO.</w:t>
      </w:r>
    </w:p>
    <w:p w:rsidR="00991C1C" w:rsidRPr="006F4AC6" w:rsidRDefault="00991C1C" w:rsidP="006F4AC6">
      <w:pPr>
        <w:tabs>
          <w:tab w:val="left" w:pos="8080"/>
        </w:tabs>
        <w:spacing w:line="360" w:lineRule="auto"/>
        <w:contextualSpacing/>
        <w:jc w:val="both"/>
        <w:rPr>
          <w:rFonts w:ascii="Palatino Linotype" w:eastAsia="Palatino Linotype" w:hAnsi="Palatino Linotype" w:cs="Palatino Linotype"/>
          <w:b/>
          <w:color w:val="000000" w:themeColor="text1"/>
        </w:rPr>
      </w:pPr>
    </w:p>
    <w:p w:rsidR="00991C1C" w:rsidRPr="006F4AC6" w:rsidRDefault="00991C1C" w:rsidP="006F4AC6">
      <w:pPr>
        <w:shd w:val="clear" w:color="auto" w:fill="FFFFFF"/>
        <w:spacing w:line="360" w:lineRule="auto"/>
        <w:jc w:val="both"/>
        <w:rPr>
          <w:rFonts w:ascii="Palatino Linotype" w:hAnsi="Palatino Linotype"/>
          <w:color w:val="000000" w:themeColor="text1"/>
        </w:rPr>
      </w:pPr>
      <w:r w:rsidRPr="006F4AC6">
        <w:rPr>
          <w:rFonts w:ascii="Palatino Linotype" w:hAnsi="Palatino Linotype" w:cs="Arial"/>
          <w:b/>
          <w:color w:val="000000" w:themeColor="text1"/>
        </w:rPr>
        <w:t xml:space="preserve">CUARTO. </w:t>
      </w:r>
      <w:r w:rsidRPr="006F4AC6">
        <w:rPr>
          <w:rFonts w:ascii="Palatino Linotype" w:hAnsi="Palatino Linotype"/>
          <w:b/>
          <w:bCs/>
          <w:color w:val="000000" w:themeColor="text1"/>
          <w:lang w:val="es-ES"/>
        </w:rPr>
        <w:t>Notifíquese al</w:t>
      </w:r>
      <w:r w:rsidRPr="006F4AC6">
        <w:rPr>
          <w:rFonts w:ascii="Palatino Linotype" w:hAnsi="Palatino Linotype"/>
          <w:b/>
          <w:color w:val="000000" w:themeColor="text1"/>
        </w:rPr>
        <w:t xml:space="preserve"> RECURRENTE</w:t>
      </w:r>
      <w:r w:rsidRPr="006F4AC6">
        <w:rPr>
          <w:rFonts w:ascii="Palatino Linotype" w:hAnsi="Palatino Linotype"/>
          <w:color w:val="000000" w:themeColor="text1"/>
        </w:rPr>
        <w:t xml:space="preserve"> la presente resolución, </w:t>
      </w:r>
      <w:r w:rsidRPr="006F4AC6">
        <w:rPr>
          <w:rFonts w:ascii="Palatino Linotype" w:eastAsia="Palatino Linotype" w:hAnsi="Palatino Linotype" w:cs="Palatino Linotype"/>
          <w:color w:val="000000" w:themeColor="text1"/>
        </w:rPr>
        <w:t>vía Sistema de Acceso a la Información Mexiquense (SAIMEX).</w:t>
      </w:r>
    </w:p>
    <w:p w:rsidR="00991C1C" w:rsidRPr="006F4AC6" w:rsidRDefault="00991C1C" w:rsidP="006F4AC6">
      <w:pPr>
        <w:shd w:val="clear" w:color="auto" w:fill="FFFFFF"/>
        <w:spacing w:line="360" w:lineRule="auto"/>
        <w:jc w:val="both"/>
        <w:rPr>
          <w:rFonts w:ascii="Palatino Linotype" w:hAnsi="Palatino Linotype"/>
          <w:color w:val="000000" w:themeColor="text1"/>
        </w:rPr>
      </w:pPr>
    </w:p>
    <w:p w:rsidR="00991C1C" w:rsidRPr="006F4AC6" w:rsidRDefault="00991C1C" w:rsidP="006F4AC6">
      <w:pPr>
        <w:spacing w:line="360" w:lineRule="auto"/>
        <w:jc w:val="both"/>
        <w:rPr>
          <w:rFonts w:ascii="Palatino Linotype" w:eastAsia="MS Mincho" w:hAnsi="Palatino Linotype"/>
          <w:color w:val="000000" w:themeColor="text1"/>
          <w:lang w:val="es-ES"/>
        </w:rPr>
      </w:pPr>
      <w:r w:rsidRPr="006F4AC6">
        <w:rPr>
          <w:rFonts w:ascii="Palatino Linotype" w:eastAsia="MS Mincho" w:hAnsi="Palatino Linotype"/>
          <w:b/>
          <w:color w:val="000000" w:themeColor="text1"/>
        </w:rPr>
        <w:t>QUINTO.</w:t>
      </w:r>
      <w:r w:rsidRPr="006F4AC6">
        <w:rPr>
          <w:rFonts w:ascii="Palatino Linotype" w:eastAsia="MS Mincho" w:hAnsi="Palatino Linotype"/>
          <w:color w:val="000000" w:themeColor="text1"/>
        </w:rPr>
        <w:t xml:space="preserve"> </w:t>
      </w:r>
      <w:r w:rsidRPr="006F4AC6">
        <w:rPr>
          <w:rFonts w:ascii="Palatino Linotype" w:eastAsia="MS Mincho" w:hAnsi="Palatino Linotype"/>
          <w:color w:val="000000" w:themeColor="text1"/>
          <w:lang w:val="es-ES"/>
        </w:rPr>
        <w:t xml:space="preserve">Se hace del conocimiento del </w:t>
      </w:r>
      <w:r w:rsidRPr="006F4AC6">
        <w:rPr>
          <w:rFonts w:ascii="Palatino Linotype" w:eastAsia="MS Mincho" w:hAnsi="Palatino Linotype"/>
          <w:b/>
          <w:color w:val="000000" w:themeColor="text1"/>
          <w:lang w:val="es-ES"/>
        </w:rPr>
        <w:t>RECURRENTE</w:t>
      </w:r>
      <w:r w:rsidRPr="006F4AC6">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F4AC6">
        <w:rPr>
          <w:rFonts w:ascii="Palatino Linotype" w:eastAsia="MS Mincho" w:hAnsi="Palatino Linotype"/>
          <w:bCs/>
          <w:color w:val="000000" w:themeColor="text1"/>
          <w:lang w:val="es-ES"/>
        </w:rPr>
        <w:t>vía juicio de amparo</w:t>
      </w:r>
      <w:r w:rsidRPr="006F4AC6">
        <w:rPr>
          <w:rFonts w:ascii="Palatino Linotype" w:eastAsia="MS Mincho" w:hAnsi="Palatino Linotype"/>
          <w:color w:val="000000" w:themeColor="text1"/>
          <w:lang w:val="es-ES"/>
        </w:rPr>
        <w:t xml:space="preserve"> en los términos de las leyes aplicables.</w:t>
      </w:r>
    </w:p>
    <w:p w:rsidR="00991C1C" w:rsidRPr="006F4AC6" w:rsidRDefault="0001175E" w:rsidP="006F4AC6">
      <w:pPr>
        <w:spacing w:before="240" w:after="360" w:line="360" w:lineRule="auto"/>
        <w:jc w:val="both"/>
        <w:rPr>
          <w:rFonts w:ascii="Palatino Linotype" w:hAnsi="Palatino Linotype"/>
          <w:color w:val="000000" w:themeColor="text1"/>
          <w:lang w:val="es-ES"/>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 xml:space="preserve">SESIÓN </w:t>
      </w:r>
      <w:r w:rsidRPr="00575AE2">
        <w:rPr>
          <w:rFonts w:ascii="Palatino Linotype" w:eastAsia="Palatino Linotype" w:hAnsi="Palatino Linotype" w:cs="Palatino Linotype"/>
        </w:rPr>
        <w:lastRenderedPageBreak/>
        <w:t>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991C1C" w:rsidRPr="006F4AC6" w:rsidRDefault="00991C1C" w:rsidP="006F4AC6">
      <w:pPr>
        <w:spacing w:before="240" w:after="360" w:line="360" w:lineRule="auto"/>
        <w:jc w:val="both"/>
        <w:rPr>
          <w:rFonts w:ascii="Palatino Linotype" w:hAnsi="Palatino Linotype"/>
          <w:color w:val="000000" w:themeColor="text1"/>
          <w:lang w:val="es-ES"/>
        </w:rPr>
      </w:pPr>
    </w:p>
    <w:p w:rsidR="00991C1C" w:rsidRPr="006F4AC6" w:rsidRDefault="00991C1C" w:rsidP="006F4AC6">
      <w:pPr>
        <w:spacing w:before="240" w:after="360" w:line="360" w:lineRule="auto"/>
        <w:jc w:val="both"/>
        <w:rPr>
          <w:rFonts w:ascii="Palatino Linotype" w:hAnsi="Palatino Linotype"/>
          <w:color w:val="000000" w:themeColor="text1"/>
          <w:lang w:val="es-ES"/>
        </w:rPr>
      </w:pPr>
    </w:p>
    <w:p w:rsidR="00991C1C" w:rsidRPr="006F4AC6" w:rsidRDefault="00991C1C" w:rsidP="006F4AC6">
      <w:pPr>
        <w:spacing w:before="240" w:after="360" w:line="360" w:lineRule="auto"/>
        <w:jc w:val="both"/>
        <w:rPr>
          <w:rFonts w:ascii="Palatino Linotype" w:hAnsi="Palatino Linotype"/>
          <w:color w:val="000000" w:themeColor="text1"/>
          <w:lang w:val="es-ES"/>
        </w:rPr>
      </w:pPr>
    </w:p>
    <w:p w:rsidR="00991C1C" w:rsidRPr="006F4AC6" w:rsidRDefault="00991C1C" w:rsidP="006F4AC6">
      <w:pPr>
        <w:spacing w:before="240" w:after="360" w:line="360" w:lineRule="auto"/>
        <w:jc w:val="both"/>
        <w:rPr>
          <w:rFonts w:ascii="Palatino Linotype" w:hAnsi="Palatino Linotype"/>
          <w:color w:val="000000" w:themeColor="text1"/>
          <w:lang w:val="es-ES"/>
        </w:rPr>
      </w:pPr>
    </w:p>
    <w:p w:rsidR="00991C1C" w:rsidRPr="006F4AC6" w:rsidRDefault="00991C1C" w:rsidP="006F4AC6">
      <w:pPr>
        <w:spacing w:before="240" w:after="360" w:line="360" w:lineRule="auto"/>
        <w:jc w:val="both"/>
        <w:rPr>
          <w:rFonts w:ascii="Palatino Linotype" w:hAnsi="Palatino Linotype"/>
          <w:color w:val="000000" w:themeColor="text1"/>
          <w:lang w:val="es-ES"/>
        </w:rPr>
      </w:pPr>
    </w:p>
    <w:p w:rsidR="00991C1C" w:rsidRPr="006F4AC6" w:rsidRDefault="00991C1C" w:rsidP="006F4AC6">
      <w:pPr>
        <w:spacing w:before="240" w:after="360" w:line="360" w:lineRule="auto"/>
        <w:jc w:val="both"/>
        <w:rPr>
          <w:rFonts w:ascii="Palatino Linotype" w:hAnsi="Palatino Linotype"/>
          <w:color w:val="000000" w:themeColor="text1"/>
          <w:lang w:val="es-ES"/>
        </w:rPr>
      </w:pPr>
    </w:p>
    <w:p w:rsidR="00991C1C" w:rsidRPr="006F4AC6" w:rsidRDefault="00991C1C" w:rsidP="006F4AC6">
      <w:pPr>
        <w:spacing w:before="240" w:after="360" w:line="360" w:lineRule="auto"/>
        <w:jc w:val="both"/>
        <w:rPr>
          <w:rFonts w:ascii="Palatino Linotype" w:hAnsi="Palatino Linotype"/>
          <w:color w:val="000000" w:themeColor="text1"/>
          <w:lang w:val="es-ES"/>
        </w:rPr>
      </w:pPr>
    </w:p>
    <w:p w:rsidR="00991C1C" w:rsidRDefault="00991C1C" w:rsidP="006F4AC6">
      <w:pPr>
        <w:spacing w:before="240" w:after="360" w:line="360" w:lineRule="auto"/>
        <w:jc w:val="both"/>
        <w:rPr>
          <w:rFonts w:ascii="Palatino Linotype" w:hAnsi="Palatino Linotype"/>
          <w:color w:val="000000" w:themeColor="text1"/>
          <w:lang w:val="es-ES"/>
        </w:rPr>
      </w:pPr>
    </w:p>
    <w:p w:rsidR="00AC1C70" w:rsidRDefault="00AC1C70" w:rsidP="006F4AC6">
      <w:pPr>
        <w:spacing w:before="240" w:after="360" w:line="360" w:lineRule="auto"/>
        <w:jc w:val="both"/>
        <w:rPr>
          <w:rFonts w:ascii="Palatino Linotype" w:hAnsi="Palatino Linotype"/>
          <w:color w:val="000000" w:themeColor="text1"/>
          <w:lang w:val="es-ES"/>
        </w:rPr>
      </w:pPr>
    </w:p>
    <w:p w:rsidR="00AC1C70" w:rsidRDefault="00AC1C70" w:rsidP="006F4AC6">
      <w:pPr>
        <w:spacing w:before="240" w:after="360" w:line="360" w:lineRule="auto"/>
        <w:jc w:val="both"/>
        <w:rPr>
          <w:rFonts w:ascii="Palatino Linotype" w:hAnsi="Palatino Linotype"/>
          <w:color w:val="000000" w:themeColor="text1"/>
          <w:lang w:val="es-ES"/>
        </w:rPr>
      </w:pPr>
    </w:p>
    <w:p w:rsidR="00AC1C70" w:rsidRDefault="00AC1C70" w:rsidP="006F4AC6">
      <w:pPr>
        <w:spacing w:before="240" w:after="360" w:line="360" w:lineRule="auto"/>
        <w:jc w:val="both"/>
        <w:rPr>
          <w:rFonts w:ascii="Palatino Linotype" w:hAnsi="Palatino Linotype"/>
          <w:color w:val="000000" w:themeColor="text1"/>
          <w:lang w:val="es-ES"/>
        </w:rPr>
      </w:pPr>
    </w:p>
    <w:p w:rsidR="00AC1C70" w:rsidRDefault="00AC1C70" w:rsidP="006F4AC6">
      <w:pPr>
        <w:spacing w:before="240" w:after="360" w:line="360" w:lineRule="auto"/>
        <w:jc w:val="both"/>
        <w:rPr>
          <w:rFonts w:ascii="Palatino Linotype" w:hAnsi="Palatino Linotype"/>
          <w:color w:val="000000" w:themeColor="text1"/>
          <w:lang w:val="es-ES"/>
        </w:rPr>
      </w:pPr>
    </w:p>
    <w:p w:rsidR="00AC1C70" w:rsidRDefault="00AC1C70" w:rsidP="006F4AC6">
      <w:pPr>
        <w:spacing w:before="240" w:after="360" w:line="360" w:lineRule="auto"/>
        <w:jc w:val="both"/>
        <w:rPr>
          <w:rFonts w:ascii="Palatino Linotype" w:hAnsi="Palatino Linotype"/>
          <w:color w:val="000000" w:themeColor="text1"/>
          <w:lang w:val="es-ES"/>
        </w:rPr>
      </w:pPr>
    </w:p>
    <w:p w:rsidR="00AC1C70" w:rsidRDefault="00AC1C70" w:rsidP="006F4AC6">
      <w:pPr>
        <w:spacing w:before="240" w:after="360" w:line="360" w:lineRule="auto"/>
        <w:jc w:val="both"/>
        <w:rPr>
          <w:rFonts w:ascii="Palatino Linotype" w:hAnsi="Palatino Linotype"/>
          <w:color w:val="000000" w:themeColor="text1"/>
          <w:lang w:val="es-ES"/>
        </w:rPr>
      </w:pPr>
    </w:p>
    <w:p w:rsidR="00AC1C70" w:rsidRPr="006F4AC6" w:rsidRDefault="00AC1C70" w:rsidP="006F4AC6">
      <w:pPr>
        <w:spacing w:before="240" w:after="360" w:line="360" w:lineRule="auto"/>
        <w:jc w:val="both"/>
        <w:rPr>
          <w:rFonts w:ascii="Palatino Linotype" w:hAnsi="Palatino Linotype"/>
          <w:color w:val="000000" w:themeColor="text1"/>
          <w:lang w:val="es-ES"/>
        </w:rPr>
      </w:pPr>
    </w:p>
    <w:p w:rsidR="00991C1C" w:rsidRPr="006F4AC6" w:rsidRDefault="00991C1C" w:rsidP="006F4AC6">
      <w:pPr>
        <w:rPr>
          <w:rFonts w:ascii="Palatino Linotype" w:hAnsi="Palatino Linotype"/>
          <w:color w:val="000000" w:themeColor="text1"/>
        </w:rPr>
      </w:pPr>
    </w:p>
    <w:p w:rsidR="00991C1C" w:rsidRPr="006F4AC6" w:rsidRDefault="00991C1C" w:rsidP="006F4AC6">
      <w:pPr>
        <w:rPr>
          <w:rFonts w:ascii="Palatino Linotype" w:hAnsi="Palatino Linotype"/>
          <w:color w:val="000000" w:themeColor="text1"/>
        </w:rPr>
      </w:pPr>
    </w:p>
    <w:p w:rsidR="00991C1C" w:rsidRPr="006F4AC6" w:rsidRDefault="00991C1C" w:rsidP="006F4AC6">
      <w:pPr>
        <w:rPr>
          <w:rFonts w:ascii="Palatino Linotype" w:hAnsi="Palatino Linotype"/>
          <w:color w:val="000000" w:themeColor="text1"/>
        </w:rPr>
      </w:pPr>
    </w:p>
    <w:p w:rsidR="00991C1C" w:rsidRPr="006F4AC6" w:rsidRDefault="00991C1C" w:rsidP="006F4AC6">
      <w:pPr>
        <w:rPr>
          <w:rFonts w:ascii="Palatino Linotype" w:hAnsi="Palatino Linotype"/>
          <w:color w:val="000000" w:themeColor="text1"/>
        </w:rPr>
      </w:pPr>
    </w:p>
    <w:p w:rsidR="00991C1C" w:rsidRPr="006F4AC6" w:rsidRDefault="00991C1C" w:rsidP="006F4AC6">
      <w:pPr>
        <w:rPr>
          <w:rFonts w:ascii="Palatino Linotype" w:hAnsi="Palatino Linotype"/>
          <w:color w:val="000000" w:themeColor="text1"/>
        </w:rPr>
      </w:pPr>
    </w:p>
    <w:p w:rsidR="005A0DE3" w:rsidRPr="006F4AC6" w:rsidRDefault="005A0DE3" w:rsidP="006F4AC6">
      <w:pPr>
        <w:rPr>
          <w:rFonts w:ascii="Palatino Linotype" w:hAnsi="Palatino Linotype"/>
          <w:color w:val="000000" w:themeColor="text1"/>
        </w:rPr>
      </w:pPr>
    </w:p>
    <w:sectPr w:rsidR="005A0DE3" w:rsidRPr="006F4AC6" w:rsidSect="00AC1C70">
      <w:headerReference w:type="even" r:id="rId11"/>
      <w:headerReference w:type="default" r:id="rId12"/>
      <w:footerReference w:type="default" r:id="rId13"/>
      <w:headerReference w:type="first" r:id="rId14"/>
      <w:footerReference w:type="first" r:id="rId15"/>
      <w:pgSz w:w="12240" w:h="15840"/>
      <w:pgMar w:top="80" w:right="90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B38" w:rsidRDefault="00A46B38" w:rsidP="00991C1C">
      <w:r>
        <w:separator/>
      </w:r>
    </w:p>
  </w:endnote>
  <w:endnote w:type="continuationSeparator" w:id="0">
    <w:p w:rsidR="00A46B38" w:rsidRDefault="00A46B38" w:rsidP="0099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258595"/>
      <w:docPartObj>
        <w:docPartGallery w:val="AutoText"/>
      </w:docPartObj>
    </w:sdtPr>
    <w:sdtEndPr>
      <w:rPr>
        <w:rFonts w:ascii="Palatino Linotype" w:hAnsi="Palatino Linotype"/>
        <w:sz w:val="22"/>
        <w:szCs w:val="22"/>
      </w:rPr>
    </w:sdtEndPr>
    <w:sdtContent>
      <w:sdt>
        <w:sdtPr>
          <w:rPr>
            <w:rFonts w:ascii="Palatino Linotype" w:hAnsi="Palatino Linotype"/>
            <w:sz w:val="22"/>
            <w:szCs w:val="22"/>
          </w:rPr>
          <w:id w:val="36642971"/>
          <w:docPartObj>
            <w:docPartGallery w:val="AutoText"/>
          </w:docPartObj>
        </w:sdtPr>
        <w:sdtEndPr/>
        <w:sdtContent>
          <w:p w:rsidR="00DC6565" w:rsidRPr="00AC1C70" w:rsidRDefault="00DC6565">
            <w:pPr>
              <w:pStyle w:val="Piedepgina"/>
              <w:jc w:val="right"/>
              <w:rPr>
                <w:rFonts w:ascii="Palatino Linotype" w:hAnsi="Palatino Linotype"/>
                <w:sz w:val="22"/>
                <w:szCs w:val="22"/>
              </w:rPr>
            </w:pPr>
          </w:p>
          <w:p w:rsidR="00DC6565" w:rsidRPr="00AC1C70" w:rsidRDefault="00DC6565">
            <w:pPr>
              <w:pStyle w:val="Piedepgina"/>
              <w:jc w:val="right"/>
              <w:rPr>
                <w:rFonts w:ascii="Palatino Linotype" w:hAnsi="Palatino Linotype"/>
                <w:sz w:val="22"/>
                <w:szCs w:val="22"/>
              </w:rPr>
            </w:pPr>
            <w:r w:rsidRPr="00AC1C70">
              <w:rPr>
                <w:rFonts w:ascii="Palatino Linotype" w:hAnsi="Palatino Linotype"/>
                <w:sz w:val="22"/>
                <w:szCs w:val="22"/>
                <w:lang w:val="es-ES"/>
              </w:rPr>
              <w:t xml:space="preserve">Página </w:t>
            </w:r>
            <w:r w:rsidRPr="00AC1C70">
              <w:rPr>
                <w:rFonts w:ascii="Palatino Linotype" w:hAnsi="Palatino Linotype"/>
                <w:b/>
                <w:bCs/>
                <w:sz w:val="22"/>
                <w:szCs w:val="22"/>
              </w:rPr>
              <w:fldChar w:fldCharType="begin"/>
            </w:r>
            <w:r w:rsidRPr="00AC1C70">
              <w:rPr>
                <w:rFonts w:ascii="Palatino Linotype" w:hAnsi="Palatino Linotype"/>
                <w:b/>
                <w:bCs/>
                <w:sz w:val="22"/>
                <w:szCs w:val="22"/>
              </w:rPr>
              <w:instrText>PAGE</w:instrText>
            </w:r>
            <w:r w:rsidRPr="00AC1C70">
              <w:rPr>
                <w:rFonts w:ascii="Palatino Linotype" w:hAnsi="Palatino Linotype"/>
                <w:b/>
                <w:bCs/>
                <w:sz w:val="22"/>
                <w:szCs w:val="22"/>
              </w:rPr>
              <w:fldChar w:fldCharType="separate"/>
            </w:r>
            <w:r w:rsidR="00292D30">
              <w:rPr>
                <w:rFonts w:ascii="Palatino Linotype" w:hAnsi="Palatino Linotype"/>
                <w:b/>
                <w:bCs/>
                <w:noProof/>
                <w:sz w:val="22"/>
                <w:szCs w:val="22"/>
              </w:rPr>
              <w:t>23</w:t>
            </w:r>
            <w:r w:rsidRPr="00AC1C70">
              <w:rPr>
                <w:rFonts w:ascii="Palatino Linotype" w:hAnsi="Palatino Linotype"/>
                <w:b/>
                <w:bCs/>
                <w:sz w:val="22"/>
                <w:szCs w:val="22"/>
              </w:rPr>
              <w:fldChar w:fldCharType="end"/>
            </w:r>
            <w:r w:rsidRPr="00AC1C70">
              <w:rPr>
                <w:rFonts w:ascii="Palatino Linotype" w:hAnsi="Palatino Linotype"/>
                <w:sz w:val="22"/>
                <w:szCs w:val="22"/>
                <w:lang w:val="es-ES"/>
              </w:rPr>
              <w:t xml:space="preserve"> de </w:t>
            </w:r>
            <w:r w:rsidRPr="00AC1C70">
              <w:rPr>
                <w:rFonts w:ascii="Palatino Linotype" w:hAnsi="Palatino Linotype"/>
                <w:b/>
                <w:bCs/>
                <w:sz w:val="22"/>
                <w:szCs w:val="22"/>
              </w:rPr>
              <w:fldChar w:fldCharType="begin"/>
            </w:r>
            <w:r w:rsidRPr="00AC1C70">
              <w:rPr>
                <w:rFonts w:ascii="Palatino Linotype" w:hAnsi="Palatino Linotype"/>
                <w:b/>
                <w:bCs/>
                <w:sz w:val="22"/>
                <w:szCs w:val="22"/>
              </w:rPr>
              <w:instrText>NUMPAGES</w:instrText>
            </w:r>
            <w:r w:rsidRPr="00AC1C70">
              <w:rPr>
                <w:rFonts w:ascii="Palatino Linotype" w:hAnsi="Palatino Linotype"/>
                <w:b/>
                <w:bCs/>
                <w:sz w:val="22"/>
                <w:szCs w:val="22"/>
              </w:rPr>
              <w:fldChar w:fldCharType="separate"/>
            </w:r>
            <w:r w:rsidR="00292D30">
              <w:rPr>
                <w:rFonts w:ascii="Palatino Linotype" w:hAnsi="Palatino Linotype"/>
                <w:b/>
                <w:bCs/>
                <w:noProof/>
                <w:sz w:val="22"/>
                <w:szCs w:val="22"/>
              </w:rPr>
              <w:t>24</w:t>
            </w:r>
            <w:r w:rsidRPr="00AC1C70">
              <w:rPr>
                <w:rFonts w:ascii="Palatino Linotype" w:hAnsi="Palatino Linotype"/>
                <w:b/>
                <w:bCs/>
                <w:sz w:val="22"/>
                <w:szCs w:val="22"/>
              </w:rPr>
              <w:fldChar w:fldCharType="end"/>
            </w:r>
          </w:p>
        </w:sdtContent>
      </w:sdt>
    </w:sdtContent>
  </w:sdt>
  <w:p w:rsidR="00DC6565" w:rsidRDefault="00DC6565">
    <w:pPr>
      <w:pStyle w:val="Piedepgina"/>
    </w:pPr>
  </w:p>
  <w:p w:rsidR="00DC6565" w:rsidRDefault="00DC6565"/>
  <w:p w:rsidR="00DC6565" w:rsidRDefault="00DC6565"/>
  <w:p w:rsidR="00DC6565" w:rsidRDefault="00DC65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449903311"/>
      <w:docPartObj>
        <w:docPartGallery w:val="AutoText"/>
      </w:docPartObj>
    </w:sdtPr>
    <w:sdtEndPr/>
    <w:sdtContent>
      <w:sdt>
        <w:sdtPr>
          <w:rPr>
            <w:rFonts w:ascii="Palatino Linotype" w:hAnsi="Palatino Linotype"/>
            <w:sz w:val="22"/>
            <w:szCs w:val="22"/>
          </w:rPr>
          <w:id w:val="1014032574"/>
          <w:docPartObj>
            <w:docPartGallery w:val="AutoText"/>
          </w:docPartObj>
        </w:sdtPr>
        <w:sdtEndPr/>
        <w:sdtContent>
          <w:p w:rsidR="00DC6565" w:rsidRPr="00AC1C70" w:rsidRDefault="00DC6565">
            <w:pPr>
              <w:pStyle w:val="Piedepgina"/>
              <w:jc w:val="right"/>
              <w:rPr>
                <w:rFonts w:ascii="Palatino Linotype" w:hAnsi="Palatino Linotype"/>
                <w:sz w:val="22"/>
                <w:szCs w:val="22"/>
              </w:rPr>
            </w:pPr>
            <w:r w:rsidRPr="00AC1C70">
              <w:rPr>
                <w:rFonts w:ascii="Palatino Linotype" w:hAnsi="Palatino Linotype"/>
                <w:sz w:val="22"/>
                <w:szCs w:val="22"/>
                <w:lang w:val="es-ES"/>
              </w:rPr>
              <w:t xml:space="preserve">Página </w:t>
            </w:r>
            <w:r w:rsidRPr="00AC1C70">
              <w:rPr>
                <w:rFonts w:ascii="Palatino Linotype" w:hAnsi="Palatino Linotype"/>
                <w:b/>
                <w:bCs/>
                <w:sz w:val="22"/>
                <w:szCs w:val="22"/>
              </w:rPr>
              <w:fldChar w:fldCharType="begin"/>
            </w:r>
            <w:r w:rsidRPr="00AC1C70">
              <w:rPr>
                <w:rFonts w:ascii="Palatino Linotype" w:hAnsi="Palatino Linotype"/>
                <w:b/>
                <w:bCs/>
                <w:sz w:val="22"/>
                <w:szCs w:val="22"/>
              </w:rPr>
              <w:instrText>PAGE</w:instrText>
            </w:r>
            <w:r w:rsidRPr="00AC1C70">
              <w:rPr>
                <w:rFonts w:ascii="Palatino Linotype" w:hAnsi="Palatino Linotype"/>
                <w:b/>
                <w:bCs/>
                <w:sz w:val="22"/>
                <w:szCs w:val="22"/>
              </w:rPr>
              <w:fldChar w:fldCharType="separate"/>
            </w:r>
            <w:r w:rsidR="00292D30">
              <w:rPr>
                <w:rFonts w:ascii="Palatino Linotype" w:hAnsi="Palatino Linotype"/>
                <w:b/>
                <w:bCs/>
                <w:noProof/>
                <w:sz w:val="22"/>
                <w:szCs w:val="22"/>
              </w:rPr>
              <w:t>1</w:t>
            </w:r>
            <w:r w:rsidRPr="00AC1C70">
              <w:rPr>
                <w:rFonts w:ascii="Palatino Linotype" w:hAnsi="Palatino Linotype"/>
                <w:b/>
                <w:bCs/>
                <w:sz w:val="22"/>
                <w:szCs w:val="22"/>
              </w:rPr>
              <w:fldChar w:fldCharType="end"/>
            </w:r>
            <w:r w:rsidRPr="00AC1C70">
              <w:rPr>
                <w:rFonts w:ascii="Palatino Linotype" w:hAnsi="Palatino Linotype"/>
                <w:sz w:val="22"/>
                <w:szCs w:val="22"/>
                <w:lang w:val="es-ES"/>
              </w:rPr>
              <w:t xml:space="preserve"> de </w:t>
            </w:r>
            <w:r w:rsidRPr="00AC1C70">
              <w:rPr>
                <w:rFonts w:ascii="Palatino Linotype" w:hAnsi="Palatino Linotype"/>
                <w:b/>
                <w:bCs/>
                <w:sz w:val="22"/>
                <w:szCs w:val="22"/>
              </w:rPr>
              <w:fldChar w:fldCharType="begin"/>
            </w:r>
            <w:r w:rsidRPr="00AC1C70">
              <w:rPr>
                <w:rFonts w:ascii="Palatino Linotype" w:hAnsi="Palatino Linotype"/>
                <w:b/>
                <w:bCs/>
                <w:sz w:val="22"/>
                <w:szCs w:val="22"/>
              </w:rPr>
              <w:instrText>NUMPAGES</w:instrText>
            </w:r>
            <w:r w:rsidRPr="00AC1C70">
              <w:rPr>
                <w:rFonts w:ascii="Palatino Linotype" w:hAnsi="Palatino Linotype"/>
                <w:b/>
                <w:bCs/>
                <w:sz w:val="22"/>
                <w:szCs w:val="22"/>
              </w:rPr>
              <w:fldChar w:fldCharType="separate"/>
            </w:r>
            <w:r w:rsidR="00292D30">
              <w:rPr>
                <w:rFonts w:ascii="Palatino Linotype" w:hAnsi="Palatino Linotype"/>
                <w:b/>
                <w:bCs/>
                <w:noProof/>
                <w:sz w:val="22"/>
                <w:szCs w:val="22"/>
              </w:rPr>
              <w:t>24</w:t>
            </w:r>
            <w:r w:rsidRPr="00AC1C70">
              <w:rPr>
                <w:rFonts w:ascii="Palatino Linotype" w:hAnsi="Palatino Linotype"/>
                <w:b/>
                <w:bCs/>
                <w:sz w:val="22"/>
                <w:szCs w:val="22"/>
              </w:rPr>
              <w:fldChar w:fldCharType="end"/>
            </w:r>
          </w:p>
        </w:sdtContent>
      </w:sdt>
    </w:sdtContent>
  </w:sdt>
  <w:p w:rsidR="00DC6565" w:rsidRDefault="00DC6565">
    <w:pPr>
      <w:pStyle w:val="Piedepgina"/>
    </w:pPr>
  </w:p>
  <w:p w:rsidR="00DC6565" w:rsidRDefault="00DC6565"/>
  <w:p w:rsidR="00DC6565" w:rsidRDefault="00DC6565"/>
  <w:p w:rsidR="00DC6565" w:rsidRDefault="00DC65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B38" w:rsidRDefault="00A46B38" w:rsidP="00991C1C">
      <w:r>
        <w:separator/>
      </w:r>
    </w:p>
  </w:footnote>
  <w:footnote w:type="continuationSeparator" w:id="0">
    <w:p w:rsidR="00A46B38" w:rsidRDefault="00A46B38" w:rsidP="00991C1C">
      <w:r>
        <w:continuationSeparator/>
      </w:r>
    </w:p>
  </w:footnote>
  <w:footnote w:id="1">
    <w:p w:rsidR="00DC6565" w:rsidRDefault="00DC6565" w:rsidP="00991C1C">
      <w:pPr>
        <w:pStyle w:val="Textonotapie"/>
      </w:pPr>
      <w:r>
        <w:rPr>
          <w:rStyle w:val="Refdenotaalpie"/>
        </w:rPr>
        <w:footnoteRef/>
      </w:r>
      <w:r>
        <w:t xml:space="preserve"> Artículo 150. Ley de Transparencia y Acceso a la Información Pública del Estado de México y Municipios.</w:t>
      </w:r>
    </w:p>
    <w:p w:rsidR="00DC6565" w:rsidRDefault="00DC6565" w:rsidP="00991C1C">
      <w:pPr>
        <w:pStyle w:val="Textonotapie"/>
      </w:pPr>
      <w:r>
        <w:t>Artículo 151. Ibídem.</w:t>
      </w:r>
    </w:p>
  </w:footnote>
  <w:footnote w:id="2">
    <w:p w:rsidR="00DC6565" w:rsidRDefault="00DC6565" w:rsidP="00991C1C">
      <w:pPr>
        <w:pStyle w:val="Textonotapie"/>
      </w:pPr>
      <w:r>
        <w:rPr>
          <w:rStyle w:val="Refdenotaalpie"/>
        </w:rPr>
        <w:footnoteRef/>
      </w:r>
      <w:r>
        <w:t xml:space="preserve"> Fracción IV. Artículo 53. Ibídem.</w:t>
      </w:r>
    </w:p>
    <w:p w:rsidR="00DC6565" w:rsidRDefault="00DC6565" w:rsidP="00991C1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65" w:rsidRDefault="00A46B3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p w:rsidR="00DC6565" w:rsidRDefault="00DC6565"/>
  <w:p w:rsidR="00DC6565" w:rsidRDefault="00DC6565"/>
  <w:p w:rsidR="00DC6565" w:rsidRDefault="00DC65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938"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103"/>
    </w:tblGrid>
    <w:tr w:rsidR="0001175E" w:rsidRPr="006F4AC6" w:rsidTr="00AC1C70">
      <w:trPr>
        <w:trHeight w:val="338"/>
      </w:trPr>
      <w:tc>
        <w:tcPr>
          <w:tcW w:w="2835" w:type="dxa"/>
        </w:tcPr>
        <w:p w:rsidR="0001175E" w:rsidRPr="006F4AC6" w:rsidRDefault="0001175E" w:rsidP="0001175E">
          <w:pPr>
            <w:tabs>
              <w:tab w:val="right" w:pos="8838"/>
            </w:tabs>
            <w:ind w:right="-105"/>
            <w:jc w:val="right"/>
            <w:rPr>
              <w:rFonts w:ascii="Palatino Linotype" w:eastAsia="Calibri" w:hAnsi="Palatino Linotype" w:cs="Tahoma"/>
              <w:b/>
              <w:color w:val="000000" w:themeColor="text1"/>
              <w:lang w:eastAsia="en-US"/>
            </w:rPr>
          </w:pPr>
        </w:p>
        <w:p w:rsidR="0001175E" w:rsidRPr="006F4AC6" w:rsidRDefault="0001175E" w:rsidP="0001175E">
          <w:pPr>
            <w:tabs>
              <w:tab w:val="right" w:pos="8838"/>
            </w:tabs>
            <w:ind w:right="-105"/>
            <w:jc w:val="right"/>
            <w:rPr>
              <w:rFonts w:ascii="Palatino Linotype" w:eastAsia="Calibri" w:hAnsi="Palatino Linotype" w:cs="Tahoma"/>
              <w:b/>
              <w:color w:val="000000" w:themeColor="text1"/>
              <w:lang w:eastAsia="en-US"/>
            </w:rPr>
          </w:pPr>
          <w:r w:rsidRPr="006F4AC6">
            <w:rPr>
              <w:rFonts w:ascii="Palatino Linotype" w:eastAsia="Calibri" w:hAnsi="Palatino Linotype" w:cs="Tahoma"/>
              <w:b/>
              <w:color w:val="000000" w:themeColor="text1"/>
              <w:lang w:eastAsia="en-US"/>
            </w:rPr>
            <w:t>Recurso de Revisión:</w:t>
          </w:r>
        </w:p>
      </w:tc>
      <w:tc>
        <w:tcPr>
          <w:tcW w:w="5103" w:type="dxa"/>
        </w:tcPr>
        <w:p w:rsidR="0001175E" w:rsidRPr="006F4AC6" w:rsidRDefault="0001175E" w:rsidP="00AC1C70">
          <w:pPr>
            <w:tabs>
              <w:tab w:val="right" w:pos="8838"/>
            </w:tabs>
            <w:ind w:right="-105"/>
            <w:rPr>
              <w:rFonts w:ascii="Palatino Linotype" w:eastAsia="Calibri" w:hAnsi="Palatino Linotype" w:cs="Tahoma"/>
              <w:bCs/>
              <w:color w:val="000000" w:themeColor="text1"/>
              <w:lang w:eastAsia="en-US"/>
            </w:rPr>
          </w:pPr>
        </w:p>
        <w:p w:rsidR="0001175E" w:rsidRPr="006F4AC6" w:rsidRDefault="0001175E" w:rsidP="00AC1C70">
          <w:pPr>
            <w:tabs>
              <w:tab w:val="right" w:pos="8838"/>
            </w:tabs>
            <w:ind w:right="-105"/>
            <w:rPr>
              <w:rFonts w:ascii="Palatino Linotype" w:eastAsia="Calibri" w:hAnsi="Palatino Linotype" w:cs="Tahoma"/>
              <w:bCs/>
              <w:color w:val="000000" w:themeColor="text1"/>
              <w:lang w:eastAsia="en-US"/>
            </w:rPr>
          </w:pPr>
          <w:r w:rsidRPr="006F4AC6">
            <w:rPr>
              <w:rFonts w:ascii="Palatino Linotype" w:eastAsia="Calibri" w:hAnsi="Palatino Linotype" w:cs="Tahoma"/>
              <w:color w:val="000000" w:themeColor="text1"/>
              <w:lang w:eastAsia="en-US"/>
            </w:rPr>
            <w:t>12548/INFOEM/IP/RR/2025</w:t>
          </w:r>
        </w:p>
      </w:tc>
    </w:tr>
    <w:tr w:rsidR="0001175E" w:rsidRPr="006F4AC6" w:rsidTr="00AC1C70">
      <w:trPr>
        <w:trHeight w:val="283"/>
      </w:trPr>
      <w:tc>
        <w:tcPr>
          <w:tcW w:w="2835" w:type="dxa"/>
        </w:tcPr>
        <w:p w:rsidR="0001175E" w:rsidRPr="006F4AC6" w:rsidRDefault="0001175E" w:rsidP="0001175E">
          <w:pPr>
            <w:tabs>
              <w:tab w:val="right" w:pos="8838"/>
            </w:tabs>
            <w:ind w:right="-105"/>
            <w:jc w:val="right"/>
            <w:rPr>
              <w:rFonts w:ascii="Palatino Linotype" w:eastAsia="Calibri" w:hAnsi="Palatino Linotype" w:cs="Tahoma"/>
              <w:b/>
              <w:color w:val="000000" w:themeColor="text1"/>
              <w:lang w:eastAsia="en-US"/>
            </w:rPr>
          </w:pPr>
          <w:bookmarkStart w:id="17" w:name="_Hlk33010189"/>
          <w:r w:rsidRPr="006F4AC6">
            <w:rPr>
              <w:rFonts w:ascii="Palatino Linotype" w:eastAsia="Calibri" w:hAnsi="Palatino Linotype" w:cs="Tahoma"/>
              <w:b/>
              <w:color w:val="000000" w:themeColor="text1"/>
              <w:lang w:eastAsia="en-US"/>
            </w:rPr>
            <w:t>Sujeto Obligado:</w:t>
          </w:r>
        </w:p>
      </w:tc>
      <w:tc>
        <w:tcPr>
          <w:tcW w:w="5103" w:type="dxa"/>
        </w:tcPr>
        <w:p w:rsidR="0001175E" w:rsidRPr="006F4AC6" w:rsidRDefault="0001175E" w:rsidP="00AC1C70">
          <w:pPr>
            <w:tabs>
              <w:tab w:val="left" w:pos="2834"/>
              <w:tab w:val="right" w:pos="8838"/>
            </w:tabs>
            <w:ind w:right="-105"/>
            <w:rPr>
              <w:rFonts w:ascii="Palatino Linotype" w:eastAsia="Calibri" w:hAnsi="Palatino Linotype" w:cs="Tahoma"/>
              <w:color w:val="000000" w:themeColor="text1"/>
              <w:lang w:eastAsia="en-US"/>
            </w:rPr>
          </w:pPr>
          <w:r w:rsidRPr="006F4AC6">
            <w:rPr>
              <w:rFonts w:ascii="Palatino Linotype" w:eastAsia="Calibri" w:hAnsi="Palatino Linotype" w:cs="Arial"/>
              <w:bCs/>
              <w:color w:val="000000" w:themeColor="text1"/>
              <w:lang w:val="es-MX"/>
            </w:rPr>
            <w:t>Consejo Estatal para el Desarrollo Integral de Los Pueblos Indígenas del Estado de México</w:t>
          </w:r>
        </w:p>
      </w:tc>
    </w:tr>
    <w:bookmarkEnd w:id="17"/>
    <w:tr w:rsidR="0001175E" w:rsidRPr="006F4AC6" w:rsidTr="00AC1C70">
      <w:trPr>
        <w:trHeight w:val="283"/>
      </w:trPr>
      <w:tc>
        <w:tcPr>
          <w:tcW w:w="2835" w:type="dxa"/>
        </w:tcPr>
        <w:p w:rsidR="0001175E" w:rsidRPr="006F4AC6" w:rsidRDefault="0001175E" w:rsidP="0001175E">
          <w:pPr>
            <w:tabs>
              <w:tab w:val="right" w:pos="8838"/>
            </w:tabs>
            <w:ind w:right="-105"/>
            <w:jc w:val="right"/>
            <w:rPr>
              <w:rFonts w:ascii="Palatino Linotype" w:eastAsia="Calibri" w:hAnsi="Palatino Linotype" w:cs="Tahoma"/>
              <w:b/>
              <w:color w:val="000000" w:themeColor="text1"/>
              <w:lang w:eastAsia="en-US"/>
            </w:rPr>
          </w:pPr>
          <w:r w:rsidRPr="006F4AC6">
            <w:rPr>
              <w:rFonts w:ascii="Palatino Linotype" w:eastAsia="Calibri" w:hAnsi="Palatino Linotype" w:cs="Tahoma"/>
              <w:b/>
              <w:color w:val="000000" w:themeColor="text1"/>
              <w:lang w:eastAsia="en-US"/>
            </w:rPr>
            <w:t>Comisionada Ponente:</w:t>
          </w:r>
        </w:p>
      </w:tc>
      <w:tc>
        <w:tcPr>
          <w:tcW w:w="5103" w:type="dxa"/>
        </w:tcPr>
        <w:p w:rsidR="0001175E" w:rsidRPr="006F4AC6" w:rsidRDefault="0001175E" w:rsidP="00AC1C70">
          <w:pPr>
            <w:tabs>
              <w:tab w:val="right" w:pos="8838"/>
            </w:tabs>
            <w:ind w:right="-105"/>
            <w:rPr>
              <w:rFonts w:ascii="Palatino Linotype" w:eastAsia="Calibri" w:hAnsi="Palatino Linotype" w:cs="Tahoma"/>
              <w:b/>
              <w:color w:val="000000" w:themeColor="text1"/>
              <w:lang w:eastAsia="en-US"/>
            </w:rPr>
          </w:pPr>
          <w:r w:rsidRPr="006F4AC6">
            <w:rPr>
              <w:rFonts w:ascii="Palatino Linotype" w:eastAsia="Calibri" w:hAnsi="Palatino Linotype" w:cs="Tahoma"/>
              <w:color w:val="000000" w:themeColor="text1"/>
              <w:lang w:eastAsia="en-US"/>
            </w:rPr>
            <w:t>María del Rosario Mejía Ayala</w:t>
          </w:r>
        </w:p>
      </w:tc>
    </w:tr>
  </w:tbl>
  <w:p w:rsidR="00DC6565" w:rsidRDefault="00A46B38" w:rsidP="00183B96">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78.05pt;margin-top:-135.2pt;width:663.5pt;height:12in;z-index:-251658752;mso-position-horizontal-relative:margin;mso-position-vertical-relative:margin" o:allowincell="f">
          <v:imagedata r:id="rId1" o:title="marcaaguaINFOEM"/>
          <w10:wrap anchorx="margin" anchory="margin"/>
        </v:shape>
      </w:pict>
    </w:r>
  </w:p>
  <w:p w:rsidR="00DC6565" w:rsidRDefault="00DC65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1560"/>
      <w:gridCol w:w="9072"/>
    </w:tblGrid>
    <w:tr w:rsidR="00DC6565" w:rsidTr="006F4AC6">
      <w:trPr>
        <w:trHeight w:val="1435"/>
      </w:trPr>
      <w:tc>
        <w:tcPr>
          <w:tcW w:w="1560" w:type="dxa"/>
          <w:shd w:val="clear" w:color="auto" w:fill="auto"/>
        </w:tcPr>
        <w:p w:rsidR="00DC6565" w:rsidRDefault="00DC6565">
          <w:pPr>
            <w:tabs>
              <w:tab w:val="right" w:pos="4273"/>
            </w:tabs>
            <w:rPr>
              <w:rFonts w:ascii="Garamond" w:eastAsia="Calibri" w:hAnsi="Garamond"/>
              <w:sz w:val="22"/>
              <w:szCs w:val="22"/>
              <w:lang w:eastAsia="en-US"/>
            </w:rPr>
          </w:pPr>
        </w:p>
      </w:tc>
      <w:tc>
        <w:tcPr>
          <w:tcW w:w="9072" w:type="dxa"/>
          <w:shd w:val="clear" w:color="auto" w:fill="auto"/>
        </w:tcPr>
        <w:tbl>
          <w:tblPr>
            <w:tblStyle w:val="Tablaconcuadrcula"/>
            <w:tblW w:w="10915"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4964"/>
            <w:gridCol w:w="3402"/>
          </w:tblGrid>
          <w:tr w:rsidR="00DC6565" w:rsidTr="00AC1C70">
            <w:trPr>
              <w:trHeight w:val="144"/>
            </w:trPr>
            <w:tc>
              <w:tcPr>
                <w:tcW w:w="2549" w:type="dxa"/>
              </w:tcPr>
              <w:p w:rsidR="00DC6565" w:rsidRPr="006F4AC6" w:rsidRDefault="00DC6565" w:rsidP="006F4AC6">
                <w:pPr>
                  <w:tabs>
                    <w:tab w:val="right" w:pos="8838"/>
                  </w:tabs>
                  <w:ind w:left="-74" w:right="-105"/>
                  <w:jc w:val="right"/>
                  <w:rPr>
                    <w:rFonts w:ascii="Palatino Linotype" w:eastAsia="Calibri" w:hAnsi="Palatino Linotype" w:cs="Tahoma"/>
                    <w:b/>
                    <w:lang w:eastAsia="en-US"/>
                  </w:rPr>
                </w:pPr>
                <w:bookmarkStart w:id="18" w:name="_Hlk12526980"/>
                <w:r w:rsidRPr="006F4AC6">
                  <w:rPr>
                    <w:rFonts w:ascii="Palatino Linotype" w:eastAsia="Calibri" w:hAnsi="Palatino Linotype" w:cs="Tahoma"/>
                    <w:b/>
                    <w:lang w:eastAsia="en-US"/>
                  </w:rPr>
                  <w:t>Recurso de Revisión:</w:t>
                </w:r>
              </w:p>
            </w:tc>
            <w:tc>
              <w:tcPr>
                <w:tcW w:w="4964" w:type="dxa"/>
              </w:tcPr>
              <w:p w:rsidR="00DC6565" w:rsidRPr="006F4AC6" w:rsidRDefault="00DC6565" w:rsidP="00AC1C70">
                <w:pPr>
                  <w:tabs>
                    <w:tab w:val="right" w:pos="8838"/>
                  </w:tabs>
                  <w:ind w:left="-3" w:right="-105"/>
                  <w:rPr>
                    <w:rFonts w:ascii="Palatino Linotype" w:eastAsia="Calibri" w:hAnsi="Palatino Linotype" w:cs="Tahoma"/>
                    <w:lang w:eastAsia="en-US"/>
                  </w:rPr>
                </w:pPr>
                <w:r w:rsidRPr="006F4AC6">
                  <w:rPr>
                    <w:rFonts w:ascii="Palatino Linotype" w:eastAsia="Calibri" w:hAnsi="Palatino Linotype" w:cs="Tahoma"/>
                    <w:lang w:eastAsia="en-US"/>
                  </w:rPr>
                  <w:t xml:space="preserve">12548/INFOEM/IP/RR/2025 </w:t>
                </w:r>
              </w:p>
            </w:tc>
            <w:tc>
              <w:tcPr>
                <w:tcW w:w="3402" w:type="dxa"/>
              </w:tcPr>
              <w:p w:rsidR="00DC6565" w:rsidRDefault="00DC6565">
                <w:pPr>
                  <w:tabs>
                    <w:tab w:val="right" w:pos="8838"/>
                  </w:tabs>
                  <w:ind w:left="-74" w:right="-105"/>
                  <w:jc w:val="both"/>
                  <w:rPr>
                    <w:rFonts w:ascii="Palatino Linotype" w:eastAsia="Calibri" w:hAnsi="Palatino Linotype" w:cs="Tahoma"/>
                    <w:bCs/>
                    <w:sz w:val="22"/>
                    <w:szCs w:val="22"/>
                    <w:lang w:eastAsia="en-US"/>
                  </w:rPr>
                </w:pPr>
              </w:p>
            </w:tc>
          </w:tr>
          <w:tr w:rsidR="00DC6565" w:rsidTr="00AC1C70">
            <w:trPr>
              <w:trHeight w:val="144"/>
            </w:trPr>
            <w:tc>
              <w:tcPr>
                <w:tcW w:w="2549" w:type="dxa"/>
              </w:tcPr>
              <w:p w:rsidR="00DC6565" w:rsidRPr="006F4AC6" w:rsidRDefault="00DC6565" w:rsidP="006F4AC6">
                <w:pPr>
                  <w:tabs>
                    <w:tab w:val="right" w:pos="8838"/>
                  </w:tabs>
                  <w:ind w:left="-74" w:right="-105"/>
                  <w:jc w:val="right"/>
                  <w:rPr>
                    <w:rFonts w:ascii="Palatino Linotype" w:eastAsia="Calibri" w:hAnsi="Palatino Linotype" w:cs="Tahoma"/>
                    <w:b/>
                    <w:lang w:eastAsia="en-US"/>
                  </w:rPr>
                </w:pPr>
                <w:bookmarkStart w:id="19" w:name="_Hlk10641523"/>
                <w:bookmarkEnd w:id="18"/>
                <w:r w:rsidRPr="006F4AC6">
                  <w:rPr>
                    <w:rFonts w:ascii="Palatino Linotype" w:eastAsia="Calibri" w:hAnsi="Palatino Linotype" w:cs="Tahoma"/>
                    <w:b/>
                    <w:lang w:eastAsia="en-US"/>
                  </w:rPr>
                  <w:t>Recurrente:</w:t>
                </w:r>
              </w:p>
            </w:tc>
            <w:tc>
              <w:tcPr>
                <w:tcW w:w="4964" w:type="dxa"/>
              </w:tcPr>
              <w:p w:rsidR="00DC6565" w:rsidRPr="006F4AC6" w:rsidRDefault="00DC6565" w:rsidP="00AC1C70">
                <w:pPr>
                  <w:tabs>
                    <w:tab w:val="left" w:pos="3122"/>
                    <w:tab w:val="right" w:pos="8838"/>
                  </w:tabs>
                  <w:ind w:left="-3" w:right="178"/>
                  <w:rPr>
                    <w:rFonts w:ascii="Palatino Linotype" w:eastAsia="Calibri" w:hAnsi="Palatino Linotype" w:cs="Tahoma"/>
                    <w:lang w:eastAsia="en-US"/>
                  </w:rPr>
                </w:pPr>
              </w:p>
            </w:tc>
            <w:tc>
              <w:tcPr>
                <w:tcW w:w="3402" w:type="dxa"/>
              </w:tcPr>
              <w:p w:rsidR="00DC6565" w:rsidRDefault="00DC6565" w:rsidP="00183B96">
                <w:pPr>
                  <w:tabs>
                    <w:tab w:val="left" w:pos="3122"/>
                    <w:tab w:val="right" w:pos="8838"/>
                  </w:tabs>
                  <w:ind w:right="-105"/>
                  <w:jc w:val="both"/>
                  <w:rPr>
                    <w:rFonts w:ascii="Palatino Linotype" w:eastAsia="Calibri" w:hAnsi="Palatino Linotype" w:cs="Tahoma"/>
                    <w:sz w:val="22"/>
                    <w:szCs w:val="22"/>
                    <w:lang w:eastAsia="en-US"/>
                  </w:rPr>
                </w:pPr>
              </w:p>
            </w:tc>
          </w:tr>
          <w:bookmarkEnd w:id="19"/>
          <w:tr w:rsidR="00DC6565" w:rsidTr="00AC1C70">
            <w:trPr>
              <w:trHeight w:val="283"/>
            </w:trPr>
            <w:tc>
              <w:tcPr>
                <w:tcW w:w="2549" w:type="dxa"/>
              </w:tcPr>
              <w:p w:rsidR="00DC6565" w:rsidRPr="006F4AC6" w:rsidRDefault="00DC6565" w:rsidP="006F4AC6">
                <w:pPr>
                  <w:tabs>
                    <w:tab w:val="right" w:pos="8838"/>
                  </w:tabs>
                  <w:ind w:left="-74" w:right="-105"/>
                  <w:jc w:val="right"/>
                  <w:rPr>
                    <w:rFonts w:ascii="Palatino Linotype" w:eastAsia="Calibri" w:hAnsi="Palatino Linotype" w:cs="Tahoma"/>
                    <w:b/>
                    <w:lang w:eastAsia="en-US"/>
                  </w:rPr>
                </w:pPr>
                <w:r w:rsidRPr="006F4AC6">
                  <w:rPr>
                    <w:rFonts w:ascii="Palatino Linotype" w:eastAsia="Calibri" w:hAnsi="Palatino Linotype" w:cs="Tahoma"/>
                    <w:b/>
                    <w:lang w:eastAsia="en-US"/>
                  </w:rPr>
                  <w:t>Sujeto Obligado:</w:t>
                </w:r>
              </w:p>
            </w:tc>
            <w:tc>
              <w:tcPr>
                <w:tcW w:w="4964" w:type="dxa"/>
              </w:tcPr>
              <w:p w:rsidR="00DC6565" w:rsidRPr="006F4AC6" w:rsidRDefault="006F4AC6" w:rsidP="00AC1C70">
                <w:pPr>
                  <w:tabs>
                    <w:tab w:val="left" w:pos="2834"/>
                    <w:tab w:val="right" w:pos="8838"/>
                  </w:tabs>
                  <w:ind w:left="-3" w:right="-105"/>
                  <w:rPr>
                    <w:rFonts w:ascii="Palatino Linotype" w:eastAsia="Calibri" w:hAnsi="Palatino Linotype" w:cs="Arial"/>
                    <w:bCs/>
                    <w:lang w:val="es-MX"/>
                  </w:rPr>
                </w:pPr>
                <w:r w:rsidRPr="006F4AC6">
                  <w:rPr>
                    <w:rFonts w:ascii="Palatino Linotype" w:eastAsia="Calibri" w:hAnsi="Palatino Linotype" w:cs="Arial"/>
                    <w:bCs/>
                    <w:lang w:val="es-MX"/>
                  </w:rPr>
                  <w:t>Consejo Estatal para el Desarrollo Integral de Los Pueblos Indígenas del Estado de México</w:t>
                </w:r>
              </w:p>
            </w:tc>
            <w:tc>
              <w:tcPr>
                <w:tcW w:w="3402" w:type="dxa"/>
              </w:tcPr>
              <w:p w:rsidR="00DC6565" w:rsidRDefault="00DC6565">
                <w:pPr>
                  <w:tabs>
                    <w:tab w:val="left" w:pos="2834"/>
                    <w:tab w:val="right" w:pos="8838"/>
                  </w:tabs>
                  <w:ind w:left="-74" w:right="-105"/>
                  <w:jc w:val="both"/>
                  <w:rPr>
                    <w:rFonts w:ascii="Palatino Linotype" w:eastAsia="Calibri" w:hAnsi="Palatino Linotype" w:cs="Tahoma"/>
                    <w:sz w:val="22"/>
                    <w:szCs w:val="22"/>
                    <w:lang w:eastAsia="en-US"/>
                  </w:rPr>
                </w:pPr>
              </w:p>
            </w:tc>
          </w:tr>
          <w:tr w:rsidR="00DC6565" w:rsidTr="00AC1C70">
            <w:trPr>
              <w:trHeight w:val="283"/>
            </w:trPr>
            <w:tc>
              <w:tcPr>
                <w:tcW w:w="2549" w:type="dxa"/>
              </w:tcPr>
              <w:p w:rsidR="00DC6565" w:rsidRPr="006F4AC6" w:rsidRDefault="00DC6565" w:rsidP="006F4AC6">
                <w:pPr>
                  <w:tabs>
                    <w:tab w:val="right" w:pos="8838"/>
                  </w:tabs>
                  <w:ind w:left="-74" w:right="-105"/>
                  <w:jc w:val="right"/>
                  <w:rPr>
                    <w:rFonts w:ascii="Palatino Linotype" w:eastAsia="Calibri" w:hAnsi="Palatino Linotype" w:cs="Tahoma"/>
                    <w:b/>
                    <w:lang w:eastAsia="en-US"/>
                  </w:rPr>
                </w:pPr>
                <w:r w:rsidRPr="006F4AC6">
                  <w:rPr>
                    <w:rFonts w:ascii="Palatino Linotype" w:eastAsia="Calibri" w:hAnsi="Palatino Linotype" w:cs="Tahoma"/>
                    <w:b/>
                    <w:lang w:eastAsia="en-US"/>
                  </w:rPr>
                  <w:t>Comisionada Ponente:</w:t>
                </w:r>
              </w:p>
            </w:tc>
            <w:tc>
              <w:tcPr>
                <w:tcW w:w="4964" w:type="dxa"/>
              </w:tcPr>
              <w:p w:rsidR="00DC6565" w:rsidRPr="006F4AC6" w:rsidRDefault="00DC6565" w:rsidP="00AC1C70">
                <w:pPr>
                  <w:tabs>
                    <w:tab w:val="right" w:pos="8838"/>
                  </w:tabs>
                  <w:ind w:left="-3" w:right="-105"/>
                  <w:rPr>
                    <w:rFonts w:ascii="Palatino Linotype" w:eastAsia="Calibri" w:hAnsi="Palatino Linotype" w:cs="Tahoma"/>
                    <w:lang w:eastAsia="en-US"/>
                  </w:rPr>
                </w:pPr>
                <w:r w:rsidRPr="006F4AC6">
                  <w:rPr>
                    <w:rFonts w:ascii="Palatino Linotype" w:eastAsia="Calibri" w:hAnsi="Palatino Linotype" w:cs="Tahoma"/>
                    <w:lang w:eastAsia="en-US"/>
                  </w:rPr>
                  <w:t>María del Rosario Mejía Ayala</w:t>
                </w:r>
              </w:p>
            </w:tc>
            <w:tc>
              <w:tcPr>
                <w:tcW w:w="3402" w:type="dxa"/>
              </w:tcPr>
              <w:p w:rsidR="00DC6565" w:rsidRDefault="00DC6565">
                <w:pPr>
                  <w:tabs>
                    <w:tab w:val="right" w:pos="8838"/>
                  </w:tabs>
                  <w:ind w:left="-74" w:right="-105"/>
                  <w:jc w:val="both"/>
                  <w:rPr>
                    <w:rFonts w:ascii="Palatino Linotype" w:eastAsia="Calibri" w:hAnsi="Palatino Linotype" w:cs="Tahoma"/>
                    <w:sz w:val="22"/>
                    <w:szCs w:val="22"/>
                    <w:lang w:eastAsia="en-US"/>
                  </w:rPr>
                </w:pPr>
              </w:p>
            </w:tc>
          </w:tr>
        </w:tbl>
        <w:p w:rsidR="00DC6565" w:rsidRDefault="00DC6565">
          <w:pPr>
            <w:tabs>
              <w:tab w:val="right" w:pos="8838"/>
            </w:tabs>
            <w:ind w:left="-28"/>
            <w:jc w:val="both"/>
            <w:rPr>
              <w:rFonts w:ascii="Arial" w:eastAsia="Calibri" w:hAnsi="Arial" w:cs="Arial"/>
              <w:b/>
              <w:sz w:val="22"/>
              <w:szCs w:val="22"/>
              <w:lang w:eastAsia="en-US"/>
            </w:rPr>
          </w:pPr>
        </w:p>
      </w:tc>
    </w:tr>
  </w:tbl>
  <w:p w:rsidR="00DC6565" w:rsidRDefault="00A46B38" w:rsidP="00AC1C70">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8.05pt;margin-top:-151.5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95BDB"/>
    <w:multiLevelType w:val="hybridMultilevel"/>
    <w:tmpl w:val="6D0A8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08129A"/>
    <w:multiLevelType w:val="hybridMultilevel"/>
    <w:tmpl w:val="7E74A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3CE06DF"/>
    <w:multiLevelType w:val="multilevel"/>
    <w:tmpl w:val="8D5EE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24D11"/>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A045A3"/>
    <w:multiLevelType w:val="hybridMultilevel"/>
    <w:tmpl w:val="5FA47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1C"/>
    <w:rsid w:val="0001175E"/>
    <w:rsid w:val="000E5C09"/>
    <w:rsid w:val="00166FFE"/>
    <w:rsid w:val="00183B96"/>
    <w:rsid w:val="00187E03"/>
    <w:rsid w:val="00192D49"/>
    <w:rsid w:val="00292D30"/>
    <w:rsid w:val="00377811"/>
    <w:rsid w:val="005A0DE3"/>
    <w:rsid w:val="006246E3"/>
    <w:rsid w:val="006F4AC6"/>
    <w:rsid w:val="00991C1C"/>
    <w:rsid w:val="009D5F26"/>
    <w:rsid w:val="00A46B38"/>
    <w:rsid w:val="00A741EC"/>
    <w:rsid w:val="00A82966"/>
    <w:rsid w:val="00AC1C70"/>
    <w:rsid w:val="00B401E0"/>
    <w:rsid w:val="00B91572"/>
    <w:rsid w:val="00BF74B9"/>
    <w:rsid w:val="00DC6565"/>
    <w:rsid w:val="00F95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4651A9-35DD-4420-9270-4E22D9C8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1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91C1C"/>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991C1C"/>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1C1C"/>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991C1C"/>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91C1C"/>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91C1C"/>
    <w:rPr>
      <w:rFonts w:ascii="Calibri" w:eastAsia="Calibri" w:hAnsi="Calibri" w:cs="Times New Roman"/>
      <w:sz w:val="20"/>
      <w:szCs w:val="20"/>
    </w:rPr>
  </w:style>
  <w:style w:type="paragraph" w:styleId="Encabezado">
    <w:name w:val="header"/>
    <w:basedOn w:val="Normal"/>
    <w:link w:val="EncabezadoCar"/>
    <w:uiPriority w:val="99"/>
    <w:unhideWhenUsed/>
    <w:qFormat/>
    <w:rsid w:val="00991C1C"/>
    <w:pPr>
      <w:tabs>
        <w:tab w:val="center" w:pos="4419"/>
        <w:tab w:val="right" w:pos="8838"/>
      </w:tabs>
    </w:pPr>
    <w:rPr>
      <w:sz w:val="20"/>
      <w:szCs w:val="20"/>
      <w:lang w:eastAsia="es-ES"/>
    </w:rPr>
  </w:style>
  <w:style w:type="character" w:customStyle="1" w:styleId="EncabezadoCar">
    <w:name w:val="Encabezado Car"/>
    <w:basedOn w:val="Fuentedeprrafopredeter"/>
    <w:link w:val="Encabezado"/>
    <w:uiPriority w:val="99"/>
    <w:qFormat/>
    <w:rsid w:val="00991C1C"/>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991C1C"/>
    <w:pPr>
      <w:tabs>
        <w:tab w:val="center" w:pos="4419"/>
        <w:tab w:val="right" w:pos="8838"/>
      </w:tabs>
    </w:pPr>
    <w:rPr>
      <w:sz w:val="20"/>
      <w:szCs w:val="20"/>
      <w:lang w:eastAsia="es-ES"/>
    </w:rPr>
  </w:style>
  <w:style w:type="character" w:customStyle="1" w:styleId="PiedepginaCar">
    <w:name w:val="Pie de página Car"/>
    <w:basedOn w:val="Fuentedeprrafopredeter"/>
    <w:link w:val="Piedepgina"/>
    <w:uiPriority w:val="99"/>
    <w:qFormat/>
    <w:rsid w:val="00991C1C"/>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991C1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91C1C"/>
    <w:rPr>
      <w:color w:val="0563C1" w:themeColor="hyperlink"/>
      <w:u w:val="single"/>
    </w:rPr>
  </w:style>
  <w:style w:type="table" w:styleId="Tablaconcuadrcula">
    <w:name w:val="Table Grid"/>
    <w:basedOn w:val="Tablanormal"/>
    <w:uiPriority w:val="39"/>
    <w:qFormat/>
    <w:rsid w:val="00991C1C"/>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1C1C"/>
    <w:pPr>
      <w:ind w:left="720"/>
      <w:contextualSpacing/>
    </w:pPr>
    <w:rPr>
      <w:rFonts w:ascii="Century Gothic" w:hAnsi="Century Gothic"/>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91C1C"/>
    <w:rPr>
      <w:rFonts w:ascii="Century Gothic" w:eastAsia="Times New Roman" w:hAnsi="Century Gothic" w:cs="Times New Roman"/>
      <w:szCs w:val="24"/>
      <w:lang w:eastAsia="es-ES"/>
    </w:rPr>
  </w:style>
  <w:style w:type="paragraph" w:customStyle="1" w:styleId="Default">
    <w:name w:val="Default"/>
    <w:rsid w:val="00991C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7381">
      <w:bodyDiv w:val="1"/>
      <w:marLeft w:val="0"/>
      <w:marRight w:val="0"/>
      <w:marTop w:val="0"/>
      <w:marBottom w:val="0"/>
      <w:divBdr>
        <w:top w:val="none" w:sz="0" w:space="0" w:color="auto"/>
        <w:left w:val="none" w:sz="0" w:space="0" w:color="auto"/>
        <w:bottom w:val="none" w:sz="0" w:space="0" w:color="auto"/>
        <w:right w:val="none" w:sz="0" w:space="0" w:color="auto"/>
      </w:divBdr>
    </w:div>
    <w:div w:id="3617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60690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589006.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262517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24</Pages>
  <Words>4963</Words>
  <Characters>27297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2025-12-11T22:07:00Z</cp:lastPrinted>
  <dcterms:created xsi:type="dcterms:W3CDTF">2025-12-04T16:54:00Z</dcterms:created>
  <dcterms:modified xsi:type="dcterms:W3CDTF">2026-01-23T20:04:00Z</dcterms:modified>
</cp:coreProperties>
</file>