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C3F10" w14:textId="77777777" w:rsidR="00373C5A" w:rsidRDefault="00373C5A" w:rsidP="009950AD">
      <w:pPr>
        <w:pStyle w:val="NormalINFOEM"/>
      </w:pPr>
      <w:bookmarkStart w:id="0" w:name="_GoBack"/>
      <w:bookmarkEnd w:id="0"/>
    </w:p>
    <w:p w14:paraId="49AF2C0C" w14:textId="6968BBF6"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9F104B">
        <w:t>tres de septiembre</w:t>
      </w:r>
      <w:r w:rsidR="00FF3E42">
        <w:t xml:space="preserve"> de dos mil veinticinco</w:t>
      </w:r>
      <w:r w:rsidR="0011108B">
        <w:t>.</w:t>
      </w:r>
    </w:p>
    <w:p w14:paraId="60399B74"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3BFC477E"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72426B">
        <w:rPr>
          <w:rFonts w:eastAsia="Palatino Linotype" w:cs="Palatino Linotype"/>
          <w:b/>
          <w:bCs/>
          <w:color w:val="000000" w:themeColor="text1"/>
          <w:lang w:val="es-ES"/>
        </w:rPr>
        <w:t>06685/INFOEM/IP/RR/2025</w:t>
      </w:r>
      <w:r w:rsidRPr="70652167">
        <w:rPr>
          <w:rFonts w:eastAsia="Palatino Linotype" w:cs="Palatino Linotype"/>
          <w:color w:val="000000" w:themeColor="text1"/>
          <w:lang w:val="es-ES"/>
        </w:rPr>
        <w:t>, interpuesto por</w:t>
      </w:r>
      <w:r w:rsidR="001919F7">
        <w:rPr>
          <w:rFonts w:eastAsia="Palatino Linotype" w:cs="Palatino Linotype"/>
          <w:color w:val="000000" w:themeColor="text1"/>
          <w:lang w:val="es-ES"/>
        </w:rPr>
        <w:t xml:space="preserve"> </w:t>
      </w:r>
      <w:r w:rsidR="0072426B">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72426B">
        <w:rPr>
          <w:rFonts w:eastAsia="Palatino Linotype" w:cs="Palatino Linotype"/>
          <w:b/>
          <w:bCs/>
          <w:color w:val="000000" w:themeColor="text1"/>
          <w:lang w:val="es-ES"/>
        </w:rPr>
        <w:t>Sistema Municipal para el Desarrollo Integral de la Familia de Huehuetoca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55E88808"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72426B">
        <w:rPr>
          <w:rFonts w:eastAsia="Palatino Linotype" w:cs="Palatino Linotype"/>
          <w:color w:val="000000"/>
          <w:szCs w:val="24"/>
        </w:rPr>
        <w:t>trece de mayo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 xml:space="preserve">el Sistema de Acceso a la Información Mexiquense (SAIMEX) con el </w:t>
      </w:r>
      <w:r w:rsidR="00A970D5" w:rsidRPr="00373C5A">
        <w:rPr>
          <w:rFonts w:eastAsia="Palatino Linotype" w:cs="Palatino Linotype"/>
          <w:color w:val="000000"/>
          <w:szCs w:val="24"/>
        </w:rPr>
        <w:t>número</w:t>
      </w:r>
      <w:r w:rsidR="00642669" w:rsidRPr="00373C5A">
        <w:rPr>
          <w:rFonts w:eastAsia="Palatino Linotype" w:cs="Palatino Linotype"/>
          <w:color w:val="000000"/>
          <w:szCs w:val="24"/>
        </w:rPr>
        <w:t xml:space="preserve"> </w:t>
      </w:r>
      <w:r w:rsidR="00373C5A" w:rsidRPr="00373C5A">
        <w:rPr>
          <w:rFonts w:eastAsia="Palatino Linotype" w:cs="Palatino Linotype"/>
          <w:color w:val="000000"/>
          <w:szCs w:val="24"/>
        </w:rPr>
        <w:t>de expediente</w:t>
      </w:r>
      <w:r w:rsidR="00373C5A">
        <w:rPr>
          <w:rFonts w:eastAsia="Palatino Linotype" w:cs="Palatino Linotype"/>
          <w:b/>
          <w:bCs/>
          <w:color w:val="000000"/>
          <w:szCs w:val="24"/>
        </w:rPr>
        <w:t xml:space="preserve"> </w:t>
      </w:r>
      <w:r w:rsidR="0072426B">
        <w:rPr>
          <w:rFonts w:eastAsia="Palatino Linotype" w:cs="Palatino Linotype"/>
          <w:b/>
          <w:bCs/>
          <w:color w:val="000000"/>
          <w:szCs w:val="24"/>
        </w:rPr>
        <w:t>00108/DIFHUEHUET/IP/2025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494767B" w:rsidR="00A970D5" w:rsidRPr="006922F5" w:rsidRDefault="70652167" w:rsidP="0072426B">
      <w:pPr>
        <w:pStyle w:val="Fundamentos"/>
      </w:pPr>
      <w:r w:rsidRPr="70652167">
        <w:rPr>
          <w:lang w:val="es-ES"/>
        </w:rPr>
        <w:t>«</w:t>
      </w:r>
      <w:r w:rsidR="0072426B" w:rsidRPr="0072426B">
        <w:rPr>
          <w:lang w:val="es-ES"/>
        </w:rPr>
        <w:t>“Requiero la relación de los proveedores a los que se les haya adjudicados alguna compra en lo que va del año 2025, además requiero toda su documentación técnica y legal y cuáles son los requisitos para participar en un procedimiento de adquisición.”</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6922F5" w:rsidRDefault="00531CE5"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335413D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951C20">
        <w:rPr>
          <w:rFonts w:eastAsia="Palatino Linotype" w:cs="Palatino Linotype"/>
          <w:color w:val="000000"/>
          <w:szCs w:val="24"/>
        </w:rPr>
        <w:t>tres de junio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51E816E5" w14:textId="77777777" w:rsidR="00951C20" w:rsidRDefault="00BE24AA" w:rsidP="00951C20">
      <w:pPr>
        <w:pStyle w:val="Fundamentos"/>
      </w:pPr>
      <w:r w:rsidRPr="23740614">
        <w:rPr>
          <w:lang w:val="es-ES"/>
        </w:rPr>
        <w:t>«</w:t>
      </w:r>
      <w:r w:rsidR="00951C20">
        <w:t>se envía respuesta a su solicitud.</w:t>
      </w:r>
    </w:p>
    <w:p w14:paraId="5996E642" w14:textId="77777777" w:rsidR="00951C20" w:rsidRDefault="00951C20" w:rsidP="00951C20">
      <w:pPr>
        <w:pStyle w:val="Fundamentos"/>
      </w:pPr>
    </w:p>
    <w:p w14:paraId="4FC34042" w14:textId="77777777" w:rsidR="00951C20" w:rsidRDefault="00951C20" w:rsidP="00951C20">
      <w:pPr>
        <w:pStyle w:val="Fundamentos"/>
      </w:pPr>
      <w:r>
        <w:t>ATENTAMENTE</w:t>
      </w:r>
    </w:p>
    <w:p w14:paraId="3FE4A9EF" w14:textId="1085017E" w:rsidR="00A970D5" w:rsidRPr="00404754" w:rsidRDefault="00951C20" w:rsidP="00951C20">
      <w:pPr>
        <w:pStyle w:val="Fundamentos"/>
        <w:rPr>
          <w:lang w:val="es-MX"/>
        </w:rPr>
      </w:pPr>
      <w:r>
        <w:t>C. Janeth Olivia Maldonado Cervantes</w:t>
      </w:r>
      <w:r w:rsidR="00BE24AA" w:rsidRPr="00BE24AA">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B923F8A" w14:textId="7EC358D1" w:rsidR="00964503" w:rsidRPr="0037112D" w:rsidRDefault="00964503" w:rsidP="006523DC">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color w:val="000000" w:themeColor="text1"/>
          <w:lang w:val="es-ES"/>
        </w:rPr>
        <w:t xml:space="preserve">El Sujeto Obligado adjuntó a su respuesta </w:t>
      </w:r>
      <w:r w:rsidR="00951C20">
        <w:rPr>
          <w:rFonts w:eastAsia="Palatino Linotype" w:cs="Palatino Linotype"/>
          <w:color w:val="000000" w:themeColor="text1"/>
          <w:lang w:val="es-ES"/>
        </w:rPr>
        <w:t>el documento denominado</w:t>
      </w:r>
      <w:r>
        <w:rPr>
          <w:rFonts w:eastAsia="Palatino Linotype" w:cs="Palatino Linotype"/>
          <w:color w:val="000000" w:themeColor="text1"/>
          <w:lang w:val="es-ES"/>
        </w:rPr>
        <w:t xml:space="preserve"> </w:t>
      </w:r>
      <w:r w:rsidR="00786FBB" w:rsidRPr="70652167">
        <w:rPr>
          <w:rFonts w:eastAsia="Palatino Linotype" w:cs="Palatino Linotype"/>
          <w:b/>
          <w:bCs/>
          <w:color w:val="000000" w:themeColor="text1"/>
          <w:lang w:val="es-ES"/>
        </w:rPr>
        <w:t>«</w:t>
      </w:r>
      <w:r w:rsidR="00951C20" w:rsidRPr="00951C20">
        <w:rPr>
          <w:rFonts w:eastAsia="Palatino Linotype" w:cs="Palatino Linotype"/>
          <w:b/>
          <w:bCs/>
          <w:color w:val="000000" w:themeColor="text1"/>
          <w:lang w:val="es-ES"/>
        </w:rPr>
        <w:t>OF009.pdf</w:t>
      </w:r>
      <w:r w:rsidR="00786FBB" w:rsidRPr="70652167">
        <w:rPr>
          <w:rFonts w:eastAsia="Palatino Linotype" w:cs="Palatino Linotype"/>
          <w:b/>
          <w:bCs/>
          <w:color w:val="000000" w:themeColor="text1"/>
          <w:lang w:val="es-ES"/>
        </w:rPr>
        <w:t>»</w:t>
      </w:r>
      <w:r w:rsidR="00C911D9" w:rsidRPr="70652167">
        <w:rPr>
          <w:rFonts w:eastAsia="Palatino Linotype" w:cs="Palatino Linotype"/>
          <w:color w:val="000000" w:themeColor="text1"/>
          <w:lang w:val="es-ES"/>
        </w:rPr>
        <w:t>,</w:t>
      </w:r>
      <w:r w:rsidR="00C911D9" w:rsidRPr="00786FBB">
        <w:rPr>
          <w:rFonts w:eastAsia="Palatino Linotype" w:cs="Palatino Linotype"/>
          <w:b/>
          <w:bCs/>
          <w:color w:val="000000" w:themeColor="text1"/>
          <w:lang w:val="es-ES"/>
        </w:rPr>
        <w:t xml:space="preserve"> </w:t>
      </w:r>
      <w:r>
        <w:rPr>
          <w:rFonts w:eastAsia="Palatino Linotype" w:cs="Palatino Linotype"/>
          <w:color w:val="000000" w:themeColor="text1"/>
          <w:lang w:val="es-ES"/>
        </w:rPr>
        <w:t>cuyo</w:t>
      </w:r>
      <w:r w:rsidRPr="70652167">
        <w:rPr>
          <w:rFonts w:eastAsia="Palatino Linotype" w:cs="Palatino Linotype"/>
          <w:color w:val="000000" w:themeColor="text1"/>
          <w:lang w:val="es-ES"/>
        </w:rPr>
        <w:t xml:space="preserve"> contenido</w:t>
      </w:r>
      <w:r>
        <w:rPr>
          <w:rFonts w:eastAsia="Palatino Linotype" w:cs="Palatino Linotype"/>
          <w:color w:val="000000" w:themeColor="text1"/>
          <w:lang w:val="es-ES"/>
        </w:rPr>
        <w:t xml:space="preserve"> no se reproduce; no obstante,</w:t>
      </w:r>
      <w:r w:rsidRPr="70652167">
        <w:rPr>
          <w:rFonts w:eastAsia="Palatino Linotype" w:cs="Palatino Linotype"/>
          <w:color w:val="000000" w:themeColor="text1"/>
          <w:lang w:val="es-ES"/>
        </w:rPr>
        <w:t xml:space="preserve"> será motivo de análisis en el estudio correspondiente.</w:t>
      </w:r>
    </w:p>
    <w:p w14:paraId="20111022" w14:textId="77777777" w:rsidR="008638FA" w:rsidRPr="00964503" w:rsidRDefault="008638FA" w:rsidP="006922F5">
      <w:pPr>
        <w:pBdr>
          <w:top w:val="nil"/>
          <w:left w:val="nil"/>
          <w:bottom w:val="nil"/>
          <w:right w:val="nil"/>
          <w:between w:val="nil"/>
        </w:pBdr>
        <w:contextualSpacing/>
        <w:rPr>
          <w:rFonts w:eastAsia="Palatino Linotype" w:cs="Palatino Linotype"/>
          <w:color w:val="000000"/>
          <w:szCs w:val="24"/>
          <w:lang w:val="es-ES"/>
        </w:rPr>
      </w:pPr>
    </w:p>
    <w:p w14:paraId="58FA11DD" w14:textId="58E2061C" w:rsidR="00A970D5" w:rsidRPr="006922F5" w:rsidRDefault="00531CE5"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49E75487"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F6A15">
        <w:rPr>
          <w:rFonts w:eastAsia="Palatino Linotype" w:cs="Palatino Linotype"/>
          <w:color w:val="000000"/>
          <w:szCs w:val="24"/>
        </w:rPr>
        <w:t xml:space="preserve"> </w:t>
      </w:r>
      <w:r w:rsidR="005F36D3">
        <w:rPr>
          <w:rFonts w:eastAsia="Palatino Linotype" w:cs="Palatino Linotype"/>
          <w:color w:val="000000"/>
          <w:szCs w:val="24"/>
        </w:rPr>
        <w:t>nueve de junio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72426B">
        <w:rPr>
          <w:rFonts w:eastAsia="Palatino Linotype" w:cs="Palatino Linotype"/>
          <w:b/>
          <w:color w:val="000000"/>
          <w:szCs w:val="24"/>
        </w:rPr>
        <w:t>06685/INFOEM/IP/RR/2025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0843A58E" w:rsidR="00A970D5" w:rsidRPr="006922F5" w:rsidRDefault="5C35490E" w:rsidP="5C35490E">
      <w:pPr>
        <w:pStyle w:val="Fundamentos"/>
        <w:rPr>
          <w:b/>
          <w:bCs/>
          <w:lang w:val="es-ES"/>
        </w:rPr>
      </w:pPr>
      <w:r w:rsidRPr="5C35490E">
        <w:rPr>
          <w:lang w:val="es-ES"/>
        </w:rPr>
        <w:t>«</w:t>
      </w:r>
      <w:r w:rsidR="005F36D3" w:rsidRPr="005F36D3">
        <w:rPr>
          <w:lang w:val="es-ES"/>
        </w:rPr>
        <w:t>LA INFORMACION QUE SE SOLICITA ES VIA SAIMEX, POR LO TANTO REQUIERO TODO LO PEDIDO EN LA SOLICITUD DE INFORMACION POR ESA VIA, NO TENGO PORQUE IR A SUS OFICINAS Y MUCHO MENOS PAGAR POR OBTENER LA INFORMACION QUE REQUIERO, LA PERSONA TITULAR DE TRANSPARENCIA ANTES DE ENVIAR ESTA RESPUESTA DEBE DE CERCIORARSE QUE SEA LA CORRECTA, ES PARTE DE SU TRABAJ0.</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lastRenderedPageBreak/>
        <w:t>Razones o motivos de inconformidad</w:t>
      </w:r>
      <w:r w:rsidR="00300EA0" w:rsidRPr="006922F5">
        <w:rPr>
          <w:rFonts w:eastAsia="Palatino Linotype" w:cs="Palatino Linotype"/>
          <w:b/>
        </w:rPr>
        <w:t xml:space="preserve">: </w:t>
      </w:r>
    </w:p>
    <w:p w14:paraId="636038ED" w14:textId="7B2DB8BD" w:rsidR="00300EA0" w:rsidRPr="006922F5" w:rsidRDefault="00300EA0" w:rsidP="00300EA0">
      <w:pPr>
        <w:pStyle w:val="Fundamentos"/>
        <w:rPr>
          <w:b/>
          <w:bCs/>
          <w:lang w:val="es-ES"/>
        </w:rPr>
      </w:pPr>
      <w:r w:rsidRPr="5C35490E">
        <w:rPr>
          <w:lang w:val="es-ES"/>
        </w:rPr>
        <w:t>«</w:t>
      </w:r>
      <w:r w:rsidR="005F36D3" w:rsidRPr="005F36D3">
        <w:t>LA INFORMACION QUE SE SOLICITA ES VIA SAIMEX, POR LO TANTO REQUIERO TODO LO PEDIDO EN LA SOLICITUD DE INFORMACION POR ESA VIA, NO TENGO PORQUE IR A SUS OFICINAS Y MUCHO MENOS PAGAR POR OBTENER LA INFORMACION QUE REQUIERO, LA PERSONA TITULAR DE TRANSPARENCIA ANTES DE ENVIAR ESTA RESPUESTA DEBE DE CERCIORARSE QUE SEA LA CORRECTA, ES PARTE DE SU TRABAJ0.</w:t>
      </w:r>
      <w:r w:rsidRPr="5C35490E">
        <w:rPr>
          <w:lang w:val="es-ES"/>
        </w:rPr>
        <w:t>» (Sic)</w:t>
      </w:r>
    </w:p>
    <w:p w14:paraId="24151284" w14:textId="77777777" w:rsidR="005F36D3" w:rsidRDefault="005F36D3" w:rsidP="006922F5">
      <w:pPr>
        <w:contextualSpacing/>
        <w:rPr>
          <w:rFonts w:eastAsia="Palatino Linotype" w:cs="Palatino Linotype"/>
          <w:iCs/>
          <w:szCs w:val="24"/>
          <w:lang w:val="es-ES"/>
        </w:rPr>
      </w:pPr>
    </w:p>
    <w:p w14:paraId="11D7F189" w14:textId="400C074D" w:rsidR="00A970D5" w:rsidRPr="006922F5" w:rsidRDefault="00531CE5"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54A505BC"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5F36D3">
        <w:rPr>
          <w:rFonts w:eastAsia="Palatino Linotype" w:cs="Palatino Linotype"/>
          <w:color w:val="000000" w:themeColor="text1"/>
          <w:lang w:val="es-ES"/>
        </w:rPr>
        <w:t>doce</w:t>
      </w:r>
      <w:r w:rsidR="00D251A6">
        <w:rPr>
          <w:rFonts w:eastAsia="Palatino Linotype" w:cs="Palatino Linotype"/>
          <w:color w:val="000000" w:themeColor="text1"/>
          <w:lang w:val="es-ES"/>
        </w:rPr>
        <w:t xml:space="preserve"> de junio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4C2341"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4941FA" w:rsidRDefault="00531CE5" w:rsidP="006922F5">
      <w:pPr>
        <w:pStyle w:val="Ttulo2"/>
        <w:rPr>
          <w:rFonts w:eastAsia="Palatino Linotype"/>
        </w:rPr>
      </w:pPr>
      <w:r w:rsidRPr="004941FA">
        <w:rPr>
          <w:rFonts w:eastAsia="Palatino Linotype"/>
        </w:rPr>
        <w:t>QUIN</w:t>
      </w:r>
      <w:r w:rsidR="007A1154" w:rsidRPr="004941FA">
        <w:rPr>
          <w:rFonts w:eastAsia="Palatino Linotype"/>
        </w:rPr>
        <w:t>TO</w:t>
      </w:r>
      <w:r w:rsidR="00A970D5" w:rsidRPr="004941FA">
        <w:rPr>
          <w:rFonts w:eastAsia="Palatino Linotype"/>
        </w:rPr>
        <w:t>. De la etapa de instrucción.</w:t>
      </w:r>
    </w:p>
    <w:p w14:paraId="3FF82E47" w14:textId="12B584A8" w:rsidR="00FC4195" w:rsidRPr="009D62BC" w:rsidRDefault="00FC4195" w:rsidP="00FC419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S</w:t>
      </w:r>
      <w:r w:rsidRPr="1B94458F">
        <w:rPr>
          <w:rFonts w:eastAsia="Palatino Linotype" w:cs="Palatino Linotype"/>
          <w:color w:val="000000" w:themeColor="text1"/>
        </w:rPr>
        <w:t>e observa que el Sujeto Obligado omitió rendir el Informe Justificado</w:t>
      </w:r>
      <w:r>
        <w:rPr>
          <w:rFonts w:eastAsia="Palatino Linotype" w:cs="Palatino Linotype"/>
          <w:color w:val="000000" w:themeColor="text1"/>
        </w:rPr>
        <w:t xml:space="preserve"> durante la etapa de instrucción</w:t>
      </w:r>
      <w:r w:rsidRPr="1B94458F">
        <w:rPr>
          <w:rFonts w:eastAsia="Palatino Linotype" w:cs="Palatino Linotype"/>
          <w:color w:val="000000" w:themeColor="text1"/>
        </w:rPr>
        <w:t xml:space="preserve">. Por su parte, </w:t>
      </w:r>
      <w:r w:rsidR="00A73BDD">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4C2341"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6922F5" w:rsidRDefault="007A1154" w:rsidP="006922F5">
      <w:pPr>
        <w:pStyle w:val="Ttulo2"/>
        <w:rPr>
          <w:rFonts w:eastAsia="Palatino Linotype"/>
        </w:rPr>
      </w:pPr>
      <w:r>
        <w:rPr>
          <w:rFonts w:eastAsia="Palatino Linotype"/>
        </w:rPr>
        <w:t>S</w:t>
      </w:r>
      <w:r w:rsidR="00531CE5">
        <w:rPr>
          <w:rFonts w:eastAsia="Palatino Linotype"/>
        </w:rPr>
        <w:t>EXTO</w:t>
      </w:r>
      <w:r w:rsidR="00A970D5" w:rsidRPr="006922F5">
        <w:rPr>
          <w:rFonts w:eastAsia="Palatino Linotype"/>
        </w:rPr>
        <w:t>. Del cierre de instrucción.</w:t>
      </w:r>
    </w:p>
    <w:p w14:paraId="2456F4BD" w14:textId="70D5256D"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D251A6">
        <w:rPr>
          <w:rFonts w:eastAsia="Palatino Linotype" w:cs="Palatino Linotype"/>
          <w:color w:val="000000"/>
          <w:szCs w:val="24"/>
        </w:rPr>
        <w:t>veinticuatro de junio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CD7B73C" w14:textId="77777777" w:rsidR="00FB234A" w:rsidRDefault="00FB234A" w:rsidP="006922F5">
      <w:pPr>
        <w:pBdr>
          <w:top w:val="nil"/>
          <w:left w:val="nil"/>
          <w:bottom w:val="nil"/>
          <w:right w:val="nil"/>
          <w:between w:val="nil"/>
        </w:pBdr>
        <w:contextualSpacing/>
        <w:rPr>
          <w:rFonts w:eastAsia="Palatino Linotype" w:cs="Palatino Linotype"/>
          <w:color w:val="000000"/>
          <w:szCs w:val="24"/>
        </w:rPr>
      </w:pPr>
    </w:p>
    <w:p w14:paraId="3C631F82" w14:textId="41309888" w:rsidR="00E32C1E" w:rsidRPr="006054AA" w:rsidRDefault="00E32C1E" w:rsidP="00E32C1E">
      <w:pPr>
        <w:pStyle w:val="Ttulo2"/>
        <w:rPr>
          <w:rFonts w:eastAsiaTheme="minorHAnsi"/>
          <w:lang w:eastAsia="en-US"/>
        </w:rPr>
      </w:pPr>
      <w:r>
        <w:rPr>
          <w:rFonts w:eastAsiaTheme="minorHAnsi"/>
          <w:lang w:eastAsia="en-US"/>
        </w:rPr>
        <w:t>SÉPTIMO</w:t>
      </w:r>
      <w:r w:rsidRPr="006054AA">
        <w:rPr>
          <w:rFonts w:eastAsiaTheme="minorHAnsi"/>
          <w:lang w:eastAsia="en-US"/>
        </w:rPr>
        <w:t>. De la ampliación del término para resolver.</w:t>
      </w:r>
    </w:p>
    <w:p w14:paraId="41BC9957" w14:textId="2BF6A507" w:rsidR="00E32C1E" w:rsidRPr="00546575" w:rsidRDefault="00E32C1E" w:rsidP="00E32C1E">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Pr>
          <w:rFonts w:eastAsiaTheme="minorHAnsi" w:cstheme="minorBidi"/>
          <w:szCs w:val="24"/>
          <w:lang w:eastAsia="en-US"/>
        </w:rPr>
        <w:t>siete de agosto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B5373A5" w14:textId="77777777" w:rsidR="00E32C1E" w:rsidRDefault="00E32C1E" w:rsidP="00E32C1E">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E32C1E"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333CAFE0" w:rsidR="00A970D5" w:rsidRPr="006922F5" w:rsidRDefault="00FB234A" w:rsidP="006922F5">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séptimo, trigésimo octavo y trigésimo noveno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3595FD99" w14:textId="77777777" w:rsidR="00D251A6" w:rsidRPr="00F34F85" w:rsidRDefault="00D251A6" w:rsidP="00D251A6">
      <w:pPr>
        <w:pStyle w:val="Ttulo2"/>
      </w:pPr>
      <w:r w:rsidRPr="00F34F85">
        <w:t xml:space="preserve">TERCERO. Cuestiones de previo y especial pronunciamiento. </w:t>
      </w:r>
    </w:p>
    <w:p w14:paraId="562E9A86" w14:textId="77777777" w:rsidR="00D251A6" w:rsidRPr="00E32F0F" w:rsidRDefault="00D251A6" w:rsidP="00D251A6">
      <w:pPr>
        <w:rPr>
          <w:rFonts w:eastAsia="Palatino Linotype" w:cs="Palatino Linotype"/>
        </w:rPr>
      </w:pPr>
      <w:r w:rsidRPr="00E32F0F">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54EADEB8" w14:textId="77777777" w:rsidR="00D251A6" w:rsidRPr="00E32F0F" w:rsidRDefault="00D251A6" w:rsidP="00D251A6">
      <w:pPr>
        <w:rPr>
          <w:rFonts w:eastAsia="Palatino Linotype" w:cs="Palatino Linotype"/>
        </w:rPr>
      </w:pPr>
    </w:p>
    <w:p w14:paraId="516F2317"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b/>
          <w:i/>
          <w:sz w:val="22"/>
        </w:rPr>
        <w:t xml:space="preserve">Artículo 180. </w:t>
      </w:r>
      <w:r w:rsidRPr="00E32F0F">
        <w:rPr>
          <w:rFonts w:eastAsia="Palatino Linotype" w:cs="Palatino Linotype"/>
          <w:i/>
          <w:sz w:val="22"/>
        </w:rPr>
        <w:t>El recurso de revisión contendrá:</w:t>
      </w:r>
    </w:p>
    <w:p w14:paraId="2FA218ED"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I. El sujeto obligado ante la cual se presentó la solicitud;</w:t>
      </w:r>
    </w:p>
    <w:p w14:paraId="78A30154"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b/>
          <w:i/>
          <w:sz w:val="22"/>
        </w:rPr>
        <w:t>II. El nombre del solicitante que recurre</w:t>
      </w:r>
      <w:r w:rsidRPr="00E32F0F">
        <w:rPr>
          <w:rFonts w:eastAsia="Palatino Linotype" w:cs="Palatino Linotype"/>
          <w:i/>
          <w:sz w:val="22"/>
        </w:rPr>
        <w:t xml:space="preserve"> o de su representante y, en su caso, del tercero interesado, así como la dirección o medio que señale para recibir notificaciones;</w:t>
      </w:r>
    </w:p>
    <w:p w14:paraId="2076ED6D"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III. El número de folio de respuesta de la solicitud de acceso;</w:t>
      </w:r>
    </w:p>
    <w:p w14:paraId="0D7F3675"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IV. La fecha en que fue notificada la respuesta al solicitante o tuvo conocimiento del acto reclamado, o de presentación de la solicitud, en caso de falta de respuesta;</w:t>
      </w:r>
    </w:p>
    <w:p w14:paraId="6458E165"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V. El acto que se recurre;</w:t>
      </w:r>
    </w:p>
    <w:p w14:paraId="40CBD70D"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VI. Las razones o motivos de inconformidad;</w:t>
      </w:r>
    </w:p>
    <w:p w14:paraId="6705F51F"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VII. La copia de la respuesta que se impugna y, en su caso, de la notificación correspondiente, en el caso de respuesta de la solicitud; y</w:t>
      </w:r>
    </w:p>
    <w:p w14:paraId="6A999993"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VIII. Firma del recurrente, en su caso, cuando se presente por escrito, requisito sin el cual se dará trámite al recurso.</w:t>
      </w:r>
    </w:p>
    <w:p w14:paraId="21A58B26" w14:textId="77777777" w:rsidR="00D251A6" w:rsidRPr="00E32F0F" w:rsidRDefault="00D251A6" w:rsidP="00D251A6">
      <w:pPr>
        <w:spacing w:line="240" w:lineRule="auto"/>
        <w:ind w:left="567" w:right="567"/>
        <w:rPr>
          <w:rFonts w:eastAsia="Palatino Linotype" w:cs="Palatino Linotype"/>
          <w:i/>
          <w:sz w:val="22"/>
        </w:rPr>
      </w:pPr>
    </w:p>
    <w:p w14:paraId="66D7F61C"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lastRenderedPageBreak/>
        <w:t>Adicionalmente, se podrán anexar las pruebas y demás elementos que considere procedentes someter a juicio del Instituto.</w:t>
      </w:r>
    </w:p>
    <w:p w14:paraId="0609910D" w14:textId="77777777" w:rsidR="00D251A6" w:rsidRPr="00E32F0F" w:rsidRDefault="00D251A6" w:rsidP="00D251A6">
      <w:pPr>
        <w:spacing w:line="240" w:lineRule="auto"/>
        <w:ind w:left="567" w:right="567"/>
        <w:rPr>
          <w:rFonts w:eastAsia="Palatino Linotype" w:cs="Palatino Linotype"/>
          <w:i/>
          <w:sz w:val="22"/>
        </w:rPr>
      </w:pPr>
    </w:p>
    <w:p w14:paraId="380E6362"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En ningún caso será necesario que el particular ratifique el recurso de revisión interpuesto.</w:t>
      </w:r>
    </w:p>
    <w:p w14:paraId="1B078144" w14:textId="77777777" w:rsidR="00D251A6" w:rsidRPr="00E32F0F" w:rsidRDefault="00D251A6" w:rsidP="00D251A6">
      <w:pPr>
        <w:spacing w:line="240" w:lineRule="auto"/>
        <w:ind w:left="567" w:right="567"/>
        <w:rPr>
          <w:rFonts w:eastAsia="Palatino Linotype" w:cs="Palatino Linotype"/>
          <w:i/>
          <w:sz w:val="22"/>
        </w:rPr>
      </w:pPr>
    </w:p>
    <w:p w14:paraId="09F6DF4E" w14:textId="77777777" w:rsidR="00D251A6" w:rsidRPr="00E32F0F" w:rsidRDefault="00D251A6" w:rsidP="00D251A6">
      <w:pPr>
        <w:spacing w:line="240" w:lineRule="auto"/>
        <w:ind w:left="567" w:right="567"/>
        <w:rPr>
          <w:rFonts w:eastAsia="Palatino Linotype" w:cs="Palatino Linotype"/>
          <w:i/>
          <w:iCs/>
          <w:sz w:val="22"/>
          <w:lang w:val="es-ES"/>
        </w:rPr>
      </w:pPr>
      <w:r w:rsidRPr="00E32F0F">
        <w:rPr>
          <w:rFonts w:eastAsia="Palatino Linotype" w:cs="Palatino Linotype"/>
          <w:b/>
          <w:bCs/>
          <w:i/>
          <w:iCs/>
          <w:sz w:val="22"/>
          <w:lang w:val="es-ES"/>
        </w:rPr>
        <w:t>En caso de que el recurso se interponga de manera electrónica no será indispensable que contengan los requisitos establecidos en las fracciones II</w:t>
      </w:r>
      <w:r w:rsidRPr="00E32F0F">
        <w:rPr>
          <w:rFonts w:eastAsia="Palatino Linotype" w:cs="Palatino Linotype"/>
          <w:i/>
          <w:iCs/>
          <w:sz w:val="22"/>
          <w:lang w:val="es-ES"/>
        </w:rPr>
        <w:t>, IV, VII y VIII.</w:t>
      </w:r>
    </w:p>
    <w:p w14:paraId="5EE15F64" w14:textId="77777777" w:rsidR="00D251A6" w:rsidRPr="00E32F0F" w:rsidRDefault="00D251A6" w:rsidP="00D251A6">
      <w:pPr>
        <w:rPr>
          <w:rFonts w:eastAsia="Palatino Linotype" w:cs="Palatino Linotype"/>
          <w:b/>
          <w:i/>
        </w:rPr>
      </w:pPr>
    </w:p>
    <w:p w14:paraId="0715780B" w14:textId="77777777" w:rsidR="00D251A6" w:rsidRPr="00E32F0F" w:rsidRDefault="00D251A6" w:rsidP="00D251A6">
      <w:pPr>
        <w:rPr>
          <w:rFonts w:eastAsia="Palatino Linotype" w:cs="Palatino Linotype"/>
          <w:lang w:val="es-ES"/>
        </w:rPr>
      </w:pPr>
      <w:r w:rsidRPr="00E32F0F">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DAAE302" w14:textId="77777777" w:rsidR="00D251A6" w:rsidRPr="00E32F0F" w:rsidRDefault="00D251A6" w:rsidP="00D251A6">
      <w:pPr>
        <w:rPr>
          <w:rFonts w:eastAsia="Palatino Linotype" w:cs="Palatino Linotype"/>
        </w:rPr>
      </w:pPr>
    </w:p>
    <w:p w14:paraId="7FD3B996"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b/>
          <w:i/>
          <w:sz w:val="22"/>
        </w:rPr>
        <w:t>Artículo 155.</w:t>
      </w:r>
      <w:r w:rsidRPr="00E32F0F">
        <w:rPr>
          <w:rFonts w:eastAsia="Palatino Linotype" w:cs="Palatino Linotype"/>
          <w:i/>
          <w:sz w:val="22"/>
        </w:rPr>
        <w:t xml:space="preserve"> […]</w:t>
      </w:r>
    </w:p>
    <w:p w14:paraId="7883A4FA" w14:textId="77777777" w:rsidR="00D251A6" w:rsidRPr="00E32F0F" w:rsidRDefault="00D251A6" w:rsidP="00D251A6">
      <w:pPr>
        <w:spacing w:line="240" w:lineRule="auto"/>
        <w:ind w:left="567" w:right="567"/>
        <w:rPr>
          <w:rFonts w:eastAsia="Palatino Linotype" w:cs="Palatino Linotype"/>
          <w:i/>
          <w:sz w:val="22"/>
        </w:rPr>
      </w:pPr>
    </w:p>
    <w:p w14:paraId="6D5D03D4"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468C358"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w:t>
      </w:r>
    </w:p>
    <w:p w14:paraId="621ACD06" w14:textId="77777777" w:rsidR="00D251A6" w:rsidRPr="00E32F0F" w:rsidRDefault="00D251A6" w:rsidP="00D251A6">
      <w:pPr>
        <w:rPr>
          <w:rFonts w:eastAsia="Palatino Linotype" w:cs="Palatino Linotype"/>
        </w:rPr>
      </w:pPr>
    </w:p>
    <w:p w14:paraId="39385904" w14:textId="77777777" w:rsidR="00D251A6" w:rsidRPr="00E32F0F" w:rsidRDefault="00D251A6" w:rsidP="00D251A6">
      <w:pPr>
        <w:rPr>
          <w:rFonts w:eastAsia="Palatino Linotype" w:cs="Palatino Linotype"/>
        </w:rPr>
      </w:pPr>
      <w:r w:rsidRPr="00E32F0F">
        <w:rPr>
          <w:rFonts w:eastAsia="Palatino Linotype" w:cs="Palatino Linotype"/>
        </w:rPr>
        <w:t xml:space="preserve">Robusteciendo lo anterior se encuentra lo dispuesto en el artículo 5 párrafos </w:t>
      </w:r>
      <w:r w:rsidRPr="001763AE">
        <w:rPr>
          <w:rFonts w:eastAsia="Palatino Linotype" w:cs="Palatino Linotype"/>
        </w:rPr>
        <w:t>trigésimo noveno, cuad</w:t>
      </w:r>
      <w:r>
        <w:rPr>
          <w:rFonts w:eastAsia="Palatino Linotype" w:cs="Palatino Linotype"/>
        </w:rPr>
        <w:t>ragésimo y cuadragésimo primero</w:t>
      </w:r>
      <w:r w:rsidRPr="00E32F0F">
        <w:rPr>
          <w:rFonts w:eastAsia="Palatino Linotype" w:cs="Palatino Linotype"/>
        </w:rPr>
        <w:t xml:space="preserve"> de la Constitución Política del Estado Libre y Soberano de México, se establece lo siguiente:</w:t>
      </w:r>
    </w:p>
    <w:p w14:paraId="41BBAF44" w14:textId="77777777" w:rsidR="00D251A6" w:rsidRPr="00E32F0F" w:rsidRDefault="00D251A6" w:rsidP="00D251A6">
      <w:pPr>
        <w:rPr>
          <w:rFonts w:eastAsia="Palatino Linotype" w:cs="Palatino Linotype"/>
        </w:rPr>
      </w:pPr>
    </w:p>
    <w:p w14:paraId="583FA21D"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b/>
          <w:i/>
          <w:sz w:val="22"/>
        </w:rPr>
        <w:t>Artículo 5</w:t>
      </w:r>
      <w:r w:rsidRPr="00E32F0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C3B0748"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w:t>
      </w:r>
    </w:p>
    <w:p w14:paraId="1F931958" w14:textId="77777777" w:rsidR="00D251A6" w:rsidRPr="00E32F0F" w:rsidRDefault="00D251A6" w:rsidP="00D251A6">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lastRenderedPageBreak/>
        <w:t>Toda persona en el Estado de México, tiene derecho al libre acceso a la información plural y oportuna, así como a buscar recibir y difundir información e ideas de toda índole por cualquier medio de expresión.</w:t>
      </w:r>
    </w:p>
    <w:p w14:paraId="694003AE"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w:t>
      </w:r>
    </w:p>
    <w:p w14:paraId="57DA2BB0"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7CAD3FB" w14:textId="77777777" w:rsidR="00D251A6" w:rsidRPr="00E32F0F" w:rsidRDefault="00D251A6" w:rsidP="00D251A6">
      <w:pPr>
        <w:spacing w:line="240" w:lineRule="auto"/>
        <w:ind w:left="567" w:right="567"/>
        <w:rPr>
          <w:rFonts w:eastAsia="Palatino Linotype" w:cs="Palatino Linotype"/>
          <w:i/>
          <w:sz w:val="22"/>
        </w:rPr>
      </w:pPr>
    </w:p>
    <w:p w14:paraId="6B33243D" w14:textId="77777777" w:rsidR="00D251A6" w:rsidRPr="00E32F0F" w:rsidRDefault="00D251A6" w:rsidP="00D251A6">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02331F" w14:textId="77777777" w:rsidR="00D251A6" w:rsidRPr="00E32F0F" w:rsidRDefault="00D251A6" w:rsidP="00D251A6">
      <w:pPr>
        <w:spacing w:line="240" w:lineRule="auto"/>
        <w:ind w:left="567" w:right="567"/>
        <w:rPr>
          <w:rFonts w:eastAsia="Palatino Linotype" w:cs="Palatino Linotype"/>
          <w:i/>
          <w:sz w:val="22"/>
        </w:rPr>
      </w:pPr>
    </w:p>
    <w:p w14:paraId="036FE297"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Este derecho se regirá por los principios y bases siguientes:</w:t>
      </w:r>
    </w:p>
    <w:p w14:paraId="7654626A"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w:t>
      </w:r>
    </w:p>
    <w:p w14:paraId="1E50791E"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b/>
          <w:i/>
          <w:sz w:val="22"/>
        </w:rPr>
        <w:t>III.</w:t>
      </w:r>
      <w:r w:rsidRPr="00E32F0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0432A13"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b/>
          <w:i/>
          <w:sz w:val="22"/>
        </w:rPr>
        <w:t>IV.</w:t>
      </w:r>
      <w:r w:rsidRPr="00E32F0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BB1DAE3"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w:t>
      </w:r>
    </w:p>
    <w:p w14:paraId="71273B4F"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b/>
          <w:i/>
          <w:sz w:val="22"/>
        </w:rPr>
        <w:t>VIII.</w:t>
      </w:r>
      <w:r w:rsidRPr="00E32F0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91B47DA"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w:t>
      </w:r>
    </w:p>
    <w:p w14:paraId="76A03D4D" w14:textId="77777777" w:rsidR="00D251A6" w:rsidRPr="00E32F0F" w:rsidRDefault="00D251A6" w:rsidP="00D251A6">
      <w:pPr>
        <w:ind w:left="567" w:right="567"/>
        <w:rPr>
          <w:rFonts w:eastAsia="Palatino Linotype" w:cs="Palatino Linotype"/>
        </w:rPr>
      </w:pPr>
    </w:p>
    <w:p w14:paraId="7C5C9B45" w14:textId="77777777" w:rsidR="00D251A6" w:rsidRPr="00E32F0F" w:rsidRDefault="00D251A6" w:rsidP="00D251A6">
      <w:pPr>
        <w:rPr>
          <w:rFonts w:eastAsia="Palatino Linotype" w:cs="Palatino Linotype"/>
        </w:rPr>
      </w:pPr>
      <w:r w:rsidRPr="00E32F0F">
        <w:rPr>
          <w:rFonts w:eastAsia="Palatino Linotype" w:cs="Palatino Linotype"/>
        </w:rPr>
        <w:t>Por otra parte, del contenido del artículo 1 de la Constitución Política de los Estados Unidos Mexicanos, se destaca lo siguiente:</w:t>
      </w:r>
    </w:p>
    <w:p w14:paraId="07BDA047" w14:textId="77777777" w:rsidR="00D251A6" w:rsidRPr="00E32F0F" w:rsidRDefault="00D251A6" w:rsidP="00D251A6">
      <w:pPr>
        <w:spacing w:line="240" w:lineRule="auto"/>
        <w:ind w:left="567" w:right="567"/>
        <w:rPr>
          <w:rFonts w:eastAsia="Palatino Linotype" w:cs="Palatino Linotype"/>
        </w:rPr>
      </w:pPr>
    </w:p>
    <w:p w14:paraId="10BA812A"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b/>
          <w:i/>
          <w:sz w:val="22"/>
        </w:rPr>
        <w:t>Artículo 1o</w:t>
      </w:r>
      <w:r w:rsidRPr="00E32F0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DF9D2AA" w14:textId="77777777" w:rsidR="00D251A6" w:rsidRPr="00E32F0F" w:rsidRDefault="00D251A6" w:rsidP="00D251A6">
      <w:pPr>
        <w:spacing w:line="240" w:lineRule="auto"/>
        <w:ind w:left="567" w:right="567"/>
        <w:rPr>
          <w:rFonts w:eastAsia="Palatino Linotype" w:cs="Palatino Linotype"/>
          <w:i/>
          <w:sz w:val="22"/>
        </w:rPr>
      </w:pPr>
    </w:p>
    <w:p w14:paraId="5413BC9E"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1437D2B7" w14:textId="77777777" w:rsidR="00D251A6" w:rsidRPr="00E32F0F" w:rsidRDefault="00D251A6" w:rsidP="00D251A6">
      <w:pPr>
        <w:spacing w:line="240" w:lineRule="auto"/>
        <w:ind w:left="567" w:right="567"/>
        <w:rPr>
          <w:rFonts w:eastAsia="Palatino Linotype" w:cs="Palatino Linotype"/>
          <w:i/>
          <w:sz w:val="22"/>
        </w:rPr>
      </w:pPr>
    </w:p>
    <w:p w14:paraId="3C9B7DBD" w14:textId="77777777" w:rsidR="00D251A6" w:rsidRPr="00E32F0F" w:rsidRDefault="00D251A6" w:rsidP="00D251A6">
      <w:pPr>
        <w:spacing w:line="240" w:lineRule="auto"/>
        <w:ind w:left="567" w:right="567"/>
        <w:rPr>
          <w:rFonts w:eastAsia="Palatino Linotype" w:cs="Palatino Linotype"/>
          <w:i/>
          <w:sz w:val="22"/>
        </w:rPr>
      </w:pPr>
      <w:r w:rsidRPr="00E32F0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4338B89" w14:textId="77777777" w:rsidR="00D251A6" w:rsidRPr="00E32F0F" w:rsidRDefault="00D251A6" w:rsidP="00D251A6">
      <w:pPr>
        <w:ind w:left="567" w:right="567"/>
        <w:rPr>
          <w:rFonts w:eastAsia="Palatino Linotype" w:cs="Palatino Linotype"/>
        </w:rPr>
      </w:pPr>
    </w:p>
    <w:p w14:paraId="387CD25F" w14:textId="77777777" w:rsidR="00D251A6" w:rsidRPr="00E32F0F" w:rsidRDefault="00D251A6" w:rsidP="00D251A6">
      <w:pPr>
        <w:rPr>
          <w:rFonts w:eastAsia="Palatino Linotype" w:cs="Palatino Linotype"/>
        </w:rPr>
      </w:pPr>
      <w:r w:rsidRPr="00E32F0F">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79F6AEB" w14:textId="77777777" w:rsidR="00D251A6" w:rsidRPr="00E32F0F" w:rsidRDefault="00D251A6" w:rsidP="00D251A6">
      <w:pPr>
        <w:rPr>
          <w:rFonts w:eastAsia="Palatino Linotype" w:cs="Palatino Linotype"/>
        </w:rPr>
      </w:pPr>
    </w:p>
    <w:p w14:paraId="29D57C22" w14:textId="77777777" w:rsidR="00D251A6" w:rsidRPr="00F34F85" w:rsidRDefault="00D251A6" w:rsidP="00D251A6">
      <w:r w:rsidRPr="00F34F85">
        <w:t>En conclusión, se cubrieron los requisitos de procedencia y procedibilidad, conforme a las constancias que obran en el expediente.</w:t>
      </w:r>
    </w:p>
    <w:p w14:paraId="7E07F81E" w14:textId="77777777" w:rsidR="00D251A6" w:rsidRDefault="00D251A6" w:rsidP="00D251A6"/>
    <w:p w14:paraId="7E828C31" w14:textId="6BE405A1" w:rsidR="00454915" w:rsidRPr="006922F5" w:rsidRDefault="00D251A6" w:rsidP="00454915">
      <w:pPr>
        <w:pStyle w:val="Ttulo2"/>
        <w:rPr>
          <w:rFonts w:eastAsia="Palatino Linotype"/>
        </w:rPr>
      </w:pPr>
      <w:r>
        <w:rPr>
          <w:rFonts w:eastAsia="Palatino Linotype"/>
        </w:rPr>
        <w:t>CUART</w:t>
      </w:r>
      <w:r w:rsidR="0032017C">
        <w:rPr>
          <w:rFonts w:eastAsia="Palatino Linotype"/>
        </w:rPr>
        <w: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w:t>
      </w:r>
      <w:r w:rsidRPr="006922F5">
        <w:rPr>
          <w:rFonts w:eastAsia="Palatino Linotype" w:cs="Palatino Linotype"/>
          <w:color w:val="000000"/>
          <w:szCs w:val="24"/>
        </w:rPr>
        <w:lastRenderedPageBreak/>
        <w:t>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13A644DB" w:rsidR="00454915" w:rsidRPr="006922F5" w:rsidRDefault="00D251A6" w:rsidP="00454915">
      <w:pPr>
        <w:pStyle w:val="Ttulo2"/>
        <w:rPr>
          <w:rFonts w:eastAsia="Palatino Linotype"/>
        </w:rPr>
      </w:pPr>
      <w:r>
        <w:rPr>
          <w:rFonts w:eastAsia="Palatino Linotype"/>
        </w:rPr>
        <w:t>QUINT</w:t>
      </w:r>
      <w:r w:rsidR="0032017C">
        <w:rPr>
          <w:rFonts w:eastAsia="Palatino Linotype"/>
        </w:rPr>
        <w: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4D27BC20" w14:textId="3DF066FF" w:rsidR="005D752A" w:rsidRPr="00CE6A88" w:rsidRDefault="0EE28084" w:rsidP="000E1694">
      <w:pPr>
        <w:rPr>
          <w:rFonts w:eastAsiaTheme="minorEastAsia" w:cstheme="minorBidi"/>
          <w:lang w:eastAsia="en-US"/>
        </w:rPr>
      </w:pPr>
      <w:r w:rsidRPr="0EE28084">
        <w:rPr>
          <w:rFonts w:eastAsiaTheme="minorEastAsia" w:cstheme="minorBidi"/>
          <w:lang w:val="es-ES" w:eastAsia="en-US"/>
        </w:rPr>
        <w:t>En virtud de lo anterior, es conveniente recordar que el Recurrente requirió que</w:t>
      </w:r>
      <w:r w:rsidR="00D31CA9">
        <w:rPr>
          <w:rFonts w:eastAsiaTheme="minorEastAsia" w:cstheme="minorBidi"/>
          <w:lang w:val="es-ES" w:eastAsia="en-US"/>
        </w:rPr>
        <w:t xml:space="preserve"> </w:t>
      </w:r>
      <w:r w:rsidR="00181C41">
        <w:rPr>
          <w:rFonts w:eastAsiaTheme="minorEastAsia" w:cstheme="minorBidi"/>
          <w:lang w:val="es-ES" w:eastAsia="en-US"/>
        </w:rPr>
        <w:t>se le proporcionara</w:t>
      </w:r>
      <w:r w:rsidR="0032017C">
        <w:rPr>
          <w:rFonts w:eastAsiaTheme="minorEastAsia" w:cstheme="minorBidi"/>
          <w:lang w:val="es-ES" w:eastAsia="en-US"/>
        </w:rPr>
        <w:t xml:space="preserve"> </w:t>
      </w:r>
      <w:r w:rsidR="00AB2847">
        <w:rPr>
          <w:rFonts w:eastAsiaTheme="minorEastAsia" w:cstheme="minorBidi"/>
          <w:lang w:val="es-ES" w:eastAsia="en-US"/>
        </w:rPr>
        <w:t xml:space="preserve">una relación </w:t>
      </w:r>
      <w:r w:rsidR="004169C3">
        <w:rPr>
          <w:rFonts w:eastAsiaTheme="minorEastAsia" w:cstheme="minorBidi"/>
          <w:lang w:val="es-ES" w:eastAsia="en-US"/>
        </w:rPr>
        <w:t>de los proveedores a los que se les haya adjudicado alguna compra durante el periodo del primero de enero al trece de mayo de dos mil veinticinco, así como su documentación técnica y legal; y requirió conocer los requisitos para participar en un procedimiento de adquisición.</w:t>
      </w:r>
    </w:p>
    <w:p w14:paraId="40D88B84" w14:textId="77777777" w:rsidR="0032017C" w:rsidRDefault="0032017C" w:rsidP="00D31CA9">
      <w:pPr>
        <w:rPr>
          <w:rFonts w:eastAsiaTheme="minorEastAsia" w:cstheme="minorBidi"/>
          <w:lang w:val="es-ES" w:eastAsia="en-US"/>
        </w:rPr>
      </w:pPr>
    </w:p>
    <w:p w14:paraId="3271C651" w14:textId="77777777" w:rsidR="005A3658" w:rsidRDefault="00A970D5" w:rsidP="00183BC3">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w:t>
      </w:r>
      <w:r w:rsidR="001C4CBF" w:rsidRPr="3F7020EE">
        <w:rPr>
          <w:rFonts w:eastAsia="Palatino Linotype" w:cs="Palatino Linotype"/>
          <w:color w:val="000000" w:themeColor="text1"/>
        </w:rPr>
        <w:t>respondió</w:t>
      </w:r>
      <w:r w:rsidR="006D6CD1" w:rsidRPr="3F7020EE">
        <w:rPr>
          <w:rFonts w:eastAsia="Palatino Linotype" w:cs="Palatino Linotype"/>
          <w:color w:val="000000" w:themeColor="text1"/>
        </w:rPr>
        <w:t xml:space="preserve"> </w:t>
      </w:r>
      <w:r w:rsidR="005A3658">
        <w:rPr>
          <w:rFonts w:eastAsia="Palatino Linotype" w:cs="Palatino Linotype"/>
          <w:color w:val="000000" w:themeColor="text1"/>
        </w:rPr>
        <w:t>mediante la entrega de los siguientes documentos:</w:t>
      </w:r>
    </w:p>
    <w:p w14:paraId="78C074F9" w14:textId="77777777" w:rsidR="005A3658" w:rsidRDefault="005A3658" w:rsidP="00183BC3">
      <w:pPr>
        <w:pBdr>
          <w:top w:val="nil"/>
          <w:left w:val="nil"/>
          <w:bottom w:val="nil"/>
          <w:right w:val="nil"/>
          <w:between w:val="nil"/>
        </w:pBdr>
        <w:contextualSpacing/>
        <w:rPr>
          <w:rFonts w:eastAsia="Palatino Linotype" w:cs="Palatino Linotype"/>
          <w:color w:val="000000" w:themeColor="text1"/>
        </w:rPr>
      </w:pPr>
    </w:p>
    <w:p w14:paraId="369A81FD" w14:textId="7245B247" w:rsidR="009D6069" w:rsidRDefault="004169C3" w:rsidP="004169C3">
      <w:pPr>
        <w:pStyle w:val="Prrafodelista"/>
        <w:numPr>
          <w:ilvl w:val="0"/>
          <w:numId w:val="68"/>
        </w:numPr>
        <w:pBdr>
          <w:top w:val="nil"/>
          <w:left w:val="nil"/>
          <w:bottom w:val="nil"/>
          <w:right w:val="nil"/>
          <w:between w:val="nil"/>
        </w:pBdr>
        <w:contextualSpacing/>
        <w:rPr>
          <w:rFonts w:eastAsia="Palatino Linotype" w:cs="Palatino Linotype"/>
          <w:color w:val="000000" w:themeColor="text1"/>
        </w:rPr>
      </w:pPr>
      <w:r w:rsidRPr="004169C3">
        <w:rPr>
          <w:rFonts w:eastAsia="Palatino Linotype" w:cs="Palatino Linotype"/>
          <w:b/>
          <w:bCs/>
          <w:color w:val="000000" w:themeColor="text1"/>
        </w:rPr>
        <w:lastRenderedPageBreak/>
        <w:t>OF009.pdf</w:t>
      </w:r>
      <w:r w:rsidR="00B7035A">
        <w:rPr>
          <w:rFonts w:eastAsia="Palatino Linotype" w:cs="Palatino Linotype"/>
          <w:color w:val="000000" w:themeColor="text1"/>
        </w:rPr>
        <w:t>.</w:t>
      </w:r>
      <w:r>
        <w:rPr>
          <w:rFonts w:eastAsia="Palatino Linotype" w:cs="Palatino Linotype"/>
          <w:color w:val="000000" w:themeColor="text1"/>
        </w:rPr>
        <w:t xml:space="preserve"> Oficio DIF/JADQ/009/25-27</w:t>
      </w:r>
      <w:r w:rsidR="002F327C">
        <w:rPr>
          <w:rFonts w:eastAsia="Palatino Linotype" w:cs="Palatino Linotype"/>
          <w:color w:val="000000" w:themeColor="text1"/>
        </w:rPr>
        <w:t xml:space="preserve"> emitido por la Jefa de Adquisiciones, con el que se respondió que, conforme a lo dispuesto en el artículo 17 de la Ley de Transparencia estatal, se hará entrega de la información solicitada en las oficinas centrales del Sujeto Obligado una vez que se haya cubierto el costo.</w:t>
      </w:r>
    </w:p>
    <w:p w14:paraId="49A6AE25" w14:textId="77777777" w:rsidR="004169C3" w:rsidRDefault="004169C3"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582CE94C" w:rsidR="00A970D5" w:rsidRPr="00D06465"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2F327C">
        <w:rPr>
          <w:rFonts w:eastAsia="Palatino Linotype" w:cs="Palatino Linotype"/>
          <w:color w:val="000000" w:themeColor="text1"/>
          <w:lang w:val="es-ES"/>
        </w:rPr>
        <w:t xml:space="preserve">y </w:t>
      </w:r>
      <w:r w:rsidR="001C407C">
        <w:rPr>
          <w:rFonts w:eastAsia="Palatino Linotype" w:cs="Palatino Linotype"/>
          <w:color w:val="000000" w:themeColor="text1"/>
          <w:lang w:val="es-ES"/>
        </w:rPr>
        <w:t>razones o motivos de inconformidad que</w:t>
      </w:r>
      <w:r w:rsidR="00092EF4">
        <w:rPr>
          <w:rFonts w:eastAsia="Palatino Linotype" w:cs="Palatino Linotype"/>
          <w:color w:val="000000" w:themeColor="text1"/>
          <w:lang w:val="es-ES"/>
        </w:rPr>
        <w:t xml:space="preserve"> la </w:t>
      </w:r>
      <w:r w:rsidR="002F327C">
        <w:rPr>
          <w:rFonts w:eastAsia="Palatino Linotype" w:cs="Palatino Linotype"/>
          <w:color w:val="000000" w:themeColor="text1"/>
          <w:lang w:val="es-ES"/>
        </w:rPr>
        <w:t>información se solicitó vía SAIMEX, por lo que requiere todo lo requerido en esa vía.</w:t>
      </w:r>
    </w:p>
    <w:p w14:paraId="4A6500B8" w14:textId="77777777" w:rsidR="008F50E6" w:rsidRDefault="008F50E6" w:rsidP="00A04222"/>
    <w:p w14:paraId="33F77DBC" w14:textId="77777777" w:rsidR="007B799D" w:rsidRPr="00A06672" w:rsidRDefault="007B799D" w:rsidP="007B799D">
      <w:r w:rsidRPr="00757365">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w:t>
      </w:r>
      <w:r>
        <w:t>Instituto</w:t>
      </w:r>
      <w:r w:rsidRPr="00757365">
        <w:t xml:space="preserve"> conozca y resuelva el recurso de revisión.</w:t>
      </w:r>
    </w:p>
    <w:p w14:paraId="07139A15" w14:textId="77777777" w:rsidR="00BE576A" w:rsidRDefault="00BE576A"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sidR="005E625F">
        <w:rPr>
          <w:rFonts w:eastAsia="Palatino Linotype" w:cs="Palatino Linotype"/>
          <w:szCs w:val="24"/>
        </w:rPr>
        <w:t>V</w:t>
      </w:r>
      <w:r w:rsidRPr="006922F5">
        <w:rPr>
          <w:rFonts w:eastAsia="Palatino Linotype" w:cs="Palatino Linotype"/>
          <w:szCs w:val="24"/>
        </w:rPr>
        <w:t>, lo siguiente:</w:t>
      </w:r>
    </w:p>
    <w:p w14:paraId="2225C7E4" w14:textId="77777777" w:rsidR="006100FC" w:rsidRPr="006922F5"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9A7D78C" w:rsidR="006100FC" w:rsidRPr="006922F5" w:rsidRDefault="006100FC" w:rsidP="006100FC">
      <w:pPr>
        <w:pStyle w:val="Fundamentos"/>
      </w:pPr>
      <w:r w:rsidRPr="006922F5">
        <w:rPr>
          <w:b/>
          <w:bCs/>
        </w:rPr>
        <w:t>I</w:t>
      </w:r>
      <w:r w:rsidR="005E625F">
        <w:rPr>
          <w:b/>
          <w:bCs/>
        </w:rPr>
        <w:t>V</w:t>
      </w:r>
      <w:r w:rsidRPr="006922F5">
        <w:rPr>
          <w:b/>
          <w:bCs/>
        </w:rPr>
        <w:t>.</w:t>
      </w:r>
      <w:r>
        <w:rPr>
          <w:b/>
          <w:bCs/>
        </w:rPr>
        <w:t xml:space="preserve"> </w:t>
      </w:r>
      <w:r w:rsidR="005E625F">
        <w:t>Los</w:t>
      </w:r>
      <w:r w:rsidRPr="006922F5">
        <w:t xml:space="preserve"> </w:t>
      </w:r>
      <w:r w:rsidR="00726486" w:rsidRPr="00726486">
        <w:t>ayuntamientos y las dependencias, organismos, órganos y entidades de la administración municipal</w:t>
      </w:r>
      <w:r w:rsidRPr="006922F5">
        <w:t>;</w:t>
      </w:r>
    </w:p>
    <w:p w14:paraId="20F34654" w14:textId="77777777" w:rsidR="006100FC" w:rsidRPr="006922F5" w:rsidRDefault="006100FC" w:rsidP="006100FC">
      <w:pPr>
        <w:pStyle w:val="Fundamentos"/>
      </w:pPr>
      <w:r>
        <w:t>[…]</w:t>
      </w:r>
    </w:p>
    <w:p w14:paraId="2FDDCFD2" w14:textId="77777777" w:rsidR="006100FC" w:rsidRPr="002F327C"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2F327C" w:rsidRDefault="006100FC" w:rsidP="006100FC">
      <w:pPr>
        <w:rPr>
          <w:szCs w:val="24"/>
        </w:rPr>
      </w:pPr>
      <w:r w:rsidRPr="002F327C">
        <w:rPr>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2F327C" w:rsidRDefault="00737EBC" w:rsidP="006100FC">
      <w:pPr>
        <w:rPr>
          <w:szCs w:val="24"/>
        </w:rPr>
      </w:pPr>
    </w:p>
    <w:p w14:paraId="2171541A" w14:textId="4AAA5CFA" w:rsidR="00737EBC" w:rsidRPr="002F327C" w:rsidRDefault="00737EBC" w:rsidP="006100FC">
      <w:pPr>
        <w:rPr>
          <w:szCs w:val="24"/>
        </w:rPr>
      </w:pPr>
      <w:r w:rsidRPr="002F327C">
        <w:rPr>
          <w:szCs w:val="24"/>
        </w:rPr>
        <w:t xml:space="preserve">Asimismo, </w:t>
      </w:r>
      <w:r w:rsidR="00726486" w:rsidRPr="002F327C">
        <w:rPr>
          <w:szCs w:val="24"/>
        </w:rPr>
        <w:t>de</w:t>
      </w:r>
      <w:r w:rsidR="002F327C">
        <w:rPr>
          <w:szCs w:val="24"/>
        </w:rPr>
        <w:t xml:space="preserve"> la interpretación al acto impugnado y a</w:t>
      </w:r>
      <w:r w:rsidR="00942EC6" w:rsidRPr="002F327C">
        <w:rPr>
          <w:szCs w:val="24"/>
        </w:rPr>
        <w:t xml:space="preserve"> </w:t>
      </w:r>
      <w:r w:rsidRPr="002F327C">
        <w:rPr>
          <w:szCs w:val="24"/>
        </w:rPr>
        <w:t xml:space="preserve">los motivos de inconformidad expresados por </w:t>
      </w:r>
      <w:r w:rsidR="00942EC6" w:rsidRPr="002F327C">
        <w:rPr>
          <w:szCs w:val="24"/>
        </w:rPr>
        <w:t>el</w:t>
      </w:r>
      <w:r w:rsidRPr="002F327C">
        <w:rPr>
          <w:szCs w:val="24"/>
        </w:rPr>
        <w:t xml:space="preserve"> Recurrente, se estima que en el presente caso se actualizó la causal de </w:t>
      </w:r>
      <w:r w:rsidRPr="002F327C">
        <w:rPr>
          <w:szCs w:val="24"/>
        </w:rPr>
        <w:lastRenderedPageBreak/>
        <w:t>procedencia del recurso de revisión</w:t>
      </w:r>
      <w:r w:rsidR="00392DAC" w:rsidRPr="002F327C">
        <w:rPr>
          <w:szCs w:val="24"/>
        </w:rPr>
        <w:t xml:space="preserve"> prevista en la fracci</w:t>
      </w:r>
      <w:r w:rsidR="00942EC6" w:rsidRPr="002F327C">
        <w:rPr>
          <w:szCs w:val="24"/>
        </w:rPr>
        <w:t>ón</w:t>
      </w:r>
      <w:r w:rsidR="00CE6A88" w:rsidRPr="002F327C">
        <w:rPr>
          <w:szCs w:val="24"/>
        </w:rPr>
        <w:t xml:space="preserve"> </w:t>
      </w:r>
      <w:r w:rsidR="008E6942" w:rsidRPr="002F327C">
        <w:rPr>
          <w:szCs w:val="24"/>
        </w:rPr>
        <w:t>VIII</w:t>
      </w:r>
      <w:r w:rsidR="006E1158" w:rsidRPr="002F327C">
        <w:rPr>
          <w:szCs w:val="24"/>
        </w:rPr>
        <w:t xml:space="preserve"> del artículo 179 de la Ley de Transparencia local, que a la letra es</w:t>
      </w:r>
      <w:r w:rsidR="0090120A" w:rsidRPr="002F327C">
        <w:rPr>
          <w:szCs w:val="24"/>
        </w:rPr>
        <w:t>tipula lo siguiente:</w:t>
      </w:r>
    </w:p>
    <w:p w14:paraId="5EC36975" w14:textId="77777777" w:rsidR="0090120A" w:rsidRDefault="0090120A" w:rsidP="006100FC"/>
    <w:p w14:paraId="24B98DEE" w14:textId="77777777" w:rsidR="009A41B1" w:rsidRPr="009A41B1" w:rsidRDefault="009A41B1" w:rsidP="007A5010">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7C233B4F" w14:textId="498EED66" w:rsidR="0090120A" w:rsidRPr="009A41B1" w:rsidRDefault="008E6942" w:rsidP="007A5010">
      <w:pPr>
        <w:pStyle w:val="Fundamentos"/>
        <w:rPr>
          <w:lang w:val="es-MX"/>
        </w:rPr>
      </w:pPr>
      <w:r>
        <w:rPr>
          <w:lang w:val="es-MX"/>
        </w:rPr>
        <w:t>[…]</w:t>
      </w:r>
    </w:p>
    <w:p w14:paraId="5C4DD805" w14:textId="4D259CC1" w:rsidR="009A41B1" w:rsidRDefault="00C8604A" w:rsidP="00392DAC">
      <w:pPr>
        <w:pStyle w:val="Fundamentos"/>
      </w:pPr>
      <w:r>
        <w:rPr>
          <w:b/>
          <w:lang w:val="es-ES"/>
        </w:rPr>
        <w:t>VII</w:t>
      </w:r>
      <w:r w:rsidR="00392DAC" w:rsidRPr="00392DAC">
        <w:rPr>
          <w:b/>
          <w:lang w:val="es-ES"/>
        </w:rPr>
        <w:t>I.</w:t>
      </w:r>
      <w:r w:rsidR="00392DAC">
        <w:rPr>
          <w:lang w:val="es-ES"/>
        </w:rPr>
        <w:t xml:space="preserve"> </w:t>
      </w:r>
      <w:r w:rsidR="44E9108F" w:rsidRPr="44E9108F">
        <w:rPr>
          <w:lang w:val="es-ES"/>
        </w:rPr>
        <w:t xml:space="preserve">La </w:t>
      </w:r>
      <w:r w:rsidRPr="00C8604A">
        <w:rPr>
          <w:lang w:val="es-ES"/>
        </w:rPr>
        <w:t>notificación, entrega o puesta a disposición de información en una modalidad o formato distinto al solicitado</w:t>
      </w:r>
      <w:r w:rsidR="44E9108F" w:rsidRPr="44E9108F">
        <w:rPr>
          <w:lang w:val="es-ES"/>
        </w:rPr>
        <w:t>;</w:t>
      </w:r>
    </w:p>
    <w:p w14:paraId="7DA613D5" w14:textId="0F80D5F5" w:rsidR="00392DAC" w:rsidRDefault="007A5010" w:rsidP="00291F65">
      <w:pPr>
        <w:pStyle w:val="Fundamentos"/>
      </w:pPr>
      <w:r>
        <w:t>[…]</w:t>
      </w:r>
    </w:p>
    <w:p w14:paraId="34F693E7" w14:textId="77777777" w:rsidR="009A41B1" w:rsidRDefault="009A41B1" w:rsidP="006100FC"/>
    <w:p w14:paraId="28A137AA" w14:textId="4F13C467" w:rsidR="00CE6A88" w:rsidRPr="00012AFA" w:rsidRDefault="00CE6A88" w:rsidP="00CE6A88">
      <w:pPr>
        <w:pBdr>
          <w:top w:val="nil"/>
          <w:left w:val="nil"/>
          <w:bottom w:val="nil"/>
          <w:right w:val="nil"/>
          <w:between w:val="nil"/>
        </w:pBdr>
        <w:contextualSpacing/>
        <w:rPr>
          <w:szCs w:val="24"/>
        </w:rPr>
      </w:pPr>
      <w:r>
        <w:rPr>
          <w:rFonts w:eastAsia="Palatino Linotype" w:cs="Palatino Linotype"/>
          <w:color w:val="000000"/>
          <w:szCs w:val="24"/>
        </w:rPr>
        <w:t xml:space="preserve">En ese sentido, también </w:t>
      </w:r>
      <w:r w:rsidRPr="00012AFA">
        <w:rPr>
          <w:bCs/>
          <w:szCs w:val="24"/>
        </w:rPr>
        <w:t xml:space="preserve">es importante señalar que </w:t>
      </w:r>
      <w:r w:rsidRPr="00012AFA">
        <w:rPr>
          <w:szCs w:val="24"/>
        </w:rPr>
        <w:t xml:space="preserve">el artículo 4, párrafo segundo, de la Ley de Transparencia </w:t>
      </w:r>
      <w:r w:rsidR="002F327C">
        <w:rPr>
          <w:szCs w:val="24"/>
        </w:rPr>
        <w:t xml:space="preserve">local </w:t>
      </w:r>
      <w:r w:rsidRPr="00012AFA">
        <w:rPr>
          <w:szCs w:val="24"/>
        </w:rPr>
        <w:t>dispone</w:t>
      </w:r>
      <w:r w:rsidR="002F327C">
        <w:rPr>
          <w:szCs w:val="24"/>
        </w:rPr>
        <w:t xml:space="preserve"> lo siguiente</w:t>
      </w:r>
      <w:r w:rsidRPr="00012AFA">
        <w:rPr>
          <w:szCs w:val="24"/>
        </w:rPr>
        <w:t>:</w:t>
      </w:r>
    </w:p>
    <w:p w14:paraId="4BE14887" w14:textId="77777777" w:rsidR="00CE6A88" w:rsidRPr="00012AFA" w:rsidRDefault="00CE6A88" w:rsidP="00CE6A88">
      <w:pPr>
        <w:pBdr>
          <w:top w:val="nil"/>
          <w:left w:val="nil"/>
          <w:bottom w:val="nil"/>
          <w:right w:val="nil"/>
          <w:between w:val="nil"/>
        </w:pBdr>
        <w:contextualSpacing/>
        <w:rPr>
          <w:szCs w:val="24"/>
        </w:rPr>
      </w:pPr>
    </w:p>
    <w:p w14:paraId="1CA83FBB" w14:textId="77777777" w:rsidR="00CE6A88" w:rsidRPr="00012AFA" w:rsidRDefault="00CE6A88" w:rsidP="00CE6A88">
      <w:pPr>
        <w:pBdr>
          <w:top w:val="nil"/>
          <w:left w:val="nil"/>
          <w:bottom w:val="nil"/>
          <w:right w:val="nil"/>
          <w:between w:val="nil"/>
        </w:pBdr>
        <w:spacing w:line="240" w:lineRule="auto"/>
        <w:ind w:left="567" w:right="616"/>
        <w:contextualSpacing/>
        <w:rPr>
          <w:i/>
          <w:sz w:val="22"/>
        </w:rPr>
      </w:pPr>
      <w:r w:rsidRPr="00012AFA">
        <w:rPr>
          <w:b/>
          <w:i/>
          <w:sz w:val="22"/>
        </w:rPr>
        <w:t xml:space="preserve">Artículo 4. </w:t>
      </w:r>
      <w:r>
        <w:rPr>
          <w:i/>
          <w:sz w:val="22"/>
        </w:rPr>
        <w:t>[…]</w:t>
      </w:r>
    </w:p>
    <w:p w14:paraId="7DA1B6DB" w14:textId="4DFEF538" w:rsidR="00CE6A88" w:rsidRPr="00012AFA" w:rsidRDefault="00CE6A88" w:rsidP="00CE6A88">
      <w:pPr>
        <w:pBdr>
          <w:top w:val="nil"/>
          <w:left w:val="nil"/>
          <w:bottom w:val="nil"/>
          <w:right w:val="nil"/>
          <w:between w:val="nil"/>
        </w:pBdr>
        <w:spacing w:line="240" w:lineRule="auto"/>
        <w:ind w:left="567" w:right="616"/>
        <w:contextualSpacing/>
        <w:rPr>
          <w:i/>
          <w:sz w:val="22"/>
        </w:rPr>
      </w:pPr>
    </w:p>
    <w:p w14:paraId="3FF0EC2A" w14:textId="77777777" w:rsidR="00CE6A88" w:rsidRPr="00012AFA" w:rsidRDefault="00CE6A88" w:rsidP="00CE6A88">
      <w:pPr>
        <w:pBdr>
          <w:top w:val="nil"/>
          <w:left w:val="nil"/>
          <w:bottom w:val="nil"/>
          <w:right w:val="nil"/>
          <w:between w:val="nil"/>
        </w:pBdr>
        <w:spacing w:line="240" w:lineRule="auto"/>
        <w:ind w:left="567" w:right="616"/>
        <w:contextualSpacing/>
        <w:rPr>
          <w:i/>
          <w:sz w:val="22"/>
        </w:rPr>
      </w:pPr>
      <w:r w:rsidRPr="00012AFA">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8A0E3CC" w14:textId="77777777" w:rsidR="00CE6A88" w:rsidRPr="00012AFA" w:rsidRDefault="00CE6A88" w:rsidP="00CE6A88">
      <w:pPr>
        <w:pBdr>
          <w:top w:val="nil"/>
          <w:left w:val="nil"/>
          <w:bottom w:val="nil"/>
          <w:right w:val="nil"/>
          <w:between w:val="nil"/>
        </w:pBdr>
        <w:spacing w:line="240" w:lineRule="auto"/>
        <w:ind w:left="567" w:right="616"/>
        <w:contextualSpacing/>
        <w:rPr>
          <w:i/>
          <w:sz w:val="22"/>
        </w:rPr>
      </w:pPr>
    </w:p>
    <w:p w14:paraId="6F4FC918" w14:textId="77777777" w:rsidR="00CE6A88" w:rsidRPr="00012AFA" w:rsidRDefault="00CE6A88" w:rsidP="00CE6A88">
      <w:pPr>
        <w:pBdr>
          <w:top w:val="nil"/>
          <w:left w:val="nil"/>
          <w:bottom w:val="nil"/>
          <w:right w:val="nil"/>
          <w:between w:val="nil"/>
        </w:pBdr>
        <w:spacing w:line="240" w:lineRule="auto"/>
        <w:ind w:left="567" w:right="616"/>
        <w:contextualSpacing/>
        <w:rPr>
          <w:i/>
          <w:sz w:val="22"/>
        </w:rPr>
      </w:pPr>
      <w:r w:rsidRPr="00012AFA">
        <w:rPr>
          <w:i/>
          <w:sz w:val="22"/>
        </w:rPr>
        <w:t>Solo podrá ser clasificada excepcionalmente como reservada temporalmente por razones de interés público, en los términos de las causas legítimas y estrictamente necesarias previstas por esta Ley.</w:t>
      </w:r>
    </w:p>
    <w:p w14:paraId="62E2A291" w14:textId="77777777" w:rsidR="00CE6A88" w:rsidRPr="00012AFA" w:rsidRDefault="00CE6A88" w:rsidP="00CE6A88">
      <w:pPr>
        <w:pBdr>
          <w:top w:val="nil"/>
          <w:left w:val="nil"/>
          <w:bottom w:val="nil"/>
          <w:right w:val="nil"/>
          <w:between w:val="nil"/>
        </w:pBdr>
        <w:contextualSpacing/>
        <w:rPr>
          <w:szCs w:val="24"/>
        </w:rPr>
      </w:pPr>
    </w:p>
    <w:p w14:paraId="2B837077" w14:textId="77777777" w:rsidR="00CE6A88" w:rsidRPr="00012AFA" w:rsidRDefault="00CE6A88" w:rsidP="00CE6A88">
      <w:pPr>
        <w:rPr>
          <w:rFonts w:cs="Arial"/>
          <w:i/>
        </w:rPr>
      </w:pPr>
      <w:r w:rsidRPr="00012AFA">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C7E4C43" w14:textId="77777777" w:rsidR="00CE6A88" w:rsidRPr="00012AFA" w:rsidRDefault="00CE6A88" w:rsidP="00CE6A88">
      <w:pPr>
        <w:rPr>
          <w:rFonts w:cs="Arial"/>
          <w:iCs/>
        </w:rPr>
      </w:pPr>
    </w:p>
    <w:p w14:paraId="444087AC" w14:textId="77777777" w:rsidR="00CE6A88" w:rsidRPr="00012AFA" w:rsidRDefault="00CE6A88" w:rsidP="00CE6A88">
      <w:pPr>
        <w:rPr>
          <w:rFonts w:cs="Arial"/>
          <w:szCs w:val="24"/>
        </w:rPr>
      </w:pPr>
      <w:r w:rsidRPr="00012AFA">
        <w:rPr>
          <w:rFonts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AA1A986" w14:textId="77777777" w:rsidR="00CE6A88" w:rsidRPr="00012AFA" w:rsidRDefault="00CE6A88" w:rsidP="00CE6A88">
      <w:pPr>
        <w:spacing w:line="259" w:lineRule="auto"/>
        <w:ind w:right="567"/>
        <w:rPr>
          <w:rFonts w:cs="Arial"/>
          <w:szCs w:val="24"/>
        </w:rPr>
      </w:pPr>
    </w:p>
    <w:p w14:paraId="26F163EE" w14:textId="77777777" w:rsidR="00CE6A88" w:rsidRPr="00012AFA" w:rsidRDefault="00CE6A88" w:rsidP="00CE6A88">
      <w:pPr>
        <w:spacing w:line="240" w:lineRule="auto"/>
        <w:ind w:left="567" w:right="567"/>
        <w:rPr>
          <w:rFonts w:cs="Arial"/>
          <w:i/>
          <w:color w:val="000000"/>
          <w:sz w:val="22"/>
        </w:rPr>
      </w:pPr>
      <w:r w:rsidRPr="00012AFA">
        <w:rPr>
          <w:rFonts w:cs="Arial"/>
          <w:b/>
          <w:i/>
          <w:color w:val="000000"/>
          <w:sz w:val="22"/>
        </w:rPr>
        <w:t>Artículo 12.</w:t>
      </w:r>
      <w:r w:rsidRPr="00012AFA">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15936AD2" w14:textId="77777777" w:rsidR="00CE6A88" w:rsidRPr="00012AFA" w:rsidRDefault="00CE6A88" w:rsidP="00CE6A88">
      <w:pPr>
        <w:spacing w:line="240" w:lineRule="auto"/>
        <w:ind w:left="567" w:right="567"/>
        <w:rPr>
          <w:rFonts w:cs="Arial"/>
          <w:i/>
          <w:sz w:val="22"/>
        </w:rPr>
      </w:pPr>
    </w:p>
    <w:p w14:paraId="5375A718" w14:textId="77777777" w:rsidR="00CE6A88" w:rsidRPr="00012AFA" w:rsidRDefault="00CE6A88" w:rsidP="152A5253">
      <w:pPr>
        <w:spacing w:line="240" w:lineRule="auto"/>
        <w:ind w:left="567" w:right="567"/>
        <w:rPr>
          <w:rFonts w:cs="Arial"/>
          <w:i/>
          <w:iCs/>
          <w:sz w:val="22"/>
          <w:lang w:val="es-ES"/>
        </w:rPr>
      </w:pPr>
      <w:r w:rsidRPr="152A5253">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983562" w14:textId="77777777" w:rsidR="00CE6A88" w:rsidRPr="00012AFA" w:rsidRDefault="00CE6A88" w:rsidP="00CE6A88">
      <w:pPr>
        <w:rPr>
          <w:rFonts w:cs="Arial"/>
          <w:color w:val="000000"/>
        </w:rPr>
      </w:pPr>
    </w:p>
    <w:p w14:paraId="6144DF7E" w14:textId="77777777" w:rsidR="00CE6A88" w:rsidRPr="00012AFA" w:rsidRDefault="00CE6A88" w:rsidP="00CE6A88">
      <w:pPr>
        <w:rPr>
          <w:rFonts w:cs="Arial"/>
          <w:color w:val="000000"/>
        </w:rPr>
      </w:pPr>
      <w:r w:rsidRPr="00012AFA">
        <w:rPr>
          <w:rFonts w:cs="Arial"/>
          <w:color w:val="000000"/>
        </w:rPr>
        <w:t>En síntesis, el derecho de acceso a la información pública se satisface en aquellos casos en que se entregue el soporte documental en que conste la información pública, toda vez que, los Sujetos Obligados</w:t>
      </w:r>
      <w:r w:rsidRPr="00012AFA">
        <w:rPr>
          <w:rFonts w:cs="Arial"/>
          <w:b/>
          <w:color w:val="000000"/>
        </w:rPr>
        <w:t xml:space="preserve"> </w:t>
      </w:r>
      <w:r w:rsidRPr="00012AFA">
        <w:rPr>
          <w:rFonts w:cs="Arial"/>
          <w:color w:val="000000"/>
        </w:rPr>
        <w:t xml:space="preserve">no tienen el deber de generar, poseer o administrar la información pública con el grado de detalle solicitado; esto es, que no tienen el deber de generar un documento </w:t>
      </w:r>
      <w:r w:rsidRPr="00012AFA">
        <w:rPr>
          <w:rFonts w:cs="Arial"/>
          <w:i/>
          <w:color w:val="000000"/>
        </w:rPr>
        <w:t>ad hoc</w:t>
      </w:r>
      <w:r w:rsidRPr="00012AFA">
        <w:rPr>
          <w:rFonts w:cs="Arial"/>
          <w:color w:val="000000"/>
        </w:rPr>
        <w:t>, para satisfacer el derecho de acceso a la información pública.</w:t>
      </w:r>
    </w:p>
    <w:p w14:paraId="2A3EDE62" w14:textId="77777777" w:rsidR="00CE6A88" w:rsidRPr="00012AFA" w:rsidRDefault="00CE6A88" w:rsidP="00CE6A88">
      <w:pPr>
        <w:rPr>
          <w:rFonts w:cs="Arial"/>
          <w:color w:val="000000"/>
        </w:rPr>
      </w:pPr>
    </w:p>
    <w:p w14:paraId="48E627DF" w14:textId="77777777" w:rsidR="00CE6A88" w:rsidRPr="00012AFA" w:rsidRDefault="00CE6A88" w:rsidP="00CE6A88">
      <w:pPr>
        <w:rPr>
          <w:b/>
          <w:bCs/>
          <w:color w:val="000000"/>
        </w:rPr>
      </w:pPr>
      <w:r w:rsidRPr="00012AFA">
        <w:rPr>
          <w:rFonts w:cs="Arial"/>
          <w:color w:val="000000"/>
        </w:rPr>
        <w:t xml:space="preserve">Como apoyo a lo anterior, es aplicable el Criterio 03-17, emitido por </w:t>
      </w:r>
      <w:r w:rsidRPr="00012AFA">
        <w:rPr>
          <w:rFonts w:eastAsia="Arial Unicode MS" w:cs="Arial"/>
          <w:color w:val="000000"/>
        </w:rPr>
        <w:t>el Instituto Nacional de Transparencia, Acceso a la Información y Protección de Datos Personales,</w:t>
      </w:r>
      <w:r w:rsidRPr="00012AFA">
        <w:rPr>
          <w:bCs/>
          <w:color w:val="000000"/>
        </w:rPr>
        <w:t xml:space="preserve"> que dice:</w:t>
      </w:r>
      <w:r w:rsidRPr="00012AFA">
        <w:rPr>
          <w:b/>
          <w:bCs/>
          <w:color w:val="000000"/>
        </w:rPr>
        <w:t xml:space="preserve"> </w:t>
      </w:r>
    </w:p>
    <w:p w14:paraId="409480C9" w14:textId="77777777" w:rsidR="00CE6A88" w:rsidRPr="00012AFA" w:rsidRDefault="00CE6A88" w:rsidP="00CE6A88">
      <w:pPr>
        <w:jc w:val="left"/>
        <w:rPr>
          <w:rFonts w:eastAsia="Times New Roman" w:cs="Times New Roman"/>
          <w:szCs w:val="24"/>
          <w:lang w:eastAsia="es-ES"/>
        </w:rPr>
      </w:pPr>
    </w:p>
    <w:p w14:paraId="1C1D72A4" w14:textId="77777777" w:rsidR="00CE6A88" w:rsidRPr="00012AFA" w:rsidRDefault="00CE6A88" w:rsidP="00CE6A88">
      <w:pPr>
        <w:spacing w:line="259" w:lineRule="auto"/>
        <w:ind w:left="851" w:right="850"/>
        <w:rPr>
          <w:rFonts w:cs="Arial"/>
          <w:color w:val="000000"/>
          <w:sz w:val="2"/>
        </w:rPr>
      </w:pPr>
    </w:p>
    <w:p w14:paraId="30C3CC54" w14:textId="77777777" w:rsidR="00CE6A88" w:rsidRPr="00012AFA" w:rsidRDefault="00CE6A88" w:rsidP="00CE6A88">
      <w:pPr>
        <w:spacing w:line="240" w:lineRule="auto"/>
        <w:ind w:left="567" w:right="567"/>
        <w:rPr>
          <w:rFonts w:cs="Arial"/>
          <w:i/>
          <w:color w:val="000000"/>
          <w:sz w:val="22"/>
        </w:rPr>
      </w:pPr>
      <w:r w:rsidRPr="00012AFA">
        <w:rPr>
          <w:rFonts w:cs="Arial"/>
          <w:b/>
          <w:i/>
          <w:color w:val="000000"/>
          <w:sz w:val="22"/>
        </w:rPr>
        <w:t>No existe obligación de elaborar documentos ad hoc para atender las solicitudes de acceso a la información.</w:t>
      </w:r>
      <w:r w:rsidRPr="00012AFA">
        <w:rPr>
          <w:rFonts w:cs="Arial"/>
          <w:i/>
          <w:color w:val="000000"/>
          <w:sz w:val="22"/>
        </w:rPr>
        <w:t xml:space="preserve"> Los artículos 129 de la Ley General de Transparencia y Acceso a la Información Pública y 130, párrafo cuarto, de la Ley Federal de Transparencia y Acceso a la </w:t>
      </w:r>
      <w:r w:rsidRPr="00012AFA">
        <w:rPr>
          <w:rFonts w:cs="Arial"/>
          <w:i/>
          <w:color w:val="000000"/>
          <w:sz w:val="22"/>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8288AE" w14:textId="77777777" w:rsidR="00CE6A88" w:rsidRPr="00012AFA" w:rsidRDefault="00CE6A88" w:rsidP="00CE6A88">
      <w:pPr>
        <w:spacing w:line="240" w:lineRule="auto"/>
        <w:ind w:left="567" w:right="567"/>
        <w:rPr>
          <w:rFonts w:cs="Arial"/>
          <w:i/>
          <w:color w:val="000000"/>
          <w:sz w:val="2"/>
        </w:rPr>
      </w:pPr>
    </w:p>
    <w:p w14:paraId="44C27711" w14:textId="77777777" w:rsidR="00CE6A88" w:rsidRPr="00012AFA" w:rsidRDefault="00CE6A88" w:rsidP="00CE6A88">
      <w:pPr>
        <w:rPr>
          <w:rFonts w:cs="Arial"/>
          <w:color w:val="000000" w:themeColor="text1"/>
        </w:rPr>
      </w:pPr>
    </w:p>
    <w:p w14:paraId="735EAAAE" w14:textId="77777777" w:rsidR="00CE6A88" w:rsidRPr="00012AFA" w:rsidRDefault="00CE6A88" w:rsidP="00CE6A88">
      <w:pPr>
        <w:rPr>
          <w:rFonts w:cs="Arial"/>
          <w:color w:val="000000" w:themeColor="text1"/>
        </w:rPr>
      </w:pPr>
      <w:r w:rsidRPr="00012AFA">
        <w:rPr>
          <w:rFonts w:cs="Arial"/>
          <w:color w:val="000000" w:themeColor="text1"/>
        </w:rPr>
        <w:t xml:space="preserve">Asimismo, el artículo 24, de la Ley de la materia, dispone que los Sujetos Obligados sólo proporcionarán la información pública que </w:t>
      </w:r>
      <w:r w:rsidRPr="00012AFA">
        <w:rPr>
          <w:rFonts w:cs="Arial"/>
        </w:rPr>
        <w:t>generen</w:t>
      </w:r>
      <w:r w:rsidRPr="00012AFA">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C6B772" w14:textId="77777777" w:rsidR="00CE6A88" w:rsidRPr="00012AFA" w:rsidRDefault="00CE6A88" w:rsidP="00CE6A88">
      <w:pPr>
        <w:rPr>
          <w:rFonts w:cs="Arial"/>
          <w:color w:val="000000" w:themeColor="text1"/>
        </w:rPr>
      </w:pPr>
    </w:p>
    <w:p w14:paraId="0F7848FD" w14:textId="77777777" w:rsidR="00CE6A88" w:rsidRPr="00012AFA" w:rsidRDefault="00CE6A88" w:rsidP="00CE6A88">
      <w:pPr>
        <w:rPr>
          <w:rFonts w:cs="Arial"/>
          <w:color w:val="000000" w:themeColor="text1"/>
        </w:rPr>
      </w:pPr>
      <w:r w:rsidRPr="00012AFA">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012AFA">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12AFA">
        <w:rPr>
          <w:rFonts w:cs="Arial"/>
          <w:color w:val="000000" w:themeColor="text1"/>
        </w:rPr>
        <w:t xml:space="preserve">; los que, </w:t>
      </w:r>
      <w:r w:rsidRPr="00012AFA">
        <w:rPr>
          <w:rFonts w:cs="Arial"/>
        </w:rPr>
        <w:t>podrán estar en cualquier medio, sea escrito, impreso, sonoro, visual, electrónico, informático u holográfico</w:t>
      </w:r>
      <w:r w:rsidRPr="00012AFA">
        <w:rPr>
          <w:rFonts w:cs="Arial"/>
          <w:color w:val="000000" w:themeColor="text1"/>
        </w:rPr>
        <w:t xml:space="preserve">, de conformidad con el artículo 3, fracción XI, de la Ley de la materia, el cual dispone lo siguiente: </w:t>
      </w:r>
    </w:p>
    <w:p w14:paraId="1494CAB5" w14:textId="77777777" w:rsidR="00CE6A88" w:rsidRPr="00012AFA" w:rsidRDefault="00CE6A88" w:rsidP="00CE6A88">
      <w:pPr>
        <w:pBdr>
          <w:top w:val="nil"/>
          <w:left w:val="nil"/>
          <w:bottom w:val="nil"/>
          <w:right w:val="nil"/>
          <w:between w:val="nil"/>
        </w:pBdr>
        <w:contextualSpacing/>
        <w:rPr>
          <w:szCs w:val="24"/>
        </w:rPr>
      </w:pPr>
    </w:p>
    <w:p w14:paraId="2B314F75" w14:textId="77777777" w:rsidR="00CE6A88" w:rsidRPr="00012AFA" w:rsidRDefault="00CE6A88" w:rsidP="00CE6A88">
      <w:pPr>
        <w:pStyle w:val="Fundamentos"/>
      </w:pPr>
      <w:r w:rsidRPr="00012AFA">
        <w:rPr>
          <w:b/>
        </w:rPr>
        <w:t xml:space="preserve">Artículo 3. </w:t>
      </w:r>
      <w:r w:rsidRPr="00012AFA">
        <w:t>Para los efectos de la presente Ley se entenderá por:</w:t>
      </w:r>
    </w:p>
    <w:p w14:paraId="1DC1FCD8" w14:textId="77777777" w:rsidR="00CE6A88" w:rsidRPr="00012AFA" w:rsidRDefault="00CE6A88" w:rsidP="00CE6A88">
      <w:pPr>
        <w:pStyle w:val="Fundamentos"/>
      </w:pPr>
      <w:r>
        <w:t>[…]</w:t>
      </w:r>
    </w:p>
    <w:p w14:paraId="360DACEE" w14:textId="77777777" w:rsidR="00CE6A88" w:rsidRPr="00012AFA" w:rsidRDefault="00CE6A88" w:rsidP="00CE6A88">
      <w:pPr>
        <w:pStyle w:val="Fundamentos"/>
      </w:pPr>
      <w:r w:rsidRPr="00012AFA">
        <w:rPr>
          <w:b/>
        </w:rPr>
        <w:lastRenderedPageBreak/>
        <w:t>XI. Documento:</w:t>
      </w:r>
      <w:r w:rsidRPr="00012AFA">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12AFA">
        <w:rPr>
          <w:b/>
          <w:u w:val="single"/>
        </w:rPr>
        <w:t>Los documentos podrán estar en cualquier medio, sea escrito, impreso, sonoro, visual, electrónico, informático u holográfico</w:t>
      </w:r>
      <w:r w:rsidRPr="00012AFA">
        <w:t>;</w:t>
      </w:r>
    </w:p>
    <w:p w14:paraId="45B004B9" w14:textId="77777777" w:rsidR="00CE6A88" w:rsidRPr="00012AFA" w:rsidRDefault="00CE6A88" w:rsidP="00CE6A88">
      <w:pPr>
        <w:pStyle w:val="Fundamentos"/>
      </w:pPr>
      <w:r>
        <w:t>[…]</w:t>
      </w:r>
    </w:p>
    <w:p w14:paraId="0CB1F405" w14:textId="77777777" w:rsidR="00CE6A88" w:rsidRDefault="00CE6A88" w:rsidP="00CE6A88"/>
    <w:p w14:paraId="21EB09E2" w14:textId="1A523343" w:rsidR="00CE6A88" w:rsidRPr="00012AFA" w:rsidRDefault="00CE6A88" w:rsidP="00CE6A88">
      <w:pPr>
        <w:autoSpaceDE w:val="0"/>
        <w:autoSpaceDN w:val="0"/>
        <w:adjustRightInd w:val="0"/>
        <w:rPr>
          <w:rFonts w:cs="Arial"/>
          <w:szCs w:val="24"/>
        </w:rPr>
      </w:pPr>
      <w:r w:rsidRPr="00012AFA">
        <w:rPr>
          <w:rFonts w:cs="Arial"/>
          <w:szCs w:val="24"/>
        </w:rPr>
        <w:t xml:space="preserve">Siendo aplicable el Criterio </w:t>
      </w:r>
      <w:r w:rsidRPr="00012AFA">
        <w:rPr>
          <w:rFonts w:cs="Arial"/>
          <w:bCs/>
          <w:szCs w:val="24"/>
        </w:rPr>
        <w:t>de interpretación en el</w:t>
      </w:r>
      <w:r w:rsidR="00DE57E5">
        <w:rPr>
          <w:rFonts w:cs="Arial"/>
          <w:bCs/>
          <w:szCs w:val="24"/>
        </w:rPr>
        <w:t xml:space="preserve"> orden administrativo número 0002-</w:t>
      </w:r>
      <w:r w:rsidRPr="00012AFA">
        <w:rPr>
          <w:rFonts w:cs="Arial"/>
          <w:bCs/>
          <w:szCs w:val="24"/>
        </w:rPr>
        <w:t>11, emitido por Acuerdo del Pleno del Instituto de Transparencia y Acceso a la Información Pública del Estado de México y Municipios; publicado en el Periódico Oficial del Gobierno del Estado Libre y S</w:t>
      </w:r>
      <w:r>
        <w:rPr>
          <w:rFonts w:cs="Arial"/>
          <w:bCs/>
          <w:szCs w:val="24"/>
        </w:rPr>
        <w:t>oberano de México «Gaceta del Gobierno»</w:t>
      </w:r>
      <w:r w:rsidRPr="00012AFA">
        <w:rPr>
          <w:rFonts w:cs="Arial"/>
          <w:bCs/>
          <w:szCs w:val="24"/>
        </w:rPr>
        <w:t xml:space="preserve">, el diecinueve de octubre de dos mil once, </w:t>
      </w:r>
      <w:r w:rsidRPr="00012AFA">
        <w:rPr>
          <w:rFonts w:cs="Arial"/>
          <w:szCs w:val="24"/>
        </w:rPr>
        <w:t>cuyo rubro y texto dispone:</w:t>
      </w:r>
    </w:p>
    <w:p w14:paraId="50E6E111" w14:textId="77777777" w:rsidR="00CE6A88" w:rsidRPr="00012AFA" w:rsidRDefault="00CE6A88" w:rsidP="00CE6A88">
      <w:pPr>
        <w:jc w:val="left"/>
        <w:rPr>
          <w:rFonts w:eastAsia="Times New Roman" w:cs="Times New Roman"/>
          <w:szCs w:val="24"/>
          <w:lang w:eastAsia="es-ES"/>
        </w:rPr>
      </w:pPr>
    </w:p>
    <w:p w14:paraId="44552B55" w14:textId="77777777" w:rsidR="00CE6A88" w:rsidRPr="00012AFA" w:rsidRDefault="00CE6A88" w:rsidP="00CE6A88">
      <w:pPr>
        <w:spacing w:line="259" w:lineRule="auto"/>
        <w:ind w:left="567" w:right="567"/>
        <w:rPr>
          <w:rFonts w:cs="Arial"/>
          <w:sz w:val="2"/>
        </w:rPr>
      </w:pPr>
    </w:p>
    <w:p w14:paraId="126C33C6" w14:textId="77777777" w:rsidR="00CE6A88" w:rsidRDefault="00CE6A88" w:rsidP="152A5253">
      <w:pPr>
        <w:spacing w:line="240" w:lineRule="auto"/>
        <w:ind w:left="567" w:right="567"/>
        <w:rPr>
          <w:rFonts w:cs="Arial"/>
          <w:i/>
          <w:iCs/>
          <w:sz w:val="22"/>
          <w:lang w:val="es-ES"/>
        </w:rPr>
      </w:pPr>
      <w:r w:rsidRPr="152A5253">
        <w:rPr>
          <w:rFonts w:cs="Arial"/>
          <w:b/>
          <w:bCs/>
          <w:i/>
          <w:iCs/>
          <w:sz w:val="22"/>
          <w:lang w:val="es-ES"/>
        </w:rPr>
        <w:t>INFORMACIÓN PÚBLICA, CONCEPTO DE, EN MATERIA DE TRANSPARENCIA. INTERPRETACIÓN SISTEMÁTICA DE LOS ARTÍCULOS 2°, FRACCIÓN V, XV, Y XVI, 3°, 4°, 11 Y 41.</w:t>
      </w:r>
      <w:r w:rsidRPr="152A5253">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85505A" w14:textId="77777777" w:rsidR="00DE57E5" w:rsidRPr="00012AFA" w:rsidRDefault="00DE57E5" w:rsidP="00CE6A88">
      <w:pPr>
        <w:spacing w:line="240" w:lineRule="auto"/>
        <w:ind w:left="567" w:right="567"/>
        <w:rPr>
          <w:rFonts w:cs="Arial"/>
          <w:i/>
          <w:sz w:val="22"/>
        </w:rPr>
      </w:pPr>
    </w:p>
    <w:p w14:paraId="5C0AE8E0" w14:textId="77777777" w:rsidR="00CE6A88" w:rsidRPr="00012AFA" w:rsidRDefault="00CE6A88" w:rsidP="152A5253">
      <w:pPr>
        <w:spacing w:line="240" w:lineRule="auto"/>
        <w:ind w:left="567" w:right="567"/>
        <w:rPr>
          <w:rFonts w:cs="Arial"/>
          <w:i/>
          <w:iCs/>
          <w:sz w:val="22"/>
          <w:lang w:val="es-ES"/>
        </w:rPr>
      </w:pPr>
      <w:r w:rsidRPr="152A5253">
        <w:rPr>
          <w:rFonts w:cs="Arial"/>
          <w:i/>
          <w:iCs/>
          <w:sz w:val="22"/>
          <w:lang w:val="es-ES"/>
        </w:rPr>
        <w:t>En consecuencia el acceso a la información se refiere a que se cumplan cualquiera de los siguientes tres supuestos:</w:t>
      </w:r>
    </w:p>
    <w:p w14:paraId="2994D130" w14:textId="77777777" w:rsidR="00CE6A88" w:rsidRPr="00012AFA" w:rsidRDefault="00CE6A88" w:rsidP="00CE6A88">
      <w:pPr>
        <w:spacing w:line="240" w:lineRule="auto"/>
        <w:ind w:left="567" w:right="567"/>
        <w:rPr>
          <w:rFonts w:cs="Arial"/>
          <w:b/>
          <w:i/>
          <w:sz w:val="22"/>
        </w:rPr>
      </w:pPr>
    </w:p>
    <w:p w14:paraId="4D29E2EC" w14:textId="77777777" w:rsidR="00CE6A88" w:rsidRPr="00012AFA" w:rsidRDefault="00CE6A88" w:rsidP="152A5253">
      <w:pPr>
        <w:spacing w:line="240" w:lineRule="auto"/>
        <w:ind w:left="567" w:right="567"/>
        <w:rPr>
          <w:rFonts w:cs="Arial"/>
          <w:b/>
          <w:bCs/>
          <w:i/>
          <w:iCs/>
          <w:sz w:val="22"/>
          <w:lang w:val="es-ES"/>
        </w:rPr>
      </w:pPr>
      <w:r w:rsidRPr="152A5253">
        <w:rPr>
          <w:rFonts w:cs="Arial"/>
          <w:b/>
          <w:bCs/>
          <w:i/>
          <w:iCs/>
          <w:sz w:val="22"/>
          <w:lang w:val="es-ES"/>
        </w:rPr>
        <w:t xml:space="preserve">1) </w:t>
      </w:r>
      <w:r w:rsidRPr="152A5253">
        <w:rPr>
          <w:rFonts w:cs="Arial"/>
          <w:b/>
          <w:bCs/>
          <w:i/>
          <w:iCs/>
          <w:sz w:val="22"/>
          <w:u w:val="single"/>
          <w:lang w:val="es-ES"/>
        </w:rPr>
        <w:t>Que se trate de información registrada en cualquier soporte documental, que en ejercicio de las atribuciones conferidas, sea generada por los Sujetos Obligados;</w:t>
      </w:r>
    </w:p>
    <w:p w14:paraId="5AF35252" w14:textId="77777777" w:rsidR="00CE6A88" w:rsidRPr="00012AFA" w:rsidRDefault="00CE6A88" w:rsidP="152A5253">
      <w:pPr>
        <w:spacing w:line="240" w:lineRule="auto"/>
        <w:ind w:left="567" w:right="567"/>
        <w:rPr>
          <w:rFonts w:cs="Arial"/>
          <w:i/>
          <w:iCs/>
          <w:sz w:val="22"/>
          <w:lang w:val="es-ES"/>
        </w:rPr>
      </w:pPr>
      <w:r w:rsidRPr="152A5253">
        <w:rPr>
          <w:rFonts w:cs="Arial"/>
          <w:i/>
          <w:iCs/>
          <w:sz w:val="22"/>
          <w:lang w:val="es-ES"/>
        </w:rPr>
        <w:t>2) Que se trate de información registrada en cualquier soporte documental, que en ejercicio de las atribuciones conferidas, sea administrada por los Sujetos Obligados, y</w:t>
      </w:r>
    </w:p>
    <w:p w14:paraId="43AA04C8" w14:textId="77777777" w:rsidR="00CE6A88" w:rsidRPr="00012AFA" w:rsidRDefault="00CE6A88" w:rsidP="152A5253">
      <w:pPr>
        <w:spacing w:line="240" w:lineRule="auto"/>
        <w:ind w:left="567" w:right="567"/>
        <w:rPr>
          <w:rFonts w:cs="Arial"/>
          <w:i/>
          <w:iCs/>
          <w:sz w:val="18"/>
          <w:szCs w:val="18"/>
          <w:lang w:val="es-ES"/>
        </w:rPr>
      </w:pPr>
      <w:r w:rsidRPr="152A5253">
        <w:rPr>
          <w:rFonts w:cs="Arial"/>
          <w:i/>
          <w:iCs/>
          <w:sz w:val="22"/>
          <w:lang w:val="es-ES"/>
        </w:rPr>
        <w:t>3) Que se trate de información registrada en cualquier soporte documental, que en ejercicio de las atribuciones conferidas, se encuentre en posesión de los Sujetos Obligados.</w:t>
      </w:r>
    </w:p>
    <w:p w14:paraId="6C864332" w14:textId="77777777" w:rsidR="00CE6A88" w:rsidRPr="002F327C" w:rsidRDefault="00CE6A88" w:rsidP="00CE6A88">
      <w:pPr>
        <w:pBdr>
          <w:top w:val="nil"/>
          <w:left w:val="nil"/>
          <w:bottom w:val="nil"/>
          <w:right w:val="nil"/>
          <w:between w:val="nil"/>
        </w:pBdr>
        <w:contextualSpacing/>
        <w:rPr>
          <w:rFonts w:eastAsia="Palatino Linotype" w:cs="Palatino Linotype"/>
          <w:color w:val="000000"/>
          <w:szCs w:val="24"/>
        </w:rPr>
      </w:pPr>
    </w:p>
    <w:p w14:paraId="75CCCD7F" w14:textId="77777777" w:rsidR="00CE6A88" w:rsidRPr="002F327C" w:rsidRDefault="00CE6A88" w:rsidP="00CE6A88">
      <w:pPr>
        <w:pBdr>
          <w:top w:val="nil"/>
          <w:left w:val="nil"/>
          <w:bottom w:val="nil"/>
          <w:right w:val="nil"/>
          <w:between w:val="nil"/>
        </w:pBdr>
        <w:contextualSpacing/>
        <w:rPr>
          <w:rFonts w:eastAsia="Palatino Linotype" w:cs="Palatino Linotype"/>
          <w:color w:val="000000"/>
          <w:szCs w:val="24"/>
        </w:rPr>
      </w:pPr>
      <w:r w:rsidRPr="002F327C">
        <w:rPr>
          <w:rFonts w:eastAsia="Palatino Linotype" w:cs="Palatino Linotype"/>
          <w:color w:val="000000"/>
          <w:szCs w:val="24"/>
          <w:lang w:val="es-ES"/>
        </w:rPr>
        <w:lastRenderedPageBreak/>
        <w:t xml:space="preserve">En segundo término, tomando en cuenta la respuesta proporcionada por parte del Sujeto Obligado, </w:t>
      </w:r>
      <w:r w:rsidRPr="002F327C">
        <w:rPr>
          <w:rFonts w:eastAsia="Palatino Linotype" w:cs="Palatino Linotype"/>
          <w:color w:val="000000"/>
          <w:szCs w:val="24"/>
        </w:rPr>
        <w:t xml:space="preserve">toda vez que el Sujeto Obligado en su respuesta manifestó que la información solicitada puede ser consultada en sus instalaciones, </w:t>
      </w:r>
      <w:r w:rsidRPr="002F327C">
        <w:rPr>
          <w:rFonts w:eastAsia="Palatino Linotype" w:cs="Palatino Linotype"/>
          <w:b/>
          <w:color w:val="000000"/>
          <w:szCs w:val="24"/>
        </w:rPr>
        <w:t>se deduce que existe una aceptación por parte del Sujeto Obligado que genera, administra o posee dicha información, derivada del ejercicio de sus funciones de derecho público</w:t>
      </w:r>
      <w:r w:rsidRPr="002F327C">
        <w:rPr>
          <w:rFonts w:eastAsia="Palatino Linotype" w:cs="Palatino Linotype"/>
          <w:color w:val="000000"/>
          <w:szCs w:val="24"/>
        </w:rPr>
        <w:t>.</w:t>
      </w:r>
    </w:p>
    <w:p w14:paraId="31E7C93A" w14:textId="6AEDCE5A" w:rsidR="00537A31" w:rsidRPr="002F327C" w:rsidRDefault="00537A31" w:rsidP="00CE6A88">
      <w:pPr>
        <w:rPr>
          <w:noProof/>
          <w:szCs w:val="24"/>
          <w:lang w:val="es-MX"/>
        </w:rPr>
      </w:pPr>
    </w:p>
    <w:p w14:paraId="01332328" w14:textId="77777777" w:rsidR="00DE57E5" w:rsidRPr="002F327C" w:rsidRDefault="00DE57E5" w:rsidP="00DE57E5">
      <w:pPr>
        <w:rPr>
          <w:szCs w:val="24"/>
        </w:rPr>
      </w:pPr>
      <w:r w:rsidRPr="002F327C">
        <w:rPr>
          <w:szCs w:val="24"/>
        </w:rPr>
        <w:t>Por lo que este Órgano Garante estima conveniente delimitar el estudio de la presente resolución al cambio en la modalidad a consulta directa, propuesto por el Sujeto Obligado, pues son estos actos los que, a consideración del Recurrente, le causan agravio a su derecho de acceso a la información.</w:t>
      </w:r>
    </w:p>
    <w:p w14:paraId="21D86616" w14:textId="77777777" w:rsidR="00DE57E5" w:rsidRPr="002F327C" w:rsidRDefault="00DE57E5" w:rsidP="00DE57E5">
      <w:pPr>
        <w:rPr>
          <w:szCs w:val="24"/>
        </w:rPr>
      </w:pPr>
    </w:p>
    <w:p w14:paraId="05D12872" w14:textId="33D2B9AA" w:rsidR="00DE57E5" w:rsidRDefault="00DE57E5" w:rsidP="00DE57E5">
      <w:r w:rsidRPr="00992A0D">
        <w:t xml:space="preserve">Asimismo, es de destacar que la información fue requerida a través del SAIMEX; sin embargo, mediante respuesta a la solicitud de información, el Sujeto Obligado </w:t>
      </w:r>
      <w:r>
        <w:t>de manera unilateral realizó un cambio en la modalidad de entrega y</w:t>
      </w:r>
      <w:r w:rsidR="002F327C">
        <w:t xml:space="preserve"> refirió que la información le sería entregada en las instalaciones centrales del Sujeto Obligado una vez que el particular cubra el costo de su reproducción, sin que se</w:t>
      </w:r>
      <w:r w:rsidR="00FE4FC4">
        <w:t xml:space="preserve"> señalaran los motivos que imposibilitaran su entrega mediante el SAIMEX, se</w:t>
      </w:r>
      <w:r w:rsidR="002F327C">
        <w:t xml:space="preserve"> ofrecieran otras modalidad</w:t>
      </w:r>
      <w:r w:rsidR="00FE4FC4">
        <w:t xml:space="preserve"> de entrega, se hiciera del conocimiento del solicitante el procedimiento para la consulta, ni el horario, ubicación, nombre del servidor público que lo atendería y plazo para su consulta. </w:t>
      </w:r>
    </w:p>
    <w:p w14:paraId="401243D6" w14:textId="77777777" w:rsidR="00CE6A88" w:rsidRDefault="00CE6A88" w:rsidP="00CE6A88">
      <w:pPr>
        <w:rPr>
          <w:noProof/>
          <w:lang w:val="es-MX"/>
        </w:rPr>
      </w:pPr>
    </w:p>
    <w:p w14:paraId="6A05FA0B" w14:textId="72334263" w:rsidR="00DE57E5" w:rsidRPr="00992A0D" w:rsidRDefault="00715064" w:rsidP="00DE57E5">
      <w:pPr>
        <w:contextualSpacing/>
      </w:pPr>
      <w:r>
        <w:rPr>
          <w:noProof/>
          <w:lang w:val="es-MX"/>
        </w:rPr>
        <w:t xml:space="preserve">En ese sentido, el Sujeto Obligado no </w:t>
      </w:r>
      <w:r w:rsidR="003426E6">
        <w:rPr>
          <w:noProof/>
          <w:lang w:val="es-MX"/>
        </w:rPr>
        <w:t xml:space="preserve">hizo referencia a la imposibilidad de </w:t>
      </w:r>
      <w:r w:rsidR="00EF4C56">
        <w:rPr>
          <w:noProof/>
          <w:lang w:val="es-MX"/>
        </w:rPr>
        <w:t>entregar la información mediante el SAIMEX debido a las capacidades del sistema,</w:t>
      </w:r>
      <w:r w:rsidR="00FE4FC4">
        <w:rPr>
          <w:noProof/>
          <w:lang w:val="es-MX"/>
        </w:rPr>
        <w:t xml:space="preserve"> puesto que no emitió pronunciamiento al respecto</w:t>
      </w:r>
      <w:r w:rsidR="00237340">
        <w:rPr>
          <w:noProof/>
          <w:lang w:val="es-MX"/>
        </w:rPr>
        <w:t>. No obstante, se debe señalar que</w:t>
      </w:r>
      <w:r w:rsidR="001442FF">
        <w:rPr>
          <w:noProof/>
          <w:lang w:val="es-MX"/>
        </w:rPr>
        <w:t xml:space="preserve">, en </w:t>
      </w:r>
      <w:r w:rsidR="000C5BD9">
        <w:rPr>
          <w:noProof/>
          <w:lang w:val="es-MX"/>
        </w:rPr>
        <w:t xml:space="preserve">antecedentes similares, </w:t>
      </w:r>
      <w:r w:rsidR="000C5BD9">
        <w:rPr>
          <w:rFonts w:eastAsia="Palatino Linotype" w:cs="Palatino Linotype"/>
          <w:szCs w:val="24"/>
        </w:rPr>
        <w:t xml:space="preserve">la </w:t>
      </w:r>
      <w:r w:rsidR="00DE57E5" w:rsidRPr="00992A0D">
        <w:t>Dirección General de Informática de este Instituto</w:t>
      </w:r>
      <w:r w:rsidR="000C5BD9">
        <w:t xml:space="preserve"> ha informado que </w:t>
      </w:r>
      <w:r w:rsidR="00136939">
        <w:t>con</w:t>
      </w:r>
      <w:r w:rsidR="00DE57E5" w:rsidRPr="00992A0D">
        <w:t xml:space="preserve"> </w:t>
      </w:r>
      <w:r w:rsidR="00DE57E5" w:rsidRPr="00992A0D">
        <w:lastRenderedPageBreak/>
        <w:t xml:space="preserve">relación al peso máximo de archivos que soporta el SAIMEX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w:t>
      </w:r>
      <w:r w:rsidR="00DE57E5">
        <w:t>«</w:t>
      </w:r>
      <w:r w:rsidR="00DE57E5" w:rsidRPr="00992A0D">
        <w:t>PDF</w:t>
      </w:r>
      <w:r w:rsidR="00DE57E5">
        <w:t>»</w:t>
      </w:r>
      <w:r w:rsidR="00DE57E5" w:rsidRPr="00992A0D">
        <w:t xml:space="preserve"> extraído directamente del escáner.</w:t>
      </w:r>
    </w:p>
    <w:p w14:paraId="02566DF0" w14:textId="77777777" w:rsidR="00DE57E5" w:rsidRDefault="00DE57E5" w:rsidP="00DE57E5">
      <w:pPr>
        <w:contextualSpacing/>
        <w:rPr>
          <w:rFonts w:eastAsia="Palatino Linotype" w:cs="Palatino Linotype"/>
          <w:szCs w:val="24"/>
        </w:rPr>
      </w:pPr>
    </w:p>
    <w:p w14:paraId="1A8EBAF5" w14:textId="5EED0FD7" w:rsidR="00953B3A" w:rsidRDefault="00953B3A" w:rsidP="58115C32">
      <w:pPr>
        <w:contextualSpacing/>
        <w:rPr>
          <w:rFonts w:eastAsia="Palatino Linotype" w:cs="Palatino Linotype"/>
          <w:lang w:val="es-ES"/>
        </w:rPr>
      </w:pPr>
      <w:r w:rsidRPr="58115C32">
        <w:rPr>
          <w:rFonts w:eastAsia="Palatino Linotype" w:cs="Palatino Linotype"/>
          <w:lang w:val="es-ES"/>
        </w:rPr>
        <w:t>Por otra parte, no se omite señalar qu</w:t>
      </w:r>
      <w:r w:rsidR="00FE4FC4" w:rsidRPr="58115C32">
        <w:rPr>
          <w:rFonts w:eastAsia="Palatino Linotype" w:cs="Palatino Linotype"/>
          <w:lang w:val="es-ES"/>
        </w:rPr>
        <w:t>e la información relativa a los procedimientos de adquisición y padrón de proveedores se considera como obligacio</w:t>
      </w:r>
      <w:r w:rsidRPr="58115C32">
        <w:rPr>
          <w:rFonts w:eastAsia="Palatino Linotype" w:cs="Palatino Linotype"/>
          <w:lang w:val="es-ES"/>
        </w:rPr>
        <w:t>n</w:t>
      </w:r>
      <w:r w:rsidR="00FE4FC4" w:rsidRPr="58115C32">
        <w:rPr>
          <w:rFonts w:eastAsia="Palatino Linotype" w:cs="Palatino Linotype"/>
          <w:lang w:val="es-ES"/>
        </w:rPr>
        <w:t>es</w:t>
      </w:r>
      <w:r w:rsidRPr="58115C32">
        <w:rPr>
          <w:rFonts w:eastAsia="Palatino Linotype" w:cs="Palatino Linotype"/>
          <w:lang w:val="es-ES"/>
        </w:rPr>
        <w:t xml:space="preserve"> de transparencia común, como se esta</w:t>
      </w:r>
      <w:r w:rsidR="00FE4FC4" w:rsidRPr="58115C32">
        <w:rPr>
          <w:rFonts w:eastAsia="Palatino Linotype" w:cs="Palatino Linotype"/>
          <w:lang w:val="es-ES"/>
        </w:rPr>
        <w:t>blece en el artículo 92 fracciones</w:t>
      </w:r>
      <w:r w:rsidRPr="58115C32">
        <w:rPr>
          <w:rFonts w:eastAsia="Palatino Linotype" w:cs="Palatino Linotype"/>
          <w:lang w:val="es-ES"/>
        </w:rPr>
        <w:t xml:space="preserve"> </w:t>
      </w:r>
      <w:r w:rsidR="779B4955" w:rsidRPr="58115C32">
        <w:rPr>
          <w:rFonts w:eastAsia="Palatino Linotype" w:cs="Palatino Linotype"/>
          <w:lang w:val="es-ES"/>
        </w:rPr>
        <w:t>XXIX y XXXVI</w:t>
      </w:r>
      <w:r w:rsidRPr="58115C32">
        <w:rPr>
          <w:rFonts w:eastAsia="Palatino Linotype" w:cs="Palatino Linotype"/>
          <w:lang w:val="es-ES"/>
        </w:rPr>
        <w:t xml:space="preserve"> de la Ley de Transparencia estatal, en el que se dispone lo siguiente:</w:t>
      </w:r>
    </w:p>
    <w:p w14:paraId="73D8EF34" w14:textId="77777777" w:rsidR="00953B3A" w:rsidRDefault="00953B3A" w:rsidP="00DE57E5">
      <w:pPr>
        <w:contextualSpacing/>
        <w:rPr>
          <w:rFonts w:eastAsia="Palatino Linotype" w:cs="Palatino Linotype"/>
          <w:szCs w:val="24"/>
        </w:rPr>
      </w:pPr>
    </w:p>
    <w:p w14:paraId="39FBE961" w14:textId="77777777" w:rsidR="00953B3A" w:rsidRPr="00953B3A" w:rsidRDefault="00953B3A" w:rsidP="00953B3A">
      <w:pPr>
        <w:pStyle w:val="Fundamentos"/>
        <w:rPr>
          <w:lang w:val="es-MX"/>
        </w:rPr>
      </w:pPr>
      <w:r w:rsidRPr="00953B3A">
        <w:rPr>
          <w:b/>
          <w:lang w:val="es-MX"/>
        </w:rPr>
        <w:t xml:space="preserve">Artículo 92. </w:t>
      </w:r>
      <w:r w:rsidRPr="00953B3A">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350F20" w14:textId="098F4070" w:rsidR="00953B3A" w:rsidRDefault="00953B3A" w:rsidP="00953B3A">
      <w:pPr>
        <w:pStyle w:val="Fundamentos"/>
        <w:rPr>
          <w:lang w:val="es-MX"/>
        </w:rPr>
      </w:pPr>
      <w:r>
        <w:rPr>
          <w:lang w:val="es-MX"/>
        </w:rPr>
        <w:t>[…]</w:t>
      </w:r>
    </w:p>
    <w:p w14:paraId="7A9FBC4E" w14:textId="77777777" w:rsidR="00FE4FC4" w:rsidRPr="00FE4FC4" w:rsidRDefault="00FE4FC4" w:rsidP="00FE4FC4">
      <w:pPr>
        <w:pStyle w:val="Fundamentos"/>
        <w:rPr>
          <w:lang w:val="es-MX"/>
        </w:rPr>
      </w:pPr>
      <w:r w:rsidRPr="00FE4FC4">
        <w:rPr>
          <w:b/>
          <w:lang w:val="es-MX"/>
        </w:rPr>
        <w:t>XXIX.</w:t>
      </w:r>
      <w:r w:rsidRPr="00FE4FC4">
        <w:rPr>
          <w:b/>
          <w:lang w:val="es-MX"/>
        </w:rPr>
        <w:tab/>
      </w:r>
      <w:r w:rsidRPr="00FE4FC4">
        <w:rPr>
          <w:lang w:val="es-MX"/>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5D0803A8" w14:textId="77777777" w:rsidR="00FE4FC4" w:rsidRPr="00FE4FC4" w:rsidRDefault="00FE4FC4" w:rsidP="00FE4FC4">
      <w:pPr>
        <w:pStyle w:val="Fundamentos"/>
        <w:rPr>
          <w:lang w:val="es-MX"/>
        </w:rPr>
      </w:pPr>
    </w:p>
    <w:p w14:paraId="17811FAC" w14:textId="77777777" w:rsidR="00FE4FC4" w:rsidRPr="00FE4FC4" w:rsidRDefault="00FE4FC4" w:rsidP="00FE4FC4">
      <w:pPr>
        <w:pStyle w:val="Fundamentos"/>
        <w:ind w:left="993"/>
        <w:rPr>
          <w:lang w:val="es-MX"/>
        </w:rPr>
      </w:pPr>
      <w:r w:rsidRPr="00FE4FC4">
        <w:rPr>
          <w:b/>
          <w:lang w:val="es-MX"/>
        </w:rPr>
        <w:t>a)</w:t>
      </w:r>
      <w:r w:rsidRPr="00FE4FC4">
        <w:rPr>
          <w:lang w:val="es-MX"/>
        </w:rPr>
        <w:tab/>
        <w:t>De licitaciones públicas o procedimientos de invitación restringida:</w:t>
      </w:r>
    </w:p>
    <w:p w14:paraId="4FA8C294" w14:textId="77777777" w:rsidR="00FE4FC4" w:rsidRPr="00FE4FC4" w:rsidRDefault="00FE4FC4" w:rsidP="00FE4FC4">
      <w:pPr>
        <w:pStyle w:val="Fundamentos"/>
        <w:ind w:left="993"/>
        <w:rPr>
          <w:lang w:val="es-MX"/>
        </w:rPr>
      </w:pPr>
    </w:p>
    <w:p w14:paraId="183D9158" w14:textId="77777777" w:rsidR="00FE4FC4" w:rsidRPr="00FE4FC4" w:rsidRDefault="00FE4FC4" w:rsidP="00FE4FC4">
      <w:pPr>
        <w:pStyle w:val="Fundamentos"/>
        <w:ind w:left="1418"/>
        <w:rPr>
          <w:lang w:val="es-MX"/>
        </w:rPr>
      </w:pPr>
      <w:r w:rsidRPr="00FE4FC4">
        <w:rPr>
          <w:b/>
          <w:lang w:val="es-MX"/>
        </w:rPr>
        <w:t>1)</w:t>
      </w:r>
      <w:r w:rsidRPr="00FE4FC4">
        <w:rPr>
          <w:lang w:val="es-MX"/>
        </w:rPr>
        <w:tab/>
        <w:t>La convocatoria o invitación emitida, así como los fundamentos legales aplicados para llevarla a cabo;</w:t>
      </w:r>
    </w:p>
    <w:p w14:paraId="76369B9C" w14:textId="77777777" w:rsidR="00FE4FC4" w:rsidRPr="00FE4FC4" w:rsidRDefault="00FE4FC4" w:rsidP="00FE4FC4">
      <w:pPr>
        <w:pStyle w:val="Fundamentos"/>
        <w:ind w:left="1418"/>
        <w:rPr>
          <w:lang w:val="es-MX"/>
        </w:rPr>
      </w:pPr>
      <w:r w:rsidRPr="00FE4FC4">
        <w:rPr>
          <w:b/>
          <w:lang w:val="es-MX"/>
        </w:rPr>
        <w:t>2)</w:t>
      </w:r>
      <w:r w:rsidRPr="00FE4FC4">
        <w:rPr>
          <w:lang w:val="es-MX"/>
        </w:rPr>
        <w:tab/>
        <w:t>Los nombres de los participantes o invitados;</w:t>
      </w:r>
    </w:p>
    <w:p w14:paraId="228126E2" w14:textId="77777777" w:rsidR="00FE4FC4" w:rsidRPr="00FE4FC4" w:rsidRDefault="00FE4FC4" w:rsidP="00FE4FC4">
      <w:pPr>
        <w:pStyle w:val="Fundamentos"/>
        <w:ind w:left="1418"/>
        <w:rPr>
          <w:lang w:val="es-MX"/>
        </w:rPr>
      </w:pPr>
      <w:r w:rsidRPr="00FE4FC4">
        <w:rPr>
          <w:b/>
          <w:lang w:val="es-MX"/>
        </w:rPr>
        <w:t>3)</w:t>
      </w:r>
      <w:r w:rsidRPr="00FE4FC4">
        <w:rPr>
          <w:lang w:val="es-MX"/>
        </w:rPr>
        <w:tab/>
        <w:t>El nombre del ganador y las razones que lo justifican;</w:t>
      </w:r>
    </w:p>
    <w:p w14:paraId="303C149A" w14:textId="77777777" w:rsidR="00FE4FC4" w:rsidRPr="00FE4FC4" w:rsidRDefault="00FE4FC4" w:rsidP="00FE4FC4">
      <w:pPr>
        <w:pStyle w:val="Fundamentos"/>
        <w:ind w:left="1418"/>
        <w:rPr>
          <w:lang w:val="es-MX"/>
        </w:rPr>
      </w:pPr>
      <w:r w:rsidRPr="00FE4FC4">
        <w:rPr>
          <w:b/>
          <w:lang w:val="es-MX"/>
        </w:rPr>
        <w:t>4)</w:t>
      </w:r>
      <w:r w:rsidRPr="00FE4FC4">
        <w:rPr>
          <w:lang w:val="es-MX"/>
        </w:rPr>
        <w:tab/>
        <w:t>El área solicitante y la responsable de su ejecución;</w:t>
      </w:r>
    </w:p>
    <w:p w14:paraId="6F6D3F2F" w14:textId="77777777" w:rsidR="00FE4FC4" w:rsidRPr="00FE4FC4" w:rsidRDefault="00FE4FC4" w:rsidP="00FE4FC4">
      <w:pPr>
        <w:pStyle w:val="Fundamentos"/>
        <w:ind w:left="1418"/>
        <w:rPr>
          <w:lang w:val="es-MX"/>
        </w:rPr>
      </w:pPr>
      <w:r w:rsidRPr="00FE4FC4">
        <w:rPr>
          <w:b/>
          <w:lang w:val="es-MX"/>
        </w:rPr>
        <w:t>5)</w:t>
      </w:r>
      <w:r w:rsidRPr="00FE4FC4">
        <w:rPr>
          <w:lang w:val="es-MX"/>
        </w:rPr>
        <w:tab/>
        <w:t>Las convocatorias e invitaciones emitidas;</w:t>
      </w:r>
    </w:p>
    <w:p w14:paraId="0F34182A" w14:textId="77777777" w:rsidR="00FE4FC4" w:rsidRPr="00FE4FC4" w:rsidRDefault="00FE4FC4" w:rsidP="00FE4FC4">
      <w:pPr>
        <w:pStyle w:val="Fundamentos"/>
        <w:ind w:left="1418"/>
        <w:rPr>
          <w:lang w:val="es-MX"/>
        </w:rPr>
      </w:pPr>
      <w:r w:rsidRPr="00FE4FC4">
        <w:rPr>
          <w:b/>
          <w:lang w:val="es-MX"/>
        </w:rPr>
        <w:t>6)</w:t>
      </w:r>
      <w:r w:rsidRPr="00FE4FC4">
        <w:rPr>
          <w:lang w:val="es-MX"/>
        </w:rPr>
        <w:tab/>
        <w:t>Los dictámenes y fallo de adjudicación;</w:t>
      </w:r>
    </w:p>
    <w:p w14:paraId="0F11CB1A" w14:textId="77777777" w:rsidR="00FE4FC4" w:rsidRPr="00FE4FC4" w:rsidRDefault="00FE4FC4" w:rsidP="00FE4FC4">
      <w:pPr>
        <w:pStyle w:val="Fundamentos"/>
        <w:ind w:left="1418"/>
        <w:rPr>
          <w:lang w:val="es-MX"/>
        </w:rPr>
      </w:pPr>
      <w:r w:rsidRPr="00FE4FC4">
        <w:rPr>
          <w:b/>
          <w:lang w:val="es-MX"/>
        </w:rPr>
        <w:lastRenderedPageBreak/>
        <w:t>7)</w:t>
      </w:r>
      <w:r w:rsidRPr="00FE4FC4">
        <w:rPr>
          <w:lang w:val="es-MX"/>
        </w:rPr>
        <w:tab/>
        <w:t>El contrato y, en su caso, sus anexos;</w:t>
      </w:r>
    </w:p>
    <w:p w14:paraId="56D2058C" w14:textId="77777777" w:rsidR="00FE4FC4" w:rsidRPr="00FE4FC4" w:rsidRDefault="00FE4FC4" w:rsidP="00FE4FC4">
      <w:pPr>
        <w:pStyle w:val="Fundamentos"/>
        <w:ind w:left="1418"/>
        <w:rPr>
          <w:lang w:val="es-MX"/>
        </w:rPr>
      </w:pPr>
      <w:r w:rsidRPr="00FE4FC4">
        <w:rPr>
          <w:b/>
          <w:lang w:val="es-MX"/>
        </w:rPr>
        <w:t>8)</w:t>
      </w:r>
      <w:r w:rsidRPr="00FE4FC4">
        <w:rPr>
          <w:lang w:val="es-MX"/>
        </w:rPr>
        <w:tab/>
        <w:t>Los mecanismos de vigilancia y supervisión, incluyendo en su caso, los estudios de impacto urbano y ambiental, según corresponda;</w:t>
      </w:r>
    </w:p>
    <w:p w14:paraId="71A59CFF" w14:textId="77777777" w:rsidR="00FE4FC4" w:rsidRPr="00FE4FC4" w:rsidRDefault="00FE4FC4" w:rsidP="00FE4FC4">
      <w:pPr>
        <w:pStyle w:val="Fundamentos"/>
        <w:ind w:left="1418"/>
        <w:rPr>
          <w:lang w:val="es-MX"/>
        </w:rPr>
      </w:pPr>
      <w:r w:rsidRPr="00FE4FC4">
        <w:rPr>
          <w:b/>
          <w:lang w:val="es-MX"/>
        </w:rPr>
        <w:t>9)</w:t>
      </w:r>
      <w:r w:rsidRPr="00FE4FC4">
        <w:rPr>
          <w:lang w:val="es-MX"/>
        </w:rPr>
        <w:tab/>
        <w:t>La partida presupuestal, de conformidad con el clasificador por objeto del gasto, en el caso de ser aplicable;</w:t>
      </w:r>
    </w:p>
    <w:p w14:paraId="76F426D2" w14:textId="77777777" w:rsidR="00FE4FC4" w:rsidRPr="00FE4FC4" w:rsidRDefault="00FE4FC4" w:rsidP="00FE4FC4">
      <w:pPr>
        <w:pStyle w:val="Fundamentos"/>
        <w:ind w:left="1418"/>
        <w:rPr>
          <w:lang w:val="es-MX"/>
        </w:rPr>
      </w:pPr>
      <w:r w:rsidRPr="00FE4FC4">
        <w:rPr>
          <w:b/>
          <w:lang w:val="es-MX"/>
        </w:rPr>
        <w:t>10)</w:t>
      </w:r>
      <w:r w:rsidRPr="00FE4FC4">
        <w:rPr>
          <w:lang w:val="es-MX"/>
        </w:rPr>
        <w:tab/>
        <w:t>Origen de los recursos especificando si son federales, estatales o municipales, así como el tipo de fondo de participación o aportación respectiva;</w:t>
      </w:r>
    </w:p>
    <w:p w14:paraId="146C9ACC" w14:textId="77777777" w:rsidR="00FE4FC4" w:rsidRPr="00FE4FC4" w:rsidRDefault="00FE4FC4" w:rsidP="00FE4FC4">
      <w:pPr>
        <w:pStyle w:val="Fundamentos"/>
        <w:ind w:left="1418"/>
        <w:rPr>
          <w:lang w:val="es-MX"/>
        </w:rPr>
      </w:pPr>
      <w:r w:rsidRPr="00FE4FC4">
        <w:rPr>
          <w:b/>
          <w:lang w:val="es-MX"/>
        </w:rPr>
        <w:t>11)</w:t>
      </w:r>
      <w:r w:rsidRPr="00FE4FC4">
        <w:rPr>
          <w:lang w:val="es-MX"/>
        </w:rPr>
        <w:tab/>
        <w:t>Los convenios modificatorios que, en su caso, sean firmados, precisando el objeto y la fecha de celebración;</w:t>
      </w:r>
    </w:p>
    <w:p w14:paraId="066BC080" w14:textId="77777777" w:rsidR="00FE4FC4" w:rsidRPr="00FE4FC4" w:rsidRDefault="00FE4FC4" w:rsidP="00FE4FC4">
      <w:pPr>
        <w:pStyle w:val="Fundamentos"/>
        <w:ind w:left="1418"/>
        <w:rPr>
          <w:lang w:val="es-MX"/>
        </w:rPr>
      </w:pPr>
      <w:r w:rsidRPr="00FE4FC4">
        <w:rPr>
          <w:b/>
          <w:lang w:val="es-MX"/>
        </w:rPr>
        <w:t>12)</w:t>
      </w:r>
      <w:r w:rsidRPr="00FE4FC4">
        <w:rPr>
          <w:lang w:val="es-MX"/>
        </w:rPr>
        <w:tab/>
        <w:t>Los informes de avance físico y financiero sobre las obras o servicios contratados;</w:t>
      </w:r>
    </w:p>
    <w:p w14:paraId="07C62E29" w14:textId="77777777" w:rsidR="00FE4FC4" w:rsidRPr="00FE4FC4" w:rsidRDefault="00FE4FC4" w:rsidP="00FE4FC4">
      <w:pPr>
        <w:pStyle w:val="Fundamentos"/>
        <w:ind w:left="1418"/>
        <w:rPr>
          <w:lang w:val="es-MX"/>
        </w:rPr>
      </w:pPr>
      <w:r w:rsidRPr="00FE4FC4">
        <w:rPr>
          <w:b/>
          <w:lang w:val="es-MX"/>
        </w:rPr>
        <w:t>13)</w:t>
      </w:r>
      <w:r w:rsidRPr="00FE4FC4">
        <w:rPr>
          <w:lang w:val="es-MX"/>
        </w:rPr>
        <w:tab/>
        <w:t>El convenio de terminación; y</w:t>
      </w:r>
    </w:p>
    <w:p w14:paraId="7AA797C4" w14:textId="77777777" w:rsidR="00FE4FC4" w:rsidRPr="00FE4FC4" w:rsidRDefault="00FE4FC4" w:rsidP="00FE4FC4">
      <w:pPr>
        <w:pStyle w:val="Fundamentos"/>
        <w:ind w:left="1418"/>
        <w:rPr>
          <w:lang w:val="es-MX"/>
        </w:rPr>
      </w:pPr>
      <w:r w:rsidRPr="00FE4FC4">
        <w:rPr>
          <w:b/>
          <w:lang w:val="es-MX"/>
        </w:rPr>
        <w:t>14)</w:t>
      </w:r>
      <w:r w:rsidRPr="00FE4FC4">
        <w:rPr>
          <w:lang w:val="es-MX"/>
        </w:rPr>
        <w:tab/>
        <w:t>El finiquito.</w:t>
      </w:r>
    </w:p>
    <w:p w14:paraId="0A762DF9" w14:textId="77777777" w:rsidR="00FE4FC4" w:rsidRPr="00FE4FC4" w:rsidRDefault="00FE4FC4" w:rsidP="00FE4FC4">
      <w:pPr>
        <w:pStyle w:val="Fundamentos"/>
        <w:ind w:left="993"/>
        <w:rPr>
          <w:lang w:val="es-MX"/>
        </w:rPr>
      </w:pPr>
    </w:p>
    <w:p w14:paraId="6FB9668C" w14:textId="77777777" w:rsidR="00FE4FC4" w:rsidRPr="00FE4FC4" w:rsidRDefault="00FE4FC4" w:rsidP="00FE4FC4">
      <w:pPr>
        <w:pStyle w:val="Fundamentos"/>
        <w:ind w:left="993"/>
        <w:rPr>
          <w:lang w:val="es-MX"/>
        </w:rPr>
      </w:pPr>
      <w:r w:rsidRPr="00FE4FC4">
        <w:rPr>
          <w:b/>
          <w:lang w:val="es-MX"/>
        </w:rPr>
        <w:t>b)</w:t>
      </w:r>
      <w:r w:rsidRPr="00FE4FC4">
        <w:rPr>
          <w:lang w:val="es-MX"/>
        </w:rPr>
        <w:tab/>
        <w:t>De las adjudicaciones directas:</w:t>
      </w:r>
    </w:p>
    <w:p w14:paraId="36A007DD" w14:textId="77777777" w:rsidR="00FE4FC4" w:rsidRPr="00FE4FC4" w:rsidRDefault="00FE4FC4" w:rsidP="00FE4FC4">
      <w:pPr>
        <w:pStyle w:val="Fundamentos"/>
        <w:ind w:left="993"/>
        <w:rPr>
          <w:lang w:val="es-MX"/>
        </w:rPr>
      </w:pPr>
    </w:p>
    <w:p w14:paraId="345A7EA1" w14:textId="77777777" w:rsidR="00FE4FC4" w:rsidRPr="00FE4FC4" w:rsidRDefault="00FE4FC4" w:rsidP="00FE4FC4">
      <w:pPr>
        <w:pStyle w:val="Fundamentos"/>
        <w:ind w:left="1418"/>
        <w:rPr>
          <w:lang w:val="es-MX"/>
        </w:rPr>
      </w:pPr>
      <w:r w:rsidRPr="00FE4FC4">
        <w:rPr>
          <w:b/>
          <w:lang w:val="es-MX"/>
        </w:rPr>
        <w:t>1)</w:t>
      </w:r>
      <w:r w:rsidRPr="00FE4FC4">
        <w:rPr>
          <w:lang w:val="es-MX"/>
        </w:rPr>
        <w:tab/>
        <w:t>La propuesta enviada por el participante;</w:t>
      </w:r>
    </w:p>
    <w:p w14:paraId="60134F8F" w14:textId="77777777" w:rsidR="00FE4FC4" w:rsidRPr="00FE4FC4" w:rsidRDefault="00FE4FC4" w:rsidP="00FE4FC4">
      <w:pPr>
        <w:pStyle w:val="Fundamentos"/>
        <w:ind w:left="1418"/>
        <w:rPr>
          <w:lang w:val="es-MX"/>
        </w:rPr>
      </w:pPr>
      <w:r w:rsidRPr="00FE4FC4">
        <w:rPr>
          <w:b/>
          <w:lang w:val="es-MX"/>
        </w:rPr>
        <w:t>2)</w:t>
      </w:r>
      <w:r w:rsidRPr="00FE4FC4">
        <w:rPr>
          <w:lang w:val="es-MX"/>
        </w:rPr>
        <w:tab/>
        <w:t>Los motivos y fundamentos legales aplicados para llevarla a cabo;</w:t>
      </w:r>
    </w:p>
    <w:p w14:paraId="2F48C1AF" w14:textId="77777777" w:rsidR="00FE4FC4" w:rsidRPr="00FE4FC4" w:rsidRDefault="00FE4FC4" w:rsidP="00FE4FC4">
      <w:pPr>
        <w:pStyle w:val="Fundamentos"/>
        <w:ind w:left="1418"/>
        <w:rPr>
          <w:lang w:val="es-MX"/>
        </w:rPr>
      </w:pPr>
      <w:r w:rsidRPr="00FE4FC4">
        <w:rPr>
          <w:b/>
          <w:lang w:val="es-MX"/>
        </w:rPr>
        <w:t>3)</w:t>
      </w:r>
      <w:r w:rsidRPr="00FE4FC4">
        <w:rPr>
          <w:lang w:val="es-MX"/>
        </w:rPr>
        <w:tab/>
        <w:t>La autorización del ejercicio de la opción;</w:t>
      </w:r>
    </w:p>
    <w:p w14:paraId="19F6CD1B" w14:textId="77777777" w:rsidR="00FE4FC4" w:rsidRPr="00FE4FC4" w:rsidRDefault="00FE4FC4" w:rsidP="00FE4FC4">
      <w:pPr>
        <w:pStyle w:val="Fundamentos"/>
        <w:ind w:left="1418"/>
        <w:rPr>
          <w:lang w:val="es-MX"/>
        </w:rPr>
      </w:pPr>
      <w:r w:rsidRPr="00FE4FC4">
        <w:rPr>
          <w:b/>
          <w:lang w:val="es-MX"/>
        </w:rPr>
        <w:t>4)</w:t>
      </w:r>
      <w:r w:rsidRPr="00FE4FC4">
        <w:rPr>
          <w:lang w:val="es-MX"/>
        </w:rPr>
        <w:tab/>
        <w:t>En su caso, las cotizaciones consideradas, especificando los nombres de los proveedores y sus montos;</w:t>
      </w:r>
    </w:p>
    <w:p w14:paraId="79F45FAD" w14:textId="77777777" w:rsidR="00FE4FC4" w:rsidRPr="00FE4FC4" w:rsidRDefault="00FE4FC4" w:rsidP="00FE4FC4">
      <w:pPr>
        <w:pStyle w:val="Fundamentos"/>
        <w:ind w:left="1418"/>
        <w:rPr>
          <w:lang w:val="es-MX"/>
        </w:rPr>
      </w:pPr>
      <w:r w:rsidRPr="0077681E">
        <w:rPr>
          <w:b/>
          <w:lang w:val="es-MX"/>
        </w:rPr>
        <w:t>5)</w:t>
      </w:r>
      <w:r w:rsidRPr="00FE4FC4">
        <w:rPr>
          <w:lang w:val="es-MX"/>
        </w:rPr>
        <w:tab/>
        <w:t>El nombre de la persona física o jurídica colectiva adjudicada;</w:t>
      </w:r>
    </w:p>
    <w:p w14:paraId="4B3196BE" w14:textId="77777777" w:rsidR="00FE4FC4" w:rsidRPr="00FE4FC4" w:rsidRDefault="00FE4FC4" w:rsidP="00FE4FC4">
      <w:pPr>
        <w:pStyle w:val="Fundamentos"/>
        <w:ind w:left="1418"/>
        <w:rPr>
          <w:lang w:val="es-MX"/>
        </w:rPr>
      </w:pPr>
      <w:r w:rsidRPr="0077681E">
        <w:rPr>
          <w:b/>
          <w:lang w:val="es-MX"/>
        </w:rPr>
        <w:t>6)</w:t>
      </w:r>
      <w:r w:rsidRPr="00FE4FC4">
        <w:rPr>
          <w:lang w:val="es-MX"/>
        </w:rPr>
        <w:tab/>
        <w:t>La unidad administrativa solicitante y la responsable de su ejecución;</w:t>
      </w:r>
    </w:p>
    <w:p w14:paraId="2C0F1431" w14:textId="77777777" w:rsidR="00FE4FC4" w:rsidRPr="00FE4FC4" w:rsidRDefault="00FE4FC4" w:rsidP="00FE4FC4">
      <w:pPr>
        <w:pStyle w:val="Fundamentos"/>
        <w:ind w:left="1418"/>
        <w:rPr>
          <w:lang w:val="es-MX"/>
        </w:rPr>
      </w:pPr>
      <w:r w:rsidRPr="0077681E">
        <w:rPr>
          <w:b/>
          <w:lang w:val="es-MX"/>
        </w:rPr>
        <w:t>7)</w:t>
      </w:r>
      <w:r w:rsidRPr="00FE4FC4">
        <w:rPr>
          <w:lang w:val="es-MX"/>
        </w:rPr>
        <w:tab/>
        <w:t>El número, fecha, el monto del contrato y el plazo de entrega o de ejecución de los servicios u obra;</w:t>
      </w:r>
    </w:p>
    <w:p w14:paraId="11D57A5F" w14:textId="77777777" w:rsidR="00FE4FC4" w:rsidRPr="00FE4FC4" w:rsidRDefault="00FE4FC4" w:rsidP="00FE4FC4">
      <w:pPr>
        <w:pStyle w:val="Fundamentos"/>
        <w:ind w:left="1418"/>
        <w:rPr>
          <w:lang w:val="es-MX"/>
        </w:rPr>
      </w:pPr>
      <w:r w:rsidRPr="0077681E">
        <w:rPr>
          <w:b/>
          <w:lang w:val="es-MX"/>
        </w:rPr>
        <w:t>8)</w:t>
      </w:r>
      <w:r w:rsidRPr="00FE4FC4">
        <w:rPr>
          <w:lang w:val="es-MX"/>
        </w:rPr>
        <w:tab/>
        <w:t>Los mecanismos de vigilancia y supervisión, incluyendo, en su caso, los estudios de impacto urbano y ambiental, según corresponda;</w:t>
      </w:r>
    </w:p>
    <w:p w14:paraId="16BF6617" w14:textId="77777777" w:rsidR="00FE4FC4" w:rsidRPr="00FE4FC4" w:rsidRDefault="00FE4FC4" w:rsidP="00FE4FC4">
      <w:pPr>
        <w:pStyle w:val="Fundamentos"/>
        <w:ind w:left="1418"/>
        <w:rPr>
          <w:lang w:val="es-MX"/>
        </w:rPr>
      </w:pPr>
      <w:r w:rsidRPr="0077681E">
        <w:rPr>
          <w:b/>
          <w:lang w:val="es-MX"/>
        </w:rPr>
        <w:t>9)</w:t>
      </w:r>
      <w:r w:rsidRPr="00FE4FC4">
        <w:rPr>
          <w:lang w:val="es-MX"/>
        </w:rPr>
        <w:tab/>
        <w:t>Los informes de avance sobre las obras o servicios contratados;</w:t>
      </w:r>
    </w:p>
    <w:p w14:paraId="1DB7FA8A" w14:textId="77777777" w:rsidR="00FE4FC4" w:rsidRPr="00FE4FC4" w:rsidRDefault="00FE4FC4" w:rsidP="00FE4FC4">
      <w:pPr>
        <w:pStyle w:val="Fundamentos"/>
        <w:ind w:left="1418"/>
        <w:rPr>
          <w:lang w:val="es-MX"/>
        </w:rPr>
      </w:pPr>
      <w:r w:rsidRPr="0077681E">
        <w:rPr>
          <w:b/>
          <w:lang w:val="es-MX"/>
        </w:rPr>
        <w:t>10)</w:t>
      </w:r>
      <w:r w:rsidRPr="00FE4FC4">
        <w:rPr>
          <w:lang w:val="es-MX"/>
        </w:rPr>
        <w:tab/>
        <w:t>El convenio de terminación; y</w:t>
      </w:r>
    </w:p>
    <w:p w14:paraId="2E56A628" w14:textId="1C9837DA" w:rsidR="00FE4FC4" w:rsidRDefault="00FE4FC4" w:rsidP="00FE4FC4">
      <w:pPr>
        <w:pStyle w:val="Fundamentos"/>
        <w:ind w:left="1418"/>
        <w:rPr>
          <w:lang w:val="es-MX"/>
        </w:rPr>
      </w:pPr>
      <w:r w:rsidRPr="0077681E">
        <w:rPr>
          <w:b/>
          <w:lang w:val="es-MX"/>
        </w:rPr>
        <w:t>11)</w:t>
      </w:r>
      <w:r w:rsidRPr="00FE4FC4">
        <w:rPr>
          <w:lang w:val="es-MX"/>
        </w:rPr>
        <w:tab/>
        <w:t>El finiquito.</w:t>
      </w:r>
    </w:p>
    <w:p w14:paraId="06BE0AA4" w14:textId="504193A1" w:rsidR="00FE4FC4" w:rsidRDefault="002F3E61" w:rsidP="00953B3A">
      <w:pPr>
        <w:pStyle w:val="Fundamentos"/>
        <w:rPr>
          <w:lang w:val="es-MX"/>
        </w:rPr>
      </w:pPr>
      <w:r>
        <w:rPr>
          <w:lang w:val="es-MX"/>
        </w:rPr>
        <w:t>[…]</w:t>
      </w:r>
    </w:p>
    <w:p w14:paraId="43AAE5AF" w14:textId="54FB4DFA" w:rsidR="00FE4FC4" w:rsidRDefault="00FE4FC4" w:rsidP="00953B3A">
      <w:pPr>
        <w:pStyle w:val="Fundamentos"/>
        <w:rPr>
          <w:lang w:val="es-MX"/>
        </w:rPr>
      </w:pPr>
      <w:r w:rsidRPr="00FE4FC4">
        <w:rPr>
          <w:b/>
          <w:lang w:val="es-MX"/>
        </w:rPr>
        <w:t>XXXVI.</w:t>
      </w:r>
      <w:r w:rsidRPr="00FE4FC4">
        <w:rPr>
          <w:lang w:val="es-MX"/>
        </w:rPr>
        <w:tab/>
        <w:t>Padrón de proveedores y contratistas;</w:t>
      </w:r>
    </w:p>
    <w:p w14:paraId="40494CE9" w14:textId="26671A68" w:rsidR="00953B3A" w:rsidRPr="00953B3A" w:rsidRDefault="00953B3A" w:rsidP="00953B3A">
      <w:pPr>
        <w:pStyle w:val="Fundamentos"/>
        <w:rPr>
          <w:lang w:val="es-MX"/>
        </w:rPr>
      </w:pPr>
      <w:r>
        <w:rPr>
          <w:lang w:val="es-MX"/>
        </w:rPr>
        <w:t>[…]</w:t>
      </w:r>
    </w:p>
    <w:p w14:paraId="51254CDF" w14:textId="77777777" w:rsidR="00953B3A" w:rsidRDefault="00953B3A" w:rsidP="00DE57E5">
      <w:pPr>
        <w:contextualSpacing/>
        <w:rPr>
          <w:rFonts w:eastAsia="Palatino Linotype" w:cs="Palatino Linotype"/>
          <w:szCs w:val="24"/>
        </w:rPr>
      </w:pPr>
    </w:p>
    <w:p w14:paraId="57F0243E" w14:textId="7800607B" w:rsidR="00953B3A" w:rsidRDefault="00953B3A" w:rsidP="00DE57E5">
      <w:pPr>
        <w:contextualSpacing/>
        <w:rPr>
          <w:rFonts w:eastAsia="Palatino Linotype" w:cs="Palatino Linotype"/>
          <w:szCs w:val="24"/>
        </w:rPr>
      </w:pPr>
      <w:r>
        <w:rPr>
          <w:rFonts w:eastAsia="Palatino Linotype" w:cs="Palatino Linotype"/>
          <w:szCs w:val="24"/>
        </w:rPr>
        <w:t xml:space="preserve">De tal forma que, al ser información que los sujetos obligados deben mantener a disposición del público permanentemente y de forma actualizada, se estima que el Sujeto Obligado debe </w:t>
      </w:r>
      <w:r>
        <w:rPr>
          <w:rFonts w:eastAsia="Palatino Linotype" w:cs="Palatino Linotype"/>
          <w:szCs w:val="24"/>
        </w:rPr>
        <w:lastRenderedPageBreak/>
        <w:t xml:space="preserve">contar con la digitalización de </w:t>
      </w:r>
      <w:r w:rsidR="00442E65">
        <w:rPr>
          <w:rFonts w:eastAsia="Palatino Linotype" w:cs="Palatino Linotype"/>
          <w:szCs w:val="24"/>
        </w:rPr>
        <w:t>dicha información, con la finalidad de que sea cargada en el medio electrónico correspondiente.</w:t>
      </w:r>
    </w:p>
    <w:p w14:paraId="707278DD" w14:textId="77777777" w:rsidR="00953B3A" w:rsidRDefault="00953B3A" w:rsidP="00DE57E5">
      <w:pPr>
        <w:contextualSpacing/>
        <w:rPr>
          <w:rFonts w:eastAsia="Palatino Linotype" w:cs="Palatino Linotype"/>
          <w:szCs w:val="24"/>
        </w:rPr>
      </w:pPr>
    </w:p>
    <w:p w14:paraId="48C43FEB" w14:textId="5C358D1A" w:rsidR="00DE57E5" w:rsidRDefault="00DE57E5" w:rsidP="00DE57E5">
      <w:r w:rsidRPr="00992A0D">
        <w:t>Por lo anterior, es de concluirse en este punto, qu</w:t>
      </w:r>
      <w:r w:rsidR="00FC64D4">
        <w:t>e el Sujeto Obligado no acreditó</w:t>
      </w:r>
      <w:r w:rsidRPr="00992A0D">
        <w:t xml:space="preserve"> la necesidad del cambio de modalidad de la entrega de información, en consecuencia, es dable ordenar la entrega de la información en la vía peticionada, es decir a través del SAIMEX, al no tenerse por cumplidos los requisitos de procedencia.</w:t>
      </w:r>
    </w:p>
    <w:p w14:paraId="17C14D60" w14:textId="7BE6444C" w:rsidR="00CE6A88" w:rsidRDefault="00CE6A88" w:rsidP="00CE6A88">
      <w:pPr>
        <w:rPr>
          <w:noProof/>
          <w:lang w:val="es-MX"/>
        </w:rPr>
      </w:pPr>
    </w:p>
    <w:p w14:paraId="305C090B" w14:textId="67934BAA" w:rsidR="00FC64D4" w:rsidRPr="00992A0D" w:rsidRDefault="00FC64D4" w:rsidP="00FC64D4">
      <w:pPr>
        <w:rPr>
          <w:rFonts w:cs="Arial"/>
          <w:szCs w:val="24"/>
        </w:rPr>
      </w:pPr>
      <w:r>
        <w:rPr>
          <w:szCs w:val="24"/>
        </w:rPr>
        <w:t>Consecuentemente</w:t>
      </w:r>
      <w:r w:rsidRPr="00992A0D">
        <w:rPr>
          <w:szCs w:val="24"/>
        </w:rPr>
        <w:t xml:space="preserve">, la actuación del Sujeto Obligado </w:t>
      </w:r>
      <w:r w:rsidRPr="00992A0D">
        <w:rPr>
          <w:rFonts w:eastAsia="MS Mincho" w:cs="Arial"/>
          <w:szCs w:val="24"/>
        </w:rPr>
        <w:t xml:space="preserve">constituye </w:t>
      </w:r>
      <w:r w:rsidR="00C05895">
        <w:rPr>
          <w:rFonts w:eastAsia="MS Mincho" w:cs="Arial"/>
          <w:szCs w:val="24"/>
        </w:rPr>
        <w:t>una afectación al derecho</w:t>
      </w:r>
      <w:r w:rsidRPr="00992A0D">
        <w:rPr>
          <w:rFonts w:eastAsia="MS Mincho" w:cs="Arial"/>
          <w:szCs w:val="24"/>
        </w:rPr>
        <w:t xml:space="preserve"> de acceso a la información pública del particular, toda vez que pretendió cambiar la modalidad de entrega de la información; </w:t>
      </w:r>
      <w:r w:rsidRPr="00992A0D">
        <w:rPr>
          <w:rFonts w:cs="Arial"/>
          <w:szCs w:val="24"/>
        </w:rPr>
        <w:t xml:space="preserve">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w:t>
      </w:r>
      <w:r w:rsidR="00C05895">
        <w:rPr>
          <w:rFonts w:cs="Arial"/>
          <w:szCs w:val="24"/>
        </w:rPr>
        <w:t xml:space="preserve">local </w:t>
      </w:r>
      <w:r w:rsidRPr="00992A0D">
        <w:rPr>
          <w:rFonts w:cs="Arial"/>
          <w:szCs w:val="24"/>
        </w:rPr>
        <w:t>que contempla los siguiente:</w:t>
      </w:r>
    </w:p>
    <w:p w14:paraId="55D3AD75" w14:textId="77777777" w:rsidR="00FC64D4" w:rsidRPr="00992A0D" w:rsidRDefault="00FC64D4" w:rsidP="00FC64D4">
      <w:pPr>
        <w:jc w:val="left"/>
        <w:rPr>
          <w:szCs w:val="24"/>
        </w:rPr>
      </w:pPr>
    </w:p>
    <w:p w14:paraId="34B23FC4" w14:textId="77777777" w:rsidR="00FC64D4" w:rsidRPr="00992A0D" w:rsidRDefault="00FC64D4" w:rsidP="00FC64D4">
      <w:pPr>
        <w:tabs>
          <w:tab w:val="left" w:pos="709"/>
        </w:tabs>
        <w:spacing w:line="240" w:lineRule="auto"/>
        <w:ind w:left="567" w:right="567"/>
        <w:rPr>
          <w:rFonts w:cs="Arial"/>
          <w:i/>
          <w:sz w:val="22"/>
        </w:rPr>
      </w:pPr>
      <w:r w:rsidRPr="00992A0D">
        <w:rPr>
          <w:rFonts w:cs="Arial"/>
          <w:b/>
          <w:i/>
          <w:sz w:val="22"/>
        </w:rPr>
        <w:t>Artículo 164.</w:t>
      </w:r>
      <w:r w:rsidRPr="00992A0D">
        <w:rPr>
          <w:rFonts w:cs="Arial"/>
          <w:i/>
          <w:sz w:val="22"/>
        </w:rPr>
        <w:t xml:space="preserve"> </w:t>
      </w:r>
      <w:r w:rsidRPr="00992A0D">
        <w:rPr>
          <w:rFonts w:cs="Arial"/>
          <w:b/>
          <w:i/>
          <w:sz w:val="22"/>
          <w:u w:val="single"/>
        </w:rPr>
        <w:t>El acceso se dará en la modalidad de entrega y, en su caso, de envío elegidos por el solicitante.</w:t>
      </w:r>
      <w:r w:rsidRPr="00992A0D">
        <w:rPr>
          <w:rFonts w:cs="Arial"/>
          <w:i/>
          <w:sz w:val="22"/>
        </w:rPr>
        <w:t xml:space="preserve"> Cuando la información no pueda entregarse o enviarse en la modalidad solicitada, el sujeto obligado deberá ofrecer otra u otras modalidades de entrega. </w:t>
      </w:r>
    </w:p>
    <w:p w14:paraId="35450903" w14:textId="77777777" w:rsidR="00FC64D4" w:rsidRPr="00992A0D" w:rsidRDefault="00FC64D4" w:rsidP="00FC64D4">
      <w:pPr>
        <w:tabs>
          <w:tab w:val="left" w:pos="709"/>
        </w:tabs>
        <w:spacing w:line="240" w:lineRule="auto"/>
        <w:ind w:left="567" w:right="567"/>
        <w:rPr>
          <w:rFonts w:cs="Arial"/>
          <w:b/>
          <w:i/>
          <w:sz w:val="22"/>
          <w:u w:val="single"/>
        </w:rPr>
      </w:pPr>
    </w:p>
    <w:p w14:paraId="34778485" w14:textId="77777777" w:rsidR="00FC64D4" w:rsidRPr="00992A0D" w:rsidRDefault="00FC64D4" w:rsidP="00FC64D4">
      <w:pPr>
        <w:tabs>
          <w:tab w:val="left" w:pos="709"/>
        </w:tabs>
        <w:spacing w:line="240" w:lineRule="auto"/>
        <w:ind w:left="567" w:right="567"/>
        <w:rPr>
          <w:rFonts w:cs="Arial"/>
          <w:i/>
          <w:sz w:val="22"/>
        </w:rPr>
      </w:pPr>
      <w:r w:rsidRPr="00992A0D">
        <w:rPr>
          <w:rFonts w:cs="Arial"/>
          <w:b/>
          <w:i/>
          <w:sz w:val="22"/>
          <w:u w:val="single"/>
        </w:rPr>
        <w:t>En cualquier caso, se deberá fundar y motivar la necesidad de ofrecer otras modalidades.</w:t>
      </w:r>
    </w:p>
    <w:p w14:paraId="6823A048" w14:textId="77777777" w:rsidR="00FC64D4" w:rsidRPr="00992A0D" w:rsidRDefault="00FC64D4" w:rsidP="00FC64D4">
      <w:pPr>
        <w:contextualSpacing/>
        <w:rPr>
          <w:szCs w:val="24"/>
        </w:rPr>
      </w:pPr>
    </w:p>
    <w:p w14:paraId="39C8CC50" w14:textId="77777777" w:rsidR="00FC64D4" w:rsidRDefault="00FC64D4" w:rsidP="00FC64D4">
      <w:pPr>
        <w:pStyle w:val="NormalINFOEM"/>
      </w:pPr>
      <w:r w:rsidRPr="004F7B93">
        <w:t xml:space="preserve">Asimismo, se dejó de observar lo dispuesto </w:t>
      </w:r>
      <w:r>
        <w:t xml:space="preserve">en </w:t>
      </w:r>
      <w:r w:rsidRPr="004F7B93">
        <w:t xml:space="preserve">los numerales Vigésimo Cuarto, Vigésimo Quinto y Vigésimo Sexto de los Lineamientos para la operación del Sistema de Acceso a la </w:t>
      </w:r>
      <w:r w:rsidRPr="004F7B93">
        <w:lastRenderedPageBreak/>
        <w:t>Información Mexiquense (SAIMEX) y del Sistema de Acceso, Rectificación, Cancelación y Oposición de Datos Personales del Estado de México (SARCOEM).</w:t>
      </w:r>
    </w:p>
    <w:p w14:paraId="6752F0F4" w14:textId="77777777" w:rsidR="00FC64D4" w:rsidRPr="004F7B93" w:rsidRDefault="00FC64D4" w:rsidP="00FC64D4">
      <w:pPr>
        <w:pStyle w:val="NormalINFOEM"/>
      </w:pPr>
    </w:p>
    <w:p w14:paraId="73F29CF3" w14:textId="2CF0F98A" w:rsidR="00FC64D4" w:rsidRPr="00992A0D" w:rsidRDefault="00FC64D4" w:rsidP="00FC64D4">
      <w:pPr>
        <w:contextualSpacing/>
        <w:rPr>
          <w:b/>
          <w:szCs w:val="24"/>
        </w:rPr>
      </w:pPr>
      <w:r>
        <w:rPr>
          <w:szCs w:val="24"/>
        </w:rPr>
        <w:t>Así, se tiene q</w:t>
      </w:r>
      <w:r w:rsidR="00C05895">
        <w:rPr>
          <w:szCs w:val="24"/>
        </w:rPr>
        <w:t>ue la Ley de Transparencia estatal</w:t>
      </w:r>
      <w:r w:rsidRPr="00992A0D">
        <w:rPr>
          <w:szCs w:val="24"/>
        </w:rPr>
        <w:t xml:space="preserve"> busca privilegiar la entrega de la información solicitada en la modalidad </w:t>
      </w:r>
      <w:r>
        <w:rPr>
          <w:szCs w:val="24"/>
        </w:rPr>
        <w:t>requerida por el particular; en ese sentido,</w:t>
      </w:r>
      <w:r w:rsidRPr="00992A0D">
        <w:rPr>
          <w:szCs w:val="24"/>
        </w:rPr>
        <w:t xml:space="preserve">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3D7C0E17" w14:textId="77777777" w:rsidR="00FC64D4" w:rsidRPr="00FC64D4" w:rsidRDefault="00FC64D4" w:rsidP="00FC64D4">
      <w:pPr>
        <w:pStyle w:val="NormalINFOEM"/>
        <w:rPr>
          <w:szCs w:val="24"/>
        </w:rPr>
      </w:pPr>
    </w:p>
    <w:p w14:paraId="5B354CEA" w14:textId="77777777" w:rsidR="00FC64D4" w:rsidRPr="00FC64D4" w:rsidRDefault="00FC64D4" w:rsidP="00FC64D4">
      <w:pPr>
        <w:contextualSpacing/>
        <w:rPr>
          <w:szCs w:val="24"/>
        </w:rPr>
      </w:pPr>
      <w:r w:rsidRPr="00FC64D4">
        <w:rPr>
          <w:szCs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26D48E91" w14:textId="77777777" w:rsidR="00FC64D4" w:rsidRPr="00FC64D4" w:rsidRDefault="00FC64D4" w:rsidP="00FC64D4">
      <w:pPr>
        <w:contextualSpacing/>
        <w:rPr>
          <w:szCs w:val="24"/>
        </w:rPr>
      </w:pPr>
    </w:p>
    <w:p w14:paraId="436E172F" w14:textId="286DBA0E" w:rsidR="00FC64D4" w:rsidRPr="00FC64D4" w:rsidRDefault="00FC64D4" w:rsidP="00FC64D4">
      <w:pPr>
        <w:contextualSpacing/>
        <w:rPr>
          <w:rFonts w:cs="Arial"/>
          <w:color w:val="222222"/>
          <w:szCs w:val="24"/>
        </w:rPr>
      </w:pPr>
      <w:r w:rsidRPr="00FC64D4">
        <w:rPr>
          <w:rFonts w:cs="Arial"/>
          <w:color w:val="222222"/>
          <w:szCs w:val="24"/>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FC64D4">
        <w:rPr>
          <w:rFonts w:cs="Arial"/>
          <w:i/>
          <w:color w:val="222222"/>
          <w:szCs w:val="24"/>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FC64D4">
        <w:rPr>
          <w:rFonts w:cs="Arial"/>
          <w:i/>
          <w:color w:val="222222"/>
          <w:szCs w:val="24"/>
        </w:rPr>
        <w:lastRenderedPageBreak/>
        <w:t>hechos son ciertos, normalmente a partir del análisis de las pruebas, lo cual se debe exteriorizar en una argumentación o juicio de hecho...»</w:t>
      </w:r>
    </w:p>
    <w:p w14:paraId="717C3CFD" w14:textId="77777777" w:rsidR="00FC64D4" w:rsidRPr="00FC64D4" w:rsidRDefault="00FC64D4" w:rsidP="00FC64D4">
      <w:pPr>
        <w:contextualSpacing/>
        <w:rPr>
          <w:rFonts w:cs="Arial"/>
          <w:color w:val="222222"/>
          <w:szCs w:val="24"/>
        </w:rPr>
      </w:pPr>
    </w:p>
    <w:p w14:paraId="463CAAB9" w14:textId="3ABCB7E1" w:rsidR="00FC64D4" w:rsidRPr="00992A0D" w:rsidRDefault="00FC64D4" w:rsidP="00FC64D4">
      <w:pPr>
        <w:contextualSpacing/>
        <w:rPr>
          <w:rFonts w:cs="Arial"/>
          <w:color w:val="222222"/>
          <w:szCs w:val="24"/>
        </w:rPr>
      </w:pPr>
      <w:r>
        <w:rPr>
          <w:rFonts w:cs="Arial"/>
          <w:color w:val="222222"/>
          <w:szCs w:val="24"/>
        </w:rPr>
        <w:t>Por su parte, la Suprema Corte de Justicia emitió</w:t>
      </w:r>
      <w:r w:rsidRPr="00992A0D">
        <w:rPr>
          <w:rFonts w:cs="Arial"/>
          <w:color w:val="222222"/>
          <w:szCs w:val="24"/>
        </w:rPr>
        <w:t xml:space="preserve"> </w:t>
      </w:r>
      <w:r w:rsidR="00C05895">
        <w:rPr>
          <w:rFonts w:cs="Arial"/>
          <w:color w:val="222222"/>
          <w:szCs w:val="24"/>
        </w:rPr>
        <w:t xml:space="preserve">la </w:t>
      </w:r>
      <w:r w:rsidRPr="00992A0D">
        <w:rPr>
          <w:rFonts w:cs="Arial"/>
          <w:color w:val="222222"/>
          <w:szCs w:val="24"/>
        </w:rPr>
        <w:t>jurisprudencia</w:t>
      </w:r>
      <w:r>
        <w:rPr>
          <w:rFonts w:cs="Arial"/>
          <w:color w:val="222222"/>
          <w:szCs w:val="24"/>
        </w:rPr>
        <w:t xml:space="preserve"> con registro digital 203143</w:t>
      </w:r>
      <w:r w:rsidRPr="00992A0D">
        <w:rPr>
          <w:rFonts w:ascii="Calibri" w:hAnsi="Calibri"/>
          <w:szCs w:val="24"/>
          <w:vertAlign w:val="superscript"/>
        </w:rPr>
        <w:footnoteReference w:id="3"/>
      </w:r>
      <w:r w:rsidRPr="00992A0D">
        <w:rPr>
          <w:rFonts w:cs="Arial"/>
          <w:color w:val="222222"/>
          <w:szCs w:val="24"/>
        </w:rPr>
        <w:t xml:space="preserve"> </w:t>
      </w:r>
      <w:r>
        <w:rPr>
          <w:rFonts w:cs="Arial"/>
          <w:color w:val="222222"/>
          <w:szCs w:val="24"/>
        </w:rPr>
        <w:t xml:space="preserve">en la que se establece </w:t>
      </w:r>
      <w:r w:rsidRPr="00992A0D">
        <w:rPr>
          <w:rFonts w:cs="Arial"/>
          <w:color w:val="222222"/>
          <w:szCs w:val="24"/>
        </w:rPr>
        <w:t xml:space="preserve">qué debe entenderse por fundamentación y motivación, en </w:t>
      </w:r>
      <w:r w:rsidR="00C05895">
        <w:rPr>
          <w:rFonts w:cs="Arial"/>
          <w:color w:val="222222"/>
          <w:szCs w:val="24"/>
        </w:rPr>
        <w:t>la que estipula lo siguiente</w:t>
      </w:r>
      <w:r w:rsidRPr="00992A0D">
        <w:rPr>
          <w:rFonts w:cs="Arial"/>
          <w:color w:val="222222"/>
          <w:szCs w:val="24"/>
        </w:rPr>
        <w:t>:</w:t>
      </w:r>
    </w:p>
    <w:p w14:paraId="206E5BF1" w14:textId="77777777" w:rsidR="00FC64D4" w:rsidRPr="00992A0D" w:rsidRDefault="00FC64D4" w:rsidP="00FC64D4">
      <w:pPr>
        <w:jc w:val="left"/>
        <w:rPr>
          <w:szCs w:val="24"/>
        </w:rPr>
      </w:pPr>
    </w:p>
    <w:p w14:paraId="204A88F2" w14:textId="77777777" w:rsidR="00C05895" w:rsidRDefault="00FC64D4" w:rsidP="00FC64D4">
      <w:pPr>
        <w:spacing w:line="240" w:lineRule="auto"/>
        <w:ind w:left="851" w:right="618"/>
        <w:contextualSpacing/>
        <w:rPr>
          <w:rFonts w:cs="Arial"/>
          <w:i/>
          <w:color w:val="000000"/>
          <w:sz w:val="22"/>
        </w:rPr>
      </w:pPr>
      <w:r w:rsidRPr="00992A0D">
        <w:rPr>
          <w:rFonts w:cs="Arial"/>
          <w:b/>
          <w:i/>
          <w:color w:val="000000"/>
          <w:sz w:val="22"/>
        </w:rPr>
        <w:t>FUNDAMENTACIÓN Y MOTIVACIÓN.</w:t>
      </w:r>
      <w:r w:rsidRPr="00992A0D">
        <w:rPr>
          <w:rFonts w:cs="Arial"/>
          <w:i/>
          <w:color w:val="000000"/>
          <w:sz w:val="22"/>
        </w:rPr>
        <w:t xml:space="preserve"> </w:t>
      </w:r>
    </w:p>
    <w:p w14:paraId="44C9F322" w14:textId="6674635C" w:rsidR="00FC64D4" w:rsidRPr="00992A0D" w:rsidRDefault="00FC64D4" w:rsidP="152A5253">
      <w:pPr>
        <w:spacing w:line="240" w:lineRule="auto"/>
        <w:ind w:left="851" w:right="618"/>
        <w:contextualSpacing/>
        <w:rPr>
          <w:rFonts w:cs="Arial"/>
          <w:i/>
          <w:iCs/>
          <w:color w:val="000000"/>
          <w:sz w:val="22"/>
          <w:lang w:val="es-ES"/>
        </w:rPr>
      </w:pPr>
      <w:r w:rsidRPr="152A5253">
        <w:rPr>
          <w:rFonts w:cs="Arial"/>
          <w:i/>
          <w:iCs/>
          <w:color w:val="000000" w:themeColor="text1"/>
          <w:sz w:val="22"/>
          <w:lang w:val="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813D3D" w14:textId="77777777" w:rsidR="00FC64D4" w:rsidRPr="00992A0D" w:rsidRDefault="00FC64D4" w:rsidP="00FC64D4">
      <w:pPr>
        <w:ind w:right="618"/>
        <w:contextualSpacing/>
        <w:rPr>
          <w:rFonts w:cs="Arial"/>
          <w:color w:val="000000"/>
          <w:szCs w:val="24"/>
        </w:rPr>
      </w:pPr>
    </w:p>
    <w:p w14:paraId="0317177E" w14:textId="77777777" w:rsidR="00FC64D4" w:rsidRPr="00992A0D" w:rsidRDefault="00FC64D4" w:rsidP="00FC64D4">
      <w:pPr>
        <w:contextualSpacing/>
        <w:rPr>
          <w:rFonts w:cs="Arial"/>
          <w:color w:val="222222"/>
          <w:szCs w:val="24"/>
        </w:rPr>
      </w:pPr>
      <w:r w:rsidRPr="00992A0D">
        <w:rPr>
          <w:rFonts w:cs="Arial"/>
          <w:color w:val="222222"/>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7ECF772" w14:textId="77777777" w:rsidR="00FC64D4" w:rsidRPr="00992A0D" w:rsidRDefault="00FC64D4" w:rsidP="00FC64D4">
      <w:pPr>
        <w:contextualSpacing/>
        <w:rPr>
          <w:rFonts w:cs="Arial"/>
          <w:color w:val="222222"/>
          <w:szCs w:val="24"/>
        </w:rPr>
      </w:pPr>
    </w:p>
    <w:p w14:paraId="48DD8C82" w14:textId="77777777" w:rsidR="00FC64D4" w:rsidRPr="00992A0D" w:rsidRDefault="00FC64D4" w:rsidP="00FC64D4">
      <w:pPr>
        <w:contextualSpacing/>
        <w:rPr>
          <w:rFonts w:cs="Arial"/>
          <w:color w:val="222222"/>
          <w:szCs w:val="24"/>
        </w:rPr>
      </w:pPr>
      <w:r w:rsidRPr="00992A0D">
        <w:rPr>
          <w:rFonts w:cs="Arial"/>
          <w:color w:val="222222"/>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DC20D2D" w14:textId="77777777" w:rsidR="00CE6A88" w:rsidRDefault="00CE6A88" w:rsidP="00CE6A88">
      <w:pPr>
        <w:rPr>
          <w:noProof/>
          <w:lang w:val="es-MX"/>
        </w:rPr>
      </w:pPr>
    </w:p>
    <w:p w14:paraId="5ECE5A37" w14:textId="58BF31D9" w:rsidR="00C05895" w:rsidRPr="00992A0D" w:rsidRDefault="00C05895" w:rsidP="00C05895">
      <w:pPr>
        <w:rPr>
          <w:i/>
          <w:szCs w:val="24"/>
        </w:rPr>
      </w:pPr>
      <w:r w:rsidRPr="00992A0D">
        <w:rPr>
          <w:szCs w:val="24"/>
        </w:rPr>
        <w:lastRenderedPageBreak/>
        <w:t>En vista de las consideraciones señaladas, se advierte que el Sujeto Obligado, no justifica en ningún momento de forma fundada y motiva</w:t>
      </w:r>
      <w:r w:rsidR="00643AF0">
        <w:rPr>
          <w:szCs w:val="24"/>
        </w:rPr>
        <w:t>da</w:t>
      </w:r>
      <w:r w:rsidRPr="00992A0D">
        <w:rPr>
          <w:szCs w:val="24"/>
        </w:rPr>
        <w:t xml:space="preserve"> su cambio de modalidad</w:t>
      </w:r>
      <w:r>
        <w:rPr>
          <w:szCs w:val="24"/>
        </w:rPr>
        <w:t xml:space="preserve"> de entrega de la información.</w:t>
      </w:r>
      <w:r w:rsidRPr="00992A0D">
        <w:rPr>
          <w:szCs w:val="24"/>
        </w:rPr>
        <w:t xml:space="preserve"> </w:t>
      </w:r>
    </w:p>
    <w:p w14:paraId="2D67E6BE" w14:textId="77777777" w:rsidR="00C05895" w:rsidRDefault="00C05895" w:rsidP="00C05895"/>
    <w:p w14:paraId="060BDD0C" w14:textId="77777777" w:rsidR="00C05895" w:rsidRPr="00992A0D" w:rsidRDefault="00C05895" w:rsidP="00C05895">
      <w:r>
        <w:t>No se omite resaltar que l</w:t>
      </w:r>
      <w:r w:rsidRPr="00992A0D">
        <w:t xml:space="preserve">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02BB68E" w14:textId="77777777" w:rsidR="00C05895" w:rsidRPr="00992A0D" w:rsidRDefault="00C05895" w:rsidP="00C05895"/>
    <w:p w14:paraId="78072AF7" w14:textId="77777777" w:rsidR="00C05895" w:rsidRPr="00992A0D" w:rsidRDefault="00C05895" w:rsidP="00C05895">
      <w:r w:rsidRPr="00992A0D">
        <w:t xml:space="preserve">Ahora bien, la ley de la materia señala en su artículo 158, los casos en que de manera excepcional se puede proceder al cambio de modalidad: </w:t>
      </w:r>
    </w:p>
    <w:p w14:paraId="46084D93" w14:textId="77777777" w:rsidR="00C05895" w:rsidRPr="00992A0D" w:rsidRDefault="00C05895" w:rsidP="00C05895"/>
    <w:p w14:paraId="4794E661" w14:textId="77777777" w:rsidR="00C05895" w:rsidRPr="00992A0D" w:rsidRDefault="00C05895" w:rsidP="00C05895">
      <w:pPr>
        <w:pStyle w:val="Fundamentos"/>
      </w:pPr>
      <w:r w:rsidRPr="00775C90">
        <w:rPr>
          <w:b/>
        </w:rPr>
        <w:t>Artículo 158.</w:t>
      </w:r>
      <w:r w:rsidRPr="00992A0D">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3656F93F" w14:textId="77777777" w:rsidR="00C05895" w:rsidRPr="00992A0D" w:rsidRDefault="00C05895" w:rsidP="00C05895"/>
    <w:p w14:paraId="41A4AFD7" w14:textId="1B23848F" w:rsidR="00C05895" w:rsidRPr="00992A0D" w:rsidRDefault="00C05895" w:rsidP="00C05895">
      <w:r w:rsidRPr="00992A0D">
        <w:t>En todo caso, se facilitará su copia simple o certificada, así como su reproducción por cualquier medio disponible en las instalaciones del sujeto obligado o que, en su caso, aporte el solicitante.</w:t>
      </w:r>
      <w:r>
        <w:t xml:space="preserve"> </w:t>
      </w:r>
      <w:r w:rsidRPr="00992A0D">
        <w:t>Sobre lo anterior, es de señala</w:t>
      </w:r>
      <w:r>
        <w:t>r que el Instituto Nacional de Transparencia, Acceso a la Información y Protección de Datos Personales (INAI), mediante diversas resoluciones de los r</w:t>
      </w:r>
      <w:r w:rsidRPr="00992A0D">
        <w:t xml:space="preserve">ecursos de </w:t>
      </w:r>
      <w:r>
        <w:t>i</w:t>
      </w:r>
      <w:r w:rsidRPr="00992A0D">
        <w:t xml:space="preserve">nconformidad, entre las cuales se encuentran el RIA 136/20, RIA 140/20, RIA 153/20 RIA 237/20, RIA 257/20, RIA 258/20, entre otros, ha considerado que </w:t>
      </w:r>
      <w:r w:rsidRPr="00992A0D">
        <w:lastRenderedPageBreak/>
        <w:t>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w:t>
      </w:r>
    </w:p>
    <w:p w14:paraId="65FAAFA8" w14:textId="77777777" w:rsidR="00C05895" w:rsidRDefault="00C05895" w:rsidP="00C05895"/>
    <w:p w14:paraId="1D1C3D6C" w14:textId="123F7649" w:rsidR="00643AF0" w:rsidRDefault="00643AF0" w:rsidP="00C05895">
      <w:r>
        <w:t xml:space="preserve">En congruencia con lo anterior, tampoco resulta procedente impedir que el solicitante acuda a las instalaciones con algún dispositivo </w:t>
      </w:r>
      <w:r w:rsidR="00EC5AC9">
        <w:t>de almacenamiento como CD, USB, DVD o disco duro, puesto que dichos medios están previstos como una modalidad de entrega alterna a la consulta directa.</w:t>
      </w:r>
    </w:p>
    <w:p w14:paraId="78EACE4F" w14:textId="77777777" w:rsidR="00643AF0" w:rsidRPr="00992A0D" w:rsidRDefault="00643AF0" w:rsidP="00C05895"/>
    <w:p w14:paraId="5D31B717" w14:textId="77777777" w:rsidR="00C05895" w:rsidRPr="00992A0D" w:rsidRDefault="00C05895" w:rsidP="00C05895">
      <w:r w:rsidRPr="00992A0D">
        <w:t xml:space="preserve">De lo anterior, se desprende que, el Sujeto Obligado no procedió al cambio de modalidad de manera fundada y motivada, y además que el cambio de vía </w:t>
      </w:r>
      <w:r>
        <w:t xml:space="preserve">propuesto por la autoridad </w:t>
      </w:r>
      <w:r w:rsidRPr="00992A0D">
        <w:t>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p>
    <w:p w14:paraId="5749DF3F" w14:textId="77777777" w:rsidR="00C05895" w:rsidRDefault="00C05895" w:rsidP="00C05895">
      <w:pPr>
        <w:pBdr>
          <w:top w:val="nil"/>
          <w:left w:val="nil"/>
          <w:bottom w:val="nil"/>
          <w:right w:val="nil"/>
          <w:between w:val="nil"/>
        </w:pBdr>
        <w:contextualSpacing/>
        <w:rPr>
          <w:rFonts w:eastAsia="Palatino Linotype" w:cs="Palatino Linotype"/>
          <w:color w:val="000000"/>
          <w:szCs w:val="24"/>
        </w:rPr>
      </w:pPr>
    </w:p>
    <w:p w14:paraId="48065152" w14:textId="6D4283A9" w:rsidR="00C05895" w:rsidRPr="00992A0D" w:rsidRDefault="00C05895" w:rsidP="00C05895">
      <w:r w:rsidRPr="00992A0D">
        <w:t>Po</w:t>
      </w:r>
      <w:r>
        <w:t>r tal razón, este Instituto</w:t>
      </w:r>
      <w:r w:rsidRPr="00992A0D">
        <w:t xml:space="preserve"> en uso de las facultades que la propia legislación le otorga deberá ordenar la entrega de la información solicitada, dada la aceptación del Sujeto Obligado de generar, poseer o administrarla, es decir, de tener conocimiento de lo requerido. </w:t>
      </w:r>
    </w:p>
    <w:p w14:paraId="4880651E" w14:textId="77777777" w:rsidR="00CE6A88" w:rsidRDefault="00CE6A88" w:rsidP="00CE6A88">
      <w:pPr>
        <w:rPr>
          <w:noProof/>
          <w:lang w:val="es-MX"/>
        </w:rPr>
      </w:pPr>
    </w:p>
    <w:p w14:paraId="3CF3EF88" w14:textId="77777777" w:rsidR="007C2764" w:rsidRPr="0044449B" w:rsidRDefault="007C2764" w:rsidP="007C2764">
      <w:pPr>
        <w:contextualSpacing/>
        <w:rPr>
          <w:rFonts w:eastAsia="Palatino Linotype" w:cs="Palatino Linotype"/>
          <w:color w:val="000000"/>
        </w:rPr>
      </w:pPr>
      <w:r>
        <w:rPr>
          <w:noProof/>
          <w:lang w:val="es-MX"/>
        </w:rPr>
        <w:t xml:space="preserve">En este punto, se debe recordar que la intención del Recurrente es que se le haga entrega de una relación o listado de los proveedores con los que se realizó un procedimiento de adquisición, en el que se incluya su documentaicón técnica y legal y los requisitos para participar en los procedimientos de adquisición; empero, es conveniente referir lo dispuesto en los artículos </w:t>
      </w:r>
      <w:r w:rsidRPr="0044449B">
        <w:rPr>
          <w:rFonts w:eastAsia="Palatino Linotype" w:cs="Palatino Linotype"/>
          <w:color w:val="000000"/>
        </w:rPr>
        <w:t>4, 12 y 24 último párrafo de la Ley de Transparencia local, en los que se dispone lo siguiente:</w:t>
      </w:r>
    </w:p>
    <w:p w14:paraId="75390F4B" w14:textId="77777777" w:rsidR="007C2764" w:rsidRPr="0044449B" w:rsidRDefault="007C2764" w:rsidP="007C2764">
      <w:pPr>
        <w:contextualSpacing/>
        <w:rPr>
          <w:rFonts w:eastAsia="Palatino Linotype" w:cs="Palatino Linotype"/>
          <w:color w:val="000000"/>
        </w:rPr>
      </w:pPr>
    </w:p>
    <w:p w14:paraId="290C96C0"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630009CE"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3851DAC"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D0104B"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E1204"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4FD61E8F"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45F3E92"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4F05316"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2B049FD" w14:textId="77777777" w:rsidR="007C2764" w:rsidRPr="0044449B" w:rsidRDefault="007C2764" w:rsidP="152A525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152A5253">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152A5253">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40131DF7"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8716945"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71E0530E"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5DF3BDE" w14:textId="77777777" w:rsidR="007C2764" w:rsidRPr="0044449B" w:rsidRDefault="007C2764" w:rsidP="007C276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20089030" w14:textId="77777777" w:rsidR="007C2764" w:rsidRPr="0044449B" w:rsidRDefault="007C2764" w:rsidP="007C2764">
      <w:pPr>
        <w:contextualSpacing/>
        <w:rPr>
          <w:rFonts w:eastAsia="Palatino Linotype" w:cs="Palatino Linotype"/>
          <w:color w:val="000000"/>
        </w:rPr>
      </w:pPr>
    </w:p>
    <w:p w14:paraId="0390416E" w14:textId="77777777" w:rsidR="007C2764" w:rsidRPr="0044449B" w:rsidRDefault="007C2764" w:rsidP="007C2764">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502AD115" w14:textId="77777777" w:rsidR="007C2764" w:rsidRPr="0044449B" w:rsidRDefault="007C2764" w:rsidP="007C2764">
      <w:pPr>
        <w:contextualSpacing/>
        <w:rPr>
          <w:rFonts w:eastAsia="Palatino Linotype" w:cs="Palatino Linotype"/>
          <w:color w:val="000000"/>
        </w:rPr>
      </w:pPr>
    </w:p>
    <w:p w14:paraId="15A3EE58" w14:textId="77777777" w:rsidR="007C2764" w:rsidRPr="0044449B" w:rsidRDefault="007C2764" w:rsidP="007C2764">
      <w:pPr>
        <w:rPr>
          <w:rFonts w:cs="Times New Roman"/>
        </w:rPr>
      </w:pPr>
      <w:r>
        <w:rPr>
          <w:rFonts w:eastAsia="Palatino Linotype" w:cs="Palatino Linotype"/>
          <w:color w:val="000000"/>
        </w:rPr>
        <w:t xml:space="preserve">Asimismo, es de resaltar </w:t>
      </w:r>
      <w:r w:rsidRPr="0044449B">
        <w:rPr>
          <w:rFonts w:eastAsia="Palatino Linotype" w:cs="Palatino Linotype"/>
          <w:color w:val="000000"/>
        </w:rPr>
        <w:t xml:space="preserve">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4CFB6608" w14:textId="77777777" w:rsidR="007C2764" w:rsidRPr="0044449B" w:rsidRDefault="007C2764" w:rsidP="007C2764">
      <w:pPr>
        <w:rPr>
          <w:rFonts w:cs="Times New Roman"/>
        </w:rPr>
      </w:pPr>
    </w:p>
    <w:p w14:paraId="6386265B" w14:textId="77777777" w:rsidR="007C2764" w:rsidRPr="0044449B" w:rsidRDefault="007C2764" w:rsidP="007C2764">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2C7A6F04" w14:textId="77777777" w:rsidR="007C2764" w:rsidRPr="0044449B" w:rsidRDefault="007C2764" w:rsidP="007C2764">
      <w:pPr>
        <w:rPr>
          <w:rFonts w:cs="Times New Roman"/>
        </w:rPr>
      </w:pPr>
    </w:p>
    <w:p w14:paraId="6390E475" w14:textId="0C8CF170" w:rsidR="007C2764" w:rsidRDefault="007C2764" w:rsidP="00CE6A88">
      <w:pPr>
        <w:rPr>
          <w:noProof/>
          <w:lang w:val="es-MX"/>
        </w:rPr>
      </w:pPr>
      <w:r>
        <w:rPr>
          <w:noProof/>
          <w:lang w:val="es-MX"/>
        </w:rPr>
        <w:lastRenderedPageBreak/>
        <w:t>Así, se tiene que no existe fuente obligacional que constriña al Sujeto Obligado a hacer entrega de un listado que cumpla con las condiciones referidas por el hoy Recurrente, sino que deberá</w:t>
      </w:r>
      <w:r w:rsidR="0096079A">
        <w:rPr>
          <w:noProof/>
          <w:lang w:val="es-MX"/>
        </w:rPr>
        <w:t xml:space="preserve"> hacer entrega de los documento en los que conste la información solicitada</w:t>
      </w:r>
      <w:r>
        <w:rPr>
          <w:noProof/>
          <w:lang w:val="es-MX"/>
        </w:rPr>
        <w:t>, en el formato en el que haya sido generado y al mayor grado de desagregación posible.</w:t>
      </w:r>
    </w:p>
    <w:p w14:paraId="48995237" w14:textId="77777777" w:rsidR="007C2764" w:rsidRDefault="007C2764" w:rsidP="00CE6A88">
      <w:pPr>
        <w:rPr>
          <w:noProof/>
          <w:lang w:val="es-MX"/>
        </w:rPr>
      </w:pPr>
    </w:p>
    <w:p w14:paraId="395442DF" w14:textId="08A33C05" w:rsidR="000004A6" w:rsidRDefault="000004A6" w:rsidP="286123FA">
      <w:pPr>
        <w:pBdr>
          <w:top w:val="nil"/>
          <w:left w:val="nil"/>
          <w:bottom w:val="nil"/>
          <w:right w:val="nil"/>
          <w:between w:val="nil"/>
        </w:pBdr>
        <w:contextualSpacing/>
      </w:pPr>
      <w:r w:rsidRPr="286123FA">
        <w:rPr>
          <w:rFonts w:eastAsia="Palatino Linotype" w:cs="Palatino Linotype"/>
          <w:color w:val="000000" w:themeColor="text1"/>
          <w:lang w:val="es-ES"/>
        </w:rPr>
        <w:t>Por lo señalado anteriormente, este Órgano Garante estima que las razones o motivos de inconformidad planteados en el recurso de revisión devienen fundados, por lo que es procedente revocar la respuesta proporcionada a la solicitud de información que es materia de esta resolución y ordenar la entrega</w:t>
      </w:r>
      <w:r w:rsidRPr="286123FA">
        <w:rPr>
          <w:lang w:val="es-ES"/>
        </w:rPr>
        <w:t>vía SAIMEX y en versión pública</w:t>
      </w:r>
      <w:r w:rsidR="0096079A" w:rsidRPr="286123FA">
        <w:rPr>
          <w:lang w:val="es-ES"/>
        </w:rPr>
        <w:t xml:space="preserve"> de ser procedente</w:t>
      </w:r>
      <w:r w:rsidR="00EC5AC9" w:rsidRPr="286123FA">
        <w:rPr>
          <w:lang w:val="es-ES"/>
        </w:rPr>
        <w:t xml:space="preserve">, de los documentos en los que </w:t>
      </w:r>
      <w:r w:rsidR="0096079A" w:rsidRPr="286123FA">
        <w:rPr>
          <w:lang w:val="es-ES"/>
        </w:rPr>
        <w:t>en los que consten los nombres de los proveedores con los que se ha realizado algún procedimiento de adquisición durante el periodo del primero de enero al trece de mayo de dos mil veinticinco, la información legal y técnica del proveedor y los requisitos para participar en el procedimiento de adquisición correspondiente</w:t>
      </w:r>
      <w:r w:rsidR="00E86B73" w:rsidRPr="286123FA">
        <w:rPr>
          <w:lang w:val="es-ES"/>
        </w:rPr>
        <w:t>.</w:t>
      </w:r>
    </w:p>
    <w:p w14:paraId="4BC9BDE1" w14:textId="77777777" w:rsidR="00F23094" w:rsidRDefault="00F23094" w:rsidP="000004A6">
      <w:pPr>
        <w:pBdr>
          <w:top w:val="nil"/>
          <w:left w:val="nil"/>
          <w:bottom w:val="nil"/>
          <w:right w:val="nil"/>
          <w:between w:val="nil"/>
        </w:pBdr>
        <w:contextualSpacing/>
      </w:pPr>
    </w:p>
    <w:p w14:paraId="26B3855C" w14:textId="77777777" w:rsidR="00F23094" w:rsidRPr="008F3C6D" w:rsidRDefault="00F23094" w:rsidP="00F23094">
      <w:pPr>
        <w:pStyle w:val="Ttulo3"/>
        <w:rPr>
          <w:rFonts w:eastAsia="Times New Roman"/>
        </w:rPr>
      </w:pPr>
      <w:r w:rsidRPr="008F3C6D">
        <w:rPr>
          <w:rFonts w:eastAsia="Times New Roman"/>
        </w:rPr>
        <w:t>DE LA VERSIÓN PÚBLICA</w:t>
      </w:r>
    </w:p>
    <w:p w14:paraId="18280047" w14:textId="77777777" w:rsidR="008403D5" w:rsidRPr="006B1A55" w:rsidRDefault="008403D5" w:rsidP="008403D5">
      <w:pPr>
        <w:rPr>
          <w:rFonts w:eastAsia="Palatino Linotype" w:cs="Palatino Linotype"/>
          <w:szCs w:val="24"/>
        </w:rPr>
      </w:pPr>
      <w:r w:rsidRPr="006B1A55">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519F63EE" w14:textId="77777777" w:rsidR="008403D5" w:rsidRPr="006B1A55" w:rsidRDefault="008403D5" w:rsidP="008403D5">
      <w:pPr>
        <w:rPr>
          <w:rFonts w:eastAsia="Palatino Linotype" w:cs="Palatino Linotype"/>
          <w:szCs w:val="24"/>
        </w:rPr>
      </w:pPr>
    </w:p>
    <w:p w14:paraId="6AC98DE1"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Artículo 3.</w:t>
      </w:r>
      <w:r w:rsidRPr="006B1A55">
        <w:rPr>
          <w:rFonts w:eastAsia="Palatino Linotype" w:cs="Palatino Linotype"/>
          <w:i/>
          <w:color w:val="000000"/>
          <w:sz w:val="22"/>
          <w:szCs w:val="24"/>
        </w:rPr>
        <w:t xml:space="preserve"> Para los efectos de la presente Ley se entenderá por:</w:t>
      </w:r>
    </w:p>
    <w:p w14:paraId="5154EA92"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t>[…]</w:t>
      </w:r>
    </w:p>
    <w:p w14:paraId="41B7CA37"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IX. Datos personales:</w:t>
      </w:r>
      <w:r w:rsidRPr="006B1A55">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2D57E64"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XX.</w:t>
      </w:r>
      <w:r w:rsidRPr="006B1A55">
        <w:rPr>
          <w:rFonts w:eastAsia="Palatino Linotype" w:cs="Palatino Linotype"/>
          <w:i/>
          <w:color w:val="000000"/>
          <w:sz w:val="22"/>
          <w:szCs w:val="24"/>
        </w:rPr>
        <w:t xml:space="preserve"> </w:t>
      </w:r>
      <w:r w:rsidRPr="006B1A55">
        <w:rPr>
          <w:rFonts w:eastAsia="Palatino Linotype" w:cs="Palatino Linotype"/>
          <w:b/>
          <w:i/>
          <w:color w:val="000000"/>
          <w:sz w:val="22"/>
          <w:szCs w:val="24"/>
        </w:rPr>
        <w:t>Información clasificada:</w:t>
      </w:r>
      <w:r w:rsidRPr="006B1A55">
        <w:rPr>
          <w:rFonts w:eastAsia="Palatino Linotype" w:cs="Palatino Linotype"/>
          <w:i/>
          <w:color w:val="000000"/>
          <w:sz w:val="22"/>
          <w:szCs w:val="24"/>
        </w:rPr>
        <w:t xml:space="preserve"> Aquella considerada por la presente Ley como reservada o confidencial;</w:t>
      </w:r>
    </w:p>
    <w:p w14:paraId="135E9713"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lastRenderedPageBreak/>
        <w:t>XXI.</w:t>
      </w:r>
      <w:r w:rsidRPr="006B1A55">
        <w:rPr>
          <w:rFonts w:eastAsia="Palatino Linotype" w:cs="Palatino Linotype"/>
          <w:i/>
          <w:color w:val="000000"/>
          <w:sz w:val="22"/>
          <w:szCs w:val="24"/>
        </w:rPr>
        <w:t xml:space="preserve"> </w:t>
      </w:r>
      <w:r w:rsidRPr="006B1A55">
        <w:rPr>
          <w:rFonts w:eastAsia="Palatino Linotype" w:cs="Palatino Linotype"/>
          <w:b/>
          <w:i/>
          <w:color w:val="000000"/>
          <w:sz w:val="22"/>
          <w:szCs w:val="24"/>
        </w:rPr>
        <w:t>Información confidencial:</w:t>
      </w:r>
      <w:r w:rsidRPr="006B1A55">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ED67817"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w:t>
      </w:r>
    </w:p>
    <w:p w14:paraId="74C9C911"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XLV.</w:t>
      </w:r>
      <w:r w:rsidRPr="006B1A55">
        <w:rPr>
          <w:rFonts w:eastAsia="Palatino Linotype" w:cs="Palatino Linotype"/>
          <w:i/>
          <w:color w:val="000000"/>
          <w:sz w:val="22"/>
          <w:szCs w:val="24"/>
        </w:rPr>
        <w:t xml:space="preserve"> </w:t>
      </w:r>
      <w:r w:rsidRPr="006B1A55">
        <w:rPr>
          <w:rFonts w:eastAsia="Palatino Linotype" w:cs="Palatino Linotype"/>
          <w:b/>
          <w:i/>
          <w:color w:val="000000"/>
          <w:sz w:val="22"/>
          <w:szCs w:val="24"/>
        </w:rPr>
        <w:t>Versión pública:</w:t>
      </w:r>
      <w:r w:rsidRPr="006B1A55">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7C3392A6"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t>[…]</w:t>
      </w:r>
    </w:p>
    <w:p w14:paraId="618DE5B6"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BB25741"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 xml:space="preserve">Artículo 91. </w:t>
      </w:r>
      <w:r w:rsidRPr="006B1A55">
        <w:rPr>
          <w:rFonts w:eastAsia="Palatino Linotype" w:cs="Palatino Linotype"/>
          <w:i/>
          <w:color w:val="000000"/>
          <w:sz w:val="22"/>
          <w:szCs w:val="24"/>
        </w:rPr>
        <w:t>El acceso a la información pública será restringido excepcionalmente, cuando ésta sea clasificada como reservada o confidencial.</w:t>
      </w:r>
    </w:p>
    <w:p w14:paraId="23CA0DD0"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980BD0E"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Artículo 132.</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u w:val="single"/>
        </w:rPr>
        <w:t>La clasificación de la información se llevará a cabo en el momento en que</w:t>
      </w:r>
      <w:r w:rsidRPr="006B1A55">
        <w:rPr>
          <w:rFonts w:eastAsia="Palatino Linotype" w:cs="Palatino Linotype"/>
          <w:i/>
          <w:color w:val="000000"/>
          <w:sz w:val="22"/>
          <w:szCs w:val="24"/>
        </w:rPr>
        <w:t>:</w:t>
      </w:r>
    </w:p>
    <w:p w14:paraId="7AE1896A"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w:t>
      </w:r>
      <w:r w:rsidRPr="006B1A55">
        <w:rPr>
          <w:rFonts w:eastAsia="Palatino Linotype" w:cs="Palatino Linotype"/>
          <w:i/>
          <w:color w:val="000000"/>
          <w:sz w:val="22"/>
          <w:szCs w:val="24"/>
        </w:rPr>
        <w:t xml:space="preserve"> Se reciba una solicitud de acceso a la información;</w:t>
      </w:r>
    </w:p>
    <w:p w14:paraId="3961A4B7"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II.</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u w:val="single"/>
        </w:rPr>
        <w:t>Se determine mediante resolución de autoridad competente; o</w:t>
      </w:r>
    </w:p>
    <w:p w14:paraId="71F8C809"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B1A55">
        <w:rPr>
          <w:rFonts w:eastAsia="Palatino Linotype" w:cs="Palatino Linotype"/>
          <w:b/>
          <w:i/>
          <w:color w:val="000000"/>
          <w:sz w:val="22"/>
          <w:szCs w:val="24"/>
        </w:rPr>
        <w:t>III.</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u w:val="single"/>
        </w:rPr>
        <w:t>Se generen versiones públicas para dar cumplimiento a las obligaciones de transparencia previstas en esta Ley.</w:t>
      </w:r>
    </w:p>
    <w:p w14:paraId="701EED04"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t>[…]</w:t>
      </w:r>
    </w:p>
    <w:p w14:paraId="6D7793EF"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F731DCE"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Artículo 143.</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6B1A55">
        <w:rPr>
          <w:rFonts w:eastAsia="Palatino Linotype" w:cs="Palatino Linotype"/>
          <w:i/>
          <w:color w:val="000000"/>
          <w:sz w:val="22"/>
          <w:szCs w:val="24"/>
        </w:rPr>
        <w:t>:</w:t>
      </w:r>
    </w:p>
    <w:p w14:paraId="1E4B238E"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6B1A55">
        <w:rPr>
          <w:rFonts w:eastAsia="Palatino Linotype" w:cs="Palatino Linotype"/>
          <w:i/>
          <w:color w:val="000000"/>
          <w:sz w:val="22"/>
          <w:szCs w:val="24"/>
        </w:rPr>
        <w:t>;</w:t>
      </w:r>
    </w:p>
    <w:p w14:paraId="439FCF82"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II.</w:t>
      </w:r>
      <w:r w:rsidRPr="006B1A55">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6B1A55">
        <w:rPr>
          <w:rFonts w:eastAsia="Palatino Linotype" w:cs="Palatino Linotype"/>
          <w:i/>
          <w:color w:val="000000"/>
          <w:sz w:val="22"/>
          <w:szCs w:val="24"/>
        </w:rPr>
        <w:t>; y</w:t>
      </w:r>
    </w:p>
    <w:p w14:paraId="64E88EA8"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III.</w:t>
      </w:r>
      <w:r w:rsidRPr="006B1A55">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48B5BA77"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B1A55">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7EBF5599"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B1A55">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0D43BDC7" w14:textId="77777777" w:rsidR="008403D5" w:rsidRPr="006B1A55" w:rsidRDefault="008403D5" w:rsidP="008403D5">
      <w:pPr>
        <w:rPr>
          <w:rFonts w:eastAsia="Palatino Linotype" w:cs="Palatino Linotype"/>
          <w:i/>
          <w:szCs w:val="24"/>
        </w:rPr>
      </w:pPr>
    </w:p>
    <w:p w14:paraId="7AD4440C" w14:textId="77777777" w:rsidR="008403D5" w:rsidRPr="006B1A55" w:rsidRDefault="008403D5" w:rsidP="008403D5">
      <w:pPr>
        <w:rPr>
          <w:rFonts w:eastAsia="Palatino Linotype" w:cs="Palatino Linotype"/>
          <w:lang w:val="es-ES"/>
        </w:rPr>
      </w:pPr>
      <w:r w:rsidRPr="006B1A55">
        <w:rPr>
          <w:rFonts w:eastAsia="Palatino Linotype" w:cs="Palatino Linotype"/>
          <w:lang w:val="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C436883" w14:textId="77777777" w:rsidR="008403D5" w:rsidRPr="006B1A55" w:rsidRDefault="008403D5" w:rsidP="008403D5">
      <w:pPr>
        <w:rPr>
          <w:rFonts w:eastAsia="Palatino Linotype" w:cs="Palatino Linotype"/>
          <w:szCs w:val="24"/>
        </w:rPr>
      </w:pPr>
    </w:p>
    <w:p w14:paraId="010D2F81" w14:textId="77777777" w:rsidR="008403D5" w:rsidRPr="006B1A55" w:rsidRDefault="008403D5" w:rsidP="008403D5">
      <w:pPr>
        <w:rPr>
          <w:rFonts w:eastAsia="Palatino Linotype" w:cs="Palatino Linotype"/>
          <w:szCs w:val="24"/>
        </w:rPr>
      </w:pPr>
      <w:r w:rsidRPr="006B1A55">
        <w:rPr>
          <w:rFonts w:eastAsia="Palatino Linotype" w:cs="Palatino Linotype"/>
          <w:szCs w:val="24"/>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1E40708" w14:textId="77777777" w:rsidR="008403D5" w:rsidRPr="006B1A55" w:rsidRDefault="008403D5" w:rsidP="008403D5">
      <w:pPr>
        <w:rPr>
          <w:rFonts w:eastAsia="Palatino Linotype" w:cs="Palatino Linotype"/>
          <w:szCs w:val="24"/>
        </w:rPr>
      </w:pPr>
    </w:p>
    <w:p w14:paraId="53EEAD53" w14:textId="77777777" w:rsidR="008403D5" w:rsidRPr="006B1A55" w:rsidRDefault="008403D5" w:rsidP="008403D5">
      <w:pPr>
        <w:rPr>
          <w:rFonts w:eastAsia="Palatino Linotype" w:cs="Palatino Linotype"/>
          <w:szCs w:val="24"/>
        </w:rPr>
      </w:pPr>
      <w:r w:rsidRPr="006B1A55">
        <w:rPr>
          <w:rFonts w:eastAsia="Palatino Linotype" w:cs="Palatino Linotype"/>
          <w:szCs w:val="24"/>
        </w:rPr>
        <w:t>Asimismo, los Lineamientos Quincuagésimo sexto, Quincuagésimo séptimo y Quincuagésimo octavo, establecen lo siguiente:</w:t>
      </w:r>
    </w:p>
    <w:p w14:paraId="067C3248" w14:textId="77777777" w:rsidR="008403D5" w:rsidRPr="006B1A55" w:rsidRDefault="008403D5" w:rsidP="008403D5">
      <w:pPr>
        <w:rPr>
          <w:rFonts w:eastAsia="Palatino Linotype" w:cs="Palatino Linotype"/>
        </w:rPr>
      </w:pPr>
    </w:p>
    <w:p w14:paraId="65A1A190"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B1A55">
        <w:rPr>
          <w:rFonts w:eastAsia="Palatino Linotype" w:cs="Palatino Linotype"/>
          <w:b/>
          <w:i/>
          <w:color w:val="000000"/>
          <w:sz w:val="22"/>
          <w:szCs w:val="24"/>
        </w:rPr>
        <w:t>Quincuagésimo sexto.</w:t>
      </w:r>
      <w:r w:rsidRPr="006B1A55">
        <w:rPr>
          <w:rFonts w:eastAsia="Palatino Linotype" w:cs="Palatino Linotype"/>
          <w:i/>
          <w:color w:val="000000"/>
          <w:sz w:val="22"/>
          <w:szCs w:val="24"/>
        </w:rPr>
        <w:t xml:space="preserve"> </w:t>
      </w:r>
      <w:r w:rsidRPr="006B1A55">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4BFEE01"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21A43ED"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b/>
          <w:i/>
          <w:color w:val="000000"/>
          <w:sz w:val="22"/>
          <w:szCs w:val="24"/>
        </w:rPr>
        <w:t>Quincuagésimo séptimo.</w:t>
      </w:r>
      <w:r w:rsidRPr="006B1A55">
        <w:rPr>
          <w:rFonts w:eastAsia="Palatino Linotype" w:cs="Palatino Linotype"/>
          <w:i/>
          <w:color w:val="000000"/>
          <w:sz w:val="22"/>
          <w:szCs w:val="24"/>
        </w:rPr>
        <w:t xml:space="preserve"> Se considera, en principio, como información pública y no podrá omitirse de las versiones públicas la siguiente:</w:t>
      </w:r>
    </w:p>
    <w:p w14:paraId="54ACB157"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01C3312"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54DFF28F"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2E693A8F"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B1A55">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5F84350"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03B12DA"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B1A55">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254F1747"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63CCFCA" w14:textId="77777777" w:rsidR="008403D5" w:rsidRPr="006B1A55" w:rsidRDefault="008403D5" w:rsidP="008403D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320C12DB">
        <w:rPr>
          <w:rFonts w:eastAsia="Palatino Linotype" w:cs="Palatino Linotype"/>
          <w:b/>
          <w:bCs/>
          <w:i/>
          <w:iCs/>
          <w:color w:val="000000" w:themeColor="text1"/>
          <w:sz w:val="22"/>
          <w:lang w:val="es-ES"/>
        </w:rPr>
        <w:t>Quincuagésimo octavo.</w:t>
      </w:r>
      <w:r w:rsidRPr="320C12DB">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45FC5FC9" w14:textId="77777777" w:rsidR="008403D5" w:rsidRPr="006B1A55" w:rsidRDefault="008403D5" w:rsidP="008403D5">
      <w:pPr>
        <w:rPr>
          <w:rFonts w:eastAsia="Palatino Linotype" w:cs="Palatino Linotype"/>
          <w:i/>
          <w:szCs w:val="24"/>
        </w:rPr>
      </w:pPr>
    </w:p>
    <w:p w14:paraId="7DF36EF8" w14:textId="77777777" w:rsidR="008403D5" w:rsidRPr="006B1A55" w:rsidRDefault="008403D5" w:rsidP="008403D5">
      <w:pPr>
        <w:rPr>
          <w:rFonts w:eastAsia="Palatino Linotype" w:cs="Palatino Linotype"/>
          <w:szCs w:val="24"/>
        </w:rPr>
      </w:pPr>
      <w:r w:rsidRPr="006B1A55">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EF50ED6" w14:textId="77777777" w:rsidR="008403D5" w:rsidRPr="006B1A55" w:rsidRDefault="008403D5" w:rsidP="008403D5">
      <w:pPr>
        <w:rPr>
          <w:rFonts w:eastAsia="Palatino Linotype" w:cs="Palatino Linotype"/>
          <w:szCs w:val="24"/>
        </w:rPr>
      </w:pPr>
    </w:p>
    <w:p w14:paraId="1A47136B" w14:textId="77777777" w:rsidR="008403D5" w:rsidRPr="006B1A55" w:rsidRDefault="008403D5" w:rsidP="008403D5">
      <w:pPr>
        <w:rPr>
          <w:rFonts w:eastAsia="Palatino Linotype" w:cs="Palatino Linotype"/>
          <w:lang w:val="es-ES"/>
        </w:rPr>
      </w:pPr>
      <w:r w:rsidRPr="320C12DB">
        <w:rPr>
          <w:rFonts w:eastAsia="Palatino Linotype" w:cs="Palatino Linotype"/>
          <w:lang w:val="es-ES"/>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33C0A419" w14:textId="77777777" w:rsidR="008403D5" w:rsidRPr="006B1A55" w:rsidRDefault="008403D5" w:rsidP="008403D5">
      <w:pPr>
        <w:rPr>
          <w:rFonts w:eastAsia="Palatino Linotype" w:cs="Palatino Linotype"/>
          <w:szCs w:val="24"/>
        </w:rPr>
      </w:pPr>
    </w:p>
    <w:p w14:paraId="00641DB7" w14:textId="77777777" w:rsidR="008403D5" w:rsidRPr="006B1A55" w:rsidRDefault="008403D5" w:rsidP="008403D5">
      <w:pPr>
        <w:rPr>
          <w:rFonts w:eastAsia="Palatino Linotype" w:cs="Palatino Linotype"/>
          <w:szCs w:val="24"/>
        </w:rPr>
      </w:pPr>
      <w:r w:rsidRPr="006B1A55">
        <w:rPr>
          <w:rFonts w:eastAsia="Palatino Linotype" w:cs="Palatino Linotype"/>
          <w:szCs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1BD4A5A9" w14:textId="77777777" w:rsidR="008403D5" w:rsidRPr="006B1A55" w:rsidRDefault="008403D5" w:rsidP="008403D5">
      <w:pPr>
        <w:rPr>
          <w:rFonts w:eastAsia="Palatino Linotype" w:cs="Palatino Linotype"/>
          <w:szCs w:val="24"/>
        </w:rPr>
      </w:pPr>
    </w:p>
    <w:p w14:paraId="47E4165E" w14:textId="77777777" w:rsidR="008403D5" w:rsidRPr="007C0E2D" w:rsidRDefault="008403D5" w:rsidP="008403D5">
      <w:pPr>
        <w:rPr>
          <w:rFonts w:eastAsia="Palatino Linotype" w:cs="Palatino Linotype"/>
          <w:szCs w:val="24"/>
        </w:rPr>
      </w:pPr>
      <w:r w:rsidRPr="007C0E2D">
        <w:rPr>
          <w:rFonts w:eastAsia="Palatino Linotype" w:cs="Palatino Linotype"/>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143AF170" w14:textId="77777777" w:rsidR="008403D5" w:rsidRPr="007C0E2D" w:rsidRDefault="008403D5" w:rsidP="008403D5">
      <w:pPr>
        <w:rPr>
          <w:rFonts w:eastAsia="Palatino Linotype" w:cs="Palatino Linotype"/>
          <w:szCs w:val="24"/>
        </w:rPr>
      </w:pPr>
    </w:p>
    <w:p w14:paraId="344D0EA2" w14:textId="77777777" w:rsidR="008403D5" w:rsidRPr="007C0E2D" w:rsidRDefault="008403D5" w:rsidP="008403D5">
      <w:pPr>
        <w:rPr>
          <w:rFonts w:eastAsia="Palatino Linotype" w:cs="Palatino Linotype"/>
          <w:szCs w:val="24"/>
        </w:rPr>
      </w:pPr>
      <w:r w:rsidRPr="007C0E2D">
        <w:rPr>
          <w:rFonts w:eastAsia="Palatino Linotype" w:cs="Palatino Linotype"/>
          <w:szCs w:val="24"/>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0B37387E" w14:textId="77777777" w:rsidR="008403D5" w:rsidRPr="007C0E2D" w:rsidRDefault="008403D5" w:rsidP="008403D5">
      <w:pPr>
        <w:rPr>
          <w:rFonts w:eastAsia="Palatino Linotype" w:cs="Palatino Linotype"/>
          <w:szCs w:val="24"/>
        </w:rPr>
      </w:pPr>
    </w:p>
    <w:p w14:paraId="607EF2DE" w14:textId="77777777" w:rsidR="008403D5" w:rsidRPr="007C0E2D" w:rsidRDefault="008403D5" w:rsidP="008403D5">
      <w:pPr>
        <w:rPr>
          <w:rFonts w:eastAsia="Palatino Linotype" w:cs="Palatino Linotype"/>
          <w:lang w:val="es-ES"/>
        </w:rPr>
      </w:pPr>
      <w:r w:rsidRPr="007C0E2D">
        <w:rPr>
          <w:rFonts w:eastAsia="Palatino Linotype" w:cs="Palatino Linotype"/>
          <w:lang w:val="es-ES"/>
        </w:rPr>
        <w:t xml:space="preserve">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w:t>
      </w:r>
      <w:r w:rsidRPr="007C0E2D">
        <w:rPr>
          <w:rFonts w:eastAsia="Palatino Linotype" w:cs="Palatino Linotype"/>
          <w:lang w:val="es-ES"/>
        </w:rPr>
        <w:lastRenderedPageBreak/>
        <w:t>interesada en afectar el patrimonio del titular de la cuenta; realice conductas tendientes a tal fin y tipificadas como delitos, con lo que se ocasionaría un serio perjuicio a su titular.</w:t>
      </w:r>
    </w:p>
    <w:p w14:paraId="0138183A" w14:textId="77777777" w:rsidR="008403D5" w:rsidRPr="007C0E2D" w:rsidRDefault="008403D5" w:rsidP="008403D5">
      <w:pPr>
        <w:rPr>
          <w:rFonts w:eastAsia="Palatino Linotype" w:cs="Palatino Linotype"/>
          <w:szCs w:val="24"/>
        </w:rPr>
      </w:pPr>
    </w:p>
    <w:p w14:paraId="600619EC" w14:textId="77777777" w:rsidR="008403D5" w:rsidRPr="007C0E2D" w:rsidRDefault="008403D5" w:rsidP="008403D5">
      <w:pPr>
        <w:rPr>
          <w:rFonts w:eastAsia="Palatino Linotype" w:cs="Palatino Linotype"/>
          <w:lang w:val="es-ES"/>
        </w:rPr>
      </w:pPr>
      <w:r w:rsidRPr="007C0E2D">
        <w:rPr>
          <w:rFonts w:eastAsia="Palatino Linotype" w:cs="Palatino Linotype"/>
          <w:lang w:val="es-ES"/>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651D5D0F" w14:textId="77777777" w:rsidR="008403D5" w:rsidRPr="007C0E2D" w:rsidRDefault="008403D5" w:rsidP="008403D5">
      <w:pPr>
        <w:rPr>
          <w:rFonts w:eastAsia="Palatino Linotype" w:cs="Palatino Linotype"/>
          <w:szCs w:val="24"/>
        </w:rPr>
      </w:pPr>
    </w:p>
    <w:p w14:paraId="3287E416" w14:textId="77777777" w:rsidR="008403D5" w:rsidRPr="007C0E2D" w:rsidRDefault="008403D5" w:rsidP="008403D5">
      <w:pPr>
        <w:rPr>
          <w:rFonts w:eastAsia="Palatino Linotype" w:cs="Palatino Linotype"/>
          <w:szCs w:val="24"/>
        </w:rPr>
      </w:pPr>
      <w:r w:rsidRPr="007C0E2D">
        <w:rPr>
          <w:rFonts w:eastAsia="Palatino Linotype" w:cs="Palatino Linotype"/>
          <w:szCs w:val="24"/>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2245FF74" w14:textId="77777777" w:rsidR="008403D5" w:rsidRPr="007C0E2D" w:rsidRDefault="008403D5" w:rsidP="008403D5">
      <w:pPr>
        <w:rPr>
          <w:rFonts w:eastAsia="Palatino Linotype" w:cs="Palatino Linotype"/>
          <w:szCs w:val="24"/>
        </w:rPr>
      </w:pPr>
    </w:p>
    <w:p w14:paraId="7265C859" w14:textId="77777777" w:rsidR="008403D5" w:rsidRPr="007C0E2D" w:rsidRDefault="008403D5" w:rsidP="008403D5">
      <w:pPr>
        <w:rPr>
          <w:rFonts w:eastAsia="Palatino Linotype" w:cs="Palatino Linotype"/>
          <w:szCs w:val="24"/>
        </w:rPr>
      </w:pPr>
      <w:r w:rsidRPr="007C0E2D">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45C3FBE9" w14:textId="77777777" w:rsidR="008403D5" w:rsidRPr="007C0E2D" w:rsidRDefault="008403D5" w:rsidP="008403D5">
      <w:pPr>
        <w:rPr>
          <w:rFonts w:eastAsia="Palatino Linotype" w:cs="Palatino Linotype"/>
          <w:szCs w:val="24"/>
        </w:rPr>
      </w:pPr>
    </w:p>
    <w:p w14:paraId="0AA403F9" w14:textId="77777777" w:rsidR="008403D5" w:rsidRPr="007C0E2D" w:rsidRDefault="008403D5" w:rsidP="008403D5">
      <w:pPr>
        <w:rPr>
          <w:rFonts w:eastAsia="Palatino Linotype" w:cs="Palatino Linotype"/>
          <w:szCs w:val="24"/>
        </w:rPr>
      </w:pPr>
      <w:r w:rsidRPr="007C0E2D">
        <w:rPr>
          <w:rFonts w:eastAsia="Palatino Linotype" w:cs="Palatino Linotype"/>
          <w:szCs w:val="24"/>
        </w:rPr>
        <w:t>De este modo, en las versiones públicas se deben testar únicamente los números de las cuentas bancarias, CLABES; si es que esta información se advierte en los documentos a otorgar; en caso contrario, se deben entregar en forma íntegra.</w:t>
      </w:r>
    </w:p>
    <w:p w14:paraId="51391144" w14:textId="77777777" w:rsidR="008403D5" w:rsidRPr="007C0E2D" w:rsidRDefault="008403D5" w:rsidP="008403D5">
      <w:pPr>
        <w:rPr>
          <w:rFonts w:eastAsia="Palatino Linotype" w:cs="Palatino Linotype"/>
          <w:szCs w:val="24"/>
        </w:rPr>
      </w:pPr>
    </w:p>
    <w:p w14:paraId="1558452F" w14:textId="77777777" w:rsidR="008403D5" w:rsidRPr="007C0E2D" w:rsidRDefault="008403D5" w:rsidP="008403D5">
      <w:pPr>
        <w:rPr>
          <w:rFonts w:eastAsia="Palatino Linotype" w:cs="Palatino Linotype"/>
          <w:lang w:val="es-ES"/>
        </w:rPr>
      </w:pPr>
      <w:r w:rsidRPr="007C0E2D">
        <w:rPr>
          <w:rFonts w:eastAsia="Palatino Linotype" w:cs="Palatino Linotype"/>
          <w:lang w:val="es-ES"/>
        </w:rPr>
        <w:lastRenderedPageBreak/>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7662C9A1" w14:textId="77777777" w:rsidR="008403D5" w:rsidRPr="007C0E2D" w:rsidRDefault="008403D5" w:rsidP="008403D5">
      <w:pPr>
        <w:rPr>
          <w:rFonts w:eastAsia="Palatino Linotype" w:cs="Palatino Linotype"/>
          <w:szCs w:val="24"/>
        </w:rPr>
      </w:pPr>
    </w:p>
    <w:p w14:paraId="46DE101C" w14:textId="77777777" w:rsidR="008403D5" w:rsidRPr="006B1A55" w:rsidRDefault="008403D5" w:rsidP="008403D5">
      <w:pPr>
        <w:rPr>
          <w:rFonts w:eastAsia="Palatino Linotype" w:cs="Palatino Linotype"/>
          <w:szCs w:val="24"/>
        </w:rPr>
      </w:pPr>
      <w:r w:rsidRPr="007C0E2D">
        <w:rPr>
          <w:rFonts w:eastAsia="Palatino Linotype" w:cs="Palatino Linotype"/>
          <w:szCs w:val="24"/>
        </w:rPr>
        <w:t>Por lo que respecta al Acuerdo del Comité de Transparencia que sustente la versión pública de la documentación a entregar, deberá ser notificado mediante el SAIMEX</w:t>
      </w:r>
      <w:r w:rsidRPr="006B1A55">
        <w:rPr>
          <w:rFonts w:eastAsia="Palatino Linotype" w:cs="Palatino Linotype"/>
          <w:szCs w:val="24"/>
        </w:rPr>
        <w:t>.</w:t>
      </w:r>
    </w:p>
    <w:p w14:paraId="501CEE4B" w14:textId="77777777" w:rsidR="008403D5" w:rsidRPr="006B1A55" w:rsidRDefault="008403D5" w:rsidP="008403D5">
      <w:pPr>
        <w:rPr>
          <w:rFonts w:eastAsia="Palatino Linotype" w:cs="Palatino Linotype"/>
          <w:szCs w:val="24"/>
        </w:rPr>
      </w:pPr>
    </w:p>
    <w:p w14:paraId="00EE9136" w14:textId="3A4CCFA2" w:rsidR="008403D5" w:rsidRPr="006B1A55" w:rsidRDefault="008403D5" w:rsidP="008403D5">
      <w:pPr>
        <w:pBdr>
          <w:top w:val="nil"/>
          <w:left w:val="nil"/>
          <w:bottom w:val="nil"/>
          <w:right w:val="nil"/>
          <w:between w:val="nil"/>
        </w:pBdr>
        <w:rPr>
          <w:rFonts w:eastAsia="Palatino Linotype" w:cs="Palatino Linotype"/>
          <w:color w:val="000000"/>
          <w:szCs w:val="24"/>
        </w:rPr>
      </w:pPr>
      <w:r w:rsidRPr="006B1A55">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w:t>
      </w:r>
      <w:r w:rsidRPr="006B1A55">
        <w:rPr>
          <w:rFonts w:eastAsia="Palatino Linotype" w:cs="Palatino Linotype"/>
          <w:color w:val="000000"/>
          <w:szCs w:val="24"/>
        </w:rPr>
        <w:t xml:space="preserve"> Recurrente.</w:t>
      </w:r>
    </w:p>
    <w:p w14:paraId="2A900B4F" w14:textId="77777777" w:rsidR="00B837B8" w:rsidRDefault="00B837B8" w:rsidP="00637679"/>
    <w:p w14:paraId="07B920B4" w14:textId="3E467136" w:rsidR="00581587" w:rsidRPr="006F2304" w:rsidRDefault="00581587" w:rsidP="00581587">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w:t>
      </w:r>
      <w:r w:rsidR="00022432">
        <w:rPr>
          <w:rFonts w:eastAsia="Palatino Linotype" w:cs="Palatino Linotype"/>
          <w:color w:val="000000" w:themeColor="text1"/>
        </w:rPr>
        <w:t>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w:t>
      </w:r>
      <w:r w:rsidR="006451AD">
        <w:rPr>
          <w:rFonts w:eastAsia="Palatino Linotype" w:cs="Palatino Linotype"/>
          <w:b/>
          <w:bCs/>
          <w:color w:val="000000" w:themeColor="text1"/>
        </w:rPr>
        <w:t>n fundamento en la primera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451AD">
        <w:rPr>
          <w:rFonts w:eastAsia="Palatino Linotype" w:cs="Palatino Linotype"/>
          <w:b/>
          <w:bCs/>
          <w:color w:val="000000" w:themeColor="text1"/>
        </w:rPr>
        <w:t>REVO</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00642669" w:rsidRPr="008F3C6D">
        <w:rPr>
          <w:rFonts w:eastAsia="Palatino Linotype" w:cs="Palatino Linotype"/>
          <w:color w:val="000000"/>
          <w:szCs w:val="24"/>
        </w:rPr>
        <w:t xml:space="preserve"> </w:t>
      </w:r>
      <w:r w:rsidR="0072426B">
        <w:rPr>
          <w:rFonts w:eastAsia="Palatino Linotype" w:cs="Palatino Linotype"/>
          <w:b/>
          <w:bCs/>
          <w:color w:val="000000"/>
          <w:szCs w:val="24"/>
        </w:rPr>
        <w:t>00108/DIFHUEHUET/IP/2025</w:t>
      </w:r>
      <w:r w:rsidRPr="0CEC3CE0">
        <w:rPr>
          <w:rFonts w:eastAsia="Palatino Linotype" w:cs="Palatino Linotype"/>
          <w:color w:val="000000" w:themeColor="text1"/>
        </w:rPr>
        <w:t>, que ha sido materia del presente estudio.</w:t>
      </w:r>
    </w:p>
    <w:p w14:paraId="33FB236F" w14:textId="259CAD64" w:rsidR="00581587" w:rsidRDefault="00581587" w:rsidP="008F50E6"/>
    <w:p w14:paraId="34755541"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3AF7767D" w14:textId="4DC74A1D" w:rsidR="00454915" w:rsidRDefault="00454915" w:rsidP="008F50E6"/>
    <w:p w14:paraId="04F69938" w14:textId="77777777" w:rsidR="00581587" w:rsidRPr="00BB7F90" w:rsidRDefault="00581587" w:rsidP="00581587">
      <w:pPr>
        <w:pStyle w:val="Ttulo1"/>
        <w:rPr>
          <w:rFonts w:eastAsia="Palatino Linotype"/>
        </w:rPr>
      </w:pPr>
      <w:r w:rsidRPr="00BB7F90">
        <w:rPr>
          <w:rFonts w:eastAsia="Palatino Linotype"/>
        </w:rPr>
        <w:lastRenderedPageBreak/>
        <w:t>S E    R E S U E L V E</w:t>
      </w:r>
    </w:p>
    <w:p w14:paraId="0360AA6D" w14:textId="77777777" w:rsidR="00581587" w:rsidRPr="00BB7F90" w:rsidRDefault="00581587" w:rsidP="00581587">
      <w:pPr>
        <w:pBdr>
          <w:top w:val="nil"/>
          <w:left w:val="nil"/>
          <w:bottom w:val="nil"/>
          <w:right w:val="nil"/>
          <w:between w:val="nil"/>
        </w:pBdr>
        <w:rPr>
          <w:rFonts w:eastAsia="Palatino Linotype" w:cs="Palatino Linotype"/>
          <w:b/>
          <w:color w:val="000000"/>
          <w:szCs w:val="24"/>
        </w:rPr>
      </w:pPr>
    </w:p>
    <w:p w14:paraId="2E76CA1A" w14:textId="5C9F286E" w:rsidR="00581587" w:rsidRPr="00BB7F90" w:rsidRDefault="00581587" w:rsidP="00581587">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451AD">
        <w:rPr>
          <w:rFonts w:eastAsia="Palatino Linotype" w:cs="Palatino Linotype"/>
          <w:b/>
          <w:bCs/>
          <w:color w:val="000000" w:themeColor="text1"/>
        </w:rPr>
        <w:t>REVO</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sidR="00642669">
        <w:rPr>
          <w:rFonts w:eastAsia="Palatino Linotype" w:cs="Palatino Linotype"/>
          <w:b/>
          <w:bCs/>
          <w:color w:val="000000"/>
          <w:szCs w:val="24"/>
        </w:rPr>
        <w:t xml:space="preserve"> </w:t>
      </w:r>
      <w:r w:rsidR="0072426B">
        <w:rPr>
          <w:rFonts w:eastAsia="Palatino Linotype" w:cs="Palatino Linotype"/>
          <w:b/>
          <w:bCs/>
          <w:color w:val="000000"/>
          <w:szCs w:val="24"/>
        </w:rPr>
        <w:t>00108/DIFHUEHUET/IP/2025</w:t>
      </w:r>
      <w:r w:rsidR="000D3DC4">
        <w:rPr>
          <w:rFonts w:eastAsia="Palatino Linotype" w:cs="Palatino Linotype"/>
          <w:color w:val="000000" w:themeColor="text1"/>
        </w:rPr>
        <w:t>, al resultar</w:t>
      </w:r>
      <w:r w:rsidR="005D743E">
        <w:rPr>
          <w:rFonts w:eastAsia="Palatino Linotype" w:cs="Palatino Linotype"/>
          <w:color w:val="000000" w:themeColor="text1"/>
        </w:rPr>
        <w:t xml:space="preserve"> </w:t>
      </w:r>
      <w:r w:rsidRPr="00BB7F90">
        <w:rPr>
          <w:rFonts w:eastAsia="Palatino Linotype" w:cs="Palatino Linotype"/>
          <w:color w:val="000000" w:themeColor="text1"/>
        </w:rPr>
        <w:t xml:space="preserve">fundados los motivos de inconformidad argüidos por </w:t>
      </w:r>
      <w:r w:rsidR="000D3DC4">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F23094">
        <w:rPr>
          <w:rFonts w:eastAsia="Palatino Linotype" w:cs="Palatino Linotype"/>
          <w:b/>
          <w:bCs/>
          <w:color w:val="000000" w:themeColor="text1"/>
        </w:rPr>
        <w:t>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1E340B42"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p>
    <w:p w14:paraId="4DA0A536" w14:textId="5BC5C359" w:rsidR="00581587" w:rsidRPr="00BB7F90" w:rsidRDefault="00581587" w:rsidP="62F6E07A">
      <w:pPr>
        <w:pBdr>
          <w:top w:val="nil"/>
          <w:left w:val="nil"/>
          <w:bottom w:val="nil"/>
          <w:right w:val="nil"/>
          <w:between w:val="nil"/>
        </w:pBdr>
        <w:rPr>
          <w:rFonts w:eastAsia="Palatino Linotype" w:cs="Palatino Linotype"/>
          <w:color w:val="000000"/>
        </w:rPr>
      </w:pPr>
      <w:r w:rsidRPr="62F6E07A">
        <w:rPr>
          <w:rFonts w:eastAsia="Palatino Linotype" w:cs="Palatino Linotype"/>
          <w:b/>
          <w:bCs/>
          <w:color w:val="000000" w:themeColor="text1"/>
        </w:rPr>
        <w:t>SEGUNDO.</w:t>
      </w:r>
      <w:r w:rsidRPr="62F6E07A">
        <w:rPr>
          <w:rFonts w:eastAsia="Palatino Linotype" w:cs="Palatino Linotype"/>
          <w:color w:val="000000" w:themeColor="text1"/>
        </w:rPr>
        <w:t xml:space="preserve"> Se </w:t>
      </w:r>
      <w:r w:rsidRPr="62F6E07A">
        <w:rPr>
          <w:rFonts w:eastAsia="Palatino Linotype" w:cs="Palatino Linotype"/>
          <w:b/>
          <w:bCs/>
          <w:color w:val="000000" w:themeColor="text1"/>
        </w:rPr>
        <w:t>ORDENA</w:t>
      </w:r>
      <w:r w:rsidRPr="62F6E07A">
        <w:rPr>
          <w:rFonts w:eastAsia="Palatino Linotype" w:cs="Palatino Linotype"/>
          <w:color w:val="000000" w:themeColor="text1"/>
        </w:rPr>
        <w:t xml:space="preserve"> </w:t>
      </w:r>
      <w:r w:rsidR="007501B9" w:rsidRPr="62F6E07A">
        <w:rPr>
          <w:rFonts w:eastAsia="Palatino Linotype" w:cs="Palatino Linotype"/>
          <w:color w:val="000000" w:themeColor="text1"/>
        </w:rPr>
        <w:t>al Sujeto Obligado que</w:t>
      </w:r>
      <w:r w:rsidR="003A51C8" w:rsidRPr="62F6E07A">
        <w:rPr>
          <w:rFonts w:eastAsia="Palatino Linotype" w:cs="Palatino Linotype"/>
          <w:color w:val="000000" w:themeColor="text1"/>
        </w:rPr>
        <w:t xml:space="preserve"> </w:t>
      </w:r>
      <w:r w:rsidR="00B837B8" w:rsidRPr="62F6E07A">
        <w:rPr>
          <w:rFonts w:eastAsia="Palatino Linotype" w:cs="Palatino Linotype"/>
          <w:color w:val="000000" w:themeColor="text1"/>
        </w:rPr>
        <w:t xml:space="preserve">haga </w:t>
      </w:r>
      <w:r w:rsidR="007501B9" w:rsidRPr="62F6E07A">
        <w:rPr>
          <w:rFonts w:eastAsia="Palatino Linotype" w:cs="Palatino Linotype"/>
          <w:color w:val="000000" w:themeColor="text1"/>
        </w:rPr>
        <w:t>entrega a</w:t>
      </w:r>
      <w:r w:rsidR="000D3DC4" w:rsidRPr="62F6E07A">
        <w:rPr>
          <w:rFonts w:eastAsia="Palatino Linotype" w:cs="Palatino Linotype"/>
          <w:color w:val="000000" w:themeColor="text1"/>
        </w:rPr>
        <w:t>l</w:t>
      </w:r>
      <w:r w:rsidR="007501B9" w:rsidRPr="62F6E07A">
        <w:rPr>
          <w:rFonts w:eastAsia="Palatino Linotype" w:cs="Palatino Linotype"/>
          <w:color w:val="000000" w:themeColor="text1"/>
        </w:rPr>
        <w:t xml:space="preserve"> Recurrente mediante el Sistema de Acceso a la Información Mexiquense (SAIMEX)</w:t>
      </w:r>
      <w:r w:rsidR="00B837B8" w:rsidRPr="62F6E07A">
        <w:rPr>
          <w:rFonts w:eastAsia="Palatino Linotype" w:cs="Palatino Linotype"/>
          <w:color w:val="000000" w:themeColor="text1"/>
        </w:rPr>
        <w:t>, en versión pública</w:t>
      </w:r>
      <w:r w:rsidR="00F23094" w:rsidRPr="62F6E07A">
        <w:rPr>
          <w:rFonts w:eastAsia="Palatino Linotype" w:cs="Palatino Linotype"/>
          <w:color w:val="000000" w:themeColor="text1"/>
        </w:rPr>
        <w:t xml:space="preserve"> de ser procedente</w:t>
      </w:r>
      <w:r w:rsidR="00E86B73" w:rsidRPr="62F6E07A">
        <w:rPr>
          <w:rFonts w:eastAsia="Palatino Linotype" w:cs="Palatino Linotype"/>
          <w:color w:val="000000" w:themeColor="text1"/>
        </w:rPr>
        <w:t>, en el formato en el que obre en sus archivos</w:t>
      </w:r>
      <w:r w:rsidR="00B837B8" w:rsidRPr="62F6E07A">
        <w:rPr>
          <w:rFonts w:eastAsia="Palatino Linotype" w:cs="Palatino Linotype"/>
          <w:color w:val="000000" w:themeColor="text1"/>
        </w:rPr>
        <w:t xml:space="preserve"> </w:t>
      </w:r>
      <w:r w:rsidR="00F23094" w:rsidRPr="62F6E07A">
        <w:rPr>
          <w:rFonts w:eastAsia="Palatino Linotype" w:cs="Palatino Linotype"/>
          <w:color w:val="000000" w:themeColor="text1"/>
        </w:rPr>
        <w:t>y al mayor grado de desagregación posible,</w:t>
      </w:r>
      <w:r w:rsidR="003A51C8" w:rsidRPr="62F6E07A">
        <w:rPr>
          <w:rFonts w:eastAsia="Palatino Linotype" w:cs="Palatino Linotype"/>
          <w:color w:val="000000" w:themeColor="text1"/>
        </w:rPr>
        <w:t xml:space="preserve"> </w:t>
      </w:r>
      <w:r w:rsidR="007501B9" w:rsidRPr="62F6E07A">
        <w:rPr>
          <w:rFonts w:eastAsia="Palatino Linotype" w:cs="Palatino Linotype"/>
          <w:color w:val="000000" w:themeColor="text1"/>
        </w:rPr>
        <w:t xml:space="preserve">en términos del </w:t>
      </w:r>
      <w:r w:rsidR="000D3DC4" w:rsidRPr="62F6E07A">
        <w:rPr>
          <w:rFonts w:eastAsia="Palatino Linotype" w:cs="Palatino Linotype"/>
          <w:b/>
          <w:bCs/>
          <w:color w:val="000000" w:themeColor="text1"/>
        </w:rPr>
        <w:t xml:space="preserve">Considerando </w:t>
      </w:r>
      <w:r w:rsidR="63B0D2F1" w:rsidRPr="62F6E07A">
        <w:rPr>
          <w:rFonts w:eastAsia="Palatino Linotype" w:cs="Palatino Linotype"/>
          <w:b/>
          <w:bCs/>
          <w:color w:val="000000" w:themeColor="text1"/>
        </w:rPr>
        <w:t>QUIN</w:t>
      </w:r>
      <w:r w:rsidR="007501B9" w:rsidRPr="62F6E07A">
        <w:rPr>
          <w:rFonts w:eastAsia="Palatino Linotype" w:cs="Palatino Linotype"/>
          <w:b/>
          <w:bCs/>
          <w:color w:val="000000" w:themeColor="text1"/>
        </w:rPr>
        <w:t>TO</w:t>
      </w:r>
      <w:r w:rsidR="00637878" w:rsidRPr="62F6E07A">
        <w:rPr>
          <w:rFonts w:eastAsia="Palatino Linotype" w:cs="Palatino Linotype"/>
          <w:color w:val="000000" w:themeColor="text1"/>
        </w:rPr>
        <w:t>, de lo</w:t>
      </w:r>
      <w:r w:rsidR="00E14B7A" w:rsidRPr="62F6E07A">
        <w:rPr>
          <w:rFonts w:eastAsia="Palatino Linotype" w:cs="Palatino Linotype"/>
          <w:color w:val="000000" w:themeColor="text1"/>
        </w:rPr>
        <w:t>s documentos en los que conste lo</w:t>
      </w:r>
      <w:r w:rsidR="00637878" w:rsidRPr="62F6E07A">
        <w:rPr>
          <w:rFonts w:eastAsia="Palatino Linotype" w:cs="Palatino Linotype"/>
          <w:color w:val="000000" w:themeColor="text1"/>
        </w:rPr>
        <w:t xml:space="preserve"> siguiente:</w:t>
      </w:r>
    </w:p>
    <w:p w14:paraId="26EEF856"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p>
    <w:p w14:paraId="5D3CABD2" w14:textId="1DFDBC99" w:rsidR="00637878" w:rsidRPr="00637878" w:rsidRDefault="00E14B7A" w:rsidP="00E14B7A">
      <w:pPr>
        <w:pStyle w:val="Prrafodelista"/>
        <w:numPr>
          <w:ilvl w:val="0"/>
          <w:numId w:val="65"/>
        </w:numPr>
        <w:spacing w:line="240" w:lineRule="auto"/>
      </w:pPr>
      <w:r>
        <w:rPr>
          <w:rFonts w:eastAsiaTheme="minorEastAsia" w:cstheme="minorBidi"/>
          <w:i/>
          <w:lang w:eastAsia="en-US"/>
        </w:rPr>
        <w:t>L</w:t>
      </w:r>
      <w:r w:rsidRPr="00E14B7A">
        <w:rPr>
          <w:rFonts w:eastAsiaTheme="minorEastAsia" w:cstheme="minorBidi"/>
          <w:i/>
          <w:lang w:eastAsia="en-US"/>
        </w:rPr>
        <w:t xml:space="preserve">os nombres de los proveedores con los que se ha realizado algún procedimiento de adquisición durante el periodo </w:t>
      </w:r>
      <w:r>
        <w:rPr>
          <w:rFonts w:eastAsiaTheme="minorEastAsia" w:cstheme="minorBidi"/>
          <w:i/>
          <w:lang w:eastAsia="en-US"/>
        </w:rPr>
        <w:t xml:space="preserve">comprendido </w:t>
      </w:r>
      <w:r w:rsidRPr="00E14B7A">
        <w:rPr>
          <w:rFonts w:eastAsiaTheme="minorEastAsia" w:cstheme="minorBidi"/>
          <w:i/>
          <w:lang w:eastAsia="en-US"/>
        </w:rPr>
        <w:t>del primero de enero al trece de mayo de dos mil veinticinco, la información legal y técnica del proveedor y los requisitos para participar en el procedimiento de adquisición correspondiente.</w:t>
      </w:r>
    </w:p>
    <w:p w14:paraId="30B9FB64" w14:textId="77777777" w:rsidR="00E86B73" w:rsidRPr="0030140A" w:rsidRDefault="00E86B73" w:rsidP="00BD6CDB">
      <w:pPr>
        <w:rPr>
          <w:rFonts w:eastAsia="Palatino Linotype" w:cs="Palatino Linotype"/>
          <w:color w:val="000000"/>
          <w:szCs w:val="24"/>
          <w:lang w:val="es-ES"/>
        </w:rPr>
      </w:pPr>
    </w:p>
    <w:p w14:paraId="7F27F50F" w14:textId="65B2225D" w:rsidR="00BD6CDB" w:rsidRPr="00326E60" w:rsidRDefault="00BD6CDB" w:rsidP="00BD6CDB">
      <w:pPr>
        <w:rPr>
          <w:rFonts w:eastAsia="Palatino Linotype" w:cs="Palatino Linotype"/>
          <w:color w:val="000000"/>
          <w:szCs w:val="24"/>
        </w:rPr>
      </w:pPr>
      <w:r w:rsidRPr="00326E60">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sidR="007F7332">
        <w:rPr>
          <w:rFonts w:eastAsia="Palatino Linotype" w:cs="Palatino Linotype"/>
          <w:color w:val="000000"/>
          <w:szCs w:val="24"/>
        </w:rPr>
        <w:t xml:space="preserve"> </w:t>
      </w:r>
      <w:r>
        <w:rPr>
          <w:rFonts w:eastAsia="Palatino Linotype" w:cs="Palatino Linotype"/>
          <w:color w:val="000000"/>
          <w:szCs w:val="24"/>
        </w:rPr>
        <w:t>y se ponga a disposición del</w:t>
      </w:r>
      <w:r w:rsidRPr="00326E60">
        <w:rPr>
          <w:rFonts w:eastAsia="Palatino Linotype" w:cs="Palatino Linotype"/>
          <w:color w:val="000000"/>
          <w:szCs w:val="24"/>
        </w:rPr>
        <w:t xml:space="preserve"> Recurrente.</w:t>
      </w:r>
    </w:p>
    <w:p w14:paraId="455A0062" w14:textId="77777777" w:rsidR="004161DA" w:rsidRPr="00B667E3" w:rsidRDefault="004161DA" w:rsidP="00637878">
      <w:pPr>
        <w:pStyle w:val="NormalINFOEM"/>
        <w:rPr>
          <w:szCs w:val="24"/>
        </w:rPr>
      </w:pPr>
    </w:p>
    <w:p w14:paraId="0BFBD801" w14:textId="343F5C80"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lastRenderedPageBreak/>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 xml:space="preserve">la presente resolución al Titular de la Unidad de Transparencia del Sujeto Obligado </w:t>
      </w:r>
      <w:r w:rsidR="0032659A" w:rsidRPr="00325BCB">
        <w:rPr>
          <w:rFonts w:eastAsia="Palatino Linotype" w:cs="Palatino Linotype"/>
          <w:color w:val="000000"/>
          <w:szCs w:val="24"/>
        </w:rPr>
        <w:t>mediante el Sistema de Acceso a la Información Mexiquense (SAIMEX)</w:t>
      </w:r>
      <w:r w:rsidR="0032659A">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BA5315" w:rsidRDefault="00581587" w:rsidP="00581587">
      <w:pPr>
        <w:pBdr>
          <w:top w:val="nil"/>
          <w:left w:val="nil"/>
          <w:bottom w:val="nil"/>
          <w:right w:val="nil"/>
          <w:between w:val="nil"/>
        </w:pBdr>
        <w:rPr>
          <w:rFonts w:eastAsia="Palatino Linotype" w:cs="Palatino Linotype"/>
          <w:color w:val="000000"/>
          <w:szCs w:val="24"/>
        </w:rPr>
      </w:pPr>
    </w:p>
    <w:p w14:paraId="0DB49AA1" w14:textId="46022E53" w:rsidR="00581587" w:rsidRPr="00BA5315" w:rsidRDefault="00581587" w:rsidP="00581587">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w:t>
      </w:r>
      <w:r w:rsidR="000D3DC4" w:rsidRPr="00BA5315">
        <w:rPr>
          <w:rFonts w:eastAsia="Palatino Linotype" w:cs="Palatino Linotype"/>
          <w:color w:val="000000"/>
          <w:szCs w:val="24"/>
        </w:rPr>
        <w:t>l</w:t>
      </w:r>
      <w:r w:rsidRPr="00BA5315">
        <w:rPr>
          <w:rFonts w:eastAsia="Palatino Linotype" w:cs="Palatino Linotype"/>
          <w:color w:val="000000"/>
          <w:szCs w:val="24"/>
        </w:rPr>
        <w:t xml:space="preserve"> Recurrente mediante el Sistema de Acceso a la Información Mexiquense (SAIMEX)</w:t>
      </w:r>
      <w:r w:rsidR="00FB5BF2" w:rsidRPr="00BA5315">
        <w:rPr>
          <w:rFonts w:eastAsia="Palatino Linotype" w:cs="Palatino Linotype"/>
          <w:color w:val="000000"/>
          <w:szCs w:val="24"/>
        </w:rPr>
        <w:t xml:space="preserve">, </w:t>
      </w:r>
      <w:r w:rsidRPr="00BA5315">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BA5315" w:rsidRDefault="00454915" w:rsidP="008F50E6">
      <w:pPr>
        <w:rPr>
          <w:szCs w:val="24"/>
        </w:rPr>
      </w:pPr>
    </w:p>
    <w:p w14:paraId="20573BFF" w14:textId="2848DAD4"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lastRenderedPageBreak/>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w:t>
      </w:r>
      <w:r w:rsidR="006B5508">
        <w:rPr>
          <w:rFonts w:eastAsia="Palatino Linotype" w:cs="Palatino Linotype"/>
          <w:color w:val="000000"/>
          <w:szCs w:val="24"/>
        </w:rPr>
        <w:t xml:space="preserve"> (AUSENCIA JUSTIFICADA)</w:t>
      </w:r>
      <w:r w:rsidR="006922F5">
        <w:rPr>
          <w:rFonts w:eastAsia="Palatino Linotype" w:cs="Palatino Linotype"/>
          <w:color w:val="000000"/>
          <w:szCs w:val="24"/>
        </w:rPr>
        <w:t>, SHARON CRISTINA MORALES MARTÍNEZ</w:t>
      </w:r>
      <w:r w:rsidR="00CE02FF">
        <w:rPr>
          <w:rFonts w:eastAsia="Palatino Linotype" w:cs="Palatino Linotype"/>
          <w:color w:val="000000"/>
          <w:szCs w:val="24"/>
        </w:rPr>
        <w:t xml:space="preserve"> </w:t>
      </w:r>
      <w:r w:rsidR="006922F5">
        <w:rPr>
          <w:rFonts w:eastAsia="Palatino Linotype" w:cs="Palatino Linotype"/>
          <w:color w:val="000000"/>
          <w:szCs w:val="24"/>
        </w:rPr>
        <w:t>LUIS GUSTAVO PARRA NORIEGA</w:t>
      </w:r>
      <w:r w:rsidR="00CE02FF">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8C3573">
        <w:rPr>
          <w:rFonts w:eastAsia="Palatino Linotype" w:cs="Palatino Linotype"/>
          <w:color w:val="000000"/>
          <w:szCs w:val="24"/>
        </w:rPr>
        <w:t>TRIGÉSIMA PRIMERA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8C3573">
        <w:rPr>
          <w:rFonts w:eastAsia="Palatino Linotype" w:cs="Palatino Linotype"/>
          <w:color w:val="000000"/>
          <w:szCs w:val="24"/>
        </w:rPr>
        <w:t>TRES DE SEPTIEMBRE</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E14B7A">
        <w:rPr>
          <w:rFonts w:eastAsia="Palatino Linotype" w:cs="Palatino Linotype"/>
          <w:color w:val="000000"/>
          <w:szCs w:val="24"/>
        </w:rPr>
        <w:t>----</w:t>
      </w:r>
      <w:r w:rsidR="00E32C1E">
        <w:rPr>
          <w:rFonts w:eastAsia="Palatino Linotype" w:cs="Palatino Linotype"/>
          <w:color w:val="000000"/>
          <w:szCs w:val="24"/>
        </w:rPr>
        <w:t>---------------------------------------------------------------------------------------------------------------------------------------------------------------------------------------------------------------------------------------------------------------------------------------------------------------------------------------------------------------------------------------------------------------------------------------------------------------------------------------------------------------------------------------------------------------------------------------------------------------------------------------------------------------------------------------------------------------------------------------------------------------------------------------------------------------------------------------------------------------------------------------------------------------------------------------------------------------------------------------------------------------------------------------------------------------------------------------------------------------------------------------------------------------------------------------------------------------------------------------------------------------------------------------------------------------------------------------------------------------------------------------------------------------------------------------------------------------------------------------------------------------------------------------------------------------------------------------------------------------------------------------------------------------------------------------------------------------------------------------------------------------------------------------------------</w:t>
      </w:r>
      <w:r w:rsidR="00E23FDF">
        <w:rPr>
          <w:rFonts w:eastAsia="Palatino Linotype" w:cs="Palatino Linotype"/>
          <w:color w:val="000000"/>
          <w:szCs w:val="24"/>
        </w:rPr>
        <w:t>----------</w:t>
      </w:r>
      <w:r w:rsidR="00E32C1E">
        <w:rPr>
          <w:rFonts w:eastAsia="Palatino Linotype" w:cs="Palatino Linotype"/>
          <w:color w:val="000000"/>
          <w:szCs w:val="24"/>
        </w:rPr>
        <w:t>--------------------------</w:t>
      </w:r>
    </w:p>
    <w:p w14:paraId="4DA57669" w14:textId="44F3606E" w:rsidR="00A970D5" w:rsidRPr="004B7011" w:rsidRDefault="00E14B7A" w:rsidP="001E2ECC">
      <w:pPr>
        <w:pBdr>
          <w:top w:val="nil"/>
          <w:left w:val="nil"/>
          <w:bottom w:val="nil"/>
          <w:right w:val="nil"/>
          <w:between w:val="nil"/>
        </w:pBdr>
        <w:contextualSpacing/>
        <w:rPr>
          <w:rFonts w:eastAsia="Palatino Linotype" w:cs="Palatino Linotype"/>
          <w:color w:val="000000"/>
          <w:sz w:val="20"/>
          <w:szCs w:val="20"/>
          <w:lang w:val="es-ES"/>
        </w:rPr>
      </w:pPr>
      <w:r>
        <w:rPr>
          <w:rFonts w:eastAsia="Palatino Linotype" w:cs="Palatino Linotype"/>
          <w:color w:val="000000"/>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457A9FD8" w14:textId="77777777" w:rsidR="00E32C1E" w:rsidRDefault="00E32C1E" w:rsidP="006922F5">
      <w:pPr>
        <w:pBdr>
          <w:top w:val="nil"/>
          <w:left w:val="nil"/>
          <w:bottom w:val="nil"/>
          <w:right w:val="nil"/>
          <w:between w:val="nil"/>
        </w:pBdr>
        <w:contextualSpacing/>
        <w:rPr>
          <w:rFonts w:eastAsia="Palatino Linotype" w:cs="Palatino Linotype"/>
          <w:color w:val="000000"/>
          <w:sz w:val="20"/>
          <w:szCs w:val="20"/>
        </w:rPr>
      </w:pPr>
    </w:p>
    <w:p w14:paraId="0C52F9AA" w14:textId="77777777" w:rsidR="00E32C1E" w:rsidRPr="004B7011" w:rsidRDefault="00E32C1E"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F4AD0">
      <w:headerReference w:type="even" r:id="rId8"/>
      <w:headerReference w:type="default" r:id="rId9"/>
      <w:footerReference w:type="default" r:id="rId10"/>
      <w:headerReference w:type="first" r:id="rId11"/>
      <w:footerReference w:type="first" r:id="rId12"/>
      <w:pgSz w:w="12240" w:h="15840"/>
      <w:pgMar w:top="3062"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1A215" w14:textId="77777777" w:rsidR="005C0DFA" w:rsidRDefault="005C0DFA" w:rsidP="00F2498E">
      <w:pPr>
        <w:spacing w:line="240" w:lineRule="auto"/>
      </w:pPr>
      <w:r>
        <w:separator/>
      </w:r>
    </w:p>
  </w:endnote>
  <w:endnote w:type="continuationSeparator" w:id="0">
    <w:p w14:paraId="4072A464" w14:textId="77777777" w:rsidR="005C0DFA" w:rsidRDefault="005C0DFA" w:rsidP="00F2498E">
      <w:pPr>
        <w:spacing w:line="240" w:lineRule="auto"/>
      </w:pPr>
      <w:r>
        <w:continuationSeparator/>
      </w:r>
    </w:p>
  </w:endnote>
  <w:endnote w:type="continuationNotice" w:id="1">
    <w:p w14:paraId="300A99C9" w14:textId="77777777" w:rsidR="005C0DFA" w:rsidRDefault="005C0D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7C2764" w:rsidRPr="00871A91" w:rsidRDefault="007C276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75AD8">
      <w:rPr>
        <w:rFonts w:ascii="Palatino Linotype" w:hAnsi="Palatino Linotype"/>
        <w:b/>
        <w:bCs/>
        <w:noProof/>
        <w:sz w:val="20"/>
      </w:rPr>
      <w:t>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75AD8">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7C2764" w:rsidRPr="00871A91" w:rsidRDefault="007C276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75AD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75AD8">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3F9F2" w14:textId="77777777" w:rsidR="005C0DFA" w:rsidRDefault="005C0DFA" w:rsidP="00F2498E">
      <w:pPr>
        <w:spacing w:line="240" w:lineRule="auto"/>
      </w:pPr>
      <w:r>
        <w:separator/>
      </w:r>
    </w:p>
  </w:footnote>
  <w:footnote w:type="continuationSeparator" w:id="0">
    <w:p w14:paraId="0637A9BB" w14:textId="77777777" w:rsidR="005C0DFA" w:rsidRDefault="005C0DFA" w:rsidP="00F2498E">
      <w:pPr>
        <w:spacing w:line="240" w:lineRule="auto"/>
      </w:pPr>
      <w:r>
        <w:continuationSeparator/>
      </w:r>
    </w:p>
  </w:footnote>
  <w:footnote w:type="continuationNotice" w:id="1">
    <w:p w14:paraId="12892E55" w14:textId="77777777" w:rsidR="005C0DFA" w:rsidRDefault="005C0DFA">
      <w:pPr>
        <w:spacing w:line="240" w:lineRule="auto"/>
      </w:pPr>
    </w:p>
  </w:footnote>
  <w:footnote w:id="2">
    <w:p w14:paraId="2BCE50A0" w14:textId="77777777" w:rsidR="007C2764" w:rsidRPr="0031280C" w:rsidRDefault="007C276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7C2764" w:rsidRPr="0031280C" w:rsidRDefault="007C276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7C2764" w:rsidRPr="0031280C" w:rsidRDefault="007C276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7C2764" w:rsidRPr="0031280C" w:rsidRDefault="007C276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B6B47A5" w14:textId="454217D8" w:rsidR="007C2764" w:rsidRPr="00FC64D4" w:rsidRDefault="007C2764" w:rsidP="00FC64D4">
      <w:pPr>
        <w:pStyle w:val="Textonotapie"/>
        <w:rPr>
          <w:sz w:val="18"/>
        </w:rPr>
      </w:pPr>
      <w:r w:rsidRPr="00FC64D4">
        <w:rPr>
          <w:rStyle w:val="Refdenotaalpie"/>
          <w:sz w:val="18"/>
        </w:rPr>
        <w:footnoteRef/>
      </w:r>
      <w:r w:rsidRPr="00FC64D4">
        <w:rPr>
          <w:sz w:val="18"/>
        </w:rPr>
        <w:t xml:space="preserve"> Tesis VI.2o. J/43</w:t>
      </w:r>
      <w:r>
        <w:rPr>
          <w:sz w:val="18"/>
        </w:rPr>
        <w:t xml:space="preserve">, </w:t>
      </w:r>
      <w:r>
        <w:rPr>
          <w:i/>
          <w:sz w:val="18"/>
        </w:rPr>
        <w:t>Semanario Judicial de la Federación y su Gaceta</w:t>
      </w:r>
      <w:r>
        <w:rPr>
          <w:sz w:val="18"/>
        </w:rPr>
        <w:t>, Novena Época, Tomo III, marzo de 1996, pág. 769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7C2764" w:rsidRDefault="00875AD8">
    <w:pPr>
      <w:pStyle w:val="Encabezado"/>
    </w:pPr>
    <w:r>
      <w:rPr>
        <w:noProof/>
        <w:lang w:val="es-MX" w:eastAsia="es-MX"/>
      </w:rPr>
      <w:pict w14:anchorId="72009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C2764" w:rsidRPr="00B17577" w14:paraId="37B9EBDE" w14:textId="77777777" w:rsidTr="003938ED">
      <w:trPr>
        <w:trHeight w:val="227"/>
      </w:trPr>
      <w:tc>
        <w:tcPr>
          <w:tcW w:w="5103" w:type="dxa"/>
          <w:hideMark/>
        </w:tcPr>
        <w:p w14:paraId="4964FBC5" w14:textId="54CDA645" w:rsidR="007C2764" w:rsidRPr="00096248" w:rsidRDefault="007C276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65D17AF" w:rsidR="007C2764" w:rsidRPr="00096248" w:rsidRDefault="007C2764" w:rsidP="00011C4D">
          <w:pPr>
            <w:spacing w:after="120" w:line="240" w:lineRule="auto"/>
            <w:ind w:right="71"/>
            <w:jc w:val="right"/>
            <w:rPr>
              <w:rFonts w:cs="Arial"/>
              <w:b/>
              <w:szCs w:val="24"/>
            </w:rPr>
          </w:pPr>
          <w:r>
            <w:rPr>
              <w:rFonts w:cs="Arial"/>
              <w:b/>
              <w:bCs/>
              <w:szCs w:val="24"/>
            </w:rPr>
            <w:t>06685/INFOEM/IP/RR/2025</w:t>
          </w:r>
        </w:p>
      </w:tc>
    </w:tr>
    <w:tr w:rsidR="007C2764" w14:paraId="7591D3C9" w14:textId="77777777" w:rsidTr="003938ED">
      <w:trPr>
        <w:trHeight w:val="242"/>
      </w:trPr>
      <w:tc>
        <w:tcPr>
          <w:tcW w:w="5103" w:type="dxa"/>
          <w:hideMark/>
        </w:tcPr>
        <w:p w14:paraId="729A65A8" w14:textId="77777777" w:rsidR="007C2764" w:rsidRPr="00096248" w:rsidRDefault="007C276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2824954" w:rsidR="007C2764" w:rsidRPr="00096248" w:rsidRDefault="007C2764" w:rsidP="00011C4D">
          <w:pPr>
            <w:spacing w:after="120" w:line="240" w:lineRule="auto"/>
            <w:ind w:left="-81" w:right="71"/>
            <w:jc w:val="right"/>
            <w:rPr>
              <w:rFonts w:cs="Arial"/>
              <w:szCs w:val="24"/>
            </w:rPr>
          </w:pPr>
          <w:r>
            <w:rPr>
              <w:rFonts w:cs="Arial"/>
              <w:szCs w:val="24"/>
            </w:rPr>
            <w:t>Sistema Municipal para el Desarrollo Integral de la Familia de Huehuetoca</w:t>
          </w:r>
        </w:p>
      </w:tc>
    </w:tr>
    <w:tr w:rsidR="007C2764" w:rsidRPr="00F63239" w14:paraId="037E914D" w14:textId="77777777" w:rsidTr="003938ED">
      <w:trPr>
        <w:trHeight w:val="342"/>
      </w:trPr>
      <w:tc>
        <w:tcPr>
          <w:tcW w:w="5103" w:type="dxa"/>
          <w:hideMark/>
        </w:tcPr>
        <w:p w14:paraId="7676B68F" w14:textId="64D69EAF" w:rsidR="007C2764" w:rsidRPr="00096248" w:rsidRDefault="007C276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7C2764" w:rsidRDefault="007C276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7C2764" w:rsidRPr="00711916" w:rsidRDefault="007C2764" w:rsidP="00011C4D">
          <w:pPr>
            <w:spacing w:after="120" w:line="240" w:lineRule="auto"/>
            <w:ind w:left="-486" w:right="71" w:firstLine="567"/>
            <w:jc w:val="right"/>
            <w:rPr>
              <w:rFonts w:cs="Arial"/>
              <w:sz w:val="2"/>
              <w:szCs w:val="2"/>
            </w:rPr>
          </w:pPr>
        </w:p>
      </w:tc>
    </w:tr>
  </w:tbl>
  <w:p w14:paraId="2998DBFD" w14:textId="25A9F426" w:rsidR="007C2764" w:rsidRPr="00871A91" w:rsidRDefault="00875AD8">
    <w:pPr>
      <w:pStyle w:val="Encabezado"/>
      <w:rPr>
        <w:sz w:val="2"/>
      </w:rPr>
    </w:pPr>
    <w:r>
      <w:rPr>
        <w:noProof/>
        <w:lang w:val="es-MX" w:eastAsia="es-MX"/>
      </w:rPr>
      <w:pict w14:anchorId="00595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7.1pt;margin-top:-149.6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7C276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C2764" w14:paraId="0F9FE9B6" w14:textId="77777777" w:rsidTr="70652167">
      <w:trPr>
        <w:trHeight w:val="227"/>
      </w:trPr>
      <w:tc>
        <w:tcPr>
          <w:tcW w:w="5103" w:type="dxa"/>
          <w:hideMark/>
        </w:tcPr>
        <w:p w14:paraId="6D1D9D71" w14:textId="11150E5A" w:rsidR="007C2764" w:rsidRPr="00663A37" w:rsidRDefault="007C276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BF85338" w:rsidR="007C2764" w:rsidRPr="00C81ECD" w:rsidRDefault="007C2764" w:rsidP="00011C4D">
          <w:pPr>
            <w:spacing w:after="120" w:line="240" w:lineRule="auto"/>
            <w:ind w:left="-486" w:right="68" w:firstLine="558"/>
            <w:jc w:val="right"/>
            <w:rPr>
              <w:rFonts w:cs="Arial"/>
              <w:b/>
              <w:szCs w:val="24"/>
            </w:rPr>
          </w:pPr>
          <w:r>
            <w:rPr>
              <w:rFonts w:cs="Arial"/>
              <w:b/>
              <w:bCs/>
              <w:szCs w:val="24"/>
            </w:rPr>
            <w:t>06685/INFOEM/IP/RR/2025</w:t>
          </w:r>
        </w:p>
      </w:tc>
    </w:tr>
    <w:tr w:rsidR="007C2764" w:rsidRPr="001F57CD" w14:paraId="1377D264" w14:textId="77777777" w:rsidTr="70652167">
      <w:trPr>
        <w:trHeight w:val="196"/>
      </w:trPr>
      <w:tc>
        <w:tcPr>
          <w:tcW w:w="5103" w:type="dxa"/>
          <w:hideMark/>
        </w:tcPr>
        <w:p w14:paraId="04D597A1" w14:textId="77777777" w:rsidR="007C2764" w:rsidRPr="00663A37" w:rsidRDefault="007C276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6B609BC" w:rsidR="007C2764" w:rsidRPr="00663A37" w:rsidRDefault="00875AD8" w:rsidP="70652167">
          <w:pPr>
            <w:spacing w:after="120" w:line="240" w:lineRule="auto"/>
            <w:ind w:right="68"/>
            <w:jc w:val="right"/>
            <w:rPr>
              <w:rFonts w:cs="Arial"/>
              <w:lang w:val="es-ES"/>
            </w:rPr>
          </w:pPr>
          <w:r>
            <w:rPr>
              <w:rFonts w:cs="Arial"/>
              <w:lang w:val="es-ES"/>
            </w:rPr>
            <w:t>xxxx</w:t>
          </w:r>
        </w:p>
      </w:tc>
    </w:tr>
    <w:tr w:rsidR="007C2764" w14:paraId="4DC11993" w14:textId="77777777" w:rsidTr="70652167">
      <w:trPr>
        <w:trHeight w:val="242"/>
      </w:trPr>
      <w:tc>
        <w:tcPr>
          <w:tcW w:w="5103" w:type="dxa"/>
          <w:hideMark/>
        </w:tcPr>
        <w:p w14:paraId="76CEF1B5" w14:textId="77777777" w:rsidR="007C2764" w:rsidRPr="00663A37" w:rsidRDefault="007C276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6C71127" w:rsidR="007C2764" w:rsidRPr="00663A37" w:rsidRDefault="007C2764" w:rsidP="00771E23">
          <w:pPr>
            <w:spacing w:after="120" w:line="240" w:lineRule="auto"/>
            <w:ind w:left="-70" w:right="68"/>
            <w:jc w:val="right"/>
            <w:rPr>
              <w:rFonts w:cs="Arial"/>
              <w:szCs w:val="24"/>
            </w:rPr>
          </w:pPr>
          <w:r>
            <w:rPr>
              <w:rFonts w:cs="Arial"/>
              <w:szCs w:val="24"/>
            </w:rPr>
            <w:t>Sistema Municipal para el Desarrollo Integral de la Familia de Huehuetoca</w:t>
          </w:r>
        </w:p>
      </w:tc>
    </w:tr>
    <w:tr w:rsidR="007C2764" w14:paraId="5C2B511D" w14:textId="77777777" w:rsidTr="70652167">
      <w:trPr>
        <w:trHeight w:val="342"/>
      </w:trPr>
      <w:tc>
        <w:tcPr>
          <w:tcW w:w="5103" w:type="dxa"/>
          <w:hideMark/>
        </w:tcPr>
        <w:p w14:paraId="03FEF68C" w14:textId="45E91CF4" w:rsidR="007C2764" w:rsidRPr="00663A37" w:rsidRDefault="007C276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7C2764" w:rsidRPr="00663A37" w:rsidRDefault="007C276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7C2764" w:rsidRPr="00871A91" w:rsidRDefault="00875AD8">
    <w:pPr>
      <w:pStyle w:val="Encabezado"/>
      <w:rPr>
        <w:sz w:val="2"/>
      </w:rPr>
    </w:pPr>
    <w:r>
      <w:rPr>
        <w:noProof/>
        <w:lang w:val="es-MX" w:eastAsia="es-MX"/>
      </w:rPr>
      <w:pict w14:anchorId="7CF3A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7.1pt;margin-top:-149.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7C276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911CF1"/>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9E6AAF"/>
    <w:multiLevelType w:val="multilevel"/>
    <w:tmpl w:val="D8667FD8"/>
    <w:styleLink w:val="Listaactual3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736109"/>
    <w:multiLevelType w:val="hybridMultilevel"/>
    <w:tmpl w:val="9C8C55F4"/>
    <w:lvl w:ilvl="0" w:tplc="3CFCFEF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F427B9"/>
    <w:multiLevelType w:val="hybridMultilevel"/>
    <w:tmpl w:val="18E44B40"/>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7C608C0"/>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8EE5BDA"/>
    <w:multiLevelType w:val="hybridMultilevel"/>
    <w:tmpl w:val="D6EEE37E"/>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D956403"/>
    <w:multiLevelType w:val="hybridMultilevel"/>
    <w:tmpl w:val="279CE15C"/>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5975C6"/>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A321D7"/>
    <w:multiLevelType w:val="hybridMultilevel"/>
    <w:tmpl w:val="9EDE4C08"/>
    <w:lvl w:ilvl="0" w:tplc="36A0F8E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C4D40E1"/>
    <w:multiLevelType w:val="hybridMultilevel"/>
    <w:tmpl w:val="76A87F10"/>
    <w:lvl w:ilvl="0" w:tplc="C48A71BE">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2B12B2"/>
    <w:multiLevelType w:val="multilevel"/>
    <w:tmpl w:val="F5382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53D06E5"/>
    <w:multiLevelType w:val="hybridMultilevel"/>
    <w:tmpl w:val="6AF81256"/>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4"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5"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44"/>
  </w:num>
  <w:num w:numId="3">
    <w:abstractNumId w:val="16"/>
  </w:num>
  <w:num w:numId="4">
    <w:abstractNumId w:val="57"/>
  </w:num>
  <w:num w:numId="5">
    <w:abstractNumId w:val="6"/>
  </w:num>
  <w:num w:numId="6">
    <w:abstractNumId w:val="48"/>
  </w:num>
  <w:num w:numId="7">
    <w:abstractNumId w:val="13"/>
  </w:num>
  <w:num w:numId="8">
    <w:abstractNumId w:val="5"/>
  </w:num>
  <w:num w:numId="9">
    <w:abstractNumId w:val="25"/>
  </w:num>
  <w:num w:numId="10">
    <w:abstractNumId w:val="27"/>
  </w:num>
  <w:num w:numId="11">
    <w:abstractNumId w:val="62"/>
  </w:num>
  <w:num w:numId="12">
    <w:abstractNumId w:val="55"/>
  </w:num>
  <w:num w:numId="13">
    <w:abstractNumId w:val="38"/>
  </w:num>
  <w:num w:numId="14">
    <w:abstractNumId w:val="43"/>
  </w:num>
  <w:num w:numId="15">
    <w:abstractNumId w:val="21"/>
  </w:num>
  <w:num w:numId="16">
    <w:abstractNumId w:val="35"/>
  </w:num>
  <w:num w:numId="17">
    <w:abstractNumId w:val="18"/>
  </w:num>
  <w:num w:numId="18">
    <w:abstractNumId w:val="8"/>
  </w:num>
  <w:num w:numId="19">
    <w:abstractNumId w:val="9"/>
  </w:num>
  <w:num w:numId="20">
    <w:abstractNumId w:val="17"/>
  </w:num>
  <w:num w:numId="21">
    <w:abstractNumId w:val="30"/>
  </w:num>
  <w:num w:numId="22">
    <w:abstractNumId w:val="4"/>
  </w:num>
  <w:num w:numId="23">
    <w:abstractNumId w:val="40"/>
  </w:num>
  <w:num w:numId="24">
    <w:abstractNumId w:val="47"/>
  </w:num>
  <w:num w:numId="25">
    <w:abstractNumId w:val="56"/>
  </w:num>
  <w:num w:numId="26">
    <w:abstractNumId w:val="23"/>
  </w:num>
  <w:num w:numId="27">
    <w:abstractNumId w:val="51"/>
  </w:num>
  <w:num w:numId="28">
    <w:abstractNumId w:val="32"/>
  </w:num>
  <w:num w:numId="29">
    <w:abstractNumId w:val="29"/>
  </w:num>
  <w:num w:numId="30">
    <w:abstractNumId w:val="19"/>
  </w:num>
  <w:num w:numId="31">
    <w:abstractNumId w:val="42"/>
  </w:num>
  <w:num w:numId="32">
    <w:abstractNumId w:val="46"/>
  </w:num>
  <w:num w:numId="33">
    <w:abstractNumId w:val="7"/>
  </w:num>
  <w:num w:numId="34">
    <w:abstractNumId w:val="59"/>
  </w:num>
  <w:num w:numId="35">
    <w:abstractNumId w:val="65"/>
  </w:num>
  <w:num w:numId="36">
    <w:abstractNumId w:val="54"/>
  </w:num>
  <w:num w:numId="37">
    <w:abstractNumId w:val="10"/>
  </w:num>
  <w:num w:numId="38">
    <w:abstractNumId w:val="52"/>
  </w:num>
  <w:num w:numId="39">
    <w:abstractNumId w:val="11"/>
  </w:num>
  <w:num w:numId="40">
    <w:abstractNumId w:val="49"/>
  </w:num>
  <w:num w:numId="41">
    <w:abstractNumId w:val="58"/>
  </w:num>
  <w:num w:numId="42">
    <w:abstractNumId w:val="0"/>
  </w:num>
  <w:num w:numId="43">
    <w:abstractNumId w:val="3"/>
  </w:num>
  <w:num w:numId="44">
    <w:abstractNumId w:val="33"/>
  </w:num>
  <w:num w:numId="45">
    <w:abstractNumId w:val="22"/>
  </w:num>
  <w:num w:numId="46">
    <w:abstractNumId w:val="60"/>
  </w:num>
  <w:num w:numId="47">
    <w:abstractNumId w:val="31"/>
  </w:num>
  <w:num w:numId="48">
    <w:abstractNumId w:val="67"/>
  </w:num>
  <w:num w:numId="49">
    <w:abstractNumId w:val="1"/>
  </w:num>
  <w:num w:numId="50">
    <w:abstractNumId w:val="45"/>
  </w:num>
  <w:num w:numId="51">
    <w:abstractNumId w:val="12"/>
  </w:num>
  <w:num w:numId="52">
    <w:abstractNumId w:val="66"/>
  </w:num>
  <w:num w:numId="53">
    <w:abstractNumId w:val="61"/>
  </w:num>
  <w:num w:numId="54">
    <w:abstractNumId w:val="20"/>
  </w:num>
  <w:num w:numId="55">
    <w:abstractNumId w:val="63"/>
  </w:num>
  <w:num w:numId="56">
    <w:abstractNumId w:val="28"/>
  </w:num>
  <w:num w:numId="57">
    <w:abstractNumId w:val="36"/>
  </w:num>
  <w:num w:numId="58">
    <w:abstractNumId w:val="50"/>
  </w:num>
  <w:num w:numId="59">
    <w:abstractNumId w:val="41"/>
  </w:num>
  <w:num w:numId="60">
    <w:abstractNumId w:val="64"/>
  </w:num>
  <w:num w:numId="61">
    <w:abstractNumId w:val="26"/>
    <w:lvlOverride w:ilvl="0">
      <w:startOverride w:val="1"/>
    </w:lvlOverride>
    <w:lvlOverride w:ilvl="1"/>
    <w:lvlOverride w:ilvl="2"/>
    <w:lvlOverride w:ilvl="3"/>
    <w:lvlOverride w:ilvl="4"/>
    <w:lvlOverride w:ilvl="5"/>
    <w:lvlOverride w:ilvl="6"/>
    <w:lvlOverride w:ilvl="7"/>
    <w:lvlOverride w:ilvl="8"/>
  </w:num>
  <w:num w:numId="62">
    <w:abstractNumId w:val="53"/>
  </w:num>
  <w:num w:numId="63">
    <w:abstractNumId w:val="24"/>
  </w:num>
  <w:num w:numId="64">
    <w:abstractNumId w:val="2"/>
  </w:num>
  <w:num w:numId="65">
    <w:abstractNumId w:val="34"/>
  </w:num>
  <w:num w:numId="66">
    <w:abstractNumId w:val="37"/>
  </w:num>
  <w:num w:numId="67">
    <w:abstractNumId w:val="14"/>
  </w:num>
  <w:num w:numId="68">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4A6"/>
    <w:rsid w:val="000024F0"/>
    <w:rsid w:val="00002C6A"/>
    <w:rsid w:val="00003412"/>
    <w:rsid w:val="000034AA"/>
    <w:rsid w:val="000037B8"/>
    <w:rsid w:val="00003F45"/>
    <w:rsid w:val="00004014"/>
    <w:rsid w:val="00004465"/>
    <w:rsid w:val="00004479"/>
    <w:rsid w:val="00004B62"/>
    <w:rsid w:val="00005064"/>
    <w:rsid w:val="00005965"/>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4DE6"/>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5"/>
    <w:rsid w:val="00043780"/>
    <w:rsid w:val="000452AA"/>
    <w:rsid w:val="00045F86"/>
    <w:rsid w:val="000463F5"/>
    <w:rsid w:val="00046717"/>
    <w:rsid w:val="00046A15"/>
    <w:rsid w:val="00047890"/>
    <w:rsid w:val="00050D85"/>
    <w:rsid w:val="00050FF1"/>
    <w:rsid w:val="00051732"/>
    <w:rsid w:val="00051F5E"/>
    <w:rsid w:val="0005213F"/>
    <w:rsid w:val="0005219F"/>
    <w:rsid w:val="0005241C"/>
    <w:rsid w:val="00053AC0"/>
    <w:rsid w:val="00054611"/>
    <w:rsid w:val="00054689"/>
    <w:rsid w:val="0005480B"/>
    <w:rsid w:val="00054F6A"/>
    <w:rsid w:val="00055858"/>
    <w:rsid w:val="00055891"/>
    <w:rsid w:val="00055C90"/>
    <w:rsid w:val="000564B5"/>
    <w:rsid w:val="000565EE"/>
    <w:rsid w:val="00056D5F"/>
    <w:rsid w:val="00057148"/>
    <w:rsid w:val="000571D2"/>
    <w:rsid w:val="0005726D"/>
    <w:rsid w:val="000575E4"/>
    <w:rsid w:val="0005787D"/>
    <w:rsid w:val="00057B42"/>
    <w:rsid w:val="00060716"/>
    <w:rsid w:val="000616C8"/>
    <w:rsid w:val="00061B46"/>
    <w:rsid w:val="00061B8D"/>
    <w:rsid w:val="00061D9B"/>
    <w:rsid w:val="00061E10"/>
    <w:rsid w:val="00061F00"/>
    <w:rsid w:val="00062CBE"/>
    <w:rsid w:val="000643FB"/>
    <w:rsid w:val="00064854"/>
    <w:rsid w:val="00064FFF"/>
    <w:rsid w:val="000653C5"/>
    <w:rsid w:val="00065463"/>
    <w:rsid w:val="000658E9"/>
    <w:rsid w:val="000666B3"/>
    <w:rsid w:val="000676A2"/>
    <w:rsid w:val="0007107B"/>
    <w:rsid w:val="00071159"/>
    <w:rsid w:val="00072987"/>
    <w:rsid w:val="00072AE8"/>
    <w:rsid w:val="00072FF9"/>
    <w:rsid w:val="000739AF"/>
    <w:rsid w:val="00074118"/>
    <w:rsid w:val="00074D4D"/>
    <w:rsid w:val="00075475"/>
    <w:rsid w:val="00075586"/>
    <w:rsid w:val="0007587C"/>
    <w:rsid w:val="00075997"/>
    <w:rsid w:val="00075D5E"/>
    <w:rsid w:val="00075FDC"/>
    <w:rsid w:val="00076332"/>
    <w:rsid w:val="00077748"/>
    <w:rsid w:val="00077A55"/>
    <w:rsid w:val="00077B53"/>
    <w:rsid w:val="00077BA8"/>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F54"/>
    <w:rsid w:val="000900C8"/>
    <w:rsid w:val="0009020C"/>
    <w:rsid w:val="00090297"/>
    <w:rsid w:val="00090A37"/>
    <w:rsid w:val="00090CCD"/>
    <w:rsid w:val="00090EE8"/>
    <w:rsid w:val="00092681"/>
    <w:rsid w:val="00092B31"/>
    <w:rsid w:val="00092D82"/>
    <w:rsid w:val="00092EF4"/>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5BD9"/>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694"/>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7EB"/>
    <w:rsid w:val="000F7D93"/>
    <w:rsid w:val="0010147E"/>
    <w:rsid w:val="0010149D"/>
    <w:rsid w:val="0010153C"/>
    <w:rsid w:val="00101F23"/>
    <w:rsid w:val="00102165"/>
    <w:rsid w:val="0010239B"/>
    <w:rsid w:val="0010303E"/>
    <w:rsid w:val="00103271"/>
    <w:rsid w:val="00103A9A"/>
    <w:rsid w:val="00103C89"/>
    <w:rsid w:val="00103D8C"/>
    <w:rsid w:val="00104BE3"/>
    <w:rsid w:val="001050A9"/>
    <w:rsid w:val="001059AF"/>
    <w:rsid w:val="001059DF"/>
    <w:rsid w:val="0010668E"/>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30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F26"/>
    <w:rsid w:val="0013462D"/>
    <w:rsid w:val="001360B8"/>
    <w:rsid w:val="0013657B"/>
    <w:rsid w:val="00136939"/>
    <w:rsid w:val="00136A94"/>
    <w:rsid w:val="00137807"/>
    <w:rsid w:val="00140181"/>
    <w:rsid w:val="0014092A"/>
    <w:rsid w:val="00140A63"/>
    <w:rsid w:val="00141359"/>
    <w:rsid w:val="00142AF7"/>
    <w:rsid w:val="00142D35"/>
    <w:rsid w:val="00143916"/>
    <w:rsid w:val="00143E8A"/>
    <w:rsid w:val="00143FC6"/>
    <w:rsid w:val="001442FF"/>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31E1"/>
    <w:rsid w:val="00154B4E"/>
    <w:rsid w:val="00154F75"/>
    <w:rsid w:val="00155CC6"/>
    <w:rsid w:val="00155CDF"/>
    <w:rsid w:val="00155F53"/>
    <w:rsid w:val="001564E3"/>
    <w:rsid w:val="00156699"/>
    <w:rsid w:val="001568D5"/>
    <w:rsid w:val="00156962"/>
    <w:rsid w:val="00156DAA"/>
    <w:rsid w:val="00157491"/>
    <w:rsid w:val="00157C91"/>
    <w:rsid w:val="00157D2B"/>
    <w:rsid w:val="00160608"/>
    <w:rsid w:val="001608D3"/>
    <w:rsid w:val="00160F20"/>
    <w:rsid w:val="00160F8D"/>
    <w:rsid w:val="001624E8"/>
    <w:rsid w:val="0016322B"/>
    <w:rsid w:val="0016339A"/>
    <w:rsid w:val="0016392B"/>
    <w:rsid w:val="001641EC"/>
    <w:rsid w:val="001643F2"/>
    <w:rsid w:val="0016533D"/>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A5E"/>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2A89"/>
    <w:rsid w:val="001A316F"/>
    <w:rsid w:val="001A321A"/>
    <w:rsid w:val="001A3982"/>
    <w:rsid w:val="001A3C5F"/>
    <w:rsid w:val="001A3F75"/>
    <w:rsid w:val="001A4523"/>
    <w:rsid w:val="001A4BDF"/>
    <w:rsid w:val="001A5348"/>
    <w:rsid w:val="001A5B53"/>
    <w:rsid w:val="001A5DD6"/>
    <w:rsid w:val="001A6849"/>
    <w:rsid w:val="001A773B"/>
    <w:rsid w:val="001B0259"/>
    <w:rsid w:val="001B0262"/>
    <w:rsid w:val="001B0D9E"/>
    <w:rsid w:val="001B11CB"/>
    <w:rsid w:val="001B16F5"/>
    <w:rsid w:val="001B236A"/>
    <w:rsid w:val="001B23FA"/>
    <w:rsid w:val="001B28D1"/>
    <w:rsid w:val="001B2A3F"/>
    <w:rsid w:val="001B36EE"/>
    <w:rsid w:val="001B3FD2"/>
    <w:rsid w:val="001B5693"/>
    <w:rsid w:val="001B587B"/>
    <w:rsid w:val="001B5959"/>
    <w:rsid w:val="001B6C2D"/>
    <w:rsid w:val="001B7147"/>
    <w:rsid w:val="001B7214"/>
    <w:rsid w:val="001B756C"/>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B77"/>
    <w:rsid w:val="001D225B"/>
    <w:rsid w:val="001D31A1"/>
    <w:rsid w:val="001D32FC"/>
    <w:rsid w:val="001D3563"/>
    <w:rsid w:val="001D3687"/>
    <w:rsid w:val="001D3EE2"/>
    <w:rsid w:val="001D41E0"/>
    <w:rsid w:val="001D4382"/>
    <w:rsid w:val="001D4A6B"/>
    <w:rsid w:val="001D4CB2"/>
    <w:rsid w:val="001D611F"/>
    <w:rsid w:val="001D660A"/>
    <w:rsid w:val="001D6CA8"/>
    <w:rsid w:val="001D721F"/>
    <w:rsid w:val="001D73AD"/>
    <w:rsid w:val="001D7BDD"/>
    <w:rsid w:val="001E0014"/>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F33"/>
    <w:rsid w:val="00217B5E"/>
    <w:rsid w:val="002207CF"/>
    <w:rsid w:val="0022145E"/>
    <w:rsid w:val="00221C04"/>
    <w:rsid w:val="0022245F"/>
    <w:rsid w:val="00223256"/>
    <w:rsid w:val="0022406E"/>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37340"/>
    <w:rsid w:val="00237E1E"/>
    <w:rsid w:val="00240046"/>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2431"/>
    <w:rsid w:val="00282E9E"/>
    <w:rsid w:val="00283965"/>
    <w:rsid w:val="00283BBD"/>
    <w:rsid w:val="00283D5E"/>
    <w:rsid w:val="00284245"/>
    <w:rsid w:val="00285028"/>
    <w:rsid w:val="00285034"/>
    <w:rsid w:val="00285A72"/>
    <w:rsid w:val="00285A94"/>
    <w:rsid w:val="002902FE"/>
    <w:rsid w:val="00290544"/>
    <w:rsid w:val="00290614"/>
    <w:rsid w:val="002911CC"/>
    <w:rsid w:val="002913C5"/>
    <w:rsid w:val="00291DE2"/>
    <w:rsid w:val="00291F65"/>
    <w:rsid w:val="0029208D"/>
    <w:rsid w:val="00292258"/>
    <w:rsid w:val="0029225E"/>
    <w:rsid w:val="002926C0"/>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0BA5"/>
    <w:rsid w:val="002A1797"/>
    <w:rsid w:val="002A1DA3"/>
    <w:rsid w:val="002A3211"/>
    <w:rsid w:val="002A3CE3"/>
    <w:rsid w:val="002A4174"/>
    <w:rsid w:val="002A49BC"/>
    <w:rsid w:val="002A51B8"/>
    <w:rsid w:val="002A564E"/>
    <w:rsid w:val="002A5ADD"/>
    <w:rsid w:val="002A5FDF"/>
    <w:rsid w:val="002A6127"/>
    <w:rsid w:val="002A613A"/>
    <w:rsid w:val="002A629C"/>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C08"/>
    <w:rsid w:val="002C2D27"/>
    <w:rsid w:val="002C3141"/>
    <w:rsid w:val="002C3AA0"/>
    <w:rsid w:val="002C3D26"/>
    <w:rsid w:val="002C42A2"/>
    <w:rsid w:val="002C4718"/>
    <w:rsid w:val="002C48A8"/>
    <w:rsid w:val="002C49B5"/>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27C"/>
    <w:rsid w:val="002F368E"/>
    <w:rsid w:val="002F3AAF"/>
    <w:rsid w:val="002F3E61"/>
    <w:rsid w:val="002F40FF"/>
    <w:rsid w:val="002F5101"/>
    <w:rsid w:val="002F52C1"/>
    <w:rsid w:val="002F5C83"/>
    <w:rsid w:val="002F713F"/>
    <w:rsid w:val="002F799E"/>
    <w:rsid w:val="002F7A64"/>
    <w:rsid w:val="002F7D3E"/>
    <w:rsid w:val="002F7ED4"/>
    <w:rsid w:val="00300919"/>
    <w:rsid w:val="00300C6B"/>
    <w:rsid w:val="00300EA0"/>
    <w:rsid w:val="003012FD"/>
    <w:rsid w:val="0030140A"/>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17C"/>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75F8"/>
    <w:rsid w:val="00330546"/>
    <w:rsid w:val="0033070B"/>
    <w:rsid w:val="00330748"/>
    <w:rsid w:val="00330C73"/>
    <w:rsid w:val="00331513"/>
    <w:rsid w:val="00331974"/>
    <w:rsid w:val="00331ECA"/>
    <w:rsid w:val="0033204C"/>
    <w:rsid w:val="00332D06"/>
    <w:rsid w:val="0033491A"/>
    <w:rsid w:val="00334F21"/>
    <w:rsid w:val="00335A61"/>
    <w:rsid w:val="0033687B"/>
    <w:rsid w:val="00337088"/>
    <w:rsid w:val="00337638"/>
    <w:rsid w:val="00337896"/>
    <w:rsid w:val="00337FA1"/>
    <w:rsid w:val="003403A1"/>
    <w:rsid w:val="00340ADD"/>
    <w:rsid w:val="00341178"/>
    <w:rsid w:val="00341869"/>
    <w:rsid w:val="00341B42"/>
    <w:rsid w:val="00341DB4"/>
    <w:rsid w:val="00341F6A"/>
    <w:rsid w:val="003420E1"/>
    <w:rsid w:val="00342221"/>
    <w:rsid w:val="003423FC"/>
    <w:rsid w:val="003426E6"/>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057"/>
    <w:rsid w:val="00373C5A"/>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518"/>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6A67"/>
    <w:rsid w:val="003C744C"/>
    <w:rsid w:val="003D09B9"/>
    <w:rsid w:val="003D0AE2"/>
    <w:rsid w:val="003D17AF"/>
    <w:rsid w:val="003D2681"/>
    <w:rsid w:val="003D3477"/>
    <w:rsid w:val="003D372B"/>
    <w:rsid w:val="003D4299"/>
    <w:rsid w:val="003D451E"/>
    <w:rsid w:val="003D5450"/>
    <w:rsid w:val="003D58CE"/>
    <w:rsid w:val="003D70D0"/>
    <w:rsid w:val="003D7707"/>
    <w:rsid w:val="003D7760"/>
    <w:rsid w:val="003D7841"/>
    <w:rsid w:val="003E0B2A"/>
    <w:rsid w:val="003E0F89"/>
    <w:rsid w:val="003E13A1"/>
    <w:rsid w:val="003E2013"/>
    <w:rsid w:val="003E24F3"/>
    <w:rsid w:val="003E2955"/>
    <w:rsid w:val="003E3F80"/>
    <w:rsid w:val="003E44DA"/>
    <w:rsid w:val="003E468A"/>
    <w:rsid w:val="003E4972"/>
    <w:rsid w:val="003E4BAA"/>
    <w:rsid w:val="003E606D"/>
    <w:rsid w:val="003E674F"/>
    <w:rsid w:val="003E6C77"/>
    <w:rsid w:val="003E6E17"/>
    <w:rsid w:val="003E7594"/>
    <w:rsid w:val="003E7E83"/>
    <w:rsid w:val="003F0A58"/>
    <w:rsid w:val="003F1C2E"/>
    <w:rsid w:val="003F2491"/>
    <w:rsid w:val="003F308A"/>
    <w:rsid w:val="003F32E3"/>
    <w:rsid w:val="003F3BA5"/>
    <w:rsid w:val="003F4582"/>
    <w:rsid w:val="003F4AD0"/>
    <w:rsid w:val="003F52FC"/>
    <w:rsid w:val="003F5B98"/>
    <w:rsid w:val="003F5D5C"/>
    <w:rsid w:val="003F6192"/>
    <w:rsid w:val="003F716E"/>
    <w:rsid w:val="003F7DBF"/>
    <w:rsid w:val="003F7E2F"/>
    <w:rsid w:val="00400374"/>
    <w:rsid w:val="00400915"/>
    <w:rsid w:val="0040187C"/>
    <w:rsid w:val="00402353"/>
    <w:rsid w:val="00402CBA"/>
    <w:rsid w:val="00403319"/>
    <w:rsid w:val="00404754"/>
    <w:rsid w:val="004049C4"/>
    <w:rsid w:val="00404DB0"/>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659"/>
    <w:rsid w:val="004169C3"/>
    <w:rsid w:val="00417379"/>
    <w:rsid w:val="004176A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2E65"/>
    <w:rsid w:val="004431D5"/>
    <w:rsid w:val="004434CE"/>
    <w:rsid w:val="004436C5"/>
    <w:rsid w:val="00444DD3"/>
    <w:rsid w:val="00444E7F"/>
    <w:rsid w:val="00445514"/>
    <w:rsid w:val="00445853"/>
    <w:rsid w:val="00446CC4"/>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7571"/>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72D"/>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503B"/>
    <w:rsid w:val="004B56DB"/>
    <w:rsid w:val="004B645E"/>
    <w:rsid w:val="004B6671"/>
    <w:rsid w:val="004B670B"/>
    <w:rsid w:val="004B7011"/>
    <w:rsid w:val="004B79BE"/>
    <w:rsid w:val="004B7FD7"/>
    <w:rsid w:val="004C0799"/>
    <w:rsid w:val="004C08CD"/>
    <w:rsid w:val="004C09C8"/>
    <w:rsid w:val="004C11B9"/>
    <w:rsid w:val="004C158A"/>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448"/>
    <w:rsid w:val="00500E29"/>
    <w:rsid w:val="00501811"/>
    <w:rsid w:val="00501E92"/>
    <w:rsid w:val="005025C7"/>
    <w:rsid w:val="0050379F"/>
    <w:rsid w:val="005039C0"/>
    <w:rsid w:val="00504B42"/>
    <w:rsid w:val="0050566F"/>
    <w:rsid w:val="00506DB2"/>
    <w:rsid w:val="005070E1"/>
    <w:rsid w:val="00507EFE"/>
    <w:rsid w:val="0051074E"/>
    <w:rsid w:val="00510856"/>
    <w:rsid w:val="00510870"/>
    <w:rsid w:val="00511301"/>
    <w:rsid w:val="0051177C"/>
    <w:rsid w:val="00511AE4"/>
    <w:rsid w:val="0051206D"/>
    <w:rsid w:val="0051262E"/>
    <w:rsid w:val="00512A53"/>
    <w:rsid w:val="00513D46"/>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0E48"/>
    <w:rsid w:val="005212DF"/>
    <w:rsid w:val="00521628"/>
    <w:rsid w:val="005216ED"/>
    <w:rsid w:val="005219CB"/>
    <w:rsid w:val="00521A59"/>
    <w:rsid w:val="0052214D"/>
    <w:rsid w:val="005222B0"/>
    <w:rsid w:val="00523701"/>
    <w:rsid w:val="00524986"/>
    <w:rsid w:val="0052514C"/>
    <w:rsid w:val="00525F6D"/>
    <w:rsid w:val="0052613E"/>
    <w:rsid w:val="0052655F"/>
    <w:rsid w:val="0052661E"/>
    <w:rsid w:val="00526627"/>
    <w:rsid w:val="00526694"/>
    <w:rsid w:val="00526B00"/>
    <w:rsid w:val="00526DCA"/>
    <w:rsid w:val="00526E3E"/>
    <w:rsid w:val="005272D2"/>
    <w:rsid w:val="00527EF6"/>
    <w:rsid w:val="005302F1"/>
    <w:rsid w:val="00531016"/>
    <w:rsid w:val="00531CE5"/>
    <w:rsid w:val="00531F4E"/>
    <w:rsid w:val="00532218"/>
    <w:rsid w:val="00533849"/>
    <w:rsid w:val="00533D56"/>
    <w:rsid w:val="0053468B"/>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807A8"/>
    <w:rsid w:val="00580D15"/>
    <w:rsid w:val="00581437"/>
    <w:rsid w:val="00581587"/>
    <w:rsid w:val="00581A2E"/>
    <w:rsid w:val="00582613"/>
    <w:rsid w:val="0058344E"/>
    <w:rsid w:val="00584C51"/>
    <w:rsid w:val="00584F97"/>
    <w:rsid w:val="00585165"/>
    <w:rsid w:val="005856B3"/>
    <w:rsid w:val="00585AA7"/>
    <w:rsid w:val="00587662"/>
    <w:rsid w:val="00587B1E"/>
    <w:rsid w:val="00587E84"/>
    <w:rsid w:val="005913E6"/>
    <w:rsid w:val="00592125"/>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3658"/>
    <w:rsid w:val="005A40C1"/>
    <w:rsid w:val="005A43E7"/>
    <w:rsid w:val="005A4480"/>
    <w:rsid w:val="005A45B1"/>
    <w:rsid w:val="005A6057"/>
    <w:rsid w:val="005A60E9"/>
    <w:rsid w:val="005A77E1"/>
    <w:rsid w:val="005A7E33"/>
    <w:rsid w:val="005B03D3"/>
    <w:rsid w:val="005B10CC"/>
    <w:rsid w:val="005B12BF"/>
    <w:rsid w:val="005B265D"/>
    <w:rsid w:val="005B30A0"/>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0DFA"/>
    <w:rsid w:val="005C16D1"/>
    <w:rsid w:val="005C196C"/>
    <w:rsid w:val="005C27C8"/>
    <w:rsid w:val="005C2DFB"/>
    <w:rsid w:val="005C32BE"/>
    <w:rsid w:val="005C3756"/>
    <w:rsid w:val="005C3DF3"/>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671"/>
    <w:rsid w:val="005D6CE0"/>
    <w:rsid w:val="005D73A6"/>
    <w:rsid w:val="005D743E"/>
    <w:rsid w:val="005D752A"/>
    <w:rsid w:val="005D7918"/>
    <w:rsid w:val="005E0835"/>
    <w:rsid w:val="005E10A5"/>
    <w:rsid w:val="005E1AEC"/>
    <w:rsid w:val="005E1D5C"/>
    <w:rsid w:val="005E21DE"/>
    <w:rsid w:val="005E2316"/>
    <w:rsid w:val="005E24C2"/>
    <w:rsid w:val="005E34E9"/>
    <w:rsid w:val="005E35AB"/>
    <w:rsid w:val="005E3E29"/>
    <w:rsid w:val="005E40B7"/>
    <w:rsid w:val="005E4F63"/>
    <w:rsid w:val="005E57D8"/>
    <w:rsid w:val="005E5A8E"/>
    <w:rsid w:val="005E625F"/>
    <w:rsid w:val="005E68C5"/>
    <w:rsid w:val="005E7E9F"/>
    <w:rsid w:val="005F06CD"/>
    <w:rsid w:val="005F1439"/>
    <w:rsid w:val="005F21B0"/>
    <w:rsid w:val="005F30F1"/>
    <w:rsid w:val="005F3103"/>
    <w:rsid w:val="005F3144"/>
    <w:rsid w:val="005F33B2"/>
    <w:rsid w:val="005F36D3"/>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4255"/>
    <w:rsid w:val="00624E9E"/>
    <w:rsid w:val="0062573B"/>
    <w:rsid w:val="0062603B"/>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9D3"/>
    <w:rsid w:val="00643AF0"/>
    <w:rsid w:val="00644D02"/>
    <w:rsid w:val="006451AD"/>
    <w:rsid w:val="0064523C"/>
    <w:rsid w:val="0064573B"/>
    <w:rsid w:val="006468ED"/>
    <w:rsid w:val="00647DF7"/>
    <w:rsid w:val="00650569"/>
    <w:rsid w:val="0065060E"/>
    <w:rsid w:val="006512F6"/>
    <w:rsid w:val="00651EDD"/>
    <w:rsid w:val="006523DC"/>
    <w:rsid w:val="0065378D"/>
    <w:rsid w:val="006538FC"/>
    <w:rsid w:val="00653B0F"/>
    <w:rsid w:val="00655007"/>
    <w:rsid w:val="006557CE"/>
    <w:rsid w:val="0065599C"/>
    <w:rsid w:val="00655B5C"/>
    <w:rsid w:val="00656FD1"/>
    <w:rsid w:val="00657129"/>
    <w:rsid w:val="00657595"/>
    <w:rsid w:val="006575BC"/>
    <w:rsid w:val="00657695"/>
    <w:rsid w:val="00657B69"/>
    <w:rsid w:val="006600B9"/>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508"/>
    <w:rsid w:val="006B598D"/>
    <w:rsid w:val="006B6498"/>
    <w:rsid w:val="006B64AA"/>
    <w:rsid w:val="006B6868"/>
    <w:rsid w:val="006B68FD"/>
    <w:rsid w:val="006B7074"/>
    <w:rsid w:val="006B7A23"/>
    <w:rsid w:val="006B7E1D"/>
    <w:rsid w:val="006C14E5"/>
    <w:rsid w:val="006C1705"/>
    <w:rsid w:val="006C2214"/>
    <w:rsid w:val="006C23FB"/>
    <w:rsid w:val="006C2E7C"/>
    <w:rsid w:val="006C2E97"/>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064"/>
    <w:rsid w:val="007158FD"/>
    <w:rsid w:val="0071601C"/>
    <w:rsid w:val="007167AE"/>
    <w:rsid w:val="00717F32"/>
    <w:rsid w:val="00717FD6"/>
    <w:rsid w:val="0072057C"/>
    <w:rsid w:val="00720D8F"/>
    <w:rsid w:val="0072149D"/>
    <w:rsid w:val="007214D9"/>
    <w:rsid w:val="007218F7"/>
    <w:rsid w:val="0072232C"/>
    <w:rsid w:val="007229FC"/>
    <w:rsid w:val="0072385E"/>
    <w:rsid w:val="00723C6D"/>
    <w:rsid w:val="0072426B"/>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3963"/>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702C"/>
    <w:rsid w:val="0075799A"/>
    <w:rsid w:val="00757CF8"/>
    <w:rsid w:val="00757ED4"/>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681E"/>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6FBB"/>
    <w:rsid w:val="00787121"/>
    <w:rsid w:val="007874B4"/>
    <w:rsid w:val="0078754B"/>
    <w:rsid w:val="0078755D"/>
    <w:rsid w:val="00787C97"/>
    <w:rsid w:val="00787E62"/>
    <w:rsid w:val="00790394"/>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59A"/>
    <w:rsid w:val="007A6D6F"/>
    <w:rsid w:val="007A7493"/>
    <w:rsid w:val="007B13B0"/>
    <w:rsid w:val="007B1765"/>
    <w:rsid w:val="007B24C4"/>
    <w:rsid w:val="007B2759"/>
    <w:rsid w:val="007B28CF"/>
    <w:rsid w:val="007B363B"/>
    <w:rsid w:val="007B3F26"/>
    <w:rsid w:val="007B4263"/>
    <w:rsid w:val="007B4416"/>
    <w:rsid w:val="007B46BF"/>
    <w:rsid w:val="007B57CD"/>
    <w:rsid w:val="007B6263"/>
    <w:rsid w:val="007B6DD8"/>
    <w:rsid w:val="007B799D"/>
    <w:rsid w:val="007B7C73"/>
    <w:rsid w:val="007C009D"/>
    <w:rsid w:val="007C05DC"/>
    <w:rsid w:val="007C0E2D"/>
    <w:rsid w:val="007C0FF7"/>
    <w:rsid w:val="007C106E"/>
    <w:rsid w:val="007C14EE"/>
    <w:rsid w:val="007C17F1"/>
    <w:rsid w:val="007C2764"/>
    <w:rsid w:val="007C2A09"/>
    <w:rsid w:val="007C2C98"/>
    <w:rsid w:val="007C3040"/>
    <w:rsid w:val="007C354C"/>
    <w:rsid w:val="007C35DF"/>
    <w:rsid w:val="007C3BA4"/>
    <w:rsid w:val="007C3BBF"/>
    <w:rsid w:val="007C4790"/>
    <w:rsid w:val="007C4E4F"/>
    <w:rsid w:val="007C5BB3"/>
    <w:rsid w:val="007C6783"/>
    <w:rsid w:val="007C7F8B"/>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332"/>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C1F"/>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657F"/>
    <w:rsid w:val="00837584"/>
    <w:rsid w:val="0083796C"/>
    <w:rsid w:val="00837E77"/>
    <w:rsid w:val="008403D5"/>
    <w:rsid w:val="00841673"/>
    <w:rsid w:val="0084172B"/>
    <w:rsid w:val="00841963"/>
    <w:rsid w:val="00841B5D"/>
    <w:rsid w:val="00841C0F"/>
    <w:rsid w:val="00841F3F"/>
    <w:rsid w:val="00842EC4"/>
    <w:rsid w:val="00843BC7"/>
    <w:rsid w:val="008455EF"/>
    <w:rsid w:val="008456E4"/>
    <w:rsid w:val="00845B52"/>
    <w:rsid w:val="008461A8"/>
    <w:rsid w:val="00846D3E"/>
    <w:rsid w:val="00846DE7"/>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B48"/>
    <w:rsid w:val="00857F5B"/>
    <w:rsid w:val="0086045A"/>
    <w:rsid w:val="00860CE1"/>
    <w:rsid w:val="0086170A"/>
    <w:rsid w:val="00861D35"/>
    <w:rsid w:val="008623CC"/>
    <w:rsid w:val="00863328"/>
    <w:rsid w:val="008635E0"/>
    <w:rsid w:val="008637D5"/>
    <w:rsid w:val="00863820"/>
    <w:rsid w:val="008638FA"/>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AD8"/>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573"/>
    <w:rsid w:val="008C3DC2"/>
    <w:rsid w:val="008C4229"/>
    <w:rsid w:val="008C442E"/>
    <w:rsid w:val="008C4943"/>
    <w:rsid w:val="008C4B1C"/>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2254"/>
    <w:rsid w:val="008E2654"/>
    <w:rsid w:val="008E2AF5"/>
    <w:rsid w:val="008E2C34"/>
    <w:rsid w:val="008E35F3"/>
    <w:rsid w:val="008E3F12"/>
    <w:rsid w:val="008E4808"/>
    <w:rsid w:val="008E4929"/>
    <w:rsid w:val="008E4FF4"/>
    <w:rsid w:val="008E5682"/>
    <w:rsid w:val="008E5C69"/>
    <w:rsid w:val="008E6942"/>
    <w:rsid w:val="008E6DB1"/>
    <w:rsid w:val="008E6ECA"/>
    <w:rsid w:val="008E7242"/>
    <w:rsid w:val="008E74F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11AA"/>
    <w:rsid w:val="0095147F"/>
    <w:rsid w:val="0095183B"/>
    <w:rsid w:val="00951C20"/>
    <w:rsid w:val="00951E25"/>
    <w:rsid w:val="00951EE2"/>
    <w:rsid w:val="0095204C"/>
    <w:rsid w:val="009520FE"/>
    <w:rsid w:val="00953424"/>
    <w:rsid w:val="00953B3A"/>
    <w:rsid w:val="00953B51"/>
    <w:rsid w:val="00953B7B"/>
    <w:rsid w:val="00954528"/>
    <w:rsid w:val="00955122"/>
    <w:rsid w:val="009554A0"/>
    <w:rsid w:val="009558AA"/>
    <w:rsid w:val="00955E61"/>
    <w:rsid w:val="00956EC1"/>
    <w:rsid w:val="00957190"/>
    <w:rsid w:val="009603E5"/>
    <w:rsid w:val="0096071A"/>
    <w:rsid w:val="0096079A"/>
    <w:rsid w:val="00960A35"/>
    <w:rsid w:val="00960C91"/>
    <w:rsid w:val="00961911"/>
    <w:rsid w:val="00961AEB"/>
    <w:rsid w:val="00961B6D"/>
    <w:rsid w:val="00962A88"/>
    <w:rsid w:val="00963717"/>
    <w:rsid w:val="00963E37"/>
    <w:rsid w:val="00964503"/>
    <w:rsid w:val="00964945"/>
    <w:rsid w:val="00965586"/>
    <w:rsid w:val="00965CC4"/>
    <w:rsid w:val="0096624D"/>
    <w:rsid w:val="009668AB"/>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172F"/>
    <w:rsid w:val="009E19CB"/>
    <w:rsid w:val="009E1C0E"/>
    <w:rsid w:val="009E1D3C"/>
    <w:rsid w:val="009E2429"/>
    <w:rsid w:val="009E3DAE"/>
    <w:rsid w:val="009E426E"/>
    <w:rsid w:val="009E4339"/>
    <w:rsid w:val="009E439C"/>
    <w:rsid w:val="009E46F2"/>
    <w:rsid w:val="009E620D"/>
    <w:rsid w:val="009E7192"/>
    <w:rsid w:val="009E7F49"/>
    <w:rsid w:val="009F0B98"/>
    <w:rsid w:val="009F104B"/>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27DE"/>
    <w:rsid w:val="00A031FC"/>
    <w:rsid w:val="00A04222"/>
    <w:rsid w:val="00A046BB"/>
    <w:rsid w:val="00A04C7E"/>
    <w:rsid w:val="00A0565F"/>
    <w:rsid w:val="00A0616C"/>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28F9"/>
    <w:rsid w:val="00A23EFF"/>
    <w:rsid w:val="00A24265"/>
    <w:rsid w:val="00A24B55"/>
    <w:rsid w:val="00A24D3F"/>
    <w:rsid w:val="00A24F34"/>
    <w:rsid w:val="00A24F60"/>
    <w:rsid w:val="00A254EA"/>
    <w:rsid w:val="00A25999"/>
    <w:rsid w:val="00A26E31"/>
    <w:rsid w:val="00A274EF"/>
    <w:rsid w:val="00A2751A"/>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67F7B"/>
    <w:rsid w:val="00A7032E"/>
    <w:rsid w:val="00A71E89"/>
    <w:rsid w:val="00A72970"/>
    <w:rsid w:val="00A72B9F"/>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706"/>
    <w:rsid w:val="00A96C4A"/>
    <w:rsid w:val="00A96DBD"/>
    <w:rsid w:val="00A970D5"/>
    <w:rsid w:val="00A97638"/>
    <w:rsid w:val="00A978AF"/>
    <w:rsid w:val="00AA0B4E"/>
    <w:rsid w:val="00AA1BBB"/>
    <w:rsid w:val="00AA1E74"/>
    <w:rsid w:val="00AA24D2"/>
    <w:rsid w:val="00AA423E"/>
    <w:rsid w:val="00AA6088"/>
    <w:rsid w:val="00AA66F5"/>
    <w:rsid w:val="00AA6C98"/>
    <w:rsid w:val="00AA7316"/>
    <w:rsid w:val="00AA78CE"/>
    <w:rsid w:val="00AA7F42"/>
    <w:rsid w:val="00AB0C12"/>
    <w:rsid w:val="00AB0FA7"/>
    <w:rsid w:val="00AB14A6"/>
    <w:rsid w:val="00AB1687"/>
    <w:rsid w:val="00AB2605"/>
    <w:rsid w:val="00AB26D5"/>
    <w:rsid w:val="00AB2847"/>
    <w:rsid w:val="00AB2FF9"/>
    <w:rsid w:val="00AB32C0"/>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41E"/>
    <w:rsid w:val="00AD1EAE"/>
    <w:rsid w:val="00AD2275"/>
    <w:rsid w:val="00AD2280"/>
    <w:rsid w:val="00AD26C0"/>
    <w:rsid w:val="00AD2B85"/>
    <w:rsid w:val="00AD3915"/>
    <w:rsid w:val="00AD3CC4"/>
    <w:rsid w:val="00AD4839"/>
    <w:rsid w:val="00AD4C7C"/>
    <w:rsid w:val="00AD6338"/>
    <w:rsid w:val="00AD714E"/>
    <w:rsid w:val="00AD76EF"/>
    <w:rsid w:val="00AD7F40"/>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6037"/>
    <w:rsid w:val="00AE6B11"/>
    <w:rsid w:val="00AE78CD"/>
    <w:rsid w:val="00AE7EBC"/>
    <w:rsid w:val="00AF115C"/>
    <w:rsid w:val="00AF3714"/>
    <w:rsid w:val="00AF434D"/>
    <w:rsid w:val="00AF4EE4"/>
    <w:rsid w:val="00AF5B98"/>
    <w:rsid w:val="00AF6B94"/>
    <w:rsid w:val="00B0026B"/>
    <w:rsid w:val="00B0036F"/>
    <w:rsid w:val="00B00A28"/>
    <w:rsid w:val="00B00C8E"/>
    <w:rsid w:val="00B02674"/>
    <w:rsid w:val="00B02AA5"/>
    <w:rsid w:val="00B045EC"/>
    <w:rsid w:val="00B04DA9"/>
    <w:rsid w:val="00B04F50"/>
    <w:rsid w:val="00B05AE4"/>
    <w:rsid w:val="00B05CA6"/>
    <w:rsid w:val="00B0673B"/>
    <w:rsid w:val="00B07742"/>
    <w:rsid w:val="00B10194"/>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209BF"/>
    <w:rsid w:val="00B20D0D"/>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59F1"/>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A3F"/>
    <w:rsid w:val="00B539AD"/>
    <w:rsid w:val="00B53BEF"/>
    <w:rsid w:val="00B5462A"/>
    <w:rsid w:val="00B5479E"/>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035A"/>
    <w:rsid w:val="00B71399"/>
    <w:rsid w:val="00B720DB"/>
    <w:rsid w:val="00B73D44"/>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C8"/>
    <w:rsid w:val="00BB63AD"/>
    <w:rsid w:val="00BB7020"/>
    <w:rsid w:val="00BB7349"/>
    <w:rsid w:val="00BB778D"/>
    <w:rsid w:val="00BB7DF0"/>
    <w:rsid w:val="00BB7F90"/>
    <w:rsid w:val="00BC0196"/>
    <w:rsid w:val="00BC0367"/>
    <w:rsid w:val="00BC1CAA"/>
    <w:rsid w:val="00BC219A"/>
    <w:rsid w:val="00BC357C"/>
    <w:rsid w:val="00BC3946"/>
    <w:rsid w:val="00BC3A01"/>
    <w:rsid w:val="00BC42A8"/>
    <w:rsid w:val="00BC4869"/>
    <w:rsid w:val="00BC6627"/>
    <w:rsid w:val="00BC66EE"/>
    <w:rsid w:val="00BC69F2"/>
    <w:rsid w:val="00BC72BE"/>
    <w:rsid w:val="00BC7535"/>
    <w:rsid w:val="00BC7F3C"/>
    <w:rsid w:val="00BC7FFB"/>
    <w:rsid w:val="00BD034D"/>
    <w:rsid w:val="00BD0C09"/>
    <w:rsid w:val="00BD1211"/>
    <w:rsid w:val="00BD3209"/>
    <w:rsid w:val="00BD323A"/>
    <w:rsid w:val="00BD361A"/>
    <w:rsid w:val="00BD3692"/>
    <w:rsid w:val="00BD3E45"/>
    <w:rsid w:val="00BD3ECE"/>
    <w:rsid w:val="00BD4316"/>
    <w:rsid w:val="00BD5782"/>
    <w:rsid w:val="00BD578A"/>
    <w:rsid w:val="00BD5EFA"/>
    <w:rsid w:val="00BD6710"/>
    <w:rsid w:val="00BD6C6F"/>
    <w:rsid w:val="00BD6CDB"/>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6EE"/>
    <w:rsid w:val="00BF341C"/>
    <w:rsid w:val="00BF3D73"/>
    <w:rsid w:val="00BF4B2D"/>
    <w:rsid w:val="00BF5945"/>
    <w:rsid w:val="00BF5C55"/>
    <w:rsid w:val="00BF5D6D"/>
    <w:rsid w:val="00BF5FB6"/>
    <w:rsid w:val="00BF6362"/>
    <w:rsid w:val="00BF65AA"/>
    <w:rsid w:val="00BF7293"/>
    <w:rsid w:val="00BF7B4F"/>
    <w:rsid w:val="00C005BD"/>
    <w:rsid w:val="00C0066B"/>
    <w:rsid w:val="00C006C6"/>
    <w:rsid w:val="00C0091C"/>
    <w:rsid w:val="00C009C1"/>
    <w:rsid w:val="00C01AB5"/>
    <w:rsid w:val="00C01B8A"/>
    <w:rsid w:val="00C01E0C"/>
    <w:rsid w:val="00C01FED"/>
    <w:rsid w:val="00C02210"/>
    <w:rsid w:val="00C02596"/>
    <w:rsid w:val="00C027B1"/>
    <w:rsid w:val="00C03666"/>
    <w:rsid w:val="00C0468A"/>
    <w:rsid w:val="00C049A8"/>
    <w:rsid w:val="00C05398"/>
    <w:rsid w:val="00C056BE"/>
    <w:rsid w:val="00C05895"/>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1818"/>
    <w:rsid w:val="00C61B06"/>
    <w:rsid w:val="00C61FEC"/>
    <w:rsid w:val="00C62B4F"/>
    <w:rsid w:val="00C62FC2"/>
    <w:rsid w:val="00C641C0"/>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6946"/>
    <w:rsid w:val="00C76CD4"/>
    <w:rsid w:val="00C77686"/>
    <w:rsid w:val="00C809F1"/>
    <w:rsid w:val="00C80B05"/>
    <w:rsid w:val="00C80D5B"/>
    <w:rsid w:val="00C8138B"/>
    <w:rsid w:val="00C81550"/>
    <w:rsid w:val="00C81A2C"/>
    <w:rsid w:val="00C81AD2"/>
    <w:rsid w:val="00C81CD7"/>
    <w:rsid w:val="00C81ECD"/>
    <w:rsid w:val="00C82268"/>
    <w:rsid w:val="00C83AEC"/>
    <w:rsid w:val="00C83E44"/>
    <w:rsid w:val="00C84348"/>
    <w:rsid w:val="00C856EA"/>
    <w:rsid w:val="00C8604A"/>
    <w:rsid w:val="00C8742E"/>
    <w:rsid w:val="00C8778D"/>
    <w:rsid w:val="00C87955"/>
    <w:rsid w:val="00C9074F"/>
    <w:rsid w:val="00C90FC8"/>
    <w:rsid w:val="00C91075"/>
    <w:rsid w:val="00C911D9"/>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02FF"/>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A88"/>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76D9"/>
    <w:rsid w:val="00D10489"/>
    <w:rsid w:val="00D11A0A"/>
    <w:rsid w:val="00D11A35"/>
    <w:rsid w:val="00D11E06"/>
    <w:rsid w:val="00D1224D"/>
    <w:rsid w:val="00D124C3"/>
    <w:rsid w:val="00D12517"/>
    <w:rsid w:val="00D1259C"/>
    <w:rsid w:val="00D1365B"/>
    <w:rsid w:val="00D13710"/>
    <w:rsid w:val="00D13846"/>
    <w:rsid w:val="00D13C46"/>
    <w:rsid w:val="00D146EB"/>
    <w:rsid w:val="00D15656"/>
    <w:rsid w:val="00D1622E"/>
    <w:rsid w:val="00D16E98"/>
    <w:rsid w:val="00D20835"/>
    <w:rsid w:val="00D20D52"/>
    <w:rsid w:val="00D20EF6"/>
    <w:rsid w:val="00D219AA"/>
    <w:rsid w:val="00D21D01"/>
    <w:rsid w:val="00D2237A"/>
    <w:rsid w:val="00D22BB4"/>
    <w:rsid w:val="00D22D3F"/>
    <w:rsid w:val="00D235D9"/>
    <w:rsid w:val="00D23E73"/>
    <w:rsid w:val="00D240B5"/>
    <w:rsid w:val="00D24BD1"/>
    <w:rsid w:val="00D24F18"/>
    <w:rsid w:val="00D251A6"/>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5DA0"/>
    <w:rsid w:val="00D46397"/>
    <w:rsid w:val="00D464F2"/>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3A04"/>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97F21"/>
    <w:rsid w:val="00DA04CA"/>
    <w:rsid w:val="00DA0B8F"/>
    <w:rsid w:val="00DA17F7"/>
    <w:rsid w:val="00DA1A7B"/>
    <w:rsid w:val="00DA1DC6"/>
    <w:rsid w:val="00DA1F2A"/>
    <w:rsid w:val="00DA1FA8"/>
    <w:rsid w:val="00DA4093"/>
    <w:rsid w:val="00DA430B"/>
    <w:rsid w:val="00DA432C"/>
    <w:rsid w:val="00DA4677"/>
    <w:rsid w:val="00DA5392"/>
    <w:rsid w:val="00DB0034"/>
    <w:rsid w:val="00DB0677"/>
    <w:rsid w:val="00DB08A2"/>
    <w:rsid w:val="00DB0BBF"/>
    <w:rsid w:val="00DB0D6D"/>
    <w:rsid w:val="00DB1035"/>
    <w:rsid w:val="00DB1F84"/>
    <w:rsid w:val="00DB2950"/>
    <w:rsid w:val="00DB2F12"/>
    <w:rsid w:val="00DB447B"/>
    <w:rsid w:val="00DB44A1"/>
    <w:rsid w:val="00DB5CD7"/>
    <w:rsid w:val="00DB6647"/>
    <w:rsid w:val="00DB6D55"/>
    <w:rsid w:val="00DC0BCD"/>
    <w:rsid w:val="00DC0C9F"/>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7FD2"/>
    <w:rsid w:val="00DE0E0F"/>
    <w:rsid w:val="00DE0F3E"/>
    <w:rsid w:val="00DE19EB"/>
    <w:rsid w:val="00DE1DEE"/>
    <w:rsid w:val="00DE2889"/>
    <w:rsid w:val="00DE2A8A"/>
    <w:rsid w:val="00DE2D8F"/>
    <w:rsid w:val="00DE3218"/>
    <w:rsid w:val="00DE33F9"/>
    <w:rsid w:val="00DE3693"/>
    <w:rsid w:val="00DE452C"/>
    <w:rsid w:val="00DE4669"/>
    <w:rsid w:val="00DE4B38"/>
    <w:rsid w:val="00DE57E5"/>
    <w:rsid w:val="00DE5831"/>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71D"/>
    <w:rsid w:val="00E01DDD"/>
    <w:rsid w:val="00E0232E"/>
    <w:rsid w:val="00E0349F"/>
    <w:rsid w:val="00E0350D"/>
    <w:rsid w:val="00E03FCB"/>
    <w:rsid w:val="00E0443E"/>
    <w:rsid w:val="00E0480A"/>
    <w:rsid w:val="00E05FCE"/>
    <w:rsid w:val="00E065CE"/>
    <w:rsid w:val="00E06901"/>
    <w:rsid w:val="00E06CB9"/>
    <w:rsid w:val="00E076EA"/>
    <w:rsid w:val="00E0787C"/>
    <w:rsid w:val="00E07E93"/>
    <w:rsid w:val="00E10734"/>
    <w:rsid w:val="00E120FC"/>
    <w:rsid w:val="00E12997"/>
    <w:rsid w:val="00E12D07"/>
    <w:rsid w:val="00E145C0"/>
    <w:rsid w:val="00E1477C"/>
    <w:rsid w:val="00E14B7A"/>
    <w:rsid w:val="00E14BA9"/>
    <w:rsid w:val="00E14CCB"/>
    <w:rsid w:val="00E14D96"/>
    <w:rsid w:val="00E16380"/>
    <w:rsid w:val="00E1701F"/>
    <w:rsid w:val="00E1736D"/>
    <w:rsid w:val="00E1746A"/>
    <w:rsid w:val="00E20477"/>
    <w:rsid w:val="00E207AC"/>
    <w:rsid w:val="00E2095F"/>
    <w:rsid w:val="00E2168A"/>
    <w:rsid w:val="00E224FF"/>
    <w:rsid w:val="00E2254B"/>
    <w:rsid w:val="00E22FD4"/>
    <w:rsid w:val="00E23A0E"/>
    <w:rsid w:val="00E23EE3"/>
    <w:rsid w:val="00E23FDF"/>
    <w:rsid w:val="00E245A1"/>
    <w:rsid w:val="00E24831"/>
    <w:rsid w:val="00E2517E"/>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2C1E"/>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D6D"/>
    <w:rsid w:val="00E66A91"/>
    <w:rsid w:val="00E66CAF"/>
    <w:rsid w:val="00E67455"/>
    <w:rsid w:val="00E67FF3"/>
    <w:rsid w:val="00E701AC"/>
    <w:rsid w:val="00E719E2"/>
    <w:rsid w:val="00E71E0E"/>
    <w:rsid w:val="00E72497"/>
    <w:rsid w:val="00E72731"/>
    <w:rsid w:val="00E72D4B"/>
    <w:rsid w:val="00E730F3"/>
    <w:rsid w:val="00E73424"/>
    <w:rsid w:val="00E74451"/>
    <w:rsid w:val="00E74957"/>
    <w:rsid w:val="00E749DE"/>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B73"/>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7A3"/>
    <w:rsid w:val="00EB4897"/>
    <w:rsid w:val="00EB51B0"/>
    <w:rsid w:val="00EB548E"/>
    <w:rsid w:val="00EB5ECF"/>
    <w:rsid w:val="00EB5F05"/>
    <w:rsid w:val="00EB6396"/>
    <w:rsid w:val="00EB64E0"/>
    <w:rsid w:val="00EB65D1"/>
    <w:rsid w:val="00EB6B8E"/>
    <w:rsid w:val="00EC0F44"/>
    <w:rsid w:val="00EC115E"/>
    <w:rsid w:val="00EC1362"/>
    <w:rsid w:val="00EC14F5"/>
    <w:rsid w:val="00EC238F"/>
    <w:rsid w:val="00EC291E"/>
    <w:rsid w:val="00EC2EEA"/>
    <w:rsid w:val="00EC5AC9"/>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B59"/>
    <w:rsid w:val="00EF0F59"/>
    <w:rsid w:val="00EF1196"/>
    <w:rsid w:val="00EF1A5A"/>
    <w:rsid w:val="00EF20D2"/>
    <w:rsid w:val="00EF2B23"/>
    <w:rsid w:val="00EF3A01"/>
    <w:rsid w:val="00EF4C56"/>
    <w:rsid w:val="00EF4D0F"/>
    <w:rsid w:val="00EF4D9C"/>
    <w:rsid w:val="00EF52F1"/>
    <w:rsid w:val="00EF5FF8"/>
    <w:rsid w:val="00EF6F58"/>
    <w:rsid w:val="00EF6FA1"/>
    <w:rsid w:val="00EF71A3"/>
    <w:rsid w:val="00EF7935"/>
    <w:rsid w:val="00EF7C5F"/>
    <w:rsid w:val="00F01526"/>
    <w:rsid w:val="00F01696"/>
    <w:rsid w:val="00F023A7"/>
    <w:rsid w:val="00F024D1"/>
    <w:rsid w:val="00F02EDC"/>
    <w:rsid w:val="00F039E2"/>
    <w:rsid w:val="00F041B8"/>
    <w:rsid w:val="00F04A95"/>
    <w:rsid w:val="00F058D3"/>
    <w:rsid w:val="00F05F02"/>
    <w:rsid w:val="00F10169"/>
    <w:rsid w:val="00F10A38"/>
    <w:rsid w:val="00F1176A"/>
    <w:rsid w:val="00F11FF3"/>
    <w:rsid w:val="00F129F7"/>
    <w:rsid w:val="00F12BF1"/>
    <w:rsid w:val="00F12F4D"/>
    <w:rsid w:val="00F12FB0"/>
    <w:rsid w:val="00F13A10"/>
    <w:rsid w:val="00F1523B"/>
    <w:rsid w:val="00F16039"/>
    <w:rsid w:val="00F1603A"/>
    <w:rsid w:val="00F16324"/>
    <w:rsid w:val="00F163AC"/>
    <w:rsid w:val="00F16E57"/>
    <w:rsid w:val="00F17165"/>
    <w:rsid w:val="00F20491"/>
    <w:rsid w:val="00F206DE"/>
    <w:rsid w:val="00F20903"/>
    <w:rsid w:val="00F20DCF"/>
    <w:rsid w:val="00F20E1B"/>
    <w:rsid w:val="00F23094"/>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47B"/>
    <w:rsid w:val="00F56CB4"/>
    <w:rsid w:val="00F60261"/>
    <w:rsid w:val="00F6068A"/>
    <w:rsid w:val="00F62332"/>
    <w:rsid w:val="00F62371"/>
    <w:rsid w:val="00F62B5A"/>
    <w:rsid w:val="00F63239"/>
    <w:rsid w:val="00F638E7"/>
    <w:rsid w:val="00F63C65"/>
    <w:rsid w:val="00F64273"/>
    <w:rsid w:val="00F64409"/>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32E4"/>
    <w:rsid w:val="00F84205"/>
    <w:rsid w:val="00F85653"/>
    <w:rsid w:val="00F86C5F"/>
    <w:rsid w:val="00F86D62"/>
    <w:rsid w:val="00F874BB"/>
    <w:rsid w:val="00F87AD1"/>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B08"/>
    <w:rsid w:val="00FA5D15"/>
    <w:rsid w:val="00FA7A6F"/>
    <w:rsid w:val="00FA7F35"/>
    <w:rsid w:val="00FB09A6"/>
    <w:rsid w:val="00FB1DEB"/>
    <w:rsid w:val="00FB234A"/>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FBD"/>
    <w:rsid w:val="00FC4195"/>
    <w:rsid w:val="00FC4F4D"/>
    <w:rsid w:val="00FC54A4"/>
    <w:rsid w:val="00FC5909"/>
    <w:rsid w:val="00FC5CDF"/>
    <w:rsid w:val="00FC623B"/>
    <w:rsid w:val="00FC64D4"/>
    <w:rsid w:val="00FC692D"/>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867"/>
    <w:rsid w:val="00FE4FC4"/>
    <w:rsid w:val="00FE571B"/>
    <w:rsid w:val="00FE599A"/>
    <w:rsid w:val="00FE663C"/>
    <w:rsid w:val="00FE76FD"/>
    <w:rsid w:val="00FE7B8E"/>
    <w:rsid w:val="00FF0847"/>
    <w:rsid w:val="00FF14CC"/>
    <w:rsid w:val="00FF1B40"/>
    <w:rsid w:val="00FF1B91"/>
    <w:rsid w:val="00FF28C3"/>
    <w:rsid w:val="00FF299D"/>
    <w:rsid w:val="00FF32F4"/>
    <w:rsid w:val="00FF3400"/>
    <w:rsid w:val="00FF35B6"/>
    <w:rsid w:val="00FF3E42"/>
    <w:rsid w:val="00FF40EB"/>
    <w:rsid w:val="00FF47CD"/>
    <w:rsid w:val="00FF48BE"/>
    <w:rsid w:val="00FF4CA5"/>
    <w:rsid w:val="00FF5344"/>
    <w:rsid w:val="00FF5532"/>
    <w:rsid w:val="00FF5DBD"/>
    <w:rsid w:val="00FF6225"/>
    <w:rsid w:val="00FF67D7"/>
    <w:rsid w:val="08753047"/>
    <w:rsid w:val="0EE28084"/>
    <w:rsid w:val="152A5253"/>
    <w:rsid w:val="23740614"/>
    <w:rsid w:val="268850CA"/>
    <w:rsid w:val="286123FA"/>
    <w:rsid w:val="35EB3152"/>
    <w:rsid w:val="394BEE9E"/>
    <w:rsid w:val="3F7020EE"/>
    <w:rsid w:val="44E9108F"/>
    <w:rsid w:val="4EE559BE"/>
    <w:rsid w:val="58115C32"/>
    <w:rsid w:val="5C21EC6B"/>
    <w:rsid w:val="5C35490E"/>
    <w:rsid w:val="5CFA4E03"/>
    <w:rsid w:val="62F6E07A"/>
    <w:rsid w:val="63B0D2F1"/>
    <w:rsid w:val="70652167"/>
    <w:rsid w:val="71379282"/>
    <w:rsid w:val="779B4955"/>
    <w:rsid w:val="790986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9346B4"/>
    <w:pPr>
      <w:numPr>
        <w:numId w:val="57"/>
      </w:numPr>
    </w:pPr>
  </w:style>
  <w:style w:type="numbering" w:customStyle="1" w:styleId="Listaactual34">
    <w:name w:val="Lista actual34"/>
    <w:uiPriority w:val="99"/>
    <w:rsid w:val="009346B4"/>
    <w:pPr>
      <w:numPr>
        <w:numId w:val="58"/>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B7035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0FD22-E2C7-434B-BECE-0AA4DCE5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9818</Words>
  <Characters>54005</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23</cp:revision>
  <cp:lastPrinted>2025-09-05T17:10:00Z</cp:lastPrinted>
  <dcterms:created xsi:type="dcterms:W3CDTF">2025-07-16T17:59:00Z</dcterms:created>
  <dcterms:modified xsi:type="dcterms:W3CDTF">2025-11-14T20:17:00Z</dcterms:modified>
</cp:coreProperties>
</file>