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29" w:rsidRDefault="004B7229">
      <w:pPr>
        <w:widowControl w:val="0"/>
        <w:pBdr>
          <w:top w:val="nil"/>
          <w:left w:val="nil"/>
          <w:bottom w:val="nil"/>
          <w:right w:val="nil"/>
          <w:between w:val="nil"/>
        </w:pBdr>
        <w:spacing w:line="276" w:lineRule="auto"/>
      </w:pPr>
    </w:p>
    <w:p w:rsidR="00807947" w:rsidRDefault="00807947">
      <w:pPr>
        <w:widowControl w:val="0"/>
        <w:pBdr>
          <w:top w:val="nil"/>
          <w:left w:val="nil"/>
          <w:bottom w:val="nil"/>
          <w:right w:val="nil"/>
          <w:between w:val="nil"/>
        </w:pBdr>
        <w:spacing w:line="276" w:lineRule="auto"/>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01346/INFOEM/IP/RR/2025</w:t>
      </w:r>
    </w:p>
    <w:sdt>
      <w:sdtPr>
        <w:id w:val="-505051537"/>
        <w:docPartObj>
          <w:docPartGallery w:val="Table of Contents"/>
          <w:docPartUnique/>
        </w:docPartObj>
      </w:sdtPr>
      <w:sdtEndPr/>
      <w:sdtContent>
        <w:p w:rsidR="004B7229" w:rsidRDefault="00CE6C4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e26y9jyqhy42">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gmdqm76me9m4">
            <w:r w:rsidR="00CE6C4C">
              <w:rPr>
                <w:rFonts w:ascii="Palatino Linotype" w:eastAsia="Palatino Linotype" w:hAnsi="Palatino Linotype" w:cs="Palatino Linotype"/>
                <w:color w:val="000000"/>
                <w:sz w:val="22"/>
                <w:szCs w:val="22"/>
              </w:rPr>
              <w:t>I. Presentación de la solicitud de información</w:t>
            </w:r>
          </w:hyperlink>
          <w:hyperlink w:anchor="_heading=h.gmdqm76me9m4">
            <w:r w:rsidR="00CE6C4C">
              <w:rPr>
                <w:color w:val="000000"/>
              </w:rPr>
              <w:tab/>
              <w:t>2</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hhs1wzu1etc8">
            <w:r w:rsidR="00CE6C4C">
              <w:rPr>
                <w:rFonts w:ascii="Palatino Linotype" w:eastAsia="Palatino Linotype" w:hAnsi="Palatino Linotype" w:cs="Palatino Linotype"/>
                <w:color w:val="000000"/>
                <w:sz w:val="22"/>
                <w:szCs w:val="22"/>
              </w:rPr>
              <w:t>II. Respuesta del Sujeto Obligado</w:t>
            </w:r>
          </w:hyperlink>
          <w:hyperlink w:anchor="_heading=h.hhs1wzu1etc8">
            <w:r w:rsidR="00CE6C4C">
              <w:rPr>
                <w:color w:val="000000"/>
              </w:rPr>
              <w:tab/>
              <w:t>3</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4penfsloptdt">
            <w:r w:rsidR="00CE6C4C">
              <w:rPr>
                <w:rFonts w:ascii="Palatino Linotype" w:eastAsia="Palatino Linotype" w:hAnsi="Palatino Linotype" w:cs="Palatino Linotype"/>
                <w:color w:val="000000"/>
                <w:sz w:val="22"/>
                <w:szCs w:val="22"/>
              </w:rPr>
              <w:t>III. Interposición del Recurso de Revisión</w:t>
            </w:r>
          </w:hyperlink>
          <w:hyperlink w:anchor="_heading=h.4penfsloptdt">
            <w:r w:rsidR="00CE6C4C">
              <w:rPr>
                <w:color w:val="000000"/>
              </w:rPr>
              <w:tab/>
              <w:t>3</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6l4yhuc8vnxb">
            <w:r w:rsidR="00CE6C4C">
              <w:rPr>
                <w:rFonts w:ascii="Palatino Linotype" w:eastAsia="Palatino Linotype" w:hAnsi="Palatino Linotype" w:cs="Palatino Linotype"/>
                <w:color w:val="000000"/>
                <w:sz w:val="22"/>
                <w:szCs w:val="22"/>
              </w:rPr>
              <w:t>IV. Trámite del Recurso de Revisión ante el Instituto</w:t>
            </w:r>
          </w:hyperlink>
          <w:hyperlink w:anchor="_heading=h.6l4yhuc8vnxb">
            <w:r w:rsidR="00CE6C4C">
              <w:rPr>
                <w:color w:val="000000"/>
              </w:rPr>
              <w:tab/>
              <w:t>4</w:t>
            </w:r>
          </w:hyperlink>
        </w:p>
        <w:p w:rsidR="004B7229" w:rsidRDefault="00A967F4">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xtchrbha7s8g">
            <w:r w:rsidR="00CE6C4C">
              <w:rPr>
                <w:rFonts w:ascii="Palatino Linotype" w:eastAsia="Palatino Linotype" w:hAnsi="Palatino Linotype" w:cs="Palatino Linotype"/>
                <w:color w:val="000000"/>
                <w:sz w:val="22"/>
                <w:szCs w:val="22"/>
              </w:rPr>
              <w:t>C O N S I D E R A N D O S</w:t>
            </w:r>
            <w:r w:rsidR="00CE6C4C">
              <w:rPr>
                <w:rFonts w:ascii="Palatino Linotype" w:eastAsia="Palatino Linotype" w:hAnsi="Palatino Linotype" w:cs="Palatino Linotype"/>
                <w:color w:val="000000"/>
                <w:sz w:val="22"/>
                <w:szCs w:val="22"/>
              </w:rPr>
              <w:tab/>
              <w:t>5</w:t>
            </w:r>
          </w:hyperlink>
        </w:p>
        <w:p w:rsidR="004B7229" w:rsidRDefault="00A967F4">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7qjlsgw76e17">
            <w:r w:rsidR="00CE6C4C">
              <w:rPr>
                <w:rFonts w:ascii="Palatino Linotype" w:eastAsia="Palatino Linotype" w:hAnsi="Palatino Linotype" w:cs="Palatino Linotype"/>
                <w:color w:val="000000"/>
                <w:sz w:val="22"/>
                <w:szCs w:val="22"/>
              </w:rPr>
              <w:t>PRIMERO. Competencia</w:t>
            </w:r>
            <w:r w:rsidR="00CE6C4C">
              <w:rPr>
                <w:rFonts w:ascii="Palatino Linotype" w:eastAsia="Palatino Linotype" w:hAnsi="Palatino Linotype" w:cs="Palatino Linotype"/>
                <w:color w:val="000000"/>
                <w:sz w:val="22"/>
                <w:szCs w:val="22"/>
              </w:rPr>
              <w:tab/>
            </w:r>
            <w:r w:rsidR="006A170E">
              <w:rPr>
                <w:rFonts w:ascii="Palatino Linotype" w:eastAsia="Palatino Linotype" w:hAnsi="Palatino Linotype" w:cs="Palatino Linotype"/>
                <w:color w:val="000000"/>
                <w:sz w:val="22"/>
                <w:szCs w:val="22"/>
              </w:rPr>
              <w:t>5</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e4dnu7uwcuqj">
            <w:r w:rsidR="00CE6C4C">
              <w:rPr>
                <w:rFonts w:ascii="Palatino Linotype" w:eastAsia="Palatino Linotype" w:hAnsi="Palatino Linotype" w:cs="Palatino Linotype"/>
                <w:color w:val="000000"/>
                <w:sz w:val="22"/>
                <w:szCs w:val="22"/>
              </w:rPr>
              <w:t>SEGUNDO. Causales de improcedencia y sobreseimiento</w:t>
            </w:r>
          </w:hyperlink>
          <w:hyperlink w:anchor="_heading=h.e4dnu7uwcuqj">
            <w:r w:rsidR="00CE6C4C">
              <w:rPr>
                <w:color w:val="000000"/>
              </w:rPr>
              <w:tab/>
              <w:t>6</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ihmxwyen55lc">
            <w:r w:rsidR="00CE6C4C">
              <w:rPr>
                <w:rFonts w:ascii="Palatino Linotype" w:eastAsia="Palatino Linotype" w:hAnsi="Palatino Linotype" w:cs="Palatino Linotype"/>
                <w:color w:val="000000"/>
                <w:sz w:val="22"/>
                <w:szCs w:val="22"/>
              </w:rPr>
              <w:t>TERCERO. Determinación de la Controversia</w:t>
            </w:r>
          </w:hyperlink>
          <w:hyperlink w:anchor="_heading=h.ihmxwyen55lc">
            <w:r w:rsidR="00CE6C4C">
              <w:rPr>
                <w:color w:val="000000"/>
              </w:rPr>
              <w:tab/>
              <w:t>7</w:t>
            </w:r>
          </w:hyperlink>
        </w:p>
        <w:p w:rsidR="004B7229" w:rsidRDefault="00A967F4">
          <w:pPr>
            <w:pBdr>
              <w:top w:val="nil"/>
              <w:left w:val="nil"/>
              <w:bottom w:val="nil"/>
              <w:right w:val="nil"/>
              <w:between w:val="nil"/>
            </w:pBdr>
            <w:tabs>
              <w:tab w:val="right" w:pos="9034"/>
            </w:tabs>
            <w:spacing w:line="360" w:lineRule="auto"/>
            <w:ind w:left="200"/>
            <w:jc w:val="both"/>
            <w:rPr>
              <w:color w:val="000000"/>
            </w:rPr>
          </w:pPr>
          <w:hyperlink w:anchor="_heading=h.e5pe25qenlws">
            <w:r w:rsidR="00CE6C4C">
              <w:rPr>
                <w:rFonts w:ascii="Palatino Linotype" w:eastAsia="Palatino Linotype" w:hAnsi="Palatino Linotype" w:cs="Palatino Linotype"/>
                <w:color w:val="000000"/>
                <w:sz w:val="22"/>
                <w:szCs w:val="22"/>
              </w:rPr>
              <w:t>CUARTO. Marco normativo aplicable en materia de transparencia y acceso a la información pública</w:t>
            </w:r>
          </w:hyperlink>
          <w:hyperlink w:anchor="_heading=h.e5pe25qenlws">
            <w:r w:rsidR="00CE6C4C">
              <w:rPr>
                <w:color w:val="000000"/>
              </w:rPr>
              <w:tab/>
            </w:r>
            <w:r w:rsidR="006A170E">
              <w:rPr>
                <w:color w:val="000000"/>
              </w:rPr>
              <w:t>8</w:t>
            </w:r>
          </w:hyperlink>
        </w:p>
        <w:p w:rsidR="004B7229" w:rsidRDefault="00A967F4">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bapv61vhye30">
            <w:r w:rsidR="00CE6C4C">
              <w:rPr>
                <w:rFonts w:ascii="Palatino Linotype" w:eastAsia="Palatino Linotype" w:hAnsi="Palatino Linotype" w:cs="Palatino Linotype"/>
                <w:color w:val="000000"/>
                <w:sz w:val="22"/>
                <w:szCs w:val="22"/>
              </w:rPr>
              <w:t>QUINTO. Estudio de Fondo</w:t>
            </w:r>
            <w:r w:rsidR="00CE6C4C">
              <w:rPr>
                <w:rFonts w:ascii="Palatino Linotype" w:eastAsia="Palatino Linotype" w:hAnsi="Palatino Linotype" w:cs="Palatino Linotype"/>
                <w:color w:val="000000"/>
                <w:sz w:val="22"/>
                <w:szCs w:val="22"/>
              </w:rPr>
              <w:tab/>
              <w:t>10</w:t>
            </w:r>
          </w:hyperlink>
        </w:p>
        <w:p w:rsidR="004B7229" w:rsidRDefault="00A967F4">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oovn0lv8pmcj">
            <w:r w:rsidR="00CE6C4C">
              <w:rPr>
                <w:rFonts w:ascii="Palatino Linotype" w:eastAsia="Palatino Linotype" w:hAnsi="Palatino Linotype" w:cs="Palatino Linotype"/>
                <w:color w:val="000000"/>
                <w:sz w:val="22"/>
                <w:szCs w:val="22"/>
              </w:rPr>
              <w:t>SEXTO. Decisión</w:t>
            </w:r>
            <w:r w:rsidR="00CE6C4C">
              <w:rPr>
                <w:rFonts w:ascii="Palatino Linotype" w:eastAsia="Palatino Linotype" w:hAnsi="Palatino Linotype" w:cs="Palatino Linotype"/>
                <w:color w:val="000000"/>
                <w:sz w:val="22"/>
                <w:szCs w:val="22"/>
              </w:rPr>
              <w:tab/>
            </w:r>
          </w:hyperlink>
          <w:r w:rsidR="00CE6C4C">
            <w:rPr>
              <w:rFonts w:ascii="Palatino Linotype" w:eastAsia="Palatino Linotype" w:hAnsi="Palatino Linotype" w:cs="Palatino Linotype"/>
              <w:sz w:val="22"/>
              <w:szCs w:val="22"/>
            </w:rPr>
            <w:t>21</w:t>
          </w:r>
        </w:p>
        <w:p w:rsidR="004B7229" w:rsidRDefault="00A967F4">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w8whcyu16ysg">
            <w:r w:rsidR="00CE6C4C">
              <w:rPr>
                <w:rFonts w:ascii="Palatino Linotype" w:eastAsia="Palatino Linotype" w:hAnsi="Palatino Linotype" w:cs="Palatino Linotype"/>
                <w:color w:val="000000"/>
                <w:sz w:val="22"/>
                <w:szCs w:val="22"/>
              </w:rPr>
              <w:t>R E S U E L V E</w:t>
            </w:r>
            <w:r w:rsidR="00CE6C4C">
              <w:rPr>
                <w:rFonts w:ascii="Palatino Linotype" w:eastAsia="Palatino Linotype" w:hAnsi="Palatino Linotype" w:cs="Palatino Linotype"/>
                <w:color w:val="000000"/>
                <w:sz w:val="22"/>
                <w:szCs w:val="22"/>
              </w:rPr>
              <w:tab/>
            </w:r>
          </w:hyperlink>
          <w:r w:rsidR="00CE6C4C">
            <w:rPr>
              <w:rFonts w:ascii="Palatino Linotype" w:eastAsia="Palatino Linotype" w:hAnsi="Palatino Linotype" w:cs="Palatino Linotype"/>
              <w:sz w:val="22"/>
              <w:szCs w:val="22"/>
            </w:rPr>
            <w:t>22</w:t>
          </w:r>
        </w:p>
        <w:p w:rsidR="004B7229" w:rsidRDefault="00CE6C4C">
          <w:pPr>
            <w:spacing w:line="360" w:lineRule="auto"/>
          </w:pPr>
          <w:r>
            <w:fldChar w:fldCharType="end"/>
          </w:r>
        </w:p>
      </w:sdtContent>
    </w:sdt>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veintiséis de marzo de dos mil veinticinco.</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01346/INFOEM/IP/RR/2025</w:t>
      </w:r>
      <w:r>
        <w:rPr>
          <w:rFonts w:ascii="Palatino Linotype" w:eastAsia="Palatino Linotype" w:hAnsi="Palatino Linotype" w:cs="Palatino Linotype"/>
          <w:sz w:val="22"/>
          <w:szCs w:val="22"/>
        </w:rPr>
        <w:t xml:space="preserve">, interpuesto por el Recurrente o Particular, en contra de la respuesta del Sujeto Obligado, </w:t>
      </w:r>
      <w:r w:rsidRPr="003156A4">
        <w:rPr>
          <w:rFonts w:ascii="Palatino Linotype" w:eastAsia="Palatino Linotype" w:hAnsi="Palatino Linotype" w:cs="Palatino Linotype"/>
          <w:b/>
          <w:color w:val="000000"/>
          <w:sz w:val="22"/>
          <w:szCs w:val="22"/>
        </w:rPr>
        <w:t>Ayuntamiento de Toluca</w:t>
      </w:r>
      <w:r>
        <w:rPr>
          <w:rFonts w:ascii="Palatino Linotype" w:eastAsia="Palatino Linotype" w:hAnsi="Palatino Linotype" w:cs="Palatino Linotype"/>
          <w:sz w:val="22"/>
          <w:szCs w:val="22"/>
        </w:rPr>
        <w:t>, a la solicitud de acceso a la información pública con número de folio</w:t>
      </w:r>
      <w:r>
        <w:rPr>
          <w:rFonts w:ascii="Verdana" w:eastAsia="Verdana" w:hAnsi="Verdana" w:cs="Verdana"/>
          <w:b/>
          <w:color w:val="FF0000"/>
        </w:rPr>
        <w:t> </w:t>
      </w:r>
      <w:r>
        <w:rPr>
          <w:rFonts w:ascii="Palatino Linotype" w:eastAsia="Palatino Linotype" w:hAnsi="Palatino Linotype" w:cs="Palatino Linotype"/>
          <w:b/>
          <w:sz w:val="22"/>
          <w:szCs w:val="22"/>
        </w:rPr>
        <w:t>00376/TOLUCA/IP/2025</w:t>
      </w:r>
      <w:r>
        <w:rPr>
          <w:rFonts w:ascii="Palatino Linotype" w:eastAsia="Palatino Linotype" w:hAnsi="Palatino Linotype" w:cs="Palatino Linotype"/>
          <w:sz w:val="22"/>
          <w:szCs w:val="22"/>
        </w:rPr>
        <w:t>, se emite la presente Resolución, con base en los Antecedentes y Considerandos que se exponen a continuación:</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pStyle w:val="Ttulo1"/>
        <w:spacing w:before="0" w:after="0" w:line="360" w:lineRule="auto"/>
        <w:jc w:val="center"/>
        <w:rPr>
          <w:rFonts w:ascii="Palatino Linotype" w:eastAsia="Palatino Linotype" w:hAnsi="Palatino Linotype" w:cs="Palatino Linotype"/>
          <w:b/>
          <w:color w:val="000000"/>
          <w:sz w:val="22"/>
          <w:szCs w:val="22"/>
        </w:rPr>
      </w:pPr>
      <w:bookmarkStart w:id="0" w:name="_heading=h.e26y9jyqhy42" w:colFirst="0" w:colLast="0"/>
      <w:bookmarkEnd w:id="0"/>
      <w:r>
        <w:rPr>
          <w:rFonts w:ascii="Palatino Linotype" w:eastAsia="Palatino Linotype" w:hAnsi="Palatino Linotype" w:cs="Palatino Linotype"/>
          <w:b/>
          <w:color w:val="000000"/>
          <w:sz w:val="22"/>
          <w:szCs w:val="22"/>
        </w:rPr>
        <w:t>A N T E C E D E N T E S</w:t>
      </w:r>
    </w:p>
    <w:p w:rsidR="004B7229" w:rsidRDefault="004B7229">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1" w:name="_heading=h.gmdqm76me9m4" w:colFirst="0" w:colLast="0"/>
      <w:bookmarkEnd w:id="1"/>
      <w:r>
        <w:rPr>
          <w:rFonts w:ascii="Palatino Linotype" w:eastAsia="Palatino Linotype" w:hAnsi="Palatino Linotype" w:cs="Palatino Linotype"/>
          <w:b/>
          <w:color w:val="000000"/>
          <w:sz w:val="22"/>
          <w:szCs w:val="22"/>
        </w:rPr>
        <w:t>I. Presentación de la solicitud de información</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veinte de enero de dos mil veinticinco, el Particular presentó una solicitud de acceso a la información pública, a través del Sistema de Acceso a la Información Mexiquense, en lo sucesivo  el SAIMEX, ante el </w:t>
      </w:r>
      <w:r>
        <w:rPr>
          <w:rFonts w:ascii="Palatino Linotype" w:eastAsia="Palatino Linotype" w:hAnsi="Palatino Linotype" w:cs="Palatino Linotype"/>
          <w:color w:val="000000"/>
          <w:sz w:val="22"/>
          <w:szCs w:val="22"/>
        </w:rPr>
        <w:t xml:space="preserve">Instituto de Políticas Públicas del Estado de México y sus Municipios, </w:t>
      </w:r>
      <w:r>
        <w:rPr>
          <w:rFonts w:ascii="Palatino Linotype" w:eastAsia="Palatino Linotype" w:hAnsi="Palatino Linotype" w:cs="Palatino Linotype"/>
          <w:b/>
          <w:color w:val="000000"/>
          <w:sz w:val="22"/>
          <w:szCs w:val="22"/>
        </w:rPr>
        <w:t>ya que, si bien se presentó el diecinueve de enero del presente año, lo cierto es que fue inhábil, por lo que se tuvo por presentada el día hábil subsecuente,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rsidR="004B7229" w:rsidRDefault="004B7229">
      <w:pPr>
        <w:tabs>
          <w:tab w:val="left" w:pos="4667"/>
        </w:tabs>
        <w:spacing w:line="360" w:lineRule="auto"/>
        <w:ind w:right="567"/>
        <w:jc w:val="both"/>
        <w:rPr>
          <w:rFonts w:ascii="Palatino Linotype" w:eastAsia="Palatino Linotype" w:hAnsi="Palatino Linotype" w:cs="Palatino Linotype"/>
          <w:b/>
          <w:i/>
        </w:rPr>
      </w:pPr>
    </w:p>
    <w:p w:rsidR="004B7229" w:rsidRDefault="00CE6C4C">
      <w:pPr>
        <w:tabs>
          <w:tab w:val="left" w:pos="4667"/>
        </w:tabs>
        <w:spacing w:line="360" w:lineRule="auto"/>
        <w:ind w:left="567" w:right="567"/>
        <w:jc w:val="both"/>
        <w:rPr>
          <w:rFonts w:ascii="Palatino Linotype" w:eastAsia="Palatino Linotype" w:hAnsi="Palatino Linotype" w:cs="Palatino Linotype"/>
          <w:b/>
          <w:i/>
        </w:rPr>
      </w:pPr>
      <w:bookmarkStart w:id="2" w:name="_heading=h.ghkqop8dtjfi" w:colFirst="0" w:colLast="0"/>
      <w:bookmarkEnd w:id="2"/>
      <w:r>
        <w:rPr>
          <w:rFonts w:ascii="Palatino Linotype" w:eastAsia="Palatino Linotype" w:hAnsi="Palatino Linotype" w:cs="Palatino Linotype"/>
          <w:b/>
          <w:i/>
        </w:rPr>
        <w:t>DESCRIPCIÓN CLARA Y PRECISA DE LA INFORMACIÓN SOLICITADA</w:t>
      </w:r>
    </w:p>
    <w:p w:rsidR="006A170E"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“Se solicita los documentos de seguridad completos y las bases de datos actuales y nuevas de su administración de 2025.</w:t>
      </w:r>
      <w:r>
        <w:rPr>
          <w:rFonts w:ascii="Palatino Linotype" w:eastAsia="Palatino Linotype" w:hAnsi="Palatino Linotype" w:cs="Palatino Linotype"/>
          <w:i/>
        </w:rPr>
        <w:t xml:space="preserve">”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(Sic).</w:t>
      </w:r>
    </w:p>
    <w:p w:rsidR="004B7229" w:rsidRDefault="004B7229">
      <w:pPr>
        <w:tabs>
          <w:tab w:val="left" w:pos="4667"/>
        </w:tabs>
        <w:spacing w:line="360" w:lineRule="auto"/>
        <w:ind w:left="567" w:right="567"/>
        <w:jc w:val="both"/>
        <w:rPr>
          <w:rFonts w:ascii="Palatino Linotype" w:eastAsia="Palatino Linotype" w:hAnsi="Palatino Linotype" w:cs="Palatino Linotype"/>
          <w:b/>
          <w:i/>
        </w:rPr>
      </w:pPr>
    </w:p>
    <w:p w:rsidR="004B7229" w:rsidRDefault="00CE6C4C">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Modalidad de Entrega </w:t>
      </w:r>
      <w:r>
        <w:rPr>
          <w:rFonts w:ascii="Palatino Linotype" w:eastAsia="Palatino Linotype" w:hAnsi="Palatino Linotype" w:cs="Palatino Linotype"/>
          <w:i/>
        </w:rPr>
        <w:t>A través del SAIMEX</w:t>
      </w:r>
    </w:p>
    <w:p w:rsidR="006A170E" w:rsidRDefault="006A170E">
      <w:pPr>
        <w:tabs>
          <w:tab w:val="left" w:pos="4667"/>
        </w:tabs>
        <w:spacing w:line="360" w:lineRule="auto"/>
        <w:ind w:left="567" w:right="567"/>
        <w:jc w:val="both"/>
        <w:rPr>
          <w:rFonts w:ascii="Palatino Linotype" w:eastAsia="Palatino Linotype" w:hAnsi="Palatino Linotype" w:cs="Palatino Linotype"/>
          <w:i/>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3" w:name="_heading=h.hhs1wzu1etc8" w:colFirst="0" w:colLast="0"/>
      <w:bookmarkEnd w:id="3"/>
      <w:r>
        <w:rPr>
          <w:rFonts w:ascii="Palatino Linotype" w:eastAsia="Palatino Linotype" w:hAnsi="Palatino Linotype" w:cs="Palatino Linotype"/>
          <w:b/>
          <w:color w:val="000000"/>
          <w:sz w:val="22"/>
          <w:szCs w:val="22"/>
        </w:rPr>
        <w:t>II. Respuesta del Sujeto Obligado</w:t>
      </w:r>
    </w:p>
    <w:p w:rsidR="004B7229" w:rsidRDefault="004B7229">
      <w:pPr>
        <w:tabs>
          <w:tab w:val="left" w:pos="4667"/>
        </w:tabs>
        <w:spacing w:line="360" w:lineRule="auto"/>
        <w:ind w:right="567"/>
        <w:jc w:val="both"/>
        <w:rPr>
          <w:rFonts w:ascii="Palatino Linotype" w:eastAsia="Palatino Linotype" w:hAnsi="Palatino Linotype" w:cs="Palatino Linotype"/>
          <w:b/>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once de febrero de febrero de dos mil veinticinco,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SAIMEX, por medio del oficio sin número, del once de febrero de dos mil veinticinco, suscrito por el Titular de la Unidad de Transparencia, por medio del cual manifestó esencialmente lo siguiente:</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…hago de su conocimiento que derivado de una búsqueda exhaustiva y razonable de la información </w:t>
      </w:r>
      <w:r>
        <w:rPr>
          <w:rFonts w:ascii="Palatino Linotype" w:eastAsia="Palatino Linotype" w:hAnsi="Palatino Linotype" w:cs="Palatino Linotype"/>
          <w:b/>
          <w:i/>
        </w:rPr>
        <w:t>se informa que lo solicitado aún se encuentra en proceso de integración,</w:t>
      </w:r>
      <w:r>
        <w:rPr>
          <w:rFonts w:ascii="Palatino Linotype" w:eastAsia="Palatino Linotype" w:hAnsi="Palatino Linotype" w:cs="Palatino Linotype"/>
          <w:i/>
        </w:rPr>
        <w:t xml:space="preserve"> por lo que no es posible hacer entrega de la misma.</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B7229" w:rsidRDefault="004B7229">
      <w:pPr>
        <w:spacing w:line="360" w:lineRule="auto"/>
        <w:ind w:left="567" w:right="567"/>
        <w:jc w:val="both"/>
        <w:rPr>
          <w:rFonts w:ascii="Palatino Linotype" w:eastAsia="Palatino Linotype" w:hAnsi="Palatino Linotype" w:cs="Palatino Linotype"/>
          <w:i/>
        </w:rPr>
      </w:pPr>
    </w:p>
    <w:p w:rsidR="004B7229" w:rsidRDefault="00CE6C4C">
      <w:pPr>
        <w:pStyle w:val="Ttulo2"/>
        <w:spacing w:before="0" w:after="0" w:line="360" w:lineRule="auto"/>
        <w:rPr>
          <w:rFonts w:ascii="Palatino Linotype" w:eastAsia="Palatino Linotype" w:hAnsi="Palatino Linotype" w:cs="Palatino Linotype"/>
          <w:b/>
          <w:sz w:val="22"/>
          <w:szCs w:val="22"/>
        </w:rPr>
      </w:pPr>
      <w:bookmarkStart w:id="4" w:name="_heading=h.4penfsloptdt" w:colFirst="0" w:colLast="0"/>
      <w:bookmarkEnd w:id="4"/>
      <w:r>
        <w:rPr>
          <w:rFonts w:ascii="Palatino Linotype" w:eastAsia="Palatino Linotype" w:hAnsi="Palatino Linotype" w:cs="Palatino Linotype"/>
          <w:b/>
          <w:color w:val="000000"/>
          <w:sz w:val="22"/>
          <w:szCs w:val="22"/>
        </w:rPr>
        <w:t>III. Interposición del Recurso de Revisión</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trece de febrero de dos mil veinticinco, se recibió en este Instituto, a través del  SAIMEX, el Recurso de Revisión interpuesto por la parte Recurrente, en contra de la respuesta del Sujeto Obligado</w:t>
      </w:r>
      <w:r>
        <w:rPr>
          <w:rFonts w:ascii="Palatino Linotype" w:eastAsia="Palatino Linotype" w:hAnsi="Palatino Linotype" w:cs="Palatino Linotype"/>
          <w:b/>
          <w:sz w:val="22"/>
          <w:szCs w:val="22"/>
        </w:rPr>
        <w:t>,</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sz w:val="22"/>
          <w:szCs w:val="22"/>
        </w:rPr>
        <w:t>en los siguientes términos:</w:t>
      </w:r>
    </w:p>
    <w:p w:rsidR="004B7229" w:rsidRDefault="004B7229">
      <w:pPr>
        <w:spacing w:line="360" w:lineRule="auto"/>
        <w:ind w:right="-28"/>
        <w:jc w:val="both"/>
        <w:rPr>
          <w:rFonts w:ascii="Palatino Linotype" w:eastAsia="Palatino Linotype" w:hAnsi="Palatino Linotype" w:cs="Palatino Linotype"/>
          <w:i/>
        </w:rPr>
      </w:pPr>
    </w:p>
    <w:p w:rsidR="004B7229" w:rsidRDefault="00CE6C4C">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“La contratación a mi </w:t>
      </w:r>
      <w:proofErr w:type="spellStart"/>
      <w:r>
        <w:rPr>
          <w:rFonts w:ascii="Palatino Linotype" w:eastAsia="Palatino Linotype" w:hAnsi="Palatino Linotype" w:cs="Palatino Linotype"/>
          <w:i/>
          <w:color w:val="000000"/>
        </w:rPr>
        <w:t>peticion</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rsidR="004B7229" w:rsidRDefault="004B7229">
      <w:pPr>
        <w:tabs>
          <w:tab w:val="left" w:pos="4667"/>
        </w:tabs>
        <w:spacing w:line="360" w:lineRule="auto"/>
        <w:ind w:left="567" w:right="567"/>
        <w:jc w:val="both"/>
        <w:rPr>
          <w:rFonts w:ascii="Palatino Linotype" w:eastAsia="Palatino Linotype" w:hAnsi="Palatino Linotype" w:cs="Palatino Linotype"/>
          <w:i/>
        </w:rPr>
      </w:pPr>
    </w:p>
    <w:p w:rsidR="004B7229" w:rsidRDefault="00CE6C4C">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entrega la respuesta completa deben contar con información.</w:t>
      </w:r>
      <w:r>
        <w:rPr>
          <w:rFonts w:ascii="Palatino Linotype" w:eastAsia="Palatino Linotype" w:hAnsi="Palatino Linotype" w:cs="Palatino Linotype"/>
          <w:i/>
        </w:rPr>
        <w:t>”</w:t>
      </w:r>
    </w:p>
    <w:p w:rsidR="004B7229" w:rsidRDefault="004B7229">
      <w:pPr>
        <w:spacing w:line="360" w:lineRule="auto"/>
        <w:ind w:right="-28"/>
        <w:jc w:val="both"/>
        <w:rPr>
          <w:rFonts w:ascii="Palatino Linotype" w:eastAsia="Palatino Linotype" w:hAnsi="Palatino Linotype" w:cs="Palatino Linotype"/>
          <w:b/>
          <w:sz w:val="22"/>
          <w:szCs w:val="22"/>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5" w:name="_heading=h.6l4yhuc8vnxb" w:colFirst="0" w:colLast="0"/>
      <w:bookmarkEnd w:id="5"/>
      <w:r>
        <w:rPr>
          <w:rFonts w:ascii="Palatino Linotype" w:eastAsia="Palatino Linotype" w:hAnsi="Palatino Linotype" w:cs="Palatino Linotype"/>
          <w:b/>
          <w:color w:val="000000"/>
          <w:sz w:val="22"/>
          <w:szCs w:val="22"/>
        </w:rPr>
        <w:t>IV. Trámite del Recurso de Revisión ante el Instituto</w:t>
      </w:r>
    </w:p>
    <w:p w:rsidR="004B7229" w:rsidRDefault="004B7229">
      <w:pPr>
        <w:spacing w:line="360" w:lineRule="auto"/>
        <w:ind w:right="-28"/>
        <w:jc w:val="both"/>
        <w:rPr>
          <w:rFonts w:ascii="Palatino Linotype" w:eastAsia="Palatino Linotype" w:hAnsi="Palatino Linotype" w:cs="Palatino Linotype"/>
          <w:b/>
          <w:sz w:val="22"/>
          <w:szCs w:val="22"/>
        </w:rPr>
      </w:pP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trece de febrero de dos mil veinticinco, el  SAIMEX, asignó el número de expediente </w:t>
      </w:r>
      <w:r>
        <w:rPr>
          <w:rFonts w:ascii="Palatino Linotype" w:eastAsia="Palatino Linotype" w:hAnsi="Palatino Linotype" w:cs="Palatino Linotype"/>
          <w:b/>
          <w:sz w:val="22"/>
          <w:szCs w:val="22"/>
        </w:rPr>
        <w:t xml:space="preserve">01346/INFOEM/IP/RR/2025,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dieciocho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Con fecha veintisiete de febrero de dos mil veinticinco, se recibió en este Instituto, a través del  SAIMEX, el Informe Justificado, por parte del Sujeto Obligado, a través del oficio sin número, de fecha de su presentación, suscrito por el Titular de la Unidad de Transparencia, dirigido al Comisionado Ponente, por medio del cual esencialmente ratifica su respuesta inicial.</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 xml:space="preserve">El cinco de marzo de dos mil veinticinco, se notificó a través del SAIMEX, el acuerdo mediante el cual se puso a la vista del Particular el Informe Justificado, proveído por el cual se le otorgó a este último, un término de tres días hábiles contados a partir </w:t>
      </w:r>
      <w:r>
        <w:rPr>
          <w:rFonts w:ascii="Palatino Linotype" w:eastAsia="Palatino Linotype" w:hAnsi="Palatino Linotype" w:cs="Palatino Linotype"/>
          <w:sz w:val="22"/>
          <w:szCs w:val="22"/>
        </w:rPr>
        <w:lastRenderedPageBreak/>
        <w:t>del día siguiente a la notificación, para que emitiera las manifestaciones que conforme a sus intereses mayor conviniera.</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El veinticinco 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SAIMEX.</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pStyle w:val="Ttulo1"/>
        <w:spacing w:before="0" w:after="0" w:line="360" w:lineRule="auto"/>
        <w:jc w:val="center"/>
        <w:rPr>
          <w:rFonts w:ascii="Palatino Linotype" w:eastAsia="Palatino Linotype" w:hAnsi="Palatino Linotype" w:cs="Palatino Linotype"/>
          <w:b/>
          <w:color w:val="000000"/>
          <w:sz w:val="22"/>
          <w:szCs w:val="22"/>
        </w:rPr>
      </w:pPr>
      <w:bookmarkStart w:id="6" w:name="_heading=h.xtchrbha7s8g" w:colFirst="0" w:colLast="0"/>
      <w:bookmarkEnd w:id="6"/>
      <w:r>
        <w:rPr>
          <w:rFonts w:ascii="Palatino Linotype" w:eastAsia="Palatino Linotype" w:hAnsi="Palatino Linotype" w:cs="Palatino Linotype"/>
          <w:b/>
          <w:color w:val="000000"/>
          <w:sz w:val="22"/>
          <w:szCs w:val="22"/>
        </w:rPr>
        <w:t>C O N S I D E R A N D O S</w:t>
      </w:r>
    </w:p>
    <w:p w:rsidR="004B7229" w:rsidRDefault="004B7229">
      <w:pPr>
        <w:spacing w:line="360" w:lineRule="auto"/>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7" w:name="_heading=h.7qjlsgw76e17" w:colFirst="0" w:colLast="0"/>
      <w:bookmarkEnd w:id="7"/>
      <w:r>
        <w:rPr>
          <w:rFonts w:ascii="Palatino Linotype" w:eastAsia="Palatino Linotype" w:hAnsi="Palatino Linotype" w:cs="Palatino Linotype"/>
          <w:b/>
          <w:color w:val="000000"/>
          <w:sz w:val="22"/>
          <w:szCs w:val="22"/>
        </w:rPr>
        <w:t>PRIMERO. Competencia</w:t>
      </w:r>
    </w:p>
    <w:p w:rsidR="004B7229" w:rsidRDefault="004B7229">
      <w:pPr>
        <w:spacing w:line="360" w:lineRule="auto"/>
        <w:ind w:right="-28"/>
        <w:jc w:val="both"/>
        <w:rPr>
          <w:rFonts w:ascii="Palatino Linotype" w:eastAsia="Palatino Linotype" w:hAnsi="Palatino Linotype" w:cs="Palatino Linotype"/>
          <w:b/>
          <w:sz w:val="22"/>
          <w:szCs w:val="22"/>
        </w:rPr>
      </w:pPr>
    </w:p>
    <w:p w:rsidR="004B7229" w:rsidRDefault="00CE6C4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Pr>
          <w:rFonts w:ascii="Palatino Linotype" w:eastAsia="Palatino Linotype" w:hAnsi="Palatino Linotype" w:cs="Palatino Linotype"/>
          <w:color w:val="000000"/>
          <w:sz w:val="22"/>
          <w:szCs w:val="22"/>
        </w:rPr>
        <w:lastRenderedPageBreak/>
        <w:t>y Municipios;</w:t>
      </w:r>
      <w:r>
        <w:rPr>
          <w:rFonts w:ascii="Palatino Linotype" w:eastAsia="Palatino Linotype" w:hAnsi="Palatino Linotype" w:cs="Palatino Linotype"/>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8" w:name="_heading=h.e4dnu7uwcuqj" w:colFirst="0" w:colLast="0"/>
      <w:bookmarkEnd w:id="8"/>
      <w:r>
        <w:rPr>
          <w:rFonts w:ascii="Palatino Linotype" w:eastAsia="Palatino Linotype" w:hAnsi="Palatino Linotype" w:cs="Palatino Linotype"/>
          <w:b/>
          <w:color w:val="000000"/>
          <w:sz w:val="22"/>
          <w:szCs w:val="22"/>
        </w:rPr>
        <w:t>SEGUNDO. Causales de improcedencia y sobreseimiento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para determinar lo que en Derecho proceda.</w:t>
      </w:r>
    </w:p>
    <w:p w:rsidR="004B7229" w:rsidRDefault="004B7229">
      <w:pPr>
        <w:spacing w:line="360" w:lineRule="auto"/>
        <w:jc w:val="both"/>
        <w:rPr>
          <w:rFonts w:ascii="Palatino Linotype" w:eastAsia="Palatino Linotype" w:hAnsi="Palatino Linotype" w:cs="Palatino Linotype"/>
          <w:b/>
          <w:color w:val="000000"/>
          <w:sz w:val="22"/>
          <w:szCs w:val="22"/>
        </w:rPr>
      </w:pPr>
    </w:p>
    <w:p w:rsidR="004B7229" w:rsidRDefault="00CE6C4C">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rsidR="004B7229" w:rsidRDefault="004B7229">
      <w:pPr>
        <w:spacing w:line="360" w:lineRule="auto"/>
        <w:jc w:val="both"/>
        <w:rPr>
          <w:rFonts w:ascii="Palatino Linotype" w:eastAsia="Palatino Linotype" w:hAnsi="Palatino Linotype" w:cs="Palatino Linotype"/>
          <w:color w:val="000000"/>
          <w:sz w:val="22"/>
          <w:szCs w:val="22"/>
        </w:rPr>
      </w:pPr>
    </w:p>
    <w:p w:rsidR="004B7229" w:rsidRDefault="00CE6C4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w:t>
      </w:r>
      <w:r>
        <w:rPr>
          <w:rFonts w:ascii="Palatino Linotype" w:eastAsia="Palatino Linotype" w:hAnsi="Palatino Linotype" w:cs="Palatino Linotype"/>
          <w:sz w:val="22"/>
          <w:szCs w:val="22"/>
        </w:rPr>
        <w:lastRenderedPageBreak/>
        <w:t xml:space="preserve">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rsidR="004B7229" w:rsidRDefault="004B7229">
      <w:pPr>
        <w:spacing w:line="360" w:lineRule="auto"/>
        <w:jc w:val="both"/>
        <w:rPr>
          <w:rFonts w:ascii="Palatino Linotype" w:eastAsia="Palatino Linotype" w:hAnsi="Palatino Linotype" w:cs="Palatino Linotype"/>
          <w:color w:val="000000"/>
          <w:sz w:val="22"/>
          <w:szCs w:val="22"/>
        </w:rPr>
      </w:pPr>
    </w:p>
    <w:p w:rsidR="004B7229" w:rsidRDefault="00CE6C4C">
      <w:pPr>
        <w:widowControl w:val="0"/>
        <w:spacing w:line="360" w:lineRule="auto"/>
        <w:jc w:val="both"/>
        <w:rPr>
          <w:rFonts w:ascii="Palatino Linotype" w:eastAsia="Palatino Linotype" w:hAnsi="Palatino Linotype" w:cs="Palatino Linotype"/>
          <w:sz w:val="22"/>
          <w:szCs w:val="22"/>
        </w:rPr>
      </w:pPr>
      <w:bookmarkStart w:id="9" w:name="_heading=h.o4gg7jgm3a55" w:colFirst="0" w:colLast="0"/>
      <w:bookmarkEnd w:id="9"/>
      <w:r>
        <w:rPr>
          <w:rFonts w:ascii="Palatino Linotype" w:eastAsia="Palatino Linotype" w:hAnsi="Palatino Linotype" w:cs="Palatino Linotype"/>
          <w:sz w:val="22"/>
          <w:szCs w:val="22"/>
        </w:rPr>
        <w:t xml:space="preserve">Asimismo, se actualiza la causal de procedencia del Recurso de Revisión señalada en el artículo 179, fracción III,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declaración de inexistencia de la información.</w:t>
      </w:r>
    </w:p>
    <w:p w:rsidR="004B7229" w:rsidRDefault="004B7229">
      <w:pPr>
        <w:widowControl w:val="0"/>
        <w:spacing w:line="360" w:lineRule="auto"/>
        <w:jc w:val="both"/>
        <w:rPr>
          <w:rFonts w:ascii="Palatino Linotype" w:eastAsia="Palatino Linotype" w:hAnsi="Palatino Linotype" w:cs="Palatino Linotype"/>
          <w:b/>
          <w:sz w:val="22"/>
          <w:szCs w:val="22"/>
        </w:rPr>
      </w:pPr>
    </w:p>
    <w:p w:rsidR="004B7229" w:rsidRDefault="00CE6C4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rsidR="004B7229" w:rsidRDefault="004B7229">
      <w:pPr>
        <w:spacing w:line="360" w:lineRule="auto"/>
        <w:jc w:val="both"/>
        <w:rPr>
          <w:rFonts w:ascii="Palatino Linotype" w:eastAsia="Palatino Linotype" w:hAnsi="Palatino Linotype" w:cs="Palatino Linotype"/>
          <w:color w:val="0D0D0D"/>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rsidR="004B7229" w:rsidRDefault="004B7229">
      <w:pPr>
        <w:tabs>
          <w:tab w:val="left" w:pos="4962"/>
        </w:tabs>
        <w:spacing w:line="360" w:lineRule="auto"/>
        <w:jc w:val="both"/>
        <w:rPr>
          <w:rFonts w:ascii="Palatino Linotype" w:eastAsia="Palatino Linotype" w:hAnsi="Palatino Linotype" w:cs="Palatino Linotype"/>
          <w:sz w:val="22"/>
          <w:szCs w:val="22"/>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10" w:name="_heading=h.ihmxwyen55lc" w:colFirst="0" w:colLast="0"/>
      <w:bookmarkEnd w:id="10"/>
      <w:r>
        <w:rPr>
          <w:rFonts w:ascii="Palatino Linotype" w:eastAsia="Palatino Linotype" w:hAnsi="Palatino Linotype" w:cs="Palatino Linotype"/>
          <w:b/>
          <w:color w:val="000000"/>
          <w:sz w:val="22"/>
          <w:szCs w:val="22"/>
        </w:rPr>
        <w:t>TERCERO. Determinación de la Controversia</w:t>
      </w:r>
    </w:p>
    <w:p w:rsidR="004B7229" w:rsidRDefault="004B7229">
      <w:pPr>
        <w:tabs>
          <w:tab w:val="left" w:pos="4962"/>
        </w:tabs>
        <w:spacing w:line="360" w:lineRule="auto"/>
        <w:jc w:val="both"/>
        <w:rPr>
          <w:rFonts w:ascii="Palatino Linotype" w:eastAsia="Palatino Linotype" w:hAnsi="Palatino Linotype" w:cs="Palatino Linotype"/>
          <w:b/>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realizado el estudio de las constancias que integran el expediente en que se actúa, se desprende que el Particular requirió, respecto de la administración actual del Ayuntamiento de Toluca 2025-2027, al trece de enero de dos mil veinticinco, los documentos que dieran cuenta de lo siguiente:</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Documento de Seguridad; y </w:t>
      </w:r>
    </w:p>
    <w:p w:rsidR="004B7229" w:rsidRDefault="00CE6C4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Bases de Datos actuales</w:t>
      </w:r>
    </w:p>
    <w:p w:rsidR="004B7229" w:rsidRDefault="004B7229">
      <w:pPr>
        <w:spacing w:line="360" w:lineRule="auto"/>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a través de la Unidad de Transparencia, indicó que la información se encontraba en proceso de integración, por lo que no podía ser proporcionada</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ante dicha circunstancia, el Particular se agravió por la negativa a la entrega de información, al señalar que está en proceso de integración; circunstancia que actualiza la causal de procedencia prevista en la fracción I, del artículo 179 de la Ley de Transparencia y Acceso a la Información Pública del Estado de México y Municipios. </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la respuesta proporcionada,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r>
        <w:rPr>
          <w:rFonts w:ascii="Palatino Linotype" w:eastAsia="Palatino Linotype" w:hAnsi="Palatino Linotype" w:cs="Palatino Linotype"/>
          <w:b/>
          <w:sz w:val="22"/>
          <w:szCs w:val="22"/>
        </w:rPr>
        <w:t xml:space="preserve"> </w:t>
      </w:r>
    </w:p>
    <w:p w:rsidR="004B7229" w:rsidRDefault="004B7229">
      <w:pPr>
        <w:spacing w:line="360" w:lineRule="auto"/>
        <w:jc w:val="both"/>
        <w:rPr>
          <w:rFonts w:ascii="Palatino Linotype" w:eastAsia="Palatino Linotype" w:hAnsi="Palatino Linotype" w:cs="Palatino Linotype"/>
          <w:b/>
          <w:sz w:val="22"/>
          <w:szCs w:val="22"/>
        </w:rPr>
      </w:pPr>
      <w:bookmarkStart w:id="11" w:name="_heading=h.e5pe25qenlws" w:colFirst="0" w:colLast="0"/>
      <w:bookmarkEnd w:id="11"/>
    </w:p>
    <w:p w:rsidR="006A170E" w:rsidRDefault="006A170E">
      <w:pPr>
        <w:spacing w:line="360" w:lineRule="auto"/>
        <w:jc w:val="both"/>
        <w:rPr>
          <w:rFonts w:ascii="Palatino Linotype" w:eastAsia="Palatino Linotype" w:hAnsi="Palatino Linotype" w:cs="Palatino Linotype"/>
          <w:b/>
          <w:sz w:val="22"/>
          <w:szCs w:val="22"/>
        </w:rPr>
      </w:pPr>
    </w:p>
    <w:p w:rsidR="006A170E" w:rsidRPr="00E654C9" w:rsidRDefault="006A170E" w:rsidP="006A170E">
      <w:pPr>
        <w:spacing w:line="360" w:lineRule="auto"/>
        <w:jc w:val="both"/>
        <w:rPr>
          <w:rFonts w:ascii="Palatino Linotype" w:eastAsia="Palatino Linotype" w:hAnsi="Palatino Linotype" w:cs="Palatino Linotype"/>
          <w:b/>
          <w:sz w:val="22"/>
          <w:szCs w:val="22"/>
        </w:rPr>
      </w:pPr>
      <w:r w:rsidRPr="00E654C9">
        <w:rPr>
          <w:rFonts w:ascii="Palatino Linotype" w:eastAsia="Palatino Linotype" w:hAnsi="Palatino Linotype" w:cs="Palatino Linotype"/>
          <w:b/>
          <w:sz w:val="22"/>
          <w:szCs w:val="22"/>
        </w:rPr>
        <w:t>CUARTO. Marco normativo aplicable en materia de transparencia y acceso a la información pública</w:t>
      </w:r>
    </w:p>
    <w:p w:rsidR="006A170E" w:rsidRPr="00E654C9" w:rsidRDefault="006A170E" w:rsidP="006A170E">
      <w:pPr>
        <w:spacing w:line="360" w:lineRule="auto"/>
        <w:jc w:val="both"/>
        <w:rPr>
          <w:rFonts w:ascii="Palatino Linotype" w:eastAsia="Palatino Linotype" w:hAnsi="Palatino Linotype" w:cs="Palatino Linotype"/>
          <w:b/>
          <w:sz w:val="22"/>
          <w:szCs w:val="22"/>
        </w:rPr>
      </w:pPr>
    </w:p>
    <w:p w:rsidR="006A170E" w:rsidRPr="00E654C9" w:rsidRDefault="006A170E" w:rsidP="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A170E" w:rsidRDefault="006A170E" w:rsidP="006A170E">
      <w:pPr>
        <w:spacing w:line="360" w:lineRule="auto"/>
        <w:jc w:val="both"/>
        <w:rPr>
          <w:rFonts w:ascii="Palatino Linotype" w:eastAsia="Palatino Linotype" w:hAnsi="Palatino Linotype" w:cs="Palatino Linotype"/>
          <w:sz w:val="22"/>
          <w:szCs w:val="22"/>
        </w:rPr>
      </w:pPr>
    </w:p>
    <w:p w:rsidR="006A170E" w:rsidRPr="00E654C9" w:rsidRDefault="006A170E" w:rsidP="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A170E" w:rsidRPr="00E654C9" w:rsidRDefault="006A170E" w:rsidP="006A170E">
      <w:pPr>
        <w:spacing w:line="360" w:lineRule="auto"/>
        <w:jc w:val="both"/>
        <w:rPr>
          <w:rFonts w:ascii="Palatino Linotype" w:eastAsia="Palatino Linotype" w:hAnsi="Palatino Linotype" w:cs="Palatino Linotype"/>
          <w:sz w:val="22"/>
          <w:szCs w:val="22"/>
        </w:rPr>
      </w:pPr>
    </w:p>
    <w:p w:rsidR="006A170E" w:rsidRPr="00E654C9" w:rsidRDefault="006A170E" w:rsidP="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6A170E" w:rsidRPr="00E654C9" w:rsidRDefault="006A170E" w:rsidP="006A170E">
      <w:pPr>
        <w:spacing w:line="360" w:lineRule="auto"/>
        <w:jc w:val="both"/>
        <w:rPr>
          <w:rFonts w:ascii="Palatino Linotype" w:eastAsia="Palatino Linotype" w:hAnsi="Palatino Linotype" w:cs="Palatino Linotype"/>
          <w:sz w:val="22"/>
          <w:szCs w:val="22"/>
        </w:rPr>
      </w:pPr>
    </w:p>
    <w:p w:rsidR="006A170E" w:rsidRPr="00E654C9" w:rsidRDefault="006A170E" w:rsidP="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6A170E" w:rsidRPr="00E654C9" w:rsidRDefault="006A170E" w:rsidP="006A170E">
      <w:pPr>
        <w:spacing w:line="360" w:lineRule="auto"/>
        <w:jc w:val="both"/>
        <w:rPr>
          <w:rFonts w:ascii="Palatino Linotype" w:eastAsia="Palatino Linotype" w:hAnsi="Palatino Linotype" w:cs="Palatino Linotype"/>
          <w:sz w:val="22"/>
          <w:szCs w:val="22"/>
        </w:rPr>
      </w:pPr>
    </w:p>
    <w:p w:rsidR="006A170E" w:rsidRPr="00E654C9" w:rsidRDefault="006A170E" w:rsidP="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6A170E" w:rsidRPr="00E654C9" w:rsidRDefault="006A170E" w:rsidP="006A170E">
      <w:pPr>
        <w:spacing w:line="360" w:lineRule="auto"/>
        <w:jc w:val="both"/>
        <w:rPr>
          <w:rFonts w:ascii="Palatino Linotype" w:eastAsia="Palatino Linotype" w:hAnsi="Palatino Linotype" w:cs="Palatino Linotype"/>
          <w:sz w:val="22"/>
          <w:szCs w:val="22"/>
        </w:rPr>
      </w:pPr>
    </w:p>
    <w:p w:rsidR="004B7229" w:rsidRDefault="006A170E">
      <w:pPr>
        <w:spacing w:line="360" w:lineRule="auto"/>
        <w:jc w:val="both"/>
        <w:rPr>
          <w:rFonts w:ascii="Palatino Linotype" w:eastAsia="Palatino Linotype" w:hAnsi="Palatino Linotype" w:cs="Palatino Linotype"/>
          <w:sz w:val="22"/>
          <w:szCs w:val="22"/>
        </w:rPr>
      </w:pPr>
      <w:r w:rsidRPr="00E654C9">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B7229" w:rsidRDefault="004B7229">
      <w:pPr>
        <w:spacing w:line="360" w:lineRule="auto"/>
        <w:jc w:val="both"/>
        <w:rPr>
          <w:rFonts w:ascii="Palatino Linotype" w:eastAsia="Palatino Linotype" w:hAnsi="Palatino Linotype" w:cs="Palatino Linotype"/>
          <w:b/>
          <w:sz w:val="22"/>
          <w:szCs w:val="22"/>
        </w:rPr>
      </w:pPr>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bookmarkStart w:id="12" w:name="_heading=h.bapv61vhye30" w:colFirst="0" w:colLast="0"/>
      <w:bookmarkEnd w:id="12"/>
      <w:r>
        <w:rPr>
          <w:rFonts w:ascii="Palatino Linotype" w:eastAsia="Palatino Linotype" w:hAnsi="Palatino Linotype" w:cs="Palatino Linotype"/>
          <w:b/>
          <w:color w:val="000000"/>
          <w:sz w:val="22"/>
          <w:szCs w:val="22"/>
        </w:rPr>
        <w:lastRenderedPageBreak/>
        <w:t>QUINTO. Estudio de Fondo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 realizar el análisis de los agravios hechos valer por el ahora Recurrente, concernientes a la negativa de acceso a la información, por lo que en principio se procede a contextualizar la solicitud de información, relacionada con el Documento de Seguridad y las Bases de Datos del Ayuntamiento de Toluca. </w:t>
      </w:r>
    </w:p>
    <w:p w:rsidR="004B7229" w:rsidRDefault="004B7229">
      <w:pPr>
        <w:widowControl w:val="0"/>
        <w:spacing w:line="360" w:lineRule="auto"/>
        <w:jc w:val="both"/>
        <w:rPr>
          <w:rFonts w:ascii="Palatino Linotype" w:eastAsia="Palatino Linotype" w:hAnsi="Palatino Linotype" w:cs="Palatino Linotype"/>
          <w:sz w:val="22"/>
          <w:szCs w:val="22"/>
        </w:rPr>
      </w:pP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se procede analizar la respuesta entregada, para lo cual, es de señalar que la Unidad de Transparencia fue quien dio respuesta a la solicitud;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es necesario traer al estudio el artículo 114, fracción II, del Bando Municipal de Toluca, dos mil veinticinco, en relación con el artículo 5.41 fracción I, del Código Reglamentario Municipal, en el que se establece que el Sujeto Obligado para el ejercicio de sus funciones contará con diversas unidades administrativas, entre otras, la Unidad de Transparencia, encargada de conocer todo lo relacionado a garantizar el derecho de acceso a la información, y la protección de datos personales de la Administración Municipal.</w:t>
      </w: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se advierte que fue la propia Unidad de Transparencia en su calidad de Servidor Público Habilitado quien atendió la solicitud, que ve las cuestiones relacionadas con el derecho de acceso a la información y la protección de datos personales del Ayuntamiento de Toluca. </w:t>
      </w:r>
    </w:p>
    <w:p w:rsidR="004B7229" w:rsidRDefault="00CE6C4C">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dicha área tanto en respuesta, como en informe justificado, indicó que la información se encontraba en proceso de integración, por lo que no podía hacer entrega de lo peticionado. Así, con base en dichas manifestaciones, el área competente no negó que genera y administra la información solicitada, sino que, a la fecha de la solicitud, esta se encontraba en proceso de integración. </w:t>
      </w:r>
    </w:p>
    <w:p w:rsidR="004B7229" w:rsidRDefault="004B7229">
      <w:pPr>
        <w:widowControl w:val="0"/>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conviene aclarar que, en la solicitud que nos ocupa, se requieren las bases de datos, por lo que se entiende que lo que el particular solicita no son todos los expedientes y registros de datos personales, sino, que se le entregue el nombre de cada una de las bases de datos con las que cuenta el Ayuntamiento, de tal suerte que pueda identificarlas, pues justo esto es coincidente con la primera parte de su solicitud que consiste en los documentos de seguridad.</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En principio, La Ley de Protección de Datos Personales, define a las bases de datos, de la siguiente manera:</w:t>
      </w:r>
    </w:p>
    <w:p w:rsidR="004B7229" w:rsidRDefault="004B7229">
      <w:pPr>
        <w:spacing w:line="360" w:lineRule="auto"/>
        <w:ind w:right="616"/>
        <w:rPr>
          <w:i/>
        </w:rPr>
      </w:pP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 </w:t>
      </w:r>
      <w:r>
        <w:rPr>
          <w:rFonts w:ascii="Palatino Linotype" w:eastAsia="Palatino Linotype" w:hAnsi="Palatino Linotype" w:cs="Palatino Linotype"/>
          <w:b/>
          <w:i/>
        </w:rPr>
        <w:t>Base de Datos:</w:t>
      </w:r>
      <w:r>
        <w:rPr>
          <w:rFonts w:ascii="Palatino Linotype" w:eastAsia="Palatino Linotype" w:hAnsi="Palatino Linotype" w:cs="Palatino Linotype"/>
          <w:i/>
        </w:rPr>
        <w:t xml:space="preserve"> al conjunto de archivos, registros, ficheros, condicionados a criterios determinados con independencia de la forma o modalidad de su creación, tipo de soporte, procesamiento, almacenamiento, organización y acceso.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este concepto, también se debe analizar la figura de los sistemas de datos personales, el cual cobra relevancia para el desarrollo de la presente resolución.</w:t>
      </w:r>
    </w:p>
    <w:p w:rsidR="004B7229" w:rsidRDefault="004B7229">
      <w:pPr>
        <w:spacing w:line="360" w:lineRule="auto"/>
        <w:ind w:right="-150"/>
        <w:jc w:val="both"/>
        <w:rPr>
          <w:rFonts w:ascii="Palatino Linotype" w:eastAsia="Palatino Linotype" w:hAnsi="Palatino Linotype" w:cs="Palatino Linotype"/>
          <w:sz w:val="22"/>
          <w:szCs w:val="22"/>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XLIII. </w:t>
      </w:r>
      <w:r>
        <w:rPr>
          <w:rFonts w:ascii="Palatino Linotype" w:eastAsia="Palatino Linotype" w:hAnsi="Palatino Linotype" w:cs="Palatino Linotype"/>
          <w:b/>
          <w:i/>
        </w:rPr>
        <w:t>Sistema de datos personales:</w:t>
      </w:r>
      <w:r>
        <w:rPr>
          <w:rFonts w:ascii="Palatino Linotype" w:eastAsia="Palatino Linotype" w:hAnsi="Palatino Linotype" w:cs="Palatino Linotype"/>
          <w:i/>
        </w:rPr>
        <w:t xml:space="preserve"> a los datos personales contenidos en los archivos de un sujeto obligado que puede comprender el tratamiento de una o diversas bases de datos para el cumplimiento de una o diversas finalidades.</w:t>
      </w:r>
    </w:p>
    <w:p w:rsidR="004B7229" w:rsidRDefault="004B7229">
      <w:pPr>
        <w:tabs>
          <w:tab w:val="left" w:pos="2130"/>
        </w:tabs>
        <w:spacing w:line="360" w:lineRule="auto"/>
        <w:jc w:val="both"/>
        <w:rPr>
          <w:rFonts w:ascii="Palatino Linotype" w:eastAsia="Palatino Linotype" w:hAnsi="Palatino Linotype" w:cs="Palatino Linotype"/>
          <w:sz w:val="22"/>
          <w:szCs w:val="22"/>
        </w:rPr>
      </w:pPr>
    </w:p>
    <w:p w:rsidR="004B7229" w:rsidRDefault="00CE6C4C">
      <w:pPr>
        <w:tabs>
          <w:tab w:val="left" w:pos="213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el desarrollo de estos conceptos, se establece que los Sujetos Obligados (Responsables que deciden del tratamiento de los datos personales, así contemplada la figura jurídica en el artículo 4°, fracción XLI, de la Ley de Protección de Datos Personales en Posesión de Sujetos Obligados del Estado de México y Municipios), para el tratamiento de los datos personales, debe utilizar bases de datos personales, o bien, sistemas de datos personales, estos últimos, consisten en un sistema que consta o puede constar de diversas bases de datos y expedientes que se interrelacionan para un fin común. </w:t>
      </w:r>
    </w:p>
    <w:p w:rsidR="004B7229" w:rsidRDefault="004B7229">
      <w:pPr>
        <w:tabs>
          <w:tab w:val="left" w:pos="2130"/>
        </w:tabs>
        <w:spacing w:line="360" w:lineRule="auto"/>
        <w:jc w:val="both"/>
        <w:rPr>
          <w:rFonts w:ascii="Palatino Linotype" w:eastAsia="Palatino Linotype" w:hAnsi="Palatino Linotype" w:cs="Palatino Linotype"/>
          <w:sz w:val="22"/>
          <w:szCs w:val="22"/>
        </w:rPr>
      </w:pPr>
    </w:p>
    <w:p w:rsidR="004B7229" w:rsidRDefault="00CE6C4C">
      <w:pPr>
        <w:tabs>
          <w:tab w:val="left" w:pos="213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resulta importante analizar los artículos 35, 36 y 37 de la Ley de Protección de Datos Personales en Posesión de Sujetos Obligados del Estado de México y Municipios, establecen que lo siguiente:</w:t>
      </w:r>
    </w:p>
    <w:p w:rsidR="004B7229" w:rsidRDefault="004B7229">
      <w:pPr>
        <w:tabs>
          <w:tab w:val="left" w:pos="2130"/>
        </w:tabs>
        <w:spacing w:line="360" w:lineRule="auto"/>
        <w:jc w:val="both"/>
        <w:rPr>
          <w:rFonts w:ascii="Palatino Linotype" w:eastAsia="Palatino Linotype" w:hAnsi="Palatino Linotype" w:cs="Palatino Linotype"/>
          <w:sz w:val="22"/>
          <w:szCs w:val="22"/>
        </w:rPr>
      </w:pPr>
    </w:p>
    <w:p w:rsidR="004B7229" w:rsidRDefault="00CE6C4C">
      <w:pPr>
        <w:tabs>
          <w:tab w:val="left" w:pos="2130"/>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Sistemas de Datos Personales </w:t>
      </w:r>
    </w:p>
    <w:p w:rsidR="004B7229" w:rsidRDefault="00CE6C4C">
      <w:pPr>
        <w:tabs>
          <w:tab w:val="left" w:pos="2130"/>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35. Corresponde a cada sujeto obligado determinar, a través de su titular, órgano competente o Comité de Transparencia, la creación, modificación o supresión de sistemas y bases de datos personales, conforme a su respectivo ámbito de competencia. </w:t>
      </w:r>
    </w:p>
    <w:p w:rsidR="004B7229" w:rsidRDefault="004B7229">
      <w:pPr>
        <w:tabs>
          <w:tab w:val="left" w:pos="2130"/>
        </w:tabs>
        <w:spacing w:line="360" w:lineRule="auto"/>
        <w:ind w:left="567" w:right="567"/>
        <w:jc w:val="both"/>
        <w:rPr>
          <w:rFonts w:ascii="Palatino Linotype" w:eastAsia="Palatino Linotype" w:hAnsi="Palatino Linotype" w:cs="Palatino Linotype"/>
          <w:i/>
        </w:rPr>
      </w:pPr>
    </w:p>
    <w:p w:rsidR="004B7229" w:rsidRDefault="00CE6C4C">
      <w:pPr>
        <w:tabs>
          <w:tab w:val="left" w:pos="213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De manera conjunta con la creación del sistema de datos personales, deberá emitirse el acuerdo que los clasifique con carácter confidencial, precisando además los datos que tienen el carácter no confidencial, acuerdo que deberá cumplir con lo dispuesto por la Ley de Transparencia. El acuerdo de clasificación al que hace referencia el presente párrafo servirá de soporte para la emisión de versiones públicas, sólo podrá ser modificado con motivo de acciones correctivas y preventivas a propuesta del administrador.</w:t>
      </w:r>
    </w:p>
    <w:p w:rsidR="004B7229" w:rsidRDefault="004B7229">
      <w:pPr>
        <w:spacing w:line="360" w:lineRule="auto"/>
        <w:ind w:firstLine="708"/>
        <w:jc w:val="both"/>
        <w:rPr>
          <w:rFonts w:ascii="Palatino Linotype" w:eastAsia="Palatino Linotype" w:hAnsi="Palatino Linotype" w:cs="Palatino Linotype"/>
          <w:sz w:val="22"/>
          <w:szCs w:val="22"/>
        </w:rPr>
      </w:pPr>
    </w:p>
    <w:p w:rsidR="004B7229" w:rsidRDefault="00CE6C4C">
      <w:pPr>
        <w:spacing w:line="360" w:lineRule="auto"/>
        <w:ind w:right="567" w:firstLine="567"/>
        <w:jc w:val="both"/>
        <w:rPr>
          <w:rFonts w:ascii="Palatino Linotype" w:eastAsia="Palatino Linotype" w:hAnsi="Palatino Linotype" w:cs="Palatino Linotype"/>
          <w:i/>
        </w:rPr>
      </w:pPr>
      <w:r>
        <w:rPr>
          <w:rFonts w:ascii="Palatino Linotype" w:eastAsia="Palatino Linotype" w:hAnsi="Palatino Linotype" w:cs="Palatino Linotype"/>
          <w:b/>
          <w:i/>
        </w:rPr>
        <w:t>Tratamiento de los Sistemas de Datos Personales</w:t>
      </w:r>
      <w:r>
        <w:rPr>
          <w:rFonts w:ascii="Palatino Linotype" w:eastAsia="Palatino Linotype" w:hAnsi="Palatino Linotype" w:cs="Palatino Linotype"/>
          <w:i/>
        </w:rPr>
        <w:t xml:space="preserve">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36. La integración, tratamiento y tutela de los sistemas de datos personales se regirán por las disposiciones siguientes: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Cada sujeto obligado deberá informar al Instituto sobre la creación, modificación o supresión de sus sistemas de datos personales.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 En caso de creación o modificación de sistemas de datos personales, se incluirá en el registro, los datos previstos la presente Ley.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III. En las disposiciones que se dicten para la supresión de los sistemas de datos personales, se establecerá el destino de los datos contenidos en los mismos o, en su caso, las previsiones que se adopten para su destrucción. </w:t>
      </w:r>
    </w:p>
    <w:p w:rsidR="004B7229" w:rsidRDefault="00CE6C4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De la destrucción de los datos personales podrán ser excluidos aquellos que, con finalidades estadísticas o históricas, sean previamente sometidos al procedimiento de disociación. El registro de Sistemas de Datos Personales deberá realizarse a más tardar dentro de los seis meses siguientes al inicio del tratamiento por parte del responsable.</w:t>
      </w:r>
    </w:p>
    <w:p w:rsidR="004B7229" w:rsidRDefault="004B7229">
      <w:pPr>
        <w:spacing w:line="360" w:lineRule="auto"/>
        <w:ind w:firstLine="708"/>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bases de datos personales y su actualización, de igual manera se encuentran contemplados en el artículo 37 de la Ley, que señala:</w:t>
      </w:r>
    </w:p>
    <w:p w:rsidR="004B7229" w:rsidRDefault="004B7229">
      <w:pPr>
        <w:spacing w:line="360" w:lineRule="auto"/>
        <w:ind w:right="-150"/>
        <w:rPr>
          <w:rFonts w:ascii="Palatino Linotype" w:eastAsia="Palatino Linotype" w:hAnsi="Palatino Linotype" w:cs="Palatino Linotype"/>
        </w:rPr>
      </w:pPr>
    </w:p>
    <w:p w:rsidR="004B7229" w:rsidRDefault="00CE6C4C">
      <w:pPr>
        <w:tabs>
          <w:tab w:val="left" w:pos="567"/>
        </w:tabs>
        <w:spacing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Registro de Sistemas de Datos Personales</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37. Los sujetos obligados registrarán ante el Instituto los sistemas de datos personales que posean. El registro deberá indicar por lo menos los datos siguientes:</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El sujeto obligado que tiene a su cargo el sistema de datos personales.</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La denominación del sistema de datos personales, la base de datos y el tipo de datos personales objeto de tratamiento.</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El nombre y cargo del administrador, así como el área o unidad administrativa a la que se encuentra adscrito.</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El nombre y cargo del encargado.</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 La normatividad aplicable que dé fundamento al tratamiento en términos de los principios de finalidad y licitud.</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 La finalidad del tratamiento.</w:t>
      </w:r>
    </w:p>
    <w:p w:rsidR="004B7229" w:rsidRDefault="00CE6C4C">
      <w:pPr>
        <w:tabs>
          <w:tab w:val="left" w:pos="567"/>
        </w:tabs>
        <w:spacing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VII. El origen, la forma de recolección y actualización de datos.</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VIII. Datos transferidos, lugar de destino e identidad de los destinatarios, en el caso de que se registren transferencias.</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IX. El modo de interrelacionar la información registrada, o en su caso, la trazabilidad de los datos en el sistema de datos personales. </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X. El domicilio de la Unidad de Transparencia, así como de las áreas o unidades administrativas ante las que podrán ejercitarse de manera directa los derechos ARCO. </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XI. El tiempo de conservación de los datos. </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XII. El nivel de seguridad.</w:t>
      </w: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XIII. En caso de que se hubiera presentado una violación de la seguridad de los datos personales se indicará la fecha de ocurrencia, la de detección y la de atención. Dicha información deberá permanecer en el registro un año calendario posterior a la fecha de su atención.</w:t>
      </w:r>
    </w:p>
    <w:p w:rsidR="004B7229" w:rsidRDefault="004B7229">
      <w:pPr>
        <w:tabs>
          <w:tab w:val="left" w:pos="567"/>
        </w:tabs>
        <w:spacing w:line="360" w:lineRule="auto"/>
        <w:ind w:left="567" w:right="616"/>
        <w:jc w:val="both"/>
        <w:rPr>
          <w:rFonts w:ascii="Palatino Linotype" w:eastAsia="Palatino Linotype" w:hAnsi="Palatino Linotype" w:cs="Palatino Linotype"/>
          <w:i/>
        </w:rPr>
      </w:pPr>
    </w:p>
    <w:p w:rsidR="004B7229" w:rsidRDefault="00CE6C4C">
      <w:pPr>
        <w:tabs>
          <w:tab w:val="left" w:pos="567"/>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Dicha información será publicada en el portal informativo del Instituto y se actualizará por la Unidad de Transparencia en el primer y séptimo mes de cada año.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 deben considerar las medidas de seguridad, físicas y técnicas para el tratamiento, medidas de seguridad y su confidencialidad que se establecen en los artículos 38 al 50 de la propia Ley de Protección de Datos en el Estado.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con base en lo expuesto, las bases de datos son aquellos registros de datos personales que el Ayuntamiento de Toluca recaba por las funciones que realiza en los diversos temas derivados de sus funciones administrativas, los cuales se recolectan y actualizan en un Sistema de Datos Personales aprobado o modificado por el Comité de Transparencia, los cuales por </w:t>
      </w:r>
      <w:r>
        <w:rPr>
          <w:rFonts w:ascii="Palatino Linotype" w:eastAsia="Palatino Linotype" w:hAnsi="Palatino Linotype" w:cs="Palatino Linotype"/>
          <w:sz w:val="22"/>
          <w:szCs w:val="22"/>
        </w:rPr>
        <w:lastRenderedPageBreak/>
        <w:t>disposición legal deben estar protegidos, los cuales además su contenido de describe en el documento de seguridad.</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hace al documento de seguridad, es un documento que encuentra su marco de creación y actuación en la Ley de Protección de Datos Personales en Posesión de Sujetos Obligados del Estado de México y Municipios, que lo define a través de su artículo 4°, fracción XVIII, como el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 </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48 de la Ley referida, establece que los Sujetos Obligados elaborarán y aprobarán un documento que contenga las medidas de seguridad aplicables a las bases y sistemas de datos personales, tomando en cuenta los estándares internacionales de seguridad, la propia Ley, y los lineamientos aplicables.</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49, indica que el documento de seguridad deberá contener por lo menos lo siguiente:</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Respecto de los sistemas de datos personales: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El nombre.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El nombre, cargo y adscripción del administrador de cada sistema y base de datos.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 Las funciones y obligaciones del responsable, encargado o encargados y todas las personas que traten datos personales.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 El folio del registro del sistema y base de datos.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 El inventario o la especificación detallada del tipo de datos personales contenidos.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f) La estructura y descripción de los sistemas y bases de datos personales, lo cual consiste en precisar y describir el tipo de soporte, así como las características del lugar donde se resguardan. </w:t>
      </w: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 Respecto de las medidas de seguridad implementadas deberá incluir lo siguiente: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Transferencia y remisiones.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Resguardo de soportes físicos y electrónicos.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 Bitácoras para accesos, operación cotidiana y violaciones a la seguridad de los datos personales.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 El análisis de riesgos.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 El análisis de brecha.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 Gestión de incidentes.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g) Acceso a las instalaciones.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 Identificación y autenticación.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Procedimientos de respaldo y recuperación de datos.</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j) Plan de contingencia.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 Auditorías.</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 Supresión y borrado seguro de datos.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 El plan de trabajo.</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 Los mecanismos de monitoreo y revisión de las medidas de seguridad. </w:t>
      </w:r>
    </w:p>
    <w:p w:rsidR="004B7229" w:rsidRDefault="00CE6C4C">
      <w:pPr>
        <w:spacing w:line="360" w:lineRule="auto"/>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 El programa general de capacitación</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50 de la Ley en estudio, establece que el responsable revisará el documento de seguridad de manera periódica y actualizarlo cuando suceda lo siguiente:</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Se produzcan modificaciones sustanciales al tratamiento de datos personales que deriven en un cambio en el nivel de riesgo.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II. Como resultado de un proceso de mejora continua, derivado del monitoreo y revisión del sistema de gestión.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III. Como resultado de un proceso de mejora para mitigar el impacto de una vulneración a la seguridad ocurrida. </w:t>
      </w:r>
    </w:p>
    <w:p w:rsidR="004B7229" w:rsidRDefault="00CE6C4C">
      <w:pPr>
        <w:spacing w:line="360" w:lineRule="auto"/>
        <w:ind w:left="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IV. Implementación de acciones correctivas y preventivas ante una violación de la seguridad de los datos personales.  </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expuesto, se colige que el Sujeto Obligado posee el Documento de Seguridad, para lo cual resulta oportuno analizar si este documento debe ser aprobado por el Comité de Transparencia, por lo que resulta importante traer a estudio, los artículos 85 y 94 de la Ley de Protección de Datos Personales en Posesión de Sujetos Obligados del Estado de México y Municipios, los cuales establecen lo siguiente:</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85)</w:t>
      </w:r>
      <w:r>
        <w:rPr>
          <w:rFonts w:ascii="Palatino Linotype" w:eastAsia="Palatino Linotype" w:hAnsi="Palatino Linotype" w:cs="Palatino Linotype"/>
          <w:i/>
        </w:rPr>
        <w:t>. Cada responsable contará con una Unidad de Transparencia, se integrará y funcionará conforme a lo dispuesto en la Ley General de Transparencia y Acceso a la Información Pública, esta Ley y demás normativa aplicable, que tendrá las siguientes funciones:</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Auxiliar y orientar al titular que lo requiera con relación al ejercicio del derecho a la protección de datos personales;</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Gestionar las solicitudes para el ejercicio de los derechos ARCO;</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Establecer mecanismos para asegurar que los datos personales solo se entreguen a su titular o su representante debidamente acreditados;</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Informar al titular o su representante el monto de los costos a cubrir por la reproducción y envío de los datos personales, con base en lo establecido en las disposiciones normativas aplicables;</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 Proponer al Comité de Transparencia los procedimientos internos que aseguren y fortalezcan mayor eficiencia en la gestión de las solicitudes para el ejercicio de los derechos ARCO;</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VI. Aplicar instrumentos de evaluación de calidad sobre la gestión de las solicitudes para el ejercicio de los derechos ARCO, y</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 Asesorar a las áreas adscritas al responsable en materia de protección de datos personales.</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LEY DE PROTECCIÓN DE DATOS PERSONALES EN POSESIÓN DE SUJETOS OBLIGADOS DEL ESTADO DE MÉXICO Y MUNICIPIOS.</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Del Comité de Transparencia </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94)</w:t>
      </w:r>
      <w:r>
        <w:rPr>
          <w:rFonts w:ascii="Palatino Linotype" w:eastAsia="Palatino Linotype" w:hAnsi="Palatino Linotype" w:cs="Palatino Linotype"/>
          <w:i/>
        </w:rPr>
        <w:t>. Cada sujeto obligado contará con un Comité de Transparencia, el cual se integrará y funcionará conforme a lo dispuesto en la Ley General de Transparencia y Acceso a la Información Pública y la Ley de Transparencia.</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El Comité de Transparencia será la autoridad máxima en materia de protección de datos personales.</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Para los efectos de la presente Ley y sin perjuicio de otras funciones que le sean conferidas en la normatividad que le resulte aplicable, el Comité de Transparencia tendrá las atribuciones siguientes:</w:t>
      </w:r>
    </w:p>
    <w:p w:rsidR="004B7229" w:rsidRDefault="004B7229">
      <w:pPr>
        <w:spacing w:line="360" w:lineRule="auto"/>
        <w:ind w:left="567" w:right="616"/>
        <w:jc w:val="both"/>
        <w:rPr>
          <w:rFonts w:ascii="Palatino Linotype" w:eastAsia="Palatino Linotype" w:hAnsi="Palatino Linotype" w:cs="Palatino Linotype"/>
          <w:i/>
        </w:rPr>
      </w:pP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 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Instituir, en su caso, procedimientos internos para asegurar la mayor eficiencia en la gestión de las solicitudes para el ejercicio de los derechos ARCO.</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Confirmar, modificar o revocar las determinaciones en las que se declare la inexistencia de los datos personales, o se niegue por cualquier causa el ejercicio de alguno de los derechos ARCO.</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Establecer y supervisar la aplicación de criterios específicos que resulten necesarios para una mejor observancia de la presente Ley y en aquellas disposiciones que resulten aplicables en la materia.</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 Supervisar, en coordinación con las áreas o unidades administrativas competentes, el cumplimiento de las medidas, controles y acciones previstas en el documento de seguridad.</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 Dar seguimiento y cumplimiento a las resoluciones emitidas por el Instituto.</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 Establecer programas de capacitación y actualización para los servidores públicos en materia de protección de datos personales.</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VIII. Dar vista al órgano interno de control o instancia equivalente del responsable, en aquellos casos en que tenga conocimiento, en el ejercicio de sus atribuciones, de una presunta irregularidad respecto de determinado tratamiento de datos personales, incluyendo casos relacionados con la declaración de inexistencia que realicen los responsables.</w:t>
      </w:r>
    </w:p>
    <w:p w:rsidR="004B7229" w:rsidRDefault="00CE6C4C">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IX. Podrá proponer políticas públicas para la promoción de la cultura en la materia.</w:t>
      </w:r>
    </w:p>
    <w:p w:rsidR="004B7229" w:rsidRDefault="004B7229">
      <w:pPr>
        <w:spacing w:line="360" w:lineRule="auto"/>
        <w:ind w:left="567" w:right="616"/>
        <w:jc w:val="both"/>
        <w:rPr>
          <w:rFonts w:ascii="Palatino Linotype" w:eastAsia="Palatino Linotype" w:hAnsi="Palatino Linotype" w:cs="Palatino Linotype"/>
          <w:i/>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refiere a los elementos formales para la creación de estos documentos de seguridad, nos encontramos que ni la Ley General ni la Ley Local, especializadas en materia de protección de datos personales, otorga facultades a los Comités de Transparencia para validar los documentos de seguridad, exclusivamente, contempla, que de manera coordinada con las áreas y unidades administrativas competentes, se supervisará el cumplimiento de las medidas, controles y acciones preventivas del documento de seguridad, esto es, su implementación. </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el documento de seguridad debe ser actualizado, cuando se considere así por el Sujeto Obligado, Responsables y/o administradores, de tal suerte que lo que solicita es la información que tiene a la fecha de la solicitud, ya que los documentos de seguridad se crean sólo para bases de datos personales nuevas y para el resto sólo se actualizan.</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spacing w:line="360" w:lineRule="auto"/>
        <w:ind w:right="-15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Ahora bien, es preciso señalar que los documentos de seguridad contienen y describen los elementos, acciones, herramientas y mecanismos de protección de los datos personales, por ello, se debe tener presente que el artículo 43, de la Ley de Protección de Datos Personales en Posesión de Sujetos Obligados del Estado de México y Municipios, señala </w:t>
      </w:r>
      <w:r>
        <w:rPr>
          <w:rFonts w:ascii="Palatino Linotype" w:eastAsia="Palatino Linotype" w:hAnsi="Palatino Linotype" w:cs="Palatino Linotype"/>
          <w:i/>
          <w:sz w:val="22"/>
          <w:szCs w:val="22"/>
        </w:rPr>
        <w:t>“Por la naturaleza de la información, las medidas de seguridad que se adopten serán consideradas confidenciales y únicamente se comunicará al Instituto, para su registro, el nivel de seguridad aplicable.”</w:t>
      </w:r>
    </w:p>
    <w:p w:rsidR="004B7229" w:rsidRDefault="004B7229">
      <w:pPr>
        <w:spacing w:line="360" w:lineRule="auto"/>
        <w:ind w:right="-150"/>
        <w:jc w:val="both"/>
        <w:rPr>
          <w:rFonts w:ascii="Palatino Linotype" w:eastAsia="Palatino Linotype" w:hAnsi="Palatino Linotype" w:cs="Palatino Linotype"/>
          <w:i/>
          <w:sz w:val="22"/>
          <w:szCs w:val="22"/>
        </w:rPr>
      </w:pPr>
    </w:p>
    <w:p w:rsidR="004B7229" w:rsidRDefault="00CE6C4C">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que los documentos de seguridad deben ser entregados siempre en versión pública en la que se analice cada uno de los componentes del documento y se eliminen aquellos rubros que corresponden a medidas de seguridad los cuales deben ser eliminados. Se destaca que el artículo 49 de la Ley en cita, ya refiere la estructura mínima de los documentos de seguridad y la  fracción II, contiene el apartado de medidas de seguridad, del que se advierte que por lo menos el inciso o) que corresponde al Programa General de Capacitación, no puede ser clasificado, pues si bien corresponde a acciones de seguridad, esta información no permite acceder a los datos personales protegidos y por el contrario se rinde cuenta de que sí se capacite al persona y que las capacitaciones correspondan con las necesidades de protección que tenga el Sujeto Obligado.</w:t>
      </w:r>
    </w:p>
    <w:p w:rsidR="004B7229" w:rsidRDefault="004B7229">
      <w:pPr>
        <w:spacing w:line="360" w:lineRule="auto"/>
        <w:ind w:right="-150"/>
        <w:jc w:val="both"/>
        <w:rPr>
          <w:rFonts w:ascii="Palatino Linotype" w:eastAsia="Palatino Linotype" w:hAnsi="Palatino Linotype" w:cs="Palatino Linotype"/>
          <w:sz w:val="22"/>
          <w:szCs w:val="22"/>
        </w:rPr>
      </w:pPr>
    </w:p>
    <w:p w:rsidR="004B7229" w:rsidRDefault="00CE6C4C">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hace a la fracción I, se debe destacar que, el documento ya debe contener el nombre del sistema o base de datos, información solicitada por el Particular, así como el resto de la </w:t>
      </w:r>
      <w:r>
        <w:rPr>
          <w:rFonts w:ascii="Palatino Linotype" w:eastAsia="Palatino Linotype" w:hAnsi="Palatino Linotype" w:cs="Palatino Linotype"/>
          <w:sz w:val="22"/>
          <w:szCs w:val="22"/>
        </w:rPr>
        <w:lastRenderedPageBreak/>
        <w:t xml:space="preserve">información ya descrita anteriormente, que corresponde a naturaleza pública, con excepción del f) por lo que hace al detalle del lugar y las características en donde se guardan los datos personales, información que de poner en riesgo a la información podría ser clasificada, si el grado de detalle, permite vulnerar la información. </w:t>
      </w:r>
    </w:p>
    <w:p w:rsidR="004B7229" w:rsidRDefault="004B7229">
      <w:pPr>
        <w:spacing w:line="360" w:lineRule="auto"/>
        <w:ind w:right="-150"/>
        <w:jc w:val="both"/>
        <w:rPr>
          <w:rFonts w:ascii="Palatino Linotype" w:eastAsia="Palatino Linotype" w:hAnsi="Palatino Linotype" w:cs="Palatino Linotype"/>
          <w:sz w:val="22"/>
          <w:szCs w:val="22"/>
        </w:rPr>
      </w:pPr>
    </w:p>
    <w:p w:rsidR="004B7229" w:rsidRDefault="00CE6C4C">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no es obligatorio generar un documento para todo el Ayuntamiento, este puede ser por áreas o por bases de datos, así que, procede ordenar todos los que se tengan de las bases de datos vigentes a la fecha de la solicitud. </w:t>
      </w:r>
    </w:p>
    <w:p w:rsidR="004B7229" w:rsidRDefault="004B7229">
      <w:pPr>
        <w:spacing w:line="360" w:lineRule="auto"/>
      </w:pPr>
      <w:bookmarkStart w:id="13" w:name="_heading=h.oovn0lv8pmcj" w:colFirst="0" w:colLast="0"/>
      <w:bookmarkEnd w:id="13"/>
    </w:p>
    <w:p w:rsidR="004B7229" w:rsidRDefault="00CE6C4C">
      <w:pPr>
        <w:pStyle w:val="Ttulo2"/>
        <w:spacing w:before="0" w:after="0"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SÉPTIMO. Decisión </w:t>
      </w:r>
    </w:p>
    <w:p w:rsidR="004B7229" w:rsidRDefault="00CE6C4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rsidR="004B7229" w:rsidRDefault="00CE6C4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con lo expuesto el agravio del Particular es Fundado y, 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 xml:space="preserve">la respuesta del Ayuntamiento de Toluca, a efecto de que entregue </w:t>
      </w:r>
      <w:r>
        <w:rPr>
          <w:rFonts w:ascii="Palatino Linotype" w:eastAsia="Palatino Linotype" w:hAnsi="Palatino Linotype" w:cs="Palatino Linotype"/>
          <w:sz w:val="22"/>
          <w:szCs w:val="22"/>
        </w:rPr>
        <w:t>el o los documentos de seguridad del Ayuntamiento de Toluca, vigentes al veinte de enero de dos mil veinticinco</w:t>
      </w:r>
      <w:r>
        <w:rPr>
          <w:rFonts w:ascii="Palatino Linotype" w:eastAsia="Palatino Linotype" w:hAnsi="Palatino Linotype" w:cs="Palatino Linotype"/>
          <w:color w:val="000000"/>
          <w:sz w:val="22"/>
          <w:szCs w:val="22"/>
        </w:rPr>
        <w:t>.</w:t>
      </w:r>
    </w:p>
    <w:p w:rsidR="004B7229" w:rsidRDefault="004B7229">
      <w:pPr>
        <w:spacing w:line="360" w:lineRule="auto"/>
      </w:pPr>
    </w:p>
    <w:p w:rsidR="004B7229" w:rsidRDefault="00CE6C4C">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para conocimiento del Particular</w:t>
      </w:r>
    </w:p>
    <w:p w:rsidR="004B7229" w:rsidRDefault="004B7229">
      <w:pPr>
        <w:spacing w:line="360" w:lineRule="auto"/>
        <w:jc w:val="both"/>
        <w:rPr>
          <w:rFonts w:ascii="Palatino Linotype" w:eastAsia="Palatino Linotype" w:hAnsi="Palatino Linotype" w:cs="Palatino Linotype"/>
          <w:b/>
          <w:color w:val="000000"/>
          <w:sz w:val="22"/>
          <w:szCs w:val="22"/>
        </w:rPr>
      </w:pPr>
    </w:p>
    <w:p w:rsidR="004B7229" w:rsidRDefault="00CE6C4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le hace del conocimiento al Particular, que, en el presente caso, se le concede la razón, pues el Sujetó Obligado, omitió proporcionar el o los documentos de seguridad requeridos, por lo que proporcionarlos en el entendido de que dentro de estos viene el nombre de las bases o sistemas de datos personales.</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labor del Instituto es apoyar a la población a acceder a la información pública y garantizar la protección de los datos personales.</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4B7229" w:rsidRDefault="004B7229">
      <w:pPr>
        <w:spacing w:line="360" w:lineRule="auto"/>
        <w:jc w:val="both"/>
        <w:rPr>
          <w:rFonts w:ascii="Palatino Linotype" w:eastAsia="Palatino Linotype" w:hAnsi="Palatino Linotype" w:cs="Palatino Linotype"/>
          <w:sz w:val="22"/>
          <w:szCs w:val="22"/>
        </w:rPr>
      </w:pPr>
    </w:p>
    <w:p w:rsidR="004B7229" w:rsidRDefault="00CE6C4C">
      <w:pPr>
        <w:pStyle w:val="Ttulo1"/>
        <w:spacing w:before="0" w:after="0" w:line="360" w:lineRule="auto"/>
        <w:jc w:val="center"/>
        <w:rPr>
          <w:rFonts w:ascii="Palatino Linotype" w:eastAsia="Palatino Linotype" w:hAnsi="Palatino Linotype" w:cs="Palatino Linotype"/>
          <w:b/>
          <w:color w:val="000000"/>
          <w:sz w:val="22"/>
          <w:szCs w:val="22"/>
        </w:rPr>
      </w:pPr>
      <w:bookmarkStart w:id="14" w:name="_heading=h.w8whcyu16ysg" w:colFirst="0" w:colLast="0"/>
      <w:bookmarkEnd w:id="14"/>
      <w:r>
        <w:rPr>
          <w:rFonts w:ascii="Palatino Linotype" w:eastAsia="Palatino Linotype" w:hAnsi="Palatino Linotype" w:cs="Palatino Linotype"/>
          <w:b/>
          <w:color w:val="000000"/>
          <w:sz w:val="22"/>
          <w:szCs w:val="22"/>
        </w:rPr>
        <w:t>R E S U E L V E</w:t>
      </w: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4B7229" w:rsidRDefault="00CE6C4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REVOCA </w:t>
      </w:r>
      <w:r>
        <w:rPr>
          <w:rFonts w:ascii="Palatino Linotype" w:eastAsia="Palatino Linotype" w:hAnsi="Palatino Linotype" w:cs="Palatino Linotype"/>
          <w:color w:val="000000"/>
          <w:sz w:val="22"/>
          <w:szCs w:val="22"/>
        </w:rPr>
        <w:t xml:space="preserve">la respuesta entregada por el Ayuntamiento de Toluca, a la solicitud de información </w:t>
      </w:r>
      <w:r>
        <w:rPr>
          <w:rFonts w:ascii="Palatino Linotype" w:eastAsia="Palatino Linotype" w:hAnsi="Palatino Linotype" w:cs="Palatino Linotype"/>
          <w:sz w:val="22"/>
          <w:szCs w:val="22"/>
        </w:rPr>
        <w:t>00376/TOLUCA/IP/2025</w:t>
      </w:r>
      <w:r>
        <w:rPr>
          <w:rFonts w:ascii="Palatino Linotype" w:eastAsia="Palatino Linotype" w:hAnsi="Palatino Linotype" w:cs="Palatino Linotype"/>
          <w:color w:val="000000"/>
          <w:sz w:val="22"/>
          <w:szCs w:val="22"/>
        </w:rPr>
        <w:t xml:space="preserve">, por resultar </w:t>
      </w:r>
      <w:r>
        <w:rPr>
          <w:rFonts w:ascii="Palatino Linotype" w:eastAsia="Palatino Linotype" w:hAnsi="Palatino Linotype" w:cs="Palatino Linotype"/>
          <w:b/>
          <w:color w:val="000000"/>
          <w:sz w:val="22"/>
          <w:szCs w:val="22"/>
        </w:rPr>
        <w:t>FUNDADAS</w:t>
      </w:r>
      <w:r>
        <w:rPr>
          <w:rFonts w:ascii="Palatino Linotype" w:eastAsia="Palatino Linotype" w:hAnsi="Palatino Linotype" w:cs="Palatino Linotype"/>
          <w:color w:val="000000"/>
          <w:sz w:val="22"/>
          <w:szCs w:val="22"/>
        </w:rPr>
        <w:t xml:space="preserve"> las razones o motivos de inconformidad hechos valer por la Particular, en términos de los considerandos QUINTO y SEXTO de la presente Resolución.</w:t>
      </w:r>
    </w:p>
    <w:p w:rsidR="004B7229" w:rsidRDefault="004B7229">
      <w:pPr>
        <w:spacing w:line="360" w:lineRule="auto"/>
        <w:jc w:val="both"/>
        <w:rPr>
          <w:rFonts w:ascii="Palatino Linotype" w:eastAsia="Palatino Linotype" w:hAnsi="Palatino Linotype" w:cs="Palatino Linotype"/>
          <w:b/>
          <w:sz w:val="22"/>
          <w:szCs w:val="22"/>
        </w:rPr>
      </w:pPr>
    </w:p>
    <w:p w:rsidR="004B7229" w:rsidRDefault="00CE6C4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al Ente Recurrido, a efecto de que previa búsqueda exhaustiva y razonable en todas las unidades administrativas competentes, entregue a través del  SAIMEX, en versión pública el o los documentos de seguridad de las bases o sistemas de datos personales vigentes al veinte de enero de dos mil veinticinco</w:t>
      </w:r>
      <w:r>
        <w:rPr>
          <w:rFonts w:ascii="Palatino Linotype" w:eastAsia="Palatino Linotype" w:hAnsi="Palatino Linotype" w:cs="Palatino Linotype"/>
          <w:color w:val="000000"/>
          <w:sz w:val="22"/>
          <w:szCs w:val="22"/>
        </w:rPr>
        <w:t>.</w:t>
      </w:r>
    </w:p>
    <w:p w:rsidR="004B7229" w:rsidRDefault="004B7229">
      <w:pPr>
        <w:spacing w:line="360" w:lineRule="auto"/>
        <w:jc w:val="both"/>
        <w:rPr>
          <w:rFonts w:ascii="Palatino Linotype" w:eastAsia="Palatino Linotype" w:hAnsi="Palatino Linotype" w:cs="Palatino Linotype"/>
          <w:color w:val="000000"/>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ser necesarias la versión pública, se deberá entregar el Acuerdo del Comité de Transparencia mediante el cual se funde y motive la eliminación de la información o documentos clasificados, en términos de los artículos 49, fracción VIII y 132 de la Ley de Transparencia y Acceso a la Información Pública del Estado de México y Municipios.</w:t>
      </w:r>
    </w:p>
    <w:p w:rsidR="004B7229" w:rsidRDefault="004B7229">
      <w:pPr>
        <w:spacing w:line="360" w:lineRule="auto"/>
        <w:jc w:val="both"/>
        <w:rPr>
          <w:rFonts w:ascii="Palatino Linotype" w:eastAsia="Palatino Linotype" w:hAnsi="Palatino Linotype" w:cs="Palatino Linotype"/>
          <w:color w:val="000000"/>
          <w:sz w:val="22"/>
          <w:szCs w:val="22"/>
        </w:rPr>
      </w:pPr>
    </w:p>
    <w:p w:rsidR="004B7229" w:rsidRDefault="00CE6C4C">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Pr>
          <w:rFonts w:ascii="Palatino Linotype" w:eastAsia="Palatino Linotype" w:hAnsi="Palatino Linotype" w:cs="Palatino Linotype"/>
          <w:sz w:val="22"/>
          <w:szCs w:val="22"/>
        </w:rPr>
        <w:lastRenderedPageBreak/>
        <w:t>resolución o hacerlo de manera parcial, se le impondrá una medida de apremio de conformidad con lo previsto en los artículos 198, 200, fracción III, 214, 215 y 216 de la Ley referida.</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conformidad con el artículo 198 de la </w:t>
      </w:r>
      <w:r>
        <w:rPr>
          <w:rFonts w:ascii="Palatino Linotype" w:eastAsia="Palatino Linotype" w:hAnsi="Palatino Linotype" w:cs="Palatino Linotype"/>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 de considerarlo procedente, el Sujeto Obligado de manera fundada y motivada, podrá solicitar una ampliación de plazo para el cumplimiento de la presente resolución.</w:t>
      </w:r>
    </w:p>
    <w:p w:rsidR="004B7229" w:rsidRDefault="004B7229">
      <w:pPr>
        <w:spacing w:line="360" w:lineRule="auto"/>
        <w:ind w:right="-28"/>
        <w:jc w:val="both"/>
        <w:rPr>
          <w:rFonts w:ascii="Palatino Linotype" w:eastAsia="Palatino Linotype" w:hAnsi="Palatino Linotype" w:cs="Palatino Linotype"/>
          <w:b/>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B7229" w:rsidRDefault="004B7229">
      <w:pPr>
        <w:spacing w:line="360" w:lineRule="auto"/>
        <w:ind w:right="-28"/>
        <w:jc w:val="both"/>
        <w:rPr>
          <w:rFonts w:ascii="Palatino Linotype" w:eastAsia="Palatino Linotype" w:hAnsi="Palatino Linotype" w:cs="Palatino Linotype"/>
          <w:color w:val="000000"/>
          <w:sz w:val="22"/>
          <w:szCs w:val="22"/>
        </w:rPr>
      </w:pPr>
    </w:p>
    <w:p w:rsidR="004B7229" w:rsidRDefault="00CE6C4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3156A4">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w:t>
      </w:r>
      <w:bookmarkStart w:id="15" w:name="_GoBack"/>
      <w:bookmarkEnd w:id="15"/>
      <w:r>
        <w:rPr>
          <w:rFonts w:ascii="Palatino Linotype" w:eastAsia="Palatino Linotype" w:hAnsi="Palatino Linotype" w:cs="Palatino Linotype"/>
          <w:sz w:val="22"/>
          <w:szCs w:val="22"/>
        </w:rPr>
        <w:t>STAVO PARRA NORIEGA Y GUADALUPE RAMÍREZ PEÑA, EN LA DÉCIMA PRIMERA SESIÓN ORDINARIA, CELEBRADA EL VEINTISÉIS DE MARZO DE DOS MIL VEINTICINCO, ANTE EL SECRETARIO TÉCNICO DEL PLENO, ALEXIS TAPIA RAMÍREZ.</w:t>
      </w:r>
    </w:p>
    <w:p w:rsidR="004B7229" w:rsidRDefault="004B7229">
      <w:pPr>
        <w:spacing w:line="360" w:lineRule="auto"/>
        <w:ind w:right="-28"/>
        <w:jc w:val="both"/>
        <w:rPr>
          <w:rFonts w:ascii="Palatino Linotype" w:eastAsia="Palatino Linotype" w:hAnsi="Palatino Linotype" w:cs="Palatino Linotype"/>
          <w:sz w:val="22"/>
          <w:szCs w:val="22"/>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rPr>
          <w:rFonts w:ascii="Palatino Linotype" w:eastAsia="Palatino Linotype" w:hAnsi="Palatino Linotype" w:cs="Palatino Linotype"/>
        </w:rPr>
      </w:pPr>
    </w:p>
    <w:p w:rsidR="004B7229" w:rsidRDefault="004B7229">
      <w:pPr>
        <w:spacing w:line="360" w:lineRule="auto"/>
      </w:pPr>
    </w:p>
    <w:p w:rsidR="004B7229" w:rsidRDefault="004B7229">
      <w:pPr>
        <w:spacing w:line="360" w:lineRule="auto"/>
      </w:pPr>
    </w:p>
    <w:p w:rsidR="004B7229" w:rsidRDefault="004B7229">
      <w:pPr>
        <w:spacing w:line="360" w:lineRule="auto"/>
      </w:pPr>
    </w:p>
    <w:p w:rsidR="004B7229" w:rsidRDefault="004B7229">
      <w:pPr>
        <w:spacing w:line="360" w:lineRule="auto"/>
      </w:pPr>
    </w:p>
    <w:p w:rsidR="004B7229" w:rsidRDefault="004B7229">
      <w:pPr>
        <w:spacing w:line="360" w:lineRule="auto"/>
      </w:pPr>
    </w:p>
    <w:p w:rsidR="004B7229" w:rsidRDefault="004B7229">
      <w:pPr>
        <w:spacing w:line="360" w:lineRule="auto"/>
      </w:pPr>
    </w:p>
    <w:sectPr w:rsidR="004B7229">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F4" w:rsidRDefault="00A967F4">
      <w:r>
        <w:separator/>
      </w:r>
    </w:p>
  </w:endnote>
  <w:endnote w:type="continuationSeparator" w:id="0">
    <w:p w:rsidR="00A967F4" w:rsidRDefault="00A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4B7229">
    <w:pPr>
      <w:pBdr>
        <w:top w:val="nil"/>
        <w:left w:val="nil"/>
        <w:bottom w:val="nil"/>
        <w:right w:val="nil"/>
        <w:between w:val="nil"/>
      </w:pBdr>
      <w:tabs>
        <w:tab w:val="center" w:pos="4419"/>
        <w:tab w:val="right" w:pos="8838"/>
      </w:tabs>
      <w:jc w:val="right"/>
      <w:rPr>
        <w:color w:val="000000"/>
        <w:sz w:val="26"/>
        <w:szCs w:val="26"/>
      </w:rPr>
    </w:pPr>
  </w:p>
  <w:p w:rsidR="004B7229" w:rsidRDefault="00CE6C4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679B6">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679B6">
      <w:rPr>
        <w:b/>
        <w:noProof/>
        <w:color w:val="000000"/>
        <w:sz w:val="24"/>
        <w:szCs w:val="24"/>
      </w:rPr>
      <w:t>24</w:t>
    </w:r>
    <w:r>
      <w:rPr>
        <w:b/>
        <w:color w:val="000000"/>
        <w:sz w:val="24"/>
        <w:szCs w:val="24"/>
      </w:rPr>
      <w:fldChar w:fldCharType="end"/>
    </w:r>
  </w:p>
  <w:p w:rsidR="004B7229" w:rsidRDefault="004B722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4B7229">
    <w:pPr>
      <w:pBdr>
        <w:top w:val="nil"/>
        <w:left w:val="nil"/>
        <w:bottom w:val="nil"/>
        <w:right w:val="nil"/>
        <w:between w:val="nil"/>
      </w:pBdr>
      <w:tabs>
        <w:tab w:val="center" w:pos="4419"/>
        <w:tab w:val="right" w:pos="8838"/>
      </w:tabs>
      <w:jc w:val="right"/>
      <w:rPr>
        <w:color w:val="000000"/>
      </w:rPr>
    </w:pPr>
  </w:p>
  <w:p w:rsidR="004B7229" w:rsidRDefault="004B7229">
    <w:pPr>
      <w:pBdr>
        <w:top w:val="nil"/>
        <w:left w:val="nil"/>
        <w:bottom w:val="nil"/>
        <w:right w:val="nil"/>
        <w:between w:val="nil"/>
      </w:pBdr>
      <w:tabs>
        <w:tab w:val="center" w:pos="4419"/>
        <w:tab w:val="right" w:pos="8838"/>
      </w:tabs>
      <w:jc w:val="right"/>
      <w:rPr>
        <w:color w:val="000000"/>
      </w:rPr>
    </w:pPr>
  </w:p>
  <w:p w:rsidR="004B7229" w:rsidRDefault="004B7229">
    <w:pPr>
      <w:pBdr>
        <w:top w:val="nil"/>
        <w:left w:val="nil"/>
        <w:bottom w:val="nil"/>
        <w:right w:val="nil"/>
        <w:between w:val="nil"/>
      </w:pBdr>
      <w:tabs>
        <w:tab w:val="center" w:pos="4419"/>
        <w:tab w:val="right" w:pos="8838"/>
      </w:tabs>
      <w:jc w:val="right"/>
      <w:rPr>
        <w:color w:val="000000"/>
      </w:rPr>
    </w:pPr>
  </w:p>
  <w:p w:rsidR="004B7229" w:rsidRDefault="00CE6C4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679B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679B6">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F4" w:rsidRDefault="00A967F4">
      <w:r>
        <w:separator/>
      </w:r>
    </w:p>
  </w:footnote>
  <w:footnote w:type="continuationSeparator" w:id="0">
    <w:p w:rsidR="00A967F4" w:rsidRDefault="00A96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A967F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A967F4">
    <w:pPr>
      <w:tabs>
        <w:tab w:val="left" w:pos="3416"/>
      </w:tabs>
      <w:rPr>
        <w:sz w:val="22"/>
        <w:szCs w:val="22"/>
      </w:rPr>
    </w:pPr>
    <w:r>
      <w:rPr>
        <w:sz w:val="14"/>
        <w:szCs w:val="14"/>
      </w:rPr>
      <w:pict w14:anchorId="743B4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94.7pt;margin-top:-137.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4B7229">
      <w:trPr>
        <w:trHeight w:val="70"/>
      </w:trPr>
      <w:tc>
        <w:tcPr>
          <w:tcW w:w="2268" w:type="dxa"/>
          <w:shd w:val="clear" w:color="auto" w:fill="auto"/>
        </w:tcPr>
        <w:p w:rsidR="004B7229" w:rsidRDefault="004B7229">
          <w:pPr>
            <w:tabs>
              <w:tab w:val="right" w:pos="4273"/>
            </w:tabs>
            <w:rPr>
              <w:rFonts w:ascii="Garamond" w:eastAsia="Garamond" w:hAnsi="Garamond" w:cs="Garamond"/>
              <w:sz w:val="16"/>
              <w:szCs w:val="16"/>
            </w:rPr>
          </w:pPr>
        </w:p>
      </w:tc>
      <w:tc>
        <w:tcPr>
          <w:tcW w:w="7193" w:type="dxa"/>
          <w:shd w:val="clear" w:color="auto" w:fill="auto"/>
        </w:tcPr>
        <w:p w:rsidR="004B7229" w:rsidRDefault="004B7229">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4B7229">
            <w:trPr>
              <w:trHeight w:val="128"/>
            </w:trPr>
            <w:tc>
              <w:tcPr>
                <w:tcW w:w="3867" w:type="dxa"/>
                <w:vAlign w:val="bottom"/>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071" w:type="dxa"/>
              </w:tcPr>
              <w:p w:rsidR="004B7229" w:rsidRDefault="00CE6C4C">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01346/INFOEM/IP/RR/2025</w:t>
                </w:r>
              </w:p>
            </w:tc>
          </w:tr>
          <w:tr w:rsidR="004B7229">
            <w:trPr>
              <w:trHeight w:val="251"/>
            </w:trPr>
            <w:tc>
              <w:tcPr>
                <w:tcW w:w="3867"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071" w:type="dxa"/>
              </w:tcPr>
              <w:p w:rsidR="004B7229" w:rsidRDefault="00CE6C4C">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Toluca</w:t>
                </w:r>
              </w:p>
            </w:tc>
          </w:tr>
          <w:tr w:rsidR="004B7229">
            <w:trPr>
              <w:trHeight w:val="251"/>
            </w:trPr>
            <w:tc>
              <w:tcPr>
                <w:tcW w:w="3867"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071" w:type="dxa"/>
              </w:tcPr>
              <w:p w:rsidR="004B7229" w:rsidRDefault="00CE6C4C">
                <w:pPr>
                  <w:tabs>
                    <w:tab w:val="right" w:pos="8838"/>
                  </w:tabs>
                  <w:ind w:left="-28" w:right="-3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4B7229" w:rsidRDefault="004B7229">
                <w:pPr>
                  <w:tabs>
                    <w:tab w:val="right" w:pos="8838"/>
                  </w:tabs>
                  <w:ind w:left="-28" w:right="-32"/>
                  <w:rPr>
                    <w:rFonts w:ascii="Palatino Linotype" w:eastAsia="Palatino Linotype" w:hAnsi="Palatino Linotype" w:cs="Palatino Linotype"/>
                    <w:b/>
                    <w:sz w:val="22"/>
                    <w:szCs w:val="22"/>
                  </w:rPr>
                </w:pPr>
              </w:p>
            </w:tc>
          </w:tr>
        </w:tbl>
        <w:p w:rsidR="004B7229" w:rsidRDefault="004B7229">
          <w:pPr>
            <w:tabs>
              <w:tab w:val="right" w:pos="8838"/>
            </w:tabs>
            <w:ind w:left="-28"/>
            <w:rPr>
              <w:rFonts w:ascii="Arial" w:eastAsia="Arial" w:hAnsi="Arial" w:cs="Arial"/>
              <w:b/>
            </w:rPr>
          </w:pPr>
        </w:p>
      </w:tc>
    </w:tr>
  </w:tbl>
  <w:p w:rsidR="004B7229" w:rsidRDefault="004B7229">
    <w:pPr>
      <w:pBdr>
        <w:top w:val="nil"/>
        <w:left w:val="nil"/>
        <w:bottom w:val="nil"/>
        <w:right w:val="nil"/>
        <w:between w:val="nil"/>
      </w:pBdr>
      <w:tabs>
        <w:tab w:val="center" w:pos="4419"/>
        <w:tab w:val="right" w:pos="8838"/>
      </w:tabs>
      <w:rPr>
        <w:color w:val="000000"/>
        <w:sz w:val="14"/>
        <w:szCs w:val="14"/>
      </w:rPr>
    </w:pPr>
  </w:p>
  <w:p w:rsidR="004B7229" w:rsidRDefault="004B7229">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4B7229">
    <w:pPr>
      <w:widowControl w:val="0"/>
      <w:pBdr>
        <w:top w:val="nil"/>
        <w:left w:val="nil"/>
        <w:bottom w:val="nil"/>
        <w:right w:val="nil"/>
        <w:between w:val="nil"/>
      </w:pBdr>
      <w:spacing w:line="276" w:lineRule="auto"/>
      <w:rPr>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4B7229">
      <w:trPr>
        <w:trHeight w:val="302"/>
      </w:trPr>
      <w:tc>
        <w:tcPr>
          <w:tcW w:w="3969"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977" w:type="dxa"/>
        </w:tcPr>
        <w:p w:rsidR="004B7229" w:rsidRDefault="00CE6C4C">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01346/INFOEM/IP/RR/2025</w:t>
          </w:r>
        </w:p>
      </w:tc>
    </w:tr>
    <w:tr w:rsidR="004B7229">
      <w:trPr>
        <w:trHeight w:val="110"/>
      </w:trPr>
      <w:tc>
        <w:tcPr>
          <w:tcW w:w="3969"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977" w:type="dxa"/>
        </w:tcPr>
        <w:p w:rsidR="004B7229" w:rsidRDefault="004B7229">
          <w:pPr>
            <w:jc w:val="both"/>
            <w:rPr>
              <w:rFonts w:ascii="Palatino Linotype" w:eastAsia="Palatino Linotype" w:hAnsi="Palatino Linotype" w:cs="Palatino Linotype"/>
              <w:sz w:val="22"/>
              <w:szCs w:val="22"/>
            </w:rPr>
          </w:pPr>
        </w:p>
      </w:tc>
    </w:tr>
    <w:tr w:rsidR="004B7229">
      <w:trPr>
        <w:trHeight w:val="248"/>
      </w:trPr>
      <w:tc>
        <w:tcPr>
          <w:tcW w:w="3969"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977" w:type="dxa"/>
        </w:tcPr>
        <w:p w:rsidR="004B7229" w:rsidRDefault="00CE6C4C">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Toluca</w:t>
          </w:r>
        </w:p>
      </w:tc>
    </w:tr>
    <w:tr w:rsidR="004B7229">
      <w:trPr>
        <w:trHeight w:val="248"/>
      </w:trPr>
      <w:tc>
        <w:tcPr>
          <w:tcW w:w="3969" w:type="dxa"/>
        </w:tcPr>
        <w:p w:rsidR="004B7229" w:rsidRDefault="00CE6C4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977" w:type="dxa"/>
        </w:tcPr>
        <w:p w:rsidR="004B7229" w:rsidRDefault="00CE6C4C">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4B7229" w:rsidRDefault="00A967F4">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77E09"/>
    <w:multiLevelType w:val="multilevel"/>
    <w:tmpl w:val="CB40FC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29"/>
    <w:rsid w:val="000679B6"/>
    <w:rsid w:val="003156A4"/>
    <w:rsid w:val="004B7229"/>
    <w:rsid w:val="00577F40"/>
    <w:rsid w:val="006A170E"/>
    <w:rsid w:val="00807947"/>
    <w:rsid w:val="00890A43"/>
    <w:rsid w:val="00A967F4"/>
    <w:rsid w:val="00CE6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BBFEAF1-E99B-480E-AC43-0A0E5D3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C6"/>
    <w:rPr>
      <w:lang w:eastAsia="es-ES"/>
    </w:rPr>
  </w:style>
  <w:style w:type="paragraph" w:styleId="Ttulo1">
    <w:name w:val="heading 1"/>
    <w:basedOn w:val="Normal"/>
    <w:next w:val="Normal"/>
    <w:link w:val="Ttulo1Car"/>
    <w:uiPriority w:val="9"/>
    <w:qFormat/>
    <w:rsid w:val="00844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844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44BC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44BC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44BC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44B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4B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4B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4B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44BC6"/>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44BC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844BC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44BC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44BC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44BC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44B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4B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4B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4BC6"/>
    <w:rPr>
      <w:rFonts w:eastAsiaTheme="majorEastAsia" w:cstheme="majorBidi"/>
      <w:color w:val="272727" w:themeColor="text1" w:themeTint="D8"/>
    </w:rPr>
  </w:style>
  <w:style w:type="character" w:customStyle="1" w:styleId="PuestoCar">
    <w:name w:val="Puesto Car"/>
    <w:basedOn w:val="Fuentedeprrafopredeter"/>
    <w:link w:val="Puesto"/>
    <w:uiPriority w:val="10"/>
    <w:rsid w:val="00844B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44B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4BC6"/>
    <w:pPr>
      <w:spacing w:before="160"/>
      <w:jc w:val="center"/>
    </w:pPr>
    <w:rPr>
      <w:i/>
      <w:iCs/>
      <w:color w:val="404040" w:themeColor="text1" w:themeTint="BF"/>
    </w:rPr>
  </w:style>
  <w:style w:type="character" w:customStyle="1" w:styleId="CitaCar">
    <w:name w:val="Cita Car"/>
    <w:basedOn w:val="Fuentedeprrafopredeter"/>
    <w:link w:val="Cita"/>
    <w:uiPriority w:val="29"/>
    <w:rsid w:val="00844BC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4BC6"/>
    <w:pPr>
      <w:ind w:left="720"/>
      <w:contextualSpacing/>
    </w:pPr>
  </w:style>
  <w:style w:type="character" w:styleId="nfasisintenso">
    <w:name w:val="Intense Emphasis"/>
    <w:basedOn w:val="Fuentedeprrafopredeter"/>
    <w:uiPriority w:val="21"/>
    <w:qFormat/>
    <w:rsid w:val="00844BC6"/>
    <w:rPr>
      <w:i/>
      <w:iCs/>
      <w:color w:val="2F5496" w:themeColor="accent1" w:themeShade="BF"/>
    </w:rPr>
  </w:style>
  <w:style w:type="paragraph" w:styleId="Citadestacada">
    <w:name w:val="Intense Quote"/>
    <w:basedOn w:val="Normal"/>
    <w:next w:val="Normal"/>
    <w:link w:val="CitadestacadaCar"/>
    <w:uiPriority w:val="30"/>
    <w:qFormat/>
    <w:rsid w:val="00844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44BC6"/>
    <w:rPr>
      <w:i/>
      <w:iCs/>
      <w:color w:val="2F5496" w:themeColor="accent1" w:themeShade="BF"/>
    </w:rPr>
  </w:style>
  <w:style w:type="character" w:styleId="Referenciaintensa">
    <w:name w:val="Intense Reference"/>
    <w:basedOn w:val="Fuentedeprrafopredeter"/>
    <w:uiPriority w:val="32"/>
    <w:qFormat/>
    <w:rsid w:val="00844BC6"/>
    <w:rPr>
      <w:b/>
      <w:bCs/>
      <w:smallCaps/>
      <w:color w:val="2F5496" w:themeColor="accent1" w:themeShade="BF"/>
      <w:spacing w:val="5"/>
    </w:rPr>
  </w:style>
  <w:style w:type="paragraph" w:styleId="Encabezado">
    <w:name w:val="header"/>
    <w:basedOn w:val="Normal"/>
    <w:link w:val="EncabezadoCar"/>
    <w:uiPriority w:val="99"/>
    <w:unhideWhenUsed/>
    <w:rsid w:val="00844BC6"/>
    <w:pPr>
      <w:tabs>
        <w:tab w:val="center" w:pos="4419"/>
        <w:tab w:val="right" w:pos="8838"/>
      </w:tabs>
    </w:pPr>
  </w:style>
  <w:style w:type="character" w:customStyle="1" w:styleId="EncabezadoCar">
    <w:name w:val="Encabezado Car"/>
    <w:basedOn w:val="Fuentedeprrafopredeter"/>
    <w:link w:val="Encabezado"/>
    <w:uiPriority w:val="99"/>
    <w:rsid w:val="00844BC6"/>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844BC6"/>
    <w:pPr>
      <w:tabs>
        <w:tab w:val="center" w:pos="4419"/>
        <w:tab w:val="right" w:pos="8838"/>
      </w:tabs>
    </w:pPr>
  </w:style>
  <w:style w:type="character" w:customStyle="1" w:styleId="PiedepginaCar">
    <w:name w:val="Pie de página Car"/>
    <w:basedOn w:val="Fuentedeprrafopredeter"/>
    <w:link w:val="Piedepgina"/>
    <w:uiPriority w:val="99"/>
    <w:rsid w:val="00844BC6"/>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44BC6"/>
  </w:style>
  <w:style w:type="table" w:styleId="Tablaconcuadrcula">
    <w:name w:val="Table Grid"/>
    <w:basedOn w:val="Tablanormal"/>
    <w:uiPriority w:val="39"/>
    <w:rsid w:val="00844BC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4BC6"/>
    <w:rPr>
      <w:color w:val="0563C1" w:themeColor="hyperlink"/>
      <w:u w:val="single"/>
    </w:rPr>
  </w:style>
  <w:style w:type="paragraph" w:styleId="TDC1">
    <w:name w:val="toc 1"/>
    <w:basedOn w:val="Normal"/>
    <w:next w:val="Normal"/>
    <w:autoRedefine/>
    <w:uiPriority w:val="39"/>
    <w:unhideWhenUsed/>
    <w:rsid w:val="00844BC6"/>
    <w:pPr>
      <w:spacing w:after="100"/>
    </w:pPr>
  </w:style>
  <w:style w:type="paragraph" w:styleId="TtulodeTDC">
    <w:name w:val="TOC Heading"/>
    <w:basedOn w:val="Ttulo1"/>
    <w:next w:val="Normal"/>
    <w:uiPriority w:val="39"/>
    <w:unhideWhenUsed/>
    <w:qFormat/>
    <w:rsid w:val="00844BC6"/>
    <w:pPr>
      <w:spacing w:before="240" w:after="0"/>
      <w:outlineLvl w:val="9"/>
    </w:pPr>
    <w:rPr>
      <w:sz w:val="32"/>
      <w:szCs w:val="32"/>
      <w:lang w:eastAsia="es-MX"/>
    </w:rPr>
  </w:style>
  <w:style w:type="paragraph" w:styleId="TDC2">
    <w:name w:val="toc 2"/>
    <w:basedOn w:val="Normal"/>
    <w:next w:val="Normal"/>
    <w:autoRedefine/>
    <w:uiPriority w:val="39"/>
    <w:unhideWhenUsed/>
    <w:rsid w:val="00844BC6"/>
    <w:pPr>
      <w:tabs>
        <w:tab w:val="right" w:leader="dot" w:pos="9034"/>
      </w:tabs>
      <w:spacing w:line="360" w:lineRule="auto"/>
      <w:ind w:left="200"/>
      <w:contextualSpacing/>
      <w:jc w:val="both"/>
    </w:pPr>
  </w:style>
  <w:style w:type="paragraph" w:styleId="Revisin">
    <w:name w:val="Revision"/>
    <w:hidden/>
    <w:uiPriority w:val="99"/>
    <w:semiHidden/>
    <w:rsid w:val="003B39AC"/>
    <w:rPr>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URoGQytaQps+ct784fY0k9W2g==">CgMxLjAyDmguZTI2eTlqeXFoeTQyMg5oLmdtZHFtNzZtZTltNDIOaC5naGtxb3A4ZHRqZmkyDmguaGhzMXd6dTFldGM4Mg5oLjRwZW5mc2xvcHRkdDIOaC42bDR5aHVjOHZueGIyDmgueHRjaHJiaGE3czhnMg5oLjdxamxzZ3c3NmUxNzIOaC5lNGRudTd1d2N1cWoyDmgubzRnZzdqZ20zYTU1Mg5oLmlobXh3eWVuNTVsYzIOaC5lNXBlMjVxZW5sd3MyDmguYmFwdjYxdmh5ZTMwMg5oLm9vdm4wbHY4cG1jajIOaC53OHdoY3l1MTZ5c2c4AHIhMV94UHJmSzhxS0ZQdzlOM2oxNTZxeEVDcmY1YWxJc20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5665</Words>
  <Characters>31161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USUARIO</cp:lastModifiedBy>
  <cp:revision>3</cp:revision>
  <cp:lastPrinted>2025-03-28T16:55:00Z</cp:lastPrinted>
  <dcterms:created xsi:type="dcterms:W3CDTF">2025-03-28T16:55:00Z</dcterms:created>
  <dcterms:modified xsi:type="dcterms:W3CDTF">2025-03-28T16:55:00Z</dcterms:modified>
</cp:coreProperties>
</file>