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2371036" w:rsidR="009E3316" w:rsidRPr="00D44520"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D44520">
        <w:rPr>
          <w:rFonts w:ascii="Palatino Linotype" w:eastAsia="Palatino Linotype" w:hAnsi="Palatino Linotype" w:cs="Palatino Linotype"/>
          <w:color w:val="000000"/>
          <w:sz w:val="24"/>
          <w:szCs w:val="24"/>
        </w:rPr>
        <w:t>Resolución del Pleno del Instituto de Transparencia, A</w:t>
      </w:r>
      <w:bookmarkStart w:id="0" w:name="_GoBack"/>
      <w:bookmarkEnd w:id="0"/>
      <w:r w:rsidRPr="00D44520">
        <w:rPr>
          <w:rFonts w:ascii="Palatino Linotype" w:eastAsia="Palatino Linotype" w:hAnsi="Palatino Linotype" w:cs="Palatino Linotype"/>
          <w:color w:val="000000"/>
          <w:sz w:val="24"/>
          <w:szCs w:val="24"/>
        </w:rPr>
        <w:t xml:space="preserve">cceso a la Información Pública y Protección de Datos Personales del Estado de México y Municipios, con domicilio en Metepec, Estado de México, a </w:t>
      </w:r>
      <w:r w:rsidR="00AD7572" w:rsidRPr="00D44520">
        <w:rPr>
          <w:rFonts w:ascii="Palatino Linotype" w:eastAsia="Palatino Linotype" w:hAnsi="Palatino Linotype" w:cs="Palatino Linotype"/>
          <w:color w:val="000000"/>
          <w:sz w:val="24"/>
          <w:szCs w:val="24"/>
        </w:rPr>
        <w:t>tres de diciembre</w:t>
      </w:r>
      <w:r w:rsidRPr="00D44520">
        <w:rPr>
          <w:rFonts w:ascii="Palatino Linotype" w:eastAsia="Palatino Linotype" w:hAnsi="Palatino Linotype" w:cs="Palatino Linotype"/>
          <w:color w:val="000000"/>
          <w:sz w:val="24"/>
          <w:szCs w:val="24"/>
        </w:rPr>
        <w:t xml:space="preserve"> de dos mil veinticinco.</w:t>
      </w:r>
    </w:p>
    <w:p w14:paraId="1BDF4917" w14:textId="77777777" w:rsidR="009E3316" w:rsidRPr="00D44520"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48EA9C55" w:rsidR="009E3316" w:rsidRPr="00D44520"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D44520">
        <w:rPr>
          <w:rFonts w:ascii="Palatino Linotype" w:eastAsia="Palatino Linotype" w:hAnsi="Palatino Linotype" w:cs="Palatino Linotype"/>
          <w:b/>
          <w:sz w:val="24"/>
          <w:szCs w:val="24"/>
        </w:rPr>
        <w:t>VISTO</w:t>
      </w:r>
      <w:r w:rsidRPr="00D44520">
        <w:rPr>
          <w:rFonts w:ascii="Palatino Linotype" w:eastAsia="Palatino Linotype" w:hAnsi="Palatino Linotype" w:cs="Palatino Linotype"/>
          <w:sz w:val="24"/>
          <w:szCs w:val="24"/>
        </w:rPr>
        <w:t xml:space="preserve"> el expediente electrónico del recurso de revisión con número </w:t>
      </w:r>
      <w:r w:rsidR="00220AB1" w:rsidRPr="00D44520">
        <w:rPr>
          <w:rFonts w:ascii="Palatino Linotype" w:eastAsia="Palatino Linotype" w:hAnsi="Palatino Linotype" w:cs="Palatino Linotype"/>
          <w:b/>
          <w:sz w:val="24"/>
          <w:szCs w:val="24"/>
        </w:rPr>
        <w:t>0856</w:t>
      </w:r>
      <w:r w:rsidR="00EB5F5B" w:rsidRPr="00D44520">
        <w:rPr>
          <w:rFonts w:ascii="Palatino Linotype" w:eastAsia="Palatino Linotype" w:hAnsi="Palatino Linotype" w:cs="Palatino Linotype"/>
          <w:b/>
          <w:sz w:val="24"/>
          <w:szCs w:val="24"/>
        </w:rPr>
        <w:t>0</w:t>
      </w:r>
      <w:r w:rsidRPr="00D44520">
        <w:rPr>
          <w:rFonts w:ascii="Palatino Linotype" w:eastAsia="Palatino Linotype" w:hAnsi="Palatino Linotype" w:cs="Palatino Linotype"/>
          <w:b/>
          <w:sz w:val="24"/>
          <w:szCs w:val="24"/>
        </w:rPr>
        <w:t xml:space="preserve">/INFOEM/IP/RR/2025, </w:t>
      </w:r>
      <w:r w:rsidRPr="00D44520">
        <w:rPr>
          <w:rFonts w:ascii="Palatino Linotype" w:eastAsia="Palatino Linotype" w:hAnsi="Palatino Linotype" w:cs="Palatino Linotype"/>
          <w:color w:val="000000"/>
          <w:sz w:val="24"/>
          <w:szCs w:val="24"/>
        </w:rPr>
        <w:t xml:space="preserve">interpuesto </w:t>
      </w:r>
      <w:r w:rsidR="006A5601" w:rsidRPr="00D44520">
        <w:rPr>
          <w:rFonts w:ascii="Palatino Linotype" w:eastAsia="Palatino Linotype" w:hAnsi="Palatino Linotype" w:cs="Palatino Linotype"/>
          <w:color w:val="000000"/>
          <w:sz w:val="24"/>
          <w:szCs w:val="24"/>
        </w:rPr>
        <w:t>por persona que no manifiesta su nombre o dato de identificación</w:t>
      </w:r>
      <w:r w:rsidRPr="00D44520">
        <w:rPr>
          <w:rFonts w:ascii="Palatino Linotype" w:eastAsia="Palatino Linotype" w:hAnsi="Palatino Linotype" w:cs="Palatino Linotype"/>
          <w:color w:val="000000"/>
          <w:sz w:val="24"/>
          <w:szCs w:val="24"/>
        </w:rPr>
        <w:t xml:space="preserve">, a quien en lo sucesivo se le denominara como la parte </w:t>
      </w:r>
      <w:r w:rsidRPr="00D44520">
        <w:rPr>
          <w:rFonts w:ascii="Palatino Linotype" w:eastAsia="Palatino Linotype" w:hAnsi="Palatino Linotype" w:cs="Palatino Linotype"/>
          <w:b/>
          <w:color w:val="000000"/>
          <w:sz w:val="24"/>
          <w:szCs w:val="24"/>
        </w:rPr>
        <w:t>Recurrente</w:t>
      </w:r>
      <w:r w:rsidRPr="00D44520">
        <w:rPr>
          <w:rFonts w:ascii="Palatino Linotype" w:eastAsia="Palatino Linotype" w:hAnsi="Palatino Linotype" w:cs="Palatino Linotype"/>
          <w:color w:val="000000"/>
          <w:sz w:val="24"/>
          <w:szCs w:val="24"/>
        </w:rPr>
        <w:t xml:space="preserve">, </w:t>
      </w:r>
      <w:r w:rsidRPr="00D44520">
        <w:rPr>
          <w:rFonts w:ascii="Palatino Linotype" w:eastAsia="Palatino Linotype" w:hAnsi="Palatino Linotype" w:cs="Palatino Linotype"/>
          <w:sz w:val="24"/>
          <w:szCs w:val="24"/>
        </w:rPr>
        <w:t xml:space="preserve">en contra de la falta de respuesta del </w:t>
      </w:r>
      <w:r w:rsidR="00D6696B" w:rsidRPr="00D44520">
        <w:rPr>
          <w:rFonts w:ascii="Palatino Linotype" w:eastAsia="Palatino Linotype" w:hAnsi="Palatino Linotype" w:cs="Palatino Linotype"/>
          <w:b/>
          <w:color w:val="000000"/>
          <w:sz w:val="24"/>
          <w:szCs w:val="24"/>
        </w:rPr>
        <w:t xml:space="preserve">Ayuntamiento de </w:t>
      </w:r>
      <w:r w:rsidR="009E7CAB" w:rsidRPr="00D44520">
        <w:rPr>
          <w:rFonts w:ascii="Palatino Linotype" w:eastAsia="Palatino Linotype" w:hAnsi="Palatino Linotype" w:cs="Palatino Linotype"/>
          <w:b/>
          <w:bCs/>
          <w:color w:val="000000"/>
          <w:sz w:val="24"/>
          <w:szCs w:val="24"/>
        </w:rPr>
        <w:t>Valle de Chalco Solidaridad</w:t>
      </w:r>
      <w:r w:rsidRPr="00D44520">
        <w:rPr>
          <w:rFonts w:ascii="Palatino Linotype" w:eastAsia="Palatino Linotype" w:hAnsi="Palatino Linotype" w:cs="Palatino Linotype"/>
          <w:b/>
          <w:sz w:val="24"/>
          <w:szCs w:val="24"/>
        </w:rPr>
        <w:t xml:space="preserve">, </w:t>
      </w:r>
      <w:r w:rsidRPr="00D44520">
        <w:rPr>
          <w:rFonts w:ascii="Palatino Linotype" w:eastAsia="Palatino Linotype" w:hAnsi="Palatino Linotype" w:cs="Palatino Linotype"/>
          <w:sz w:val="24"/>
          <w:szCs w:val="24"/>
        </w:rPr>
        <w:t>en lo subsecuente</w:t>
      </w:r>
      <w:r w:rsidRPr="00D44520">
        <w:rPr>
          <w:rFonts w:ascii="Palatino Linotype" w:eastAsia="Palatino Linotype" w:hAnsi="Palatino Linotype" w:cs="Palatino Linotype"/>
          <w:b/>
          <w:sz w:val="24"/>
          <w:szCs w:val="24"/>
        </w:rPr>
        <w:t xml:space="preserve"> el Sujeto Obligado, </w:t>
      </w:r>
      <w:r w:rsidRPr="00D44520">
        <w:rPr>
          <w:rFonts w:ascii="Palatino Linotype" w:eastAsia="Palatino Linotype" w:hAnsi="Palatino Linotype" w:cs="Palatino Linotype"/>
          <w:sz w:val="24"/>
          <w:szCs w:val="24"/>
        </w:rPr>
        <w:t>se procede a dictar la presente resolución.</w:t>
      </w:r>
    </w:p>
    <w:p w14:paraId="092D6E80" w14:textId="77777777" w:rsidR="009E3316" w:rsidRPr="00D44520"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D44520" w:rsidRDefault="009E3316" w:rsidP="009E3316">
      <w:pPr>
        <w:spacing w:after="0" w:line="360" w:lineRule="auto"/>
        <w:jc w:val="center"/>
        <w:rPr>
          <w:rFonts w:ascii="Palatino Linotype" w:eastAsia="Palatino Linotype" w:hAnsi="Palatino Linotype" w:cs="Palatino Linotype"/>
          <w:b/>
          <w:sz w:val="28"/>
          <w:szCs w:val="28"/>
        </w:rPr>
      </w:pPr>
      <w:r w:rsidRPr="00D44520">
        <w:rPr>
          <w:rFonts w:ascii="Palatino Linotype" w:eastAsia="Palatino Linotype" w:hAnsi="Palatino Linotype" w:cs="Palatino Linotype"/>
          <w:b/>
          <w:sz w:val="28"/>
          <w:szCs w:val="28"/>
        </w:rPr>
        <w:t>A N T E C E D E N T E S</w:t>
      </w:r>
    </w:p>
    <w:p w14:paraId="036D13B8" w14:textId="77777777" w:rsidR="009E3316" w:rsidRPr="00D44520"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D44520" w:rsidRDefault="009E3316" w:rsidP="009E3316">
      <w:pPr>
        <w:spacing w:after="0" w:line="360" w:lineRule="auto"/>
        <w:jc w:val="both"/>
        <w:rPr>
          <w:rFonts w:ascii="Palatino Linotype" w:eastAsia="Palatino Linotype" w:hAnsi="Palatino Linotype" w:cs="Palatino Linotype"/>
          <w:b/>
          <w:sz w:val="28"/>
          <w:szCs w:val="24"/>
        </w:rPr>
      </w:pPr>
      <w:r w:rsidRPr="00D44520">
        <w:rPr>
          <w:rFonts w:ascii="Palatino Linotype" w:eastAsia="Palatino Linotype" w:hAnsi="Palatino Linotype" w:cs="Palatino Linotype"/>
          <w:b/>
          <w:sz w:val="28"/>
          <w:szCs w:val="24"/>
        </w:rPr>
        <w:t xml:space="preserve">PRIMERO. </w:t>
      </w:r>
      <w:r w:rsidRPr="00D44520">
        <w:rPr>
          <w:rFonts w:ascii="Palatino Linotype" w:eastAsia="Palatino Linotype" w:hAnsi="Palatino Linotype" w:cs="Palatino Linotype"/>
          <w:b/>
          <w:color w:val="000000"/>
          <w:sz w:val="28"/>
          <w:szCs w:val="24"/>
        </w:rPr>
        <w:t>De la solicitud de información.</w:t>
      </w:r>
    </w:p>
    <w:p w14:paraId="571CFC38" w14:textId="155FE568" w:rsidR="009E3316" w:rsidRPr="00D44520" w:rsidRDefault="009E3316" w:rsidP="009E3316">
      <w:pPr>
        <w:spacing w:after="0" w:line="360" w:lineRule="auto"/>
        <w:jc w:val="both"/>
        <w:rPr>
          <w:rFonts w:ascii="Palatino Linotype" w:eastAsia="Palatino Linotype" w:hAnsi="Palatino Linotype" w:cs="Palatino Linotype"/>
          <w:b/>
          <w:sz w:val="24"/>
          <w:szCs w:val="24"/>
        </w:rPr>
      </w:pPr>
      <w:r w:rsidRPr="00D44520">
        <w:rPr>
          <w:rFonts w:ascii="Palatino Linotype" w:eastAsia="Palatino Linotype" w:hAnsi="Palatino Linotype" w:cs="Palatino Linotype"/>
          <w:sz w:val="24"/>
          <w:szCs w:val="24"/>
        </w:rPr>
        <w:t xml:space="preserve">En fecha </w:t>
      </w:r>
      <w:r w:rsidR="00DF59D7" w:rsidRPr="00D44520">
        <w:rPr>
          <w:rFonts w:ascii="Palatino Linotype" w:eastAsia="Palatino Linotype" w:hAnsi="Palatino Linotype" w:cs="Palatino Linotype"/>
          <w:b/>
          <w:sz w:val="24"/>
          <w:szCs w:val="24"/>
        </w:rPr>
        <w:t>catorce de abril</w:t>
      </w:r>
      <w:r w:rsidRPr="00D44520">
        <w:rPr>
          <w:rFonts w:ascii="Palatino Linotype" w:eastAsia="Palatino Linotype" w:hAnsi="Palatino Linotype" w:cs="Palatino Linotype"/>
          <w:b/>
          <w:sz w:val="24"/>
          <w:szCs w:val="24"/>
        </w:rPr>
        <w:t xml:space="preserve"> de dos mil veinticinco</w:t>
      </w:r>
      <w:r w:rsidRPr="00D44520">
        <w:rPr>
          <w:rFonts w:ascii="Palatino Linotype" w:eastAsia="Palatino Linotype" w:hAnsi="Palatino Linotype" w:cs="Palatino Linotype"/>
          <w:sz w:val="24"/>
          <w:szCs w:val="24"/>
        </w:rPr>
        <w:t>, la parte</w:t>
      </w:r>
      <w:r w:rsidRPr="00D44520">
        <w:rPr>
          <w:rFonts w:ascii="Palatino Linotype" w:eastAsia="Palatino Linotype" w:hAnsi="Palatino Linotype" w:cs="Palatino Linotype"/>
          <w:b/>
          <w:sz w:val="24"/>
          <w:szCs w:val="24"/>
        </w:rPr>
        <w:t xml:space="preserve"> Recurrente</w:t>
      </w:r>
      <w:r w:rsidRPr="00D44520">
        <w:rPr>
          <w:rFonts w:ascii="Palatino Linotype" w:eastAsia="Palatino Linotype" w:hAnsi="Palatino Linotype" w:cs="Palatino Linotype"/>
          <w:sz w:val="24"/>
          <w:szCs w:val="24"/>
        </w:rPr>
        <w:t xml:space="preserve"> presentó a través del Sistema de Acceso a la Información Mexiquense (</w:t>
      </w:r>
      <w:r w:rsidRPr="00D44520">
        <w:rPr>
          <w:rFonts w:ascii="Palatino Linotype" w:eastAsia="Palatino Linotype" w:hAnsi="Palatino Linotype" w:cs="Palatino Linotype"/>
          <w:b/>
          <w:sz w:val="24"/>
          <w:szCs w:val="24"/>
        </w:rPr>
        <w:t>SAIMEX)</w:t>
      </w:r>
      <w:r w:rsidRPr="00D44520">
        <w:rPr>
          <w:rFonts w:ascii="Palatino Linotype" w:eastAsia="Palatino Linotype" w:hAnsi="Palatino Linotype" w:cs="Palatino Linotype"/>
          <w:sz w:val="24"/>
          <w:szCs w:val="24"/>
        </w:rPr>
        <w:t xml:space="preserve">, la solicitud de acceso a la información pública, con número de folio </w:t>
      </w:r>
      <w:r w:rsidR="001753E4" w:rsidRPr="00D44520">
        <w:rPr>
          <w:rFonts w:ascii="Palatino Linotype" w:eastAsia="Palatino Linotype" w:hAnsi="Palatino Linotype" w:cs="Palatino Linotype"/>
          <w:b/>
          <w:bCs/>
          <w:sz w:val="24"/>
          <w:szCs w:val="24"/>
        </w:rPr>
        <w:t>00119/VACHASO/IP/2025</w:t>
      </w:r>
      <w:r w:rsidRPr="00D44520">
        <w:rPr>
          <w:rFonts w:ascii="Palatino Linotype" w:eastAsia="Palatino Linotype" w:hAnsi="Palatino Linotype" w:cs="Palatino Linotype"/>
          <w:sz w:val="24"/>
          <w:szCs w:val="24"/>
        </w:rPr>
        <w:t xml:space="preserve">, </w:t>
      </w:r>
      <w:r w:rsidR="00DF59D7" w:rsidRPr="00D44520">
        <w:rPr>
          <w:rFonts w:ascii="Palatino Linotype" w:eastAsia="Palatino Linotype" w:hAnsi="Palatino Linotype" w:cs="Palatino Linotype"/>
          <w:sz w:val="24"/>
          <w:szCs w:val="24"/>
        </w:rPr>
        <w:t xml:space="preserve">la cual se tiene por presentada en fecha veintiuno de abril de la anualidad en curso, por </w:t>
      </w:r>
      <w:proofErr w:type="gramStart"/>
      <w:r w:rsidR="00DF59D7" w:rsidRPr="00D44520">
        <w:rPr>
          <w:rFonts w:ascii="Palatino Linotype" w:eastAsia="Palatino Linotype" w:hAnsi="Palatino Linotype" w:cs="Palatino Linotype"/>
          <w:sz w:val="24"/>
          <w:szCs w:val="24"/>
        </w:rPr>
        <w:t>corresponder</w:t>
      </w:r>
      <w:proofErr w:type="gramEnd"/>
      <w:r w:rsidR="00DF59D7" w:rsidRPr="00D44520">
        <w:rPr>
          <w:rFonts w:ascii="Palatino Linotype" w:eastAsia="Palatino Linotype" w:hAnsi="Palatino Linotype" w:cs="Palatino Linotype"/>
          <w:sz w:val="24"/>
          <w:szCs w:val="24"/>
        </w:rPr>
        <w:t xml:space="preserve"> al día siguiente hábil </w:t>
      </w:r>
      <w:r w:rsidR="001753E4" w:rsidRPr="00D44520">
        <w:rPr>
          <w:rFonts w:ascii="Palatino Linotype" w:eastAsia="Palatino Linotype" w:hAnsi="Palatino Linotype" w:cs="Palatino Linotype"/>
          <w:sz w:val="24"/>
          <w:szCs w:val="24"/>
        </w:rPr>
        <w:t xml:space="preserve">de lo siguiente: </w:t>
      </w:r>
    </w:p>
    <w:p w14:paraId="0E04DAD2" w14:textId="4DD4325C" w:rsidR="009E3316" w:rsidRPr="00D44520" w:rsidRDefault="009E3316" w:rsidP="009E3316">
      <w:pPr>
        <w:pStyle w:val="INFOEM"/>
        <w:rPr>
          <w:lang w:val="es-ES_tradnl" w:eastAsia="es-ES"/>
        </w:rPr>
      </w:pPr>
      <w:r w:rsidRPr="00D44520">
        <w:rPr>
          <w:lang w:val="es-ES_tradnl" w:eastAsia="es-ES"/>
        </w:rPr>
        <w:t>“</w:t>
      </w:r>
      <w:r w:rsidR="001753E4" w:rsidRPr="00D44520">
        <w:rPr>
          <w:lang w:val="es-ES" w:eastAsia="es-ES"/>
        </w:rPr>
        <w:t xml:space="preserve">Con Fundamento En El Artículo 6 Y 8 De La Constitución Política De Los Estados Unidos Mexicanos y del artículo 5 de la Constitución Política Del Estado Libre Y Soberano De México que tutelan el derecho de acceso a la información pública y a los </w:t>
      </w:r>
      <w:r w:rsidR="001753E4" w:rsidRPr="00D44520">
        <w:rPr>
          <w:lang w:val="es-ES" w:eastAsia="es-ES"/>
        </w:rPr>
        <w:lastRenderedPageBreak/>
        <w:t xml:space="preserve">artículos aplicables de la Ley De Transparencia Y Acceso A La Información Pública Del Estado De México Y Municipios; Solicito la versión pública, del Contrato, Factura y Evidencia fotográfica de la Adquisición de los obsequios que se entregaron a los contribuyentes </w:t>
      </w:r>
      <w:proofErr w:type="spellStart"/>
      <w:r w:rsidR="001753E4" w:rsidRPr="00D44520">
        <w:rPr>
          <w:lang w:val="es-ES" w:eastAsia="es-ES"/>
        </w:rPr>
        <w:t>super</w:t>
      </w:r>
      <w:proofErr w:type="spellEnd"/>
      <w:r w:rsidR="001753E4" w:rsidRPr="00D44520">
        <w:rPr>
          <w:lang w:val="es-ES" w:eastAsia="es-ES"/>
        </w:rPr>
        <w:t xml:space="preserve"> cumplidos del ejercicio fiscal 2024 y del ejercicio fiscal 2025, por la recaudación a principio de año.</w:t>
      </w:r>
      <w:r w:rsidRPr="00D44520">
        <w:rPr>
          <w:lang w:val="es-ES_tradnl" w:eastAsia="es-ES"/>
        </w:rPr>
        <w:t>” (Sic)</w:t>
      </w:r>
    </w:p>
    <w:p w14:paraId="6B4B6209" w14:textId="77777777" w:rsidR="009E3316" w:rsidRPr="00D44520" w:rsidRDefault="009E3316" w:rsidP="009E3316">
      <w:pPr>
        <w:spacing w:before="240" w:line="360" w:lineRule="auto"/>
        <w:jc w:val="both"/>
        <w:rPr>
          <w:rFonts w:ascii="Palatino Linotype" w:hAnsi="Palatino Linotype"/>
          <w:lang w:val="es-ES_tradnl"/>
        </w:rPr>
      </w:pPr>
      <w:r w:rsidRPr="00D44520">
        <w:rPr>
          <w:rFonts w:ascii="Palatino Linotype" w:hAnsi="Palatino Linotype"/>
          <w:b/>
          <w:lang w:val="es-ES_tradnl"/>
        </w:rPr>
        <w:t>Modalidad de entrega:</w:t>
      </w:r>
      <w:r w:rsidRPr="00D44520">
        <w:rPr>
          <w:rFonts w:ascii="Palatino Linotype" w:hAnsi="Palatino Linotype"/>
          <w:lang w:val="es-ES_tradnl"/>
        </w:rPr>
        <w:t xml:space="preserve"> A través del SAIMEX.</w:t>
      </w:r>
    </w:p>
    <w:p w14:paraId="45FCD281" w14:textId="77777777"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42A5437E"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44520">
        <w:rPr>
          <w:rFonts w:ascii="Palatino Linotype" w:eastAsia="Palatino Linotype" w:hAnsi="Palatino Linotype" w:cs="Palatino Linotype"/>
          <w:b/>
          <w:color w:val="000000"/>
          <w:sz w:val="28"/>
          <w:szCs w:val="24"/>
        </w:rPr>
        <w:t>SEGUNDO. De la</w:t>
      </w:r>
      <w:r w:rsidR="007A179B" w:rsidRPr="00D44520">
        <w:rPr>
          <w:rFonts w:ascii="Palatino Linotype" w:eastAsia="Palatino Linotype" w:hAnsi="Palatino Linotype" w:cs="Palatino Linotype"/>
          <w:b/>
          <w:color w:val="000000"/>
          <w:sz w:val="28"/>
          <w:szCs w:val="24"/>
        </w:rPr>
        <w:t xml:space="preserve"> prórroga y</w:t>
      </w:r>
      <w:r w:rsidRPr="00D44520">
        <w:rPr>
          <w:rFonts w:ascii="Palatino Linotype" w:eastAsia="Palatino Linotype" w:hAnsi="Palatino Linotype" w:cs="Palatino Linotype"/>
          <w:b/>
          <w:color w:val="000000"/>
          <w:sz w:val="28"/>
          <w:szCs w:val="24"/>
        </w:rPr>
        <w:t xml:space="preserve"> falta de respuesta del Sujeto Obligado.</w:t>
      </w:r>
    </w:p>
    <w:p w14:paraId="067DC470" w14:textId="77777777" w:rsidR="007A179B" w:rsidRPr="00D44520" w:rsidRDefault="007A179B"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1B21E6" w14:textId="3050201D" w:rsidR="007A179B" w:rsidRPr="00D44520" w:rsidRDefault="007A179B"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44520">
        <w:rPr>
          <w:rFonts w:ascii="Palatino Linotype" w:eastAsia="Palatino Linotype" w:hAnsi="Palatino Linotype" w:cs="Palatino Linotype"/>
          <w:color w:val="000000"/>
          <w:sz w:val="24"/>
          <w:szCs w:val="24"/>
        </w:rPr>
        <w:t>Con fecha trece de mayo de la anualidad en curso el responsable de la Unidad de Transparencia del Sujeto Obligado</w:t>
      </w:r>
      <w:r w:rsidR="00653452" w:rsidRPr="00D44520">
        <w:rPr>
          <w:rFonts w:ascii="Palatino Linotype" w:eastAsia="Palatino Linotype" w:hAnsi="Palatino Linotype" w:cs="Palatino Linotype"/>
          <w:color w:val="000000"/>
          <w:sz w:val="24"/>
          <w:szCs w:val="24"/>
        </w:rPr>
        <w:t>, presentó a través el SAIMEX la prórroga para atender la solicitud de información en los siguientes términos:</w:t>
      </w:r>
    </w:p>
    <w:p w14:paraId="171A1CC4" w14:textId="77777777" w:rsidR="00653452" w:rsidRPr="00D44520" w:rsidRDefault="00653452"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C52CE7A" w14:textId="77777777" w:rsidR="00653452" w:rsidRPr="00D44520" w:rsidRDefault="00653452" w:rsidP="00987B73">
      <w:pPr>
        <w:pBdr>
          <w:top w:val="nil"/>
          <w:left w:val="nil"/>
          <w:bottom w:val="nil"/>
          <w:right w:val="nil"/>
          <w:between w:val="nil"/>
        </w:pBdr>
        <w:spacing w:after="0" w:line="360" w:lineRule="auto"/>
        <w:ind w:left="567" w:right="708"/>
        <w:jc w:val="right"/>
        <w:rPr>
          <w:rFonts w:ascii="Palatino Linotype" w:eastAsia="Palatino Linotype" w:hAnsi="Palatino Linotype" w:cs="Palatino Linotype"/>
          <w:i/>
          <w:color w:val="000000"/>
          <w:sz w:val="24"/>
          <w:szCs w:val="24"/>
        </w:rPr>
      </w:pPr>
      <w:r w:rsidRPr="00D44520">
        <w:rPr>
          <w:rFonts w:ascii="Palatino Linotype" w:eastAsia="Palatino Linotype" w:hAnsi="Palatino Linotype" w:cs="Palatino Linotype"/>
          <w:color w:val="000000"/>
          <w:sz w:val="24"/>
          <w:szCs w:val="24"/>
        </w:rPr>
        <w:t>“</w:t>
      </w:r>
      <w:r w:rsidRPr="00D44520">
        <w:rPr>
          <w:rFonts w:ascii="Palatino Linotype" w:eastAsia="Palatino Linotype" w:hAnsi="Palatino Linotype" w:cs="Palatino Linotype"/>
          <w:i/>
          <w:color w:val="000000"/>
          <w:sz w:val="24"/>
          <w:szCs w:val="24"/>
        </w:rPr>
        <w:t>Folio de la solicitud: 00119/VACHASO/IP/2025</w:t>
      </w:r>
    </w:p>
    <w:p w14:paraId="2FC7D29F" w14:textId="77777777" w:rsidR="00653452" w:rsidRPr="00D44520" w:rsidRDefault="00653452" w:rsidP="00987B73">
      <w:pPr>
        <w:pBdr>
          <w:top w:val="nil"/>
          <w:left w:val="nil"/>
          <w:bottom w:val="nil"/>
          <w:right w:val="nil"/>
          <w:between w:val="nil"/>
        </w:pBdr>
        <w:spacing w:after="0" w:line="360" w:lineRule="auto"/>
        <w:ind w:left="567" w:right="708"/>
        <w:jc w:val="both"/>
        <w:rPr>
          <w:rFonts w:ascii="Palatino Linotype" w:eastAsia="Palatino Linotype" w:hAnsi="Palatino Linotype" w:cs="Palatino Linotype"/>
          <w:i/>
          <w:color w:val="000000"/>
          <w:sz w:val="24"/>
          <w:szCs w:val="24"/>
        </w:rPr>
      </w:pPr>
      <w:r w:rsidRPr="00D44520">
        <w:rPr>
          <w:rFonts w:ascii="Palatino Linotype" w:eastAsia="Palatino Linotype" w:hAnsi="Palatino Linotype" w:cs="Palatino Linotype"/>
          <w:i/>
          <w:color w:val="000000"/>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E7EF5C" w14:textId="77777777" w:rsidR="00653452" w:rsidRPr="00D44520" w:rsidRDefault="00653452" w:rsidP="00987B73">
      <w:pPr>
        <w:pBdr>
          <w:top w:val="nil"/>
          <w:left w:val="nil"/>
          <w:bottom w:val="nil"/>
          <w:right w:val="nil"/>
          <w:between w:val="nil"/>
        </w:pBdr>
        <w:spacing w:after="0" w:line="360" w:lineRule="auto"/>
        <w:ind w:left="567" w:right="708"/>
        <w:jc w:val="both"/>
        <w:rPr>
          <w:rFonts w:ascii="Palatino Linotype" w:eastAsia="Palatino Linotype" w:hAnsi="Palatino Linotype" w:cs="Palatino Linotype"/>
          <w:i/>
          <w:color w:val="000000"/>
          <w:sz w:val="24"/>
          <w:szCs w:val="24"/>
        </w:rPr>
      </w:pPr>
      <w:r w:rsidRPr="00D44520">
        <w:rPr>
          <w:rFonts w:ascii="Palatino Linotype" w:eastAsia="Palatino Linotype" w:hAnsi="Palatino Linotype" w:cs="Palatino Linotype"/>
          <w:i/>
          <w:color w:val="000000"/>
          <w:sz w:val="24"/>
          <w:szCs w:val="24"/>
        </w:rPr>
        <w:t>Se aprueba la prórroga de la 00119/VACHASO/IP/2025</w:t>
      </w:r>
    </w:p>
    <w:p w14:paraId="1A503A6D" w14:textId="77777777" w:rsidR="00E12D3C" w:rsidRPr="00D44520" w:rsidRDefault="00E12D3C" w:rsidP="00987B73">
      <w:pPr>
        <w:pBdr>
          <w:top w:val="nil"/>
          <w:left w:val="nil"/>
          <w:bottom w:val="nil"/>
          <w:right w:val="nil"/>
          <w:between w:val="nil"/>
        </w:pBdr>
        <w:spacing w:after="0" w:line="360" w:lineRule="auto"/>
        <w:ind w:left="567" w:right="708"/>
        <w:jc w:val="both"/>
        <w:rPr>
          <w:rFonts w:ascii="Palatino Linotype" w:eastAsia="Palatino Linotype" w:hAnsi="Palatino Linotype" w:cs="Palatino Linotype"/>
          <w:i/>
          <w:color w:val="000000"/>
          <w:sz w:val="24"/>
          <w:szCs w:val="24"/>
        </w:rPr>
      </w:pPr>
    </w:p>
    <w:p w14:paraId="1FD66ED8" w14:textId="77777777" w:rsidR="00653452" w:rsidRPr="00D44520" w:rsidRDefault="00653452" w:rsidP="00987B73">
      <w:pPr>
        <w:pBdr>
          <w:top w:val="nil"/>
          <w:left w:val="nil"/>
          <w:bottom w:val="nil"/>
          <w:right w:val="nil"/>
          <w:between w:val="nil"/>
        </w:pBdr>
        <w:spacing w:after="0" w:line="360" w:lineRule="auto"/>
        <w:ind w:left="567" w:right="708"/>
        <w:jc w:val="both"/>
        <w:rPr>
          <w:rFonts w:ascii="Palatino Linotype" w:eastAsia="Palatino Linotype" w:hAnsi="Palatino Linotype" w:cs="Palatino Linotype"/>
          <w:i/>
          <w:color w:val="000000"/>
          <w:sz w:val="24"/>
          <w:szCs w:val="24"/>
        </w:rPr>
      </w:pPr>
      <w:r w:rsidRPr="00D44520">
        <w:rPr>
          <w:rFonts w:ascii="Palatino Linotype" w:eastAsia="Palatino Linotype" w:hAnsi="Palatino Linotype" w:cs="Palatino Linotype"/>
          <w:i/>
          <w:color w:val="000000"/>
          <w:sz w:val="24"/>
          <w:szCs w:val="24"/>
        </w:rPr>
        <w:t>M. EN D. VALENTÍN GARCÍA RAMÍREZ</w:t>
      </w:r>
    </w:p>
    <w:p w14:paraId="5FCE57DA" w14:textId="006726D2" w:rsidR="00653452" w:rsidRPr="00D44520" w:rsidRDefault="00653452" w:rsidP="00987B73">
      <w:pPr>
        <w:pBdr>
          <w:top w:val="nil"/>
          <w:left w:val="nil"/>
          <w:bottom w:val="nil"/>
          <w:right w:val="nil"/>
          <w:between w:val="nil"/>
        </w:pBdr>
        <w:spacing w:after="0" w:line="360" w:lineRule="auto"/>
        <w:ind w:left="567" w:right="708"/>
        <w:jc w:val="both"/>
        <w:rPr>
          <w:rFonts w:ascii="Palatino Linotype" w:eastAsia="Palatino Linotype" w:hAnsi="Palatino Linotype" w:cs="Palatino Linotype"/>
          <w:color w:val="000000"/>
          <w:sz w:val="24"/>
          <w:szCs w:val="24"/>
        </w:rPr>
      </w:pPr>
      <w:r w:rsidRPr="00D44520">
        <w:rPr>
          <w:rFonts w:ascii="Palatino Linotype" w:eastAsia="Palatino Linotype" w:hAnsi="Palatino Linotype" w:cs="Palatino Linotype"/>
          <w:i/>
          <w:color w:val="000000"/>
          <w:sz w:val="24"/>
          <w:szCs w:val="24"/>
        </w:rPr>
        <w:t>Responsable de la Unidad de Transparencia</w:t>
      </w:r>
      <w:r w:rsidRPr="00D44520">
        <w:rPr>
          <w:rFonts w:ascii="Palatino Linotype" w:eastAsia="Palatino Linotype" w:hAnsi="Palatino Linotype" w:cs="Palatino Linotype"/>
          <w:color w:val="000000"/>
          <w:sz w:val="24"/>
          <w:szCs w:val="24"/>
        </w:rPr>
        <w:t>”</w:t>
      </w:r>
    </w:p>
    <w:p w14:paraId="00F04854" w14:textId="77777777" w:rsidR="007A179B" w:rsidRPr="00D44520" w:rsidRDefault="007A179B"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D1374D7" w14:textId="1A5D01FE" w:rsidR="007A179B" w:rsidRPr="00D44520" w:rsidRDefault="00653452"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44520">
        <w:rPr>
          <w:rFonts w:ascii="Palatino Linotype" w:eastAsia="Palatino Linotype" w:hAnsi="Palatino Linotype" w:cs="Palatino Linotype"/>
          <w:color w:val="000000"/>
          <w:sz w:val="24"/>
          <w:szCs w:val="24"/>
        </w:rPr>
        <w:lastRenderedPageBreak/>
        <w:t>Sin que para ello adjuntara el acuerdo del Comité de Transparencia</w:t>
      </w:r>
      <w:r w:rsidR="00E12D3C" w:rsidRPr="00D44520">
        <w:rPr>
          <w:rFonts w:ascii="Palatino Linotype" w:eastAsia="Palatino Linotype" w:hAnsi="Palatino Linotype" w:cs="Palatino Linotype"/>
          <w:color w:val="000000"/>
          <w:sz w:val="24"/>
          <w:szCs w:val="24"/>
        </w:rPr>
        <w:t>, por el cual se avalara dicha situación</w:t>
      </w:r>
      <w:r w:rsidR="00987B73" w:rsidRPr="00D44520">
        <w:rPr>
          <w:rFonts w:ascii="Palatino Linotype" w:eastAsia="Palatino Linotype" w:hAnsi="Palatino Linotype" w:cs="Palatino Linotype"/>
          <w:color w:val="000000"/>
          <w:sz w:val="24"/>
          <w:szCs w:val="24"/>
        </w:rPr>
        <w:t>, con lo cual se incumple con el segundo párrafo del artículo 163 de la Ley de Transparencia Estatal.</w:t>
      </w:r>
    </w:p>
    <w:p w14:paraId="5FF18680" w14:textId="77777777" w:rsidR="00E12D3C" w:rsidRPr="00D44520" w:rsidRDefault="00E12D3C"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473EBDC" w14:textId="77777777"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44520">
        <w:rPr>
          <w:rFonts w:ascii="Palatino Linotype" w:eastAsia="Palatino Linotype" w:hAnsi="Palatino Linotype" w:cs="Palatino Linotype"/>
          <w:color w:val="000000"/>
          <w:sz w:val="24"/>
          <w:szCs w:val="24"/>
        </w:rPr>
        <w:t>E</w:t>
      </w:r>
      <w:r w:rsidRPr="00D44520">
        <w:rPr>
          <w:rFonts w:ascii="Palatino Linotype" w:eastAsia="Palatino Linotype" w:hAnsi="Palatino Linotype" w:cs="Palatino Linotype"/>
          <w:sz w:val="24"/>
          <w:szCs w:val="24"/>
        </w:rPr>
        <w:t xml:space="preserv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no proporcionó respuesta a la solicitud de información </w:t>
      </w:r>
      <w:r w:rsidRPr="00D44520">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44520">
        <w:rPr>
          <w:rFonts w:ascii="Palatino Linotype" w:eastAsia="Palatino Linotype" w:hAnsi="Palatino Linotype" w:cs="Palatino Linotype"/>
          <w:b/>
          <w:sz w:val="28"/>
          <w:szCs w:val="24"/>
        </w:rPr>
        <w:t xml:space="preserve">TERCERO. </w:t>
      </w:r>
      <w:r w:rsidRPr="00D44520">
        <w:rPr>
          <w:rFonts w:ascii="Palatino Linotype" w:eastAsia="Palatino Linotype" w:hAnsi="Palatino Linotype" w:cs="Palatino Linotype"/>
          <w:b/>
          <w:color w:val="000000"/>
          <w:sz w:val="28"/>
          <w:szCs w:val="24"/>
        </w:rPr>
        <w:t>Del recurso de revisión.</w:t>
      </w:r>
    </w:p>
    <w:p w14:paraId="3772108F" w14:textId="046B0688" w:rsidR="009E3316" w:rsidRPr="00D44520" w:rsidRDefault="009E3316" w:rsidP="009E3316">
      <w:pPr>
        <w:spacing w:after="0" w:line="360" w:lineRule="auto"/>
        <w:jc w:val="both"/>
        <w:rPr>
          <w:rFonts w:ascii="Palatino Linotype" w:eastAsia="Palatino Linotype" w:hAnsi="Palatino Linotype" w:cs="Palatino Linotype"/>
          <w:b/>
          <w:sz w:val="24"/>
          <w:szCs w:val="24"/>
        </w:rPr>
      </w:pPr>
      <w:r w:rsidRPr="00D44520">
        <w:rPr>
          <w:rFonts w:ascii="Palatino Linotype" w:eastAsia="Palatino Linotype" w:hAnsi="Palatino Linotype" w:cs="Palatino Linotype"/>
          <w:sz w:val="24"/>
          <w:szCs w:val="24"/>
        </w:rPr>
        <w:t>Ante la falta de respuesta</w:t>
      </w:r>
      <w:r w:rsidRPr="00D44520">
        <w:rPr>
          <w:rFonts w:ascii="Palatino Linotype" w:eastAsia="Palatino Linotype" w:hAnsi="Palatino Linotype" w:cs="Palatino Linotype"/>
          <w:b/>
          <w:sz w:val="24"/>
          <w:szCs w:val="24"/>
        </w:rPr>
        <w:t xml:space="preserve"> </w:t>
      </w:r>
      <w:r w:rsidRPr="00D44520">
        <w:rPr>
          <w:rFonts w:ascii="Palatino Linotype" w:eastAsia="Palatino Linotype" w:hAnsi="Palatino Linotype" w:cs="Palatino Linotype"/>
          <w:sz w:val="24"/>
          <w:szCs w:val="24"/>
        </w:rPr>
        <w:t xml:space="preserve">del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la parte </w:t>
      </w:r>
      <w:r w:rsidRPr="00D44520">
        <w:rPr>
          <w:rFonts w:ascii="Palatino Linotype" w:eastAsia="Palatino Linotype" w:hAnsi="Palatino Linotype" w:cs="Palatino Linotype"/>
          <w:b/>
          <w:sz w:val="24"/>
          <w:szCs w:val="24"/>
        </w:rPr>
        <w:t>Recurrente</w:t>
      </w:r>
      <w:r w:rsidRPr="00D44520">
        <w:rPr>
          <w:rFonts w:ascii="Palatino Linotype" w:eastAsia="Palatino Linotype" w:hAnsi="Palatino Linotype" w:cs="Palatino Linotype"/>
          <w:sz w:val="24"/>
          <w:szCs w:val="24"/>
        </w:rPr>
        <w:t xml:space="preserve"> interpuso el recurso de revisión en fecha </w:t>
      </w:r>
      <w:r w:rsidR="00B22CF1" w:rsidRPr="00D44520">
        <w:rPr>
          <w:rFonts w:ascii="Palatino Linotype" w:eastAsia="Palatino Linotype" w:hAnsi="Palatino Linotype" w:cs="Palatino Linotype"/>
          <w:b/>
          <w:sz w:val="24"/>
          <w:szCs w:val="24"/>
        </w:rPr>
        <w:t>veintidós</w:t>
      </w:r>
      <w:r w:rsidRPr="00D44520">
        <w:rPr>
          <w:rFonts w:ascii="Palatino Linotype" w:eastAsia="Palatino Linotype" w:hAnsi="Palatino Linotype" w:cs="Palatino Linotype"/>
          <w:b/>
          <w:sz w:val="24"/>
          <w:szCs w:val="24"/>
        </w:rPr>
        <w:t xml:space="preserve"> de octubre de dos mil veinticinco</w:t>
      </w:r>
      <w:r w:rsidRPr="00D44520">
        <w:rPr>
          <w:rFonts w:ascii="Palatino Linotype" w:eastAsia="Palatino Linotype" w:hAnsi="Palatino Linotype" w:cs="Palatino Linotype"/>
          <w:sz w:val="24"/>
          <w:szCs w:val="24"/>
        </w:rPr>
        <w:t>, registrado</w:t>
      </w:r>
      <w:r w:rsidRPr="00D44520">
        <w:rPr>
          <w:rFonts w:ascii="Palatino Linotype" w:eastAsia="Palatino Linotype" w:hAnsi="Palatino Linotype" w:cs="Palatino Linotype"/>
          <w:b/>
          <w:sz w:val="24"/>
          <w:szCs w:val="24"/>
        </w:rPr>
        <w:t xml:space="preserve"> </w:t>
      </w:r>
      <w:r w:rsidRPr="00D44520">
        <w:rPr>
          <w:rFonts w:ascii="Palatino Linotype" w:eastAsia="Palatino Linotype" w:hAnsi="Palatino Linotype" w:cs="Palatino Linotype"/>
          <w:sz w:val="24"/>
          <w:szCs w:val="24"/>
        </w:rPr>
        <w:t xml:space="preserve">en el </w:t>
      </w:r>
      <w:r w:rsidRPr="00D44520">
        <w:rPr>
          <w:rFonts w:ascii="Palatino Linotype" w:eastAsia="Palatino Linotype" w:hAnsi="Palatino Linotype" w:cs="Palatino Linotype"/>
          <w:b/>
          <w:sz w:val="24"/>
          <w:szCs w:val="24"/>
        </w:rPr>
        <w:t xml:space="preserve">SAIMEX </w:t>
      </w:r>
      <w:r w:rsidRPr="00D44520">
        <w:rPr>
          <w:rFonts w:ascii="Palatino Linotype" w:eastAsia="Palatino Linotype" w:hAnsi="Palatino Linotype" w:cs="Palatino Linotype"/>
          <w:sz w:val="24"/>
          <w:szCs w:val="24"/>
        </w:rPr>
        <w:t xml:space="preserve">con el número de expediente </w:t>
      </w:r>
      <w:r w:rsidR="007B69B1" w:rsidRPr="00D44520">
        <w:rPr>
          <w:rFonts w:ascii="Palatino Linotype" w:eastAsia="Palatino Linotype" w:hAnsi="Palatino Linotype" w:cs="Palatino Linotype"/>
          <w:b/>
          <w:sz w:val="24"/>
          <w:szCs w:val="24"/>
        </w:rPr>
        <w:t>08560</w:t>
      </w:r>
      <w:r w:rsidRPr="00D44520">
        <w:rPr>
          <w:rFonts w:ascii="Palatino Linotype" w:eastAsia="Palatino Linotype" w:hAnsi="Palatino Linotype" w:cs="Palatino Linotype"/>
          <w:b/>
          <w:sz w:val="24"/>
          <w:szCs w:val="24"/>
        </w:rPr>
        <w:t>/INFOEM/IP/RR/2025</w:t>
      </w:r>
      <w:r w:rsidRPr="00D44520">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D44520"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D44520" w:rsidRDefault="009E3316" w:rsidP="009E3316">
      <w:pPr>
        <w:numPr>
          <w:ilvl w:val="0"/>
          <w:numId w:val="1"/>
        </w:numPr>
        <w:pBdr>
          <w:top w:val="nil"/>
          <w:left w:val="nil"/>
          <w:bottom w:val="nil"/>
          <w:right w:val="nil"/>
          <w:between w:val="nil"/>
        </w:pBdr>
        <w:spacing w:after="0" w:line="360" w:lineRule="auto"/>
        <w:jc w:val="both"/>
        <w:rPr>
          <w:i/>
        </w:rPr>
      </w:pPr>
      <w:r w:rsidRPr="00D44520">
        <w:rPr>
          <w:rFonts w:ascii="Palatino Linotype" w:eastAsia="Palatino Linotype" w:hAnsi="Palatino Linotype" w:cs="Palatino Linotype"/>
          <w:b/>
          <w:i/>
          <w:color w:val="000000"/>
        </w:rPr>
        <w:t xml:space="preserve">Acto Impugnado: </w:t>
      </w:r>
    </w:p>
    <w:p w14:paraId="1703B167" w14:textId="138EB8CE" w:rsidR="009E3316" w:rsidRPr="00D44520" w:rsidRDefault="009E3316" w:rsidP="009E3316">
      <w:pPr>
        <w:pStyle w:val="INFOEM"/>
      </w:pPr>
      <w:r w:rsidRPr="00D44520">
        <w:t>“</w:t>
      </w:r>
      <w:r w:rsidR="001C73B6" w:rsidRPr="00D44520">
        <w:t>NO SE DIO SEGUIMIENTO A LO SOLICITADO</w:t>
      </w:r>
      <w:r w:rsidRPr="00D44520">
        <w:t xml:space="preserve">" (Sic) </w:t>
      </w:r>
    </w:p>
    <w:p w14:paraId="03B98361" w14:textId="77777777" w:rsidR="009E3316" w:rsidRPr="00D44520"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D44520" w:rsidRDefault="009E3316" w:rsidP="009E3316">
      <w:pPr>
        <w:numPr>
          <w:ilvl w:val="0"/>
          <w:numId w:val="1"/>
        </w:numPr>
        <w:pBdr>
          <w:top w:val="nil"/>
          <w:left w:val="nil"/>
          <w:bottom w:val="nil"/>
          <w:right w:val="nil"/>
          <w:between w:val="nil"/>
        </w:pBdr>
        <w:spacing w:after="0" w:line="360" w:lineRule="auto"/>
        <w:jc w:val="both"/>
      </w:pPr>
      <w:r w:rsidRPr="00D44520">
        <w:rPr>
          <w:rFonts w:ascii="Palatino Linotype" w:eastAsia="Palatino Linotype" w:hAnsi="Palatino Linotype" w:cs="Palatino Linotype"/>
          <w:b/>
          <w:i/>
          <w:color w:val="000000"/>
        </w:rPr>
        <w:t>Razones o Motivos de Inconformidad</w:t>
      </w:r>
      <w:r w:rsidRPr="00D44520">
        <w:rPr>
          <w:rFonts w:ascii="Palatino Linotype" w:eastAsia="Palatino Linotype" w:hAnsi="Palatino Linotype" w:cs="Palatino Linotype"/>
          <w:i/>
          <w:color w:val="000000"/>
        </w:rPr>
        <w:t xml:space="preserve">: </w:t>
      </w:r>
    </w:p>
    <w:p w14:paraId="1E680440" w14:textId="4590620D" w:rsidR="009E3316" w:rsidRPr="00D44520" w:rsidRDefault="009E3316" w:rsidP="009E3316">
      <w:pPr>
        <w:pStyle w:val="INFOEM"/>
      </w:pPr>
      <w:r w:rsidRPr="00D44520">
        <w:t>“</w:t>
      </w:r>
      <w:r w:rsidR="001C73B6" w:rsidRPr="00D44520">
        <w:t>NO SE DIO SEGUIMIENTO A LO SOLICITADO Y YA FENECIO EL TERMINO DE LA PRORROGA DE ACUERDO AL ART. 163 DE LEY DE TRANSPARENCIA Y ACCESO A LA INFORMACIÓN PÚBLICA DEL ESTADO DE MÉXICO Y MUNICIPIOS.</w:t>
      </w:r>
      <w:r w:rsidRPr="00D44520">
        <w:t>”</w:t>
      </w:r>
      <w:r w:rsidRPr="00D44520">
        <w:rPr>
          <w:sz w:val="24"/>
          <w:szCs w:val="24"/>
        </w:rPr>
        <w:t xml:space="preserve"> (Sic)</w:t>
      </w:r>
      <w:r w:rsidRPr="00D44520">
        <w:rPr>
          <w:rFonts w:ascii="Times New Roman" w:eastAsia="Times New Roman" w:hAnsi="Times New Roman" w:cs="Times New Roman"/>
          <w:sz w:val="24"/>
          <w:szCs w:val="24"/>
        </w:rPr>
        <w:t xml:space="preserve"> </w:t>
      </w:r>
    </w:p>
    <w:p w14:paraId="1777C7DF" w14:textId="4F0E67E9" w:rsidR="009E3316" w:rsidRPr="00D44520" w:rsidRDefault="001C73B6" w:rsidP="009E3316">
      <w:pPr>
        <w:spacing w:after="0" w:line="360" w:lineRule="auto"/>
        <w:jc w:val="both"/>
        <w:rPr>
          <w:rFonts w:ascii="Palatino Linotype" w:eastAsia="Palatino Linotype" w:hAnsi="Palatino Linotype" w:cs="Palatino Linotype"/>
          <w:b/>
          <w:sz w:val="28"/>
          <w:szCs w:val="28"/>
        </w:rPr>
      </w:pPr>
      <w:r w:rsidRPr="00D44520">
        <w:rPr>
          <w:rFonts w:ascii="Palatino Linotype" w:eastAsia="Palatino Linotype" w:hAnsi="Palatino Linotype" w:cs="Palatino Linotype"/>
          <w:b/>
          <w:sz w:val="28"/>
          <w:szCs w:val="28"/>
        </w:rPr>
        <w:lastRenderedPageBreak/>
        <w:t xml:space="preserve"> </w:t>
      </w:r>
    </w:p>
    <w:p w14:paraId="693B6776" w14:textId="77777777" w:rsidR="009E3316" w:rsidRPr="00D44520" w:rsidRDefault="009E3316" w:rsidP="009E3316">
      <w:pPr>
        <w:spacing w:before="240" w:line="360" w:lineRule="auto"/>
        <w:jc w:val="both"/>
        <w:rPr>
          <w:rFonts w:ascii="Palatino Linotype" w:hAnsi="Palatino Linotype" w:cs="Arial"/>
          <w:b/>
        </w:rPr>
      </w:pPr>
      <w:r w:rsidRPr="00D44520">
        <w:rPr>
          <w:rFonts w:ascii="Palatino Linotype" w:hAnsi="Palatino Linotype" w:cs="Arial"/>
          <w:b/>
          <w:sz w:val="28"/>
        </w:rPr>
        <w:t>CUARTO</w:t>
      </w:r>
      <w:r w:rsidRPr="00D44520">
        <w:rPr>
          <w:rFonts w:ascii="Palatino Linotype" w:hAnsi="Palatino Linotype" w:cs="Arial"/>
          <w:b/>
        </w:rPr>
        <w:t xml:space="preserve">. </w:t>
      </w:r>
      <w:r w:rsidRPr="00D44520">
        <w:rPr>
          <w:rFonts w:ascii="Palatino Linotype" w:hAnsi="Palatino Linotype" w:cs="Arial"/>
          <w:b/>
          <w:sz w:val="28"/>
          <w:szCs w:val="28"/>
        </w:rPr>
        <w:t>Del turno y admisión del recurso de revisión.</w:t>
      </w:r>
    </w:p>
    <w:p w14:paraId="26FD1593" w14:textId="4D40F4C5" w:rsidR="009E3316" w:rsidRPr="00D44520" w:rsidRDefault="009E3316" w:rsidP="009E3316">
      <w:pPr>
        <w:spacing w:before="240" w:line="360" w:lineRule="auto"/>
        <w:jc w:val="both"/>
        <w:rPr>
          <w:rFonts w:ascii="Palatino Linotype" w:hAnsi="Palatino Linotype" w:cs="Arial"/>
          <w:sz w:val="32"/>
        </w:rPr>
      </w:pPr>
      <w:r w:rsidRPr="00D44520">
        <w:rPr>
          <w:rFonts w:ascii="Palatino Linotype" w:hAnsi="Palatino Linotype"/>
          <w:sz w:val="24"/>
        </w:rPr>
        <w:t xml:space="preserve">El medio de impugnación fue turnado al Comisionado Presidente </w:t>
      </w:r>
      <w:r w:rsidRPr="00D44520">
        <w:rPr>
          <w:rFonts w:ascii="Palatino Linotype" w:hAnsi="Palatino Linotype"/>
          <w:b/>
          <w:sz w:val="24"/>
        </w:rPr>
        <w:t>José Martínez Vilchis,</w:t>
      </w:r>
      <w:r w:rsidRPr="00D4452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44520">
        <w:rPr>
          <w:rFonts w:ascii="Palatino Linotype" w:hAnsi="Palatino Linotype"/>
          <w:b/>
          <w:sz w:val="24"/>
        </w:rPr>
        <w:t>admisión</w:t>
      </w:r>
      <w:r w:rsidRPr="00D44520">
        <w:rPr>
          <w:rFonts w:ascii="Palatino Linotype" w:hAnsi="Palatino Linotype"/>
          <w:sz w:val="24"/>
        </w:rPr>
        <w:t xml:space="preserve"> en fecha </w:t>
      </w:r>
      <w:r w:rsidR="00DD17FA" w:rsidRPr="00D44520">
        <w:rPr>
          <w:rFonts w:ascii="Palatino Linotype" w:eastAsia="Palatino Linotype" w:hAnsi="Palatino Linotype" w:cs="Palatino Linotype"/>
          <w:b/>
          <w:sz w:val="24"/>
          <w:szCs w:val="24"/>
        </w:rPr>
        <w:t>quince de julio</w:t>
      </w:r>
      <w:r w:rsidRPr="00D44520">
        <w:rPr>
          <w:rFonts w:ascii="Palatino Linotype" w:hAnsi="Palatino Linotype"/>
          <w:b/>
          <w:sz w:val="24"/>
        </w:rPr>
        <w:t xml:space="preserve"> de dos mil veinticinco</w:t>
      </w:r>
      <w:r w:rsidRPr="00D44520">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D44520"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D44520" w:rsidRDefault="009E3316" w:rsidP="009E3316">
      <w:pPr>
        <w:pStyle w:val="Prrafodelista"/>
        <w:spacing w:line="360" w:lineRule="auto"/>
        <w:ind w:left="0"/>
        <w:jc w:val="both"/>
        <w:rPr>
          <w:rFonts w:ascii="Palatino Linotype" w:hAnsi="Palatino Linotype" w:cs="Arial"/>
          <w:b/>
          <w:sz w:val="28"/>
          <w:szCs w:val="28"/>
        </w:rPr>
      </w:pPr>
      <w:r w:rsidRPr="00D44520">
        <w:rPr>
          <w:rFonts w:ascii="Palatino Linotype" w:hAnsi="Palatino Linotype" w:cs="Arial"/>
          <w:b/>
          <w:sz w:val="28"/>
        </w:rPr>
        <w:t>QUINTO</w:t>
      </w:r>
      <w:r w:rsidRPr="00D44520">
        <w:rPr>
          <w:rFonts w:ascii="Palatino Linotype" w:hAnsi="Palatino Linotype" w:cs="Arial"/>
          <w:b/>
        </w:rPr>
        <w:t>.</w:t>
      </w:r>
      <w:r w:rsidRPr="00D44520">
        <w:rPr>
          <w:rFonts w:ascii="Palatino Linotype" w:hAnsi="Palatino Linotype" w:cs="Arial"/>
          <w:b/>
          <w:sz w:val="28"/>
          <w:szCs w:val="28"/>
        </w:rPr>
        <w:t xml:space="preserve"> De la etapa de instrucción.</w:t>
      </w:r>
    </w:p>
    <w:p w14:paraId="50FD2D4F" w14:textId="2229C81E" w:rsidR="0004028E" w:rsidRPr="00D44520" w:rsidRDefault="009E3316" w:rsidP="009E3316">
      <w:pPr>
        <w:spacing w:after="0" w:line="360" w:lineRule="auto"/>
        <w:jc w:val="both"/>
        <w:rPr>
          <w:rFonts w:ascii="Palatino Linotype" w:hAnsi="Palatino Linotype" w:cs="Arial"/>
          <w:sz w:val="24"/>
          <w:szCs w:val="24"/>
        </w:rPr>
      </w:pPr>
      <w:r w:rsidRPr="00D44520">
        <w:rPr>
          <w:rFonts w:ascii="Palatino Linotype" w:hAnsi="Palatino Linotype" w:cs="Arial"/>
          <w:sz w:val="24"/>
          <w:szCs w:val="24"/>
        </w:rPr>
        <w:t>De las constancias que obran en el expediente electrónico del SAIMEX, se advierte que el Sujeto Obligado</w:t>
      </w:r>
      <w:r w:rsidR="0097774A" w:rsidRPr="00D44520">
        <w:rPr>
          <w:rFonts w:ascii="Palatino Linotype" w:hAnsi="Palatino Linotype" w:cs="Arial"/>
          <w:sz w:val="24"/>
          <w:szCs w:val="24"/>
        </w:rPr>
        <w:t xml:space="preserve"> en fecha diecisiete de julio de dos mil veinticinco, presentó su informe justificado por medio de dos documentos denominados</w:t>
      </w:r>
      <w:r w:rsidR="0050322E" w:rsidRPr="00D44520">
        <w:rPr>
          <w:rFonts w:ascii="Palatino Linotype" w:hAnsi="Palatino Linotype" w:cs="Arial"/>
          <w:sz w:val="24"/>
          <w:szCs w:val="24"/>
        </w:rPr>
        <w:t xml:space="preserve"> </w:t>
      </w:r>
      <w:r w:rsidR="0097774A" w:rsidRPr="00D44520">
        <w:rPr>
          <w:rFonts w:ascii="Palatino Linotype" w:hAnsi="Palatino Linotype" w:cs="Arial"/>
          <w:sz w:val="24"/>
          <w:szCs w:val="24"/>
        </w:rPr>
        <w:t>“</w:t>
      </w:r>
      <w:r w:rsidR="0097774A" w:rsidRPr="00D44520">
        <w:rPr>
          <w:rFonts w:ascii="Palatino Linotype" w:hAnsi="Palatino Linotype" w:cs="Arial"/>
          <w:i/>
          <w:sz w:val="24"/>
          <w:szCs w:val="24"/>
        </w:rPr>
        <w:t xml:space="preserve">WhatsApp </w:t>
      </w:r>
      <w:proofErr w:type="spellStart"/>
      <w:r w:rsidR="0097774A" w:rsidRPr="00D44520">
        <w:rPr>
          <w:rFonts w:ascii="Palatino Linotype" w:hAnsi="Palatino Linotype" w:cs="Arial"/>
          <w:i/>
          <w:sz w:val="24"/>
          <w:szCs w:val="24"/>
        </w:rPr>
        <w:t>Image</w:t>
      </w:r>
      <w:proofErr w:type="spellEnd"/>
      <w:r w:rsidR="0097774A" w:rsidRPr="00D44520">
        <w:rPr>
          <w:rFonts w:ascii="Palatino Linotype" w:hAnsi="Palatino Linotype" w:cs="Arial"/>
          <w:i/>
          <w:sz w:val="24"/>
          <w:szCs w:val="24"/>
        </w:rPr>
        <w:t xml:space="preserve"> 2025-07-16 at 4.23.37 PM.pdf</w:t>
      </w:r>
      <w:r w:rsidR="0097774A" w:rsidRPr="00D44520">
        <w:rPr>
          <w:rFonts w:ascii="Palatino Linotype" w:hAnsi="Palatino Linotype" w:cs="Arial"/>
          <w:sz w:val="24"/>
          <w:szCs w:val="24"/>
        </w:rPr>
        <w:t>” y “</w:t>
      </w:r>
      <w:r w:rsidR="0097774A" w:rsidRPr="00D44520">
        <w:rPr>
          <w:rFonts w:ascii="Palatino Linotype" w:hAnsi="Palatino Linotype" w:cs="Arial"/>
          <w:i/>
          <w:sz w:val="24"/>
          <w:szCs w:val="24"/>
        </w:rPr>
        <w:t xml:space="preserve">WhatsApp </w:t>
      </w:r>
      <w:proofErr w:type="spellStart"/>
      <w:r w:rsidR="0097774A" w:rsidRPr="00D44520">
        <w:rPr>
          <w:rFonts w:ascii="Palatino Linotype" w:hAnsi="Palatino Linotype" w:cs="Arial"/>
          <w:i/>
          <w:sz w:val="24"/>
          <w:szCs w:val="24"/>
        </w:rPr>
        <w:t>Image</w:t>
      </w:r>
      <w:proofErr w:type="spellEnd"/>
      <w:r w:rsidR="0097774A" w:rsidRPr="00D44520">
        <w:rPr>
          <w:rFonts w:ascii="Palatino Linotype" w:hAnsi="Palatino Linotype" w:cs="Arial"/>
          <w:i/>
          <w:sz w:val="24"/>
          <w:szCs w:val="24"/>
        </w:rPr>
        <w:t xml:space="preserve"> 2025-07-17 at 9.14.10 AM.pdf</w:t>
      </w:r>
      <w:r w:rsidR="0097774A" w:rsidRPr="00D44520">
        <w:rPr>
          <w:rFonts w:ascii="Palatino Linotype" w:hAnsi="Palatino Linotype" w:cs="Arial"/>
          <w:sz w:val="24"/>
          <w:szCs w:val="24"/>
        </w:rPr>
        <w:t>”</w:t>
      </w:r>
      <w:r w:rsidR="0050322E" w:rsidRPr="00D44520">
        <w:rPr>
          <w:rFonts w:ascii="Palatino Linotype" w:hAnsi="Palatino Linotype" w:cs="Arial"/>
          <w:sz w:val="24"/>
          <w:szCs w:val="24"/>
        </w:rPr>
        <w:t>, documentos que fueron puestos a la vista del Recurrente en fecha dieciocho de noviembre de la anualidad en curso</w:t>
      </w:r>
      <w:r w:rsidR="0004028E" w:rsidRPr="00D44520">
        <w:rPr>
          <w:rFonts w:ascii="Palatino Linotype" w:hAnsi="Palatino Linotype" w:cs="Arial"/>
          <w:sz w:val="24"/>
          <w:szCs w:val="24"/>
        </w:rPr>
        <w:t xml:space="preserve">. En tanto que por parte del Recurrente fue omiso en emitir manifestaciones </w:t>
      </w:r>
      <w:r w:rsidR="001701C6" w:rsidRPr="00D44520">
        <w:rPr>
          <w:rFonts w:ascii="Palatino Linotype" w:hAnsi="Palatino Linotype" w:cs="Arial"/>
          <w:sz w:val="24"/>
          <w:szCs w:val="24"/>
        </w:rPr>
        <w:t xml:space="preserve">o pronunciamiento alguno que conforme a derecho procediera. </w:t>
      </w:r>
    </w:p>
    <w:p w14:paraId="31460E95" w14:textId="77777777" w:rsidR="0097774A" w:rsidRPr="00D44520" w:rsidRDefault="0097774A" w:rsidP="009E3316">
      <w:pPr>
        <w:spacing w:after="0" w:line="360" w:lineRule="auto"/>
        <w:jc w:val="both"/>
        <w:rPr>
          <w:rFonts w:ascii="Palatino Linotype" w:hAnsi="Palatino Linotype" w:cs="Arial"/>
          <w:sz w:val="24"/>
          <w:szCs w:val="24"/>
        </w:rPr>
      </w:pPr>
    </w:p>
    <w:p w14:paraId="67AA3F05" w14:textId="77777777" w:rsidR="0097774A" w:rsidRPr="00D44520" w:rsidRDefault="0097774A" w:rsidP="009E3316">
      <w:pPr>
        <w:spacing w:after="0" w:line="360" w:lineRule="auto"/>
        <w:jc w:val="both"/>
        <w:rPr>
          <w:rFonts w:ascii="Palatino Linotype" w:hAnsi="Palatino Linotype" w:cs="Arial"/>
          <w:sz w:val="24"/>
          <w:szCs w:val="24"/>
        </w:rPr>
      </w:pPr>
    </w:p>
    <w:p w14:paraId="09409B4E" w14:textId="77777777" w:rsidR="0097774A" w:rsidRPr="00D44520" w:rsidRDefault="0097774A" w:rsidP="009E3316">
      <w:pPr>
        <w:spacing w:after="0" w:line="360" w:lineRule="auto"/>
        <w:jc w:val="both"/>
        <w:rPr>
          <w:rFonts w:ascii="Palatino Linotype" w:hAnsi="Palatino Linotype" w:cs="Arial"/>
          <w:sz w:val="24"/>
          <w:szCs w:val="24"/>
        </w:rPr>
      </w:pPr>
    </w:p>
    <w:p w14:paraId="0E92B5D0" w14:textId="77777777" w:rsidR="0097774A" w:rsidRPr="00D44520" w:rsidRDefault="0097774A" w:rsidP="009E3316">
      <w:pPr>
        <w:spacing w:after="0" w:line="360" w:lineRule="auto"/>
        <w:jc w:val="both"/>
        <w:rPr>
          <w:rFonts w:ascii="Palatino Linotype" w:hAnsi="Palatino Linotype" w:cs="Arial"/>
          <w:sz w:val="24"/>
          <w:szCs w:val="24"/>
        </w:rPr>
      </w:pPr>
    </w:p>
    <w:p w14:paraId="38015B41" w14:textId="77777777" w:rsidR="009E3316" w:rsidRPr="00D44520" w:rsidRDefault="009E3316" w:rsidP="009E3316">
      <w:pPr>
        <w:spacing w:after="0" w:line="360" w:lineRule="auto"/>
        <w:jc w:val="both"/>
        <w:rPr>
          <w:rFonts w:ascii="Palatino Linotype" w:hAnsi="Palatino Linotype" w:cs="Arial"/>
          <w:sz w:val="24"/>
          <w:szCs w:val="24"/>
        </w:rPr>
      </w:pPr>
    </w:p>
    <w:p w14:paraId="2716A149" w14:textId="77777777" w:rsidR="009E3316" w:rsidRPr="00D44520" w:rsidRDefault="009E3316" w:rsidP="009E3316">
      <w:pPr>
        <w:spacing w:after="0" w:line="360" w:lineRule="auto"/>
        <w:jc w:val="both"/>
        <w:rPr>
          <w:rFonts w:ascii="Palatino Linotype" w:hAnsi="Palatino Linotype" w:cs="Arial"/>
          <w:sz w:val="24"/>
          <w:szCs w:val="24"/>
        </w:rPr>
      </w:pPr>
      <w:r w:rsidRPr="00D44520">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D44520" w:rsidRDefault="009E3316" w:rsidP="009E3316">
      <w:pPr>
        <w:spacing w:after="0" w:line="360" w:lineRule="auto"/>
        <w:jc w:val="both"/>
        <w:rPr>
          <w:rFonts w:ascii="Palatino Linotype" w:hAnsi="Palatino Linotype" w:cs="Arial"/>
          <w:b/>
          <w:sz w:val="28"/>
          <w:szCs w:val="28"/>
        </w:rPr>
      </w:pPr>
    </w:p>
    <w:p w14:paraId="7B12577E" w14:textId="77777777" w:rsidR="009E3316" w:rsidRPr="00D44520" w:rsidRDefault="009E3316" w:rsidP="009E3316">
      <w:pPr>
        <w:spacing w:after="0" w:line="360" w:lineRule="auto"/>
        <w:jc w:val="both"/>
        <w:rPr>
          <w:rFonts w:ascii="Palatino Linotype" w:hAnsi="Palatino Linotype" w:cs="Arial"/>
          <w:b/>
          <w:sz w:val="28"/>
          <w:szCs w:val="28"/>
        </w:rPr>
      </w:pPr>
      <w:r w:rsidRPr="00D44520">
        <w:rPr>
          <w:rFonts w:ascii="Palatino Linotype" w:hAnsi="Palatino Linotype" w:cs="Arial"/>
          <w:b/>
          <w:sz w:val="28"/>
          <w:szCs w:val="28"/>
        </w:rPr>
        <w:t>SEXTO. Del Cierre de Instrucción.</w:t>
      </w:r>
    </w:p>
    <w:p w14:paraId="09B37DE1" w14:textId="6E00BAD7" w:rsidR="009E3316" w:rsidRPr="00D44520" w:rsidRDefault="009E3316" w:rsidP="009E3316">
      <w:pPr>
        <w:spacing w:after="0" w:line="360" w:lineRule="auto"/>
        <w:jc w:val="both"/>
        <w:rPr>
          <w:rFonts w:ascii="Palatino Linotype" w:hAnsi="Palatino Linotype" w:cs="Arial"/>
          <w:sz w:val="24"/>
          <w:szCs w:val="24"/>
        </w:rPr>
      </w:pPr>
      <w:r w:rsidRPr="00D4452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31187" w:rsidRPr="00D44520">
        <w:rPr>
          <w:rFonts w:ascii="Palatino Linotype" w:hAnsi="Palatino Linotype" w:cs="Arial"/>
          <w:b/>
          <w:sz w:val="24"/>
          <w:szCs w:val="24"/>
        </w:rPr>
        <w:t>tres de diciembre</w:t>
      </w:r>
      <w:r w:rsidRPr="00D44520">
        <w:rPr>
          <w:rFonts w:ascii="Palatino Linotype" w:hAnsi="Palatino Linotype" w:cs="Arial"/>
          <w:b/>
          <w:sz w:val="24"/>
          <w:szCs w:val="24"/>
        </w:rPr>
        <w:t xml:space="preserve"> de dos mil veinticinco</w:t>
      </w:r>
      <w:r w:rsidRPr="00D44520">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724D0D98" w14:textId="005B8F5C" w:rsidR="002F3E5F" w:rsidRPr="00D44520" w:rsidRDefault="002F3E5F" w:rsidP="009E3316">
      <w:pPr>
        <w:spacing w:after="0" w:line="360" w:lineRule="auto"/>
        <w:jc w:val="both"/>
        <w:rPr>
          <w:rFonts w:ascii="Palatino Linotype" w:hAnsi="Palatino Linotype" w:cs="Arial"/>
          <w:b/>
          <w:sz w:val="28"/>
          <w:szCs w:val="28"/>
        </w:rPr>
      </w:pPr>
      <w:r w:rsidRPr="00D44520">
        <w:rPr>
          <w:rFonts w:ascii="Palatino Linotype" w:hAnsi="Palatino Linotype" w:cs="Arial"/>
          <w:b/>
          <w:sz w:val="28"/>
          <w:szCs w:val="28"/>
        </w:rPr>
        <w:t>SÉPTIMO. De la ampliación del plazo para resolver.</w:t>
      </w:r>
    </w:p>
    <w:p w14:paraId="516099C4" w14:textId="3DE304AC" w:rsidR="002F3E5F" w:rsidRPr="00D44520" w:rsidRDefault="002F3E5F"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En fecha veintinueve de septiembre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1F7D52A" w14:textId="77777777" w:rsidR="002F3E5F" w:rsidRPr="00D44520" w:rsidRDefault="002F3E5F" w:rsidP="009E3316">
      <w:pPr>
        <w:spacing w:after="0" w:line="360" w:lineRule="auto"/>
        <w:jc w:val="both"/>
        <w:rPr>
          <w:rFonts w:ascii="Palatino Linotype" w:eastAsia="Palatino Linotype" w:hAnsi="Palatino Linotype" w:cs="Palatino Linotype"/>
          <w:sz w:val="24"/>
          <w:szCs w:val="24"/>
        </w:rPr>
      </w:pPr>
    </w:p>
    <w:p w14:paraId="1BB96162" w14:textId="77777777" w:rsidR="002F3E5F" w:rsidRPr="00D44520" w:rsidRDefault="002F3E5F"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D44520" w:rsidRDefault="009E3316" w:rsidP="009E3316">
      <w:pPr>
        <w:spacing w:after="0" w:line="360" w:lineRule="auto"/>
        <w:jc w:val="center"/>
        <w:rPr>
          <w:rFonts w:ascii="Palatino Linotype" w:eastAsia="Palatino Linotype" w:hAnsi="Palatino Linotype" w:cs="Palatino Linotype"/>
          <w:sz w:val="24"/>
          <w:szCs w:val="24"/>
        </w:rPr>
      </w:pPr>
      <w:r w:rsidRPr="00D44520">
        <w:rPr>
          <w:rFonts w:ascii="Palatino Linotype" w:eastAsia="Palatino Linotype" w:hAnsi="Palatino Linotype" w:cs="Palatino Linotype"/>
          <w:b/>
          <w:sz w:val="28"/>
          <w:szCs w:val="28"/>
        </w:rPr>
        <w:t xml:space="preserve">C O N S I D E R A N D O </w:t>
      </w:r>
    </w:p>
    <w:p w14:paraId="103A28CF"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D44520" w:rsidRDefault="009E3316" w:rsidP="009E3316">
      <w:pPr>
        <w:spacing w:after="0" w:line="360" w:lineRule="auto"/>
        <w:jc w:val="both"/>
        <w:rPr>
          <w:rFonts w:ascii="Palatino Linotype" w:eastAsia="Palatino Linotype" w:hAnsi="Palatino Linotype" w:cs="Palatino Linotype"/>
          <w:sz w:val="28"/>
          <w:szCs w:val="24"/>
        </w:rPr>
      </w:pPr>
      <w:r w:rsidRPr="00D44520">
        <w:rPr>
          <w:rFonts w:ascii="Palatino Linotype" w:eastAsia="Palatino Linotype" w:hAnsi="Palatino Linotype" w:cs="Palatino Linotype"/>
          <w:b/>
          <w:sz w:val="28"/>
          <w:szCs w:val="24"/>
        </w:rPr>
        <w:t>PRIMERO. De la competencia</w:t>
      </w:r>
      <w:r w:rsidRPr="00D44520">
        <w:rPr>
          <w:rFonts w:ascii="Palatino Linotype" w:eastAsia="Palatino Linotype" w:hAnsi="Palatino Linotype" w:cs="Palatino Linotype"/>
          <w:sz w:val="28"/>
          <w:szCs w:val="24"/>
        </w:rPr>
        <w:t>.</w:t>
      </w:r>
    </w:p>
    <w:p w14:paraId="7FA63AB1" w14:textId="77777777" w:rsidR="009E3316" w:rsidRPr="00D44520" w:rsidRDefault="009E3316" w:rsidP="009E3316">
      <w:pPr>
        <w:spacing w:after="0" w:line="360" w:lineRule="auto"/>
        <w:jc w:val="both"/>
        <w:rPr>
          <w:rFonts w:ascii="Palatino Linotype" w:hAnsi="Palatino Linotype"/>
          <w:sz w:val="24"/>
          <w:lang w:val="es-ES"/>
        </w:rPr>
      </w:pPr>
      <w:r w:rsidRPr="00D44520">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D44520" w:rsidRDefault="009E3316" w:rsidP="009E3316">
      <w:pPr>
        <w:spacing w:after="0" w:line="360" w:lineRule="auto"/>
        <w:jc w:val="both"/>
        <w:rPr>
          <w:rFonts w:ascii="Palatino Linotype" w:eastAsia="Palatino Linotype" w:hAnsi="Palatino Linotype" w:cs="Palatino Linotype"/>
          <w:sz w:val="28"/>
          <w:szCs w:val="24"/>
        </w:rPr>
      </w:pPr>
      <w:r w:rsidRPr="00D44520">
        <w:rPr>
          <w:rFonts w:ascii="Palatino Linotype" w:eastAsia="Palatino Linotype" w:hAnsi="Palatino Linotype" w:cs="Palatino Linotype"/>
          <w:b/>
          <w:sz w:val="28"/>
          <w:szCs w:val="24"/>
        </w:rPr>
        <w:t>SEGUNDO. De la Oportunidad y Procedencia del Recurso de Revisión</w:t>
      </w:r>
      <w:r w:rsidRPr="00D44520">
        <w:rPr>
          <w:rFonts w:ascii="Palatino Linotype" w:eastAsia="Palatino Linotype" w:hAnsi="Palatino Linotype" w:cs="Palatino Linotype"/>
          <w:sz w:val="28"/>
          <w:szCs w:val="24"/>
        </w:rPr>
        <w:t>.</w:t>
      </w:r>
    </w:p>
    <w:p w14:paraId="21B97FE4" w14:textId="77777777" w:rsidR="009E3316" w:rsidRPr="00D44520" w:rsidRDefault="009E3316" w:rsidP="009E3316">
      <w:pPr>
        <w:spacing w:after="0" w:line="360" w:lineRule="auto"/>
        <w:jc w:val="both"/>
        <w:rPr>
          <w:rFonts w:ascii="Palatino Linotype" w:eastAsia="Palatino Linotype" w:hAnsi="Palatino Linotype" w:cs="Palatino Linotype"/>
          <w:b/>
          <w:sz w:val="24"/>
          <w:szCs w:val="24"/>
        </w:rPr>
      </w:pPr>
      <w:r w:rsidRPr="00D44520">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D44520">
        <w:rPr>
          <w:rFonts w:ascii="Palatino Linotype" w:eastAsia="Palatino Linotype" w:hAnsi="Palatino Linotype" w:cs="Palatino Linotype"/>
          <w:sz w:val="24"/>
          <w:szCs w:val="24"/>
        </w:rPr>
        <w:lastRenderedPageBreak/>
        <w:t>información pública, el recurso podrá ser interpuesto en cualquier momento, por lo que la interposición del presente recurso de revisión resulta oportuna.</w:t>
      </w:r>
    </w:p>
    <w:p w14:paraId="646C1A07"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44520">
        <w:rPr>
          <w:rFonts w:ascii="Palatino Linotype" w:eastAsia="Palatino Linotype" w:hAnsi="Palatino Linotype" w:cs="Palatino Linotype"/>
          <w:b/>
          <w:sz w:val="24"/>
          <w:szCs w:val="24"/>
        </w:rPr>
        <w:t>Recurrente</w:t>
      </w:r>
      <w:r w:rsidRPr="00D44520">
        <w:rPr>
          <w:rFonts w:ascii="Palatino Linotype" w:eastAsia="Palatino Linotype" w:hAnsi="Palatino Linotype" w:cs="Palatino Linotype"/>
          <w:sz w:val="24"/>
          <w:szCs w:val="24"/>
        </w:rPr>
        <w:t xml:space="preserve">, por lo que, en el presente caso, al haber sido presentado el recurso de revisión vía </w:t>
      </w:r>
      <w:r w:rsidRPr="00D44520">
        <w:rPr>
          <w:rFonts w:ascii="Palatino Linotype" w:eastAsia="Palatino Linotype" w:hAnsi="Palatino Linotype" w:cs="Palatino Linotype"/>
          <w:b/>
          <w:sz w:val="24"/>
          <w:szCs w:val="24"/>
        </w:rPr>
        <w:t>SAIMEX</w:t>
      </w:r>
      <w:r w:rsidRPr="00D44520">
        <w:rPr>
          <w:rFonts w:ascii="Palatino Linotype" w:eastAsia="Palatino Linotype" w:hAnsi="Palatino Linotype" w:cs="Palatino Linotype"/>
          <w:sz w:val="24"/>
          <w:szCs w:val="24"/>
        </w:rPr>
        <w:t>, dicho requisito resulta innecesario.</w:t>
      </w:r>
    </w:p>
    <w:p w14:paraId="118EA90A"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D44520" w:rsidRDefault="009E3316" w:rsidP="009E3316">
      <w:pPr>
        <w:spacing w:before="240" w:after="240" w:line="360" w:lineRule="auto"/>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hipótesis jurídica que se actualiza en este caso, aunado a que la parte </w:t>
      </w:r>
      <w:r w:rsidRPr="00D44520">
        <w:rPr>
          <w:rFonts w:ascii="Palatino Linotype" w:eastAsia="Palatino Linotype" w:hAnsi="Palatino Linotype" w:cs="Palatino Linotype"/>
          <w:b/>
          <w:sz w:val="24"/>
          <w:szCs w:val="24"/>
        </w:rPr>
        <w:t>Recurrente</w:t>
      </w:r>
      <w:r w:rsidRPr="00D44520">
        <w:rPr>
          <w:rFonts w:ascii="Palatino Linotype" w:eastAsia="Palatino Linotype" w:hAnsi="Palatino Linotype" w:cs="Palatino Linotype"/>
          <w:sz w:val="24"/>
          <w:szCs w:val="24"/>
        </w:rPr>
        <w:t xml:space="preserve"> combate falta de trámite por 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D44520">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39B43BD6"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D44520" w:rsidRDefault="009E3316" w:rsidP="009E3316">
      <w:pPr>
        <w:widowControl w:val="0"/>
        <w:spacing w:after="0" w:line="360" w:lineRule="auto"/>
        <w:jc w:val="both"/>
        <w:rPr>
          <w:rFonts w:ascii="Palatino Linotype" w:eastAsia="Palatino Linotype" w:hAnsi="Palatino Linotype" w:cs="Palatino Linotype"/>
          <w:b/>
          <w:sz w:val="28"/>
          <w:szCs w:val="28"/>
        </w:rPr>
      </w:pPr>
      <w:r w:rsidRPr="00D44520">
        <w:rPr>
          <w:rFonts w:ascii="Palatino Linotype" w:eastAsia="Palatino Linotype" w:hAnsi="Palatino Linotype" w:cs="Palatino Linotype"/>
          <w:b/>
          <w:sz w:val="28"/>
          <w:szCs w:val="28"/>
        </w:rPr>
        <w:t xml:space="preserve">TERCERO. Estudio y resolución del asunto. </w:t>
      </w:r>
    </w:p>
    <w:p w14:paraId="04EF9FC4" w14:textId="77777777" w:rsidR="009E3316" w:rsidRPr="00D44520" w:rsidRDefault="009E3316" w:rsidP="009E3316">
      <w:pPr>
        <w:spacing w:after="0" w:line="360" w:lineRule="auto"/>
        <w:jc w:val="both"/>
        <w:rPr>
          <w:rFonts w:ascii="Palatino Linotype" w:eastAsia="Palatino Linotype" w:hAnsi="Palatino Linotype" w:cs="Palatino Linotype"/>
          <w:color w:val="000000"/>
          <w:sz w:val="24"/>
          <w:szCs w:val="24"/>
        </w:rPr>
      </w:pPr>
      <w:r w:rsidRPr="00D44520">
        <w:rPr>
          <w:rFonts w:ascii="Palatino Linotype" w:eastAsia="Palatino Linotype" w:hAnsi="Palatino Linotype" w:cs="Palatino Linotype"/>
          <w:sz w:val="24"/>
          <w:szCs w:val="24"/>
        </w:rPr>
        <w:t xml:space="preserve">El derecho de acceso a la información pública es un </w:t>
      </w:r>
      <w:r w:rsidRPr="00D44520">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w:t>
      </w:r>
      <w:r w:rsidRPr="00D44520">
        <w:rPr>
          <w:rFonts w:ascii="Palatino Linotype" w:eastAsia="Palatino Linotype" w:hAnsi="Palatino Linotype" w:cs="Palatino Linotype"/>
          <w:sz w:val="24"/>
          <w:szCs w:val="24"/>
        </w:rPr>
        <w:lastRenderedPageBreak/>
        <w:t xml:space="preserve">por lo que se actualiza la causal de procedencia establecida </w:t>
      </w:r>
      <w:r w:rsidRPr="00D44520">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D44520">
        <w:rPr>
          <w:rFonts w:ascii="Palatino Linotype" w:eastAsia="Palatino Linotype" w:hAnsi="Palatino Linotype" w:cs="Palatino Linotype"/>
          <w:b/>
          <w:color w:val="000000"/>
          <w:sz w:val="24"/>
          <w:szCs w:val="24"/>
        </w:rPr>
        <w:t xml:space="preserve"> </w:t>
      </w:r>
      <w:r w:rsidRPr="00D44520">
        <w:rPr>
          <w:rFonts w:ascii="Palatino Linotype" w:eastAsia="Palatino Linotype" w:hAnsi="Palatino Linotype" w:cs="Palatino Linotype"/>
          <w:color w:val="000000"/>
          <w:sz w:val="24"/>
          <w:szCs w:val="24"/>
        </w:rPr>
        <w:t>y</w:t>
      </w:r>
      <w:r w:rsidRPr="00D44520">
        <w:rPr>
          <w:rFonts w:ascii="Palatino Linotype" w:eastAsia="Palatino Linotype" w:hAnsi="Palatino Linotype" w:cs="Palatino Linotype"/>
          <w:b/>
          <w:color w:val="000000"/>
          <w:sz w:val="24"/>
          <w:szCs w:val="24"/>
        </w:rPr>
        <w:t xml:space="preserve"> </w:t>
      </w:r>
      <w:r w:rsidRPr="00D44520">
        <w:rPr>
          <w:rFonts w:ascii="Palatino Linotype" w:eastAsia="Palatino Linotype" w:hAnsi="Palatino Linotype" w:cs="Palatino Linotype"/>
          <w:sz w:val="24"/>
          <w:szCs w:val="24"/>
        </w:rPr>
        <w:t>por tanto, procedente la interposición del recurso de revisión.</w:t>
      </w:r>
    </w:p>
    <w:p w14:paraId="2B406B1C"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1C182AD9" w14:textId="2D3BD1CB" w:rsidR="00365E6C" w:rsidRPr="00D44520" w:rsidRDefault="00365E6C"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Acto seguido, el </w:t>
      </w:r>
      <w:r w:rsidR="001D51A4" w:rsidRPr="00D44520">
        <w:rPr>
          <w:rFonts w:ascii="Palatino Linotype" w:eastAsia="Palatino Linotype" w:hAnsi="Palatino Linotype" w:cs="Palatino Linotype"/>
          <w:sz w:val="24"/>
          <w:szCs w:val="24"/>
        </w:rPr>
        <w:t>Sujeto Obligado en la etapa de manifestaciones hace llegar dos documentos los cuales contienen lo siguiente:</w:t>
      </w:r>
    </w:p>
    <w:p w14:paraId="43F7785C" w14:textId="77777777" w:rsidR="008F1783" w:rsidRPr="00D44520" w:rsidRDefault="008F1783" w:rsidP="009E3316">
      <w:pPr>
        <w:spacing w:after="0" w:line="360" w:lineRule="auto"/>
        <w:jc w:val="both"/>
        <w:rPr>
          <w:rFonts w:ascii="Palatino Linotype" w:eastAsia="Palatino Linotype" w:hAnsi="Palatino Linotype" w:cs="Palatino Linotype"/>
          <w:sz w:val="24"/>
          <w:szCs w:val="24"/>
        </w:rPr>
      </w:pPr>
    </w:p>
    <w:p w14:paraId="6AEC2073" w14:textId="61D4B280" w:rsidR="001D51A4" w:rsidRPr="00D44520" w:rsidRDefault="00484A80" w:rsidP="00436102">
      <w:pPr>
        <w:pStyle w:val="Prrafodelista"/>
        <w:numPr>
          <w:ilvl w:val="2"/>
          <w:numId w:val="1"/>
        </w:numPr>
        <w:spacing w:line="360" w:lineRule="auto"/>
        <w:ind w:left="567" w:right="425"/>
        <w:jc w:val="both"/>
        <w:rPr>
          <w:rFonts w:ascii="Palatino Linotype" w:eastAsia="Palatino Linotype" w:hAnsi="Palatino Linotype" w:cs="Palatino Linotype"/>
        </w:rPr>
      </w:pPr>
      <w:r w:rsidRPr="00D44520">
        <w:rPr>
          <w:rFonts w:ascii="Palatino Linotype" w:eastAsia="Palatino Linotype" w:hAnsi="Palatino Linotype" w:cs="Palatino Linotype"/>
        </w:rPr>
        <w:t xml:space="preserve">Oficio </w:t>
      </w:r>
      <w:r w:rsidR="008F1783" w:rsidRPr="00D44520">
        <w:rPr>
          <w:rFonts w:ascii="Palatino Linotype" w:eastAsia="Palatino Linotype" w:hAnsi="Palatino Linotype" w:cs="Palatino Linotype"/>
        </w:rPr>
        <w:t xml:space="preserve">VCHS/DCS/OF/0004500/2025, emitido por el Director de Comunicación Social y dirigido al Titular de la Unidad de Transparencia </w:t>
      </w:r>
      <w:r w:rsidR="009815B9" w:rsidRPr="00D44520">
        <w:rPr>
          <w:rFonts w:ascii="Palatino Linotype" w:eastAsia="Palatino Linotype" w:hAnsi="Palatino Linotype" w:cs="Palatino Linotype"/>
        </w:rPr>
        <w:t>por medio del cual manifiesta remitir las capturas de pantallas de información del segundo trimestre del ejercicio fiscal 2025.  (</w:t>
      </w:r>
      <w:r w:rsidR="00D3570B" w:rsidRPr="00D44520">
        <w:rPr>
          <w:rFonts w:ascii="Palatino Linotype" w:eastAsia="Palatino Linotype" w:hAnsi="Palatino Linotype" w:cs="Palatino Linotype"/>
        </w:rPr>
        <w:t>respuesta que no tiene que ver con lo peticionado en la solicitud de mérito</w:t>
      </w:r>
      <w:r w:rsidR="009815B9" w:rsidRPr="00D44520">
        <w:rPr>
          <w:rFonts w:ascii="Palatino Linotype" w:eastAsia="Palatino Linotype" w:hAnsi="Palatino Linotype" w:cs="Palatino Linotype"/>
        </w:rPr>
        <w:t>)</w:t>
      </w:r>
    </w:p>
    <w:p w14:paraId="37D0B8DC" w14:textId="742D4596" w:rsidR="00D3570B" w:rsidRPr="00D44520" w:rsidRDefault="00E65BF5" w:rsidP="00436102">
      <w:pPr>
        <w:pStyle w:val="Prrafodelista"/>
        <w:numPr>
          <w:ilvl w:val="2"/>
          <w:numId w:val="1"/>
        </w:numPr>
        <w:spacing w:line="360" w:lineRule="auto"/>
        <w:ind w:left="567" w:right="425"/>
        <w:jc w:val="both"/>
        <w:rPr>
          <w:rFonts w:ascii="Palatino Linotype" w:eastAsia="Palatino Linotype" w:hAnsi="Palatino Linotype" w:cs="Palatino Linotype"/>
        </w:rPr>
      </w:pPr>
      <w:r w:rsidRPr="00D44520">
        <w:rPr>
          <w:rFonts w:ascii="Palatino Linotype" w:eastAsia="Palatino Linotype" w:hAnsi="Palatino Linotype" w:cs="Palatino Linotype"/>
        </w:rPr>
        <w:t xml:space="preserve">Documento en hoja membretada que contiene diversas fotografías de personas con el rostro difuminado </w:t>
      </w:r>
      <w:r w:rsidR="00A96D76" w:rsidRPr="00D44520">
        <w:rPr>
          <w:rFonts w:ascii="Palatino Linotype" w:eastAsia="Palatino Linotype" w:hAnsi="Palatino Linotype" w:cs="Palatino Linotype"/>
        </w:rPr>
        <w:t xml:space="preserve">acompañados de </w:t>
      </w:r>
      <w:r w:rsidR="005E1705" w:rsidRPr="00D44520">
        <w:rPr>
          <w:rFonts w:ascii="Palatino Linotype" w:eastAsia="Palatino Linotype" w:hAnsi="Palatino Linotype" w:cs="Palatino Linotype"/>
        </w:rPr>
        <w:t>post</w:t>
      </w:r>
      <w:r w:rsidR="00A96D76" w:rsidRPr="00D44520">
        <w:rPr>
          <w:rFonts w:ascii="Palatino Linotype" w:eastAsia="Palatino Linotype" w:hAnsi="Palatino Linotype" w:cs="Palatino Linotype"/>
        </w:rPr>
        <w:t xml:space="preserve"> en redes sociales del Gobierno de Valle de Chalco Solidaridad</w:t>
      </w:r>
      <w:r w:rsidR="00E5666F" w:rsidRPr="00D44520">
        <w:rPr>
          <w:rFonts w:ascii="Palatino Linotype" w:eastAsia="Palatino Linotype" w:hAnsi="Palatino Linotype" w:cs="Palatino Linotype"/>
        </w:rPr>
        <w:t xml:space="preserve">, en el cual felicita por ser usuario </w:t>
      </w:r>
      <w:proofErr w:type="spellStart"/>
      <w:r w:rsidR="00E5666F" w:rsidRPr="00D44520">
        <w:rPr>
          <w:rFonts w:ascii="Palatino Linotype" w:eastAsia="Palatino Linotype" w:hAnsi="Palatino Linotype" w:cs="Palatino Linotype"/>
        </w:rPr>
        <w:t>supercumplido</w:t>
      </w:r>
      <w:proofErr w:type="spellEnd"/>
      <w:r w:rsidR="00E5666F" w:rsidRPr="00D44520">
        <w:rPr>
          <w:rFonts w:ascii="Palatino Linotype" w:eastAsia="Palatino Linotype" w:hAnsi="Palatino Linotype" w:cs="Palatino Linotype"/>
        </w:rPr>
        <w:t>.</w:t>
      </w:r>
    </w:p>
    <w:p w14:paraId="6630895E" w14:textId="4F6EC50B" w:rsidR="00365E6C" w:rsidRPr="00D44520" w:rsidRDefault="00062A5A"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Manifestaciones e información que se analizará si colman los requerimientos de información solicitados por el particular.</w:t>
      </w:r>
    </w:p>
    <w:p w14:paraId="6F12C060" w14:textId="77777777" w:rsidR="00365E6C" w:rsidRPr="00D44520" w:rsidRDefault="00365E6C" w:rsidP="009E3316">
      <w:pPr>
        <w:spacing w:after="0" w:line="360" w:lineRule="auto"/>
        <w:jc w:val="both"/>
        <w:rPr>
          <w:rFonts w:ascii="Palatino Linotype" w:eastAsia="Palatino Linotype" w:hAnsi="Palatino Linotype" w:cs="Palatino Linotype"/>
          <w:sz w:val="24"/>
          <w:szCs w:val="24"/>
        </w:rPr>
      </w:pPr>
    </w:p>
    <w:p w14:paraId="79B21A79" w14:textId="77777777" w:rsidR="009D6D2A" w:rsidRPr="00D44520" w:rsidRDefault="009D6D2A" w:rsidP="009D6D2A">
      <w:pPr>
        <w:spacing w:after="0" w:line="360" w:lineRule="auto"/>
        <w:jc w:val="both"/>
        <w:rPr>
          <w:rFonts w:ascii="Palatino Linotype" w:eastAsia="Times New Roman" w:hAnsi="Palatino Linotype" w:cs="Times New Roman"/>
          <w:color w:val="000000"/>
          <w:sz w:val="24"/>
          <w:szCs w:val="24"/>
          <w:lang w:val="es-ES_tradnl" w:eastAsia="es-ES"/>
        </w:rPr>
      </w:pPr>
      <w:r w:rsidRPr="00D44520">
        <w:rPr>
          <w:rFonts w:ascii="Palatino Linotype" w:eastAsia="Palatino Linotype" w:hAnsi="Palatino Linotype" w:cs="Palatino Linotype"/>
          <w:color w:val="000000"/>
          <w:sz w:val="24"/>
          <w:szCs w:val="24"/>
          <w:lang w:eastAsia="es-ES"/>
        </w:rPr>
        <w:t xml:space="preserve">En este sentido, es pertinente enfatizar lo que, respecto al derecho de acceso a la información pública, refiere  el </w:t>
      </w:r>
      <w:r w:rsidRPr="00D44520">
        <w:rPr>
          <w:rFonts w:ascii="Palatino Linotype" w:eastAsia="Times New Roman" w:hAnsi="Palatino Linotype" w:cs="Times New Roman"/>
          <w:color w:val="000000"/>
          <w:sz w:val="24"/>
          <w:szCs w:val="24"/>
          <w:lang w:val="es-ES_tradnl" w:eastAsia="es-ES"/>
        </w:rPr>
        <w:t>Artículo 6, apartado A, numeral I de la Constitución Política de los Estados Unidos Mexicanos que a la letra establece:</w:t>
      </w:r>
    </w:p>
    <w:p w14:paraId="40AE944F" w14:textId="77777777" w:rsidR="009D6D2A" w:rsidRPr="00D44520" w:rsidRDefault="009D6D2A" w:rsidP="009D6D2A">
      <w:pPr>
        <w:spacing w:after="0" w:line="360" w:lineRule="auto"/>
        <w:jc w:val="both"/>
        <w:rPr>
          <w:rFonts w:ascii="Palatino Linotype" w:eastAsia="Times New Roman" w:hAnsi="Palatino Linotype" w:cs="Times New Roman"/>
          <w:color w:val="000000"/>
          <w:sz w:val="24"/>
          <w:szCs w:val="24"/>
          <w:lang w:val="es-ES_tradnl" w:eastAsia="es-ES"/>
        </w:rPr>
      </w:pPr>
    </w:p>
    <w:p w14:paraId="047C7A63" w14:textId="77777777" w:rsidR="009D6D2A" w:rsidRPr="00D44520" w:rsidRDefault="009D6D2A" w:rsidP="009D6D2A">
      <w:pPr>
        <w:spacing w:after="0" w:line="240" w:lineRule="auto"/>
        <w:ind w:left="567" w:right="567"/>
        <w:jc w:val="both"/>
        <w:rPr>
          <w:rFonts w:ascii="Palatino Linotype" w:eastAsia="Times New Roman" w:hAnsi="Palatino Linotype" w:cs="Times New Roman"/>
          <w:b/>
          <w:i/>
          <w:sz w:val="24"/>
          <w:szCs w:val="24"/>
          <w:lang w:val="es-ES_tradnl" w:eastAsia="es-ES"/>
        </w:rPr>
      </w:pPr>
      <w:r w:rsidRPr="00D44520">
        <w:rPr>
          <w:rFonts w:ascii="Palatino Linotype" w:eastAsia="Times New Roman" w:hAnsi="Palatino Linotype" w:cs="Times New Roman"/>
          <w:b/>
          <w:i/>
          <w:sz w:val="24"/>
          <w:szCs w:val="24"/>
          <w:lang w:val="es-ES_tradnl" w:eastAsia="es-ES"/>
        </w:rPr>
        <w:lastRenderedPageBreak/>
        <w:t>Artículo 6</w:t>
      </w:r>
    </w:p>
    <w:p w14:paraId="366FD9B8" w14:textId="77777777" w:rsidR="009D6D2A" w:rsidRPr="00D44520" w:rsidRDefault="009D6D2A" w:rsidP="009D6D2A">
      <w:pPr>
        <w:spacing w:after="0" w:line="240" w:lineRule="auto"/>
        <w:ind w:left="567" w:right="567"/>
        <w:jc w:val="both"/>
        <w:rPr>
          <w:rFonts w:ascii="Palatino Linotype" w:eastAsia="Times New Roman" w:hAnsi="Palatino Linotype" w:cs="Times New Roman"/>
          <w:i/>
          <w:sz w:val="24"/>
          <w:szCs w:val="24"/>
          <w:lang w:val="es-ES_tradnl" w:eastAsia="es-ES"/>
        </w:rPr>
      </w:pPr>
      <w:r w:rsidRPr="00D44520">
        <w:rPr>
          <w:rFonts w:ascii="Palatino Linotype" w:eastAsia="Times New Roman" w:hAnsi="Palatino Linotype" w:cs="Times New Roman"/>
          <w:i/>
          <w:sz w:val="24"/>
          <w:szCs w:val="24"/>
          <w:lang w:val="es-ES_tradnl" w:eastAsia="es-ES"/>
        </w:rPr>
        <w:t>…</w:t>
      </w:r>
    </w:p>
    <w:p w14:paraId="7C0032B2" w14:textId="77777777" w:rsidR="009D6D2A" w:rsidRPr="00D44520" w:rsidRDefault="009D6D2A" w:rsidP="009D6D2A">
      <w:pPr>
        <w:spacing w:after="0" w:line="240" w:lineRule="auto"/>
        <w:ind w:left="567" w:right="567"/>
        <w:jc w:val="both"/>
        <w:rPr>
          <w:rFonts w:ascii="Palatino Linotype" w:eastAsia="Times New Roman" w:hAnsi="Palatino Linotype" w:cs="Times New Roman"/>
          <w:i/>
          <w:sz w:val="24"/>
          <w:szCs w:val="24"/>
          <w:lang w:val="es-ES_tradnl" w:eastAsia="es-ES"/>
        </w:rPr>
      </w:pPr>
      <w:r w:rsidRPr="00D44520">
        <w:rPr>
          <w:rFonts w:ascii="Palatino Linotype" w:eastAsia="Times New Roman" w:hAnsi="Palatino Linotype" w:cs="Times New Roman"/>
          <w:i/>
          <w:sz w:val="24"/>
          <w:szCs w:val="24"/>
          <w:lang w:val="es-ES_tradnl" w:eastAsia="es-ES"/>
        </w:rPr>
        <w:t>Para el ejercicio del derecho de acceso a la información, la Federación, los Estados y el Distrito Federal, en el ámbito de sus respectivas competencias, se regirán por los siguientes principios y bases:</w:t>
      </w:r>
    </w:p>
    <w:p w14:paraId="2EA5C21D" w14:textId="77777777" w:rsidR="009D6D2A" w:rsidRPr="00D44520" w:rsidRDefault="009D6D2A" w:rsidP="009D6D2A">
      <w:pPr>
        <w:spacing w:after="0" w:line="240" w:lineRule="auto"/>
        <w:ind w:left="567" w:right="567"/>
        <w:jc w:val="both"/>
        <w:rPr>
          <w:rFonts w:ascii="Palatino Linotype" w:eastAsia="Times New Roman" w:hAnsi="Palatino Linotype" w:cs="Times New Roman"/>
          <w:i/>
          <w:sz w:val="24"/>
          <w:szCs w:val="24"/>
          <w:lang w:val="es-ES_tradnl" w:eastAsia="es-ES"/>
        </w:rPr>
      </w:pPr>
    </w:p>
    <w:p w14:paraId="2814984C" w14:textId="77777777" w:rsidR="009D6D2A" w:rsidRPr="00D44520" w:rsidRDefault="009D6D2A" w:rsidP="009D6D2A">
      <w:pPr>
        <w:numPr>
          <w:ilvl w:val="0"/>
          <w:numId w:val="4"/>
        </w:numPr>
        <w:spacing w:after="0" w:line="240" w:lineRule="auto"/>
        <w:ind w:left="993" w:right="567"/>
        <w:jc w:val="both"/>
        <w:rPr>
          <w:rFonts w:ascii="Palatino Linotype" w:eastAsia="Times New Roman" w:hAnsi="Palatino Linotype" w:cs="Times New Roman"/>
          <w:i/>
          <w:sz w:val="24"/>
          <w:szCs w:val="24"/>
          <w:lang w:val="es-ES_tradnl" w:eastAsia="es-ES"/>
        </w:rPr>
      </w:pPr>
      <w:r w:rsidRPr="00D44520">
        <w:rPr>
          <w:rFonts w:ascii="Palatino Linotype" w:eastAsia="Times New Roman" w:hAnsi="Palatino Linotype" w:cs="Times New Roman"/>
          <w:i/>
          <w:sz w:val="24"/>
          <w:szCs w:val="24"/>
          <w:lang w:val="es-ES_tradnl"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235335" w14:textId="77777777" w:rsidR="009D6D2A" w:rsidRPr="00D44520" w:rsidRDefault="009D6D2A" w:rsidP="009D6D2A">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lang w:val="es-ES_tradnl"/>
        </w:rPr>
      </w:pPr>
    </w:p>
    <w:p w14:paraId="1B3BE98E" w14:textId="77777777" w:rsidR="009D6D2A" w:rsidRPr="00D44520" w:rsidRDefault="009D6D2A" w:rsidP="009D6D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14:paraId="647BA322" w14:textId="77777777" w:rsidR="009D6D2A" w:rsidRPr="00D44520" w:rsidRDefault="009D6D2A" w:rsidP="009D6D2A">
      <w:pPr>
        <w:spacing w:after="0" w:line="360" w:lineRule="auto"/>
        <w:jc w:val="both"/>
        <w:rPr>
          <w:rFonts w:ascii="Palatino Linotype" w:eastAsiaTheme="minorHAnsi" w:hAnsi="Palatino Linotype" w:cs="Arial"/>
          <w:sz w:val="24"/>
          <w:szCs w:val="24"/>
          <w:lang w:val="es-ES_tradnl" w:eastAsia="en-US"/>
        </w:rPr>
      </w:pPr>
      <w:r w:rsidRPr="00D44520">
        <w:rPr>
          <w:rFonts w:ascii="Palatino Linotype" w:eastAsiaTheme="minorHAnsi" w:hAnsi="Palatino Linotype" w:cs="Arial"/>
          <w:sz w:val="24"/>
          <w:szCs w:val="24"/>
          <w:lang w:val="es-ES_tradnl" w:eastAsia="en-US"/>
        </w:rPr>
        <w:t xml:space="preserve">Ahora bien, en atención a lo dispuesto por los artículos 3, fracción XI y 12 </w:t>
      </w:r>
      <w:r w:rsidRPr="00D44520">
        <w:rPr>
          <w:rFonts w:ascii="Palatino Linotype" w:eastAsiaTheme="minorHAnsi" w:hAnsi="Palatino Linotype" w:cs="Arial"/>
          <w:bCs/>
          <w:sz w:val="24"/>
          <w:szCs w:val="24"/>
          <w:lang w:val="es-ES_tradnl" w:eastAsia="en-US"/>
        </w:rPr>
        <w:t>de la Ley de Transparencia y Acceso a la Información Pública del Estado de México y Municipios</w:t>
      </w:r>
      <w:r w:rsidRPr="00D44520">
        <w:rPr>
          <w:rFonts w:ascii="Palatino Linotype" w:eastAsiaTheme="minorHAnsi" w:hAnsi="Palatino Linotype" w:cs="Arial"/>
          <w:sz w:val="24"/>
          <w:szCs w:val="24"/>
          <w:lang w:val="es-ES_tradnl" w:eastAsia="en-US"/>
        </w:rPr>
        <w:t>, los cuales son del tenor literal siguiente:</w:t>
      </w:r>
    </w:p>
    <w:p w14:paraId="762E322E" w14:textId="77777777" w:rsidR="009D6D2A" w:rsidRPr="00D44520" w:rsidRDefault="009D6D2A" w:rsidP="009D6D2A">
      <w:pPr>
        <w:spacing w:after="0" w:line="240" w:lineRule="auto"/>
        <w:ind w:left="567" w:right="567"/>
        <w:jc w:val="both"/>
        <w:rPr>
          <w:rFonts w:ascii="Palatino Linotype" w:eastAsiaTheme="minorHAnsi" w:hAnsi="Palatino Linotype" w:cstheme="minorBidi"/>
          <w:sz w:val="24"/>
          <w:szCs w:val="24"/>
          <w:lang w:val="es-ES_tradnl" w:eastAsia="en-US"/>
        </w:rPr>
      </w:pPr>
    </w:p>
    <w:p w14:paraId="6547FEF4"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r w:rsidRPr="00D44520">
        <w:rPr>
          <w:rFonts w:ascii="Palatino Linotype" w:eastAsiaTheme="minorHAnsi" w:hAnsi="Palatino Linotype" w:cstheme="minorBidi"/>
          <w:b/>
          <w:bCs/>
          <w:i/>
          <w:lang w:val="es-ES_tradnl" w:eastAsia="en-US"/>
        </w:rPr>
        <w:t xml:space="preserve">Artículo 3.- </w:t>
      </w:r>
      <w:r w:rsidRPr="00D44520">
        <w:rPr>
          <w:rFonts w:ascii="Palatino Linotype" w:eastAsiaTheme="minorHAnsi" w:hAnsi="Palatino Linotype" w:cstheme="minorBidi"/>
          <w:i/>
          <w:lang w:val="es-ES_tradnl" w:eastAsia="en-US"/>
        </w:rPr>
        <w:t>Para los efectos de la presente Ley se entenderá por:</w:t>
      </w:r>
    </w:p>
    <w:p w14:paraId="160CB461"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r w:rsidRPr="00D44520">
        <w:rPr>
          <w:rFonts w:ascii="Palatino Linotype" w:eastAsiaTheme="minorHAnsi" w:hAnsi="Palatino Linotype" w:cstheme="minorBidi"/>
          <w:i/>
          <w:lang w:val="es-ES_tradnl" w:eastAsia="en-US"/>
        </w:rPr>
        <w:t>…</w:t>
      </w:r>
    </w:p>
    <w:p w14:paraId="0070A9A2"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r w:rsidRPr="00D44520">
        <w:rPr>
          <w:rFonts w:ascii="Palatino Linotype" w:eastAsiaTheme="minorHAnsi" w:hAnsi="Palatino Linotype" w:cstheme="minorBidi"/>
          <w:b/>
          <w:i/>
          <w:lang w:val="es-ES_tradnl" w:eastAsia="en-US"/>
        </w:rPr>
        <w:t>XI.</w:t>
      </w:r>
      <w:r w:rsidRPr="00D44520">
        <w:rPr>
          <w:rFonts w:ascii="Palatino Linotype" w:eastAsiaTheme="minorHAnsi" w:hAnsi="Palatino Linotype" w:cstheme="minorBidi"/>
          <w:i/>
          <w:lang w:val="es-ES_tradnl" w:eastAsia="en-US"/>
        </w:rPr>
        <w:t xml:space="preserve"> </w:t>
      </w:r>
      <w:r w:rsidRPr="00D44520">
        <w:rPr>
          <w:rFonts w:ascii="Palatino Linotype" w:eastAsiaTheme="minorHAnsi" w:hAnsi="Palatino Linotype" w:cstheme="minorBidi"/>
          <w:b/>
          <w:i/>
          <w:lang w:val="es-ES_tradnl" w:eastAsia="en-US"/>
        </w:rPr>
        <w:t>Documento:</w:t>
      </w:r>
      <w:r w:rsidRPr="00D44520">
        <w:rPr>
          <w:rFonts w:ascii="Palatino Linotype" w:eastAsiaTheme="minorHAnsi" w:hAnsi="Palatino Linotype" w:cstheme="minorBidi"/>
          <w:i/>
          <w:lang w:val="es-ES_tradnl" w:eastAsia="en-US"/>
        </w:rPr>
        <w:t xml:space="preserve"> Los expedientes, reportes, estudios, actas, resoluciones, oficios, correspondencia, acuerdos, directivas, directrices, circulares, contratos, convenios, instructivos, notas, memorandos, estadísticas o bien, </w:t>
      </w:r>
      <w:r w:rsidRPr="00D44520">
        <w:rPr>
          <w:rFonts w:ascii="Palatino Linotype" w:eastAsiaTheme="minorHAnsi" w:hAnsi="Palatino Linotype" w:cstheme="minorBidi"/>
          <w:b/>
          <w:i/>
          <w:u w:val="single"/>
          <w:lang w:val="es-ES_tradnl" w:eastAsia="en-US"/>
        </w:rPr>
        <w:t>cualquier otro registro que documente el ejercicio de las facultades, funciones y competencias de los sujetos obligados, sus servidores públicos e integrantes, sin importar su fuente o fecha de elaboración.</w:t>
      </w:r>
      <w:r w:rsidRPr="00D44520">
        <w:rPr>
          <w:rFonts w:ascii="Palatino Linotype" w:eastAsiaTheme="minorHAnsi" w:hAnsi="Palatino Linotype" w:cstheme="minorBidi"/>
          <w:i/>
          <w:lang w:val="es-ES_tradnl" w:eastAsia="en-US"/>
        </w:rPr>
        <w:t xml:space="preserve"> Los documentos podrán estar en cualquier medio, sea escrito, impreso, sonoro, visual, electrónico, informático u holográfico;</w:t>
      </w:r>
    </w:p>
    <w:p w14:paraId="7D286EC2"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p>
    <w:p w14:paraId="132E108D" w14:textId="77777777" w:rsidR="009D6D2A" w:rsidRPr="00D44520" w:rsidRDefault="009D6D2A" w:rsidP="009D6D2A">
      <w:pPr>
        <w:spacing w:after="0" w:line="240" w:lineRule="auto"/>
        <w:ind w:left="851" w:right="851"/>
        <w:jc w:val="both"/>
        <w:rPr>
          <w:rFonts w:ascii="Palatino Linotype" w:eastAsiaTheme="minorHAnsi" w:hAnsi="Palatino Linotype" w:cstheme="minorBidi"/>
          <w:bCs/>
          <w:i/>
          <w:lang w:val="es-ES_tradnl" w:eastAsia="en-US"/>
        </w:rPr>
      </w:pPr>
      <w:r w:rsidRPr="00D44520">
        <w:rPr>
          <w:rFonts w:ascii="Palatino Linotype" w:eastAsiaTheme="minorHAnsi" w:hAnsi="Palatino Linotype" w:cstheme="minorBidi"/>
          <w:b/>
          <w:bCs/>
          <w:i/>
          <w:lang w:val="es-ES_tradnl" w:eastAsia="en-US"/>
        </w:rPr>
        <w:lastRenderedPageBreak/>
        <w:t>Artículo 4.</w:t>
      </w:r>
      <w:r w:rsidRPr="00D44520">
        <w:rPr>
          <w:rFonts w:ascii="Palatino Linotype" w:eastAsiaTheme="minorHAnsi" w:hAnsi="Palatino Linotype" w:cstheme="minorBidi"/>
          <w:bCs/>
          <w:i/>
          <w:lang w:val="es-ES_tradnl"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93DAAD7" w14:textId="77777777" w:rsidR="009D6D2A" w:rsidRPr="00D44520" w:rsidRDefault="009D6D2A" w:rsidP="009D6D2A">
      <w:pPr>
        <w:spacing w:after="0" w:line="240" w:lineRule="auto"/>
        <w:ind w:left="851" w:right="851"/>
        <w:jc w:val="both"/>
        <w:rPr>
          <w:rFonts w:ascii="Palatino Linotype" w:eastAsiaTheme="minorHAnsi" w:hAnsi="Palatino Linotype" w:cstheme="minorBidi"/>
          <w:bCs/>
          <w:i/>
          <w:lang w:val="es-ES_tradnl" w:eastAsia="en-US"/>
        </w:rPr>
      </w:pPr>
    </w:p>
    <w:p w14:paraId="7DCFEE17" w14:textId="77777777" w:rsidR="009D6D2A" w:rsidRPr="00D44520" w:rsidRDefault="009D6D2A" w:rsidP="009D6D2A">
      <w:pPr>
        <w:spacing w:after="0" w:line="240" w:lineRule="auto"/>
        <w:ind w:left="851" w:right="851"/>
        <w:jc w:val="both"/>
        <w:rPr>
          <w:rFonts w:ascii="Palatino Linotype" w:eastAsiaTheme="minorHAnsi" w:hAnsi="Palatino Linotype" w:cstheme="minorBidi"/>
          <w:bCs/>
          <w:i/>
          <w:lang w:val="es-ES_tradnl" w:eastAsia="en-US"/>
        </w:rPr>
      </w:pPr>
      <w:r w:rsidRPr="00D44520">
        <w:rPr>
          <w:rFonts w:ascii="Palatino Linotype" w:eastAsiaTheme="minorHAnsi" w:hAnsi="Palatino Linotype" w:cstheme="minorBidi"/>
          <w:b/>
          <w:bCs/>
          <w:i/>
          <w:u w:val="single"/>
          <w:lang w:val="es-ES_tradnl" w:eastAsia="en-US"/>
        </w:rPr>
        <w:t>Toda la información generada, obtenida, adquirida, transformada, administrada o en posesión de los sujetos obligados es pública y accesible de manera permanente a cualquier persona,</w:t>
      </w:r>
      <w:r w:rsidRPr="00D44520">
        <w:rPr>
          <w:rFonts w:ascii="Palatino Linotype" w:eastAsiaTheme="minorHAnsi" w:hAnsi="Palatino Linotype" w:cstheme="minorBidi"/>
          <w:bCs/>
          <w:i/>
          <w:lang w:val="es-ES_tradnl" w:eastAsia="en-U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EDEF74" w14:textId="77777777" w:rsidR="009D6D2A" w:rsidRPr="00D44520" w:rsidRDefault="009D6D2A" w:rsidP="009D6D2A">
      <w:pPr>
        <w:spacing w:after="0" w:line="240" w:lineRule="auto"/>
        <w:ind w:left="851" w:right="851"/>
        <w:jc w:val="both"/>
        <w:rPr>
          <w:rFonts w:ascii="Palatino Linotype" w:eastAsiaTheme="minorHAnsi" w:hAnsi="Palatino Linotype" w:cstheme="minorBidi"/>
          <w:bCs/>
          <w:i/>
          <w:lang w:val="es-ES_tradnl" w:eastAsia="en-US"/>
        </w:rPr>
      </w:pPr>
    </w:p>
    <w:p w14:paraId="3F07FBCC" w14:textId="77777777" w:rsidR="009D6D2A" w:rsidRPr="00D44520" w:rsidRDefault="009D6D2A" w:rsidP="009D6D2A">
      <w:pPr>
        <w:spacing w:after="0" w:line="240" w:lineRule="auto"/>
        <w:ind w:left="851" w:right="851"/>
        <w:jc w:val="both"/>
        <w:rPr>
          <w:rFonts w:ascii="Palatino Linotype" w:eastAsiaTheme="minorHAnsi" w:hAnsi="Palatino Linotype" w:cstheme="minorBidi"/>
          <w:bCs/>
          <w:i/>
          <w:lang w:val="es-ES_tradnl" w:eastAsia="en-US"/>
        </w:rPr>
      </w:pPr>
      <w:r w:rsidRPr="00D44520">
        <w:rPr>
          <w:rFonts w:ascii="Palatino Linotype" w:eastAsiaTheme="minorHAnsi" w:hAnsi="Palatino Linotype" w:cstheme="minorBidi"/>
          <w:bCs/>
          <w:i/>
          <w:lang w:val="es-ES_tradnl" w:eastAsia="en-US"/>
        </w:rPr>
        <w:t>Los sujetos obligados deben poner en práctica, políticas y programas de acceso a la información que se apeguen a criterios de publicidad, veracidad, oportunidad, precisión y suficiencia en beneficio de los solicitantes.</w:t>
      </w:r>
    </w:p>
    <w:p w14:paraId="3053A5F7"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p>
    <w:p w14:paraId="1412BAF1"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r w:rsidRPr="00D44520">
        <w:rPr>
          <w:rFonts w:ascii="Palatino Linotype" w:eastAsiaTheme="minorHAnsi" w:hAnsi="Palatino Linotype" w:cstheme="minorBidi"/>
          <w:b/>
          <w:i/>
          <w:lang w:val="es-ES_tradnl" w:eastAsia="en-US"/>
        </w:rPr>
        <w:t>Artículo 12.</w:t>
      </w:r>
      <w:r w:rsidRPr="00D44520">
        <w:rPr>
          <w:rFonts w:ascii="Palatino Linotype" w:eastAsiaTheme="minorHAnsi" w:hAnsi="Palatino Linotype" w:cstheme="minorBidi"/>
          <w:i/>
          <w:lang w:val="es-ES_tradnl" w:eastAsia="en-US"/>
        </w:rPr>
        <w:t xml:space="preserve"> Quienes generen, recopilen, administren, manejen, procesen, archiven o conserven información pública serán responsables de la misma en los términos de las disposiciones jurídicas aplicables.</w:t>
      </w:r>
    </w:p>
    <w:p w14:paraId="2D9A6A99" w14:textId="77777777" w:rsidR="009D6D2A" w:rsidRPr="00D44520" w:rsidRDefault="009D6D2A" w:rsidP="009D6D2A">
      <w:pPr>
        <w:spacing w:after="0" w:line="240" w:lineRule="auto"/>
        <w:ind w:left="851" w:right="851"/>
        <w:jc w:val="both"/>
        <w:rPr>
          <w:rFonts w:ascii="Palatino Linotype" w:eastAsiaTheme="minorHAnsi" w:hAnsi="Palatino Linotype" w:cstheme="minorBidi"/>
          <w:i/>
          <w:lang w:val="es-ES_tradnl" w:eastAsia="en-US"/>
        </w:rPr>
      </w:pPr>
    </w:p>
    <w:p w14:paraId="17F82828" w14:textId="77777777" w:rsidR="009D6D2A" w:rsidRPr="00D44520" w:rsidRDefault="009D6D2A" w:rsidP="009D6D2A">
      <w:pPr>
        <w:spacing w:after="0" w:line="240" w:lineRule="auto"/>
        <w:ind w:left="851" w:right="851"/>
        <w:jc w:val="both"/>
        <w:rPr>
          <w:rFonts w:ascii="Palatino Linotype" w:eastAsiaTheme="minorHAnsi" w:hAnsi="Palatino Linotype" w:cstheme="minorBidi"/>
          <w:i/>
          <w:u w:val="single"/>
          <w:lang w:val="es-ES_tradnl" w:eastAsia="en-US"/>
        </w:rPr>
      </w:pPr>
      <w:r w:rsidRPr="00D44520">
        <w:rPr>
          <w:rFonts w:ascii="Palatino Linotype" w:eastAsiaTheme="minorHAnsi" w:hAnsi="Palatino Linotype" w:cstheme="minorBidi"/>
          <w:b/>
          <w:i/>
          <w:u w:val="single"/>
          <w:lang w:val="es-ES_tradnl"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44520">
        <w:rPr>
          <w:rFonts w:ascii="Palatino Linotype" w:eastAsiaTheme="minorHAnsi" w:hAnsi="Palatino Linotype" w:cstheme="minorBidi"/>
          <w:i/>
          <w:lang w:val="es-ES_tradnl" w:eastAsia="en-US"/>
        </w:rPr>
        <w:t>.</w:t>
      </w:r>
    </w:p>
    <w:p w14:paraId="26293F54" w14:textId="77777777" w:rsidR="009D6D2A" w:rsidRPr="00D44520" w:rsidRDefault="009D6D2A" w:rsidP="009D6D2A">
      <w:pPr>
        <w:spacing w:after="0" w:line="360" w:lineRule="auto"/>
        <w:jc w:val="both"/>
        <w:rPr>
          <w:rFonts w:ascii="Palatino Linotype" w:eastAsiaTheme="minorHAnsi" w:hAnsi="Palatino Linotype" w:cstheme="minorBidi"/>
          <w:sz w:val="24"/>
          <w:szCs w:val="24"/>
          <w:lang w:val="es-ES_tradnl" w:eastAsia="en-US"/>
        </w:rPr>
      </w:pPr>
    </w:p>
    <w:p w14:paraId="176F4738" w14:textId="77777777" w:rsidR="009D6D2A" w:rsidRPr="00D44520" w:rsidRDefault="009D6D2A" w:rsidP="009D6D2A">
      <w:pPr>
        <w:spacing w:after="0" w:line="360" w:lineRule="auto"/>
        <w:jc w:val="both"/>
        <w:rPr>
          <w:rFonts w:ascii="Palatino Linotype" w:eastAsiaTheme="minorHAnsi" w:hAnsi="Palatino Linotype" w:cs="Arial"/>
          <w:sz w:val="24"/>
          <w:szCs w:val="24"/>
          <w:lang w:val="es-ES_tradnl" w:eastAsia="en-US"/>
        </w:rPr>
      </w:pPr>
      <w:r w:rsidRPr="00D44520">
        <w:rPr>
          <w:rFonts w:ascii="Palatino Linotype" w:eastAsiaTheme="minorHAnsi" w:hAnsi="Palatino Linotype" w:cs="Arial"/>
          <w:sz w:val="24"/>
          <w:szCs w:val="24"/>
          <w:lang w:val="es-ES_tradnl" w:eastAsia="en-U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D6B0BED" w14:textId="77777777" w:rsidR="00365E6C" w:rsidRPr="00D44520" w:rsidRDefault="00365E6C" w:rsidP="009E3316">
      <w:pPr>
        <w:spacing w:after="0" w:line="360" w:lineRule="auto"/>
        <w:jc w:val="both"/>
        <w:rPr>
          <w:rFonts w:ascii="Palatino Linotype" w:eastAsia="Palatino Linotype" w:hAnsi="Palatino Linotype" w:cs="Palatino Linotype"/>
          <w:sz w:val="24"/>
          <w:szCs w:val="24"/>
        </w:rPr>
      </w:pPr>
    </w:p>
    <w:p w14:paraId="230BF0AF" w14:textId="07DE1A7C" w:rsidR="009D6D2A" w:rsidRPr="00D44520" w:rsidRDefault="009D6D2A"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lastRenderedPageBreak/>
        <w:t xml:space="preserve">Por lo que a través de la Garantía secundaria, el Sujeto Obligado </w:t>
      </w:r>
      <w:r w:rsidR="002A6045" w:rsidRPr="00D44520">
        <w:rPr>
          <w:rFonts w:ascii="Palatino Linotype" w:eastAsia="Palatino Linotype" w:hAnsi="Palatino Linotype" w:cs="Palatino Linotype"/>
          <w:sz w:val="24"/>
          <w:szCs w:val="24"/>
        </w:rPr>
        <w:t xml:space="preserve">buscó la forma de subsanar la vulneración al derecho humano del Recurrente, así que hizo llegar información, por lo que para mejor ilustrar se procede a insertar un cuadro que describa la información pedida, y lo entregado en </w:t>
      </w:r>
      <w:r w:rsidR="001B089D" w:rsidRPr="00D44520">
        <w:rPr>
          <w:rFonts w:ascii="Palatino Linotype" w:eastAsia="Palatino Linotype" w:hAnsi="Palatino Linotype" w:cs="Palatino Linotype"/>
          <w:sz w:val="24"/>
          <w:szCs w:val="24"/>
        </w:rPr>
        <w:t>etapa</w:t>
      </w:r>
      <w:r w:rsidR="002A6045" w:rsidRPr="00D44520">
        <w:rPr>
          <w:rFonts w:ascii="Palatino Linotype" w:eastAsia="Palatino Linotype" w:hAnsi="Palatino Linotype" w:cs="Palatino Linotype"/>
          <w:sz w:val="24"/>
          <w:szCs w:val="24"/>
        </w:rPr>
        <w:t xml:space="preserve"> de </w:t>
      </w:r>
      <w:r w:rsidR="001B089D" w:rsidRPr="00D44520">
        <w:rPr>
          <w:rFonts w:ascii="Palatino Linotype" w:eastAsia="Palatino Linotype" w:hAnsi="Palatino Linotype" w:cs="Palatino Linotype"/>
          <w:sz w:val="24"/>
          <w:szCs w:val="24"/>
        </w:rPr>
        <w:t>manifestaciones</w:t>
      </w:r>
      <w:r w:rsidR="002A6045" w:rsidRPr="00D44520">
        <w:rPr>
          <w:rFonts w:ascii="Palatino Linotype" w:eastAsia="Palatino Linotype" w:hAnsi="Palatino Linotype" w:cs="Palatino Linotype"/>
          <w:sz w:val="24"/>
          <w:szCs w:val="24"/>
        </w:rPr>
        <w:t xml:space="preserve">, </w:t>
      </w:r>
      <w:r w:rsidR="001B089D" w:rsidRPr="00D44520">
        <w:rPr>
          <w:rFonts w:ascii="Palatino Linotype" w:eastAsia="Palatino Linotype" w:hAnsi="Palatino Linotype" w:cs="Palatino Linotype"/>
          <w:sz w:val="24"/>
          <w:szCs w:val="24"/>
        </w:rPr>
        <w:t>así</w:t>
      </w:r>
      <w:r w:rsidR="002A6045" w:rsidRPr="00D44520">
        <w:rPr>
          <w:rFonts w:ascii="Palatino Linotype" w:eastAsia="Palatino Linotype" w:hAnsi="Palatino Linotype" w:cs="Palatino Linotype"/>
          <w:sz w:val="24"/>
          <w:szCs w:val="24"/>
        </w:rPr>
        <w:t xml:space="preserve"> como la determinación de la Ponencia si colma o no el Derecho de Acceso a la </w:t>
      </w:r>
      <w:r w:rsidR="001B089D" w:rsidRPr="00D44520">
        <w:rPr>
          <w:rFonts w:ascii="Palatino Linotype" w:eastAsia="Palatino Linotype" w:hAnsi="Palatino Linotype" w:cs="Palatino Linotype"/>
          <w:sz w:val="24"/>
          <w:szCs w:val="24"/>
        </w:rPr>
        <w:t>Información</w:t>
      </w:r>
      <w:r w:rsidR="002A6045" w:rsidRPr="00D44520">
        <w:rPr>
          <w:rFonts w:ascii="Palatino Linotype" w:eastAsia="Palatino Linotype" w:hAnsi="Palatino Linotype" w:cs="Palatino Linotype"/>
          <w:sz w:val="24"/>
          <w:szCs w:val="24"/>
        </w:rPr>
        <w:t>.</w:t>
      </w:r>
    </w:p>
    <w:p w14:paraId="6DE833D1" w14:textId="77777777" w:rsidR="002A6045" w:rsidRPr="00D44520" w:rsidRDefault="002A6045" w:rsidP="009E3316">
      <w:pPr>
        <w:spacing w:after="0" w:line="360" w:lineRule="auto"/>
        <w:jc w:val="both"/>
        <w:rPr>
          <w:rFonts w:ascii="Palatino Linotype" w:eastAsia="Palatino Linotype" w:hAnsi="Palatino Linotype" w:cs="Palatino Linotype"/>
          <w:sz w:val="24"/>
          <w:szCs w:val="24"/>
        </w:rPr>
      </w:pPr>
    </w:p>
    <w:tbl>
      <w:tblPr>
        <w:tblStyle w:val="Tabladecuadrcula4"/>
        <w:tblW w:w="8646" w:type="dxa"/>
        <w:tblInd w:w="421" w:type="dxa"/>
        <w:tblLook w:val="04A0" w:firstRow="1" w:lastRow="0" w:firstColumn="1" w:lastColumn="0" w:noHBand="0" w:noVBand="1"/>
      </w:tblPr>
      <w:tblGrid>
        <w:gridCol w:w="3402"/>
        <w:gridCol w:w="2268"/>
        <w:gridCol w:w="2976"/>
      </w:tblGrid>
      <w:tr w:rsidR="00523F82" w:rsidRPr="00D44520" w14:paraId="100B9724" w14:textId="77777777" w:rsidTr="002D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508858A" w14:textId="2796C2D6" w:rsidR="00523F82" w:rsidRPr="00D44520" w:rsidRDefault="00523F82" w:rsidP="004F385D">
            <w:pPr>
              <w:jc w:val="center"/>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Solicitud</w:t>
            </w:r>
          </w:p>
        </w:tc>
        <w:tc>
          <w:tcPr>
            <w:tcW w:w="2268" w:type="dxa"/>
          </w:tcPr>
          <w:p w14:paraId="22F7D587" w14:textId="25B5972F" w:rsidR="00523F82" w:rsidRPr="00D44520" w:rsidRDefault="00523F82" w:rsidP="004F385D">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Manifestaciones</w:t>
            </w:r>
          </w:p>
        </w:tc>
        <w:tc>
          <w:tcPr>
            <w:tcW w:w="2976" w:type="dxa"/>
          </w:tcPr>
          <w:p w14:paraId="18C76015" w14:textId="771C211B" w:rsidR="00523F82" w:rsidRPr="00D44520" w:rsidRDefault="00523F82" w:rsidP="004F385D">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Determinación Ponencia</w:t>
            </w:r>
          </w:p>
        </w:tc>
      </w:tr>
      <w:tr w:rsidR="005E1671" w:rsidRPr="00D44520" w14:paraId="261FA9B2" w14:textId="77777777" w:rsidTr="002D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gridSpan w:val="2"/>
          </w:tcPr>
          <w:p w14:paraId="15864364" w14:textId="49B76F03" w:rsidR="005E1671" w:rsidRPr="00D44520" w:rsidRDefault="005E1671" w:rsidP="009E3316">
            <w:pPr>
              <w:spacing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w:t>
            </w:r>
            <w:r w:rsidR="00BA7893" w:rsidRPr="00D44520">
              <w:rPr>
                <w:rFonts w:ascii="Palatino Linotype" w:eastAsia="Palatino Linotype" w:hAnsi="Palatino Linotype" w:cs="Palatino Linotype"/>
                <w:i/>
                <w:sz w:val="24"/>
                <w:szCs w:val="24"/>
              </w:rPr>
              <w:t>exordio</w:t>
            </w:r>
            <w:r w:rsidRPr="00D44520">
              <w:rPr>
                <w:rFonts w:ascii="Palatino Linotype" w:eastAsia="Palatino Linotype" w:hAnsi="Palatino Linotype" w:cs="Palatino Linotype"/>
                <w:sz w:val="24"/>
                <w:szCs w:val="24"/>
              </w:rPr>
              <w:t>)</w:t>
            </w:r>
          </w:p>
          <w:p w14:paraId="1565C9C5" w14:textId="5AD408C0" w:rsidR="005E1671" w:rsidRPr="00D44520" w:rsidRDefault="005E1671" w:rsidP="005E1671">
            <w:pPr>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De la Adquisición de los obsequios que se entregaron a los contribuyentes </w:t>
            </w:r>
            <w:proofErr w:type="spellStart"/>
            <w:r w:rsidRPr="00D44520">
              <w:rPr>
                <w:rFonts w:ascii="Palatino Linotype" w:eastAsia="Palatino Linotype" w:hAnsi="Palatino Linotype" w:cs="Palatino Linotype"/>
                <w:sz w:val="24"/>
                <w:szCs w:val="24"/>
              </w:rPr>
              <w:t>super</w:t>
            </w:r>
            <w:proofErr w:type="spellEnd"/>
            <w:r w:rsidRPr="00D44520">
              <w:rPr>
                <w:rFonts w:ascii="Palatino Linotype" w:eastAsia="Palatino Linotype" w:hAnsi="Palatino Linotype" w:cs="Palatino Linotype"/>
                <w:sz w:val="24"/>
                <w:szCs w:val="24"/>
              </w:rPr>
              <w:t xml:space="preserve"> cumplidos del ejercicio fiscal 2024 y del ejercicio fiscal 2025, por la recaudación a principio de año.</w:t>
            </w:r>
          </w:p>
        </w:tc>
        <w:tc>
          <w:tcPr>
            <w:tcW w:w="2976" w:type="dxa"/>
          </w:tcPr>
          <w:p w14:paraId="7CFA3712" w14:textId="77777777" w:rsidR="005E1671" w:rsidRPr="00D44520" w:rsidRDefault="005E1671" w:rsidP="009E331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p>
        </w:tc>
      </w:tr>
      <w:tr w:rsidR="00523F82" w:rsidRPr="00D44520" w14:paraId="3FDEE645" w14:textId="77777777" w:rsidTr="002D2676">
        <w:tc>
          <w:tcPr>
            <w:cnfStyle w:val="001000000000" w:firstRow="0" w:lastRow="0" w:firstColumn="1" w:lastColumn="0" w:oddVBand="0" w:evenVBand="0" w:oddHBand="0" w:evenHBand="0" w:firstRowFirstColumn="0" w:firstRowLastColumn="0" w:lastRowFirstColumn="0" w:lastRowLastColumn="0"/>
            <w:tcW w:w="3402" w:type="dxa"/>
          </w:tcPr>
          <w:p w14:paraId="28EA600C" w14:textId="77777777" w:rsidR="00470783" w:rsidRPr="00D44520" w:rsidRDefault="00470783" w:rsidP="009E3316">
            <w:pPr>
              <w:spacing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1. versión pública del Contrato</w:t>
            </w:r>
          </w:p>
          <w:p w14:paraId="27B1EE03" w14:textId="5589F78B" w:rsidR="00470783" w:rsidRPr="00D44520" w:rsidRDefault="00470783" w:rsidP="009E3316">
            <w:pPr>
              <w:spacing w:line="360" w:lineRule="auto"/>
              <w:jc w:val="both"/>
              <w:rPr>
                <w:rFonts w:ascii="Palatino Linotype" w:eastAsia="Palatino Linotype" w:hAnsi="Palatino Linotype" w:cs="Palatino Linotype"/>
                <w:sz w:val="24"/>
                <w:szCs w:val="24"/>
              </w:rPr>
            </w:pPr>
          </w:p>
        </w:tc>
        <w:tc>
          <w:tcPr>
            <w:tcW w:w="2268" w:type="dxa"/>
          </w:tcPr>
          <w:p w14:paraId="7004A9D3" w14:textId="0552CC89" w:rsidR="00523F82" w:rsidRPr="00D44520" w:rsidRDefault="00ED2D8D" w:rsidP="00ED2D8D">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w:t>
            </w:r>
          </w:p>
        </w:tc>
        <w:tc>
          <w:tcPr>
            <w:tcW w:w="2976" w:type="dxa"/>
          </w:tcPr>
          <w:p w14:paraId="7DF40174" w14:textId="3CBBC886" w:rsidR="00523F82" w:rsidRPr="00D44520" w:rsidRDefault="002D2676" w:rsidP="009E331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NO COLMA</w:t>
            </w:r>
          </w:p>
        </w:tc>
      </w:tr>
      <w:tr w:rsidR="00523F82" w:rsidRPr="00D44520" w14:paraId="5E2A78E4" w14:textId="77777777" w:rsidTr="002D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534AA26" w14:textId="7B102236" w:rsidR="00523F82" w:rsidRPr="00D44520" w:rsidRDefault="00470783" w:rsidP="00711668">
            <w:pPr>
              <w:pStyle w:val="Prrafodelista"/>
              <w:numPr>
                <w:ilvl w:val="0"/>
                <w:numId w:val="4"/>
              </w:numPr>
              <w:spacing w:line="360" w:lineRule="auto"/>
              <w:ind w:left="2" w:hanging="9"/>
              <w:jc w:val="both"/>
              <w:rPr>
                <w:rFonts w:ascii="Palatino Linotype" w:eastAsia="Palatino Linotype" w:hAnsi="Palatino Linotype" w:cs="Palatino Linotype"/>
              </w:rPr>
            </w:pPr>
            <w:r w:rsidRPr="00D44520">
              <w:rPr>
                <w:rFonts w:ascii="Palatino Linotype" w:eastAsia="Palatino Linotype" w:hAnsi="Palatino Linotype" w:cs="Palatino Linotype"/>
              </w:rPr>
              <w:t>versión pública</w:t>
            </w:r>
            <w:r w:rsidR="00711668" w:rsidRPr="00D44520">
              <w:rPr>
                <w:rFonts w:ascii="Palatino Linotype" w:eastAsia="Palatino Linotype" w:hAnsi="Palatino Linotype" w:cs="Palatino Linotype"/>
              </w:rPr>
              <w:t xml:space="preserve"> de la Factura</w:t>
            </w:r>
          </w:p>
        </w:tc>
        <w:tc>
          <w:tcPr>
            <w:tcW w:w="2268" w:type="dxa"/>
          </w:tcPr>
          <w:p w14:paraId="30705FC7" w14:textId="28179E87" w:rsidR="00523F82" w:rsidRPr="00D44520" w:rsidRDefault="00ED2D8D" w:rsidP="009E331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            -       -</w:t>
            </w:r>
          </w:p>
        </w:tc>
        <w:tc>
          <w:tcPr>
            <w:tcW w:w="2976" w:type="dxa"/>
          </w:tcPr>
          <w:p w14:paraId="62172551" w14:textId="2CAFB075" w:rsidR="00523F82" w:rsidRPr="00D44520" w:rsidRDefault="002D2676" w:rsidP="009E331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NO COLMA</w:t>
            </w:r>
          </w:p>
        </w:tc>
      </w:tr>
      <w:tr w:rsidR="00523F82" w:rsidRPr="00D44520" w14:paraId="275D0C45" w14:textId="77777777" w:rsidTr="002D2676">
        <w:tc>
          <w:tcPr>
            <w:cnfStyle w:val="001000000000" w:firstRow="0" w:lastRow="0" w:firstColumn="1" w:lastColumn="0" w:oddVBand="0" w:evenVBand="0" w:oddHBand="0" w:evenHBand="0" w:firstRowFirstColumn="0" w:firstRowLastColumn="0" w:lastRowFirstColumn="0" w:lastRowLastColumn="0"/>
            <w:tcW w:w="3402" w:type="dxa"/>
          </w:tcPr>
          <w:p w14:paraId="1E6CACB4" w14:textId="1EA9C4A9" w:rsidR="00523F82" w:rsidRPr="00D44520" w:rsidRDefault="00711668" w:rsidP="00711668">
            <w:pPr>
              <w:pStyle w:val="Prrafodelista"/>
              <w:numPr>
                <w:ilvl w:val="0"/>
                <w:numId w:val="4"/>
              </w:numPr>
              <w:spacing w:line="360" w:lineRule="auto"/>
              <w:ind w:left="2" w:hanging="9"/>
              <w:jc w:val="both"/>
              <w:rPr>
                <w:rFonts w:ascii="Palatino Linotype" w:eastAsia="Palatino Linotype" w:hAnsi="Palatino Linotype" w:cs="Palatino Linotype"/>
              </w:rPr>
            </w:pPr>
            <w:r w:rsidRPr="00D44520">
              <w:rPr>
                <w:rFonts w:ascii="Palatino Linotype" w:eastAsia="Palatino Linotype" w:hAnsi="Palatino Linotype" w:cs="Palatino Linotype"/>
              </w:rPr>
              <w:t>Evidencia fotográfica</w:t>
            </w:r>
          </w:p>
        </w:tc>
        <w:tc>
          <w:tcPr>
            <w:tcW w:w="2268" w:type="dxa"/>
          </w:tcPr>
          <w:p w14:paraId="4A2A421E" w14:textId="3E60F5BA" w:rsidR="00523F82" w:rsidRPr="00D44520" w:rsidRDefault="00EF570C" w:rsidP="009E331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Proporciona evidencia del año 2024, en el cuales le hizo entrega a particulares de un obsequi</w:t>
            </w:r>
            <w:r w:rsidR="001F63E5" w:rsidRPr="00D44520">
              <w:rPr>
                <w:rFonts w:ascii="Palatino Linotype" w:eastAsia="Palatino Linotype" w:hAnsi="Palatino Linotype" w:cs="Palatino Linotype"/>
                <w:sz w:val="24"/>
                <w:szCs w:val="24"/>
              </w:rPr>
              <w:t>o</w:t>
            </w:r>
            <w:r w:rsidRPr="00D44520">
              <w:rPr>
                <w:rFonts w:ascii="Palatino Linotype" w:eastAsia="Palatino Linotype" w:hAnsi="Palatino Linotype" w:cs="Palatino Linotype"/>
                <w:sz w:val="24"/>
                <w:szCs w:val="24"/>
              </w:rPr>
              <w:t xml:space="preserve"> por </w:t>
            </w:r>
            <w:r w:rsidR="001F63E5" w:rsidRPr="00D44520">
              <w:rPr>
                <w:rFonts w:ascii="Palatino Linotype" w:eastAsia="Palatino Linotype" w:hAnsi="Palatino Linotype" w:cs="Palatino Linotype"/>
                <w:sz w:val="24"/>
                <w:szCs w:val="24"/>
              </w:rPr>
              <w:t xml:space="preserve">ser usuario </w:t>
            </w:r>
            <w:proofErr w:type="spellStart"/>
            <w:r w:rsidR="001F63E5" w:rsidRPr="00D44520">
              <w:rPr>
                <w:rFonts w:ascii="Palatino Linotype" w:eastAsia="Palatino Linotype" w:hAnsi="Palatino Linotype" w:cs="Palatino Linotype"/>
                <w:sz w:val="24"/>
                <w:szCs w:val="24"/>
              </w:rPr>
              <w:t>super</w:t>
            </w:r>
            <w:proofErr w:type="spellEnd"/>
            <w:r w:rsidR="001F63E5" w:rsidRPr="00D44520">
              <w:rPr>
                <w:rFonts w:ascii="Palatino Linotype" w:eastAsia="Palatino Linotype" w:hAnsi="Palatino Linotype" w:cs="Palatino Linotype"/>
                <w:sz w:val="24"/>
                <w:szCs w:val="24"/>
              </w:rPr>
              <w:t xml:space="preserve"> cumplido.</w:t>
            </w:r>
          </w:p>
        </w:tc>
        <w:tc>
          <w:tcPr>
            <w:tcW w:w="2976" w:type="dxa"/>
          </w:tcPr>
          <w:p w14:paraId="4C581BF1" w14:textId="77777777" w:rsidR="00523F82" w:rsidRPr="00D44520" w:rsidRDefault="001F63E5" w:rsidP="009E331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PARCIAL</w:t>
            </w:r>
          </w:p>
          <w:p w14:paraId="5E2C4B78" w14:textId="4C1075C4" w:rsidR="001F63E5" w:rsidRPr="00D44520" w:rsidRDefault="001F63E5" w:rsidP="009E331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Toda vez que se hizo llegar la</w:t>
            </w:r>
            <w:r w:rsidR="002D2676" w:rsidRPr="00D44520">
              <w:rPr>
                <w:rFonts w:ascii="Palatino Linotype" w:eastAsia="Palatino Linotype" w:hAnsi="Palatino Linotype" w:cs="Palatino Linotype"/>
                <w:sz w:val="24"/>
                <w:szCs w:val="24"/>
              </w:rPr>
              <w:t>s</w:t>
            </w:r>
            <w:r w:rsidRPr="00D44520">
              <w:rPr>
                <w:rFonts w:ascii="Palatino Linotype" w:eastAsia="Palatino Linotype" w:hAnsi="Palatino Linotype" w:cs="Palatino Linotype"/>
                <w:sz w:val="24"/>
                <w:szCs w:val="24"/>
              </w:rPr>
              <w:t xml:space="preserve"> respectivas evidencias fotográficas del año 2024</w:t>
            </w:r>
            <w:r w:rsidR="002D2676" w:rsidRPr="00D44520">
              <w:rPr>
                <w:rFonts w:ascii="Palatino Linotype" w:eastAsia="Palatino Linotype" w:hAnsi="Palatino Linotype" w:cs="Palatino Linotype"/>
                <w:sz w:val="24"/>
                <w:szCs w:val="24"/>
              </w:rPr>
              <w:t>;</w:t>
            </w:r>
            <w:r w:rsidRPr="00D44520">
              <w:rPr>
                <w:rFonts w:ascii="Palatino Linotype" w:eastAsia="Palatino Linotype" w:hAnsi="Palatino Linotype" w:cs="Palatino Linotype"/>
                <w:sz w:val="24"/>
                <w:szCs w:val="24"/>
              </w:rPr>
              <w:t xml:space="preserve"> y del 2025, </w:t>
            </w:r>
            <w:r w:rsidR="007B79CF" w:rsidRPr="00D44520">
              <w:rPr>
                <w:rFonts w:ascii="Palatino Linotype" w:eastAsia="Palatino Linotype" w:hAnsi="Palatino Linotype" w:cs="Palatino Linotype"/>
                <w:sz w:val="24"/>
                <w:szCs w:val="24"/>
              </w:rPr>
              <w:t>a través</w:t>
            </w:r>
            <w:r w:rsidR="00B53E06" w:rsidRPr="00D44520">
              <w:rPr>
                <w:rFonts w:ascii="Palatino Linotype" w:eastAsia="Palatino Linotype" w:hAnsi="Palatino Linotype" w:cs="Palatino Linotype"/>
                <w:sz w:val="24"/>
                <w:szCs w:val="24"/>
              </w:rPr>
              <w:t xml:space="preserve"> post de red social con </w:t>
            </w:r>
            <w:r w:rsidR="007B79CF" w:rsidRPr="00D44520">
              <w:rPr>
                <w:rFonts w:ascii="Palatino Linotype" w:eastAsia="Palatino Linotype" w:hAnsi="Palatino Linotype" w:cs="Palatino Linotype"/>
                <w:sz w:val="24"/>
                <w:szCs w:val="24"/>
              </w:rPr>
              <w:t>fecha 09 de enero de ese mismo año.</w:t>
            </w:r>
          </w:p>
          <w:p w14:paraId="523752BD" w14:textId="73B705E0" w:rsidR="001F63E5" w:rsidRPr="00D44520" w:rsidRDefault="001F63E5" w:rsidP="001F63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lastRenderedPageBreak/>
              <w:t>Además a pesar de que se encuentran difuminados los rostros de los particulares, no hace entrega del Acta del Comité de Transparencia, por el que se aprueba la clasificación.</w:t>
            </w:r>
          </w:p>
        </w:tc>
      </w:tr>
    </w:tbl>
    <w:p w14:paraId="6EAAB8F2" w14:textId="77777777" w:rsidR="001B089D" w:rsidRPr="00D44520" w:rsidRDefault="001B089D" w:rsidP="009E3316">
      <w:pPr>
        <w:spacing w:after="0" w:line="360" w:lineRule="auto"/>
        <w:jc w:val="both"/>
        <w:rPr>
          <w:rFonts w:ascii="Palatino Linotype" w:eastAsia="Palatino Linotype" w:hAnsi="Palatino Linotype" w:cs="Palatino Linotype"/>
          <w:sz w:val="24"/>
          <w:szCs w:val="24"/>
        </w:rPr>
      </w:pPr>
    </w:p>
    <w:p w14:paraId="3A6CA8C7" w14:textId="66BE71D7" w:rsidR="00147C81" w:rsidRPr="00D44520" w:rsidRDefault="0006589A" w:rsidP="00147C81">
      <w:pPr>
        <w:spacing w:line="360" w:lineRule="auto"/>
        <w:jc w:val="both"/>
        <w:rPr>
          <w:rFonts w:ascii="Palatino Linotype" w:eastAsiaTheme="minorHAnsi" w:hAnsi="Palatino Linotype" w:cs="Arial"/>
          <w:sz w:val="24"/>
          <w:szCs w:val="24"/>
          <w:lang w:eastAsia="en-US"/>
        </w:rPr>
      </w:pPr>
      <w:r w:rsidRPr="00D44520">
        <w:rPr>
          <w:rFonts w:ascii="Palatino Linotype" w:eastAsia="Palatino Linotype" w:hAnsi="Palatino Linotype" w:cs="Palatino Linotype"/>
          <w:sz w:val="24"/>
          <w:szCs w:val="24"/>
        </w:rPr>
        <w:t xml:space="preserve">Al respecto de la información solicitada es de señalar que </w:t>
      </w:r>
      <w:r w:rsidR="00D16818" w:rsidRPr="00D44520">
        <w:rPr>
          <w:rFonts w:ascii="Palatino Linotype" w:eastAsiaTheme="minorHAnsi" w:hAnsi="Palatino Linotype" w:cs="Arial"/>
          <w:bCs/>
          <w:iCs/>
          <w:sz w:val="24"/>
          <w:szCs w:val="24"/>
          <w:lang w:eastAsia="en-US"/>
        </w:rPr>
        <w:t>c</w:t>
      </w:r>
      <w:r w:rsidR="00147C81" w:rsidRPr="00D44520">
        <w:rPr>
          <w:rFonts w:ascii="Palatino Linotype" w:eastAsiaTheme="minorHAnsi" w:hAnsi="Palatino Linotype" w:cs="Arial"/>
          <w:bCs/>
          <w:iCs/>
          <w:sz w:val="24"/>
          <w:szCs w:val="24"/>
          <w:lang w:eastAsia="en-US"/>
        </w:rPr>
        <w:t xml:space="preserve">orrelativo a las </w:t>
      </w:r>
      <w:r w:rsidR="00147C81" w:rsidRPr="00D44520">
        <w:rPr>
          <w:rFonts w:ascii="Palatino Linotype" w:eastAsiaTheme="minorHAnsi" w:hAnsi="Palatino Linotype" w:cs="Arial"/>
          <w:b/>
          <w:bCs/>
          <w:iCs/>
          <w:sz w:val="24"/>
          <w:szCs w:val="24"/>
          <w:u w:val="thick"/>
          <w:lang w:eastAsia="en-US"/>
        </w:rPr>
        <w:t>facturas</w:t>
      </w:r>
      <w:r w:rsidR="00147C81" w:rsidRPr="00D44520">
        <w:rPr>
          <w:rFonts w:ascii="Palatino Linotype" w:eastAsiaTheme="minorHAnsi" w:hAnsi="Palatino Linotype" w:cs="Arial"/>
          <w:iCs/>
          <w:sz w:val="24"/>
          <w:szCs w:val="24"/>
          <w:lang w:eastAsia="en-US"/>
        </w:rPr>
        <w:t xml:space="preserve">, </w:t>
      </w:r>
      <w:r w:rsidR="00147C81" w:rsidRPr="00D44520">
        <w:rPr>
          <w:rFonts w:ascii="Palatino Linotype" w:eastAsiaTheme="minorHAnsi" w:hAnsi="Palatino Linotype" w:cstheme="minorBidi"/>
          <w:sz w:val="24"/>
          <w:lang w:val="es-ES_tradnl" w:eastAsia="en-US"/>
        </w:rPr>
        <w:t>e</w:t>
      </w:r>
      <w:r w:rsidR="00147C81" w:rsidRPr="00D44520">
        <w:rPr>
          <w:rFonts w:ascii="Palatino Linotype" w:eastAsia="Palatino Linotype" w:hAnsi="Palatino Linotype" w:cs="Palatino Linotype"/>
          <w:sz w:val="24"/>
          <w:szCs w:val="24"/>
          <w:lang w:val="es-ES"/>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7593B122" w14:textId="77777777" w:rsidR="00147C81" w:rsidRPr="00D44520" w:rsidRDefault="00147C81" w:rsidP="00147C81">
      <w:pPr>
        <w:spacing w:after="0" w:line="240" w:lineRule="auto"/>
        <w:rPr>
          <w:rFonts w:asciiTheme="minorHAnsi" w:eastAsiaTheme="minorHAnsi" w:hAnsiTheme="minorHAnsi" w:cstheme="minorBidi"/>
          <w:lang w:val="es-ES"/>
        </w:rPr>
      </w:pPr>
    </w:p>
    <w:p w14:paraId="3DFF5332"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w:t>
      </w:r>
      <w:r w:rsidRPr="00D44520">
        <w:rPr>
          <w:rFonts w:ascii="Palatino Linotype" w:eastAsia="Palatino Linotype" w:hAnsi="Palatino Linotype" w:cs="Palatino Linotype"/>
          <w:b/>
          <w:i/>
          <w:lang w:val="es-ES"/>
        </w:rPr>
        <w:t>Artículo 342.-</w:t>
      </w:r>
      <w:r w:rsidRPr="00D44520">
        <w:rPr>
          <w:rFonts w:ascii="Palatino Linotype" w:eastAsia="Palatino Linotype" w:hAnsi="Palatino Linotype" w:cs="Palatino Linotype"/>
          <w:i/>
          <w:lang w:val="es-ES"/>
        </w:rPr>
        <w:t xml:space="preserve"> El registro contable del efecto patrimonial y presupuestal de las operaciones financieras, se realizará conforme al sistema y a las disposiciones que se aprueben en materia de planeación, programación, </w:t>
      </w:r>
      <w:proofErr w:type="spellStart"/>
      <w:r w:rsidRPr="00D44520">
        <w:rPr>
          <w:rFonts w:ascii="Palatino Linotype" w:eastAsia="Palatino Linotype" w:hAnsi="Palatino Linotype" w:cs="Palatino Linotype"/>
          <w:i/>
          <w:lang w:val="es-ES"/>
        </w:rPr>
        <w:t>presupuestación</w:t>
      </w:r>
      <w:proofErr w:type="spellEnd"/>
      <w:r w:rsidRPr="00D44520">
        <w:rPr>
          <w:rFonts w:ascii="Palatino Linotype" w:eastAsia="Palatino Linotype" w:hAnsi="Palatino Linotype" w:cs="Palatino Linotype"/>
          <w:i/>
          <w:lang w:val="es-ES"/>
        </w:rPr>
        <w:t>, evaluación y contabilidad gubernamental.</w:t>
      </w:r>
    </w:p>
    <w:p w14:paraId="07278A19"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p>
    <w:p w14:paraId="12E987E6"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b/>
          <w:i/>
          <w:lang w:val="es-ES"/>
        </w:rPr>
        <w:t>En el caso de los municipios,</w:t>
      </w:r>
      <w:r w:rsidRPr="00D44520">
        <w:rPr>
          <w:rFonts w:ascii="Palatino Linotype" w:eastAsia="Palatino Linotype" w:hAnsi="Palatino Linotype" w:cs="Palatino Linotype"/>
          <w:i/>
          <w:lang w:val="es-ES"/>
        </w:rPr>
        <w:t xml:space="preserve"> el registro a que se refiere el párrafo anterior, se realizará conforme al sistema y a las disposiciones en materia de </w:t>
      </w:r>
      <w:r w:rsidRPr="00D44520">
        <w:rPr>
          <w:rFonts w:ascii="Palatino Linotype" w:eastAsia="Palatino Linotype" w:hAnsi="Palatino Linotype" w:cs="Palatino Linotype"/>
          <w:b/>
          <w:i/>
          <w:lang w:val="es-ES"/>
        </w:rPr>
        <w:t xml:space="preserve">planeación, programación, </w:t>
      </w:r>
      <w:proofErr w:type="spellStart"/>
      <w:r w:rsidRPr="00D44520">
        <w:rPr>
          <w:rFonts w:ascii="Palatino Linotype" w:eastAsia="Palatino Linotype" w:hAnsi="Palatino Linotype" w:cs="Palatino Linotype"/>
          <w:b/>
          <w:i/>
          <w:lang w:val="es-ES"/>
        </w:rPr>
        <w:t>presupuestación</w:t>
      </w:r>
      <w:proofErr w:type="spellEnd"/>
      <w:r w:rsidRPr="00D44520">
        <w:rPr>
          <w:rFonts w:ascii="Palatino Linotype" w:eastAsia="Palatino Linotype" w:hAnsi="Palatino Linotype" w:cs="Palatino Linotype"/>
          <w:b/>
          <w:i/>
          <w:lang w:val="es-ES"/>
        </w:rPr>
        <w:t>, evaluación y contabilidad gubernamental</w:t>
      </w:r>
      <w:r w:rsidRPr="00D44520">
        <w:rPr>
          <w:rFonts w:ascii="Palatino Linotype" w:eastAsia="Palatino Linotype" w:hAnsi="Palatino Linotype" w:cs="Palatino Linotype"/>
          <w:i/>
          <w:lang w:val="es-ES"/>
        </w:rPr>
        <w:t>, que se aprueben en el marco del Sistema de Coordinación Hacendaria del Estado de México.</w:t>
      </w:r>
    </w:p>
    <w:p w14:paraId="240F397B"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b/>
          <w:i/>
          <w:lang w:val="es-ES"/>
        </w:rPr>
      </w:pPr>
    </w:p>
    <w:p w14:paraId="771CDCA0"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b/>
          <w:i/>
          <w:lang w:val="es-ES"/>
        </w:rPr>
        <w:t>Artículo 343.-</w:t>
      </w:r>
      <w:r w:rsidRPr="00D44520">
        <w:rPr>
          <w:rFonts w:ascii="Palatino Linotype" w:eastAsia="Palatino Linotype" w:hAnsi="Palatino Linotype" w:cs="Palatino Linotype"/>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948E821"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lastRenderedPageBreak/>
        <w:t>El sistema de contabilidad sobre base acumulativa total, se sustentará en las normas emitidas por el Consejo Nacional de Armonización Contable.</w:t>
      </w:r>
    </w:p>
    <w:p w14:paraId="6CFDF328"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b/>
          <w:i/>
          <w:lang w:val="es-ES"/>
        </w:rPr>
      </w:pPr>
    </w:p>
    <w:p w14:paraId="65663612"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b/>
          <w:i/>
          <w:lang w:val="es-ES"/>
        </w:rPr>
        <w:t xml:space="preserve">Artículo 344.- </w:t>
      </w:r>
      <w:r w:rsidRPr="00D44520">
        <w:rPr>
          <w:rFonts w:ascii="Palatino Linotype" w:eastAsia="Palatino Linotype" w:hAnsi="Palatino Linotype" w:cs="Palatino Linotype"/>
          <w:i/>
          <w:lang w:val="es-ES"/>
        </w:rPr>
        <w:t xml:space="preserve">Los Entes Públicos, a través de cualquiera de sus unidades administrativas, de acuerdo con su naturaleza jurídica y según corresponda, </w:t>
      </w:r>
      <w:r w:rsidRPr="00D44520">
        <w:rPr>
          <w:rFonts w:ascii="Palatino Linotype" w:eastAsia="Palatino Linotype" w:hAnsi="Palatino Linotype" w:cs="Palatino Linotype"/>
          <w:i/>
          <w:u w:val="single"/>
          <w:lang w:val="es-ES"/>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D44520">
        <w:rPr>
          <w:rFonts w:ascii="Palatino Linotype" w:eastAsia="Palatino Linotype" w:hAnsi="Palatino Linotype" w:cs="Palatino Linotype"/>
          <w:i/>
          <w:lang w:val="es-ES"/>
        </w:rPr>
        <w:t>.</w:t>
      </w:r>
    </w:p>
    <w:p w14:paraId="1D354A26"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b/>
          <w:i/>
          <w:lang w:val="es-ES"/>
        </w:rPr>
      </w:pPr>
    </w:p>
    <w:p w14:paraId="206A6614"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b/>
          <w:i/>
          <w:lang w:val="es-ES"/>
        </w:rPr>
      </w:pPr>
      <w:r w:rsidRPr="00D44520">
        <w:rPr>
          <w:rFonts w:ascii="Palatino Linotype" w:eastAsia="Palatino Linotype" w:hAnsi="Palatino Linotype" w:cs="Palatino Linotype"/>
          <w:b/>
          <w:i/>
          <w:lang w:val="es-ES"/>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D44520">
        <w:rPr>
          <w:rFonts w:ascii="Palatino Linotype" w:eastAsia="Palatino Linotype" w:hAnsi="Palatino Linotype" w:cs="Palatino Linotype"/>
          <w:i/>
          <w:lang w:val="es-ES"/>
        </w:rPr>
        <w:t xml:space="preserve">según corresponda, así como de los órganos internos de control, </w:t>
      </w:r>
      <w:r w:rsidRPr="00D44520">
        <w:rPr>
          <w:rFonts w:ascii="Palatino Linotype" w:eastAsia="Palatino Linotype" w:hAnsi="Palatino Linotype" w:cs="Palatino Linotype"/>
          <w:b/>
          <w:i/>
          <w:lang w:val="es-ES"/>
        </w:rPr>
        <w:t>por un término de cinco años,</w:t>
      </w:r>
      <w:r w:rsidRPr="00D44520">
        <w:rPr>
          <w:rFonts w:ascii="Palatino Linotype" w:eastAsia="Palatino Linotype" w:hAnsi="Palatino Linotype" w:cs="Palatino Linotype"/>
          <w:i/>
          <w:lang w:val="es-ES"/>
        </w:rPr>
        <w:t xml:space="preserve"> contados a partir del ejercicio presupuestal siguiente al que corresponda,</w:t>
      </w:r>
      <w:r w:rsidRPr="00D44520">
        <w:rPr>
          <w:rFonts w:ascii="Palatino Linotype" w:eastAsia="Palatino Linotype" w:hAnsi="Palatino Linotype" w:cs="Palatino Linotype"/>
          <w:b/>
          <w:i/>
          <w:lang w:val="es-ES"/>
        </w:rPr>
        <w:t xml:space="preserve"> en el caso de los Municipios, dicha obligación corresponderá a la Tesorería.</w:t>
      </w:r>
    </w:p>
    <w:p w14:paraId="2CDAD1AD"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p>
    <w:p w14:paraId="61AAAD77"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Tratándose de documentos de carácter histórico, se estará a lo dispuesto por la legislación de la materia.</w:t>
      </w:r>
    </w:p>
    <w:p w14:paraId="6BCDA357"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w:t>
      </w:r>
    </w:p>
    <w:p w14:paraId="4B003D23"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b/>
          <w:i/>
          <w:lang w:val="es-ES"/>
        </w:rPr>
        <w:t>Artículo 345.-</w:t>
      </w:r>
      <w:r w:rsidRPr="00D44520">
        <w:rPr>
          <w:rFonts w:ascii="Palatino Linotype" w:eastAsia="Palatino Linotype" w:hAnsi="Palatino Linotype" w:cs="Palatino Linotype"/>
          <w:i/>
          <w:lang w:val="es-ES"/>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D44520">
        <w:rPr>
          <w:rFonts w:ascii="Palatino Linotype" w:eastAsia="Palatino Linotype" w:hAnsi="Palatino Linotype" w:cs="Palatino Linotype"/>
          <w:i/>
          <w:u w:val="single"/>
          <w:lang w:val="es-ES"/>
        </w:rPr>
        <w:t>Tratándose de los comprobantes fiscales digitales, estos deberán estar agregados en forma electrónica a cada póliza de registro contable</w:t>
      </w:r>
      <w:r w:rsidRPr="00D44520">
        <w:rPr>
          <w:rFonts w:ascii="Palatino Linotype" w:eastAsia="Palatino Linotype" w:hAnsi="Palatino Linotype" w:cs="Palatino Linotype"/>
          <w:i/>
          <w:lang w:val="es-ES"/>
        </w:rPr>
        <w:t>.</w:t>
      </w:r>
    </w:p>
    <w:p w14:paraId="63363D5B"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p>
    <w:p w14:paraId="32DCBD80"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D44520">
        <w:rPr>
          <w:rFonts w:ascii="Palatino Linotype" w:eastAsia="Palatino Linotype" w:hAnsi="Palatino Linotype" w:cs="Palatino Linotype"/>
          <w:b/>
          <w:i/>
          <w:lang w:val="es-ES"/>
        </w:rPr>
        <w:t>deberán estar agregados en forma electrónica a cada póliza de registro contable</w:t>
      </w:r>
      <w:r w:rsidRPr="00D44520">
        <w:rPr>
          <w:rFonts w:ascii="Palatino Linotype" w:eastAsia="Palatino Linotype" w:hAnsi="Palatino Linotype" w:cs="Palatino Linotype"/>
          <w:i/>
          <w:lang w:val="es-ES"/>
        </w:rPr>
        <w:t>.</w:t>
      </w:r>
    </w:p>
    <w:p w14:paraId="595EB17D"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i/>
          <w:lang w:val="es-ES"/>
        </w:rPr>
      </w:pPr>
    </w:p>
    <w:p w14:paraId="20CBE805" w14:textId="77777777" w:rsidR="00147C81" w:rsidRPr="00D44520" w:rsidRDefault="00147C81" w:rsidP="00147C81">
      <w:pPr>
        <w:spacing w:after="0" w:line="240" w:lineRule="auto"/>
        <w:ind w:left="567" w:right="567"/>
        <w:jc w:val="both"/>
        <w:rPr>
          <w:rFonts w:ascii="Palatino Linotype" w:eastAsia="Palatino Linotype" w:hAnsi="Palatino Linotype" w:cs="Palatino Linotype"/>
          <w:b/>
          <w:i/>
          <w:lang w:val="es-ES"/>
        </w:rPr>
      </w:pPr>
      <w:r w:rsidRPr="00D44520">
        <w:rPr>
          <w:rFonts w:ascii="Palatino Linotype" w:eastAsia="Palatino Linotype" w:hAnsi="Palatino Linotype" w:cs="Palatino Linotype"/>
          <w:i/>
          <w:lang w:val="es-ES"/>
        </w:rPr>
        <w:t>El plazo señalado en este artículo empezará a contar a partir de la publicación en el Periódico Oficial, del decreto correspondiente.”</w:t>
      </w:r>
    </w:p>
    <w:p w14:paraId="4990D8F7"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54E04AB4"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lastRenderedPageBreak/>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D44520">
        <w:rPr>
          <w:rFonts w:ascii="Palatino Linotype" w:eastAsia="Palatino Linotype" w:hAnsi="Palatino Linotype" w:cs="Palatino Linotype"/>
          <w:sz w:val="24"/>
          <w:szCs w:val="24"/>
          <w:lang w:val="es-ES"/>
        </w:rPr>
        <w:t>presupuestación</w:t>
      </w:r>
      <w:proofErr w:type="spellEnd"/>
      <w:r w:rsidRPr="00D44520">
        <w:rPr>
          <w:rFonts w:ascii="Palatino Linotype" w:eastAsia="Palatino Linotype" w:hAnsi="Palatino Linotype" w:cs="Palatino Linotype"/>
          <w:sz w:val="24"/>
          <w:szCs w:val="24"/>
          <w:lang w:val="es-ES"/>
        </w:rPr>
        <w:t>, evaluación y contabilidad gubernamental.</w:t>
      </w:r>
    </w:p>
    <w:p w14:paraId="3B9EC677"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55308C5C"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D44520">
        <w:rPr>
          <w:rFonts w:ascii="Palatino Linotype" w:eastAsia="Palatino Linotype" w:hAnsi="Palatino Linotype" w:cs="Palatino Linotype"/>
          <w:sz w:val="24"/>
          <w:szCs w:val="24"/>
          <w:lang w:val="es-ES"/>
        </w:rPr>
        <w:t>Presupuestación</w:t>
      </w:r>
      <w:proofErr w:type="spellEnd"/>
      <w:r w:rsidRPr="00D44520">
        <w:rPr>
          <w:rFonts w:ascii="Palatino Linotype" w:eastAsia="Palatino Linotype" w:hAnsi="Palatino Linotype" w:cs="Palatino Linotype"/>
          <w:sz w:val="24"/>
          <w:szCs w:val="24"/>
          <w:lang w:val="es-ES"/>
        </w:rPr>
        <w:t xml:space="preserve"> y Evaluación en la Administración Pública”</w:t>
      </w:r>
      <w:r w:rsidRPr="00D44520">
        <w:rPr>
          <w:rFonts w:ascii="Palatino Linotype" w:eastAsia="Palatino Linotype" w:hAnsi="Palatino Linotype" w:cs="Palatino Linotype"/>
          <w:sz w:val="24"/>
          <w:szCs w:val="24"/>
          <w:vertAlign w:val="superscript"/>
          <w:lang w:val="es-ES"/>
        </w:rPr>
        <w:footnoteReference w:id="1"/>
      </w:r>
      <w:r w:rsidRPr="00D44520">
        <w:rPr>
          <w:rFonts w:ascii="Palatino Linotype" w:eastAsia="Palatino Linotype" w:hAnsi="Palatino Linotype" w:cs="Palatino Linotype"/>
          <w:sz w:val="24"/>
          <w:szCs w:val="24"/>
          <w:lang w:val="es-ES"/>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2858A0D"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180DEC64" w14:textId="77777777" w:rsidR="00147C81" w:rsidRPr="00D44520" w:rsidRDefault="00147C81" w:rsidP="00147C81">
      <w:pPr>
        <w:spacing w:after="0" w:line="240" w:lineRule="auto"/>
        <w:ind w:left="567" w:right="616" w:hanging="9"/>
        <w:jc w:val="both"/>
        <w:rPr>
          <w:rFonts w:ascii="Palatino Linotype" w:eastAsia="Palatino Linotype" w:hAnsi="Palatino Linotype" w:cs="Palatino Linotype"/>
          <w:b/>
          <w:i/>
          <w:lang w:val="es-ES"/>
        </w:rPr>
      </w:pPr>
      <w:r w:rsidRPr="00D44520">
        <w:rPr>
          <w:rFonts w:ascii="Palatino Linotype" w:eastAsia="Palatino Linotype" w:hAnsi="Palatino Linotype" w:cs="Palatino Linotype"/>
          <w:b/>
          <w:i/>
          <w:lang w:val="es-ES"/>
        </w:rPr>
        <w:t>“REGISTRO CONTABLE</w:t>
      </w:r>
    </w:p>
    <w:p w14:paraId="69327FBC" w14:textId="77777777" w:rsidR="00147C81" w:rsidRPr="00D44520" w:rsidRDefault="00147C81" w:rsidP="00147C81">
      <w:pPr>
        <w:spacing w:after="0" w:line="240" w:lineRule="auto"/>
        <w:ind w:left="567" w:right="616" w:hanging="9"/>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Asiento que se realiza en los libros de contabilidad de las actividades relacionadas con el ingreso y egresos de un ente económico.”</w:t>
      </w:r>
    </w:p>
    <w:p w14:paraId="515B2D1B" w14:textId="77777777" w:rsidR="00147C81" w:rsidRPr="00D44520" w:rsidRDefault="00147C81" w:rsidP="00147C81">
      <w:pPr>
        <w:spacing w:after="0" w:line="240" w:lineRule="auto"/>
        <w:ind w:right="616"/>
        <w:jc w:val="both"/>
        <w:rPr>
          <w:rFonts w:ascii="Palatino Linotype" w:eastAsia="Palatino Linotype" w:hAnsi="Palatino Linotype" w:cs="Palatino Linotype"/>
          <w:b/>
          <w:i/>
          <w:lang w:val="es-ES"/>
        </w:rPr>
      </w:pPr>
    </w:p>
    <w:p w14:paraId="31DE4E89" w14:textId="77777777" w:rsidR="00147C81" w:rsidRPr="00D44520" w:rsidRDefault="00147C81" w:rsidP="00147C81">
      <w:pPr>
        <w:spacing w:after="0" w:line="240" w:lineRule="auto"/>
        <w:ind w:left="567" w:right="616" w:hanging="9"/>
        <w:jc w:val="both"/>
        <w:rPr>
          <w:rFonts w:ascii="Palatino Linotype" w:eastAsia="Palatino Linotype" w:hAnsi="Palatino Linotype" w:cs="Palatino Linotype"/>
          <w:b/>
          <w:i/>
          <w:lang w:val="es-ES"/>
        </w:rPr>
      </w:pPr>
      <w:r w:rsidRPr="00D44520">
        <w:rPr>
          <w:rFonts w:ascii="Palatino Linotype" w:eastAsia="Palatino Linotype" w:hAnsi="Palatino Linotype" w:cs="Palatino Linotype"/>
          <w:b/>
          <w:i/>
          <w:lang w:val="es-ES"/>
        </w:rPr>
        <w:t>“REGISTRO PRESUPUESTARIO</w:t>
      </w:r>
    </w:p>
    <w:p w14:paraId="38779C8F" w14:textId="77777777" w:rsidR="00147C81" w:rsidRPr="00D44520" w:rsidRDefault="00147C81" w:rsidP="00147C81">
      <w:pPr>
        <w:spacing w:after="0" w:line="240" w:lineRule="auto"/>
        <w:ind w:left="567" w:right="616" w:hanging="9"/>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lastRenderedPageBreak/>
        <w:t>Asiento contable de las erogaciones realizadas por las dependencias y entidades con relación a la asignación, modificación y ejercicio de los recursos presupuestarios que se les hayan autorizado.”</w:t>
      </w:r>
    </w:p>
    <w:p w14:paraId="5FBDFC07" w14:textId="77777777" w:rsidR="00147C81" w:rsidRPr="00D44520" w:rsidRDefault="00147C81" w:rsidP="00147C81">
      <w:pPr>
        <w:spacing w:after="0" w:line="360" w:lineRule="auto"/>
        <w:ind w:right="51"/>
        <w:jc w:val="both"/>
        <w:rPr>
          <w:rFonts w:ascii="Palatino Linotype" w:eastAsia="Palatino Linotype" w:hAnsi="Palatino Linotype" w:cs="Palatino Linotype"/>
          <w:sz w:val="24"/>
          <w:szCs w:val="24"/>
          <w:lang w:val="es-ES"/>
        </w:rPr>
      </w:pPr>
    </w:p>
    <w:p w14:paraId="167A8FD5" w14:textId="77777777" w:rsidR="00147C81" w:rsidRPr="00D44520" w:rsidRDefault="00147C81" w:rsidP="00147C81">
      <w:pPr>
        <w:spacing w:after="0" w:line="360" w:lineRule="auto"/>
        <w:ind w:right="51"/>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76EC9872" w14:textId="77777777" w:rsidR="00147C81" w:rsidRPr="00D44520" w:rsidRDefault="00147C81" w:rsidP="00147C81">
      <w:pPr>
        <w:spacing w:after="0" w:line="360" w:lineRule="auto"/>
        <w:ind w:right="51"/>
        <w:jc w:val="both"/>
        <w:rPr>
          <w:rFonts w:ascii="Palatino Linotype" w:eastAsia="Palatino Linotype" w:hAnsi="Palatino Linotype" w:cs="Palatino Linotype"/>
          <w:sz w:val="24"/>
          <w:szCs w:val="24"/>
          <w:lang w:val="es-ES"/>
        </w:rPr>
      </w:pPr>
    </w:p>
    <w:p w14:paraId="6DA144D9"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EDB275A"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18817E8A"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 xml:space="preserve">Correlativo a lo anterior, es preciso referir una definición de </w:t>
      </w:r>
      <w:r w:rsidRPr="00D44520">
        <w:rPr>
          <w:rFonts w:ascii="Palatino Linotype" w:eastAsia="Palatino Linotype" w:hAnsi="Palatino Linotype" w:cs="Palatino Linotype"/>
          <w:i/>
          <w:sz w:val="24"/>
          <w:szCs w:val="24"/>
          <w:lang w:val="es-ES"/>
        </w:rPr>
        <w:t>póliza contable</w:t>
      </w:r>
      <w:r w:rsidRPr="00D44520">
        <w:rPr>
          <w:rFonts w:ascii="Palatino Linotype" w:eastAsia="Palatino Linotype" w:hAnsi="Palatino Linotype" w:cs="Palatino Linotype"/>
          <w:sz w:val="24"/>
          <w:szCs w:val="24"/>
          <w:lang w:val="es-ES"/>
        </w:rPr>
        <w:t>, la cual, primeramente, no está definida en el Código Financiero del Estado de México y Municipios; no obstante, el ya mencionado Glosario la define como:</w:t>
      </w:r>
    </w:p>
    <w:p w14:paraId="3AE03B9D" w14:textId="77777777" w:rsidR="00147C81" w:rsidRPr="00D44520" w:rsidRDefault="00147C81" w:rsidP="00147C81">
      <w:pPr>
        <w:spacing w:after="0" w:line="240" w:lineRule="auto"/>
        <w:rPr>
          <w:rFonts w:asciiTheme="minorHAnsi" w:eastAsiaTheme="minorHAnsi" w:hAnsiTheme="minorHAnsi" w:cstheme="minorBidi"/>
          <w:lang w:val="es-ES"/>
        </w:rPr>
      </w:pPr>
    </w:p>
    <w:p w14:paraId="475BDAD0" w14:textId="77777777" w:rsidR="00147C81" w:rsidRPr="00D44520" w:rsidRDefault="00147C81" w:rsidP="00147C81">
      <w:pPr>
        <w:spacing w:after="0" w:line="240" w:lineRule="auto"/>
        <w:ind w:left="567" w:right="616"/>
        <w:jc w:val="both"/>
        <w:rPr>
          <w:rFonts w:ascii="Palatino Linotype" w:eastAsia="Palatino Linotype" w:hAnsi="Palatino Linotype" w:cs="Palatino Linotype"/>
          <w:b/>
          <w:i/>
          <w:lang w:val="es-ES"/>
        </w:rPr>
      </w:pPr>
      <w:r w:rsidRPr="00D44520">
        <w:rPr>
          <w:rFonts w:ascii="Palatino Linotype" w:eastAsia="Palatino Linotype" w:hAnsi="Palatino Linotype" w:cs="Palatino Linotype"/>
          <w:i/>
          <w:lang w:val="es-ES"/>
        </w:rPr>
        <w:t>“</w:t>
      </w:r>
      <w:r w:rsidRPr="00D44520">
        <w:rPr>
          <w:rFonts w:ascii="Palatino Linotype" w:eastAsia="Palatino Linotype" w:hAnsi="Palatino Linotype" w:cs="Palatino Linotype"/>
          <w:b/>
          <w:i/>
          <w:lang w:val="es-ES"/>
        </w:rPr>
        <w:t>PÓLIZA CONTABLE</w:t>
      </w:r>
    </w:p>
    <w:p w14:paraId="29E6432B" w14:textId="77777777" w:rsidR="00147C81" w:rsidRPr="00D44520" w:rsidRDefault="00147C81" w:rsidP="00147C81">
      <w:pPr>
        <w:spacing w:after="0" w:line="240" w:lineRule="auto"/>
        <w:ind w:left="567" w:right="616"/>
        <w:jc w:val="both"/>
        <w:rPr>
          <w:rFonts w:ascii="Palatino Linotype" w:eastAsia="Palatino Linotype" w:hAnsi="Palatino Linotype" w:cs="Palatino Linotype"/>
          <w:i/>
          <w:lang w:val="es-ES"/>
        </w:rPr>
      </w:pPr>
      <w:r w:rsidRPr="00D44520">
        <w:rPr>
          <w:rFonts w:ascii="Palatino Linotype" w:eastAsia="Palatino Linotype" w:hAnsi="Palatino Linotype" w:cs="Palatino Linotype"/>
          <w:i/>
          <w:lang w:val="es-ES"/>
        </w:rPr>
        <w:t xml:space="preserve">Documento en el cual se asientan en forma individual todas y cada una de las operaciones desarrolladas por una institución, así como la información necesaria para la identificación de dichas operaciones.” </w:t>
      </w:r>
    </w:p>
    <w:p w14:paraId="01AB87CA"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2C850895"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 xml:space="preserve">Así, se advierte que la </w:t>
      </w:r>
      <w:r w:rsidRPr="00D44520">
        <w:rPr>
          <w:rFonts w:ascii="Palatino Linotype" w:eastAsia="Palatino Linotype" w:hAnsi="Palatino Linotype" w:cs="Palatino Linotype"/>
          <w:i/>
          <w:sz w:val="24"/>
          <w:szCs w:val="24"/>
          <w:lang w:val="es-ES"/>
        </w:rPr>
        <w:t>póliza contable</w:t>
      </w:r>
      <w:r w:rsidRPr="00D44520">
        <w:rPr>
          <w:rFonts w:ascii="Palatino Linotype" w:eastAsia="Palatino Linotype" w:hAnsi="Palatino Linotype" w:cs="Palatino Linotype"/>
          <w:sz w:val="24"/>
          <w:szCs w:val="24"/>
          <w:lang w:val="es-ES"/>
        </w:rPr>
        <w:t xml:space="preserve"> constituye un registro contable y presupuestal con el que cuentan los Municipios para el registro de operaciones relacionadas con </w:t>
      </w:r>
      <w:r w:rsidRPr="00D44520">
        <w:rPr>
          <w:rFonts w:ascii="Palatino Linotype" w:eastAsia="Palatino Linotype" w:hAnsi="Palatino Linotype" w:cs="Palatino Linotype"/>
          <w:sz w:val="24"/>
          <w:szCs w:val="24"/>
          <w:u w:val="single"/>
          <w:lang w:val="es-ES"/>
        </w:rPr>
        <w:lastRenderedPageBreak/>
        <w:t>ingresos y egresos</w:t>
      </w:r>
      <w:r w:rsidRPr="00D44520">
        <w:rPr>
          <w:rFonts w:ascii="Palatino Linotype" w:eastAsia="Palatino Linotype" w:hAnsi="Palatino Linotype" w:cs="Palatino Linotype"/>
          <w:sz w:val="24"/>
          <w:szCs w:val="24"/>
          <w:lang w:val="es-ES"/>
        </w:rPr>
        <w:t xml:space="preserve"> y se anexan los documentos o comprobantes que justifiquen las anotaciones y cantidades en ellas registradas, lo que permite la identificación plena de dichas operaciones.</w:t>
      </w:r>
    </w:p>
    <w:p w14:paraId="06A6F874"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4E9626B9"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 xml:space="preserve">En este sentido, existen diversos tipos de pólizas contables de acuerdo a las operaciones realizadas, dentro de las cuales, encontramos las </w:t>
      </w:r>
      <w:r w:rsidRPr="00D44520">
        <w:rPr>
          <w:rFonts w:ascii="Palatino Linotype" w:eastAsia="Palatino Linotype" w:hAnsi="Palatino Linotype" w:cs="Palatino Linotype"/>
          <w:i/>
          <w:sz w:val="24"/>
          <w:szCs w:val="24"/>
          <w:lang w:val="es-ES"/>
        </w:rPr>
        <w:t>pólizas de egresos e ingresos</w:t>
      </w:r>
      <w:r w:rsidRPr="00D44520">
        <w:rPr>
          <w:rFonts w:ascii="Palatino Linotype" w:eastAsia="Palatino Linotype" w:hAnsi="Palatino Linotype" w:cs="Palatino Linotype"/>
          <w:sz w:val="24"/>
          <w:szCs w:val="24"/>
          <w:lang w:val="es-ES"/>
        </w:rPr>
        <w:t xml:space="preserve">, </w:t>
      </w:r>
      <w:r w:rsidRPr="00D44520">
        <w:rPr>
          <w:rFonts w:ascii="Palatino Linotype" w:eastAsia="Palatino Linotype" w:hAnsi="Palatino Linotype" w:cs="Palatino Linotype"/>
          <w:b/>
          <w:sz w:val="24"/>
          <w:szCs w:val="24"/>
          <w:lang w:val="es-ES"/>
        </w:rPr>
        <w:t xml:space="preserve">las primeras son aquellas en las cuales </w:t>
      </w:r>
      <w:r w:rsidRPr="00D44520">
        <w:rPr>
          <w:rFonts w:ascii="Palatino Linotype" w:eastAsia="Palatino Linotype" w:hAnsi="Palatino Linotype" w:cs="Palatino Linotype"/>
          <w:b/>
          <w:sz w:val="24"/>
          <w:szCs w:val="24"/>
          <w:u w:val="single"/>
          <w:lang w:val="es-ES"/>
        </w:rPr>
        <w:t>se anotan diariamente las operaciones que representan gastos, es decir, salidas de dinero</w:t>
      </w:r>
      <w:r w:rsidRPr="00D44520">
        <w:rPr>
          <w:rFonts w:ascii="Palatino Linotype" w:eastAsia="Palatino Linotype" w:hAnsi="Palatino Linotype" w:cs="Palatino Linotype"/>
          <w:sz w:val="24"/>
          <w:szCs w:val="24"/>
          <w:lang w:val="es-ES"/>
        </w:rPr>
        <w:t xml:space="preserve"> para el </w:t>
      </w:r>
      <w:r w:rsidRPr="00D44520">
        <w:rPr>
          <w:rFonts w:ascii="Palatino Linotype" w:eastAsia="Palatino Linotype" w:hAnsi="Palatino Linotype" w:cs="Palatino Linotype"/>
          <w:b/>
          <w:sz w:val="24"/>
          <w:szCs w:val="24"/>
          <w:lang w:val="es-ES"/>
        </w:rPr>
        <w:t>Sujeto Obligado,</w:t>
      </w:r>
      <w:r w:rsidRPr="00D44520">
        <w:rPr>
          <w:rFonts w:ascii="Palatino Linotype" w:eastAsia="Palatino Linotype" w:hAnsi="Palatino Linotype" w:cs="Palatino Linotype"/>
          <w:sz w:val="24"/>
          <w:szCs w:val="24"/>
          <w:lang w:val="es-ES"/>
        </w:rPr>
        <w:t xml:space="preserve"> las que además, </w:t>
      </w:r>
      <w:r w:rsidRPr="00D44520">
        <w:rPr>
          <w:rFonts w:ascii="Palatino Linotype" w:eastAsia="Palatino Linotype" w:hAnsi="Palatino Linotype" w:cs="Palatino Linotype"/>
          <w:b/>
          <w:sz w:val="24"/>
          <w:szCs w:val="24"/>
          <w:lang w:val="es-ES"/>
        </w:rPr>
        <w:t>deben encontrarse acompañadas de las documentales que sirven de soporte de dicho movimiento</w:t>
      </w:r>
      <w:r w:rsidRPr="00D44520">
        <w:rPr>
          <w:rFonts w:ascii="Palatino Linotype" w:eastAsia="Palatino Linotype" w:hAnsi="Palatino Linotype" w:cs="Palatino Linotype"/>
          <w:sz w:val="24"/>
          <w:szCs w:val="24"/>
          <w:lang w:val="es-ES"/>
        </w:rPr>
        <w:t>, en atención a las segundas, registran todas la entradas de dinero independientemente de la modalidad, ya sea en efectivo, transferencia, cheque o pagaré, mediante la expedición de facturas.</w:t>
      </w:r>
    </w:p>
    <w:p w14:paraId="715863F7" w14:textId="77777777" w:rsidR="00147C81" w:rsidRPr="00D44520" w:rsidRDefault="00147C81" w:rsidP="00147C81">
      <w:pPr>
        <w:spacing w:after="0" w:line="360" w:lineRule="auto"/>
        <w:jc w:val="both"/>
        <w:rPr>
          <w:rFonts w:ascii="Palatino Linotype" w:eastAsia="Palatino Linotype" w:hAnsi="Palatino Linotype" w:cs="Palatino Linotype"/>
          <w:sz w:val="24"/>
          <w:szCs w:val="24"/>
          <w:lang w:val="es-ES"/>
        </w:rPr>
      </w:pPr>
    </w:p>
    <w:p w14:paraId="66FFF5FC" w14:textId="77777777" w:rsidR="00147C81" w:rsidRPr="00D44520" w:rsidRDefault="00147C81" w:rsidP="00147C81">
      <w:pPr>
        <w:spacing w:after="0" w:line="360" w:lineRule="auto"/>
        <w:ind w:right="51"/>
        <w:jc w:val="both"/>
        <w:rPr>
          <w:rFonts w:ascii="Palatino Linotype" w:eastAsia="Palatino Linotype" w:hAnsi="Palatino Linotype" w:cs="Palatino Linotype"/>
          <w:sz w:val="24"/>
          <w:szCs w:val="24"/>
          <w:lang w:val="es-ES"/>
        </w:rPr>
      </w:pPr>
      <w:r w:rsidRPr="00D44520">
        <w:rPr>
          <w:rFonts w:ascii="Palatino Linotype" w:eastAsia="Palatino Linotype" w:hAnsi="Palatino Linotype" w:cs="Palatino Linotype"/>
          <w:sz w:val="24"/>
          <w:szCs w:val="24"/>
          <w:lang w:val="es-ES"/>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w:t>
      </w:r>
    </w:p>
    <w:p w14:paraId="048CBD1C" w14:textId="77777777" w:rsidR="00147C81" w:rsidRPr="00D44520" w:rsidRDefault="00147C81" w:rsidP="00147C81">
      <w:pPr>
        <w:spacing w:after="0" w:line="360" w:lineRule="auto"/>
        <w:jc w:val="both"/>
        <w:rPr>
          <w:rFonts w:ascii="Palatino Linotype" w:eastAsia="Times New Roman" w:hAnsi="Palatino Linotype" w:cs="Arial"/>
          <w:sz w:val="24"/>
          <w:szCs w:val="24"/>
          <w:lang w:val="es-ES" w:eastAsia="es-ES"/>
        </w:rPr>
      </w:pPr>
    </w:p>
    <w:p w14:paraId="4EB5500C" w14:textId="476FE423" w:rsidR="00365E6C" w:rsidRPr="00D44520" w:rsidRDefault="00D16818" w:rsidP="007E3007">
      <w:pPr>
        <w:spacing w:after="0" w:line="360" w:lineRule="auto"/>
        <w:jc w:val="both"/>
        <w:rPr>
          <w:rFonts w:ascii="Palatino Linotype" w:eastAsia="Palatino Linotype" w:hAnsi="Palatino Linotype" w:cs="Palatino Linotype"/>
          <w:sz w:val="24"/>
          <w:szCs w:val="24"/>
        </w:rPr>
      </w:pPr>
      <w:r w:rsidRPr="00D44520">
        <w:rPr>
          <w:rFonts w:ascii="Palatino Linotype" w:eastAsia="Times New Roman" w:hAnsi="Palatino Linotype" w:cs="Arial"/>
          <w:sz w:val="24"/>
          <w:szCs w:val="24"/>
          <w:lang w:val="es-ES" w:eastAsia="es-ES"/>
        </w:rPr>
        <w:t xml:space="preserve">Ahora bien, por parte de la Ley Orgánica Municipal se establecen las atribuciones de </w:t>
      </w:r>
      <w:r w:rsidR="007E3007" w:rsidRPr="00D44520">
        <w:rPr>
          <w:rFonts w:ascii="Palatino Linotype" w:eastAsia="Times New Roman" w:hAnsi="Palatino Linotype" w:cs="Arial"/>
          <w:sz w:val="24"/>
          <w:szCs w:val="24"/>
          <w:lang w:val="es-ES" w:eastAsia="es-ES"/>
        </w:rPr>
        <w:t xml:space="preserve">administrar la hacienda municipal y de llevar los registros contables, financieros y </w:t>
      </w:r>
      <w:r w:rsidR="007E3007" w:rsidRPr="00D44520">
        <w:rPr>
          <w:rFonts w:ascii="Palatino Linotype" w:eastAsia="Times New Roman" w:hAnsi="Palatino Linotype" w:cs="Arial"/>
          <w:sz w:val="24"/>
          <w:szCs w:val="24"/>
          <w:lang w:val="es-ES" w:eastAsia="es-ES"/>
        </w:rPr>
        <w:lastRenderedPageBreak/>
        <w:t>administrativos de los ingresos, egresos, e inventarios, que desde luego están respaldados por facturas.</w:t>
      </w:r>
    </w:p>
    <w:p w14:paraId="1CCCCB1B" w14:textId="77777777" w:rsidR="00365E6C" w:rsidRPr="00D44520" w:rsidRDefault="00365E6C" w:rsidP="009E3316">
      <w:pPr>
        <w:spacing w:after="0" w:line="360" w:lineRule="auto"/>
        <w:jc w:val="both"/>
        <w:rPr>
          <w:rFonts w:ascii="Palatino Linotype" w:eastAsia="Palatino Linotype" w:hAnsi="Palatino Linotype" w:cs="Palatino Linotype"/>
          <w:sz w:val="24"/>
          <w:szCs w:val="24"/>
        </w:rPr>
      </w:pPr>
    </w:p>
    <w:p w14:paraId="0DA613CF" w14:textId="77777777" w:rsidR="00D16818" w:rsidRPr="00D44520" w:rsidRDefault="00D16818" w:rsidP="007E3007">
      <w:pPr>
        <w:spacing w:after="0" w:line="360" w:lineRule="auto"/>
        <w:jc w:val="center"/>
        <w:rPr>
          <w:rFonts w:ascii="Palatino Linotype" w:eastAsia="Palatino Linotype" w:hAnsi="Palatino Linotype" w:cs="Palatino Linotype"/>
          <w:b/>
          <w:sz w:val="24"/>
          <w:szCs w:val="24"/>
        </w:rPr>
      </w:pPr>
      <w:r w:rsidRPr="00D44520">
        <w:rPr>
          <w:rFonts w:ascii="Palatino Linotype" w:eastAsia="Palatino Linotype" w:hAnsi="Palatino Linotype" w:cs="Palatino Linotype"/>
          <w:b/>
          <w:sz w:val="24"/>
          <w:szCs w:val="24"/>
        </w:rPr>
        <w:t>CAPITULO SEGUNDO</w:t>
      </w:r>
    </w:p>
    <w:p w14:paraId="3752ABE4" w14:textId="77777777" w:rsidR="00D16818" w:rsidRPr="00D44520" w:rsidRDefault="00D16818" w:rsidP="007E3007">
      <w:pPr>
        <w:spacing w:after="0" w:line="360" w:lineRule="auto"/>
        <w:jc w:val="center"/>
        <w:rPr>
          <w:rFonts w:ascii="Palatino Linotype" w:eastAsia="Palatino Linotype" w:hAnsi="Palatino Linotype" w:cs="Palatino Linotype"/>
          <w:b/>
          <w:sz w:val="24"/>
          <w:szCs w:val="24"/>
        </w:rPr>
      </w:pPr>
      <w:r w:rsidRPr="00D44520">
        <w:rPr>
          <w:rFonts w:ascii="Palatino Linotype" w:eastAsia="Palatino Linotype" w:hAnsi="Palatino Linotype" w:cs="Palatino Linotype"/>
          <w:b/>
          <w:sz w:val="24"/>
          <w:szCs w:val="24"/>
        </w:rPr>
        <w:t>De la Tesorería Municipal</w:t>
      </w:r>
    </w:p>
    <w:p w14:paraId="7F7F10E1" w14:textId="6E1C9923" w:rsidR="00D16818" w:rsidRPr="00D44520" w:rsidRDefault="00D16818" w:rsidP="00D16818">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b/>
          <w:sz w:val="24"/>
          <w:szCs w:val="24"/>
        </w:rPr>
        <w:t>Artículo 93.-</w:t>
      </w:r>
      <w:r w:rsidRPr="00D44520">
        <w:rPr>
          <w:rFonts w:ascii="Palatino Linotype" w:eastAsia="Palatino Linotype" w:hAnsi="Palatino Linotype" w:cs="Palatino Linotype"/>
          <w:sz w:val="24"/>
          <w:szCs w:val="24"/>
        </w:rPr>
        <w:t xml:space="preserve"> La tesorería municipal es el órgano encargado de la recaudación de los ingresos</w:t>
      </w:r>
      <w:r w:rsidR="007E3007" w:rsidRPr="00D44520">
        <w:rPr>
          <w:rFonts w:ascii="Palatino Linotype" w:eastAsia="Palatino Linotype" w:hAnsi="Palatino Linotype" w:cs="Palatino Linotype"/>
          <w:sz w:val="24"/>
          <w:szCs w:val="24"/>
        </w:rPr>
        <w:t xml:space="preserve"> </w:t>
      </w:r>
      <w:r w:rsidRPr="00D44520">
        <w:rPr>
          <w:rFonts w:ascii="Palatino Linotype" w:eastAsia="Palatino Linotype" w:hAnsi="Palatino Linotype" w:cs="Palatino Linotype"/>
          <w:sz w:val="24"/>
          <w:szCs w:val="24"/>
        </w:rPr>
        <w:t>municipales y responsable de realizar las erogaciones que haga el ayuntamiento.</w:t>
      </w:r>
    </w:p>
    <w:p w14:paraId="51FEF335" w14:textId="0188FABC" w:rsidR="00D16818" w:rsidRPr="00D44520" w:rsidRDefault="00D16818" w:rsidP="00D16818">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Artículo 94.- El tesorero municipal, al tomar posesión de su cargo, recibirá la hacienda pública</w:t>
      </w:r>
      <w:r w:rsidR="007E3007" w:rsidRPr="00D44520">
        <w:rPr>
          <w:rFonts w:ascii="Palatino Linotype" w:eastAsia="Palatino Linotype" w:hAnsi="Palatino Linotype" w:cs="Palatino Linotype"/>
          <w:sz w:val="24"/>
          <w:szCs w:val="24"/>
        </w:rPr>
        <w:t xml:space="preserve"> </w:t>
      </w:r>
      <w:r w:rsidRPr="00D44520">
        <w:rPr>
          <w:rFonts w:ascii="Palatino Linotype" w:eastAsia="Palatino Linotype" w:hAnsi="Palatino Linotype" w:cs="Palatino Linotype"/>
          <w:sz w:val="24"/>
          <w:szCs w:val="24"/>
        </w:rPr>
        <w:t>de acuerdo con las previsiones a que se refiere el artículo 19 de esta Ley y remitirá un ejemplar</w:t>
      </w:r>
      <w:r w:rsidR="007E3007" w:rsidRPr="00D44520">
        <w:rPr>
          <w:rFonts w:ascii="Palatino Linotype" w:eastAsia="Palatino Linotype" w:hAnsi="Palatino Linotype" w:cs="Palatino Linotype"/>
          <w:sz w:val="24"/>
          <w:szCs w:val="24"/>
        </w:rPr>
        <w:t xml:space="preserve"> </w:t>
      </w:r>
      <w:r w:rsidRPr="00D44520">
        <w:rPr>
          <w:rFonts w:ascii="Palatino Linotype" w:eastAsia="Palatino Linotype" w:hAnsi="Palatino Linotype" w:cs="Palatino Linotype"/>
          <w:sz w:val="24"/>
          <w:szCs w:val="24"/>
        </w:rPr>
        <w:t>de dicha documentación al ayuntamiento, al Órgano Superior de Fiscalización del Estado de</w:t>
      </w:r>
      <w:r w:rsidR="007E3007" w:rsidRPr="00D44520">
        <w:rPr>
          <w:rFonts w:ascii="Palatino Linotype" w:eastAsia="Palatino Linotype" w:hAnsi="Palatino Linotype" w:cs="Palatino Linotype"/>
          <w:sz w:val="24"/>
          <w:szCs w:val="24"/>
        </w:rPr>
        <w:t xml:space="preserve"> </w:t>
      </w:r>
      <w:r w:rsidRPr="00D44520">
        <w:rPr>
          <w:rFonts w:ascii="Palatino Linotype" w:eastAsia="Palatino Linotype" w:hAnsi="Palatino Linotype" w:cs="Palatino Linotype"/>
          <w:sz w:val="24"/>
          <w:szCs w:val="24"/>
        </w:rPr>
        <w:t>México y al archivo de la tesorería.</w:t>
      </w:r>
    </w:p>
    <w:p w14:paraId="7798901D" w14:textId="3CC51444" w:rsidR="00365E6C" w:rsidRPr="00D44520" w:rsidRDefault="00D16818" w:rsidP="00D16818">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Artículo 95.- Son atribuciones del tesorero municipal:</w:t>
      </w:r>
    </w:p>
    <w:p w14:paraId="32DDA96A" w14:textId="01E61175" w:rsidR="00365E6C" w:rsidRPr="00D44520" w:rsidRDefault="007E3007" w:rsidP="007E3007">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I. Administrar la hacienda pública municipal, de conformidad con las disposiciones legales aplicables;</w:t>
      </w:r>
    </w:p>
    <w:p w14:paraId="7CB90B2A" w14:textId="609D5716" w:rsidR="00365E6C" w:rsidRPr="00D44520" w:rsidRDefault="007E3007" w:rsidP="007E3007">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IV. Llevar los registros contables, financieros y administrativos de los ingresos, egresos, e inventarios;</w:t>
      </w:r>
      <w:r w:rsidRPr="00D44520">
        <w:rPr>
          <w:rFonts w:ascii="Palatino Linotype" w:eastAsia="Palatino Linotype" w:hAnsi="Palatino Linotype" w:cs="Palatino Linotype"/>
          <w:sz w:val="24"/>
          <w:szCs w:val="24"/>
        </w:rPr>
        <w:cr/>
      </w:r>
    </w:p>
    <w:p w14:paraId="578937E5" w14:textId="333366BF" w:rsidR="007E3007" w:rsidRPr="00D44520" w:rsidRDefault="007E3007" w:rsidP="007E3007">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Por lo que en ese sentido se encuentra redactado el Bando Municipal del Valle de Chalco Solidaridad 2025, ya que a través de su artículo </w:t>
      </w:r>
      <w:r w:rsidR="00B7114A" w:rsidRPr="00D44520">
        <w:rPr>
          <w:rFonts w:ascii="Palatino Linotype" w:eastAsia="Palatino Linotype" w:hAnsi="Palatino Linotype" w:cs="Palatino Linotype"/>
          <w:sz w:val="24"/>
          <w:szCs w:val="24"/>
        </w:rPr>
        <w:t>198, es el área responsable de verificar las erogaciones y las funciones requeridas por el Ayuntamiento.</w:t>
      </w:r>
    </w:p>
    <w:p w14:paraId="015EBEF6" w14:textId="77777777" w:rsidR="00B7114A" w:rsidRPr="00D44520" w:rsidRDefault="00B7114A" w:rsidP="007E3007">
      <w:pPr>
        <w:spacing w:after="0" w:line="360" w:lineRule="auto"/>
        <w:jc w:val="both"/>
        <w:rPr>
          <w:rFonts w:ascii="Palatino Linotype" w:eastAsia="Palatino Linotype" w:hAnsi="Palatino Linotype" w:cs="Palatino Linotype"/>
          <w:sz w:val="24"/>
          <w:szCs w:val="24"/>
        </w:rPr>
      </w:pPr>
    </w:p>
    <w:p w14:paraId="6C5BBCBC" w14:textId="10987114" w:rsidR="00B7114A" w:rsidRPr="00D44520" w:rsidRDefault="00B7114A" w:rsidP="004D3C17">
      <w:pPr>
        <w:spacing w:after="0" w:line="360" w:lineRule="auto"/>
        <w:ind w:left="851" w:right="567"/>
        <w:jc w:val="both"/>
        <w:rPr>
          <w:rFonts w:ascii="Palatino Linotype" w:eastAsia="Palatino Linotype" w:hAnsi="Palatino Linotype" w:cs="Palatino Linotype"/>
          <w:i/>
          <w:szCs w:val="24"/>
        </w:rPr>
      </w:pPr>
      <w:r w:rsidRPr="00D44520">
        <w:rPr>
          <w:rFonts w:ascii="Palatino Linotype" w:eastAsia="Palatino Linotype" w:hAnsi="Palatino Linotype" w:cs="Palatino Linotype"/>
          <w:b/>
          <w:i/>
          <w:szCs w:val="24"/>
        </w:rPr>
        <w:lastRenderedPageBreak/>
        <w:t>ARTÍCULO 198.-</w:t>
      </w:r>
      <w:r w:rsidRPr="00D44520">
        <w:rPr>
          <w:rFonts w:ascii="Palatino Linotype" w:eastAsia="Palatino Linotype" w:hAnsi="Palatino Linotype" w:cs="Palatino Linotype"/>
          <w:i/>
          <w:szCs w:val="24"/>
        </w:rPr>
        <w:t xml:space="preserve"> La Tesorería Municipal es la dependencia encargada de la recaudación de los ingresos municipales y la administración de la Hacienda Pública Municipal, responsable de realizar y verificar las erogaciones y funciones requeridas</w:t>
      </w:r>
    </w:p>
    <w:p w14:paraId="2AD0A66E" w14:textId="2CD955C6" w:rsidR="00B7114A" w:rsidRPr="00D44520" w:rsidRDefault="00B7114A" w:rsidP="00E32722">
      <w:pPr>
        <w:spacing w:after="0" w:line="360" w:lineRule="auto"/>
        <w:ind w:left="851" w:right="567"/>
        <w:jc w:val="both"/>
        <w:rPr>
          <w:rFonts w:ascii="Palatino Linotype" w:eastAsia="Palatino Linotype" w:hAnsi="Palatino Linotype" w:cs="Palatino Linotype"/>
          <w:i/>
        </w:rPr>
      </w:pPr>
      <w:r w:rsidRPr="00D44520">
        <w:rPr>
          <w:rFonts w:ascii="Palatino Linotype" w:eastAsia="Palatino Linotype" w:hAnsi="Palatino Linotype" w:cs="Palatino Linotype"/>
          <w:i/>
          <w:szCs w:val="24"/>
        </w:rPr>
        <w:t>por el H. Ayuntamiento; el Presidente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r w:rsidR="00E32722" w:rsidRPr="00D44520">
        <w:rPr>
          <w:rFonts w:ascii="Palatino Linotype" w:eastAsia="Palatino Linotype" w:hAnsi="Palatino Linotype" w:cs="Palatino Linotype"/>
          <w:i/>
          <w:szCs w:val="24"/>
        </w:rPr>
        <w:t xml:space="preserve"> </w:t>
      </w:r>
      <w:r w:rsidRPr="00D44520">
        <w:rPr>
          <w:rFonts w:ascii="Palatino Linotype" w:eastAsia="Palatino Linotype" w:hAnsi="Palatino Linotype" w:cs="Palatino Linotype"/>
          <w:i/>
          <w:szCs w:val="24"/>
        </w:rPr>
        <w:t xml:space="preserve">Asimismo, deberá implementar las medidas y mecanismos previamente aprobados por el H. Ayuntamiento, tendientes a difundir los pagos de las diversas contribuciones en términos de la Ley de Ingresos de los Municipios del Estado de México para el Ejercicio Fiscal 2025 entre la población, ampliar la base de contribuyentes y estimular el pago </w:t>
      </w:r>
      <w:r w:rsidRPr="00D44520">
        <w:rPr>
          <w:rFonts w:ascii="Palatino Linotype" w:eastAsia="Palatino Linotype" w:hAnsi="Palatino Linotype" w:cs="Palatino Linotype"/>
          <w:i/>
        </w:rPr>
        <w:t>oportuno.</w:t>
      </w:r>
    </w:p>
    <w:p w14:paraId="28BC5C35" w14:textId="77777777" w:rsidR="00E32722" w:rsidRPr="00D44520" w:rsidRDefault="00E32722" w:rsidP="00E32722">
      <w:pPr>
        <w:spacing w:after="0" w:line="360" w:lineRule="auto"/>
        <w:ind w:left="851" w:right="567"/>
        <w:jc w:val="both"/>
        <w:rPr>
          <w:rFonts w:ascii="Palatino Linotype" w:eastAsia="Palatino Linotype" w:hAnsi="Palatino Linotype" w:cs="Palatino Linotype"/>
          <w:i/>
          <w:szCs w:val="24"/>
        </w:rPr>
      </w:pPr>
    </w:p>
    <w:p w14:paraId="772F2F5A" w14:textId="32D35BF8" w:rsidR="004D3C17" w:rsidRPr="00D44520" w:rsidRDefault="004D3C17" w:rsidP="004D3C17">
      <w:pPr>
        <w:spacing w:after="0" w:line="360" w:lineRule="auto"/>
        <w:ind w:left="851" w:right="567"/>
        <w:jc w:val="both"/>
        <w:rPr>
          <w:rFonts w:ascii="Palatino Linotype" w:eastAsia="Palatino Linotype" w:hAnsi="Palatino Linotype" w:cs="Palatino Linotype"/>
          <w:i/>
        </w:rPr>
      </w:pPr>
      <w:r w:rsidRPr="00D44520">
        <w:rPr>
          <w:rFonts w:ascii="Palatino Linotype" w:eastAsia="Palatino Linotype" w:hAnsi="Palatino Linotype" w:cs="Palatino Linotype"/>
          <w:b/>
          <w:i/>
        </w:rPr>
        <w:t>ARTÍCULO 200.-</w:t>
      </w:r>
      <w:r w:rsidRPr="00D44520">
        <w:rPr>
          <w:rFonts w:ascii="Palatino Linotype" w:eastAsia="Palatino Linotype" w:hAnsi="Palatino Linotype" w:cs="Palatino Linotype"/>
          <w:i/>
        </w:rPr>
        <w:t xml:space="preserve"> El pago de contribuciones, se realizará en las oficinas recaudadoras de la Tesorería Municipal, cuando se tenga convenio para tal efecto, en instituciones o entidades del sistema financiero mexicano debidamente autorizadas o en las oficinas o establecimientos que designe por los medios electrónicos que determine la Tesorería Municipal.</w:t>
      </w:r>
      <w:r w:rsidR="00E32722" w:rsidRPr="00D44520">
        <w:rPr>
          <w:rFonts w:ascii="Palatino Linotype" w:eastAsia="Palatino Linotype" w:hAnsi="Palatino Linotype" w:cs="Palatino Linotype"/>
          <w:i/>
        </w:rPr>
        <w:t xml:space="preserve"> </w:t>
      </w:r>
      <w:r w:rsidRPr="00D44520">
        <w:rPr>
          <w:rFonts w:ascii="Palatino Linotype" w:eastAsia="Palatino Linotype" w:hAnsi="Palatino Linotype" w:cs="Palatino Linotype"/>
          <w:i/>
        </w:rPr>
        <w:t>Todos los ingresos municipales, cualquiera que sea su origen o naturaleza, deberán de registrarse por la Tesorería Municipal y formar parte de la cuenta pública.</w:t>
      </w:r>
    </w:p>
    <w:p w14:paraId="34FC5A9D" w14:textId="77777777" w:rsidR="004D3C17" w:rsidRPr="00D44520" w:rsidRDefault="004D3C17" w:rsidP="004D3C17">
      <w:pPr>
        <w:spacing w:after="0" w:line="360" w:lineRule="auto"/>
        <w:ind w:left="851" w:right="567"/>
        <w:jc w:val="both"/>
        <w:rPr>
          <w:rFonts w:ascii="Palatino Linotype" w:eastAsia="Palatino Linotype" w:hAnsi="Palatino Linotype" w:cs="Palatino Linotype"/>
          <w:i/>
        </w:rPr>
      </w:pPr>
    </w:p>
    <w:p w14:paraId="502D14AC" w14:textId="656FBD5C" w:rsidR="004D3C17" w:rsidRPr="00D44520" w:rsidRDefault="004D3C17" w:rsidP="004D3C17">
      <w:pPr>
        <w:spacing w:after="0" w:line="360" w:lineRule="auto"/>
        <w:ind w:left="851" w:right="567"/>
        <w:jc w:val="both"/>
        <w:rPr>
          <w:rFonts w:ascii="Palatino Linotype" w:eastAsia="Palatino Linotype" w:hAnsi="Palatino Linotype" w:cs="Palatino Linotype"/>
          <w:i/>
        </w:rPr>
      </w:pPr>
      <w:r w:rsidRPr="00D44520">
        <w:rPr>
          <w:rFonts w:ascii="Palatino Linotype" w:eastAsia="Palatino Linotype" w:hAnsi="Palatino Linotype" w:cs="Palatino Linotype"/>
          <w:b/>
          <w:i/>
        </w:rPr>
        <w:t>ARTÍCULO 201.-</w:t>
      </w:r>
      <w:r w:rsidRPr="00D44520">
        <w:rPr>
          <w:rFonts w:ascii="Palatino Linotype" w:eastAsia="Palatino Linotype" w:hAnsi="Palatino Linotype" w:cs="Palatino Linotype"/>
          <w:i/>
        </w:rPr>
        <w:t xml:space="preserve"> La Tesorería Municipal trabaja con una estructura interna para un adecuado funcionamiento, los servidores públicos que presten sus servicios en funciones operativas de carácter manual, material, administrativo, técnico, profesional o de apoyo, </w:t>
      </w:r>
      <w:r w:rsidRPr="00D44520">
        <w:rPr>
          <w:rFonts w:ascii="Palatino Linotype" w:eastAsia="Palatino Linotype" w:hAnsi="Palatino Linotype" w:cs="Palatino Linotype"/>
          <w:i/>
        </w:rPr>
        <w:lastRenderedPageBreak/>
        <w:t>realizaran tareas asignadas por sus superiores o determinadas en los manuales internos de procedimientos o guías de trabajo.</w:t>
      </w:r>
    </w:p>
    <w:p w14:paraId="6EF45562" w14:textId="77777777" w:rsidR="004D3C17" w:rsidRPr="00D44520" w:rsidRDefault="004D3C17" w:rsidP="00B7114A">
      <w:pPr>
        <w:spacing w:after="0" w:line="360" w:lineRule="auto"/>
        <w:jc w:val="both"/>
        <w:rPr>
          <w:rFonts w:ascii="Palatino Linotype" w:eastAsia="Palatino Linotype" w:hAnsi="Palatino Linotype" w:cs="Palatino Linotype"/>
          <w:sz w:val="24"/>
          <w:szCs w:val="24"/>
        </w:rPr>
      </w:pPr>
    </w:p>
    <w:p w14:paraId="2E7C8C76" w14:textId="112F1D35" w:rsidR="004D3C17" w:rsidRPr="00D44520" w:rsidRDefault="00E32722" w:rsidP="00B7114A">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Así las cosas se estima que es el área competente para poseer la información solicitada.</w:t>
      </w:r>
    </w:p>
    <w:p w14:paraId="5FC14670" w14:textId="5E62CD6A" w:rsidR="005F4DF9" w:rsidRPr="00D44520" w:rsidRDefault="007F6ECD" w:rsidP="00B7114A">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Así mismo, no pasa desapercibido mencionar que los turnos de las solicitudes</w:t>
      </w:r>
      <w:r w:rsidR="005F4DF9" w:rsidRPr="00D44520">
        <w:rPr>
          <w:rFonts w:ascii="Palatino Linotype" w:eastAsia="Palatino Linotype" w:hAnsi="Palatino Linotype" w:cs="Palatino Linotype"/>
          <w:sz w:val="24"/>
          <w:szCs w:val="24"/>
        </w:rPr>
        <w:t xml:space="preserve"> </w:t>
      </w:r>
      <w:r w:rsidRPr="00D44520">
        <w:rPr>
          <w:rFonts w:ascii="Palatino Linotype" w:eastAsia="Palatino Linotype" w:hAnsi="Palatino Linotype" w:cs="Palatino Linotype"/>
          <w:sz w:val="24"/>
          <w:szCs w:val="24"/>
        </w:rPr>
        <w:t xml:space="preserve">fueron remitidos a las áreas que se </w:t>
      </w:r>
      <w:r w:rsidR="005F4DF9" w:rsidRPr="00D44520">
        <w:rPr>
          <w:rFonts w:ascii="Palatino Linotype" w:eastAsia="Palatino Linotype" w:hAnsi="Palatino Linotype" w:cs="Palatino Linotype"/>
          <w:sz w:val="24"/>
          <w:szCs w:val="24"/>
        </w:rPr>
        <w:t>estimarán</w:t>
      </w:r>
      <w:r w:rsidRPr="00D44520">
        <w:rPr>
          <w:rFonts w:ascii="Palatino Linotype" w:eastAsia="Palatino Linotype" w:hAnsi="Palatino Linotype" w:cs="Palatino Linotype"/>
          <w:sz w:val="24"/>
          <w:szCs w:val="24"/>
        </w:rPr>
        <w:t xml:space="preserve"> competentes, dentro de las cuales tenemos a la Tesorería </w:t>
      </w:r>
      <w:r w:rsidR="005F4DF9" w:rsidRPr="00D44520">
        <w:rPr>
          <w:rFonts w:ascii="Palatino Linotype" w:eastAsia="Palatino Linotype" w:hAnsi="Palatino Linotype" w:cs="Palatino Linotype"/>
          <w:sz w:val="24"/>
          <w:szCs w:val="24"/>
        </w:rPr>
        <w:t>Municipal, quienes se parecía que si responde remitiendo la entrega de las facturas y de los contratos que sostiene la adquisición de los suvenires para la recaudación</w:t>
      </w:r>
      <w:r w:rsidR="00562C82" w:rsidRPr="00D44520">
        <w:rPr>
          <w:rFonts w:ascii="Palatino Linotype" w:eastAsia="Palatino Linotype" w:hAnsi="Palatino Linotype" w:cs="Palatino Linotype"/>
          <w:sz w:val="24"/>
          <w:szCs w:val="24"/>
        </w:rPr>
        <w:t xml:space="preserve">, destacando la </w:t>
      </w:r>
      <w:r w:rsidR="0073074B" w:rsidRPr="00D44520">
        <w:rPr>
          <w:rFonts w:ascii="Palatino Linotype" w:eastAsia="Palatino Linotype" w:hAnsi="Palatino Linotype" w:cs="Palatino Linotype"/>
          <w:sz w:val="24"/>
          <w:szCs w:val="24"/>
        </w:rPr>
        <w:t>adquisición</w:t>
      </w:r>
      <w:r w:rsidR="00562C82" w:rsidRPr="00D44520">
        <w:rPr>
          <w:rFonts w:ascii="Palatino Linotype" w:eastAsia="Palatino Linotype" w:hAnsi="Palatino Linotype" w:cs="Palatino Linotype"/>
          <w:sz w:val="24"/>
          <w:szCs w:val="24"/>
        </w:rPr>
        <w:t xml:space="preserve"> de taza blanca, reloj redondo tradicional, bolsas ecológicas y demás; no obstante la </w:t>
      </w:r>
      <w:r w:rsidR="0073074B" w:rsidRPr="00D44520">
        <w:rPr>
          <w:rFonts w:ascii="Palatino Linotype" w:eastAsia="Palatino Linotype" w:hAnsi="Palatino Linotype" w:cs="Palatino Linotype"/>
          <w:sz w:val="24"/>
          <w:szCs w:val="24"/>
        </w:rPr>
        <w:t>información</w:t>
      </w:r>
      <w:r w:rsidR="00562C82" w:rsidRPr="00D44520">
        <w:rPr>
          <w:rFonts w:ascii="Palatino Linotype" w:eastAsia="Palatino Linotype" w:hAnsi="Palatino Linotype" w:cs="Palatino Linotype"/>
          <w:sz w:val="24"/>
          <w:szCs w:val="24"/>
        </w:rPr>
        <w:t xml:space="preserve"> no fue puesta a la vista del Recurrente, por así </w:t>
      </w:r>
      <w:r w:rsidR="0073074B" w:rsidRPr="00D44520">
        <w:rPr>
          <w:rFonts w:ascii="Palatino Linotype" w:eastAsia="Palatino Linotype" w:hAnsi="Palatino Linotype" w:cs="Palatino Linotype"/>
          <w:sz w:val="24"/>
          <w:szCs w:val="24"/>
        </w:rPr>
        <w:t>omitirlo la Unidad de Transparencia.</w:t>
      </w:r>
    </w:p>
    <w:p w14:paraId="7B0C7C96" w14:textId="77777777" w:rsidR="00E7491D" w:rsidRPr="00D44520" w:rsidRDefault="00E7491D" w:rsidP="00B7114A">
      <w:pPr>
        <w:spacing w:after="0" w:line="360" w:lineRule="auto"/>
        <w:jc w:val="both"/>
        <w:rPr>
          <w:rFonts w:ascii="Palatino Linotype" w:eastAsia="Palatino Linotype" w:hAnsi="Palatino Linotype" w:cs="Palatino Linotype"/>
          <w:sz w:val="24"/>
          <w:szCs w:val="24"/>
        </w:rPr>
      </w:pPr>
    </w:p>
    <w:p w14:paraId="789DFD72" w14:textId="73D76991" w:rsidR="00DA1A3F" w:rsidRPr="00D44520" w:rsidRDefault="00E7491D" w:rsidP="00DA1A3F">
      <w:pPr>
        <w:spacing w:after="0" w:line="360" w:lineRule="auto"/>
        <w:jc w:val="both"/>
        <w:rPr>
          <w:rFonts w:ascii="Palatino Linotype" w:eastAsia="Palatino Linotype" w:hAnsi="Palatino Linotype" w:cs="Tahoma"/>
        </w:rPr>
      </w:pPr>
      <w:r w:rsidRPr="00D44520">
        <w:rPr>
          <w:rFonts w:ascii="Palatino Linotype" w:eastAsia="Palatino Linotype" w:hAnsi="Palatino Linotype" w:cs="Palatino Linotype"/>
          <w:sz w:val="24"/>
          <w:szCs w:val="24"/>
        </w:rPr>
        <w:t xml:space="preserve">Para reforzar el tema de la contratación es de señalar que </w:t>
      </w:r>
      <w:r w:rsidR="00DA1A3F" w:rsidRPr="00D44520">
        <w:rPr>
          <w:rFonts w:ascii="Palatino Linotype" w:eastAsia="Palatino Linotype" w:hAnsi="Palatino Linotype" w:cs="Palatino Linotype"/>
        </w:rPr>
        <w:t xml:space="preserve">la </w:t>
      </w:r>
      <w:r w:rsidR="00DA1A3F" w:rsidRPr="00D44520">
        <w:rPr>
          <w:rFonts w:ascii="Palatino Linotype" w:hAnsi="Palatino Linotype" w:cs="Tahoma"/>
          <w:bCs/>
          <w:iCs/>
          <w:lang w:eastAsia="en-US"/>
        </w:rPr>
        <w:t xml:space="preserve">Ley de Contratación Pública del Estado de México, visible en el enlace de internet: </w:t>
      </w:r>
      <w:hyperlink r:id="rId7" w:history="1">
        <w:r w:rsidR="00DA1A3F" w:rsidRPr="00D44520">
          <w:rPr>
            <w:rFonts w:ascii="Palatino Linotype" w:eastAsia="Times New Roman" w:hAnsi="Palatino Linotype" w:cs="Palatino Linotype"/>
            <w:color w:val="467886"/>
            <w:u w:val="single"/>
          </w:rPr>
          <w:t>http://legislacion.edomex.gob.mx/sites/legislacion.edomex.gob.mx/files/files/pdf/ley/vig/leyvig192.pdf</w:t>
        </w:r>
      </w:hyperlink>
      <w:r w:rsidR="00DA1A3F" w:rsidRPr="00D44520">
        <w:rPr>
          <w:rFonts w:ascii="Palatino Linotype" w:hAnsi="Palatino Linotype" w:cs="Tahoma"/>
          <w:bCs/>
          <w:iCs/>
          <w:lang w:eastAsia="en-US"/>
        </w:rPr>
        <w:t xml:space="preserve">, aplicable a los Ayuntamiento de los Municipios del Estado de México, la cual tiene por objeto regular los actos relativos a la planeación, programación, </w:t>
      </w:r>
      <w:proofErr w:type="spellStart"/>
      <w:r w:rsidR="00DA1A3F" w:rsidRPr="00D44520">
        <w:rPr>
          <w:rFonts w:ascii="Palatino Linotype" w:hAnsi="Palatino Linotype" w:cs="Tahoma"/>
          <w:bCs/>
          <w:iCs/>
          <w:lang w:eastAsia="en-US"/>
        </w:rPr>
        <w:t>presupuestación</w:t>
      </w:r>
      <w:proofErr w:type="spellEnd"/>
      <w:r w:rsidR="00DA1A3F" w:rsidRPr="00D44520">
        <w:rPr>
          <w:rFonts w:ascii="Palatino Linotype" w:hAnsi="Palatino Linotype" w:cs="Tahoma"/>
          <w:bCs/>
          <w:iCs/>
          <w:lang w:eastAsia="en-US"/>
        </w:rPr>
        <w:t xml:space="preserve">, ejecución y control de la adquisición, enajenación y </w:t>
      </w:r>
      <w:r w:rsidR="00DA1A3F" w:rsidRPr="00D44520">
        <w:rPr>
          <w:rFonts w:ascii="Palatino Linotype" w:hAnsi="Palatino Linotype" w:cs="Tahoma"/>
          <w:b/>
          <w:bCs/>
          <w:i/>
          <w:iCs/>
          <w:lang w:eastAsia="en-US"/>
        </w:rPr>
        <w:t>arrendamiento de bienes</w:t>
      </w:r>
      <w:r w:rsidR="00DA1A3F" w:rsidRPr="00D44520">
        <w:rPr>
          <w:rFonts w:ascii="Palatino Linotype" w:hAnsi="Palatino Linotype" w:cs="Tahoma"/>
          <w:bCs/>
          <w:iCs/>
          <w:lang w:eastAsia="en-US"/>
        </w:rPr>
        <w:t>, y la contratación de servicios de cualquier naturaleza</w:t>
      </w:r>
      <w:r w:rsidR="00DA1A3F" w:rsidRPr="00D44520">
        <w:rPr>
          <w:rFonts w:ascii="Palatino Linotype" w:hAnsi="Palatino Linotype" w:cs="Tahoma"/>
          <w:iCs/>
          <w:lang w:eastAsia="es-ES_tradnl"/>
        </w:rPr>
        <w:t>, al respecto, señala</w:t>
      </w:r>
      <w:r w:rsidR="00DA1A3F" w:rsidRPr="00D44520">
        <w:rPr>
          <w:rFonts w:ascii="Palatino Linotype" w:eastAsia="Palatino Linotype" w:hAnsi="Palatino Linotype" w:cs="Tahoma"/>
        </w:rPr>
        <w:t xml:space="preserve"> en sus artículos 16, 22, 24 26, 27, 43, 50 y 65, lo siguiente:</w:t>
      </w:r>
    </w:p>
    <w:p w14:paraId="6010E91C" w14:textId="77777777" w:rsidR="00DA1A3F" w:rsidRPr="00D44520" w:rsidRDefault="00DA1A3F" w:rsidP="00DA1A3F">
      <w:pPr>
        <w:tabs>
          <w:tab w:val="left" w:pos="4962"/>
        </w:tabs>
        <w:spacing w:after="0" w:line="360" w:lineRule="auto"/>
        <w:jc w:val="both"/>
        <w:rPr>
          <w:rFonts w:ascii="Palatino Linotype" w:eastAsia="Palatino Linotype" w:hAnsi="Palatino Linotype" w:cs="Tahoma"/>
          <w:i/>
        </w:rPr>
      </w:pPr>
    </w:p>
    <w:p w14:paraId="03CBCA31"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16</w:t>
      </w:r>
      <w:r w:rsidRPr="00D44520">
        <w:rPr>
          <w:rFonts w:ascii="Palatino Linotype" w:eastAsia="Palatino Linotype" w:hAnsi="Palatino Linotype" w:cs="Palatino Linotype"/>
          <w:i/>
          <w:color w:val="000000"/>
        </w:rPr>
        <w:t xml:space="preserve">.- Los programas de adquisiciones, arrendamientos y servicios de las dependencias, entidades, tribunales administrativos y ayuntamientos deberán contener lo siguiente: </w:t>
      </w:r>
    </w:p>
    <w:p w14:paraId="3C18664F"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 La codificación y descripción de los bienes y servicios que requieran, conforme a los catálogos que se integren. </w:t>
      </w:r>
    </w:p>
    <w:p w14:paraId="0F19BA7F"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lastRenderedPageBreak/>
        <w:t xml:space="preserve">II. La calendarización de la adquisición y arrendamiento de bienes muebles, y de la contratación de servicios. </w:t>
      </w:r>
    </w:p>
    <w:p w14:paraId="69144CC9"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III. El costo estimado de los bienes y servicios, cuyo monto total se ajustará a los importes presupuestales asignados. </w:t>
      </w:r>
    </w:p>
    <w:p w14:paraId="4AD2B321"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IV. Los demás requisitos que establezca el reglamento de esta Ley.</w:t>
      </w:r>
    </w:p>
    <w:p w14:paraId="102ED959"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p>
    <w:p w14:paraId="7054F56F"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22.-</w:t>
      </w:r>
      <w:r w:rsidRPr="00D44520">
        <w:rPr>
          <w:rFonts w:ascii="Palatino Linotype" w:eastAsia="Palatino Linotype" w:hAnsi="Palatino Linotype" w:cs="Palatino Linotype"/>
          <w:i/>
          <w:color w:val="000000"/>
        </w:rPr>
        <w:t xml:space="preserve"> Los comités son órganos colegiados con facultades de opinión, que tienen por objeto auxiliar a la Oficialía Mayor, entidades, tribunales administrativos </w:t>
      </w:r>
      <w:r w:rsidRPr="00D44520">
        <w:rPr>
          <w:rFonts w:ascii="Palatino Linotype" w:eastAsia="Palatino Linotype" w:hAnsi="Palatino Linotype" w:cs="Palatino Linotype"/>
          <w:b/>
          <w:i/>
          <w:color w:val="000000"/>
        </w:rPr>
        <w:t>y ayuntamientos</w:t>
      </w:r>
      <w:r w:rsidRPr="00D44520">
        <w:rPr>
          <w:rFonts w:ascii="Palatino Linotype" w:eastAsia="Palatino Linotype" w:hAnsi="Palatino Linotype" w:cs="Palatino Linotype"/>
          <w:i/>
          <w:color w:val="000000"/>
        </w:rPr>
        <w:t xml:space="preserve">, en la substanciación de los procedimientos de adquisiciones y de servicios, de conformidad con el Reglamento y los manuales de operación. </w:t>
      </w:r>
    </w:p>
    <w:p w14:paraId="065895D2"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b/>
          <w:i/>
          <w:color w:val="000000"/>
        </w:rPr>
      </w:pPr>
    </w:p>
    <w:p w14:paraId="0F783B62"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24.-</w:t>
      </w:r>
      <w:r w:rsidRPr="00D44520">
        <w:rPr>
          <w:rFonts w:ascii="Palatino Linotype" w:eastAsia="Palatino Linotype" w:hAnsi="Palatino Linotype" w:cs="Palatino Linotype"/>
          <w:i/>
          <w:color w:val="000000"/>
        </w:rPr>
        <w:t xml:space="preserve"> El comité de arrendamientos, adquisiciones de inmuebles y enajenaciones tendrá las funciones siguientes: </w:t>
      </w:r>
    </w:p>
    <w:p w14:paraId="128AEAE2"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 Dictaminar sobre la procedencia de los casos de excepción al procedimiento de licitación pública, tratándose de adquisición de inmuebles y arrendamientos. </w:t>
      </w:r>
    </w:p>
    <w:p w14:paraId="76619021"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II. Participar en los procedimientos de licitación, invitación restringida y adjudicación directa, hasta dejarlos en estado de dictar el fallo correspondiente, tratándose de adquisición de inmuebles y arrendamientos. </w:t>
      </w:r>
    </w:p>
    <w:p w14:paraId="17E32C64"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III. </w:t>
      </w:r>
      <w:r w:rsidRPr="00D44520">
        <w:rPr>
          <w:rFonts w:ascii="Palatino Linotype" w:eastAsia="Palatino Linotype" w:hAnsi="Palatino Linotype" w:cs="Palatino Linotype"/>
          <w:b/>
          <w:i/>
          <w:color w:val="000000"/>
        </w:rPr>
        <w:t xml:space="preserve">Emitir los dictámenes de adjudicación, tratándose de adquisiciones de inmuebles y arrendamientos. </w:t>
      </w:r>
    </w:p>
    <w:p w14:paraId="012AA91C"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IV. Participar en los procedimientos de subasta pública, hasta dejarlos en estado de dictar el fallo de adjudicación. </w:t>
      </w:r>
    </w:p>
    <w:p w14:paraId="5CA65429"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V. Las demás que establezca el reglamento de esta Ley.</w:t>
      </w:r>
    </w:p>
    <w:p w14:paraId="73F7A38D"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b/>
          <w:i/>
          <w:color w:val="000000"/>
        </w:rPr>
      </w:pPr>
    </w:p>
    <w:p w14:paraId="7E4A4AC9"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26.-</w:t>
      </w:r>
      <w:r w:rsidRPr="00D44520">
        <w:rPr>
          <w:rFonts w:ascii="Palatino Linotype" w:eastAsia="Palatino Linotype" w:hAnsi="Palatino Linotype" w:cs="Palatino Linotype"/>
          <w:i/>
          <w:color w:val="000000"/>
        </w:rPr>
        <w:t xml:space="preserve"> Las adquisiciones, </w:t>
      </w:r>
      <w:r w:rsidRPr="00D44520">
        <w:rPr>
          <w:rFonts w:ascii="Palatino Linotype" w:eastAsia="Palatino Linotype" w:hAnsi="Palatino Linotype" w:cs="Palatino Linotype"/>
          <w:b/>
          <w:i/>
          <w:color w:val="000000"/>
        </w:rPr>
        <w:t xml:space="preserve">arrendamientos </w:t>
      </w:r>
      <w:r w:rsidRPr="00D44520">
        <w:rPr>
          <w:rFonts w:ascii="Palatino Linotype" w:eastAsia="Palatino Linotype" w:hAnsi="Palatino Linotype" w:cs="Palatino Linotype"/>
          <w:i/>
          <w:color w:val="000000"/>
        </w:rPr>
        <w:t>y servicios se adjudicarán a través de licitaciones públicas, mediante convocatoria pública.</w:t>
      </w:r>
    </w:p>
    <w:p w14:paraId="0323F6E3"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p>
    <w:p w14:paraId="15C30B4E"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27.-</w:t>
      </w:r>
      <w:r w:rsidRPr="00D44520">
        <w:rPr>
          <w:rFonts w:ascii="Palatino Linotype" w:eastAsia="Palatino Linotype" w:hAnsi="Palatino Linotype" w:cs="Palatino Linotype"/>
          <w:i/>
          <w:color w:val="000000"/>
        </w:rPr>
        <w:t xml:space="preserve"> La Secretaría, las entidades, los tribunales administrativos y los </w:t>
      </w:r>
      <w:r w:rsidRPr="00D44520">
        <w:rPr>
          <w:rFonts w:ascii="Palatino Linotype" w:eastAsia="Palatino Linotype" w:hAnsi="Palatino Linotype" w:cs="Palatino Linotype"/>
          <w:i/>
          <w:color w:val="000000"/>
          <w:u w:val="single"/>
        </w:rPr>
        <w:t>ayuntamientos</w:t>
      </w:r>
      <w:r w:rsidRPr="00D44520">
        <w:rPr>
          <w:rFonts w:ascii="Palatino Linotype" w:eastAsia="Palatino Linotype" w:hAnsi="Palatino Linotype" w:cs="Palatino Linotype"/>
          <w:i/>
          <w:color w:val="000000"/>
        </w:rPr>
        <w:t xml:space="preserve"> </w:t>
      </w:r>
      <w:r w:rsidRPr="00D44520">
        <w:rPr>
          <w:rFonts w:ascii="Palatino Linotype" w:eastAsia="Palatino Linotype" w:hAnsi="Palatino Linotype" w:cs="Palatino Linotype"/>
          <w:b/>
          <w:i/>
          <w:color w:val="000000"/>
        </w:rPr>
        <w:t>podrán adjudicar adquisiciones, arrendamientos y servicios, mediante las excepciones al procedimiento de licitación</w:t>
      </w:r>
      <w:r w:rsidRPr="00D44520">
        <w:rPr>
          <w:rFonts w:ascii="Palatino Linotype" w:eastAsia="Palatino Linotype" w:hAnsi="Palatino Linotype" w:cs="Palatino Linotype"/>
          <w:i/>
          <w:color w:val="000000"/>
        </w:rPr>
        <w:t xml:space="preserve"> que a continuación se señalan:</w:t>
      </w:r>
    </w:p>
    <w:p w14:paraId="76956296"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b/>
          <w:i/>
          <w:color w:val="000000"/>
        </w:rPr>
      </w:pPr>
      <w:r w:rsidRPr="00D44520">
        <w:rPr>
          <w:rFonts w:ascii="Palatino Linotype" w:eastAsia="Palatino Linotype" w:hAnsi="Palatino Linotype" w:cs="Palatino Linotype"/>
          <w:i/>
          <w:color w:val="000000"/>
        </w:rPr>
        <w:t xml:space="preserve">I. </w:t>
      </w:r>
      <w:r w:rsidRPr="00D44520">
        <w:rPr>
          <w:rFonts w:ascii="Palatino Linotype" w:eastAsia="Palatino Linotype" w:hAnsi="Palatino Linotype" w:cs="Palatino Linotype"/>
          <w:b/>
          <w:i/>
          <w:color w:val="000000"/>
        </w:rPr>
        <w:t>Invitación restringida.</w:t>
      </w:r>
    </w:p>
    <w:p w14:paraId="5BF40EA0"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b/>
          <w:i/>
          <w:color w:val="000000"/>
        </w:rPr>
      </w:pPr>
      <w:r w:rsidRPr="00D44520">
        <w:rPr>
          <w:rFonts w:ascii="Palatino Linotype" w:eastAsia="Palatino Linotype" w:hAnsi="Palatino Linotype" w:cs="Palatino Linotype"/>
          <w:b/>
          <w:i/>
          <w:color w:val="000000"/>
        </w:rPr>
        <w:t>II. Adjudicación directa</w:t>
      </w:r>
    </w:p>
    <w:p w14:paraId="3CE1ECF6"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p>
    <w:p w14:paraId="424C753B"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43.-</w:t>
      </w:r>
      <w:r w:rsidRPr="00D44520">
        <w:rPr>
          <w:rFonts w:ascii="Palatino Linotype" w:eastAsia="Palatino Linotype" w:hAnsi="Palatino Linotype" w:cs="Palatino Linotype"/>
          <w:i/>
          <w:color w:val="000000"/>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0A3A2670"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p>
    <w:p w14:paraId="73E14D88"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i/>
          <w:color w:val="000000"/>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 </w:t>
      </w:r>
    </w:p>
    <w:p w14:paraId="2568591D"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p>
    <w:p w14:paraId="2F2F6702"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50.</w:t>
      </w:r>
      <w:r w:rsidRPr="00D44520">
        <w:rPr>
          <w:rFonts w:ascii="Palatino Linotype" w:eastAsia="Palatino Linotype" w:hAnsi="Palatino Linotype" w:cs="Palatino Linotype"/>
          <w:i/>
          <w:color w:val="000000"/>
        </w:rPr>
        <w:t xml:space="preserve">- Las disposiciones relativas a los procedimientos de adquisición establecidas en este capítulo serán aplicables a los arrendamientos de bienes muebles e inmuebles, con arreglo </w:t>
      </w:r>
      <w:proofErr w:type="gramStart"/>
      <w:r w:rsidRPr="00D44520">
        <w:rPr>
          <w:rFonts w:ascii="Palatino Linotype" w:eastAsia="Palatino Linotype" w:hAnsi="Palatino Linotype" w:cs="Palatino Linotype"/>
          <w:i/>
          <w:color w:val="000000"/>
        </w:rPr>
        <w:t>a el</w:t>
      </w:r>
      <w:proofErr w:type="gramEnd"/>
      <w:r w:rsidRPr="00D44520">
        <w:rPr>
          <w:rFonts w:ascii="Palatino Linotype" w:eastAsia="Palatino Linotype" w:hAnsi="Palatino Linotype" w:cs="Palatino Linotype"/>
          <w:i/>
          <w:color w:val="000000"/>
        </w:rPr>
        <w:t xml:space="preserve"> reglamento de esta Ley.</w:t>
      </w:r>
    </w:p>
    <w:p w14:paraId="488F776A"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b/>
          <w:i/>
          <w:color w:val="000000"/>
        </w:rPr>
      </w:pPr>
    </w:p>
    <w:p w14:paraId="42E5067C"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eastAsia="Palatino Linotype" w:hAnsi="Palatino Linotype" w:cs="Palatino Linotype"/>
          <w:i/>
          <w:color w:val="000000"/>
        </w:rPr>
      </w:pPr>
      <w:r w:rsidRPr="00D44520">
        <w:rPr>
          <w:rFonts w:ascii="Palatino Linotype" w:eastAsia="Palatino Linotype" w:hAnsi="Palatino Linotype" w:cs="Palatino Linotype"/>
          <w:b/>
          <w:i/>
          <w:color w:val="000000"/>
        </w:rPr>
        <w:t>Artículo 65.-</w:t>
      </w:r>
      <w:r w:rsidRPr="00D44520">
        <w:rPr>
          <w:rFonts w:ascii="Palatino Linotype" w:eastAsia="Palatino Linotype" w:hAnsi="Palatino Linotype" w:cs="Palatino Linotype"/>
          <w:i/>
          <w:color w:val="000000"/>
        </w:rPr>
        <w:t xml:space="preserve"> La adjudicación de los contratos derivados de los procedimientos de adquisiciones de bienes o servicios, obligará a la convocante y al licitante ganador a </w:t>
      </w:r>
      <w:r w:rsidRPr="00D44520">
        <w:rPr>
          <w:rFonts w:ascii="Palatino Linotype" w:eastAsia="Palatino Linotype" w:hAnsi="Palatino Linotype" w:cs="Palatino Linotype"/>
          <w:b/>
          <w:i/>
          <w:color w:val="000000"/>
        </w:rPr>
        <w:t>suscribir el contrato respectivo</w:t>
      </w:r>
      <w:r w:rsidRPr="00D44520">
        <w:rPr>
          <w:rFonts w:ascii="Palatino Linotype" w:eastAsia="Palatino Linotype" w:hAnsi="Palatino Linotype" w:cs="Palatino Linotype"/>
          <w:i/>
          <w:color w:val="000000"/>
        </w:rPr>
        <w:t>, dentro de los diez días hábiles siguientes al de la notificación del fallo. Los contratos podrán suscribirse mediante el uso de la firma electrónica, en apego a las disposiciones de la Ley de Medios Electrónicos y de su Reglamento.</w:t>
      </w:r>
    </w:p>
    <w:p w14:paraId="673688E1" w14:textId="77777777" w:rsidR="00DA1A3F" w:rsidRPr="00D44520" w:rsidRDefault="00DA1A3F" w:rsidP="00DA1A3F">
      <w:pPr>
        <w:pBdr>
          <w:top w:val="nil"/>
          <w:left w:val="nil"/>
          <w:bottom w:val="nil"/>
          <w:right w:val="nil"/>
          <w:between w:val="nil"/>
        </w:pBdr>
        <w:spacing w:after="0" w:line="240" w:lineRule="auto"/>
        <w:ind w:left="851" w:right="822"/>
        <w:jc w:val="both"/>
        <w:rPr>
          <w:rFonts w:ascii="Palatino Linotype" w:hAnsi="Palatino Linotype" w:cs="Palatino Linotype"/>
          <w:bCs/>
          <w:i/>
          <w:color w:val="000000"/>
          <w:lang w:val="es-ES" w:eastAsia="en-US"/>
        </w:rPr>
      </w:pPr>
      <w:r w:rsidRPr="00D44520">
        <w:rPr>
          <w:rFonts w:ascii="Palatino Linotype" w:hAnsi="Palatino Linotype" w:cs="Palatino Linotype"/>
          <w:bCs/>
          <w:i/>
          <w:color w:val="000000"/>
          <w:lang w:val="es-ES" w:eastAsia="en-US"/>
        </w:rPr>
        <w:t>(Énfasis añadido)</w:t>
      </w:r>
    </w:p>
    <w:p w14:paraId="322E04AB" w14:textId="77777777" w:rsidR="00DA1A3F" w:rsidRPr="00D44520" w:rsidRDefault="00DA1A3F" w:rsidP="00DA1A3F">
      <w:pPr>
        <w:tabs>
          <w:tab w:val="left" w:pos="4962"/>
        </w:tabs>
        <w:spacing w:after="0" w:line="360" w:lineRule="auto"/>
        <w:jc w:val="both"/>
        <w:rPr>
          <w:rFonts w:ascii="Palatino Linotype" w:eastAsia="Palatino Linotype" w:hAnsi="Palatino Linotype" w:cs="Tahoma"/>
          <w:b/>
          <w:i/>
        </w:rPr>
      </w:pPr>
    </w:p>
    <w:p w14:paraId="2A75E14D" w14:textId="77777777" w:rsidR="00DA1A3F" w:rsidRPr="00D44520" w:rsidRDefault="00DA1A3F" w:rsidP="00DA1A3F">
      <w:pPr>
        <w:tabs>
          <w:tab w:val="left" w:pos="4962"/>
        </w:tabs>
        <w:spacing w:after="0" w:line="360" w:lineRule="auto"/>
        <w:jc w:val="both"/>
        <w:rPr>
          <w:rFonts w:ascii="Palatino Linotype" w:eastAsia="Palatino Linotype" w:hAnsi="Palatino Linotype" w:cs="Tahoma"/>
        </w:rPr>
      </w:pPr>
      <w:r w:rsidRPr="00D44520">
        <w:rPr>
          <w:rFonts w:ascii="Palatino Linotype" w:eastAsia="Palatino Linotype" w:hAnsi="Palatino Linotype" w:cs="Tahoma"/>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0750FDE6" w14:textId="77777777" w:rsidR="00DA1A3F" w:rsidRPr="00D44520" w:rsidRDefault="00DA1A3F" w:rsidP="00DA1A3F">
      <w:pPr>
        <w:spacing w:after="0" w:line="360" w:lineRule="auto"/>
        <w:jc w:val="both"/>
        <w:rPr>
          <w:rFonts w:ascii="Palatino Linotype" w:hAnsi="Palatino Linotype" w:cs="Tahoma"/>
          <w:iCs/>
          <w:lang w:val="es-ES" w:eastAsia="es-ES_tradnl"/>
        </w:rPr>
      </w:pPr>
    </w:p>
    <w:p w14:paraId="49291980" w14:textId="77777777" w:rsidR="00DA1A3F" w:rsidRPr="00D44520" w:rsidRDefault="00DA1A3F" w:rsidP="00DA1A3F">
      <w:pPr>
        <w:spacing w:after="0" w:line="360" w:lineRule="auto"/>
        <w:jc w:val="both"/>
        <w:rPr>
          <w:rFonts w:ascii="Palatino Linotype" w:hAnsi="Palatino Linotype" w:cs="Tahoma"/>
          <w:iCs/>
          <w:lang w:val="es-ES" w:eastAsia="es-ES_tradnl"/>
        </w:rPr>
      </w:pPr>
      <w:r w:rsidRPr="00D44520">
        <w:rPr>
          <w:rFonts w:ascii="Palatino Linotype" w:hAnsi="Palatino Linotype" w:cs="Tahoma"/>
          <w:iCs/>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D44520">
        <w:rPr>
          <w:rFonts w:ascii="Palatino Linotype" w:hAnsi="Palatino Linotype" w:cs="Tahoma"/>
          <w:bCs/>
          <w:iCs/>
          <w:lang w:val="es-ES" w:eastAsia="en-US"/>
        </w:rPr>
        <w:t>Ley de Transparencia y Acceso a la Información Pública del Estado de México y Municipios</w:t>
      </w:r>
      <w:r w:rsidRPr="00D44520">
        <w:rPr>
          <w:rFonts w:ascii="Palatino Linotype" w:hAnsi="Palatino Linotype" w:cs="Tahoma"/>
          <w:iCs/>
          <w:lang w:val="es-ES" w:eastAsia="es-ES_tradnl"/>
        </w:rPr>
        <w:t>, prevé lo siguiente:</w:t>
      </w:r>
    </w:p>
    <w:p w14:paraId="48C41F23" w14:textId="77777777" w:rsidR="00DA1A3F" w:rsidRPr="00D44520" w:rsidRDefault="00DA1A3F" w:rsidP="00DA1A3F">
      <w:pPr>
        <w:spacing w:after="0" w:line="360" w:lineRule="auto"/>
        <w:jc w:val="both"/>
        <w:rPr>
          <w:rFonts w:ascii="Palatino Linotype" w:hAnsi="Palatino Linotype" w:cs="Tahoma"/>
          <w:iCs/>
          <w:lang w:val="es-ES" w:eastAsia="es-ES_tradnl"/>
        </w:rPr>
      </w:pPr>
    </w:p>
    <w:p w14:paraId="26EB612D" w14:textId="77777777" w:rsidR="00DA1A3F" w:rsidRPr="00D44520" w:rsidRDefault="00DA1A3F" w:rsidP="00DA1A3F">
      <w:pPr>
        <w:pBdr>
          <w:top w:val="nil"/>
          <w:left w:val="nil"/>
          <w:bottom w:val="nil"/>
          <w:right w:val="nil"/>
          <w:between w:val="nil"/>
        </w:pBdr>
        <w:spacing w:after="0" w:line="240" w:lineRule="auto"/>
        <w:ind w:left="567" w:right="567" w:hanging="567"/>
        <w:jc w:val="center"/>
        <w:rPr>
          <w:rFonts w:ascii="Palatino Linotype" w:eastAsia="Aptos" w:hAnsi="Palatino Linotype" w:cs="Palatino Linotype"/>
          <w:b/>
          <w:i/>
          <w:color w:val="000000"/>
          <w:lang w:eastAsia="en-US"/>
        </w:rPr>
      </w:pPr>
      <w:r w:rsidRPr="00D44520">
        <w:rPr>
          <w:rFonts w:ascii="Palatino Linotype" w:eastAsia="Aptos" w:hAnsi="Palatino Linotype" w:cs="Palatino Linotype"/>
          <w:b/>
          <w:i/>
          <w:color w:val="000000"/>
          <w:lang w:eastAsia="en-US"/>
        </w:rPr>
        <w:t>Capítulo II</w:t>
      </w:r>
    </w:p>
    <w:p w14:paraId="2EFBBE8F" w14:textId="77777777" w:rsidR="00DA1A3F" w:rsidRPr="00D44520" w:rsidRDefault="00DA1A3F" w:rsidP="00DA1A3F">
      <w:pPr>
        <w:pBdr>
          <w:top w:val="nil"/>
          <w:left w:val="nil"/>
          <w:bottom w:val="nil"/>
          <w:right w:val="nil"/>
          <w:between w:val="nil"/>
        </w:pBdr>
        <w:spacing w:after="0" w:line="240" w:lineRule="auto"/>
        <w:ind w:left="567" w:right="567" w:hanging="567"/>
        <w:jc w:val="center"/>
        <w:rPr>
          <w:rFonts w:ascii="Palatino Linotype" w:eastAsia="Aptos" w:hAnsi="Palatino Linotype" w:cs="Palatino Linotype"/>
          <w:i/>
          <w:color w:val="000000"/>
          <w:lang w:eastAsia="en-US"/>
        </w:rPr>
      </w:pPr>
      <w:r w:rsidRPr="00D44520">
        <w:rPr>
          <w:rFonts w:ascii="Palatino Linotype" w:eastAsia="Aptos" w:hAnsi="Palatino Linotype" w:cs="Palatino Linotype"/>
          <w:b/>
          <w:i/>
          <w:color w:val="000000"/>
          <w:lang w:eastAsia="en-US"/>
        </w:rPr>
        <w:t>De las Obligaciones de Transparencia Comunes</w:t>
      </w:r>
    </w:p>
    <w:p w14:paraId="0ACA4B2B"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b/>
          <w:i/>
          <w:color w:val="000000"/>
          <w:lang w:eastAsia="en-US"/>
        </w:rPr>
        <w:lastRenderedPageBreak/>
        <w:t>Artículo 92.</w:t>
      </w:r>
      <w:r w:rsidRPr="00D44520">
        <w:rPr>
          <w:rFonts w:ascii="Palatino Linotype" w:eastAsia="Aptos" w:hAnsi="Palatino Linotype" w:cs="Palatino Linotype"/>
          <w:i/>
          <w:color w:val="000000"/>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B27496"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p>
    <w:p w14:paraId="122F484E"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I al XXVIII</w:t>
      </w:r>
    </w:p>
    <w:p w14:paraId="3AF59973"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w:t>
      </w:r>
    </w:p>
    <w:p w14:paraId="7B0CA4B2"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F172B4A"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p>
    <w:p w14:paraId="26E47BA5"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a) De licitaciones públicas o procedimientos de invitación restringida: </w:t>
      </w:r>
    </w:p>
    <w:p w14:paraId="2668208A"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p>
    <w:p w14:paraId="03B51F6F"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 La convocatoria o invitación emitida, así como los fundamentos legales aplicados para llevarla a cabo; </w:t>
      </w:r>
    </w:p>
    <w:p w14:paraId="56839BDF"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2) Los nombres de los participantes o invitados; </w:t>
      </w:r>
    </w:p>
    <w:p w14:paraId="11FF9CD8"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3) El nombre del ganador y las razones que lo justifican; </w:t>
      </w:r>
    </w:p>
    <w:p w14:paraId="1630D45A"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4) El área solicitante y la responsable de su ejecución; </w:t>
      </w:r>
    </w:p>
    <w:p w14:paraId="6A4F37EA"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5) Las convocatorias e invitaciones emitidas; </w:t>
      </w:r>
    </w:p>
    <w:p w14:paraId="7C210730"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6) Los dictámenes y fallo de adjudicación; </w:t>
      </w:r>
    </w:p>
    <w:p w14:paraId="1A1DADF5"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b/>
          <w:i/>
          <w:color w:val="000000"/>
          <w:lang w:eastAsia="en-US"/>
        </w:rPr>
      </w:pPr>
      <w:r w:rsidRPr="00D44520">
        <w:rPr>
          <w:rFonts w:ascii="Palatino Linotype" w:eastAsia="Aptos" w:hAnsi="Palatino Linotype" w:cs="Palatino Linotype"/>
          <w:b/>
          <w:i/>
          <w:color w:val="000000"/>
          <w:lang w:eastAsia="en-US"/>
        </w:rPr>
        <w:t xml:space="preserve">7) El contrato y, en su caso, sus anexos; </w:t>
      </w:r>
    </w:p>
    <w:p w14:paraId="7FA74AAB"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8) Los mecanismos de vigilancia y supervisión, incluyendo en su caso, los estudios de impacto urbano y ambiental, según corresponda; </w:t>
      </w:r>
    </w:p>
    <w:p w14:paraId="4FE88AF1"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b/>
          <w:i/>
          <w:color w:val="000000"/>
          <w:lang w:eastAsia="en-US"/>
        </w:rPr>
      </w:pPr>
      <w:r w:rsidRPr="00D44520">
        <w:rPr>
          <w:rFonts w:ascii="Palatino Linotype" w:eastAsia="Aptos" w:hAnsi="Palatino Linotype" w:cs="Palatino Linotype"/>
          <w:i/>
          <w:color w:val="000000"/>
          <w:lang w:eastAsia="en-US"/>
        </w:rPr>
        <w:t xml:space="preserve">9) </w:t>
      </w:r>
      <w:r w:rsidRPr="00D44520">
        <w:rPr>
          <w:rFonts w:ascii="Palatino Linotype" w:eastAsia="Aptos" w:hAnsi="Palatino Linotype" w:cs="Palatino Linotype"/>
          <w:b/>
          <w:i/>
          <w:color w:val="000000"/>
          <w:lang w:eastAsia="en-US"/>
        </w:rPr>
        <w:t xml:space="preserve">La partida presupuestal, de conformidad con el clasificador por objeto del gasto, en el caso de ser aplicable; </w:t>
      </w:r>
    </w:p>
    <w:p w14:paraId="27270D1A"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10) Origen de los recursos especificando si son federales, estatales o municipales, así como el tipo de fondo de participación o aportación respectiva; </w:t>
      </w:r>
    </w:p>
    <w:p w14:paraId="202E7836"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11) Los convenios modificatorios que, en su caso, sean firmados, precisando el objeto y la fecha de celebración; </w:t>
      </w:r>
    </w:p>
    <w:p w14:paraId="31C67A52"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12) Los informes de avance físico y financiero sobre las obras o servicios contratados; </w:t>
      </w:r>
    </w:p>
    <w:p w14:paraId="264F794D"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13) El convenio de terminación; y </w:t>
      </w:r>
    </w:p>
    <w:p w14:paraId="51ED4CD3"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14) El finiquito. </w:t>
      </w:r>
    </w:p>
    <w:p w14:paraId="17A909EE"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p>
    <w:p w14:paraId="4AEEA9AE"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b) De las adjudicaciones directas: </w:t>
      </w:r>
    </w:p>
    <w:p w14:paraId="40F05738"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p>
    <w:p w14:paraId="5F4EE578"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1) La propuesta enviada por el participante; </w:t>
      </w:r>
    </w:p>
    <w:p w14:paraId="70C61C89"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lastRenderedPageBreak/>
        <w:t xml:space="preserve">2) Los motivos y fundamentos legales aplicados para llevarla a cabo; </w:t>
      </w:r>
    </w:p>
    <w:p w14:paraId="7B419BD7"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3) La autorización del ejercicio de la opción; </w:t>
      </w:r>
    </w:p>
    <w:p w14:paraId="1F0492D9"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4) En su caso, las cotizaciones consideradas, especificando los nombres de los proveedores y sus montos; </w:t>
      </w:r>
    </w:p>
    <w:p w14:paraId="0D825F89"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5) El nombre de la persona física o jurídica colectiva adjudicada; </w:t>
      </w:r>
    </w:p>
    <w:p w14:paraId="5D97AFEF"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 xml:space="preserve">6) La unidad administrativa solicitante y la responsable de su ejecución; </w:t>
      </w:r>
    </w:p>
    <w:p w14:paraId="1F454143"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b/>
          <w:i/>
          <w:color w:val="000000"/>
          <w:lang w:eastAsia="en-US"/>
        </w:rPr>
      </w:pPr>
      <w:r w:rsidRPr="00D44520">
        <w:rPr>
          <w:rFonts w:ascii="Palatino Linotype" w:eastAsia="Aptos" w:hAnsi="Palatino Linotype" w:cs="Palatino Linotype"/>
          <w:i/>
          <w:color w:val="000000"/>
          <w:lang w:eastAsia="en-US"/>
        </w:rPr>
        <w:t xml:space="preserve">7) </w:t>
      </w:r>
      <w:r w:rsidRPr="00D44520">
        <w:rPr>
          <w:rFonts w:ascii="Palatino Linotype" w:eastAsia="Aptos" w:hAnsi="Palatino Linotype" w:cs="Palatino Linotype"/>
          <w:b/>
          <w:i/>
          <w:color w:val="000000"/>
          <w:lang w:eastAsia="en-US"/>
        </w:rPr>
        <w:t xml:space="preserve">El número, fecha, el monto del contrato y el plazo de entrega o de ejecución de los servicios u obra; </w:t>
      </w:r>
    </w:p>
    <w:p w14:paraId="3EE56E39"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8) Los mecanismos de vigilancia y supervisión, incluyendo, en su caso, los estudios de impacto urbano y ambiental, según corresponda;</w:t>
      </w:r>
    </w:p>
    <w:p w14:paraId="02C2541B"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9) Los informes de avance sobre las obras o servicios contratados;</w:t>
      </w:r>
    </w:p>
    <w:p w14:paraId="742149A6"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10) El convenio de terminación; y</w:t>
      </w:r>
    </w:p>
    <w:p w14:paraId="3C136E34"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Palatino Linotype"/>
          <w:i/>
          <w:color w:val="000000"/>
          <w:lang w:eastAsia="en-US"/>
        </w:rPr>
      </w:pPr>
      <w:r w:rsidRPr="00D44520">
        <w:rPr>
          <w:rFonts w:ascii="Palatino Linotype" w:eastAsia="Aptos" w:hAnsi="Palatino Linotype" w:cs="Palatino Linotype"/>
          <w:i/>
          <w:color w:val="000000"/>
          <w:lang w:eastAsia="en-US"/>
        </w:rPr>
        <w:t>11) El finiquito</w:t>
      </w:r>
    </w:p>
    <w:p w14:paraId="507785E6"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Times New Roman"/>
          <w:i/>
          <w:color w:val="000000"/>
          <w:lang w:eastAsia="en-US"/>
        </w:rPr>
      </w:pPr>
      <w:r w:rsidRPr="00D44520">
        <w:rPr>
          <w:rFonts w:ascii="Palatino Linotype" w:eastAsia="Aptos" w:hAnsi="Palatino Linotype" w:cs="Times New Roman"/>
          <w:i/>
          <w:color w:val="000000"/>
          <w:lang w:eastAsia="en-US"/>
        </w:rPr>
        <w:t>…</w:t>
      </w:r>
    </w:p>
    <w:p w14:paraId="1458AD90"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eastAsia="Aptos" w:hAnsi="Palatino Linotype" w:cs="Times New Roman"/>
          <w:i/>
          <w:color w:val="000000"/>
          <w:lang w:eastAsia="en-US"/>
        </w:rPr>
      </w:pPr>
      <w:r w:rsidRPr="00D44520">
        <w:rPr>
          <w:rFonts w:ascii="Palatino Linotype" w:eastAsia="Aptos" w:hAnsi="Palatino Linotype" w:cs="Times New Roman"/>
          <w:i/>
          <w:color w:val="000000"/>
          <w:lang w:eastAsia="en-US"/>
        </w:rPr>
        <w:t>XXX al LII.</w:t>
      </w:r>
    </w:p>
    <w:p w14:paraId="29071B18" w14:textId="77777777" w:rsidR="00DA1A3F" w:rsidRPr="00D44520" w:rsidRDefault="00DA1A3F" w:rsidP="00DA1A3F">
      <w:pPr>
        <w:pBdr>
          <w:top w:val="nil"/>
          <w:left w:val="nil"/>
          <w:bottom w:val="nil"/>
          <w:right w:val="nil"/>
          <w:between w:val="nil"/>
        </w:pBdr>
        <w:spacing w:after="0" w:line="240" w:lineRule="auto"/>
        <w:ind w:left="851" w:right="567"/>
        <w:jc w:val="both"/>
        <w:rPr>
          <w:rFonts w:ascii="Palatino Linotype" w:hAnsi="Palatino Linotype" w:cs="Tahoma"/>
          <w:i/>
          <w:color w:val="000000"/>
          <w:lang w:val="es-ES" w:eastAsia="en-US"/>
        </w:rPr>
      </w:pPr>
      <w:r w:rsidRPr="00D44520">
        <w:rPr>
          <w:rFonts w:ascii="Palatino Linotype" w:hAnsi="Palatino Linotype" w:cs="Tahoma"/>
          <w:i/>
          <w:color w:val="000000"/>
          <w:lang w:val="es-ES" w:eastAsia="en-US"/>
        </w:rPr>
        <w:t>(Énfasis añadido)</w:t>
      </w:r>
    </w:p>
    <w:p w14:paraId="10A740E3" w14:textId="77777777" w:rsidR="00DA1A3F" w:rsidRPr="00D44520" w:rsidRDefault="00DA1A3F" w:rsidP="00DA1A3F">
      <w:pPr>
        <w:spacing w:after="0" w:line="360" w:lineRule="auto"/>
        <w:jc w:val="both"/>
        <w:rPr>
          <w:rFonts w:ascii="Palatino Linotype" w:eastAsia="Palatino Linotype" w:hAnsi="Palatino Linotype" w:cs="Palatino Linotype"/>
        </w:rPr>
      </w:pPr>
      <w:r w:rsidRPr="00D44520">
        <w:rPr>
          <w:rFonts w:ascii="Palatino Linotype" w:eastAsia="Palatino Linotype" w:hAnsi="Palatino Linotype" w:cs="Palatino Linotype"/>
        </w:rPr>
        <w:t xml:space="preserve"> </w:t>
      </w:r>
    </w:p>
    <w:p w14:paraId="7B70FDC8" w14:textId="77777777" w:rsidR="00DA1A3F" w:rsidRPr="00D44520" w:rsidRDefault="00DA1A3F" w:rsidP="00DA1A3F">
      <w:pPr>
        <w:spacing w:after="0" w:line="360" w:lineRule="auto"/>
        <w:jc w:val="both"/>
        <w:rPr>
          <w:rFonts w:ascii="Palatino Linotype" w:eastAsia="Palatino Linotype" w:hAnsi="Palatino Linotype" w:cs="Palatino Linotype"/>
        </w:rPr>
      </w:pPr>
      <w:r w:rsidRPr="00D44520">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D44520">
        <w:rPr>
          <w:rFonts w:ascii="Palatino Linotype" w:eastAsia="Palatino Linotype" w:hAnsi="Palatino Linotype" w:cs="Palatino Linotype"/>
          <w:b/>
        </w:rPr>
        <w:t>contratos</w:t>
      </w:r>
      <w:r w:rsidRPr="00D44520">
        <w:rPr>
          <w:rFonts w:ascii="Palatino Linotype" w:eastAsia="Palatino Linotype" w:hAnsi="Palatino Linotype" w:cs="Palatino Linotype"/>
        </w:rPr>
        <w:t xml:space="preserve"> y convenios celebrados, misma que </w:t>
      </w:r>
      <w:r w:rsidRPr="00D44520">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D44520">
        <w:rPr>
          <w:rFonts w:ascii="Palatino Linotype" w:eastAsia="Palatino Linotype" w:hAnsi="Palatino Linotype" w:cs="Palatino Linotype"/>
        </w:rPr>
        <w:t xml:space="preserve"> especificando para cada tipo de procedimiento la materia, pudiendo ser obra pública, servicios relacionados con obra pública, </w:t>
      </w:r>
      <w:r w:rsidRPr="00D44520">
        <w:rPr>
          <w:rFonts w:ascii="Palatino Linotype" w:eastAsia="Palatino Linotype" w:hAnsi="Palatino Linotype" w:cs="Palatino Linotype"/>
          <w:b/>
        </w:rPr>
        <w:t>arrendamiento,</w:t>
      </w:r>
      <w:r w:rsidRPr="00D44520">
        <w:rPr>
          <w:rFonts w:ascii="Palatino Linotype" w:eastAsia="Palatino Linotype" w:hAnsi="Palatino Linotype" w:cs="Palatino Linotype"/>
        </w:rPr>
        <w:t xml:space="preserve"> adquisiciones, o servicios, así como el carácter de cada uno, es decir, nacional o internacional, además se debe elaborar versión pública los documentos fuente que deban ser publicados en este apartado, tales como </w:t>
      </w:r>
      <w:r w:rsidRPr="00D44520">
        <w:rPr>
          <w:rFonts w:ascii="Palatino Linotype" w:eastAsia="Palatino Linotype" w:hAnsi="Palatino Linotype" w:cs="Palatino Linotype"/>
          <w:b/>
        </w:rPr>
        <w:t>contratos</w:t>
      </w:r>
      <w:r w:rsidRPr="00D44520">
        <w:rPr>
          <w:rFonts w:ascii="Palatino Linotype" w:eastAsia="Palatino Linotype" w:hAnsi="Palatino Linotype" w:cs="Palatino Linotype"/>
        </w:rPr>
        <w:t xml:space="preserve">, convenios, actas, dictámenes, fallos, convenios modificatorios, informes, entre otros, incluyendo sus anexos </w:t>
      </w:r>
      <w:r w:rsidRPr="00D44520">
        <w:rPr>
          <w:rFonts w:ascii="Palatino Linotype" w:eastAsia="Palatino Linotype" w:hAnsi="Palatino Linotype" w:cs="Palatino Linotype"/>
        </w:rPr>
        <w:lastRenderedPageBreak/>
        <w:t>correspondientes, información que debe ser actualizada de manera trimestral, y conservarse la generada en el ejercicio en curso y la correspondiente a dos ejercicios anteriores.</w:t>
      </w:r>
    </w:p>
    <w:p w14:paraId="7A561986" w14:textId="77777777" w:rsidR="00DA1A3F" w:rsidRPr="00D44520" w:rsidRDefault="00DA1A3F" w:rsidP="00B7114A">
      <w:pPr>
        <w:spacing w:after="0" w:line="360" w:lineRule="auto"/>
        <w:jc w:val="both"/>
        <w:rPr>
          <w:rFonts w:ascii="Palatino Linotype" w:eastAsia="Palatino Linotype" w:hAnsi="Palatino Linotype" w:cs="Palatino Linotype"/>
          <w:sz w:val="24"/>
          <w:szCs w:val="24"/>
        </w:rPr>
      </w:pPr>
    </w:p>
    <w:p w14:paraId="29146D5F" w14:textId="2AB98BCE" w:rsidR="00E7491D" w:rsidRPr="00D44520" w:rsidRDefault="00DA1A3F" w:rsidP="00B7114A">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Luego entonces, se colige que jurídicamente debe tener los contratos que respalden las adquisiciones de los bienes entregados.</w:t>
      </w:r>
    </w:p>
    <w:p w14:paraId="0FB49820" w14:textId="77777777" w:rsidR="00E7491D" w:rsidRPr="00D44520" w:rsidRDefault="00E7491D" w:rsidP="00B7114A">
      <w:pPr>
        <w:spacing w:after="0" w:line="360" w:lineRule="auto"/>
        <w:jc w:val="both"/>
        <w:rPr>
          <w:rFonts w:ascii="Palatino Linotype" w:eastAsia="Palatino Linotype" w:hAnsi="Palatino Linotype" w:cs="Palatino Linotype"/>
          <w:sz w:val="24"/>
          <w:szCs w:val="24"/>
        </w:rPr>
      </w:pPr>
    </w:p>
    <w:p w14:paraId="7489FAC6" w14:textId="38B9E554" w:rsidR="005F4DF9" w:rsidRPr="00D44520" w:rsidRDefault="00DA1A3F" w:rsidP="00B7114A">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Finalmente respecto de la evidencia fotográfica, es de comentar que el rostro de particulares es un dato susceptible de clasificar, por representar los rasgos físicos de una persona física ajena al servicio público, que la hace identificada o identificable. </w:t>
      </w:r>
    </w:p>
    <w:p w14:paraId="5E0665D5" w14:textId="1263F46D" w:rsidR="00DA1A3F" w:rsidRPr="00D44520" w:rsidRDefault="00DA1A3F" w:rsidP="00B7114A">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Por lo que resulta válida su calificación ya acompañada del acuerdo del Acuerdo del Comité de Transparencia por el que se apruebe tal situación.</w:t>
      </w:r>
    </w:p>
    <w:p w14:paraId="1FA4C02F" w14:textId="77777777" w:rsidR="00DA1A3F" w:rsidRPr="00D44520" w:rsidRDefault="00DA1A3F" w:rsidP="00B7114A">
      <w:pPr>
        <w:spacing w:after="0" w:line="360" w:lineRule="auto"/>
        <w:jc w:val="both"/>
        <w:rPr>
          <w:rFonts w:ascii="Palatino Linotype" w:eastAsia="Palatino Linotype" w:hAnsi="Palatino Linotype" w:cs="Palatino Linotype"/>
          <w:sz w:val="24"/>
          <w:szCs w:val="24"/>
        </w:rPr>
      </w:pPr>
    </w:p>
    <w:p w14:paraId="39FD8B06" w14:textId="13F8FD4A" w:rsidR="005C4BE4" w:rsidRPr="00D44520" w:rsidRDefault="005C4BE4"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Artículo 49.</w:t>
      </w:r>
      <w:r w:rsidRPr="00D44520">
        <w:rPr>
          <w:rFonts w:ascii="Palatino Linotype" w:eastAsia="Palatino Linotype" w:hAnsi="Palatino Linotype" w:cs="Palatino Linotype"/>
          <w:i/>
          <w:sz w:val="24"/>
          <w:szCs w:val="24"/>
        </w:rPr>
        <w:t xml:space="preserve"> Los Comités de Transparencia tendrán las siguientes atribuciones:</w:t>
      </w:r>
    </w:p>
    <w:p w14:paraId="0E6D8299" w14:textId="5298378C" w:rsidR="00DA1A3F" w:rsidRPr="00D44520" w:rsidRDefault="005C4BE4"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II.</w:t>
      </w:r>
      <w:r w:rsidRPr="00D44520">
        <w:rPr>
          <w:rFonts w:ascii="Palatino Linotype" w:eastAsia="Palatino Linotype" w:hAnsi="Palatino Linotype" w:cs="Palatino Linotype"/>
          <w:i/>
          <w:sz w:val="24"/>
          <w:szCs w:val="24"/>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497CE80" w14:textId="77777777" w:rsidR="005C4BE4" w:rsidRPr="00D44520" w:rsidRDefault="005C4BE4" w:rsidP="00672A15">
      <w:pPr>
        <w:spacing w:after="0" w:line="360" w:lineRule="auto"/>
        <w:ind w:left="851" w:right="425"/>
        <w:jc w:val="both"/>
        <w:rPr>
          <w:rFonts w:ascii="Palatino Linotype" w:eastAsia="Palatino Linotype" w:hAnsi="Palatino Linotype" w:cs="Palatino Linotype"/>
          <w:i/>
          <w:sz w:val="24"/>
          <w:szCs w:val="24"/>
        </w:rPr>
      </w:pPr>
    </w:p>
    <w:p w14:paraId="3ED9D9C5" w14:textId="026913C9" w:rsidR="005C4BE4" w:rsidRPr="00D44520" w:rsidRDefault="005C4BE4"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Artículo 53.</w:t>
      </w:r>
      <w:r w:rsidRPr="00D44520">
        <w:rPr>
          <w:rFonts w:ascii="Palatino Linotype" w:eastAsia="Palatino Linotype" w:hAnsi="Palatino Linotype" w:cs="Palatino Linotype"/>
          <w:i/>
          <w:sz w:val="24"/>
          <w:szCs w:val="24"/>
        </w:rPr>
        <w:t xml:space="preserve"> Las Unidades de Transparencia tendrán las siguientes funciones:</w:t>
      </w:r>
    </w:p>
    <w:p w14:paraId="26A1E72A" w14:textId="3168B00D" w:rsidR="00DA1A3F" w:rsidRPr="00D44520" w:rsidRDefault="005C4BE4"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X.</w:t>
      </w:r>
      <w:r w:rsidRPr="00D44520">
        <w:rPr>
          <w:rFonts w:ascii="Palatino Linotype" w:eastAsia="Palatino Linotype" w:hAnsi="Palatino Linotype" w:cs="Palatino Linotype"/>
          <w:i/>
          <w:sz w:val="24"/>
          <w:szCs w:val="24"/>
        </w:rPr>
        <w:t xml:space="preserve"> Presentar ante el Comité, el proyecto de clasificación de información;</w:t>
      </w:r>
    </w:p>
    <w:p w14:paraId="7C8CDE21" w14:textId="77777777" w:rsidR="00672A15" w:rsidRPr="00D44520" w:rsidRDefault="00672A15" w:rsidP="00672A15">
      <w:pPr>
        <w:spacing w:after="0" w:line="360" w:lineRule="auto"/>
        <w:ind w:left="851" w:right="425"/>
        <w:jc w:val="both"/>
        <w:rPr>
          <w:rFonts w:ascii="Palatino Linotype" w:eastAsia="Palatino Linotype" w:hAnsi="Palatino Linotype" w:cs="Palatino Linotype"/>
          <w:i/>
          <w:sz w:val="24"/>
          <w:szCs w:val="24"/>
        </w:rPr>
      </w:pPr>
    </w:p>
    <w:p w14:paraId="1F201F8C" w14:textId="090E16C9" w:rsidR="00672A15" w:rsidRPr="00D44520" w:rsidRDefault="00672A15"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Artículo 59.</w:t>
      </w:r>
      <w:r w:rsidRPr="00D44520">
        <w:rPr>
          <w:rFonts w:ascii="Palatino Linotype" w:eastAsia="Palatino Linotype" w:hAnsi="Palatino Linotype" w:cs="Palatino Linotype"/>
          <w:i/>
          <w:sz w:val="24"/>
          <w:szCs w:val="24"/>
        </w:rPr>
        <w:t xml:space="preserve"> Los servidores públicos habilitados tendrán las funciones siguientes:</w:t>
      </w:r>
    </w:p>
    <w:p w14:paraId="6C6D31BB" w14:textId="77777777" w:rsidR="00672A15" w:rsidRPr="00D44520" w:rsidRDefault="00672A15" w:rsidP="00672A15">
      <w:pPr>
        <w:spacing w:after="0" w:line="360" w:lineRule="auto"/>
        <w:ind w:left="851" w:right="425"/>
        <w:jc w:val="both"/>
        <w:rPr>
          <w:rFonts w:ascii="Palatino Linotype" w:eastAsia="Palatino Linotype" w:hAnsi="Palatino Linotype" w:cs="Palatino Linotype"/>
          <w:b/>
          <w:i/>
          <w:sz w:val="24"/>
          <w:szCs w:val="24"/>
        </w:rPr>
      </w:pPr>
      <w:r w:rsidRPr="00D44520">
        <w:rPr>
          <w:rFonts w:ascii="Palatino Linotype" w:eastAsia="Palatino Linotype" w:hAnsi="Palatino Linotype" w:cs="Palatino Linotype"/>
          <w:b/>
          <w:i/>
          <w:sz w:val="24"/>
          <w:szCs w:val="24"/>
        </w:rPr>
        <w:lastRenderedPageBreak/>
        <w:t>V.</w:t>
      </w:r>
      <w:r w:rsidRPr="00D44520">
        <w:rPr>
          <w:rFonts w:ascii="Palatino Linotype" w:eastAsia="Palatino Linotype" w:hAnsi="Palatino Linotype" w:cs="Palatino Linotype"/>
          <w:i/>
          <w:sz w:val="24"/>
          <w:szCs w:val="24"/>
        </w:rPr>
        <w:t xml:space="preserve"> Integrar y presentar al responsable de la Unidad de Transparencia la propuesta de clasificación de información, la cual tendrá los fundamentos y argumentos en que se basa dicha propuesta;</w:t>
      </w:r>
    </w:p>
    <w:p w14:paraId="2C50D347" w14:textId="3419CD38" w:rsidR="00672A15" w:rsidRPr="00D44520" w:rsidRDefault="00672A15" w:rsidP="00672A15">
      <w:pPr>
        <w:spacing w:after="0" w:line="360" w:lineRule="auto"/>
        <w:ind w:left="851" w:right="425"/>
        <w:jc w:val="both"/>
        <w:rPr>
          <w:rFonts w:ascii="Palatino Linotype" w:eastAsia="Palatino Linotype" w:hAnsi="Palatino Linotype" w:cs="Palatino Linotype"/>
          <w:i/>
          <w:sz w:val="24"/>
          <w:szCs w:val="24"/>
        </w:rPr>
      </w:pPr>
      <w:r w:rsidRPr="00D44520">
        <w:rPr>
          <w:rFonts w:ascii="Palatino Linotype" w:eastAsia="Palatino Linotype" w:hAnsi="Palatino Linotype" w:cs="Palatino Linotype"/>
          <w:b/>
          <w:i/>
          <w:sz w:val="24"/>
          <w:szCs w:val="24"/>
        </w:rPr>
        <w:t>VI.</w:t>
      </w:r>
      <w:r w:rsidRPr="00D44520">
        <w:rPr>
          <w:rFonts w:ascii="Palatino Linotype" w:eastAsia="Palatino Linotype" w:hAnsi="Palatino Linotype" w:cs="Palatino Linotype"/>
          <w:i/>
          <w:sz w:val="24"/>
          <w:szCs w:val="24"/>
        </w:rPr>
        <w:t xml:space="preserve"> Verificar, una vez analizado el contenido de la información, que no se encuentre en los supuestos de información clasificada; y</w:t>
      </w:r>
    </w:p>
    <w:p w14:paraId="4526C402" w14:textId="77777777" w:rsidR="00376F47" w:rsidRPr="00D44520" w:rsidRDefault="00376F47" w:rsidP="00376F47">
      <w:pPr>
        <w:autoSpaceDE w:val="0"/>
        <w:autoSpaceDN w:val="0"/>
        <w:adjustRightInd w:val="0"/>
        <w:spacing w:before="240" w:after="0" w:line="360" w:lineRule="auto"/>
        <w:jc w:val="both"/>
        <w:rPr>
          <w:rFonts w:ascii="Palatino Linotype" w:hAnsi="Palatino Linotype"/>
          <w:b/>
          <w:sz w:val="28"/>
          <w:szCs w:val="28"/>
          <w:lang w:val="es-ES_tradnl"/>
        </w:rPr>
      </w:pPr>
      <w:r w:rsidRPr="00D44520">
        <w:rPr>
          <w:rFonts w:ascii="Palatino Linotype" w:hAnsi="Palatino Linotype"/>
          <w:b/>
          <w:sz w:val="28"/>
          <w:szCs w:val="28"/>
          <w:lang w:val="es-ES_tradnl"/>
        </w:rPr>
        <w:t xml:space="preserve">De la Versión Pública </w:t>
      </w:r>
    </w:p>
    <w:p w14:paraId="7B3A4F53" w14:textId="77777777" w:rsidR="00376F47" w:rsidRPr="00D44520" w:rsidRDefault="00376F47" w:rsidP="00376F47">
      <w:pPr>
        <w:spacing w:after="0" w:line="360" w:lineRule="auto"/>
        <w:jc w:val="both"/>
        <w:rPr>
          <w:rFonts w:ascii="Palatino Linotype" w:hAnsi="Palatino Linotype"/>
          <w:sz w:val="24"/>
          <w:szCs w:val="24"/>
          <w:lang w:val="es-ES_tradnl"/>
        </w:rPr>
      </w:pPr>
      <w:r w:rsidRPr="00D44520">
        <w:rPr>
          <w:rFonts w:ascii="Palatino Linotype" w:hAnsi="Palatino Linotype"/>
          <w:sz w:val="24"/>
          <w:szCs w:val="24"/>
          <w:lang w:val="es-ES_tradnl"/>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70211C0" w14:textId="77777777" w:rsidR="00376F47" w:rsidRPr="00D44520" w:rsidRDefault="00376F47" w:rsidP="00376F47">
      <w:pPr>
        <w:spacing w:after="0" w:line="360" w:lineRule="auto"/>
        <w:jc w:val="both"/>
        <w:rPr>
          <w:rFonts w:ascii="Palatino Linotype" w:hAnsi="Palatino Linotype"/>
          <w:sz w:val="24"/>
          <w:szCs w:val="24"/>
          <w:lang w:val="es-ES_tradnl"/>
        </w:rPr>
      </w:pPr>
      <w:r w:rsidRPr="00D44520">
        <w:rPr>
          <w:rFonts w:ascii="Palatino Linotype" w:hAnsi="Palatino Linotype"/>
          <w:sz w:val="24"/>
          <w:szCs w:val="24"/>
          <w:lang w:val="es-ES_tradnl"/>
        </w:rPr>
        <w:t>A este respecto, los artículos 3, fracciones IX, XX, XXI y XLV; 51 y 52 de la Ley de Transparencia y Acceso a la Información Pública del Estado de México y Municipios establecen:</w:t>
      </w:r>
    </w:p>
    <w:p w14:paraId="756FAA1E"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 xml:space="preserve">“Artículo 3. </w:t>
      </w:r>
      <w:r w:rsidRPr="00D44520">
        <w:rPr>
          <w:rFonts w:ascii="Palatino Linotype" w:eastAsiaTheme="minorHAnsi" w:hAnsi="Palatino Linotype" w:cs="Arial"/>
          <w:i/>
          <w:lang w:eastAsia="en-US"/>
        </w:rPr>
        <w:t xml:space="preserve">Para los efectos de la presente Ley se entenderá por: </w:t>
      </w:r>
    </w:p>
    <w:p w14:paraId="57DE4A04"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w:t>
      </w:r>
    </w:p>
    <w:p w14:paraId="05CA64E2"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IX.</w:t>
      </w:r>
      <w:r w:rsidRPr="00D44520">
        <w:rPr>
          <w:rFonts w:ascii="Palatino Linotype" w:eastAsiaTheme="minorHAnsi" w:hAnsi="Palatino Linotype" w:cs="Arial"/>
          <w:i/>
          <w:lang w:eastAsia="en-US"/>
        </w:rPr>
        <w:t xml:space="preserve"> </w:t>
      </w:r>
      <w:r w:rsidRPr="00D44520">
        <w:rPr>
          <w:rFonts w:ascii="Palatino Linotype" w:eastAsiaTheme="minorHAnsi" w:hAnsi="Palatino Linotype" w:cs="Arial"/>
          <w:b/>
          <w:i/>
          <w:lang w:eastAsia="en-US"/>
        </w:rPr>
        <w:t xml:space="preserve">Datos personales: </w:t>
      </w:r>
      <w:r w:rsidRPr="00D44520">
        <w:rPr>
          <w:rFonts w:ascii="Palatino Linotype" w:eastAsiaTheme="minorHAnsi" w:hAnsi="Palatino Linotype" w:cs="Arial"/>
          <w:i/>
          <w:lang w:eastAsia="en-US"/>
        </w:rPr>
        <w:t xml:space="preserve">La información concerniente a una persona, identificada o identificable según lo dispuesto por la Ley de Protección de Datos Personales del Estado de México; </w:t>
      </w:r>
    </w:p>
    <w:p w14:paraId="408CD505"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w:t>
      </w:r>
    </w:p>
    <w:p w14:paraId="75D4ED04"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lastRenderedPageBreak/>
        <w:t>XX.</w:t>
      </w:r>
      <w:r w:rsidRPr="00D44520">
        <w:rPr>
          <w:rFonts w:ascii="Palatino Linotype" w:eastAsiaTheme="minorHAnsi" w:hAnsi="Palatino Linotype" w:cs="Arial"/>
          <w:i/>
          <w:lang w:eastAsia="en-US"/>
        </w:rPr>
        <w:t xml:space="preserve"> </w:t>
      </w:r>
      <w:r w:rsidRPr="00D44520">
        <w:rPr>
          <w:rFonts w:ascii="Palatino Linotype" w:eastAsiaTheme="minorHAnsi" w:hAnsi="Palatino Linotype" w:cs="Arial"/>
          <w:b/>
          <w:i/>
          <w:lang w:eastAsia="en-US"/>
        </w:rPr>
        <w:t>Información clasificada:</w:t>
      </w:r>
      <w:r w:rsidRPr="00D44520">
        <w:rPr>
          <w:rFonts w:ascii="Palatino Linotype" w:eastAsiaTheme="minorHAnsi" w:hAnsi="Palatino Linotype" w:cs="Arial"/>
          <w:i/>
          <w:lang w:eastAsia="en-US"/>
        </w:rPr>
        <w:t xml:space="preserve"> Aquella considerada por la presente Ley como reservada o confidencial; </w:t>
      </w:r>
    </w:p>
    <w:p w14:paraId="0495A83F"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XXI.</w:t>
      </w:r>
      <w:r w:rsidRPr="00D44520">
        <w:rPr>
          <w:rFonts w:ascii="Palatino Linotype" w:eastAsiaTheme="minorHAnsi" w:hAnsi="Palatino Linotype" w:cs="Arial"/>
          <w:i/>
          <w:lang w:eastAsia="en-US"/>
        </w:rPr>
        <w:t xml:space="preserve"> </w:t>
      </w:r>
      <w:r w:rsidRPr="00D44520">
        <w:rPr>
          <w:rFonts w:ascii="Palatino Linotype" w:eastAsiaTheme="minorHAnsi" w:hAnsi="Palatino Linotype" w:cs="Arial"/>
          <w:b/>
          <w:i/>
          <w:lang w:eastAsia="en-US"/>
        </w:rPr>
        <w:t>Información confidencial</w:t>
      </w:r>
      <w:r w:rsidRPr="00D44520">
        <w:rPr>
          <w:rFonts w:ascii="Palatino Linotype" w:eastAsiaTheme="minorHAnsi" w:hAnsi="Palatino Linotype" w:cs="Arial"/>
          <w:i/>
          <w:lang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C641AAD"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w:t>
      </w:r>
    </w:p>
    <w:p w14:paraId="27605BFB"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XLV. Versión pública:</w:t>
      </w:r>
      <w:r w:rsidRPr="00D44520">
        <w:rPr>
          <w:rFonts w:ascii="Palatino Linotype" w:eastAsiaTheme="minorHAnsi" w:hAnsi="Palatino Linotype" w:cs="Arial"/>
          <w:i/>
          <w:lang w:eastAsia="en-US"/>
        </w:rPr>
        <w:t xml:space="preserve"> Documento en el que se elimine, suprime o borra la información clasificada como reservada o confidencial para permitir su acceso. </w:t>
      </w:r>
    </w:p>
    <w:p w14:paraId="36B56CD9"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Artículo 51.</w:t>
      </w:r>
      <w:r w:rsidRPr="00D44520">
        <w:rPr>
          <w:rFonts w:ascii="Palatino Linotype" w:eastAsiaTheme="minorHAnsi" w:hAnsi="Palatino Linotype" w:cs="Arial"/>
          <w:i/>
          <w:lang w:eastAsia="en-U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44520">
        <w:rPr>
          <w:rFonts w:ascii="Palatino Linotype" w:eastAsiaTheme="minorHAnsi" w:hAnsi="Palatino Linotype" w:cs="Arial"/>
          <w:b/>
          <w:i/>
          <w:lang w:eastAsia="en-US"/>
        </w:rPr>
        <w:t xml:space="preserve">y tendrá la responsabilidad de verificar en cada caso que la misma no sea confidencial o reservada. </w:t>
      </w:r>
      <w:r w:rsidRPr="00D44520">
        <w:rPr>
          <w:rFonts w:ascii="Palatino Linotype" w:eastAsiaTheme="minorHAnsi" w:hAnsi="Palatino Linotype" w:cs="Arial"/>
          <w:i/>
          <w:lang w:eastAsia="en-US"/>
        </w:rPr>
        <w:t xml:space="preserve">Dicha Unidad contará con las facultades internas necesarias para gestionar la atención a las solicitudes de información en los términos de la Ley General y la presente Ley. </w:t>
      </w:r>
    </w:p>
    <w:p w14:paraId="691D914E" w14:textId="77777777" w:rsidR="00376F47" w:rsidRPr="00D44520" w:rsidRDefault="00376F47" w:rsidP="00376F47">
      <w:pPr>
        <w:spacing w:before="240" w:line="360" w:lineRule="auto"/>
        <w:ind w:left="851" w:right="851"/>
        <w:jc w:val="both"/>
        <w:rPr>
          <w:rFonts w:ascii="Palatino Linotype" w:eastAsiaTheme="minorHAnsi" w:hAnsi="Palatino Linotype" w:cs="Arial"/>
          <w:b/>
          <w:bCs/>
          <w:i/>
          <w:lang w:eastAsia="en-US"/>
        </w:rPr>
      </w:pPr>
      <w:r w:rsidRPr="00D44520">
        <w:rPr>
          <w:rFonts w:ascii="Palatino Linotype" w:eastAsiaTheme="minorHAnsi" w:hAnsi="Palatino Linotype" w:cs="Arial"/>
          <w:b/>
          <w:i/>
          <w:lang w:eastAsia="en-US"/>
        </w:rPr>
        <w:t>Artículo 52.</w:t>
      </w:r>
      <w:r w:rsidRPr="00D44520">
        <w:rPr>
          <w:rFonts w:ascii="Palatino Linotype" w:eastAsiaTheme="minorHAnsi" w:hAnsi="Palatino Linotype" w:cs="Arial"/>
          <w:i/>
          <w:lang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D44520">
        <w:rPr>
          <w:rFonts w:ascii="Palatino Linotype" w:eastAsiaTheme="minorHAnsi" w:hAnsi="Palatino Linotype" w:cs="Arial"/>
          <w:b/>
          <w:bCs/>
          <w:i/>
          <w:lang w:eastAsia="en-US"/>
        </w:rPr>
        <w:t>(Sic)</w:t>
      </w:r>
    </w:p>
    <w:p w14:paraId="2E5C3A53" w14:textId="77777777" w:rsidR="00376F47" w:rsidRPr="00D44520" w:rsidRDefault="00376F47" w:rsidP="00376F47">
      <w:pPr>
        <w:spacing w:after="0" w:line="360" w:lineRule="auto"/>
        <w:jc w:val="both"/>
        <w:rPr>
          <w:rFonts w:ascii="Palatino Linotype" w:hAnsi="Palatino Linotype"/>
          <w:sz w:val="24"/>
          <w:lang w:val="es-ES_tradnl"/>
        </w:rPr>
      </w:pPr>
    </w:p>
    <w:p w14:paraId="23364597" w14:textId="77777777" w:rsidR="00376F47" w:rsidRPr="00D44520" w:rsidRDefault="00376F47" w:rsidP="00376F47">
      <w:pPr>
        <w:spacing w:after="0" w:line="360" w:lineRule="auto"/>
        <w:jc w:val="both"/>
        <w:rPr>
          <w:rFonts w:ascii="Palatino Linotype" w:hAnsi="Palatino Linotype"/>
          <w:sz w:val="24"/>
          <w:szCs w:val="24"/>
          <w:lang w:val="es-ES_tradnl"/>
        </w:rPr>
      </w:pPr>
      <w:r w:rsidRPr="00D44520">
        <w:rPr>
          <w:rFonts w:ascii="Palatino Linotype" w:hAnsi="Palatino Linotype"/>
          <w:sz w:val="24"/>
          <w:szCs w:val="24"/>
          <w:lang w:val="es-ES_tradn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418779C"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b/>
          <w:i/>
          <w:lang w:eastAsia="en-US"/>
        </w:rPr>
        <w:t>“Artículo</w:t>
      </w:r>
      <w:r w:rsidRPr="00D44520">
        <w:rPr>
          <w:rFonts w:ascii="Palatino Linotype" w:eastAsiaTheme="minorHAnsi" w:hAnsi="Palatino Linotype" w:cs="Arial"/>
          <w:i/>
          <w:lang w:eastAsia="en-US"/>
        </w:rPr>
        <w:t xml:space="preserve"> </w:t>
      </w:r>
      <w:r w:rsidRPr="00D44520">
        <w:rPr>
          <w:rFonts w:ascii="Palatino Linotype" w:eastAsiaTheme="minorHAnsi" w:hAnsi="Palatino Linotype" w:cs="Arial"/>
          <w:b/>
          <w:i/>
          <w:lang w:eastAsia="en-US"/>
        </w:rPr>
        <w:t>22</w:t>
      </w:r>
      <w:r w:rsidRPr="00D44520">
        <w:rPr>
          <w:rFonts w:ascii="Palatino Linotype" w:eastAsiaTheme="minorHAnsi" w:hAnsi="Palatino Linotype" w:cs="Arial"/>
          <w:i/>
          <w:lang w:eastAsia="en-US"/>
        </w:rPr>
        <w:t>. Todo tratamiento de datos personales que efectúe el responsable deberá estar justificado por finalidades concretas, lícitas, explícitas y legítimas, relacionadas con las atribuciones que la normatividad aplicable les confiera.</w:t>
      </w:r>
    </w:p>
    <w:p w14:paraId="69B19FFE"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El responsable podrá tratar datos personales para finalidades distintas a aquéllas establecidas en el aviso de privacidad, en los casos siguientes:</w:t>
      </w:r>
    </w:p>
    <w:p w14:paraId="5E53CB15"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I. Cuente con atribuciones conferidas en ley y medie el consentimiento del titular.</w:t>
      </w:r>
    </w:p>
    <w:p w14:paraId="4FA2CF7A" w14:textId="77777777" w:rsidR="00376F47" w:rsidRPr="00D44520" w:rsidRDefault="00376F47" w:rsidP="00376F47">
      <w:pPr>
        <w:spacing w:before="240" w:line="360" w:lineRule="auto"/>
        <w:ind w:left="851" w:right="851"/>
        <w:jc w:val="both"/>
        <w:rPr>
          <w:rFonts w:ascii="Palatino Linotype" w:eastAsiaTheme="minorHAnsi" w:hAnsi="Palatino Linotype" w:cs="Arial"/>
          <w:i/>
          <w:lang w:eastAsia="en-US"/>
        </w:rPr>
      </w:pPr>
      <w:r w:rsidRPr="00D44520">
        <w:rPr>
          <w:rFonts w:ascii="Palatino Linotype" w:eastAsiaTheme="minorHAnsi" w:hAnsi="Palatino Linotype" w:cs="Arial"/>
          <w:i/>
          <w:lang w:eastAsia="en-US"/>
        </w:rPr>
        <w:t>II. Se trate de una persona reportada como desaparecida, en los términos previstos en la presente Ley y demás disposiciones legales aplicables...</w:t>
      </w:r>
    </w:p>
    <w:p w14:paraId="33FE55E9" w14:textId="77777777" w:rsidR="00376F47" w:rsidRPr="00D44520" w:rsidRDefault="00376F47" w:rsidP="00376F47">
      <w:pPr>
        <w:spacing w:before="240" w:line="360" w:lineRule="auto"/>
        <w:ind w:left="851" w:right="851"/>
        <w:jc w:val="both"/>
        <w:rPr>
          <w:rFonts w:ascii="Palatino Linotype" w:eastAsiaTheme="minorHAnsi" w:hAnsi="Palatino Linotype" w:cs="Arial"/>
          <w:b/>
          <w:bCs/>
          <w:i/>
          <w:lang w:eastAsia="en-US"/>
        </w:rPr>
      </w:pPr>
      <w:r w:rsidRPr="00D44520">
        <w:rPr>
          <w:rFonts w:ascii="Palatino Linotype" w:eastAsiaTheme="minorHAnsi" w:hAnsi="Palatino Linotype" w:cs="Arial"/>
          <w:b/>
          <w:i/>
          <w:lang w:eastAsia="en-US"/>
        </w:rPr>
        <w:t>Artículo</w:t>
      </w:r>
      <w:r w:rsidRPr="00D44520">
        <w:rPr>
          <w:rFonts w:ascii="Palatino Linotype" w:eastAsiaTheme="minorHAnsi" w:hAnsi="Palatino Linotype" w:cs="Arial"/>
          <w:i/>
          <w:lang w:eastAsia="en-US"/>
        </w:rPr>
        <w:t xml:space="preserve"> </w:t>
      </w:r>
      <w:r w:rsidRPr="00D44520">
        <w:rPr>
          <w:rFonts w:ascii="Palatino Linotype" w:eastAsiaTheme="minorHAnsi" w:hAnsi="Palatino Linotype" w:cs="Arial"/>
          <w:b/>
          <w:i/>
          <w:lang w:eastAsia="en-US"/>
        </w:rPr>
        <w:t>38</w:t>
      </w:r>
      <w:r w:rsidRPr="00D44520">
        <w:rPr>
          <w:rFonts w:ascii="Palatino Linotype" w:eastAsiaTheme="minorHAnsi" w:hAnsi="Palatino Linotype" w:cs="Arial"/>
          <w:i/>
          <w:lang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D44520">
        <w:rPr>
          <w:rFonts w:ascii="Palatino Linotype" w:eastAsiaTheme="minorHAnsi" w:hAnsi="Palatino Linotype" w:cs="Arial"/>
          <w:i/>
          <w:lang w:eastAsia="en-US"/>
        </w:rPr>
        <w:lastRenderedPageBreak/>
        <w:t xml:space="preserve">tratamiento no autorizado o ilícito, de conformidad con lo dispuesto en los lineamientos que al efecto se expidan.” </w:t>
      </w:r>
      <w:r w:rsidRPr="00D44520">
        <w:rPr>
          <w:rFonts w:ascii="Palatino Linotype" w:eastAsiaTheme="minorHAnsi" w:hAnsi="Palatino Linotype" w:cs="Arial"/>
          <w:b/>
          <w:bCs/>
          <w:i/>
          <w:lang w:eastAsia="en-US"/>
        </w:rPr>
        <w:t>(Sic)</w:t>
      </w:r>
    </w:p>
    <w:p w14:paraId="3F329646" w14:textId="77777777" w:rsidR="00376F47" w:rsidRPr="00D44520" w:rsidRDefault="00376F47" w:rsidP="00376F47">
      <w:pPr>
        <w:spacing w:after="0" w:line="360" w:lineRule="auto"/>
        <w:jc w:val="both"/>
        <w:rPr>
          <w:rFonts w:ascii="Palatino Linotype" w:hAnsi="Palatino Linotype"/>
          <w:sz w:val="24"/>
          <w:szCs w:val="24"/>
          <w:lang w:val="es-ES_tradnl"/>
        </w:rPr>
      </w:pPr>
    </w:p>
    <w:p w14:paraId="12BBD1FA" w14:textId="77777777" w:rsidR="00376F47" w:rsidRPr="00D44520" w:rsidRDefault="00376F47" w:rsidP="00376F47">
      <w:pPr>
        <w:spacing w:after="0" w:line="360" w:lineRule="auto"/>
        <w:jc w:val="both"/>
        <w:rPr>
          <w:rFonts w:ascii="Palatino Linotype" w:hAnsi="Palatino Linotype"/>
          <w:sz w:val="24"/>
          <w:szCs w:val="24"/>
          <w:lang w:val="es-ES_tradnl"/>
        </w:rPr>
      </w:pPr>
      <w:r w:rsidRPr="00D44520">
        <w:rPr>
          <w:rFonts w:ascii="Palatino Linotype" w:hAnsi="Palatino Linotype"/>
          <w:sz w:val="24"/>
          <w:szCs w:val="24"/>
          <w:lang w:val="es-ES_tradn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A730F6E" w14:textId="77777777" w:rsidR="00376F47" w:rsidRPr="00D44520" w:rsidRDefault="00376F47" w:rsidP="00376F47">
      <w:pPr>
        <w:spacing w:after="0" w:line="360" w:lineRule="auto"/>
        <w:jc w:val="both"/>
        <w:rPr>
          <w:rFonts w:ascii="Palatino Linotype" w:hAnsi="Palatino Linotype"/>
          <w:sz w:val="24"/>
          <w:szCs w:val="24"/>
          <w:lang w:val="es-ES_tradnl"/>
        </w:rPr>
      </w:pPr>
      <w:r w:rsidRPr="00D44520">
        <w:rPr>
          <w:rFonts w:ascii="Palatino Linotype" w:hAnsi="Palatino Linotype"/>
          <w:sz w:val="24"/>
          <w:szCs w:val="24"/>
          <w:lang w:val="es-ES_tradn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44520">
        <w:rPr>
          <w:rFonts w:ascii="Palatino Linotype" w:hAnsi="Palatino Linotype"/>
          <w:color w:val="000000"/>
          <w:sz w:val="24"/>
          <w:szCs w:val="24"/>
          <w:lang w:val="es-ES_tradnl"/>
        </w:rPr>
        <w:t>el Sujeto Obligado</w:t>
      </w:r>
      <w:r w:rsidRPr="00D44520">
        <w:rPr>
          <w:rFonts w:ascii="Palatino Linotype" w:hAnsi="Palatino Linotype"/>
          <w:sz w:val="24"/>
          <w:szCs w:val="24"/>
          <w:lang w:val="es-ES_tradnl"/>
        </w:rPr>
        <w:t xml:space="preserve">, en ese contexto, todo dato personal susceptible de clasificación debe ser protegido. </w:t>
      </w:r>
    </w:p>
    <w:p w14:paraId="3B23BDDC" w14:textId="77777777" w:rsidR="00376F47" w:rsidRPr="00D44520" w:rsidRDefault="00376F47" w:rsidP="00376F47">
      <w:pPr>
        <w:spacing w:after="0" w:line="360" w:lineRule="auto"/>
        <w:ind w:right="51"/>
        <w:jc w:val="both"/>
        <w:rPr>
          <w:rFonts w:ascii="Palatino Linotype" w:hAnsi="Palatino Linotype" w:cs="Arial"/>
          <w:sz w:val="24"/>
          <w:szCs w:val="24"/>
          <w:lang w:val="es-ES_tradnl"/>
        </w:rPr>
      </w:pPr>
    </w:p>
    <w:p w14:paraId="65378506" w14:textId="20C27F6A" w:rsidR="00376F47" w:rsidRPr="00D44520" w:rsidRDefault="00376F47" w:rsidP="00376F47">
      <w:pPr>
        <w:spacing w:after="0" w:line="360" w:lineRule="auto"/>
        <w:ind w:right="51"/>
        <w:jc w:val="both"/>
        <w:rPr>
          <w:rFonts w:ascii="Palatino Linotype" w:hAnsi="Palatino Linotype" w:cs="Arial"/>
          <w:sz w:val="24"/>
          <w:szCs w:val="24"/>
          <w:lang w:val="es-ES_tradnl"/>
        </w:rPr>
      </w:pPr>
      <w:r w:rsidRPr="00D44520">
        <w:rPr>
          <w:rFonts w:ascii="Palatino Linotype" w:hAnsi="Palatino Linotype" w:cs="Arial"/>
          <w:sz w:val="24"/>
          <w:szCs w:val="24"/>
          <w:lang w:val="es-ES_tradn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44520">
        <w:rPr>
          <w:rFonts w:ascii="Palatino Linotype" w:hAnsi="Palatino Linotype" w:cs="Arial"/>
          <w:b/>
          <w:bCs/>
          <w:sz w:val="24"/>
          <w:szCs w:val="24"/>
          <w:lang w:val="es-ES_tradnl"/>
        </w:rPr>
        <w:t xml:space="preserve">LINEAMIENTOS GENERALES EN MATERIA DE CLASIFICACIÓN Y DESCLASIFICACIÓN DE LA </w:t>
      </w:r>
      <w:r w:rsidRPr="00D44520">
        <w:rPr>
          <w:rFonts w:ascii="Palatino Linotype" w:hAnsi="Palatino Linotype" w:cs="Arial"/>
          <w:b/>
          <w:bCs/>
          <w:sz w:val="24"/>
          <w:szCs w:val="24"/>
          <w:lang w:val="es-ES_tradnl"/>
        </w:rPr>
        <w:lastRenderedPageBreak/>
        <w:t>INFORMACIÓN, ASÍ COMO PARA LA ELABORACIÓN DE VERSIONES PÚBLICAS,</w:t>
      </w:r>
      <w:r w:rsidRPr="00D44520">
        <w:rPr>
          <w:rFonts w:ascii="Palatino Linotype" w:hAnsi="Palatino Linotype" w:cs="Arial"/>
          <w:sz w:val="24"/>
          <w:szCs w:val="24"/>
          <w:lang w:val="es-ES_tradn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09EBCCE" w14:textId="77777777" w:rsidR="007B69B1" w:rsidRPr="00D44520" w:rsidRDefault="007B69B1" w:rsidP="00376F47">
      <w:pPr>
        <w:spacing w:after="0" w:line="360" w:lineRule="auto"/>
        <w:ind w:right="51"/>
        <w:jc w:val="both"/>
        <w:rPr>
          <w:rFonts w:ascii="Palatino Linotype" w:hAnsi="Palatino Linotype" w:cs="Arial"/>
          <w:sz w:val="24"/>
          <w:szCs w:val="24"/>
          <w:lang w:val="es-ES_tradnl"/>
        </w:rPr>
      </w:pPr>
    </w:p>
    <w:p w14:paraId="1D9B0309" w14:textId="62EFCA2C" w:rsidR="009E3316" w:rsidRPr="00D44520" w:rsidRDefault="009E3316" w:rsidP="00672A15">
      <w:pPr>
        <w:pStyle w:val="Prrafodelista"/>
        <w:numPr>
          <w:ilvl w:val="0"/>
          <w:numId w:val="5"/>
        </w:numPr>
        <w:spacing w:line="360" w:lineRule="auto"/>
        <w:jc w:val="both"/>
        <w:rPr>
          <w:b/>
          <w:sz w:val="28"/>
          <w:szCs w:val="28"/>
        </w:rPr>
      </w:pPr>
      <w:r w:rsidRPr="00D44520">
        <w:rPr>
          <w:rFonts w:ascii="Palatino Linotype" w:eastAsia="Palatino Linotype" w:hAnsi="Palatino Linotype" w:cs="Palatino Linotype"/>
          <w:b/>
          <w:sz w:val="28"/>
          <w:szCs w:val="28"/>
        </w:rPr>
        <w:t xml:space="preserve">De la vista a los órganos de control interno competentes </w:t>
      </w:r>
    </w:p>
    <w:p w14:paraId="765655BF" w14:textId="31EE28F2" w:rsidR="009E3316" w:rsidRPr="00D44520" w:rsidRDefault="009E3316" w:rsidP="009E3316">
      <w:pPr>
        <w:spacing w:line="360" w:lineRule="auto"/>
        <w:ind w:right="49"/>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Como ya se mencionó el</w:t>
      </w:r>
      <w:r w:rsidRPr="00D44520">
        <w:rPr>
          <w:rFonts w:ascii="Palatino Linotype" w:eastAsia="Palatino Linotype" w:hAnsi="Palatino Linotype" w:cs="Palatino Linotype"/>
          <w:b/>
          <w:sz w:val="24"/>
          <w:szCs w:val="24"/>
        </w:rPr>
        <w:t xml:space="preserve"> Sujeto Obligado</w:t>
      </w:r>
      <w:r w:rsidRPr="00D44520">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44520">
        <w:rPr>
          <w:rFonts w:ascii="Palatino Linotype" w:eastAsia="Palatino Linotype" w:hAnsi="Palatino Linotype" w:cs="Palatino Linotype"/>
          <w:b/>
          <w:sz w:val="24"/>
          <w:szCs w:val="24"/>
        </w:rPr>
        <w:t xml:space="preserve"> </w:t>
      </w:r>
      <w:r w:rsidRPr="00D44520">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8A59233" w14:textId="77777777" w:rsidR="007B69B1" w:rsidRPr="00D44520" w:rsidRDefault="007B69B1" w:rsidP="009E3316">
      <w:pPr>
        <w:spacing w:line="360" w:lineRule="auto"/>
        <w:ind w:right="49"/>
        <w:jc w:val="both"/>
        <w:rPr>
          <w:rFonts w:ascii="Palatino Linotype" w:eastAsia="Palatino Linotype" w:hAnsi="Palatino Linotype" w:cs="Palatino Linotype"/>
          <w:sz w:val="24"/>
          <w:szCs w:val="24"/>
        </w:rPr>
      </w:pPr>
    </w:p>
    <w:p w14:paraId="6924884E" w14:textId="740EC8A4"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D44520">
        <w:rPr>
          <w:rFonts w:ascii="Palatino Linotype" w:eastAsia="Palatino Linotype" w:hAnsi="Palatino Linotype" w:cs="Palatino Linotype"/>
          <w:b/>
          <w:sz w:val="24"/>
          <w:szCs w:val="24"/>
        </w:rPr>
        <w:t>ORDENA</w:t>
      </w:r>
      <w:r w:rsidRPr="00D44520">
        <w:rPr>
          <w:rFonts w:ascii="Palatino Linotype" w:eastAsia="Palatino Linotype" w:hAnsi="Palatino Linotype" w:cs="Palatino Linotype"/>
          <w:sz w:val="24"/>
          <w:szCs w:val="24"/>
        </w:rPr>
        <w:t xml:space="preserve"> al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atienda la solicitud de información </w:t>
      </w:r>
      <w:r w:rsidR="004C0ADF" w:rsidRPr="00D44520">
        <w:rPr>
          <w:rFonts w:ascii="Palatino Linotype" w:eastAsia="Palatino Linotype" w:hAnsi="Palatino Linotype" w:cs="Palatino Linotype"/>
          <w:b/>
          <w:bCs/>
          <w:sz w:val="24"/>
          <w:szCs w:val="24"/>
        </w:rPr>
        <w:t>00119/VACHASO/IP/2025</w:t>
      </w:r>
      <w:r w:rsidRPr="00D44520">
        <w:rPr>
          <w:rFonts w:ascii="Palatino Linotype" w:eastAsia="Palatino Linotype" w:hAnsi="Palatino Linotype" w:cs="Palatino Linotype"/>
          <w:b/>
          <w:sz w:val="24"/>
          <w:szCs w:val="24"/>
        </w:rPr>
        <w:t>,</w:t>
      </w:r>
      <w:r w:rsidRPr="00D44520">
        <w:rPr>
          <w:rFonts w:ascii="Palatino Linotype" w:eastAsia="Palatino Linotype" w:hAnsi="Palatino Linotype" w:cs="Palatino Linotype"/>
          <w:sz w:val="24"/>
          <w:szCs w:val="24"/>
        </w:rPr>
        <w:t xml:space="preserve"> que han sido materia del presente fallo</w:t>
      </w:r>
    </w:p>
    <w:p w14:paraId="398E055B"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Por lo antes expuesto y fundado es de resolverse y,</w:t>
      </w:r>
    </w:p>
    <w:p w14:paraId="187058EA"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D44520"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D44520">
        <w:rPr>
          <w:rFonts w:ascii="Palatino Linotype" w:eastAsia="Palatino Linotype" w:hAnsi="Palatino Linotype" w:cs="Palatino Linotype"/>
          <w:b/>
          <w:color w:val="000000"/>
          <w:sz w:val="28"/>
          <w:szCs w:val="28"/>
        </w:rPr>
        <w:t>SE    RESUELVE</w:t>
      </w:r>
    </w:p>
    <w:p w14:paraId="5E8D5263" w14:textId="77777777" w:rsidR="009E3316" w:rsidRPr="00D44520"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D44520"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b/>
          <w:sz w:val="28"/>
          <w:szCs w:val="28"/>
        </w:rPr>
        <w:t>PRIMERO.</w:t>
      </w:r>
      <w:r w:rsidRPr="00D44520">
        <w:rPr>
          <w:rFonts w:ascii="Palatino Linotype" w:eastAsia="Palatino Linotype" w:hAnsi="Palatino Linotype" w:cs="Palatino Linotype"/>
          <w:sz w:val="24"/>
          <w:szCs w:val="24"/>
        </w:rPr>
        <w:t xml:space="preserve"> Resultan fundadas las razones o motivos de inconformidad hechos valer por la parte </w:t>
      </w:r>
      <w:r w:rsidRPr="00D44520">
        <w:rPr>
          <w:rFonts w:ascii="Palatino Linotype" w:eastAsia="Palatino Linotype" w:hAnsi="Palatino Linotype" w:cs="Palatino Linotype"/>
          <w:b/>
          <w:sz w:val="24"/>
          <w:szCs w:val="24"/>
        </w:rPr>
        <w:t>Recurrente,</w:t>
      </w:r>
      <w:r w:rsidRPr="00D44520">
        <w:rPr>
          <w:rFonts w:ascii="Palatino Linotype" w:eastAsia="Palatino Linotype" w:hAnsi="Palatino Linotype" w:cs="Palatino Linotype"/>
          <w:sz w:val="24"/>
          <w:szCs w:val="24"/>
        </w:rPr>
        <w:t xml:space="preserve"> en términos del considerando </w:t>
      </w:r>
      <w:r w:rsidRPr="00D44520">
        <w:rPr>
          <w:rFonts w:ascii="Palatino Linotype" w:eastAsia="Palatino Linotype" w:hAnsi="Palatino Linotype" w:cs="Palatino Linotype"/>
          <w:b/>
          <w:sz w:val="24"/>
          <w:szCs w:val="24"/>
        </w:rPr>
        <w:t>TERCERO</w:t>
      </w:r>
      <w:r w:rsidRPr="00D44520">
        <w:rPr>
          <w:rFonts w:ascii="Palatino Linotype" w:eastAsia="Palatino Linotype" w:hAnsi="Palatino Linotype" w:cs="Palatino Linotype"/>
          <w:sz w:val="24"/>
          <w:szCs w:val="24"/>
        </w:rPr>
        <w:t>, de la presente resolución.</w:t>
      </w:r>
    </w:p>
    <w:p w14:paraId="51771CB7" w14:textId="77777777" w:rsidR="009E3316" w:rsidRPr="00D44520"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30F3DD6A" w:rsidR="009E3316" w:rsidRPr="00D44520"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b/>
          <w:sz w:val="28"/>
          <w:szCs w:val="28"/>
        </w:rPr>
        <w:t>SEGUNDO.</w:t>
      </w:r>
      <w:r w:rsidRPr="00D44520">
        <w:rPr>
          <w:rFonts w:ascii="Palatino Linotype" w:eastAsia="Palatino Linotype" w:hAnsi="Palatino Linotype" w:cs="Palatino Linotype"/>
          <w:sz w:val="24"/>
          <w:szCs w:val="24"/>
        </w:rPr>
        <w:t xml:space="preserve"> Se </w:t>
      </w:r>
      <w:r w:rsidRPr="00D44520">
        <w:rPr>
          <w:rFonts w:ascii="Palatino Linotype" w:eastAsia="Palatino Linotype" w:hAnsi="Palatino Linotype" w:cs="Palatino Linotype"/>
          <w:b/>
          <w:sz w:val="24"/>
          <w:szCs w:val="24"/>
        </w:rPr>
        <w:t>ORDENA</w:t>
      </w:r>
      <w:r w:rsidRPr="00D44520">
        <w:rPr>
          <w:rFonts w:ascii="Palatino Linotype" w:eastAsia="Palatino Linotype" w:hAnsi="Palatino Linotype" w:cs="Palatino Linotype"/>
          <w:sz w:val="24"/>
          <w:szCs w:val="24"/>
        </w:rPr>
        <w:t xml:space="preserve"> al </w:t>
      </w:r>
      <w:r w:rsidRPr="00D44520">
        <w:rPr>
          <w:rFonts w:ascii="Palatino Linotype" w:eastAsia="Palatino Linotype" w:hAnsi="Palatino Linotype" w:cs="Palatino Linotype"/>
          <w:b/>
          <w:sz w:val="24"/>
          <w:szCs w:val="24"/>
        </w:rPr>
        <w:t>Sujeto Obligado</w:t>
      </w:r>
      <w:r w:rsidRPr="00D44520">
        <w:rPr>
          <w:rFonts w:ascii="Palatino Linotype" w:eastAsia="Palatino Linotype" w:hAnsi="Palatino Linotype" w:cs="Palatino Linotype"/>
          <w:sz w:val="24"/>
          <w:szCs w:val="24"/>
        </w:rPr>
        <w:t xml:space="preserve"> atienda la solicitud de información </w:t>
      </w:r>
      <w:r w:rsidR="004C0ADF" w:rsidRPr="00D44520">
        <w:rPr>
          <w:rFonts w:ascii="Palatino Linotype" w:eastAsia="Palatino Linotype" w:hAnsi="Palatino Linotype" w:cs="Palatino Linotype"/>
          <w:b/>
          <w:bCs/>
          <w:sz w:val="24"/>
          <w:szCs w:val="24"/>
        </w:rPr>
        <w:t>00119/VACHASO/IP/2025</w:t>
      </w:r>
      <w:r w:rsidRPr="00D44520">
        <w:rPr>
          <w:rFonts w:ascii="Palatino Linotype" w:eastAsia="Palatino Linotype" w:hAnsi="Palatino Linotype" w:cs="Palatino Linotype"/>
          <w:sz w:val="24"/>
          <w:szCs w:val="24"/>
        </w:rPr>
        <w:t xml:space="preserve">, vía Sistema de Acceso a la Información Mexiquense (SAIMEX), en términos del Considerando </w:t>
      </w:r>
      <w:r w:rsidRPr="00D44520">
        <w:rPr>
          <w:rFonts w:ascii="Palatino Linotype" w:eastAsia="Palatino Linotype" w:hAnsi="Palatino Linotype" w:cs="Palatino Linotype"/>
          <w:b/>
          <w:sz w:val="24"/>
          <w:szCs w:val="24"/>
        </w:rPr>
        <w:t xml:space="preserve">TERCERO </w:t>
      </w:r>
      <w:r w:rsidRPr="00D44520">
        <w:rPr>
          <w:rFonts w:ascii="Palatino Linotype" w:eastAsia="Palatino Linotype" w:hAnsi="Palatino Linotype" w:cs="Palatino Linotype"/>
          <w:sz w:val="24"/>
          <w:szCs w:val="24"/>
        </w:rPr>
        <w:t>de esta resolución</w:t>
      </w:r>
      <w:r w:rsidR="004C0ADF" w:rsidRPr="00D44520">
        <w:rPr>
          <w:rFonts w:ascii="Palatino Linotype" w:eastAsia="Palatino Linotype" w:hAnsi="Palatino Linotype" w:cs="Palatino Linotype"/>
          <w:sz w:val="24"/>
          <w:szCs w:val="24"/>
        </w:rPr>
        <w:t xml:space="preserve"> y haga entrega al Recurrente, previa búsqueda exhaustiva y razonable, y en versión pública de ser procedente de lo siguiente:</w:t>
      </w:r>
    </w:p>
    <w:p w14:paraId="393EC4F7" w14:textId="77777777" w:rsidR="00ED0692" w:rsidRPr="00D44520" w:rsidRDefault="00ED0692"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2A15533" w14:textId="129B954C" w:rsidR="004C0ADF" w:rsidRPr="00D44520" w:rsidRDefault="00ED0692" w:rsidP="009E3316">
      <w:pPr>
        <w:tabs>
          <w:tab w:val="left" w:pos="8647"/>
        </w:tabs>
        <w:spacing w:after="0" w:line="360" w:lineRule="auto"/>
        <w:ind w:right="51"/>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De los obsequios que se entregaron a los contribuyentes cumplidos de los ejercicios fiscales 2024 y 2025:</w:t>
      </w:r>
    </w:p>
    <w:p w14:paraId="5B4A14EA" w14:textId="707D66F6" w:rsidR="004C0ADF" w:rsidRPr="00D44520" w:rsidRDefault="00ED0692" w:rsidP="003C3B80">
      <w:pPr>
        <w:pStyle w:val="Prrafodelista"/>
        <w:numPr>
          <w:ilvl w:val="3"/>
          <w:numId w:val="1"/>
        </w:numPr>
        <w:tabs>
          <w:tab w:val="left" w:pos="8647"/>
        </w:tabs>
        <w:spacing w:line="360" w:lineRule="auto"/>
        <w:ind w:left="1843" w:right="51"/>
        <w:jc w:val="both"/>
        <w:rPr>
          <w:rFonts w:ascii="Palatino Linotype" w:eastAsia="Palatino Linotype" w:hAnsi="Palatino Linotype" w:cs="Palatino Linotype"/>
          <w:i/>
        </w:rPr>
      </w:pPr>
      <w:r w:rsidRPr="00D44520">
        <w:rPr>
          <w:rFonts w:ascii="Palatino Linotype" w:eastAsia="Palatino Linotype" w:hAnsi="Palatino Linotype" w:cs="Palatino Linotype"/>
          <w:i/>
        </w:rPr>
        <w:t>Contratos</w:t>
      </w:r>
    </w:p>
    <w:p w14:paraId="15E3EE0C" w14:textId="27272477" w:rsidR="00ED0692" w:rsidRPr="00D44520" w:rsidRDefault="00ED0692" w:rsidP="003C3B80">
      <w:pPr>
        <w:pStyle w:val="Prrafodelista"/>
        <w:numPr>
          <w:ilvl w:val="3"/>
          <w:numId w:val="1"/>
        </w:numPr>
        <w:tabs>
          <w:tab w:val="left" w:pos="8647"/>
        </w:tabs>
        <w:spacing w:line="360" w:lineRule="auto"/>
        <w:ind w:left="1843" w:right="51"/>
        <w:jc w:val="both"/>
        <w:rPr>
          <w:rFonts w:ascii="Palatino Linotype" w:eastAsia="Palatino Linotype" w:hAnsi="Palatino Linotype" w:cs="Palatino Linotype"/>
          <w:i/>
        </w:rPr>
      </w:pPr>
      <w:r w:rsidRPr="00D44520">
        <w:rPr>
          <w:rFonts w:ascii="Palatino Linotype" w:eastAsia="Palatino Linotype" w:hAnsi="Palatino Linotype" w:cs="Palatino Linotype"/>
          <w:i/>
        </w:rPr>
        <w:t>Facturas</w:t>
      </w:r>
    </w:p>
    <w:p w14:paraId="7A86E546" w14:textId="77777777" w:rsidR="00ED0692" w:rsidRPr="00D44520" w:rsidRDefault="00ED0692" w:rsidP="00ED0692">
      <w:pPr>
        <w:pStyle w:val="Prrafodelista"/>
        <w:tabs>
          <w:tab w:val="left" w:pos="8647"/>
        </w:tabs>
        <w:spacing w:line="360" w:lineRule="auto"/>
        <w:ind w:left="2880" w:right="51"/>
        <w:jc w:val="both"/>
        <w:rPr>
          <w:rFonts w:ascii="Palatino Linotype" w:eastAsia="Palatino Linotype" w:hAnsi="Palatino Linotype" w:cs="Palatino Linotype"/>
        </w:rPr>
      </w:pPr>
    </w:p>
    <w:p w14:paraId="108D71EE" w14:textId="2E656C5E" w:rsidR="003C3B80" w:rsidRPr="00D44520" w:rsidRDefault="003C3B80" w:rsidP="003C3B80">
      <w:pPr>
        <w:spacing w:after="0" w:line="276" w:lineRule="auto"/>
        <w:ind w:left="709" w:right="425"/>
        <w:jc w:val="both"/>
        <w:rPr>
          <w:rFonts w:ascii="Palatino Linotype" w:eastAsia="Palatino Linotype" w:hAnsi="Palatino Linotype" w:cs="Palatino Linotype"/>
          <w:i/>
          <w:iCs/>
          <w:color w:val="000000"/>
          <w:lang w:val="es-ES_tradnl"/>
        </w:rPr>
      </w:pPr>
      <w:r w:rsidRPr="00D44520">
        <w:rPr>
          <w:rFonts w:ascii="Palatino Linotype" w:eastAsia="Palatino Linotype" w:hAnsi="Palatino Linotype" w:cs="Palatino Linotype"/>
          <w:i/>
          <w:iCs/>
          <w:color w:val="000000"/>
          <w:lang w:val="es-ES_tradnl"/>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documentos remitidos en la etapa de manifestaciones del recurso de revisión.</w:t>
      </w:r>
    </w:p>
    <w:p w14:paraId="1681F504" w14:textId="77777777" w:rsidR="004C0ADF" w:rsidRPr="00D44520" w:rsidRDefault="004C0ADF" w:rsidP="009E3316">
      <w:pPr>
        <w:tabs>
          <w:tab w:val="left" w:pos="8647"/>
        </w:tabs>
        <w:spacing w:after="0" w:line="360" w:lineRule="auto"/>
        <w:ind w:right="51"/>
        <w:jc w:val="both"/>
        <w:rPr>
          <w:rFonts w:ascii="Palatino Linotype" w:eastAsia="Palatino Linotype" w:hAnsi="Palatino Linotype" w:cs="Palatino Linotype"/>
          <w:b/>
          <w:sz w:val="24"/>
          <w:szCs w:val="24"/>
        </w:rPr>
      </w:pPr>
    </w:p>
    <w:p w14:paraId="42BDAAC0" w14:textId="77777777" w:rsidR="009E3316" w:rsidRPr="00D44520" w:rsidRDefault="009E3316" w:rsidP="009E3316">
      <w:pPr>
        <w:tabs>
          <w:tab w:val="left" w:pos="8647"/>
        </w:tabs>
        <w:spacing w:after="0" w:line="360" w:lineRule="auto"/>
        <w:ind w:right="51"/>
        <w:jc w:val="both"/>
        <w:rPr>
          <w:rFonts w:ascii="Palatino Linotype" w:hAnsi="Palatino Linotype" w:cs="Arial"/>
          <w:sz w:val="24"/>
          <w:szCs w:val="24"/>
        </w:rPr>
      </w:pPr>
      <w:r w:rsidRPr="00D44520">
        <w:rPr>
          <w:rFonts w:ascii="Palatino Linotype" w:hAnsi="Palatino Linotype" w:cs="Arial"/>
          <w:b/>
          <w:sz w:val="28"/>
          <w:szCs w:val="24"/>
        </w:rPr>
        <w:t>TERCERO</w:t>
      </w:r>
      <w:r w:rsidRPr="00D44520">
        <w:rPr>
          <w:rFonts w:ascii="Palatino Linotype" w:hAnsi="Palatino Linotype" w:cs="Arial"/>
          <w:b/>
          <w:sz w:val="24"/>
          <w:szCs w:val="24"/>
        </w:rPr>
        <w:t>.</w:t>
      </w:r>
      <w:r w:rsidRPr="00D44520">
        <w:rPr>
          <w:rFonts w:ascii="Palatino Linotype" w:hAnsi="Palatino Linotype" w:cs="Arial"/>
          <w:sz w:val="24"/>
          <w:szCs w:val="24"/>
        </w:rPr>
        <w:t xml:space="preserve"> </w:t>
      </w:r>
      <w:r w:rsidRPr="00D44520">
        <w:rPr>
          <w:rFonts w:ascii="Palatino Linotype" w:hAnsi="Palatino Linotype" w:cs="Arial"/>
          <w:b/>
          <w:sz w:val="24"/>
          <w:szCs w:val="24"/>
        </w:rPr>
        <w:t>Notifíquese</w:t>
      </w:r>
      <w:r w:rsidRPr="00D44520">
        <w:rPr>
          <w:rFonts w:ascii="Palatino Linotype" w:eastAsia="Times New Roman" w:hAnsi="Palatino Linotype" w:cs="Arial"/>
          <w:sz w:val="24"/>
          <w:szCs w:val="24"/>
          <w:lang w:val="es-ES" w:eastAsia="es-ES"/>
        </w:rPr>
        <w:t xml:space="preserve"> a través del SAIMEX,</w:t>
      </w:r>
      <w:r w:rsidRPr="00D44520">
        <w:rPr>
          <w:rFonts w:ascii="Palatino Linotype" w:hAnsi="Palatino Linotype" w:cs="Arial"/>
          <w:b/>
          <w:i/>
          <w:sz w:val="24"/>
          <w:szCs w:val="24"/>
        </w:rPr>
        <w:t xml:space="preserve"> </w:t>
      </w:r>
      <w:r w:rsidRPr="00D44520">
        <w:rPr>
          <w:rFonts w:ascii="Palatino Linotype" w:hAnsi="Palatino Linotype" w:cs="Arial"/>
          <w:sz w:val="24"/>
          <w:szCs w:val="24"/>
        </w:rPr>
        <w:t>al Titular de la Unidad de Transparencia del</w:t>
      </w:r>
      <w:r w:rsidRPr="00D44520">
        <w:rPr>
          <w:rFonts w:ascii="Palatino Linotype" w:hAnsi="Palatino Linotype" w:cs="Arial"/>
          <w:b/>
          <w:sz w:val="24"/>
          <w:szCs w:val="24"/>
        </w:rPr>
        <w:t xml:space="preserve"> Sujeto Obligado</w:t>
      </w:r>
      <w:r w:rsidRPr="00D44520">
        <w:rPr>
          <w:rFonts w:ascii="Palatino Linotype" w:hAnsi="Palatino Linotype" w:cs="Arial"/>
          <w:sz w:val="24"/>
          <w:szCs w:val="24"/>
        </w:rPr>
        <w:t xml:space="preserve"> la presente resolución, para que conforme al </w:t>
      </w:r>
      <w:r w:rsidRPr="00D44520">
        <w:rPr>
          <w:rFonts w:ascii="Palatino Linotype" w:hAnsi="Palatino Linotype" w:cs="Arial"/>
          <w:sz w:val="24"/>
          <w:szCs w:val="24"/>
        </w:rPr>
        <w:lastRenderedPageBreak/>
        <w:t xml:space="preserve">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44520">
        <w:rPr>
          <w:rFonts w:ascii="Palatino Linotype" w:hAnsi="Palatino Linotype" w:cs="Arial"/>
          <w:b/>
          <w:sz w:val="24"/>
          <w:szCs w:val="32"/>
          <w:lang w:val="es-ES_tradnl"/>
        </w:rPr>
        <w:t>y</w:t>
      </w:r>
      <w:r w:rsidRPr="00D44520">
        <w:rPr>
          <w:rFonts w:ascii="Palatino Linotype" w:hAnsi="Palatino Linotype" w:cs="Arial"/>
          <w:sz w:val="24"/>
          <w:szCs w:val="32"/>
          <w:lang w:val="es-ES_tradnl"/>
        </w:rPr>
        <w:t xml:space="preserve"> </w:t>
      </w:r>
      <w:r w:rsidRPr="00D44520">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D44520"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44520" w:rsidRDefault="009E3316" w:rsidP="009E3316">
      <w:pPr>
        <w:spacing w:after="0" w:line="360" w:lineRule="auto"/>
        <w:jc w:val="both"/>
        <w:rPr>
          <w:rFonts w:ascii="Palatino Linotype" w:eastAsia="Times New Roman" w:hAnsi="Palatino Linotype" w:cs="Arial"/>
          <w:sz w:val="24"/>
          <w:szCs w:val="24"/>
          <w:lang w:val="es-ES" w:eastAsia="es-ES"/>
        </w:rPr>
      </w:pPr>
      <w:r w:rsidRPr="00D44520">
        <w:rPr>
          <w:rFonts w:ascii="Palatino Linotype" w:eastAsia="Times New Roman" w:hAnsi="Palatino Linotype" w:cs="Arial"/>
          <w:b/>
          <w:sz w:val="28"/>
          <w:szCs w:val="24"/>
          <w:lang w:val="es-ES" w:eastAsia="es-ES"/>
        </w:rPr>
        <w:t>CUARTO</w:t>
      </w:r>
      <w:r w:rsidRPr="00D44520">
        <w:rPr>
          <w:rFonts w:ascii="Palatino Linotype" w:eastAsia="Times New Roman" w:hAnsi="Palatino Linotype" w:cs="Arial"/>
          <w:b/>
          <w:sz w:val="24"/>
          <w:szCs w:val="24"/>
          <w:lang w:val="es-ES" w:eastAsia="es-ES"/>
        </w:rPr>
        <w:t>. Notifíquese</w:t>
      </w:r>
      <w:r w:rsidRPr="00D44520">
        <w:rPr>
          <w:rFonts w:ascii="Palatino Linotype" w:eastAsia="Times New Roman" w:hAnsi="Palatino Linotype" w:cs="Arial"/>
          <w:sz w:val="24"/>
          <w:szCs w:val="24"/>
          <w:lang w:val="es-ES" w:eastAsia="es-ES"/>
        </w:rPr>
        <w:t xml:space="preserve"> </w:t>
      </w:r>
      <w:r w:rsidRPr="00D44520">
        <w:rPr>
          <w:rFonts w:ascii="Palatino Linotype" w:eastAsia="Times New Roman" w:hAnsi="Palatino Linotype" w:cs="Arial"/>
          <w:b/>
          <w:sz w:val="24"/>
          <w:szCs w:val="24"/>
          <w:lang w:val="es-ES" w:eastAsia="es-ES"/>
        </w:rPr>
        <w:t>a l</w:t>
      </w:r>
      <w:r w:rsidR="00A52F6C" w:rsidRPr="00D44520">
        <w:rPr>
          <w:rFonts w:ascii="Palatino Linotype" w:eastAsia="Times New Roman" w:hAnsi="Palatino Linotype" w:cs="Arial"/>
          <w:b/>
          <w:sz w:val="24"/>
          <w:szCs w:val="24"/>
          <w:lang w:val="es-ES" w:eastAsia="es-ES"/>
        </w:rPr>
        <w:t>a</w:t>
      </w:r>
      <w:r w:rsidRPr="00D44520">
        <w:rPr>
          <w:rFonts w:ascii="Palatino Linotype" w:eastAsia="Times New Roman" w:hAnsi="Palatino Linotype" w:cs="Arial"/>
          <w:b/>
          <w:sz w:val="24"/>
          <w:szCs w:val="24"/>
          <w:lang w:val="es-ES" w:eastAsia="es-ES"/>
        </w:rPr>
        <w:t xml:space="preserve"> Recurrente</w:t>
      </w:r>
      <w:r w:rsidRPr="00D44520">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44520"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44520" w:rsidRDefault="009E3316" w:rsidP="009E3316">
      <w:pPr>
        <w:spacing w:after="0" w:line="360" w:lineRule="auto"/>
        <w:jc w:val="both"/>
        <w:rPr>
          <w:rFonts w:ascii="Palatino Linotype" w:hAnsi="Palatino Linotype" w:cs="Times New Roman"/>
          <w:sz w:val="24"/>
          <w:szCs w:val="24"/>
          <w:lang w:eastAsia="es-ES_tradnl"/>
        </w:rPr>
      </w:pPr>
      <w:r w:rsidRPr="00D44520">
        <w:rPr>
          <w:rFonts w:ascii="Palatino Linotype" w:hAnsi="Palatino Linotype" w:cs="Times New Roman"/>
          <w:b/>
          <w:sz w:val="28"/>
          <w:szCs w:val="24"/>
          <w:lang w:eastAsia="es-ES_tradnl"/>
        </w:rPr>
        <w:t>QUINTO</w:t>
      </w:r>
      <w:r w:rsidRPr="00D44520">
        <w:rPr>
          <w:rFonts w:ascii="Palatino Linotype" w:hAnsi="Palatino Linotype" w:cs="Times New Roman"/>
          <w:b/>
          <w:sz w:val="24"/>
          <w:szCs w:val="24"/>
          <w:lang w:eastAsia="es-ES_tradnl"/>
        </w:rPr>
        <w:t>.</w:t>
      </w:r>
      <w:r w:rsidRPr="00D44520">
        <w:rPr>
          <w:rFonts w:ascii="Palatino Linotype" w:hAnsi="Palatino Linotype" w:cs="Times New Roman"/>
          <w:sz w:val="24"/>
          <w:szCs w:val="24"/>
          <w:lang w:eastAsia="es-ES_tradnl"/>
        </w:rPr>
        <w:t xml:space="preserve"> </w:t>
      </w:r>
      <w:r w:rsidRPr="00D44520">
        <w:rPr>
          <w:rFonts w:ascii="Palatino Linotype" w:hAnsi="Palatino Linotype" w:cs="Times New Roman"/>
          <w:b/>
          <w:sz w:val="24"/>
          <w:szCs w:val="24"/>
          <w:lang w:eastAsia="es-ES_tradnl"/>
        </w:rPr>
        <w:t>Notifíquese</w:t>
      </w:r>
      <w:r w:rsidRPr="00D44520">
        <w:rPr>
          <w:rFonts w:ascii="Palatino Linotype" w:hAnsi="Palatino Linotype" w:cs="Times New Roman"/>
          <w:sz w:val="24"/>
          <w:szCs w:val="24"/>
          <w:lang w:eastAsia="es-ES_tradnl"/>
        </w:rPr>
        <w:t xml:space="preserve"> al </w:t>
      </w:r>
      <w:r w:rsidRPr="00D44520">
        <w:rPr>
          <w:rFonts w:ascii="Palatino Linotype" w:hAnsi="Palatino Linotype" w:cs="Times New Roman"/>
          <w:b/>
          <w:sz w:val="24"/>
          <w:szCs w:val="24"/>
          <w:lang w:eastAsia="es-ES_tradnl"/>
        </w:rPr>
        <w:t>Recurrente</w:t>
      </w:r>
      <w:r w:rsidRPr="00D44520">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44520">
        <w:rPr>
          <w:rFonts w:ascii="Palatino Linotype" w:hAnsi="Palatino Linotype" w:cs="Times New Roman"/>
          <w:b/>
          <w:sz w:val="24"/>
          <w:szCs w:val="24"/>
          <w:lang w:eastAsia="es-ES_tradnl"/>
        </w:rPr>
        <w:t>Sujeto Obligado</w:t>
      </w:r>
      <w:r w:rsidRPr="00D44520">
        <w:rPr>
          <w:rFonts w:ascii="Palatino Linotype" w:hAnsi="Palatino Linotype" w:cs="Times New Roman"/>
          <w:sz w:val="24"/>
          <w:szCs w:val="24"/>
          <w:lang w:eastAsia="es-ES_tradnl"/>
        </w:rPr>
        <w:t>, en cumplimiento a esta Resolución.</w:t>
      </w:r>
    </w:p>
    <w:p w14:paraId="5C687485" w14:textId="77777777" w:rsidR="009E3316" w:rsidRPr="00D44520"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D44520" w:rsidRDefault="009E3316" w:rsidP="009E3316">
      <w:pPr>
        <w:spacing w:after="0" w:line="360" w:lineRule="auto"/>
        <w:jc w:val="both"/>
        <w:rPr>
          <w:rFonts w:ascii="Palatino Linotype" w:hAnsi="Palatino Linotype"/>
          <w:sz w:val="24"/>
          <w:szCs w:val="24"/>
          <w:lang w:eastAsia="es-ES_tradnl"/>
        </w:rPr>
      </w:pPr>
      <w:r w:rsidRPr="00D44520">
        <w:rPr>
          <w:rFonts w:ascii="Palatino Linotype" w:hAnsi="Palatino Linotype" w:cs="Times New Roman"/>
          <w:b/>
          <w:sz w:val="28"/>
          <w:szCs w:val="24"/>
          <w:lang w:eastAsia="es-ES_tradnl"/>
        </w:rPr>
        <w:lastRenderedPageBreak/>
        <w:t>SEXTO</w:t>
      </w:r>
      <w:r w:rsidRPr="00D44520">
        <w:rPr>
          <w:rFonts w:ascii="Palatino Linotype" w:hAnsi="Palatino Linotype" w:cs="Times New Roman"/>
          <w:b/>
          <w:sz w:val="24"/>
          <w:szCs w:val="24"/>
          <w:lang w:eastAsia="es-ES_tradnl"/>
        </w:rPr>
        <w:t xml:space="preserve">. - </w:t>
      </w:r>
      <w:r w:rsidRPr="00D44520">
        <w:rPr>
          <w:rFonts w:ascii="Palatino Linotype" w:hAnsi="Palatino Linotype"/>
          <w:b/>
          <w:sz w:val="24"/>
          <w:szCs w:val="24"/>
          <w:lang w:eastAsia="es-ES_tradnl"/>
        </w:rPr>
        <w:t xml:space="preserve">Gírese </w:t>
      </w:r>
      <w:r w:rsidRPr="00D44520">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44520">
        <w:rPr>
          <w:rFonts w:ascii="Palatino Linotype" w:hAnsi="Palatino Linotype"/>
          <w:b/>
          <w:bCs/>
          <w:sz w:val="24"/>
          <w:szCs w:val="24"/>
          <w:lang w:eastAsia="es-ES_tradnl"/>
        </w:rPr>
        <w:t>TERCERO</w:t>
      </w:r>
      <w:r w:rsidRPr="00D44520">
        <w:rPr>
          <w:rFonts w:ascii="Palatino Linotype" w:hAnsi="Palatino Linotype"/>
          <w:sz w:val="24"/>
          <w:szCs w:val="24"/>
          <w:lang w:eastAsia="es-ES_tradnl"/>
        </w:rPr>
        <w:t xml:space="preserve"> de la presente resolución.</w:t>
      </w:r>
    </w:p>
    <w:p w14:paraId="0B8C099F" w14:textId="77777777" w:rsidR="009E3316" w:rsidRPr="00D44520" w:rsidRDefault="009E3316" w:rsidP="009E3316">
      <w:pPr>
        <w:spacing w:after="0" w:line="360" w:lineRule="auto"/>
        <w:jc w:val="both"/>
        <w:rPr>
          <w:rFonts w:ascii="Palatino Linotype" w:eastAsia="Palatino Linotype" w:hAnsi="Palatino Linotype" w:cs="Palatino Linotype"/>
          <w:sz w:val="24"/>
          <w:szCs w:val="24"/>
        </w:rPr>
      </w:pPr>
    </w:p>
    <w:p w14:paraId="50B7845E" w14:textId="41982905" w:rsidR="00F975B0" w:rsidRDefault="00D44520" w:rsidP="009E3316">
      <w:pPr>
        <w:spacing w:after="0" w:line="360" w:lineRule="auto"/>
        <w:jc w:val="both"/>
        <w:rPr>
          <w:rFonts w:ascii="Palatino Linotype" w:eastAsia="Palatino Linotype" w:hAnsi="Palatino Linotype" w:cs="Palatino Linotype"/>
          <w:sz w:val="24"/>
          <w:szCs w:val="24"/>
        </w:rPr>
      </w:pPr>
      <w:r w:rsidRPr="00D4452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9E3316" w:rsidRPr="00D44520">
        <w:rPr>
          <w:rFonts w:ascii="Palatino Linotype" w:eastAsia="Palatino Linotype" w:hAnsi="Palatino Linotype" w:cs="Palatino Linotype"/>
          <w:sz w:val="24"/>
          <w:szCs w:val="24"/>
        </w:rPr>
        <w:t>. ---------------------------------------------------------------------------------------------------------------------------------------------------------------------------------------------------------------------------------------------------------------------------------------------------------------------------------------------------------------------------------------------------------------------------------------------------------------------------------------------------------------------------------------------------------------------------------------------------------------------------------------------------------------------------------------------------------------------------------------------------------------------------------------------------------------------------------------------------------------------------------------------------------------------------------------------------------------------------------</w:t>
      </w:r>
      <w:r w:rsidR="007B69B1" w:rsidRPr="00D44520">
        <w:rPr>
          <w:rFonts w:ascii="Palatino Linotype" w:eastAsia="Palatino Linotype" w:hAnsi="Palatino Linotype" w:cs="Palatino Linotype"/>
          <w:sz w:val="24"/>
          <w:szCs w:val="24"/>
        </w:rPr>
        <w:t>----------------------</w:t>
      </w:r>
      <w:r w:rsidR="009E3316" w:rsidRPr="00D44520">
        <w:rPr>
          <w:rFonts w:ascii="Palatino Linotype" w:eastAsia="Palatino Linotype" w:hAnsi="Palatino Linotype" w:cs="Palatino Linotype"/>
          <w:sz w:val="24"/>
          <w:szCs w:val="24"/>
        </w:rPr>
        <w:t>--</w:t>
      </w:r>
    </w:p>
    <w:p w14:paraId="1659C619" w14:textId="2B5DE0D8" w:rsidR="009E3316" w:rsidRDefault="009E3316" w:rsidP="009E3316">
      <w:pPr>
        <w:spacing w:after="0" w:line="360" w:lineRule="auto"/>
        <w:jc w:val="both"/>
        <w:rPr>
          <w:rFonts w:ascii="Palatino Linotype" w:eastAsia="Palatino Linotype" w:hAnsi="Palatino Linotype" w:cs="Palatino Linotype"/>
          <w:sz w:val="24"/>
          <w:szCs w:val="24"/>
        </w:rPr>
      </w:pP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1E3526E5" w14:textId="77777777" w:rsidR="009E3316" w:rsidRDefault="009E3316" w:rsidP="009E3316">
      <w:pPr>
        <w:spacing w:after="0"/>
        <w:rPr>
          <w:rFonts w:ascii="Palatino Linotype" w:eastAsia="Palatino Linotype" w:hAnsi="Palatino Linotype" w:cs="Palatino Linotype"/>
        </w:rPr>
      </w:pPr>
    </w:p>
    <w:p w14:paraId="7821D151" w14:textId="77777777" w:rsidR="009E3316" w:rsidRDefault="009E3316" w:rsidP="009E3316">
      <w:pPr>
        <w:spacing w:after="0"/>
        <w:rPr>
          <w:rFonts w:ascii="Palatino Linotype" w:eastAsia="Palatino Linotype" w:hAnsi="Palatino Linotype" w:cs="Palatino Linotype"/>
        </w:rPr>
      </w:pPr>
    </w:p>
    <w:p w14:paraId="4467FE1F" w14:textId="77777777" w:rsidR="009E3316" w:rsidRDefault="009E3316" w:rsidP="009E3316">
      <w:pPr>
        <w:spacing w:after="0"/>
        <w:rPr>
          <w:rFonts w:ascii="Palatino Linotype" w:eastAsia="Palatino Linotype" w:hAnsi="Palatino Linotype" w:cs="Palatino Linotype"/>
        </w:rPr>
      </w:pPr>
    </w:p>
    <w:p w14:paraId="648CC21A" w14:textId="77777777" w:rsidR="009E3316" w:rsidRDefault="009E3316" w:rsidP="009E3316">
      <w:pPr>
        <w:spacing w:after="0"/>
        <w:rPr>
          <w:rFonts w:ascii="Palatino Linotype" w:eastAsia="Palatino Linotype" w:hAnsi="Palatino Linotype" w:cs="Palatino Linotype"/>
        </w:rPr>
      </w:pPr>
    </w:p>
    <w:p w14:paraId="06FF4D4B" w14:textId="77777777" w:rsidR="009E3316" w:rsidRDefault="009E3316" w:rsidP="009E3316">
      <w:pPr>
        <w:spacing w:after="0"/>
        <w:rPr>
          <w:rFonts w:ascii="Palatino Linotype" w:eastAsia="Palatino Linotype" w:hAnsi="Palatino Linotype" w:cs="Palatino Linotype"/>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7525A35F" w14:textId="77777777" w:rsidR="009E3316" w:rsidRDefault="009E3316" w:rsidP="009E3316"/>
    <w:sectPr w:rsidR="009E3316">
      <w:headerReference w:type="default" r:id="rId8"/>
      <w:footerReference w:type="default" r:id="rId9"/>
      <w:headerReference w:type="first" r:id="rId10"/>
      <w:footerReference w:type="first" r:id="rId11"/>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8AF99" w14:textId="77777777" w:rsidR="00C53525" w:rsidRDefault="00C53525" w:rsidP="009E3316">
      <w:pPr>
        <w:spacing w:after="0" w:line="240" w:lineRule="auto"/>
      </w:pPr>
      <w:r>
        <w:separator/>
      </w:r>
    </w:p>
  </w:endnote>
  <w:endnote w:type="continuationSeparator" w:id="0">
    <w:p w14:paraId="4EAA112B" w14:textId="77777777" w:rsidR="00C53525" w:rsidRDefault="00C53525"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40FDA1B9" w:rsidR="00DA1A3F" w:rsidRDefault="00DA1A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43A6">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43A6">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5DC22307" w14:textId="77777777" w:rsidR="00DA1A3F" w:rsidRDefault="00DA1A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644810FD" w:rsidR="00DA1A3F" w:rsidRDefault="00DA1A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43A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43A6">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7E6DFF91" w14:textId="77777777" w:rsidR="00DA1A3F" w:rsidRDefault="00DA1A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4F34B" w14:textId="77777777" w:rsidR="00C53525" w:rsidRDefault="00C53525" w:rsidP="009E3316">
      <w:pPr>
        <w:spacing w:after="0" w:line="240" w:lineRule="auto"/>
      </w:pPr>
      <w:r>
        <w:separator/>
      </w:r>
    </w:p>
  </w:footnote>
  <w:footnote w:type="continuationSeparator" w:id="0">
    <w:p w14:paraId="49584DF4" w14:textId="77777777" w:rsidR="00C53525" w:rsidRDefault="00C53525" w:rsidP="009E3316">
      <w:pPr>
        <w:spacing w:after="0" w:line="240" w:lineRule="auto"/>
      </w:pPr>
      <w:r>
        <w:continuationSeparator/>
      </w:r>
    </w:p>
  </w:footnote>
  <w:footnote w:id="1">
    <w:p w14:paraId="70CE96C6" w14:textId="77777777" w:rsidR="00DA1A3F" w:rsidRDefault="00DA1A3F" w:rsidP="00147C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407B1EAB" w14:textId="77777777" w:rsidR="00DA1A3F" w:rsidRDefault="00C53525" w:rsidP="00147C81">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DA1A3F">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DA1A3F">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A1A3F" w:rsidRDefault="00DA1A3F">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DA1A3F" w14:paraId="1E27800D" w14:textId="77777777">
      <w:trPr>
        <w:trHeight w:val="227"/>
      </w:trPr>
      <w:tc>
        <w:tcPr>
          <w:tcW w:w="5246" w:type="dxa"/>
        </w:tcPr>
        <w:p w14:paraId="654A7CA6" w14:textId="77777777" w:rsidR="00DA1A3F" w:rsidRDefault="00DA1A3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440633A" w:rsidR="00DA1A3F" w:rsidRDefault="00DA1A3F" w:rsidP="007B69B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08560/INFOEM/IP/RR/2025</w:t>
          </w:r>
        </w:p>
      </w:tc>
    </w:tr>
    <w:tr w:rsidR="00DA1A3F" w14:paraId="15A985D3" w14:textId="77777777">
      <w:trPr>
        <w:trHeight w:val="242"/>
      </w:trPr>
      <w:tc>
        <w:tcPr>
          <w:tcW w:w="5246" w:type="dxa"/>
        </w:tcPr>
        <w:p w14:paraId="6C682E97" w14:textId="77777777" w:rsidR="00DA1A3F" w:rsidRDefault="00DA1A3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45BA2BC4" w:rsidR="00DA1A3F" w:rsidRDefault="00DA1A3F">
          <w:pPr>
            <w:spacing w:after="120" w:line="256" w:lineRule="auto"/>
            <w:ind w:left="-486" w:right="214" w:firstLine="284"/>
            <w:jc w:val="right"/>
            <w:rPr>
              <w:rFonts w:ascii="Palatino Linotype" w:eastAsia="Palatino Linotype" w:hAnsi="Palatino Linotype" w:cs="Palatino Linotype"/>
              <w:b/>
              <w:sz w:val="24"/>
              <w:szCs w:val="24"/>
            </w:rPr>
          </w:pPr>
          <w:r w:rsidRPr="00483887">
            <w:rPr>
              <w:rFonts w:ascii="Palatino Linotype" w:eastAsia="Palatino Linotype" w:hAnsi="Palatino Linotype" w:cs="Palatino Linotype"/>
              <w:b/>
              <w:color w:val="000000"/>
              <w:sz w:val="24"/>
              <w:szCs w:val="24"/>
            </w:rPr>
            <w:t>Ayuntamiento de Valle de Chalco Solidaridad</w:t>
          </w:r>
        </w:p>
      </w:tc>
    </w:tr>
    <w:tr w:rsidR="00DA1A3F" w14:paraId="411B160A" w14:textId="77777777">
      <w:trPr>
        <w:trHeight w:val="342"/>
      </w:trPr>
      <w:tc>
        <w:tcPr>
          <w:tcW w:w="5246" w:type="dxa"/>
        </w:tcPr>
        <w:p w14:paraId="237FA920" w14:textId="77777777" w:rsidR="00DA1A3F" w:rsidRDefault="00DA1A3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A1A3F" w:rsidRDefault="00DA1A3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A1A3F" w:rsidRDefault="00DA1A3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A1A3F" w:rsidRDefault="00DA1A3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DA1A3F" w14:paraId="5063194D" w14:textId="77777777">
      <w:trPr>
        <w:trHeight w:val="227"/>
      </w:trPr>
      <w:tc>
        <w:tcPr>
          <w:tcW w:w="5104" w:type="dxa"/>
        </w:tcPr>
        <w:p w14:paraId="303C39FA" w14:textId="77777777" w:rsidR="00DA1A3F" w:rsidRDefault="00DA1A3F">
          <w:pPr>
            <w:spacing w:after="120" w:line="256" w:lineRule="auto"/>
            <w:ind w:right="204"/>
            <w:jc w:val="right"/>
            <w:rPr>
              <w:rFonts w:ascii="Palatino Linotype" w:eastAsia="Palatino Linotype" w:hAnsi="Palatino Linotype" w:cs="Palatino Linotype"/>
            </w:rPr>
          </w:pPr>
          <w:bookmarkStart w:id="1" w:name="_30j0zll" w:colFirst="0" w:colLast="0"/>
          <w:bookmarkEnd w:id="1"/>
          <w:r>
            <w:rPr>
              <w:rFonts w:ascii="Palatino Linotype" w:eastAsia="Palatino Linotype" w:hAnsi="Palatino Linotype" w:cs="Palatino Linotype"/>
            </w:rPr>
            <w:t>Recurso de Revisión N°:</w:t>
          </w:r>
        </w:p>
      </w:tc>
      <w:tc>
        <w:tcPr>
          <w:tcW w:w="4819" w:type="dxa"/>
        </w:tcPr>
        <w:p w14:paraId="118903CA" w14:textId="4C107A67" w:rsidR="00DA1A3F" w:rsidRDefault="00DA1A3F" w:rsidP="007B69B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08560/INFOEM/IP/RR/2025</w:t>
          </w:r>
        </w:p>
      </w:tc>
    </w:tr>
    <w:tr w:rsidR="00DA1A3F" w14:paraId="4E63E472" w14:textId="77777777">
      <w:trPr>
        <w:trHeight w:val="242"/>
      </w:trPr>
      <w:tc>
        <w:tcPr>
          <w:tcW w:w="5104" w:type="dxa"/>
        </w:tcPr>
        <w:p w14:paraId="04CE6C4D" w14:textId="77777777" w:rsidR="00DA1A3F" w:rsidRDefault="00DA1A3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2935321" w:rsidR="00DA1A3F" w:rsidRDefault="00DA1A3F">
          <w:pPr>
            <w:spacing w:after="120" w:line="256" w:lineRule="auto"/>
            <w:ind w:left="-486" w:right="214" w:firstLine="284"/>
            <w:jc w:val="right"/>
            <w:rPr>
              <w:rFonts w:ascii="Palatino Linotype" w:eastAsia="Palatino Linotype" w:hAnsi="Palatino Linotype" w:cs="Palatino Linotype"/>
              <w:b/>
            </w:rPr>
          </w:pPr>
          <w:r w:rsidRPr="00483887">
            <w:rPr>
              <w:rFonts w:ascii="Palatino Linotype" w:eastAsia="Palatino Linotype" w:hAnsi="Palatino Linotype" w:cs="Palatino Linotype"/>
              <w:b/>
              <w:color w:val="000000"/>
              <w:sz w:val="24"/>
              <w:szCs w:val="24"/>
            </w:rPr>
            <w:t>Ayuntamiento de Valle de Chalco Solidaridad</w:t>
          </w:r>
        </w:p>
      </w:tc>
    </w:tr>
    <w:tr w:rsidR="00DA1A3F" w14:paraId="0071BBFA" w14:textId="77777777">
      <w:trPr>
        <w:trHeight w:val="342"/>
      </w:trPr>
      <w:tc>
        <w:tcPr>
          <w:tcW w:w="5104" w:type="dxa"/>
        </w:tcPr>
        <w:p w14:paraId="693FC5F3" w14:textId="77777777" w:rsidR="00DA1A3F" w:rsidRDefault="00DA1A3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D45B6A6" w:rsidR="00DA1A3F" w:rsidRDefault="000F43A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r w:rsidR="00DA1A3F">
            <w:rPr>
              <w:rFonts w:ascii="Palatino Linotype" w:eastAsia="Palatino Linotype" w:hAnsi="Palatino Linotype" w:cs="Palatino Linotype"/>
              <w:b/>
            </w:rPr>
            <w:t xml:space="preserve"> </w:t>
          </w:r>
        </w:p>
      </w:tc>
    </w:tr>
    <w:tr w:rsidR="00DA1A3F" w14:paraId="0656E851" w14:textId="77777777">
      <w:trPr>
        <w:trHeight w:val="342"/>
      </w:trPr>
      <w:tc>
        <w:tcPr>
          <w:tcW w:w="5104" w:type="dxa"/>
        </w:tcPr>
        <w:p w14:paraId="26451B2C" w14:textId="77777777" w:rsidR="00DA1A3F" w:rsidRDefault="00DA1A3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A1A3F" w:rsidRDefault="00DA1A3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A1A3F" w:rsidRDefault="00DA1A3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14541B"/>
    <w:multiLevelType w:val="hybridMultilevel"/>
    <w:tmpl w:val="CA222BA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25C8D"/>
    <w:rsid w:val="00037DD8"/>
    <w:rsid w:val="0004028E"/>
    <w:rsid w:val="00062A5A"/>
    <w:rsid w:val="0006589A"/>
    <w:rsid w:val="000B0A35"/>
    <w:rsid w:val="000B1D91"/>
    <w:rsid w:val="000E32FB"/>
    <w:rsid w:val="000F059A"/>
    <w:rsid w:val="000F43A6"/>
    <w:rsid w:val="00147C81"/>
    <w:rsid w:val="001701C6"/>
    <w:rsid w:val="0017322A"/>
    <w:rsid w:val="001753E4"/>
    <w:rsid w:val="001B089D"/>
    <w:rsid w:val="001B3FA8"/>
    <w:rsid w:val="001C73B6"/>
    <w:rsid w:val="001D51A4"/>
    <w:rsid w:val="001F63E5"/>
    <w:rsid w:val="00220AB1"/>
    <w:rsid w:val="002328E8"/>
    <w:rsid w:val="00284C55"/>
    <w:rsid w:val="002A6045"/>
    <w:rsid w:val="002D2676"/>
    <w:rsid w:val="002F3E5F"/>
    <w:rsid w:val="00325D2E"/>
    <w:rsid w:val="003521E1"/>
    <w:rsid w:val="00365E6C"/>
    <w:rsid w:val="00376F47"/>
    <w:rsid w:val="00385493"/>
    <w:rsid w:val="003C3B80"/>
    <w:rsid w:val="00436102"/>
    <w:rsid w:val="00451211"/>
    <w:rsid w:val="00454597"/>
    <w:rsid w:val="00470695"/>
    <w:rsid w:val="00470783"/>
    <w:rsid w:val="00483887"/>
    <w:rsid w:val="00484A80"/>
    <w:rsid w:val="004B79F5"/>
    <w:rsid w:val="004C0ADF"/>
    <w:rsid w:val="004D3C17"/>
    <w:rsid w:val="004F385D"/>
    <w:rsid w:val="0050181D"/>
    <w:rsid w:val="0050322E"/>
    <w:rsid w:val="00510D90"/>
    <w:rsid w:val="00523F82"/>
    <w:rsid w:val="00540F43"/>
    <w:rsid w:val="00562C82"/>
    <w:rsid w:val="005B34B6"/>
    <w:rsid w:val="005C4BE4"/>
    <w:rsid w:val="005D1BC7"/>
    <w:rsid w:val="005E1671"/>
    <w:rsid w:val="005E1705"/>
    <w:rsid w:val="005F1432"/>
    <w:rsid w:val="005F4DF9"/>
    <w:rsid w:val="005F78CA"/>
    <w:rsid w:val="00604949"/>
    <w:rsid w:val="00640ABD"/>
    <w:rsid w:val="00653452"/>
    <w:rsid w:val="00672A15"/>
    <w:rsid w:val="006A5601"/>
    <w:rsid w:val="00711668"/>
    <w:rsid w:val="0073074B"/>
    <w:rsid w:val="00751EC2"/>
    <w:rsid w:val="007622F5"/>
    <w:rsid w:val="007A179B"/>
    <w:rsid w:val="007B0A03"/>
    <w:rsid w:val="007B69B1"/>
    <w:rsid w:val="007B79CF"/>
    <w:rsid w:val="007E3007"/>
    <w:rsid w:val="007F6ECD"/>
    <w:rsid w:val="0084193B"/>
    <w:rsid w:val="00845EA7"/>
    <w:rsid w:val="00862E74"/>
    <w:rsid w:val="008D5AEB"/>
    <w:rsid w:val="008F1783"/>
    <w:rsid w:val="00905EB8"/>
    <w:rsid w:val="00911EF2"/>
    <w:rsid w:val="0093721C"/>
    <w:rsid w:val="009520BB"/>
    <w:rsid w:val="0097774A"/>
    <w:rsid w:val="009815B9"/>
    <w:rsid w:val="00987B73"/>
    <w:rsid w:val="009B12A2"/>
    <w:rsid w:val="009B36C9"/>
    <w:rsid w:val="009D6D2A"/>
    <w:rsid w:val="009E3316"/>
    <w:rsid w:val="009E7CAB"/>
    <w:rsid w:val="00A01516"/>
    <w:rsid w:val="00A17486"/>
    <w:rsid w:val="00A52F6C"/>
    <w:rsid w:val="00A96D76"/>
    <w:rsid w:val="00AB4D96"/>
    <w:rsid w:val="00AB5780"/>
    <w:rsid w:val="00AC10B3"/>
    <w:rsid w:val="00AD7572"/>
    <w:rsid w:val="00AF3857"/>
    <w:rsid w:val="00B171BF"/>
    <w:rsid w:val="00B22CF1"/>
    <w:rsid w:val="00B25F4B"/>
    <w:rsid w:val="00B53E06"/>
    <w:rsid w:val="00B60F6A"/>
    <w:rsid w:val="00B7114A"/>
    <w:rsid w:val="00BA7893"/>
    <w:rsid w:val="00C53525"/>
    <w:rsid w:val="00C611C7"/>
    <w:rsid w:val="00C75CDA"/>
    <w:rsid w:val="00C9156C"/>
    <w:rsid w:val="00D0571D"/>
    <w:rsid w:val="00D16818"/>
    <w:rsid w:val="00D3570B"/>
    <w:rsid w:val="00D44520"/>
    <w:rsid w:val="00D53A8A"/>
    <w:rsid w:val="00D6696B"/>
    <w:rsid w:val="00DA1A3F"/>
    <w:rsid w:val="00DD17FA"/>
    <w:rsid w:val="00DE7B39"/>
    <w:rsid w:val="00DF59D7"/>
    <w:rsid w:val="00E12D3C"/>
    <w:rsid w:val="00E27576"/>
    <w:rsid w:val="00E32722"/>
    <w:rsid w:val="00E5666F"/>
    <w:rsid w:val="00E65BF5"/>
    <w:rsid w:val="00E66597"/>
    <w:rsid w:val="00E7491D"/>
    <w:rsid w:val="00EB5F5B"/>
    <w:rsid w:val="00ED0692"/>
    <w:rsid w:val="00ED2D8D"/>
    <w:rsid w:val="00EF570C"/>
    <w:rsid w:val="00F31187"/>
    <w:rsid w:val="00F424DB"/>
    <w:rsid w:val="00F802C8"/>
    <w:rsid w:val="00F97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 w:type="table" w:styleId="Tablaconcuadrcula">
    <w:name w:val="Table Grid"/>
    <w:basedOn w:val="Tablanormal"/>
    <w:uiPriority w:val="39"/>
    <w:rsid w:val="00523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F38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047603595">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18214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ion.edomex.gob.mx/sites/legislacion.edomex.gob.mx/files/files/pdf/ley/vig/leyvig19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34</Pages>
  <Words>7975</Words>
  <Characters>43863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72</cp:revision>
  <cp:lastPrinted>2025-12-05T15:05:00Z</cp:lastPrinted>
  <dcterms:created xsi:type="dcterms:W3CDTF">2025-11-18T17:30:00Z</dcterms:created>
  <dcterms:modified xsi:type="dcterms:W3CDTF">2026-01-21T18:14:00Z</dcterms:modified>
</cp:coreProperties>
</file>