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FBA5AD" w14:textId="77777777" w:rsidR="008A759D" w:rsidRDefault="008A759D" w:rsidP="000C015A">
      <w:pPr>
        <w:keepNext/>
        <w:keepLines/>
        <w:pBdr>
          <w:top w:val="nil"/>
          <w:left w:val="nil"/>
          <w:bottom w:val="nil"/>
          <w:right w:val="nil"/>
          <w:between w:val="nil"/>
        </w:pBdr>
        <w:spacing w:after="0" w:line="360" w:lineRule="auto"/>
        <w:rPr>
          <w:color w:val="000000"/>
        </w:rPr>
      </w:pPr>
      <w:bookmarkStart w:id="0" w:name="_heading=h.zrdbf4ofyev" w:colFirst="0" w:colLast="0"/>
      <w:bookmarkEnd w:id="0"/>
    </w:p>
    <w:p w14:paraId="380F9AE1" w14:textId="77777777" w:rsidR="008A759D" w:rsidRDefault="000C015A">
      <w:pPr>
        <w:keepNext/>
        <w:keepLines/>
        <w:pBdr>
          <w:top w:val="nil"/>
          <w:left w:val="nil"/>
          <w:bottom w:val="nil"/>
          <w:right w:val="nil"/>
          <w:between w:val="nil"/>
        </w:pBdr>
        <w:spacing w:after="0" w:line="360" w:lineRule="auto"/>
        <w:jc w:val="center"/>
        <w:rPr>
          <w:color w:val="000000"/>
        </w:rPr>
      </w:pPr>
      <w:r>
        <w:rPr>
          <w:color w:val="000000"/>
        </w:rPr>
        <w:t>RESOLUCIÓN DEL RECURSO DE REVISIÓN 07921/INFOEM/IP/RR/2025 Y ACUMULADO</w:t>
      </w:r>
    </w:p>
    <w:sdt>
      <w:sdtPr>
        <w:rPr>
          <w:lang w:val="es-ES"/>
        </w:rPr>
        <w:id w:val="-1354870650"/>
        <w:docPartObj>
          <w:docPartGallery w:val="Table of Contents"/>
          <w:docPartUnique/>
        </w:docPartObj>
      </w:sdtPr>
      <w:sdtEndPr>
        <w:rPr>
          <w:b/>
          <w:bCs/>
        </w:rPr>
      </w:sdtEndPr>
      <w:sdtContent>
        <w:p w14:paraId="000B65BD" w14:textId="2425C268" w:rsidR="000C015A" w:rsidRDefault="000C015A">
          <w:pPr>
            <w:pStyle w:val="TtuloTDC"/>
          </w:pPr>
          <w:r>
            <w:rPr>
              <w:lang w:val="es-ES"/>
            </w:rPr>
            <w:t>Tabla de contenido</w:t>
          </w:r>
        </w:p>
        <w:p w14:paraId="127C018E" w14:textId="2E9A5518" w:rsidR="009E39F7" w:rsidRPr="009E39F7" w:rsidRDefault="000C015A">
          <w:pPr>
            <w:pStyle w:val="TDC1"/>
            <w:rPr>
              <w:rFonts w:asciiTheme="minorHAnsi" w:eastAsiaTheme="minorEastAsia" w:hAnsiTheme="minorHAnsi" w:cstheme="minorBidi"/>
              <w:noProof/>
              <w:sz w:val="22"/>
              <w:szCs w:val="22"/>
              <w:lang w:eastAsia="es-MX"/>
            </w:rPr>
          </w:pPr>
          <w:r w:rsidRPr="009E39F7">
            <w:fldChar w:fldCharType="begin"/>
          </w:r>
          <w:r w:rsidRPr="009E39F7">
            <w:instrText xml:space="preserve"> TOC \o "1-3" \h \z \u </w:instrText>
          </w:r>
          <w:r w:rsidRPr="009E39F7">
            <w:fldChar w:fldCharType="separate"/>
          </w:r>
          <w:hyperlink w:anchor="_Toc205476989" w:history="1">
            <w:r w:rsidR="009E39F7" w:rsidRPr="009E39F7">
              <w:rPr>
                <w:rStyle w:val="Hipervnculo"/>
                <w:rFonts w:ascii="Palatino Linotype" w:eastAsia="Palatino Linotype" w:hAnsi="Palatino Linotype" w:cs="Palatino Linotype"/>
                <w:noProof/>
              </w:rPr>
              <w:t>A N T E C E D E N T E S</w:t>
            </w:r>
            <w:r w:rsidR="009E39F7" w:rsidRPr="009E39F7">
              <w:rPr>
                <w:noProof/>
                <w:webHidden/>
              </w:rPr>
              <w:tab/>
            </w:r>
            <w:r w:rsidR="009E39F7" w:rsidRPr="009E39F7">
              <w:rPr>
                <w:noProof/>
                <w:webHidden/>
              </w:rPr>
              <w:fldChar w:fldCharType="begin"/>
            </w:r>
            <w:r w:rsidR="009E39F7" w:rsidRPr="009E39F7">
              <w:rPr>
                <w:noProof/>
                <w:webHidden/>
              </w:rPr>
              <w:instrText xml:space="preserve"> PAGEREF _Toc205476989 \h </w:instrText>
            </w:r>
            <w:r w:rsidR="009E39F7" w:rsidRPr="009E39F7">
              <w:rPr>
                <w:noProof/>
                <w:webHidden/>
              </w:rPr>
            </w:r>
            <w:r w:rsidR="009E39F7" w:rsidRPr="009E39F7">
              <w:rPr>
                <w:noProof/>
                <w:webHidden/>
              </w:rPr>
              <w:fldChar w:fldCharType="separate"/>
            </w:r>
            <w:r w:rsidR="00F1163E">
              <w:rPr>
                <w:noProof/>
                <w:webHidden/>
              </w:rPr>
              <w:t>2</w:t>
            </w:r>
            <w:r w:rsidR="009E39F7" w:rsidRPr="009E39F7">
              <w:rPr>
                <w:noProof/>
                <w:webHidden/>
              </w:rPr>
              <w:fldChar w:fldCharType="end"/>
            </w:r>
          </w:hyperlink>
        </w:p>
        <w:p w14:paraId="3A544EC5" w14:textId="67ECD7A5" w:rsidR="009E39F7" w:rsidRPr="009E39F7" w:rsidRDefault="009E39F7">
          <w:pPr>
            <w:pStyle w:val="TDC2"/>
            <w:tabs>
              <w:tab w:val="right" w:leader="dot" w:pos="8921"/>
            </w:tabs>
            <w:rPr>
              <w:rFonts w:asciiTheme="minorHAnsi" w:eastAsiaTheme="minorEastAsia" w:hAnsiTheme="minorHAnsi" w:cstheme="minorBidi"/>
              <w:noProof/>
              <w:sz w:val="22"/>
              <w:szCs w:val="22"/>
              <w:lang w:eastAsia="es-MX"/>
            </w:rPr>
          </w:pPr>
          <w:hyperlink w:anchor="_Toc205476990" w:history="1">
            <w:r w:rsidRPr="009E39F7">
              <w:rPr>
                <w:rStyle w:val="Hipervnculo"/>
                <w:rFonts w:ascii="Palatino Linotype" w:eastAsia="Palatino Linotype" w:hAnsi="Palatino Linotype" w:cs="Palatino Linotype"/>
                <w:noProof/>
              </w:rPr>
              <w:t>I. Presentación de las solicitudes de información</w:t>
            </w:r>
            <w:r w:rsidRPr="009E39F7">
              <w:rPr>
                <w:noProof/>
                <w:webHidden/>
              </w:rPr>
              <w:tab/>
            </w:r>
            <w:r w:rsidRPr="009E39F7">
              <w:rPr>
                <w:noProof/>
                <w:webHidden/>
              </w:rPr>
              <w:fldChar w:fldCharType="begin"/>
            </w:r>
            <w:r w:rsidRPr="009E39F7">
              <w:rPr>
                <w:noProof/>
                <w:webHidden/>
              </w:rPr>
              <w:instrText xml:space="preserve"> PAGEREF _Toc205476990 \h </w:instrText>
            </w:r>
            <w:r w:rsidRPr="009E39F7">
              <w:rPr>
                <w:noProof/>
                <w:webHidden/>
              </w:rPr>
            </w:r>
            <w:r w:rsidRPr="009E39F7">
              <w:rPr>
                <w:noProof/>
                <w:webHidden/>
              </w:rPr>
              <w:fldChar w:fldCharType="separate"/>
            </w:r>
            <w:r w:rsidR="00F1163E">
              <w:rPr>
                <w:noProof/>
                <w:webHidden/>
              </w:rPr>
              <w:t>2</w:t>
            </w:r>
            <w:r w:rsidRPr="009E39F7">
              <w:rPr>
                <w:noProof/>
                <w:webHidden/>
              </w:rPr>
              <w:fldChar w:fldCharType="end"/>
            </w:r>
          </w:hyperlink>
        </w:p>
        <w:p w14:paraId="4F5EBF85" w14:textId="6C359394" w:rsidR="009E39F7" w:rsidRPr="009E39F7" w:rsidRDefault="009E39F7">
          <w:pPr>
            <w:pStyle w:val="TDC2"/>
            <w:tabs>
              <w:tab w:val="right" w:leader="dot" w:pos="8921"/>
            </w:tabs>
            <w:rPr>
              <w:rFonts w:asciiTheme="minorHAnsi" w:eastAsiaTheme="minorEastAsia" w:hAnsiTheme="minorHAnsi" w:cstheme="minorBidi"/>
              <w:noProof/>
              <w:sz w:val="22"/>
              <w:szCs w:val="22"/>
              <w:lang w:eastAsia="es-MX"/>
            </w:rPr>
          </w:pPr>
          <w:hyperlink w:anchor="_Toc205476991" w:history="1">
            <w:r w:rsidRPr="009E39F7">
              <w:rPr>
                <w:rStyle w:val="Hipervnculo"/>
                <w:rFonts w:ascii="Palatino Linotype" w:eastAsia="Palatino Linotype" w:hAnsi="Palatino Linotype" w:cs="Palatino Linotype"/>
                <w:noProof/>
              </w:rPr>
              <w:t>II. Solicitud de Aclaración.</w:t>
            </w:r>
            <w:r w:rsidRPr="009E39F7">
              <w:rPr>
                <w:noProof/>
                <w:webHidden/>
              </w:rPr>
              <w:tab/>
            </w:r>
            <w:r w:rsidRPr="009E39F7">
              <w:rPr>
                <w:noProof/>
                <w:webHidden/>
              </w:rPr>
              <w:fldChar w:fldCharType="begin"/>
            </w:r>
            <w:r w:rsidRPr="009E39F7">
              <w:rPr>
                <w:noProof/>
                <w:webHidden/>
              </w:rPr>
              <w:instrText xml:space="preserve"> PAGEREF _Toc205476991 \h </w:instrText>
            </w:r>
            <w:r w:rsidRPr="009E39F7">
              <w:rPr>
                <w:noProof/>
                <w:webHidden/>
              </w:rPr>
            </w:r>
            <w:r w:rsidRPr="009E39F7">
              <w:rPr>
                <w:noProof/>
                <w:webHidden/>
              </w:rPr>
              <w:fldChar w:fldCharType="separate"/>
            </w:r>
            <w:r w:rsidR="00F1163E">
              <w:rPr>
                <w:noProof/>
                <w:webHidden/>
              </w:rPr>
              <w:t>3</w:t>
            </w:r>
            <w:r w:rsidRPr="009E39F7">
              <w:rPr>
                <w:noProof/>
                <w:webHidden/>
              </w:rPr>
              <w:fldChar w:fldCharType="end"/>
            </w:r>
          </w:hyperlink>
        </w:p>
        <w:p w14:paraId="00E63700" w14:textId="5F364BBD" w:rsidR="009E39F7" w:rsidRPr="009E39F7" w:rsidRDefault="009E39F7">
          <w:pPr>
            <w:pStyle w:val="TDC2"/>
            <w:tabs>
              <w:tab w:val="right" w:leader="dot" w:pos="8921"/>
            </w:tabs>
            <w:rPr>
              <w:rFonts w:asciiTheme="minorHAnsi" w:eastAsiaTheme="minorEastAsia" w:hAnsiTheme="minorHAnsi" w:cstheme="minorBidi"/>
              <w:noProof/>
              <w:sz w:val="22"/>
              <w:szCs w:val="22"/>
              <w:lang w:eastAsia="es-MX"/>
            </w:rPr>
          </w:pPr>
          <w:hyperlink w:anchor="_Toc205476992" w:history="1">
            <w:r w:rsidRPr="009E39F7">
              <w:rPr>
                <w:rStyle w:val="Hipervnculo"/>
                <w:rFonts w:ascii="Palatino Linotype" w:eastAsia="Palatino Linotype" w:hAnsi="Palatino Linotype" w:cs="Palatino Linotype"/>
                <w:noProof/>
              </w:rPr>
              <w:t>III. Desahogo de Aclaración.</w:t>
            </w:r>
            <w:r w:rsidRPr="009E39F7">
              <w:rPr>
                <w:noProof/>
                <w:webHidden/>
              </w:rPr>
              <w:tab/>
            </w:r>
            <w:r w:rsidRPr="009E39F7">
              <w:rPr>
                <w:noProof/>
                <w:webHidden/>
              </w:rPr>
              <w:fldChar w:fldCharType="begin"/>
            </w:r>
            <w:r w:rsidRPr="009E39F7">
              <w:rPr>
                <w:noProof/>
                <w:webHidden/>
              </w:rPr>
              <w:instrText xml:space="preserve"> PAGEREF _Toc205476992 \h </w:instrText>
            </w:r>
            <w:r w:rsidRPr="009E39F7">
              <w:rPr>
                <w:noProof/>
                <w:webHidden/>
              </w:rPr>
            </w:r>
            <w:r w:rsidRPr="009E39F7">
              <w:rPr>
                <w:noProof/>
                <w:webHidden/>
              </w:rPr>
              <w:fldChar w:fldCharType="separate"/>
            </w:r>
            <w:r w:rsidR="00F1163E">
              <w:rPr>
                <w:noProof/>
                <w:webHidden/>
              </w:rPr>
              <w:t>4</w:t>
            </w:r>
            <w:r w:rsidRPr="009E39F7">
              <w:rPr>
                <w:noProof/>
                <w:webHidden/>
              </w:rPr>
              <w:fldChar w:fldCharType="end"/>
            </w:r>
          </w:hyperlink>
        </w:p>
        <w:p w14:paraId="1AD89AC6" w14:textId="61EA7BAE" w:rsidR="009E39F7" w:rsidRPr="009E39F7" w:rsidRDefault="009E39F7">
          <w:pPr>
            <w:pStyle w:val="TDC2"/>
            <w:tabs>
              <w:tab w:val="right" w:leader="dot" w:pos="8921"/>
            </w:tabs>
            <w:rPr>
              <w:rFonts w:asciiTheme="minorHAnsi" w:eastAsiaTheme="minorEastAsia" w:hAnsiTheme="minorHAnsi" w:cstheme="minorBidi"/>
              <w:noProof/>
              <w:sz w:val="22"/>
              <w:szCs w:val="22"/>
              <w:lang w:eastAsia="es-MX"/>
            </w:rPr>
          </w:pPr>
          <w:hyperlink w:anchor="_Toc205476993" w:history="1">
            <w:r w:rsidRPr="009E39F7">
              <w:rPr>
                <w:rStyle w:val="Hipervnculo"/>
                <w:rFonts w:ascii="Palatino Linotype" w:eastAsia="Palatino Linotype" w:hAnsi="Palatino Linotype" w:cs="Palatino Linotype"/>
                <w:noProof/>
              </w:rPr>
              <w:t>IV. Prórroga.</w:t>
            </w:r>
            <w:r w:rsidRPr="009E39F7">
              <w:rPr>
                <w:noProof/>
                <w:webHidden/>
              </w:rPr>
              <w:tab/>
            </w:r>
            <w:r w:rsidRPr="009E39F7">
              <w:rPr>
                <w:noProof/>
                <w:webHidden/>
              </w:rPr>
              <w:fldChar w:fldCharType="begin"/>
            </w:r>
            <w:r w:rsidRPr="009E39F7">
              <w:rPr>
                <w:noProof/>
                <w:webHidden/>
              </w:rPr>
              <w:instrText xml:space="preserve"> PAGEREF _Toc205476993 \h </w:instrText>
            </w:r>
            <w:r w:rsidRPr="009E39F7">
              <w:rPr>
                <w:noProof/>
                <w:webHidden/>
              </w:rPr>
            </w:r>
            <w:r w:rsidRPr="009E39F7">
              <w:rPr>
                <w:noProof/>
                <w:webHidden/>
              </w:rPr>
              <w:fldChar w:fldCharType="separate"/>
            </w:r>
            <w:r w:rsidR="00F1163E">
              <w:rPr>
                <w:noProof/>
                <w:webHidden/>
              </w:rPr>
              <w:t>4</w:t>
            </w:r>
            <w:r w:rsidRPr="009E39F7">
              <w:rPr>
                <w:noProof/>
                <w:webHidden/>
              </w:rPr>
              <w:fldChar w:fldCharType="end"/>
            </w:r>
          </w:hyperlink>
        </w:p>
        <w:p w14:paraId="02B65203" w14:textId="02CBCA94" w:rsidR="009E39F7" w:rsidRPr="009E39F7" w:rsidRDefault="009E39F7">
          <w:pPr>
            <w:pStyle w:val="TDC2"/>
            <w:tabs>
              <w:tab w:val="right" w:leader="dot" w:pos="8921"/>
            </w:tabs>
            <w:rPr>
              <w:rFonts w:asciiTheme="minorHAnsi" w:eastAsiaTheme="minorEastAsia" w:hAnsiTheme="minorHAnsi" w:cstheme="minorBidi"/>
              <w:noProof/>
              <w:sz w:val="22"/>
              <w:szCs w:val="22"/>
              <w:lang w:eastAsia="es-MX"/>
            </w:rPr>
          </w:pPr>
          <w:hyperlink w:anchor="_Toc205476994" w:history="1">
            <w:r w:rsidRPr="009E39F7">
              <w:rPr>
                <w:rStyle w:val="Hipervnculo"/>
                <w:rFonts w:ascii="Palatino Linotype" w:eastAsia="Palatino Linotype" w:hAnsi="Palatino Linotype" w:cs="Palatino Linotype"/>
                <w:noProof/>
              </w:rPr>
              <w:t>V. Respuestas del Sujeto Obligado</w:t>
            </w:r>
            <w:r w:rsidRPr="009E39F7">
              <w:rPr>
                <w:noProof/>
                <w:webHidden/>
              </w:rPr>
              <w:tab/>
            </w:r>
            <w:r w:rsidRPr="009E39F7">
              <w:rPr>
                <w:noProof/>
                <w:webHidden/>
              </w:rPr>
              <w:fldChar w:fldCharType="begin"/>
            </w:r>
            <w:r w:rsidRPr="009E39F7">
              <w:rPr>
                <w:noProof/>
                <w:webHidden/>
              </w:rPr>
              <w:instrText xml:space="preserve"> PAGEREF _Toc205476994 \h </w:instrText>
            </w:r>
            <w:r w:rsidRPr="009E39F7">
              <w:rPr>
                <w:noProof/>
                <w:webHidden/>
              </w:rPr>
            </w:r>
            <w:r w:rsidRPr="009E39F7">
              <w:rPr>
                <w:noProof/>
                <w:webHidden/>
              </w:rPr>
              <w:fldChar w:fldCharType="separate"/>
            </w:r>
            <w:r w:rsidR="00F1163E">
              <w:rPr>
                <w:noProof/>
                <w:webHidden/>
              </w:rPr>
              <w:t>5</w:t>
            </w:r>
            <w:r w:rsidRPr="009E39F7">
              <w:rPr>
                <w:noProof/>
                <w:webHidden/>
              </w:rPr>
              <w:fldChar w:fldCharType="end"/>
            </w:r>
          </w:hyperlink>
        </w:p>
        <w:p w14:paraId="2774DEEC" w14:textId="013168DB" w:rsidR="009E39F7" w:rsidRPr="009E39F7" w:rsidRDefault="009E39F7">
          <w:pPr>
            <w:pStyle w:val="TDC2"/>
            <w:tabs>
              <w:tab w:val="right" w:leader="dot" w:pos="8921"/>
            </w:tabs>
            <w:rPr>
              <w:rFonts w:asciiTheme="minorHAnsi" w:eastAsiaTheme="minorEastAsia" w:hAnsiTheme="minorHAnsi" w:cstheme="minorBidi"/>
              <w:noProof/>
              <w:sz w:val="22"/>
              <w:szCs w:val="22"/>
              <w:lang w:eastAsia="es-MX"/>
            </w:rPr>
          </w:pPr>
          <w:hyperlink w:anchor="_Toc205476995" w:history="1">
            <w:r w:rsidRPr="009E39F7">
              <w:rPr>
                <w:rStyle w:val="Hipervnculo"/>
                <w:rFonts w:ascii="Palatino Linotype" w:eastAsia="Palatino Linotype" w:hAnsi="Palatino Linotype" w:cs="Palatino Linotype"/>
                <w:noProof/>
              </w:rPr>
              <w:t>VI. Interposición de los Recursos de Revisión</w:t>
            </w:r>
            <w:r w:rsidRPr="009E39F7">
              <w:rPr>
                <w:noProof/>
                <w:webHidden/>
              </w:rPr>
              <w:tab/>
            </w:r>
            <w:r w:rsidRPr="009E39F7">
              <w:rPr>
                <w:noProof/>
                <w:webHidden/>
              </w:rPr>
              <w:fldChar w:fldCharType="begin"/>
            </w:r>
            <w:r w:rsidRPr="009E39F7">
              <w:rPr>
                <w:noProof/>
                <w:webHidden/>
              </w:rPr>
              <w:instrText xml:space="preserve"> PAGEREF _Toc205476995 \h </w:instrText>
            </w:r>
            <w:r w:rsidRPr="009E39F7">
              <w:rPr>
                <w:noProof/>
                <w:webHidden/>
              </w:rPr>
            </w:r>
            <w:r w:rsidRPr="009E39F7">
              <w:rPr>
                <w:noProof/>
                <w:webHidden/>
              </w:rPr>
              <w:fldChar w:fldCharType="separate"/>
            </w:r>
            <w:r w:rsidR="00F1163E">
              <w:rPr>
                <w:noProof/>
                <w:webHidden/>
              </w:rPr>
              <w:t>5</w:t>
            </w:r>
            <w:r w:rsidRPr="009E39F7">
              <w:rPr>
                <w:noProof/>
                <w:webHidden/>
              </w:rPr>
              <w:fldChar w:fldCharType="end"/>
            </w:r>
          </w:hyperlink>
        </w:p>
        <w:p w14:paraId="4998CACE" w14:textId="3DDF8455" w:rsidR="009E39F7" w:rsidRPr="009E39F7" w:rsidRDefault="009E39F7">
          <w:pPr>
            <w:pStyle w:val="TDC2"/>
            <w:tabs>
              <w:tab w:val="right" w:leader="dot" w:pos="8921"/>
            </w:tabs>
            <w:rPr>
              <w:rFonts w:asciiTheme="minorHAnsi" w:eastAsiaTheme="minorEastAsia" w:hAnsiTheme="minorHAnsi" w:cstheme="minorBidi"/>
              <w:noProof/>
              <w:sz w:val="22"/>
              <w:szCs w:val="22"/>
              <w:lang w:eastAsia="es-MX"/>
            </w:rPr>
          </w:pPr>
          <w:hyperlink w:anchor="_Toc205476996" w:history="1">
            <w:r w:rsidRPr="009E39F7">
              <w:rPr>
                <w:rStyle w:val="Hipervnculo"/>
                <w:rFonts w:ascii="Palatino Linotype" w:eastAsia="Palatino Linotype" w:hAnsi="Palatino Linotype" w:cs="Palatino Linotype"/>
                <w:noProof/>
              </w:rPr>
              <w:t>VII. Trámite del Recurso de Revisión ante este Instituto</w:t>
            </w:r>
            <w:r w:rsidRPr="009E39F7">
              <w:rPr>
                <w:noProof/>
                <w:webHidden/>
              </w:rPr>
              <w:tab/>
            </w:r>
            <w:r w:rsidRPr="009E39F7">
              <w:rPr>
                <w:noProof/>
                <w:webHidden/>
              </w:rPr>
              <w:fldChar w:fldCharType="begin"/>
            </w:r>
            <w:r w:rsidRPr="009E39F7">
              <w:rPr>
                <w:noProof/>
                <w:webHidden/>
              </w:rPr>
              <w:instrText xml:space="preserve"> PAGEREF _Toc205476996 \h </w:instrText>
            </w:r>
            <w:r w:rsidRPr="009E39F7">
              <w:rPr>
                <w:noProof/>
                <w:webHidden/>
              </w:rPr>
            </w:r>
            <w:r w:rsidRPr="009E39F7">
              <w:rPr>
                <w:noProof/>
                <w:webHidden/>
              </w:rPr>
              <w:fldChar w:fldCharType="separate"/>
            </w:r>
            <w:r w:rsidR="00F1163E">
              <w:rPr>
                <w:noProof/>
                <w:webHidden/>
              </w:rPr>
              <w:t>6</w:t>
            </w:r>
            <w:r w:rsidRPr="009E39F7">
              <w:rPr>
                <w:noProof/>
                <w:webHidden/>
              </w:rPr>
              <w:fldChar w:fldCharType="end"/>
            </w:r>
          </w:hyperlink>
        </w:p>
        <w:p w14:paraId="05A9297A" w14:textId="526BA061" w:rsidR="009E39F7" w:rsidRPr="009E39F7" w:rsidRDefault="009E39F7">
          <w:pPr>
            <w:pStyle w:val="TDC1"/>
            <w:rPr>
              <w:rFonts w:asciiTheme="minorHAnsi" w:eastAsiaTheme="minorEastAsia" w:hAnsiTheme="minorHAnsi" w:cstheme="minorBidi"/>
              <w:noProof/>
              <w:sz w:val="22"/>
              <w:szCs w:val="22"/>
              <w:lang w:eastAsia="es-MX"/>
            </w:rPr>
          </w:pPr>
          <w:hyperlink w:anchor="_Toc205476997" w:history="1">
            <w:r w:rsidRPr="009E39F7">
              <w:rPr>
                <w:rStyle w:val="Hipervnculo"/>
                <w:rFonts w:ascii="Palatino Linotype" w:eastAsia="Palatino Linotype" w:hAnsi="Palatino Linotype" w:cs="Palatino Linotype"/>
                <w:noProof/>
              </w:rPr>
              <w:t>C O N S I D E R A N D O S</w:t>
            </w:r>
            <w:r w:rsidRPr="009E39F7">
              <w:rPr>
                <w:noProof/>
                <w:webHidden/>
              </w:rPr>
              <w:tab/>
            </w:r>
            <w:r w:rsidRPr="009E39F7">
              <w:rPr>
                <w:noProof/>
                <w:webHidden/>
              </w:rPr>
              <w:fldChar w:fldCharType="begin"/>
            </w:r>
            <w:r w:rsidRPr="009E39F7">
              <w:rPr>
                <w:noProof/>
                <w:webHidden/>
              </w:rPr>
              <w:instrText xml:space="preserve"> PAGEREF _Toc205476997 \h </w:instrText>
            </w:r>
            <w:r w:rsidRPr="009E39F7">
              <w:rPr>
                <w:noProof/>
                <w:webHidden/>
              </w:rPr>
            </w:r>
            <w:r w:rsidRPr="009E39F7">
              <w:rPr>
                <w:noProof/>
                <w:webHidden/>
              </w:rPr>
              <w:fldChar w:fldCharType="separate"/>
            </w:r>
            <w:r w:rsidR="00F1163E">
              <w:rPr>
                <w:noProof/>
                <w:webHidden/>
              </w:rPr>
              <w:t>8</w:t>
            </w:r>
            <w:r w:rsidRPr="009E39F7">
              <w:rPr>
                <w:noProof/>
                <w:webHidden/>
              </w:rPr>
              <w:fldChar w:fldCharType="end"/>
            </w:r>
          </w:hyperlink>
        </w:p>
        <w:p w14:paraId="45A8E704" w14:textId="130D08A5" w:rsidR="009E39F7" w:rsidRPr="009E39F7" w:rsidRDefault="009E39F7">
          <w:pPr>
            <w:pStyle w:val="TDC2"/>
            <w:tabs>
              <w:tab w:val="right" w:leader="dot" w:pos="8921"/>
            </w:tabs>
            <w:rPr>
              <w:rFonts w:asciiTheme="minorHAnsi" w:eastAsiaTheme="minorEastAsia" w:hAnsiTheme="minorHAnsi" w:cstheme="minorBidi"/>
              <w:noProof/>
              <w:sz w:val="22"/>
              <w:szCs w:val="22"/>
              <w:lang w:eastAsia="es-MX"/>
            </w:rPr>
          </w:pPr>
          <w:hyperlink w:anchor="_Toc205476998" w:history="1">
            <w:r w:rsidRPr="009E39F7">
              <w:rPr>
                <w:rStyle w:val="Hipervnculo"/>
                <w:rFonts w:ascii="Palatino Linotype" w:eastAsia="Palatino Linotype" w:hAnsi="Palatino Linotype" w:cs="Palatino Linotype"/>
                <w:noProof/>
              </w:rPr>
              <w:t>PRIMERO. Competencia</w:t>
            </w:r>
            <w:r w:rsidRPr="009E39F7">
              <w:rPr>
                <w:noProof/>
                <w:webHidden/>
              </w:rPr>
              <w:tab/>
            </w:r>
            <w:r w:rsidRPr="009E39F7">
              <w:rPr>
                <w:noProof/>
                <w:webHidden/>
              </w:rPr>
              <w:fldChar w:fldCharType="begin"/>
            </w:r>
            <w:r w:rsidRPr="009E39F7">
              <w:rPr>
                <w:noProof/>
                <w:webHidden/>
              </w:rPr>
              <w:instrText xml:space="preserve"> PAGEREF _Toc205476998 \h </w:instrText>
            </w:r>
            <w:r w:rsidRPr="009E39F7">
              <w:rPr>
                <w:noProof/>
                <w:webHidden/>
              </w:rPr>
            </w:r>
            <w:r w:rsidRPr="009E39F7">
              <w:rPr>
                <w:noProof/>
                <w:webHidden/>
              </w:rPr>
              <w:fldChar w:fldCharType="separate"/>
            </w:r>
            <w:r w:rsidR="00F1163E">
              <w:rPr>
                <w:noProof/>
                <w:webHidden/>
              </w:rPr>
              <w:t>8</w:t>
            </w:r>
            <w:r w:rsidRPr="009E39F7">
              <w:rPr>
                <w:noProof/>
                <w:webHidden/>
              </w:rPr>
              <w:fldChar w:fldCharType="end"/>
            </w:r>
          </w:hyperlink>
        </w:p>
        <w:p w14:paraId="7BB3590B" w14:textId="11FB3C10" w:rsidR="009E39F7" w:rsidRPr="009E39F7" w:rsidRDefault="009E39F7">
          <w:pPr>
            <w:pStyle w:val="TDC2"/>
            <w:tabs>
              <w:tab w:val="right" w:leader="dot" w:pos="8921"/>
            </w:tabs>
            <w:rPr>
              <w:rFonts w:asciiTheme="minorHAnsi" w:eastAsiaTheme="minorEastAsia" w:hAnsiTheme="minorHAnsi" w:cstheme="minorBidi"/>
              <w:noProof/>
              <w:sz w:val="22"/>
              <w:szCs w:val="22"/>
              <w:lang w:eastAsia="es-MX"/>
            </w:rPr>
          </w:pPr>
          <w:hyperlink w:anchor="_Toc205476999" w:history="1">
            <w:r w:rsidRPr="009E39F7">
              <w:rPr>
                <w:rStyle w:val="Hipervnculo"/>
                <w:rFonts w:ascii="Palatino Linotype" w:eastAsia="Palatino Linotype" w:hAnsi="Palatino Linotype" w:cs="Palatino Linotype"/>
                <w:noProof/>
              </w:rPr>
              <w:t>SEGUNDO. Causales de improcedencia y sobreseimiento</w:t>
            </w:r>
            <w:r w:rsidRPr="009E39F7">
              <w:rPr>
                <w:noProof/>
                <w:webHidden/>
              </w:rPr>
              <w:tab/>
            </w:r>
            <w:r w:rsidRPr="009E39F7">
              <w:rPr>
                <w:noProof/>
                <w:webHidden/>
              </w:rPr>
              <w:fldChar w:fldCharType="begin"/>
            </w:r>
            <w:r w:rsidRPr="009E39F7">
              <w:rPr>
                <w:noProof/>
                <w:webHidden/>
              </w:rPr>
              <w:instrText xml:space="preserve"> PAGEREF _Toc205476999 \h </w:instrText>
            </w:r>
            <w:r w:rsidRPr="009E39F7">
              <w:rPr>
                <w:noProof/>
                <w:webHidden/>
              </w:rPr>
            </w:r>
            <w:r w:rsidRPr="009E39F7">
              <w:rPr>
                <w:noProof/>
                <w:webHidden/>
              </w:rPr>
              <w:fldChar w:fldCharType="separate"/>
            </w:r>
            <w:r w:rsidR="00F1163E">
              <w:rPr>
                <w:noProof/>
                <w:webHidden/>
              </w:rPr>
              <w:t>9</w:t>
            </w:r>
            <w:r w:rsidRPr="009E39F7">
              <w:rPr>
                <w:noProof/>
                <w:webHidden/>
              </w:rPr>
              <w:fldChar w:fldCharType="end"/>
            </w:r>
          </w:hyperlink>
        </w:p>
        <w:p w14:paraId="2A6BFDF9" w14:textId="0D44FDA0" w:rsidR="009E39F7" w:rsidRPr="009E39F7" w:rsidRDefault="009E39F7">
          <w:pPr>
            <w:pStyle w:val="TDC2"/>
            <w:tabs>
              <w:tab w:val="right" w:leader="dot" w:pos="8921"/>
            </w:tabs>
            <w:rPr>
              <w:rFonts w:asciiTheme="minorHAnsi" w:eastAsiaTheme="minorEastAsia" w:hAnsiTheme="minorHAnsi" w:cstheme="minorBidi"/>
              <w:noProof/>
              <w:sz w:val="22"/>
              <w:szCs w:val="22"/>
              <w:lang w:eastAsia="es-MX"/>
            </w:rPr>
          </w:pPr>
          <w:hyperlink w:anchor="_Toc205477000" w:history="1">
            <w:r w:rsidRPr="009E39F7">
              <w:rPr>
                <w:rStyle w:val="Hipervnculo"/>
                <w:rFonts w:ascii="Palatino Linotype" w:eastAsia="Palatino Linotype" w:hAnsi="Palatino Linotype" w:cs="Palatino Linotype"/>
                <w:noProof/>
              </w:rPr>
              <w:t>TERCERO. Determinación de la Controversia</w:t>
            </w:r>
            <w:r w:rsidRPr="009E39F7">
              <w:rPr>
                <w:noProof/>
                <w:webHidden/>
              </w:rPr>
              <w:tab/>
            </w:r>
            <w:r w:rsidRPr="009E39F7">
              <w:rPr>
                <w:noProof/>
                <w:webHidden/>
              </w:rPr>
              <w:fldChar w:fldCharType="begin"/>
            </w:r>
            <w:r w:rsidRPr="009E39F7">
              <w:rPr>
                <w:noProof/>
                <w:webHidden/>
              </w:rPr>
              <w:instrText xml:space="preserve"> PAGEREF _Toc205477000 \h </w:instrText>
            </w:r>
            <w:r w:rsidRPr="009E39F7">
              <w:rPr>
                <w:noProof/>
                <w:webHidden/>
              </w:rPr>
            </w:r>
            <w:r w:rsidRPr="009E39F7">
              <w:rPr>
                <w:noProof/>
                <w:webHidden/>
              </w:rPr>
              <w:fldChar w:fldCharType="separate"/>
            </w:r>
            <w:r w:rsidR="00F1163E">
              <w:rPr>
                <w:noProof/>
                <w:webHidden/>
              </w:rPr>
              <w:t>10</w:t>
            </w:r>
            <w:r w:rsidRPr="009E39F7">
              <w:rPr>
                <w:noProof/>
                <w:webHidden/>
              </w:rPr>
              <w:fldChar w:fldCharType="end"/>
            </w:r>
          </w:hyperlink>
        </w:p>
        <w:p w14:paraId="0BFB006B" w14:textId="04E1F197" w:rsidR="009E39F7" w:rsidRPr="009E39F7" w:rsidRDefault="009E39F7">
          <w:pPr>
            <w:pStyle w:val="TDC2"/>
            <w:tabs>
              <w:tab w:val="right" w:leader="dot" w:pos="8921"/>
            </w:tabs>
            <w:rPr>
              <w:rFonts w:asciiTheme="minorHAnsi" w:eastAsiaTheme="minorEastAsia" w:hAnsiTheme="minorHAnsi" w:cstheme="minorBidi"/>
              <w:noProof/>
              <w:sz w:val="22"/>
              <w:szCs w:val="22"/>
              <w:lang w:eastAsia="es-MX"/>
            </w:rPr>
          </w:pPr>
          <w:hyperlink w:anchor="_Toc205477001" w:history="1">
            <w:r w:rsidRPr="009E39F7">
              <w:rPr>
                <w:rStyle w:val="Hipervnculo"/>
                <w:rFonts w:ascii="Palatino Linotype" w:eastAsia="Palatino Linotype" w:hAnsi="Palatino Linotype" w:cs="Palatino Linotype"/>
                <w:noProof/>
              </w:rPr>
              <w:t>CUARTO. Marco normativo aplicable en materia de transparencia y acceso a la información pública</w:t>
            </w:r>
            <w:r w:rsidRPr="009E39F7">
              <w:rPr>
                <w:noProof/>
                <w:webHidden/>
              </w:rPr>
              <w:tab/>
            </w:r>
            <w:r w:rsidRPr="009E39F7">
              <w:rPr>
                <w:noProof/>
                <w:webHidden/>
              </w:rPr>
              <w:fldChar w:fldCharType="begin"/>
            </w:r>
            <w:r w:rsidRPr="009E39F7">
              <w:rPr>
                <w:noProof/>
                <w:webHidden/>
              </w:rPr>
              <w:instrText xml:space="preserve"> PAGEREF _Toc205477001 \h </w:instrText>
            </w:r>
            <w:r w:rsidRPr="009E39F7">
              <w:rPr>
                <w:noProof/>
                <w:webHidden/>
              </w:rPr>
            </w:r>
            <w:r w:rsidRPr="009E39F7">
              <w:rPr>
                <w:noProof/>
                <w:webHidden/>
              </w:rPr>
              <w:fldChar w:fldCharType="separate"/>
            </w:r>
            <w:r w:rsidR="00F1163E">
              <w:rPr>
                <w:noProof/>
                <w:webHidden/>
              </w:rPr>
              <w:t>11</w:t>
            </w:r>
            <w:r w:rsidRPr="009E39F7">
              <w:rPr>
                <w:noProof/>
                <w:webHidden/>
              </w:rPr>
              <w:fldChar w:fldCharType="end"/>
            </w:r>
          </w:hyperlink>
        </w:p>
        <w:p w14:paraId="374BBCDF" w14:textId="265EA6B6" w:rsidR="009E39F7" w:rsidRPr="009E39F7" w:rsidRDefault="009E39F7">
          <w:pPr>
            <w:pStyle w:val="TDC2"/>
            <w:tabs>
              <w:tab w:val="right" w:leader="dot" w:pos="8921"/>
            </w:tabs>
            <w:rPr>
              <w:rFonts w:asciiTheme="minorHAnsi" w:eastAsiaTheme="minorEastAsia" w:hAnsiTheme="minorHAnsi" w:cstheme="minorBidi"/>
              <w:noProof/>
              <w:sz w:val="22"/>
              <w:szCs w:val="22"/>
              <w:lang w:eastAsia="es-MX"/>
            </w:rPr>
          </w:pPr>
          <w:hyperlink w:anchor="_Toc205477002" w:history="1">
            <w:r w:rsidRPr="009E39F7">
              <w:rPr>
                <w:rStyle w:val="Hipervnculo"/>
                <w:rFonts w:ascii="Palatino Linotype" w:eastAsia="Palatino Linotype" w:hAnsi="Palatino Linotype" w:cs="Palatino Linotype"/>
                <w:noProof/>
              </w:rPr>
              <w:t>QUINTO. Estudio de Fondo</w:t>
            </w:r>
            <w:r w:rsidRPr="009E39F7">
              <w:rPr>
                <w:noProof/>
                <w:webHidden/>
              </w:rPr>
              <w:tab/>
            </w:r>
            <w:r w:rsidRPr="009E39F7">
              <w:rPr>
                <w:noProof/>
                <w:webHidden/>
              </w:rPr>
              <w:fldChar w:fldCharType="begin"/>
            </w:r>
            <w:r w:rsidRPr="009E39F7">
              <w:rPr>
                <w:noProof/>
                <w:webHidden/>
              </w:rPr>
              <w:instrText xml:space="preserve"> PAGEREF _Toc205477002 \h </w:instrText>
            </w:r>
            <w:r w:rsidRPr="009E39F7">
              <w:rPr>
                <w:noProof/>
                <w:webHidden/>
              </w:rPr>
            </w:r>
            <w:r w:rsidRPr="009E39F7">
              <w:rPr>
                <w:noProof/>
                <w:webHidden/>
              </w:rPr>
              <w:fldChar w:fldCharType="separate"/>
            </w:r>
            <w:r w:rsidR="00F1163E">
              <w:rPr>
                <w:noProof/>
                <w:webHidden/>
              </w:rPr>
              <w:t>13</w:t>
            </w:r>
            <w:r w:rsidRPr="009E39F7">
              <w:rPr>
                <w:noProof/>
                <w:webHidden/>
              </w:rPr>
              <w:fldChar w:fldCharType="end"/>
            </w:r>
          </w:hyperlink>
        </w:p>
        <w:p w14:paraId="6F999319" w14:textId="45A23FAE" w:rsidR="009E39F7" w:rsidRPr="009E39F7" w:rsidRDefault="009E39F7">
          <w:pPr>
            <w:pStyle w:val="TDC2"/>
            <w:tabs>
              <w:tab w:val="right" w:leader="dot" w:pos="8921"/>
            </w:tabs>
            <w:rPr>
              <w:rFonts w:asciiTheme="minorHAnsi" w:eastAsiaTheme="minorEastAsia" w:hAnsiTheme="minorHAnsi" w:cstheme="minorBidi"/>
              <w:noProof/>
              <w:sz w:val="22"/>
              <w:szCs w:val="22"/>
              <w:lang w:eastAsia="es-MX"/>
            </w:rPr>
          </w:pPr>
          <w:hyperlink w:anchor="_Toc205477003" w:history="1">
            <w:r w:rsidRPr="009E39F7">
              <w:rPr>
                <w:rStyle w:val="Hipervnculo"/>
                <w:rFonts w:ascii="Palatino Linotype" w:eastAsia="Palatino Linotype" w:hAnsi="Palatino Linotype" w:cs="Palatino Linotype"/>
                <w:noProof/>
              </w:rPr>
              <w:t>SEXTO. Decisión</w:t>
            </w:r>
            <w:r w:rsidRPr="009E39F7">
              <w:rPr>
                <w:noProof/>
                <w:webHidden/>
              </w:rPr>
              <w:tab/>
            </w:r>
            <w:r w:rsidRPr="009E39F7">
              <w:rPr>
                <w:noProof/>
                <w:webHidden/>
              </w:rPr>
              <w:fldChar w:fldCharType="begin"/>
            </w:r>
            <w:r w:rsidRPr="009E39F7">
              <w:rPr>
                <w:noProof/>
                <w:webHidden/>
              </w:rPr>
              <w:instrText xml:space="preserve"> PAGEREF _Toc205477003 \h </w:instrText>
            </w:r>
            <w:r w:rsidRPr="009E39F7">
              <w:rPr>
                <w:noProof/>
                <w:webHidden/>
              </w:rPr>
            </w:r>
            <w:r w:rsidRPr="009E39F7">
              <w:rPr>
                <w:noProof/>
                <w:webHidden/>
              </w:rPr>
              <w:fldChar w:fldCharType="separate"/>
            </w:r>
            <w:r w:rsidR="00F1163E">
              <w:rPr>
                <w:noProof/>
                <w:webHidden/>
              </w:rPr>
              <w:t>20</w:t>
            </w:r>
            <w:r w:rsidRPr="009E39F7">
              <w:rPr>
                <w:noProof/>
                <w:webHidden/>
              </w:rPr>
              <w:fldChar w:fldCharType="end"/>
            </w:r>
          </w:hyperlink>
        </w:p>
        <w:p w14:paraId="71AD08FC" w14:textId="34C31A58" w:rsidR="009E39F7" w:rsidRPr="009E39F7" w:rsidRDefault="009E39F7">
          <w:pPr>
            <w:pStyle w:val="TDC1"/>
            <w:rPr>
              <w:rFonts w:asciiTheme="minorHAnsi" w:eastAsiaTheme="minorEastAsia" w:hAnsiTheme="minorHAnsi" w:cstheme="minorBidi"/>
              <w:noProof/>
              <w:sz w:val="22"/>
              <w:szCs w:val="22"/>
              <w:lang w:eastAsia="es-MX"/>
            </w:rPr>
          </w:pPr>
          <w:hyperlink w:anchor="_Toc205477004" w:history="1">
            <w:r w:rsidRPr="009E39F7">
              <w:rPr>
                <w:rStyle w:val="Hipervnculo"/>
                <w:rFonts w:ascii="Palatino Linotype" w:eastAsia="Palatino Linotype" w:hAnsi="Palatino Linotype" w:cs="Palatino Linotype"/>
                <w:noProof/>
              </w:rPr>
              <w:t>R E S U E L V E:</w:t>
            </w:r>
            <w:r w:rsidRPr="009E39F7">
              <w:rPr>
                <w:noProof/>
                <w:webHidden/>
              </w:rPr>
              <w:tab/>
            </w:r>
            <w:r w:rsidRPr="009E39F7">
              <w:rPr>
                <w:noProof/>
                <w:webHidden/>
              </w:rPr>
              <w:fldChar w:fldCharType="begin"/>
            </w:r>
            <w:r w:rsidRPr="009E39F7">
              <w:rPr>
                <w:noProof/>
                <w:webHidden/>
              </w:rPr>
              <w:instrText xml:space="preserve"> PAGEREF _Toc205477004 \h </w:instrText>
            </w:r>
            <w:r w:rsidRPr="009E39F7">
              <w:rPr>
                <w:noProof/>
                <w:webHidden/>
              </w:rPr>
            </w:r>
            <w:r w:rsidRPr="009E39F7">
              <w:rPr>
                <w:noProof/>
                <w:webHidden/>
              </w:rPr>
              <w:fldChar w:fldCharType="separate"/>
            </w:r>
            <w:r w:rsidR="00F1163E">
              <w:rPr>
                <w:noProof/>
                <w:webHidden/>
              </w:rPr>
              <w:t>22</w:t>
            </w:r>
            <w:r w:rsidRPr="009E39F7">
              <w:rPr>
                <w:noProof/>
                <w:webHidden/>
              </w:rPr>
              <w:fldChar w:fldCharType="end"/>
            </w:r>
          </w:hyperlink>
        </w:p>
        <w:p w14:paraId="504AA826" w14:textId="47732FB5" w:rsidR="000C015A" w:rsidRDefault="000C015A">
          <w:r w:rsidRPr="009E39F7">
            <w:rPr>
              <w:bCs/>
              <w:lang w:val="es-ES"/>
            </w:rPr>
            <w:fldChar w:fldCharType="end"/>
          </w:r>
        </w:p>
      </w:sdtContent>
    </w:sdt>
    <w:p w14:paraId="4FE735B4" w14:textId="1C039EAD" w:rsidR="000C015A" w:rsidRDefault="000C015A">
      <w:pPr>
        <w:rPr>
          <w:color w:val="000000"/>
        </w:rPr>
      </w:pPr>
      <w:r>
        <w:rPr>
          <w:color w:val="000000"/>
        </w:rPr>
        <w:br w:type="page"/>
      </w:r>
    </w:p>
    <w:p w14:paraId="51EB0BB8" w14:textId="77777777" w:rsidR="008A759D" w:rsidRDefault="008A759D">
      <w:pPr>
        <w:tabs>
          <w:tab w:val="left" w:pos="8931"/>
        </w:tabs>
        <w:spacing w:after="0" w:line="360" w:lineRule="auto"/>
        <w:rPr>
          <w:color w:val="000000"/>
        </w:rPr>
      </w:pPr>
    </w:p>
    <w:p w14:paraId="7404278F" w14:textId="77777777" w:rsidR="008A759D" w:rsidRDefault="000C015A">
      <w:pPr>
        <w:tabs>
          <w:tab w:val="left" w:pos="8931"/>
        </w:tabs>
        <w:spacing w:after="0" w:line="360" w:lineRule="auto"/>
        <w:rPr>
          <w:color w:val="000000"/>
        </w:rPr>
      </w:pPr>
      <w:r>
        <w:rPr>
          <w:color w:val="000000"/>
        </w:rPr>
        <w:t xml:space="preserve">Resolución del Pleno del Instituto de Transparencia, Acceso a la Información Pública y Protección de Datos Personales del Estado de México y Municipios, con domicilio en Metepec, Estado de México, de fecha seis de agosto de dos mil veinticinco. </w:t>
      </w:r>
    </w:p>
    <w:p w14:paraId="5E6E8BBD" w14:textId="77777777" w:rsidR="008A759D" w:rsidRDefault="000C015A">
      <w:pPr>
        <w:tabs>
          <w:tab w:val="left" w:pos="2340"/>
        </w:tabs>
        <w:spacing w:after="0" w:line="360" w:lineRule="auto"/>
        <w:rPr>
          <w:b/>
          <w:color w:val="FF0000"/>
        </w:rPr>
      </w:pPr>
      <w:r>
        <w:rPr>
          <w:b/>
          <w:color w:val="FF0000"/>
        </w:rPr>
        <w:tab/>
      </w:r>
    </w:p>
    <w:p w14:paraId="51F3B5FD" w14:textId="77777777" w:rsidR="008A759D" w:rsidRDefault="000C015A">
      <w:pPr>
        <w:spacing w:after="0" w:line="360" w:lineRule="auto"/>
        <w:rPr>
          <w:color w:val="000000"/>
        </w:rPr>
      </w:pPr>
      <w:r>
        <w:rPr>
          <w:b/>
          <w:color w:val="000000"/>
        </w:rPr>
        <w:t>VISTO</w:t>
      </w:r>
      <w:r>
        <w:rPr>
          <w:color w:val="000000"/>
        </w:rPr>
        <w:t xml:space="preserve"> el expediente electrónico conformado con motivo del Recurso de Revisión </w:t>
      </w:r>
      <w:r>
        <w:rPr>
          <w:b/>
          <w:color w:val="000000"/>
        </w:rPr>
        <w:t>07921/INFOEM/IP/RR/2025 y 07923/INFOEM/IP/RR/2025</w:t>
      </w:r>
      <w:r>
        <w:rPr>
          <w:color w:val="000000"/>
        </w:rPr>
        <w:t xml:space="preserve">, interpuestos por </w:t>
      </w:r>
      <w:r>
        <w:rPr>
          <w:b/>
          <w:color w:val="000000"/>
        </w:rPr>
        <w:t>un Particular</w:t>
      </w:r>
      <w:r>
        <w:rPr>
          <w:color w:val="000000"/>
        </w:rPr>
        <w:t xml:space="preserve"> quien será nombrado como la Persona Recurrente o Particular dentro del siguiente recurso, en contra de la falta de respuesta del Sujeto Obligado</w:t>
      </w:r>
      <w:r>
        <w:rPr>
          <w:b/>
          <w:color w:val="000000"/>
        </w:rPr>
        <w:t>, Ayuntamiento de Otzolotepec</w:t>
      </w:r>
      <w:r>
        <w:rPr>
          <w:color w:val="000000"/>
        </w:rPr>
        <w:t>, a las solicitudes de acceso a la información pública 00263/OTZOLOTE/IP/2025 y 00259/OTZOLOTE/IP/2025 se emite la presente Resolución, con base en los Antecedentes y Considerandos que se exponen a continuación:</w:t>
      </w:r>
    </w:p>
    <w:p w14:paraId="0D998D12" w14:textId="77777777" w:rsidR="008A759D" w:rsidRDefault="000C015A">
      <w:pPr>
        <w:tabs>
          <w:tab w:val="left" w:pos="1965"/>
        </w:tabs>
        <w:spacing w:after="0" w:line="360" w:lineRule="auto"/>
        <w:rPr>
          <w:b/>
          <w:color w:val="FF0000"/>
        </w:rPr>
      </w:pPr>
      <w:r>
        <w:rPr>
          <w:b/>
          <w:color w:val="FF0000"/>
        </w:rPr>
        <w:tab/>
      </w:r>
    </w:p>
    <w:p w14:paraId="56C59D11" w14:textId="77777777" w:rsidR="008A759D" w:rsidRDefault="000C015A">
      <w:pPr>
        <w:pStyle w:val="Ttulo1"/>
        <w:spacing w:before="0" w:line="360" w:lineRule="auto"/>
        <w:jc w:val="center"/>
        <w:rPr>
          <w:rFonts w:ascii="Palatino Linotype" w:eastAsia="Palatino Linotype" w:hAnsi="Palatino Linotype" w:cs="Palatino Linotype"/>
          <w:b/>
          <w:color w:val="000000"/>
          <w:sz w:val="22"/>
          <w:szCs w:val="22"/>
        </w:rPr>
      </w:pPr>
      <w:bookmarkStart w:id="1" w:name="_Toc205476989"/>
      <w:r>
        <w:rPr>
          <w:rFonts w:ascii="Palatino Linotype" w:eastAsia="Palatino Linotype" w:hAnsi="Palatino Linotype" w:cs="Palatino Linotype"/>
          <w:b/>
          <w:color w:val="000000"/>
          <w:sz w:val="22"/>
          <w:szCs w:val="22"/>
        </w:rPr>
        <w:t>A N T E C E D E N T E S</w:t>
      </w:r>
      <w:bookmarkEnd w:id="1"/>
    </w:p>
    <w:p w14:paraId="7627717C" w14:textId="77777777" w:rsidR="008A759D" w:rsidRDefault="008A759D">
      <w:pPr>
        <w:spacing w:after="0" w:line="360" w:lineRule="auto"/>
        <w:jc w:val="center"/>
        <w:rPr>
          <w:b/>
          <w:color w:val="000000"/>
        </w:rPr>
      </w:pPr>
    </w:p>
    <w:p w14:paraId="623999DB" w14:textId="77777777" w:rsidR="008A759D" w:rsidRDefault="000C015A">
      <w:pPr>
        <w:pStyle w:val="Ttulo2"/>
        <w:spacing w:before="0" w:line="360" w:lineRule="auto"/>
        <w:rPr>
          <w:rFonts w:ascii="Palatino Linotype" w:eastAsia="Palatino Linotype" w:hAnsi="Palatino Linotype" w:cs="Palatino Linotype"/>
          <w:b/>
          <w:color w:val="000000"/>
          <w:sz w:val="22"/>
          <w:szCs w:val="22"/>
        </w:rPr>
      </w:pPr>
      <w:bookmarkStart w:id="2" w:name="_Toc205476990"/>
      <w:r>
        <w:rPr>
          <w:rFonts w:ascii="Palatino Linotype" w:eastAsia="Palatino Linotype" w:hAnsi="Palatino Linotype" w:cs="Palatino Linotype"/>
          <w:b/>
          <w:color w:val="000000"/>
          <w:sz w:val="22"/>
          <w:szCs w:val="22"/>
        </w:rPr>
        <w:t>I. Presentación de las solicitudes de información</w:t>
      </w:r>
      <w:bookmarkEnd w:id="2"/>
    </w:p>
    <w:p w14:paraId="56D0517B" w14:textId="77777777" w:rsidR="008A759D" w:rsidRDefault="008A759D">
      <w:pPr>
        <w:spacing w:after="0" w:line="360" w:lineRule="auto"/>
        <w:rPr>
          <w:b/>
          <w:color w:val="000000"/>
        </w:rPr>
      </w:pPr>
    </w:p>
    <w:p w14:paraId="10D2BD3E" w14:textId="77777777" w:rsidR="008A759D" w:rsidRDefault="000C015A">
      <w:pPr>
        <w:spacing w:after="0" w:line="360" w:lineRule="auto"/>
        <w:rPr>
          <w:color w:val="000000"/>
        </w:rPr>
      </w:pPr>
      <w:r>
        <w:rPr>
          <w:color w:val="000000"/>
        </w:rPr>
        <w:t>Con fecha veinte de mayo de dos mil veinticinco, la persona Solicitante presentó dos requerimientos de acceso a la información, a través del Sistema de Acceso a la Información Mexiquense (SAIMEX), ante el Ayuntamiento de Otzolotepec,</w:t>
      </w:r>
      <w:r>
        <w:rPr>
          <w:b/>
          <w:color w:val="000000"/>
        </w:rPr>
        <w:t xml:space="preserve"> </w:t>
      </w:r>
      <w:r>
        <w:rPr>
          <w:color w:val="000000"/>
        </w:rPr>
        <w:t>en los siguientes términos:</w:t>
      </w:r>
    </w:p>
    <w:p w14:paraId="7FB2BA07" w14:textId="77777777" w:rsidR="008A759D" w:rsidRDefault="008A759D">
      <w:pPr>
        <w:tabs>
          <w:tab w:val="left" w:pos="4667"/>
        </w:tabs>
        <w:spacing w:after="0" w:line="360" w:lineRule="auto"/>
        <w:ind w:right="567"/>
        <w:rPr>
          <w:b/>
          <w:i/>
          <w:color w:val="FF0000"/>
        </w:rPr>
      </w:pPr>
    </w:p>
    <w:p w14:paraId="06979BD4" w14:textId="77777777" w:rsidR="008A759D" w:rsidRDefault="000C015A">
      <w:pPr>
        <w:tabs>
          <w:tab w:val="left" w:pos="4667"/>
        </w:tabs>
        <w:spacing w:after="0" w:line="360" w:lineRule="auto"/>
        <w:ind w:right="567"/>
        <w:rPr>
          <w:b/>
          <w:color w:val="FF0000"/>
          <w:sz w:val="20"/>
          <w:szCs w:val="20"/>
        </w:rPr>
      </w:pPr>
      <w:r>
        <w:rPr>
          <w:b/>
          <w:color w:val="212121"/>
          <w:sz w:val="20"/>
          <w:szCs w:val="20"/>
        </w:rPr>
        <w:t xml:space="preserve">Folio de solicitud: </w:t>
      </w:r>
      <w:r>
        <w:rPr>
          <w:b/>
          <w:color w:val="000000"/>
          <w:sz w:val="20"/>
          <w:szCs w:val="20"/>
        </w:rPr>
        <w:t>00263/OTZOLOTE/IP/2025</w:t>
      </w:r>
      <w:r>
        <w:rPr>
          <w:color w:val="000000"/>
          <w:sz w:val="20"/>
          <w:szCs w:val="20"/>
        </w:rPr>
        <w:t xml:space="preserve"> </w:t>
      </w:r>
    </w:p>
    <w:p w14:paraId="0141BC1B" w14:textId="77777777" w:rsidR="008A759D" w:rsidRDefault="000C015A">
      <w:pPr>
        <w:spacing w:after="0" w:line="360" w:lineRule="auto"/>
        <w:ind w:left="567" w:right="567"/>
        <w:rPr>
          <w:b/>
          <w:i/>
          <w:color w:val="000000"/>
          <w:sz w:val="20"/>
          <w:szCs w:val="20"/>
        </w:rPr>
      </w:pPr>
      <w:r>
        <w:rPr>
          <w:b/>
          <w:i/>
          <w:color w:val="000000"/>
          <w:sz w:val="20"/>
          <w:szCs w:val="20"/>
        </w:rPr>
        <w:t>“DESCRIPCIÓN CLARA Y PRECISA DE LA INFORMACIÓN SOLICITADA.</w:t>
      </w:r>
    </w:p>
    <w:p w14:paraId="51DA121A" w14:textId="77777777" w:rsidR="008A759D" w:rsidRDefault="000C015A">
      <w:pPr>
        <w:spacing w:after="0" w:line="360" w:lineRule="auto"/>
        <w:ind w:left="567" w:right="567"/>
        <w:rPr>
          <w:i/>
          <w:color w:val="000000"/>
          <w:sz w:val="20"/>
          <w:szCs w:val="20"/>
        </w:rPr>
      </w:pPr>
      <w:r>
        <w:rPr>
          <w:i/>
          <w:color w:val="000000"/>
          <w:sz w:val="20"/>
          <w:szCs w:val="20"/>
        </w:rPr>
        <w:t xml:space="preserve">SE SOLICITA A LA PRESIDENTA MUNICIPAL INSTRUIR A QUIEN CORRESPONDA ENTREGAR POR MEDIO DIGITAL, LAS CONVOCATORIAS REALIZADAS AL </w:t>
      </w:r>
      <w:r>
        <w:rPr>
          <w:i/>
          <w:color w:val="000000"/>
          <w:sz w:val="20"/>
          <w:szCs w:val="20"/>
        </w:rPr>
        <w:lastRenderedPageBreak/>
        <w:t>CONTRALOR A LAS SESIONES DEL COMITE DE ADQUISICIONES Y SERVICIOS. #OTZOCONTRALACORRUPCION#” (Sic.)</w:t>
      </w:r>
    </w:p>
    <w:p w14:paraId="35F5556D" w14:textId="77777777" w:rsidR="008A759D" w:rsidRDefault="008A759D">
      <w:pPr>
        <w:spacing w:after="0" w:line="360" w:lineRule="auto"/>
        <w:ind w:right="567"/>
        <w:rPr>
          <w:i/>
          <w:color w:val="000000"/>
          <w:sz w:val="20"/>
          <w:szCs w:val="20"/>
        </w:rPr>
      </w:pPr>
    </w:p>
    <w:p w14:paraId="1FDAFDB5" w14:textId="77777777" w:rsidR="008A759D" w:rsidRDefault="000C015A">
      <w:pPr>
        <w:spacing w:after="0" w:line="360" w:lineRule="auto"/>
        <w:ind w:left="567" w:right="567"/>
        <w:rPr>
          <w:b/>
          <w:i/>
          <w:color w:val="000000"/>
          <w:sz w:val="20"/>
          <w:szCs w:val="20"/>
        </w:rPr>
      </w:pPr>
      <w:r>
        <w:rPr>
          <w:b/>
          <w:i/>
          <w:color w:val="000000"/>
          <w:sz w:val="20"/>
          <w:szCs w:val="20"/>
        </w:rPr>
        <w:t>“MODALIDAD DE ENTREGA</w:t>
      </w:r>
    </w:p>
    <w:p w14:paraId="2F43CAB1" w14:textId="77777777" w:rsidR="008A759D" w:rsidRDefault="000C015A">
      <w:pPr>
        <w:spacing w:after="0" w:line="360" w:lineRule="auto"/>
        <w:ind w:left="567" w:right="567"/>
        <w:rPr>
          <w:i/>
          <w:color w:val="000000"/>
          <w:sz w:val="20"/>
          <w:szCs w:val="20"/>
        </w:rPr>
      </w:pPr>
      <w:r>
        <w:rPr>
          <w:i/>
          <w:color w:val="000000"/>
          <w:sz w:val="20"/>
          <w:szCs w:val="20"/>
        </w:rPr>
        <w:t>A través del SAIMEX”</w:t>
      </w:r>
    </w:p>
    <w:p w14:paraId="56C3BC25" w14:textId="77777777" w:rsidR="008A759D" w:rsidRDefault="008A759D">
      <w:pPr>
        <w:spacing w:after="0" w:line="360" w:lineRule="auto"/>
        <w:ind w:left="567" w:right="567"/>
        <w:rPr>
          <w:i/>
          <w:color w:val="000000"/>
          <w:sz w:val="20"/>
          <w:szCs w:val="20"/>
        </w:rPr>
      </w:pPr>
    </w:p>
    <w:p w14:paraId="2E15BB19" w14:textId="77777777" w:rsidR="008A759D" w:rsidRDefault="000C015A">
      <w:pPr>
        <w:tabs>
          <w:tab w:val="left" w:pos="4667"/>
        </w:tabs>
        <w:spacing w:after="0" w:line="360" w:lineRule="auto"/>
        <w:ind w:right="567"/>
        <w:rPr>
          <w:b/>
          <w:color w:val="212121"/>
          <w:sz w:val="20"/>
          <w:szCs w:val="20"/>
        </w:rPr>
      </w:pPr>
      <w:r>
        <w:rPr>
          <w:b/>
          <w:color w:val="212121"/>
          <w:sz w:val="20"/>
          <w:szCs w:val="20"/>
        </w:rPr>
        <w:t>Folio de solicitud: 00259/OTZOLOTE/IP/2025</w:t>
      </w:r>
    </w:p>
    <w:p w14:paraId="12B777E4" w14:textId="77777777" w:rsidR="008A759D" w:rsidRDefault="000C015A">
      <w:pPr>
        <w:spacing w:after="0" w:line="360" w:lineRule="auto"/>
        <w:ind w:left="567" w:right="567"/>
        <w:rPr>
          <w:b/>
          <w:i/>
          <w:color w:val="000000"/>
          <w:sz w:val="20"/>
          <w:szCs w:val="20"/>
        </w:rPr>
      </w:pPr>
      <w:r>
        <w:rPr>
          <w:b/>
          <w:i/>
          <w:color w:val="000000"/>
          <w:sz w:val="20"/>
          <w:szCs w:val="20"/>
        </w:rPr>
        <w:t>“DESCRIPCIÓN CLARA Y PRECISA DE LA INFORMACIÓN SOLICITADA.</w:t>
      </w:r>
    </w:p>
    <w:p w14:paraId="237F1616" w14:textId="77777777" w:rsidR="008A759D" w:rsidRDefault="008A759D">
      <w:pPr>
        <w:spacing w:after="0" w:line="360" w:lineRule="auto"/>
        <w:ind w:left="567" w:right="567"/>
        <w:rPr>
          <w:i/>
          <w:color w:val="000000"/>
          <w:sz w:val="20"/>
          <w:szCs w:val="20"/>
        </w:rPr>
      </w:pPr>
    </w:p>
    <w:p w14:paraId="5D7EFC91" w14:textId="77777777" w:rsidR="008A759D" w:rsidRDefault="000C015A">
      <w:pPr>
        <w:spacing w:after="0" w:line="360" w:lineRule="auto"/>
        <w:ind w:left="567" w:right="567"/>
        <w:rPr>
          <w:i/>
          <w:color w:val="000000"/>
          <w:sz w:val="20"/>
          <w:szCs w:val="20"/>
        </w:rPr>
      </w:pPr>
      <w:r>
        <w:rPr>
          <w:i/>
          <w:color w:val="000000"/>
          <w:sz w:val="20"/>
          <w:szCs w:val="20"/>
        </w:rPr>
        <w:t>SE SOLICITA A LA PRESIDENTA MUNICIPAL INSTRUIR A QUIEN CORRESPONDA ENTREGAR POR MEDIO DIGITAL, LAS CONVOCATORIAS REALIZADAS AL CONTRALOR MUNICIPAL PARA PARTICIPAR EN ALGUN PROCEDIMIENTO ADQUISITIVO. #OTZOCONTRALACORRUPCION#” (Sic.)</w:t>
      </w:r>
    </w:p>
    <w:p w14:paraId="6BAC37D1" w14:textId="77777777" w:rsidR="008A759D" w:rsidRDefault="008A759D">
      <w:pPr>
        <w:spacing w:after="0" w:line="360" w:lineRule="auto"/>
        <w:ind w:right="567"/>
        <w:rPr>
          <w:i/>
          <w:color w:val="000000"/>
          <w:sz w:val="20"/>
          <w:szCs w:val="20"/>
        </w:rPr>
      </w:pPr>
    </w:p>
    <w:p w14:paraId="48E63168" w14:textId="77777777" w:rsidR="008A759D" w:rsidRDefault="000C015A">
      <w:pPr>
        <w:spacing w:after="0" w:line="360" w:lineRule="auto"/>
        <w:ind w:left="567" w:right="567"/>
        <w:rPr>
          <w:b/>
          <w:i/>
          <w:color w:val="000000"/>
          <w:sz w:val="20"/>
          <w:szCs w:val="20"/>
        </w:rPr>
      </w:pPr>
      <w:r>
        <w:rPr>
          <w:b/>
          <w:i/>
          <w:color w:val="000000"/>
          <w:sz w:val="20"/>
          <w:szCs w:val="20"/>
        </w:rPr>
        <w:t>“MODALIDAD DE ENTREGA</w:t>
      </w:r>
    </w:p>
    <w:p w14:paraId="42022C96" w14:textId="77777777" w:rsidR="008A759D" w:rsidRDefault="000C015A" w:rsidP="000C015A">
      <w:pPr>
        <w:spacing w:after="0" w:line="360" w:lineRule="auto"/>
        <w:ind w:left="567" w:right="567"/>
        <w:contextualSpacing/>
        <w:rPr>
          <w:i/>
          <w:color w:val="000000"/>
          <w:sz w:val="20"/>
          <w:szCs w:val="20"/>
        </w:rPr>
      </w:pPr>
      <w:r>
        <w:rPr>
          <w:i/>
          <w:color w:val="000000"/>
          <w:sz w:val="20"/>
          <w:szCs w:val="20"/>
        </w:rPr>
        <w:t>A través del SAIMEX”</w:t>
      </w:r>
    </w:p>
    <w:p w14:paraId="68754D1B" w14:textId="77777777" w:rsidR="008A759D" w:rsidRDefault="008A759D" w:rsidP="000C015A">
      <w:pPr>
        <w:spacing w:after="0" w:line="360" w:lineRule="auto"/>
        <w:ind w:left="567" w:right="567"/>
        <w:contextualSpacing/>
        <w:rPr>
          <w:i/>
          <w:color w:val="000000"/>
        </w:rPr>
      </w:pPr>
    </w:p>
    <w:p w14:paraId="13D7D278" w14:textId="77777777" w:rsidR="000C015A" w:rsidRDefault="000C015A" w:rsidP="000C015A">
      <w:pPr>
        <w:pStyle w:val="Ttulo2"/>
        <w:rPr>
          <w:color w:val="000000"/>
        </w:rPr>
      </w:pPr>
      <w:bookmarkStart w:id="3" w:name="_Toc205476991"/>
      <w:r>
        <w:rPr>
          <w:rFonts w:ascii="Palatino Linotype" w:eastAsia="Palatino Linotype" w:hAnsi="Palatino Linotype" w:cs="Palatino Linotype"/>
          <w:b/>
          <w:color w:val="000000"/>
          <w:sz w:val="22"/>
          <w:szCs w:val="22"/>
        </w:rPr>
        <w:t>II. Solicitud de Aclaración.</w:t>
      </w:r>
      <w:bookmarkEnd w:id="3"/>
      <w:r>
        <w:rPr>
          <w:rFonts w:ascii="Palatino Linotype" w:eastAsia="Palatino Linotype" w:hAnsi="Palatino Linotype" w:cs="Palatino Linotype"/>
          <w:b/>
          <w:color w:val="000000"/>
          <w:sz w:val="22"/>
          <w:szCs w:val="22"/>
        </w:rPr>
        <w:t xml:space="preserve"> </w:t>
      </w:r>
      <w:r>
        <w:rPr>
          <w:rFonts w:ascii="Palatino Linotype" w:eastAsia="Palatino Linotype" w:hAnsi="Palatino Linotype" w:cs="Palatino Linotype"/>
          <w:color w:val="000000"/>
          <w:sz w:val="22"/>
          <w:szCs w:val="22"/>
        </w:rPr>
        <w:t xml:space="preserve"> </w:t>
      </w:r>
    </w:p>
    <w:p w14:paraId="1C597174" w14:textId="77777777" w:rsidR="000C015A" w:rsidRDefault="000C015A" w:rsidP="000C015A">
      <w:pPr>
        <w:spacing w:after="0" w:line="360" w:lineRule="auto"/>
        <w:contextualSpacing/>
        <w:rPr>
          <w:color w:val="000000"/>
        </w:rPr>
      </w:pPr>
    </w:p>
    <w:p w14:paraId="771C041C" w14:textId="59B1FD90" w:rsidR="008A759D" w:rsidRDefault="000C015A" w:rsidP="000C015A">
      <w:pPr>
        <w:spacing w:after="0" w:line="360" w:lineRule="auto"/>
        <w:contextualSpacing/>
        <w:rPr>
          <w:color w:val="000000"/>
        </w:rPr>
      </w:pPr>
      <w:r>
        <w:rPr>
          <w:color w:val="000000"/>
        </w:rPr>
        <w:t>En fecha veintitrés de mayo de dos mil veinticinco, a través de SAIMEX, el Sujeto Obligado requirió a la persona Solicitante para que aclarara las solicitudes en los siguientes términos:</w:t>
      </w:r>
    </w:p>
    <w:p w14:paraId="08D69751" w14:textId="77777777" w:rsidR="008A759D" w:rsidRDefault="008A759D" w:rsidP="000C015A">
      <w:pPr>
        <w:spacing w:after="0" w:line="360" w:lineRule="auto"/>
        <w:contextualSpacing/>
        <w:rPr>
          <w:b/>
          <w:i/>
          <w:color w:val="FF0000"/>
        </w:rPr>
      </w:pPr>
    </w:p>
    <w:p w14:paraId="2B77BCB1" w14:textId="77777777" w:rsidR="008A759D" w:rsidRDefault="000C015A" w:rsidP="000C015A">
      <w:pPr>
        <w:spacing w:after="0" w:line="360" w:lineRule="auto"/>
        <w:contextualSpacing/>
        <w:rPr>
          <w:b/>
          <w:color w:val="FF0000"/>
          <w:sz w:val="20"/>
          <w:szCs w:val="20"/>
        </w:rPr>
      </w:pPr>
      <w:r>
        <w:rPr>
          <w:b/>
          <w:color w:val="212121"/>
          <w:sz w:val="20"/>
          <w:szCs w:val="20"/>
        </w:rPr>
        <w:t xml:space="preserve">Folio de solicitud: </w:t>
      </w:r>
      <w:r>
        <w:rPr>
          <w:b/>
          <w:color w:val="000000"/>
          <w:sz w:val="20"/>
          <w:szCs w:val="20"/>
        </w:rPr>
        <w:t>00263/OTZOLOTE/IP/2025</w:t>
      </w:r>
      <w:r>
        <w:rPr>
          <w:color w:val="000000"/>
          <w:sz w:val="20"/>
          <w:szCs w:val="20"/>
        </w:rPr>
        <w:t xml:space="preserve"> </w:t>
      </w:r>
    </w:p>
    <w:p w14:paraId="2B8EA9F8" w14:textId="77777777" w:rsidR="008A759D" w:rsidRDefault="000C015A" w:rsidP="000C015A">
      <w:pPr>
        <w:spacing w:after="0" w:line="360" w:lineRule="auto"/>
        <w:contextualSpacing/>
        <w:rPr>
          <w:i/>
          <w:color w:val="000000"/>
          <w:sz w:val="20"/>
          <w:szCs w:val="20"/>
        </w:rPr>
      </w:pPr>
      <w:r>
        <w:rPr>
          <w:i/>
          <w:color w:val="000000"/>
          <w:sz w:val="20"/>
          <w:szCs w:val="20"/>
        </w:rPr>
        <w:t>“ACLARACIÓN Con fundamento en el artículo 159 de la Ley de Transparencia y Acceso a la Información Pública del Estado de México y Municipios, se solicita de la manera más atenta, indique de manera precisa el trienio y año de las convocatorias de las cuales solicita información.”</w:t>
      </w:r>
    </w:p>
    <w:p w14:paraId="1B1B5681" w14:textId="77777777" w:rsidR="008A759D" w:rsidRDefault="008A759D" w:rsidP="000C015A">
      <w:pPr>
        <w:spacing w:after="0" w:line="360" w:lineRule="auto"/>
        <w:ind w:left="567" w:right="426"/>
        <w:contextualSpacing/>
        <w:rPr>
          <w:i/>
          <w:color w:val="000000"/>
          <w:sz w:val="20"/>
          <w:szCs w:val="20"/>
        </w:rPr>
      </w:pPr>
    </w:p>
    <w:p w14:paraId="02D24A50" w14:textId="77777777" w:rsidR="008A759D" w:rsidRDefault="000C015A" w:rsidP="000C015A">
      <w:pPr>
        <w:tabs>
          <w:tab w:val="left" w:pos="4667"/>
        </w:tabs>
        <w:spacing w:after="0" w:line="360" w:lineRule="auto"/>
        <w:ind w:right="426"/>
        <w:contextualSpacing/>
        <w:rPr>
          <w:b/>
          <w:color w:val="212121"/>
          <w:sz w:val="20"/>
          <w:szCs w:val="20"/>
        </w:rPr>
      </w:pPr>
      <w:r>
        <w:rPr>
          <w:b/>
          <w:color w:val="212121"/>
          <w:sz w:val="20"/>
          <w:szCs w:val="20"/>
        </w:rPr>
        <w:lastRenderedPageBreak/>
        <w:t>Folio de solicitud: 00259/OTZOLOTE/IP/2025</w:t>
      </w:r>
    </w:p>
    <w:p w14:paraId="5879A26C" w14:textId="77777777" w:rsidR="008A759D" w:rsidRDefault="000C015A" w:rsidP="000C015A">
      <w:pPr>
        <w:spacing w:after="0" w:line="360" w:lineRule="auto"/>
        <w:ind w:left="567" w:right="426"/>
        <w:contextualSpacing/>
        <w:rPr>
          <w:i/>
          <w:color w:val="000000"/>
          <w:sz w:val="20"/>
          <w:szCs w:val="20"/>
        </w:rPr>
      </w:pPr>
      <w:r>
        <w:rPr>
          <w:i/>
          <w:color w:val="000000"/>
          <w:sz w:val="20"/>
          <w:szCs w:val="20"/>
        </w:rPr>
        <w:t>“ACLARACIÓN Con fundamento en el artículo 159 de la Ley de Transparencia y Acceso a la Información Pública del Estado de México y Municipios, se solicita de la manera más atenta, indique de manera precisa el trienio y año referente a la convocatoria de la cual solicita información.”</w:t>
      </w:r>
    </w:p>
    <w:p w14:paraId="4D58EE64" w14:textId="77777777" w:rsidR="008A759D" w:rsidRDefault="008A759D" w:rsidP="000C015A">
      <w:pPr>
        <w:spacing w:after="0" w:line="360" w:lineRule="auto"/>
        <w:contextualSpacing/>
      </w:pPr>
    </w:p>
    <w:p w14:paraId="08F5F51F" w14:textId="77777777" w:rsidR="000C015A" w:rsidRDefault="000C015A" w:rsidP="000C015A">
      <w:pPr>
        <w:pStyle w:val="Ttulo2"/>
        <w:rPr>
          <w:rFonts w:ascii="Palatino Linotype" w:eastAsia="Palatino Linotype" w:hAnsi="Palatino Linotype" w:cs="Palatino Linotype"/>
          <w:color w:val="000000"/>
          <w:sz w:val="22"/>
          <w:szCs w:val="22"/>
        </w:rPr>
      </w:pPr>
      <w:bookmarkStart w:id="4" w:name="_Toc205476992"/>
      <w:r>
        <w:rPr>
          <w:rFonts w:ascii="Palatino Linotype" w:eastAsia="Palatino Linotype" w:hAnsi="Palatino Linotype" w:cs="Palatino Linotype"/>
          <w:b/>
          <w:color w:val="000000"/>
          <w:sz w:val="22"/>
          <w:szCs w:val="22"/>
        </w:rPr>
        <w:t>III. Desahogo de Aclaración.</w:t>
      </w:r>
      <w:bookmarkEnd w:id="4"/>
      <w:r>
        <w:rPr>
          <w:rFonts w:ascii="Palatino Linotype" w:eastAsia="Palatino Linotype" w:hAnsi="Palatino Linotype" w:cs="Palatino Linotype"/>
          <w:b/>
          <w:color w:val="000000"/>
          <w:sz w:val="22"/>
          <w:szCs w:val="22"/>
        </w:rPr>
        <w:t xml:space="preserve"> </w:t>
      </w:r>
      <w:r>
        <w:rPr>
          <w:rFonts w:ascii="Palatino Linotype" w:eastAsia="Palatino Linotype" w:hAnsi="Palatino Linotype" w:cs="Palatino Linotype"/>
          <w:color w:val="000000"/>
          <w:sz w:val="22"/>
          <w:szCs w:val="22"/>
        </w:rPr>
        <w:t xml:space="preserve"> </w:t>
      </w:r>
    </w:p>
    <w:p w14:paraId="6E3C710D" w14:textId="77777777" w:rsidR="000C015A" w:rsidRPr="000C015A" w:rsidRDefault="000C015A" w:rsidP="000C015A"/>
    <w:p w14:paraId="67BE450C" w14:textId="2E623773" w:rsidR="008A759D" w:rsidRDefault="000C015A" w:rsidP="000C015A">
      <w:pPr>
        <w:spacing w:after="0" w:line="360" w:lineRule="auto"/>
        <w:contextualSpacing/>
        <w:rPr>
          <w:color w:val="000000"/>
        </w:rPr>
      </w:pPr>
      <w:r>
        <w:rPr>
          <w:color w:val="000000"/>
        </w:rPr>
        <w:t>En fecha veintiocho de mayo de dos mil veinticinco, a través de SAIMEX, la persona Solicitante desahogó los requerimientos de aclaración en los siguientes términos:</w:t>
      </w:r>
    </w:p>
    <w:p w14:paraId="096BCB95" w14:textId="77777777" w:rsidR="008A759D" w:rsidRDefault="008A759D" w:rsidP="000C015A">
      <w:pPr>
        <w:spacing w:after="0" w:line="360" w:lineRule="auto"/>
        <w:contextualSpacing/>
      </w:pPr>
    </w:p>
    <w:p w14:paraId="076DCE07" w14:textId="77777777" w:rsidR="008A759D" w:rsidRDefault="000C015A" w:rsidP="000C015A">
      <w:pPr>
        <w:tabs>
          <w:tab w:val="left" w:pos="4667"/>
        </w:tabs>
        <w:spacing w:after="0" w:line="360" w:lineRule="auto"/>
        <w:ind w:right="426"/>
        <w:contextualSpacing/>
        <w:rPr>
          <w:b/>
          <w:color w:val="FF0000"/>
          <w:sz w:val="20"/>
          <w:szCs w:val="20"/>
        </w:rPr>
      </w:pPr>
      <w:r>
        <w:rPr>
          <w:b/>
          <w:color w:val="212121"/>
          <w:sz w:val="20"/>
          <w:szCs w:val="20"/>
        </w:rPr>
        <w:t xml:space="preserve">Folio de solicitud: </w:t>
      </w:r>
      <w:r>
        <w:rPr>
          <w:b/>
          <w:color w:val="000000"/>
          <w:sz w:val="20"/>
          <w:szCs w:val="20"/>
        </w:rPr>
        <w:t>00263/OTZOLOTE/IP/2025</w:t>
      </w:r>
      <w:r>
        <w:rPr>
          <w:color w:val="000000"/>
          <w:sz w:val="20"/>
          <w:szCs w:val="20"/>
        </w:rPr>
        <w:t xml:space="preserve"> </w:t>
      </w:r>
    </w:p>
    <w:p w14:paraId="1A858D2E" w14:textId="77777777" w:rsidR="008A759D" w:rsidRDefault="000C015A" w:rsidP="000C015A">
      <w:pPr>
        <w:spacing w:after="0" w:line="360" w:lineRule="auto"/>
        <w:ind w:left="567" w:right="426"/>
        <w:contextualSpacing/>
        <w:rPr>
          <w:b/>
          <w:i/>
          <w:color w:val="000000"/>
          <w:sz w:val="20"/>
          <w:szCs w:val="20"/>
        </w:rPr>
      </w:pPr>
      <w:r>
        <w:rPr>
          <w:b/>
          <w:i/>
          <w:color w:val="000000"/>
          <w:sz w:val="20"/>
          <w:szCs w:val="20"/>
        </w:rPr>
        <w:t>“DATOS A COMPLETAR, CORREGIR, AMPLIAR O ACLARAR</w:t>
      </w:r>
      <w:r>
        <w:rPr>
          <w:b/>
          <w:i/>
          <w:color w:val="000000"/>
          <w:sz w:val="20"/>
          <w:szCs w:val="20"/>
        </w:rPr>
        <w:tab/>
        <w:t xml:space="preserve">  </w:t>
      </w:r>
    </w:p>
    <w:p w14:paraId="1085DEC0" w14:textId="77777777" w:rsidR="008A759D" w:rsidRDefault="000C015A" w:rsidP="000C015A">
      <w:pPr>
        <w:spacing w:after="0" w:line="360" w:lineRule="auto"/>
        <w:ind w:left="567" w:right="426"/>
        <w:contextualSpacing/>
        <w:rPr>
          <w:i/>
          <w:color w:val="000000"/>
          <w:sz w:val="20"/>
          <w:szCs w:val="20"/>
        </w:rPr>
      </w:pPr>
      <w:r>
        <w:rPr>
          <w:i/>
          <w:color w:val="000000"/>
          <w:sz w:val="20"/>
          <w:szCs w:val="20"/>
        </w:rPr>
        <w:t xml:space="preserve"> INFORMACION DE LA ACTUAL ADMINISTRACION 2025-2025, REFERENTE A LOS MESES DE ENERO, FEBRERO, MARZO, ABRIL DEL PRESENTE AÑO 2025.</w:t>
      </w:r>
    </w:p>
    <w:p w14:paraId="7ABF38B3" w14:textId="77777777" w:rsidR="008A759D" w:rsidRDefault="008A759D" w:rsidP="000C015A">
      <w:pPr>
        <w:spacing w:after="0" w:line="360" w:lineRule="auto"/>
        <w:ind w:left="567" w:right="426"/>
        <w:contextualSpacing/>
        <w:rPr>
          <w:i/>
          <w:color w:val="000000"/>
          <w:sz w:val="20"/>
          <w:szCs w:val="20"/>
        </w:rPr>
      </w:pPr>
    </w:p>
    <w:p w14:paraId="14EF19C6" w14:textId="77777777" w:rsidR="008A759D" w:rsidRDefault="000C015A" w:rsidP="000C015A">
      <w:pPr>
        <w:tabs>
          <w:tab w:val="left" w:pos="4667"/>
        </w:tabs>
        <w:spacing w:after="0" w:line="360" w:lineRule="auto"/>
        <w:ind w:right="426"/>
        <w:contextualSpacing/>
        <w:rPr>
          <w:b/>
          <w:color w:val="212121"/>
          <w:sz w:val="20"/>
          <w:szCs w:val="20"/>
        </w:rPr>
      </w:pPr>
      <w:r>
        <w:rPr>
          <w:b/>
          <w:color w:val="212121"/>
          <w:sz w:val="20"/>
          <w:szCs w:val="20"/>
        </w:rPr>
        <w:t>Folio de solicitud: 00259/OTZOLOTE/IP/2025</w:t>
      </w:r>
    </w:p>
    <w:p w14:paraId="33BC8664" w14:textId="77777777" w:rsidR="008A759D" w:rsidRDefault="000C015A" w:rsidP="000C015A">
      <w:pPr>
        <w:spacing w:after="0" w:line="360" w:lineRule="auto"/>
        <w:ind w:left="567" w:right="426"/>
        <w:contextualSpacing/>
        <w:rPr>
          <w:i/>
          <w:color w:val="000000"/>
          <w:sz w:val="20"/>
          <w:szCs w:val="20"/>
        </w:rPr>
      </w:pPr>
      <w:r>
        <w:rPr>
          <w:i/>
          <w:color w:val="000000"/>
          <w:sz w:val="20"/>
          <w:szCs w:val="20"/>
        </w:rPr>
        <w:t>“</w:t>
      </w:r>
      <w:r>
        <w:rPr>
          <w:b/>
          <w:i/>
          <w:color w:val="000000"/>
          <w:sz w:val="20"/>
          <w:szCs w:val="20"/>
        </w:rPr>
        <w:t>DATOS A COMPLETAR, CORREGIR, AMPLIAR O ACLARAR</w:t>
      </w:r>
      <w:r>
        <w:rPr>
          <w:i/>
          <w:color w:val="000000"/>
          <w:sz w:val="20"/>
          <w:szCs w:val="20"/>
        </w:rPr>
        <w:tab/>
        <w:t xml:space="preserve">  </w:t>
      </w:r>
    </w:p>
    <w:p w14:paraId="627C6C6A" w14:textId="77777777" w:rsidR="008A759D" w:rsidRDefault="000C015A" w:rsidP="000C015A">
      <w:pPr>
        <w:spacing w:after="0" w:line="360" w:lineRule="auto"/>
        <w:ind w:left="567" w:right="426"/>
        <w:contextualSpacing/>
        <w:rPr>
          <w:i/>
          <w:color w:val="000000"/>
          <w:sz w:val="20"/>
          <w:szCs w:val="20"/>
        </w:rPr>
      </w:pPr>
      <w:r>
        <w:rPr>
          <w:i/>
          <w:color w:val="000000"/>
          <w:sz w:val="20"/>
          <w:szCs w:val="20"/>
        </w:rPr>
        <w:t xml:space="preserve"> INFORMACION DE LA ACTUAL ADMINISTRACION 2025-2025, REFERENTE A LOS MESES DE ENERO, FEBRERO, MARZO, ABRIL DEL PRESENTE AÑO 2025.</w:t>
      </w:r>
    </w:p>
    <w:p w14:paraId="5A58004A" w14:textId="77777777" w:rsidR="008A759D" w:rsidRDefault="008A759D">
      <w:pPr>
        <w:spacing w:after="0" w:line="360" w:lineRule="auto"/>
        <w:ind w:right="567"/>
        <w:rPr>
          <w:i/>
          <w:color w:val="000000"/>
          <w:sz w:val="20"/>
          <w:szCs w:val="20"/>
        </w:rPr>
      </w:pPr>
    </w:p>
    <w:p w14:paraId="7D0FF24B" w14:textId="7BF6C603" w:rsidR="008A759D" w:rsidRDefault="000C015A">
      <w:pPr>
        <w:pStyle w:val="Ttulo2"/>
        <w:spacing w:before="0" w:line="360" w:lineRule="auto"/>
        <w:rPr>
          <w:rFonts w:ascii="Palatino Linotype" w:eastAsia="Palatino Linotype" w:hAnsi="Palatino Linotype" w:cs="Palatino Linotype"/>
          <w:b/>
          <w:color w:val="000000"/>
          <w:sz w:val="22"/>
          <w:szCs w:val="22"/>
        </w:rPr>
      </w:pPr>
      <w:bookmarkStart w:id="5" w:name="_Toc205476993"/>
      <w:r>
        <w:rPr>
          <w:rFonts w:ascii="Palatino Linotype" w:eastAsia="Palatino Linotype" w:hAnsi="Palatino Linotype" w:cs="Palatino Linotype"/>
          <w:b/>
          <w:color w:val="000000"/>
          <w:sz w:val="22"/>
          <w:szCs w:val="22"/>
        </w:rPr>
        <w:t>IV. Prórroga</w:t>
      </w:r>
      <w:bookmarkEnd w:id="5"/>
    </w:p>
    <w:p w14:paraId="67CF1829" w14:textId="77777777" w:rsidR="008A759D" w:rsidRDefault="008A759D">
      <w:pPr>
        <w:spacing w:after="0" w:line="360" w:lineRule="auto"/>
      </w:pPr>
    </w:p>
    <w:p w14:paraId="0EDED2E9" w14:textId="77777777" w:rsidR="008A759D" w:rsidRDefault="000C015A">
      <w:pPr>
        <w:tabs>
          <w:tab w:val="left" w:pos="4667"/>
        </w:tabs>
        <w:spacing w:after="0" w:line="360" w:lineRule="auto"/>
        <w:rPr>
          <w:color w:val="000000"/>
        </w:rPr>
      </w:pPr>
      <w:r>
        <w:rPr>
          <w:color w:val="000000"/>
        </w:rPr>
        <w:t xml:space="preserve">Con fecha diecisiete de junio de dos mil veinticinco, el Sujeto Obligado, a través del SAIMEX, informó que se </w:t>
      </w:r>
      <w:r>
        <w:t>prorrogó</w:t>
      </w:r>
      <w:r>
        <w:rPr>
          <w:color w:val="000000"/>
        </w:rPr>
        <w:t xml:space="preserve"> el plazo para dar respuesta y remitió las actas del Comité de Transparencia en las que se aprobó la </w:t>
      </w:r>
      <w:r>
        <w:t>prórroga</w:t>
      </w:r>
      <w:r>
        <w:rPr>
          <w:color w:val="000000"/>
        </w:rPr>
        <w:t xml:space="preserve"> por 7 días hábiles más en términos de lo dispuesto en el artículo 163 de la Ley de Transparencia y Acceso a la Información Pública del Estado de México y Municipios.</w:t>
      </w:r>
      <w:r>
        <w:rPr>
          <w:color w:val="000000"/>
          <w:u w:val="single"/>
        </w:rPr>
        <w:t xml:space="preserve"> </w:t>
      </w:r>
    </w:p>
    <w:p w14:paraId="154DEB58" w14:textId="77777777" w:rsidR="008A759D" w:rsidRDefault="008A759D">
      <w:pPr>
        <w:spacing w:after="0" w:line="360" w:lineRule="auto"/>
        <w:ind w:right="567"/>
        <w:rPr>
          <w:i/>
          <w:color w:val="000000"/>
        </w:rPr>
      </w:pPr>
    </w:p>
    <w:p w14:paraId="694A595F" w14:textId="77777777" w:rsidR="008A759D" w:rsidRDefault="000C015A">
      <w:pPr>
        <w:pStyle w:val="Ttulo2"/>
        <w:spacing w:before="0" w:line="360" w:lineRule="auto"/>
        <w:rPr>
          <w:rFonts w:ascii="Palatino Linotype" w:eastAsia="Palatino Linotype" w:hAnsi="Palatino Linotype" w:cs="Palatino Linotype"/>
          <w:b/>
          <w:color w:val="000000"/>
          <w:sz w:val="22"/>
          <w:szCs w:val="22"/>
        </w:rPr>
      </w:pPr>
      <w:bookmarkStart w:id="6" w:name="_Toc205476994"/>
      <w:r>
        <w:rPr>
          <w:rFonts w:ascii="Palatino Linotype" w:eastAsia="Palatino Linotype" w:hAnsi="Palatino Linotype" w:cs="Palatino Linotype"/>
          <w:b/>
          <w:color w:val="000000"/>
          <w:sz w:val="22"/>
          <w:szCs w:val="22"/>
        </w:rPr>
        <w:t>V. Respuestas del Sujeto Obligado</w:t>
      </w:r>
      <w:bookmarkEnd w:id="6"/>
    </w:p>
    <w:p w14:paraId="64537983" w14:textId="77777777" w:rsidR="008A759D" w:rsidRDefault="008A759D">
      <w:pPr>
        <w:spacing w:after="0" w:line="360" w:lineRule="auto"/>
      </w:pPr>
    </w:p>
    <w:p w14:paraId="716974EC" w14:textId="77777777" w:rsidR="008A759D" w:rsidRDefault="000C015A">
      <w:pPr>
        <w:spacing w:after="0" w:line="360" w:lineRule="auto"/>
      </w:pPr>
      <w:r>
        <w:t>De conformidad con el artículo 163, párrafo primero de la Ley de Transparencia y Acceso a la Información Pública del Estado de México y Municipios, el Sujeto Obligado debió dar contestación a las solicitudes de acceso a la información; sin embargo, de las constancias que obran en el expediente electrónico del Sistema de Acceso a la Información Mexiquense (SAIMEX), se advierte que el</w:t>
      </w:r>
      <w:r>
        <w:rPr>
          <w:b/>
        </w:rPr>
        <w:t xml:space="preserve"> Ayuntamiento de Otzolotepec</w:t>
      </w:r>
      <w:r>
        <w:t xml:space="preserve">, omitió dar respuesta a las solicitudes de información, por lo que se </w:t>
      </w:r>
      <w:r>
        <w:rPr>
          <w:b/>
        </w:rPr>
        <w:t>configura la negativa ficta</w:t>
      </w:r>
      <w:r>
        <w:t xml:space="preserve"> a entregar información, prevista, en los artículos 166, párrafo cuarto y 178, párrafo segundo de la Ley de Transparencia y Acceso a la Información Pública del Estado de México y Municipios.</w:t>
      </w:r>
    </w:p>
    <w:p w14:paraId="75B775DF" w14:textId="77777777" w:rsidR="008A759D" w:rsidRDefault="008A759D">
      <w:pPr>
        <w:spacing w:after="0" w:line="360" w:lineRule="auto"/>
      </w:pPr>
    </w:p>
    <w:p w14:paraId="1A31DAD5" w14:textId="77777777" w:rsidR="008A759D" w:rsidRDefault="000C015A">
      <w:pPr>
        <w:pStyle w:val="Ttulo2"/>
        <w:spacing w:before="0" w:line="360" w:lineRule="auto"/>
        <w:rPr>
          <w:rFonts w:ascii="Palatino Linotype" w:eastAsia="Palatino Linotype" w:hAnsi="Palatino Linotype" w:cs="Palatino Linotype"/>
          <w:b/>
          <w:color w:val="000000"/>
          <w:sz w:val="22"/>
          <w:szCs w:val="22"/>
        </w:rPr>
      </w:pPr>
      <w:bookmarkStart w:id="7" w:name="_Toc205476995"/>
      <w:r>
        <w:rPr>
          <w:rFonts w:ascii="Palatino Linotype" w:eastAsia="Palatino Linotype" w:hAnsi="Palatino Linotype" w:cs="Palatino Linotype"/>
          <w:b/>
          <w:color w:val="000000"/>
          <w:sz w:val="22"/>
          <w:szCs w:val="22"/>
        </w:rPr>
        <w:t>VI. Interposición de los Recursos de Revisión</w:t>
      </w:r>
      <w:bookmarkEnd w:id="7"/>
    </w:p>
    <w:p w14:paraId="05A4E9BC" w14:textId="77777777" w:rsidR="008A759D" w:rsidRDefault="008A759D">
      <w:pPr>
        <w:spacing w:after="0" w:line="360" w:lineRule="auto"/>
        <w:rPr>
          <w:color w:val="FF0000"/>
        </w:rPr>
      </w:pPr>
    </w:p>
    <w:p w14:paraId="22A7884C" w14:textId="77777777" w:rsidR="008A759D" w:rsidRDefault="000C015A">
      <w:pPr>
        <w:widowControl w:val="0"/>
        <w:spacing w:after="0" w:line="360" w:lineRule="auto"/>
        <w:rPr>
          <w:color w:val="000000"/>
        </w:rPr>
      </w:pPr>
      <w:r>
        <w:rPr>
          <w:color w:val="000000"/>
        </w:rPr>
        <w:t>Con fecha treinta de junio de dos mil veinticinco, se recibió en este Instituto, a través del Sistema de Acceso a la Información Mexiquense (SAIMEX), los Recursos de Revisión interpuestos por la parte Recurrente, en contra de la respuesta del Sujeto Obligado, en los siguientes términos:</w:t>
      </w:r>
    </w:p>
    <w:p w14:paraId="10248B87" w14:textId="77777777" w:rsidR="008A759D" w:rsidRDefault="008A759D">
      <w:pPr>
        <w:tabs>
          <w:tab w:val="left" w:pos="4667"/>
        </w:tabs>
        <w:spacing w:after="0" w:line="360" w:lineRule="auto"/>
        <w:ind w:right="567"/>
        <w:rPr>
          <w:b/>
          <w:i/>
          <w:color w:val="000000"/>
        </w:rPr>
      </w:pPr>
    </w:p>
    <w:p w14:paraId="65096B32" w14:textId="77777777" w:rsidR="008A759D" w:rsidRDefault="000C015A">
      <w:pPr>
        <w:tabs>
          <w:tab w:val="left" w:pos="4667"/>
        </w:tabs>
        <w:spacing w:after="0" w:line="360" w:lineRule="auto"/>
        <w:ind w:right="426"/>
        <w:rPr>
          <w:b/>
          <w:color w:val="000000"/>
          <w:sz w:val="20"/>
          <w:szCs w:val="20"/>
        </w:rPr>
      </w:pPr>
      <w:r>
        <w:rPr>
          <w:b/>
          <w:color w:val="000000"/>
          <w:sz w:val="20"/>
          <w:szCs w:val="20"/>
        </w:rPr>
        <w:t>Folio de la solicitud: 00263/OTZOLOTE/IP/2025</w:t>
      </w:r>
    </w:p>
    <w:p w14:paraId="35623D00" w14:textId="77777777" w:rsidR="008A759D" w:rsidRDefault="000C015A">
      <w:pPr>
        <w:tabs>
          <w:tab w:val="left" w:pos="4667"/>
        </w:tabs>
        <w:spacing w:after="0" w:line="360" w:lineRule="auto"/>
        <w:ind w:right="426"/>
        <w:rPr>
          <w:b/>
          <w:color w:val="000000"/>
          <w:sz w:val="20"/>
          <w:szCs w:val="20"/>
        </w:rPr>
      </w:pPr>
      <w:r>
        <w:rPr>
          <w:b/>
          <w:color w:val="000000"/>
          <w:sz w:val="20"/>
          <w:szCs w:val="20"/>
        </w:rPr>
        <w:t>Folio del recurso de revisión: 07921/INFOEM/IP/RR/2025</w:t>
      </w:r>
    </w:p>
    <w:p w14:paraId="14CAE8B1" w14:textId="77777777" w:rsidR="008A759D" w:rsidRDefault="008A759D">
      <w:pPr>
        <w:tabs>
          <w:tab w:val="left" w:pos="4667"/>
        </w:tabs>
        <w:spacing w:after="0" w:line="360" w:lineRule="auto"/>
        <w:ind w:left="567" w:right="426"/>
        <w:rPr>
          <w:i/>
          <w:color w:val="000000"/>
          <w:sz w:val="20"/>
          <w:szCs w:val="20"/>
        </w:rPr>
      </w:pPr>
    </w:p>
    <w:p w14:paraId="474D90E9" w14:textId="77777777" w:rsidR="008A759D" w:rsidRDefault="000C015A">
      <w:pPr>
        <w:tabs>
          <w:tab w:val="left" w:pos="4667"/>
        </w:tabs>
        <w:spacing w:after="0" w:line="360" w:lineRule="auto"/>
        <w:ind w:left="567" w:right="426"/>
        <w:rPr>
          <w:i/>
          <w:color w:val="000000"/>
          <w:sz w:val="20"/>
          <w:szCs w:val="20"/>
        </w:rPr>
      </w:pPr>
      <w:r>
        <w:rPr>
          <w:i/>
          <w:color w:val="000000"/>
          <w:sz w:val="20"/>
          <w:szCs w:val="20"/>
        </w:rPr>
        <w:t>“ACTO IMPUGNADO</w:t>
      </w:r>
      <w:r>
        <w:rPr>
          <w:i/>
          <w:color w:val="000000"/>
          <w:sz w:val="20"/>
          <w:szCs w:val="20"/>
        </w:rPr>
        <w:tab/>
      </w:r>
    </w:p>
    <w:p w14:paraId="05BD26D8" w14:textId="77777777" w:rsidR="008A759D" w:rsidRDefault="000C015A">
      <w:pPr>
        <w:tabs>
          <w:tab w:val="left" w:pos="4667"/>
        </w:tabs>
        <w:spacing w:after="0" w:line="360" w:lineRule="auto"/>
        <w:ind w:left="567" w:right="426"/>
        <w:rPr>
          <w:i/>
          <w:color w:val="000000"/>
          <w:sz w:val="20"/>
          <w:szCs w:val="20"/>
        </w:rPr>
      </w:pPr>
      <w:r>
        <w:rPr>
          <w:i/>
          <w:color w:val="000000"/>
          <w:sz w:val="20"/>
          <w:szCs w:val="20"/>
        </w:rPr>
        <w:t xml:space="preserve">La respuesta entregada por la autoridad </w:t>
      </w:r>
      <w:proofErr w:type="spellStart"/>
      <w:r>
        <w:rPr>
          <w:i/>
          <w:color w:val="000000"/>
          <w:sz w:val="20"/>
          <w:szCs w:val="20"/>
        </w:rPr>
        <w:t>responsabkle</w:t>
      </w:r>
      <w:proofErr w:type="spellEnd"/>
      <w:r>
        <w:rPr>
          <w:i/>
          <w:color w:val="000000"/>
          <w:sz w:val="20"/>
          <w:szCs w:val="20"/>
        </w:rPr>
        <w:t xml:space="preserve">, por medio de la cual se niega a la entrega de </w:t>
      </w:r>
      <w:proofErr w:type="spellStart"/>
      <w:r>
        <w:rPr>
          <w:i/>
          <w:color w:val="000000"/>
          <w:sz w:val="20"/>
          <w:szCs w:val="20"/>
        </w:rPr>
        <w:t>informacion</w:t>
      </w:r>
      <w:proofErr w:type="spellEnd"/>
      <w:r>
        <w:rPr>
          <w:i/>
          <w:color w:val="000000"/>
          <w:sz w:val="20"/>
          <w:szCs w:val="20"/>
        </w:rPr>
        <w:t xml:space="preserve"> que se solicita. Intentando de manera dolosa y de mala fe, no entregar la </w:t>
      </w:r>
      <w:proofErr w:type="spellStart"/>
      <w:r>
        <w:rPr>
          <w:i/>
          <w:color w:val="000000"/>
          <w:sz w:val="20"/>
          <w:szCs w:val="20"/>
        </w:rPr>
        <w:t>informacion</w:t>
      </w:r>
      <w:proofErr w:type="spellEnd"/>
      <w:r>
        <w:rPr>
          <w:i/>
          <w:color w:val="000000"/>
          <w:sz w:val="20"/>
          <w:szCs w:val="20"/>
        </w:rPr>
        <w:t xml:space="preserve"> que por ley debe de tener y entregar” (Sic.)</w:t>
      </w:r>
    </w:p>
    <w:p w14:paraId="4487EB09" w14:textId="77777777" w:rsidR="008A759D" w:rsidRDefault="008A759D">
      <w:pPr>
        <w:tabs>
          <w:tab w:val="left" w:pos="4667"/>
        </w:tabs>
        <w:spacing w:after="0" w:line="360" w:lineRule="auto"/>
        <w:ind w:left="567" w:right="426"/>
        <w:rPr>
          <w:b/>
          <w:i/>
          <w:color w:val="000000"/>
          <w:sz w:val="20"/>
          <w:szCs w:val="20"/>
        </w:rPr>
      </w:pPr>
    </w:p>
    <w:p w14:paraId="2D508572" w14:textId="77777777" w:rsidR="008A759D" w:rsidRDefault="000C015A">
      <w:pPr>
        <w:tabs>
          <w:tab w:val="left" w:pos="4667"/>
        </w:tabs>
        <w:spacing w:after="0" w:line="360" w:lineRule="auto"/>
        <w:ind w:left="567" w:right="426"/>
        <w:rPr>
          <w:i/>
          <w:color w:val="000000"/>
          <w:sz w:val="20"/>
          <w:szCs w:val="20"/>
        </w:rPr>
      </w:pPr>
      <w:r>
        <w:rPr>
          <w:i/>
          <w:color w:val="000000"/>
          <w:sz w:val="20"/>
          <w:szCs w:val="20"/>
        </w:rPr>
        <w:t>“RAZONES O MOTIVOS DE LA INCONFORMIDAD</w:t>
      </w:r>
      <w:r>
        <w:rPr>
          <w:i/>
          <w:color w:val="000000"/>
          <w:sz w:val="20"/>
          <w:szCs w:val="20"/>
        </w:rPr>
        <w:tab/>
      </w:r>
    </w:p>
    <w:p w14:paraId="051C43B4" w14:textId="77777777" w:rsidR="008A759D" w:rsidRDefault="000C015A">
      <w:pPr>
        <w:tabs>
          <w:tab w:val="left" w:pos="4667"/>
        </w:tabs>
        <w:spacing w:after="0" w:line="360" w:lineRule="auto"/>
        <w:ind w:left="567" w:right="426"/>
        <w:rPr>
          <w:i/>
          <w:color w:val="000000"/>
          <w:sz w:val="20"/>
          <w:szCs w:val="20"/>
        </w:rPr>
      </w:pPr>
      <w:r>
        <w:rPr>
          <w:i/>
          <w:color w:val="000000"/>
          <w:sz w:val="20"/>
          <w:szCs w:val="20"/>
        </w:rPr>
        <w:t xml:space="preserve">En primera </w:t>
      </w:r>
      <w:proofErr w:type="spellStart"/>
      <w:r>
        <w:rPr>
          <w:i/>
          <w:color w:val="000000"/>
          <w:sz w:val="20"/>
          <w:szCs w:val="20"/>
        </w:rPr>
        <w:t>instnacia</w:t>
      </w:r>
      <w:proofErr w:type="spellEnd"/>
      <w:r>
        <w:rPr>
          <w:i/>
          <w:color w:val="000000"/>
          <w:sz w:val="20"/>
          <w:szCs w:val="20"/>
        </w:rPr>
        <w:t xml:space="preserve"> el sujeto obligado, intenta evadir su responsabilidad de entregar la </w:t>
      </w:r>
      <w:proofErr w:type="spellStart"/>
      <w:r>
        <w:rPr>
          <w:i/>
          <w:color w:val="000000"/>
          <w:sz w:val="20"/>
          <w:szCs w:val="20"/>
        </w:rPr>
        <w:t>informacion</w:t>
      </w:r>
      <w:proofErr w:type="spellEnd"/>
      <w:r>
        <w:rPr>
          <w:i/>
          <w:color w:val="000000"/>
          <w:sz w:val="20"/>
          <w:szCs w:val="20"/>
        </w:rPr>
        <w:t xml:space="preserve"> solicitada haciendo una </w:t>
      </w:r>
      <w:proofErr w:type="spellStart"/>
      <w:r>
        <w:rPr>
          <w:i/>
          <w:color w:val="000000"/>
          <w:sz w:val="20"/>
          <w:szCs w:val="20"/>
        </w:rPr>
        <w:t>manifestacion</w:t>
      </w:r>
      <w:proofErr w:type="spellEnd"/>
      <w:r>
        <w:rPr>
          <w:i/>
          <w:color w:val="000000"/>
          <w:sz w:val="20"/>
          <w:szCs w:val="20"/>
        </w:rPr>
        <w:t xml:space="preserve"> que se requiere </w:t>
      </w:r>
      <w:proofErr w:type="spellStart"/>
      <w:r>
        <w:rPr>
          <w:i/>
          <w:color w:val="000000"/>
          <w:sz w:val="20"/>
          <w:szCs w:val="20"/>
        </w:rPr>
        <w:t>informacion</w:t>
      </w:r>
      <w:proofErr w:type="spellEnd"/>
      <w:r>
        <w:rPr>
          <w:i/>
          <w:color w:val="000000"/>
          <w:sz w:val="20"/>
          <w:szCs w:val="20"/>
        </w:rPr>
        <w:t xml:space="preserve"> a </w:t>
      </w:r>
      <w:proofErr w:type="spellStart"/>
      <w:r>
        <w:rPr>
          <w:i/>
          <w:color w:val="000000"/>
          <w:sz w:val="20"/>
          <w:szCs w:val="20"/>
        </w:rPr>
        <w:t>mado</w:t>
      </w:r>
      <w:proofErr w:type="spellEnd"/>
      <w:r>
        <w:rPr>
          <w:i/>
          <w:color w:val="000000"/>
          <w:sz w:val="20"/>
          <w:szCs w:val="20"/>
        </w:rPr>
        <w:t xml:space="preserve"> y que es necesario procesamiento de </w:t>
      </w:r>
      <w:proofErr w:type="spellStart"/>
      <w:r>
        <w:rPr>
          <w:i/>
          <w:color w:val="000000"/>
          <w:sz w:val="20"/>
          <w:szCs w:val="20"/>
        </w:rPr>
        <w:t>informacion</w:t>
      </w:r>
      <w:proofErr w:type="spellEnd"/>
      <w:r>
        <w:rPr>
          <w:i/>
          <w:color w:val="000000"/>
          <w:sz w:val="20"/>
          <w:szCs w:val="20"/>
        </w:rPr>
        <w:t xml:space="preserve">. Dicho que de ninguna manera es cierto, pues se solicitan </w:t>
      </w:r>
      <w:proofErr w:type="spellStart"/>
      <w:r>
        <w:rPr>
          <w:i/>
          <w:color w:val="000000"/>
          <w:sz w:val="20"/>
          <w:szCs w:val="20"/>
        </w:rPr>
        <w:t>unicamente</w:t>
      </w:r>
      <w:proofErr w:type="spellEnd"/>
      <w:r>
        <w:rPr>
          <w:i/>
          <w:color w:val="000000"/>
          <w:sz w:val="20"/>
          <w:szCs w:val="20"/>
        </w:rPr>
        <w:t xml:space="preserve"> la convocatoria que por Ley se le </w:t>
      </w:r>
      <w:proofErr w:type="spellStart"/>
      <w:r>
        <w:rPr>
          <w:i/>
          <w:color w:val="000000"/>
          <w:sz w:val="20"/>
          <w:szCs w:val="20"/>
        </w:rPr>
        <w:t>debio</w:t>
      </w:r>
      <w:proofErr w:type="spellEnd"/>
      <w:r>
        <w:rPr>
          <w:i/>
          <w:color w:val="000000"/>
          <w:sz w:val="20"/>
          <w:szCs w:val="20"/>
        </w:rPr>
        <w:t xml:space="preserve"> de hacer a </w:t>
      </w:r>
      <w:proofErr w:type="spellStart"/>
      <w:r>
        <w:rPr>
          <w:i/>
          <w:color w:val="000000"/>
          <w:sz w:val="20"/>
          <w:szCs w:val="20"/>
        </w:rPr>
        <w:t>el</w:t>
      </w:r>
      <w:proofErr w:type="spellEnd"/>
      <w:r>
        <w:rPr>
          <w:i/>
          <w:color w:val="000000"/>
          <w:sz w:val="20"/>
          <w:szCs w:val="20"/>
        </w:rPr>
        <w:t xml:space="preserve"> y a todos los integrantes del </w:t>
      </w:r>
      <w:proofErr w:type="spellStart"/>
      <w:r>
        <w:rPr>
          <w:i/>
          <w:color w:val="000000"/>
          <w:sz w:val="20"/>
          <w:szCs w:val="20"/>
        </w:rPr>
        <w:t>Comite</w:t>
      </w:r>
      <w:proofErr w:type="spellEnd"/>
      <w:r>
        <w:rPr>
          <w:i/>
          <w:color w:val="000000"/>
          <w:sz w:val="20"/>
          <w:szCs w:val="20"/>
        </w:rPr>
        <w:t xml:space="preserve"> de Adquisiciones, tal y como se establece en la Ley de </w:t>
      </w:r>
      <w:proofErr w:type="spellStart"/>
      <w:r>
        <w:rPr>
          <w:i/>
          <w:color w:val="000000"/>
          <w:sz w:val="20"/>
          <w:szCs w:val="20"/>
        </w:rPr>
        <w:t>Contratacion</w:t>
      </w:r>
      <w:proofErr w:type="spellEnd"/>
      <w:r>
        <w:rPr>
          <w:i/>
          <w:color w:val="000000"/>
          <w:sz w:val="20"/>
          <w:szCs w:val="20"/>
        </w:rPr>
        <w:t xml:space="preserve"> Publica y su reglamento. Ahora </w:t>
      </w:r>
      <w:proofErr w:type="gramStart"/>
      <w:r>
        <w:rPr>
          <w:i/>
          <w:color w:val="000000"/>
          <w:sz w:val="20"/>
          <w:szCs w:val="20"/>
        </w:rPr>
        <w:t>bien</w:t>
      </w:r>
      <w:proofErr w:type="gramEnd"/>
      <w:r>
        <w:rPr>
          <w:i/>
          <w:color w:val="000000"/>
          <w:sz w:val="20"/>
          <w:szCs w:val="20"/>
        </w:rPr>
        <w:t xml:space="preserve"> el sujeto obligado solo </w:t>
      </w:r>
      <w:proofErr w:type="spellStart"/>
      <w:r>
        <w:rPr>
          <w:i/>
          <w:color w:val="000000"/>
          <w:sz w:val="20"/>
          <w:szCs w:val="20"/>
        </w:rPr>
        <w:t>recibio</w:t>
      </w:r>
      <w:proofErr w:type="spellEnd"/>
      <w:r>
        <w:rPr>
          <w:i/>
          <w:color w:val="000000"/>
          <w:sz w:val="20"/>
          <w:szCs w:val="20"/>
        </w:rPr>
        <w:t xml:space="preserve"> la </w:t>
      </w:r>
      <w:proofErr w:type="spellStart"/>
      <w:r>
        <w:rPr>
          <w:i/>
          <w:color w:val="000000"/>
          <w:sz w:val="20"/>
          <w:szCs w:val="20"/>
        </w:rPr>
        <w:t>contestacion</w:t>
      </w:r>
      <w:proofErr w:type="spellEnd"/>
      <w:r>
        <w:rPr>
          <w:i/>
          <w:color w:val="000000"/>
          <w:sz w:val="20"/>
          <w:szCs w:val="20"/>
        </w:rPr>
        <w:t xml:space="preserve"> dolosa del Contralor Municipal, y en la oficina en que debe de obrar dicha </w:t>
      </w:r>
      <w:proofErr w:type="spellStart"/>
      <w:r>
        <w:rPr>
          <w:i/>
          <w:color w:val="000000"/>
          <w:sz w:val="20"/>
          <w:szCs w:val="20"/>
        </w:rPr>
        <w:t>informacion</w:t>
      </w:r>
      <w:proofErr w:type="spellEnd"/>
      <w:r>
        <w:rPr>
          <w:i/>
          <w:color w:val="000000"/>
          <w:sz w:val="20"/>
          <w:szCs w:val="20"/>
        </w:rPr>
        <w:t xml:space="preserve"> lo es la oficina del titular del </w:t>
      </w:r>
      <w:proofErr w:type="gramStart"/>
      <w:r>
        <w:rPr>
          <w:i/>
          <w:color w:val="000000"/>
          <w:sz w:val="20"/>
          <w:szCs w:val="20"/>
        </w:rPr>
        <w:t>Secretario</w:t>
      </w:r>
      <w:proofErr w:type="gramEnd"/>
      <w:r>
        <w:rPr>
          <w:i/>
          <w:color w:val="000000"/>
          <w:sz w:val="20"/>
          <w:szCs w:val="20"/>
        </w:rPr>
        <w:t xml:space="preserve"> del </w:t>
      </w:r>
      <w:proofErr w:type="spellStart"/>
      <w:r>
        <w:rPr>
          <w:i/>
          <w:color w:val="000000"/>
          <w:sz w:val="20"/>
          <w:szCs w:val="20"/>
        </w:rPr>
        <w:t>Comite</w:t>
      </w:r>
      <w:proofErr w:type="spellEnd"/>
      <w:r>
        <w:rPr>
          <w:i/>
          <w:color w:val="000000"/>
          <w:sz w:val="20"/>
          <w:szCs w:val="20"/>
        </w:rPr>
        <w:t xml:space="preserve"> de Adquisiciones.” (Sic.)</w:t>
      </w:r>
    </w:p>
    <w:p w14:paraId="285E0957" w14:textId="77777777" w:rsidR="008A759D" w:rsidRDefault="008A759D">
      <w:pPr>
        <w:tabs>
          <w:tab w:val="left" w:pos="4667"/>
        </w:tabs>
        <w:spacing w:after="0" w:line="360" w:lineRule="auto"/>
        <w:ind w:left="567" w:right="426"/>
        <w:rPr>
          <w:b/>
          <w:i/>
          <w:color w:val="000000"/>
          <w:sz w:val="20"/>
          <w:szCs w:val="20"/>
        </w:rPr>
      </w:pPr>
    </w:p>
    <w:p w14:paraId="3A9903E1" w14:textId="77777777" w:rsidR="008A759D" w:rsidRDefault="000C015A">
      <w:pPr>
        <w:tabs>
          <w:tab w:val="left" w:pos="4667"/>
        </w:tabs>
        <w:spacing w:after="0" w:line="360" w:lineRule="auto"/>
        <w:ind w:right="426"/>
        <w:rPr>
          <w:b/>
          <w:color w:val="000000"/>
          <w:sz w:val="20"/>
          <w:szCs w:val="20"/>
        </w:rPr>
      </w:pPr>
      <w:r>
        <w:rPr>
          <w:b/>
          <w:color w:val="000000"/>
          <w:sz w:val="20"/>
          <w:szCs w:val="20"/>
        </w:rPr>
        <w:t>Folio de la solicitud: 00259/OTZOLOTE/IP/2025</w:t>
      </w:r>
    </w:p>
    <w:p w14:paraId="1B36AE33" w14:textId="77777777" w:rsidR="008A759D" w:rsidRDefault="000C015A">
      <w:pPr>
        <w:tabs>
          <w:tab w:val="left" w:pos="4667"/>
        </w:tabs>
        <w:spacing w:after="0" w:line="360" w:lineRule="auto"/>
        <w:ind w:right="426"/>
        <w:rPr>
          <w:b/>
          <w:color w:val="000000"/>
          <w:sz w:val="20"/>
          <w:szCs w:val="20"/>
        </w:rPr>
      </w:pPr>
      <w:r>
        <w:rPr>
          <w:b/>
          <w:color w:val="000000"/>
          <w:sz w:val="20"/>
          <w:szCs w:val="20"/>
        </w:rPr>
        <w:t>Folio del recurso de revisión: 07923/INFOEM/IP/RR/2025</w:t>
      </w:r>
    </w:p>
    <w:p w14:paraId="1BC59DBE" w14:textId="77777777" w:rsidR="008A759D" w:rsidRDefault="008A759D">
      <w:pPr>
        <w:tabs>
          <w:tab w:val="left" w:pos="4667"/>
        </w:tabs>
        <w:spacing w:after="0" w:line="360" w:lineRule="auto"/>
        <w:ind w:left="567" w:right="426"/>
        <w:rPr>
          <w:i/>
          <w:color w:val="000000"/>
          <w:sz w:val="20"/>
          <w:szCs w:val="20"/>
        </w:rPr>
      </w:pPr>
    </w:p>
    <w:p w14:paraId="074132E1" w14:textId="77777777" w:rsidR="008A759D" w:rsidRDefault="000C015A">
      <w:pPr>
        <w:tabs>
          <w:tab w:val="left" w:pos="4667"/>
        </w:tabs>
        <w:spacing w:after="0" w:line="360" w:lineRule="auto"/>
        <w:ind w:left="567" w:right="426"/>
        <w:rPr>
          <w:i/>
          <w:color w:val="000000"/>
          <w:sz w:val="20"/>
          <w:szCs w:val="20"/>
        </w:rPr>
      </w:pPr>
      <w:r>
        <w:rPr>
          <w:i/>
          <w:color w:val="000000"/>
          <w:sz w:val="20"/>
          <w:szCs w:val="20"/>
        </w:rPr>
        <w:t>“ACTO IMPUGNADO</w:t>
      </w:r>
      <w:r>
        <w:rPr>
          <w:i/>
          <w:color w:val="000000"/>
          <w:sz w:val="20"/>
          <w:szCs w:val="20"/>
        </w:rPr>
        <w:tab/>
      </w:r>
    </w:p>
    <w:p w14:paraId="6B49A5B2" w14:textId="77777777" w:rsidR="008A759D" w:rsidRDefault="000C015A">
      <w:pPr>
        <w:tabs>
          <w:tab w:val="left" w:pos="4667"/>
        </w:tabs>
        <w:spacing w:after="0" w:line="360" w:lineRule="auto"/>
        <w:ind w:left="567" w:right="426"/>
        <w:rPr>
          <w:i/>
          <w:color w:val="000000"/>
          <w:sz w:val="20"/>
          <w:szCs w:val="20"/>
        </w:rPr>
      </w:pPr>
      <w:r>
        <w:rPr>
          <w:i/>
          <w:color w:val="000000"/>
          <w:sz w:val="20"/>
          <w:szCs w:val="20"/>
        </w:rPr>
        <w:t xml:space="preserve">la negativa de entregar la </w:t>
      </w:r>
      <w:proofErr w:type="spellStart"/>
      <w:r>
        <w:rPr>
          <w:i/>
          <w:color w:val="000000"/>
          <w:sz w:val="20"/>
          <w:szCs w:val="20"/>
        </w:rPr>
        <w:t>informacion</w:t>
      </w:r>
      <w:proofErr w:type="spellEnd"/>
      <w:r>
        <w:rPr>
          <w:i/>
          <w:color w:val="000000"/>
          <w:sz w:val="20"/>
          <w:szCs w:val="20"/>
        </w:rPr>
        <w:t xml:space="preserve"> por el sujeto obligado pues la </w:t>
      </w:r>
      <w:proofErr w:type="spellStart"/>
      <w:r>
        <w:rPr>
          <w:i/>
          <w:color w:val="000000"/>
          <w:sz w:val="20"/>
          <w:szCs w:val="20"/>
        </w:rPr>
        <w:t>prorroga</w:t>
      </w:r>
      <w:proofErr w:type="spellEnd"/>
      <w:r>
        <w:rPr>
          <w:i/>
          <w:color w:val="000000"/>
          <w:sz w:val="20"/>
          <w:szCs w:val="20"/>
        </w:rPr>
        <w:t xml:space="preserve"> ha concluido sin que se haya dado respuesta.” (Sic.)</w:t>
      </w:r>
    </w:p>
    <w:p w14:paraId="03669434" w14:textId="77777777" w:rsidR="008A759D" w:rsidRDefault="008A759D">
      <w:pPr>
        <w:tabs>
          <w:tab w:val="left" w:pos="4667"/>
        </w:tabs>
        <w:spacing w:after="0" w:line="360" w:lineRule="auto"/>
        <w:ind w:left="567" w:right="426"/>
        <w:rPr>
          <w:b/>
          <w:i/>
          <w:color w:val="000000"/>
          <w:sz w:val="20"/>
          <w:szCs w:val="20"/>
        </w:rPr>
      </w:pPr>
    </w:p>
    <w:p w14:paraId="11505028" w14:textId="77777777" w:rsidR="008A759D" w:rsidRDefault="000C015A">
      <w:pPr>
        <w:tabs>
          <w:tab w:val="left" w:pos="4667"/>
        </w:tabs>
        <w:spacing w:after="0" w:line="360" w:lineRule="auto"/>
        <w:ind w:left="567" w:right="426"/>
        <w:rPr>
          <w:i/>
          <w:color w:val="000000"/>
          <w:sz w:val="20"/>
          <w:szCs w:val="20"/>
        </w:rPr>
      </w:pPr>
      <w:r>
        <w:rPr>
          <w:i/>
          <w:color w:val="000000"/>
          <w:sz w:val="20"/>
          <w:szCs w:val="20"/>
        </w:rPr>
        <w:t>“RAZONES O MOTIVOS DE LA INCONFORMIDAD</w:t>
      </w:r>
      <w:r>
        <w:rPr>
          <w:i/>
          <w:color w:val="000000"/>
          <w:sz w:val="20"/>
          <w:szCs w:val="20"/>
        </w:rPr>
        <w:tab/>
      </w:r>
    </w:p>
    <w:p w14:paraId="511FCA06" w14:textId="77777777" w:rsidR="008A759D" w:rsidRDefault="000C015A">
      <w:pPr>
        <w:tabs>
          <w:tab w:val="left" w:pos="4667"/>
        </w:tabs>
        <w:spacing w:after="0" w:line="360" w:lineRule="auto"/>
        <w:ind w:left="567" w:right="426"/>
        <w:rPr>
          <w:i/>
          <w:color w:val="000000"/>
          <w:sz w:val="20"/>
          <w:szCs w:val="20"/>
        </w:rPr>
      </w:pPr>
      <w:r>
        <w:rPr>
          <w:i/>
          <w:color w:val="000000"/>
          <w:sz w:val="20"/>
          <w:szCs w:val="20"/>
        </w:rPr>
        <w:t xml:space="preserve">la negativa de entregar la </w:t>
      </w:r>
      <w:proofErr w:type="spellStart"/>
      <w:r>
        <w:rPr>
          <w:i/>
          <w:color w:val="000000"/>
          <w:sz w:val="20"/>
          <w:szCs w:val="20"/>
        </w:rPr>
        <w:t>informacion</w:t>
      </w:r>
      <w:proofErr w:type="spellEnd"/>
      <w:r>
        <w:rPr>
          <w:i/>
          <w:color w:val="000000"/>
          <w:sz w:val="20"/>
          <w:szCs w:val="20"/>
        </w:rPr>
        <w:t xml:space="preserve"> por el sujeto obligado pues la </w:t>
      </w:r>
      <w:proofErr w:type="spellStart"/>
      <w:r>
        <w:rPr>
          <w:i/>
          <w:color w:val="000000"/>
          <w:sz w:val="20"/>
          <w:szCs w:val="20"/>
        </w:rPr>
        <w:t>prorroga</w:t>
      </w:r>
      <w:proofErr w:type="spellEnd"/>
      <w:r>
        <w:rPr>
          <w:i/>
          <w:color w:val="000000"/>
          <w:sz w:val="20"/>
          <w:szCs w:val="20"/>
        </w:rPr>
        <w:t xml:space="preserve"> ha concluido sin que se haya dado respuesta.” (Sic.)</w:t>
      </w:r>
    </w:p>
    <w:p w14:paraId="4B962A8F" w14:textId="77777777" w:rsidR="008A759D" w:rsidRDefault="008A759D">
      <w:pPr>
        <w:tabs>
          <w:tab w:val="left" w:pos="4667"/>
        </w:tabs>
        <w:spacing w:after="0" w:line="360" w:lineRule="auto"/>
        <w:ind w:right="567"/>
        <w:rPr>
          <w:i/>
          <w:color w:val="000000"/>
        </w:rPr>
      </w:pPr>
    </w:p>
    <w:p w14:paraId="5AEB9CBE" w14:textId="77777777" w:rsidR="008A759D" w:rsidRDefault="000C015A">
      <w:pPr>
        <w:pStyle w:val="Ttulo2"/>
        <w:spacing w:before="0" w:line="360" w:lineRule="auto"/>
        <w:rPr>
          <w:rFonts w:ascii="Palatino Linotype" w:eastAsia="Palatino Linotype" w:hAnsi="Palatino Linotype" w:cs="Palatino Linotype"/>
          <w:b/>
          <w:color w:val="000000"/>
          <w:sz w:val="22"/>
          <w:szCs w:val="22"/>
        </w:rPr>
      </w:pPr>
      <w:bookmarkStart w:id="8" w:name="_Toc205476996"/>
      <w:r>
        <w:rPr>
          <w:rFonts w:ascii="Palatino Linotype" w:eastAsia="Palatino Linotype" w:hAnsi="Palatino Linotype" w:cs="Palatino Linotype"/>
          <w:b/>
          <w:color w:val="000000"/>
          <w:sz w:val="22"/>
          <w:szCs w:val="22"/>
        </w:rPr>
        <w:t>VII. Trámite del Recurso de Revisión ante este Instituto</w:t>
      </w:r>
      <w:bookmarkEnd w:id="8"/>
    </w:p>
    <w:p w14:paraId="1BE91B56" w14:textId="77777777" w:rsidR="008A759D" w:rsidRDefault="008A759D">
      <w:pPr>
        <w:spacing w:after="0" w:line="360" w:lineRule="auto"/>
        <w:rPr>
          <w:b/>
          <w:color w:val="FF0000"/>
        </w:rPr>
      </w:pPr>
    </w:p>
    <w:p w14:paraId="58CA84D0" w14:textId="77777777" w:rsidR="008A759D" w:rsidRDefault="000C015A">
      <w:pPr>
        <w:spacing w:after="0" w:line="360" w:lineRule="auto"/>
        <w:rPr>
          <w:b/>
          <w:color w:val="000000"/>
        </w:rPr>
      </w:pPr>
      <w:r>
        <w:rPr>
          <w:b/>
          <w:color w:val="000000"/>
        </w:rPr>
        <w:t>a) Turno del Medio de Impugnación.</w:t>
      </w:r>
      <w:r>
        <w:rPr>
          <w:b/>
        </w:rPr>
        <w:t xml:space="preserve"> </w:t>
      </w:r>
      <w:r>
        <w:rPr>
          <w:color w:val="000000"/>
        </w:rPr>
        <w:t xml:space="preserve">El treinta de junio de dos mil veinticinco, el Sistema de Acceso a la Información Mexiquense (SAIMEX), asignó el número de expediente </w:t>
      </w:r>
      <w:r>
        <w:rPr>
          <w:b/>
          <w:color w:val="000000"/>
        </w:rPr>
        <w:t>07921/INFOEM/IP/RR/2025</w:t>
      </w:r>
      <w:r>
        <w:rPr>
          <w:color w:val="000000"/>
        </w:rPr>
        <w:t xml:space="preserve">, al Medio de Impugnación que nos ocupa, con base en el sistema </w:t>
      </w:r>
      <w:r>
        <w:rPr>
          <w:color w:val="000000"/>
        </w:rPr>
        <w:lastRenderedPageBreak/>
        <w:t xml:space="preserve">aprobado por el Pleno de este Órgano Garante y lo turnó al </w:t>
      </w:r>
      <w:r>
        <w:rPr>
          <w:b/>
          <w:color w:val="000000"/>
        </w:rPr>
        <w:t>Comisionado Ponente Luis Gustavo Parra Noriega y a la Comisionada María Del Rosario Mejía Ayala</w:t>
      </w:r>
      <w:r>
        <w:rPr>
          <w:color w:val="000000"/>
        </w:rPr>
        <w:t>, para los efectos del artículo 185, fracción I de la Ley de Transparencia y Acceso a la Información Pública del Estado de México y Municipios.</w:t>
      </w:r>
    </w:p>
    <w:p w14:paraId="6C55FFD8" w14:textId="77777777" w:rsidR="008A759D" w:rsidRDefault="008A759D">
      <w:pPr>
        <w:spacing w:after="0" w:line="360" w:lineRule="auto"/>
        <w:rPr>
          <w:color w:val="FF0000"/>
        </w:rPr>
      </w:pPr>
    </w:p>
    <w:p w14:paraId="3A44EAF8" w14:textId="77777777" w:rsidR="008A759D" w:rsidRDefault="000C015A">
      <w:pPr>
        <w:spacing w:after="0" w:line="360" w:lineRule="auto"/>
        <w:rPr>
          <w:color w:val="000000"/>
        </w:rPr>
      </w:pPr>
      <w:r>
        <w:rPr>
          <w:b/>
          <w:color w:val="000000"/>
        </w:rPr>
        <w:t>b) Admisión del Recurso de Revisión.</w:t>
      </w:r>
      <w:r>
        <w:rPr>
          <w:b/>
        </w:rPr>
        <w:t xml:space="preserve"> </w:t>
      </w:r>
      <w:r>
        <w:rPr>
          <w:color w:val="000000"/>
        </w:rPr>
        <w:t xml:space="preserve">El primero y siete de julio de dos mil veinticinco, se acordó la admisión del Recurso de Revisión interpuesto por el Recurrente en contra del Sujeto Obligado, en términos del artículo 185, fracciones I y II de la Ley de Transparencia y Acceso a la Información Pública del Estado de México y Municipios, el cual fue debidamente notificado a las partes, el mismo día, a través del Sistema de Acceso a la Información Mexiquense (SAIMEX), en el que se les otorgó un plazo de siete días hábiles posteriores a la misma, para que manifestaran lo que a su derecho conviniera y formularan alegatos. </w:t>
      </w:r>
    </w:p>
    <w:p w14:paraId="00F6FC59" w14:textId="77777777" w:rsidR="008A759D" w:rsidRDefault="008A759D">
      <w:pPr>
        <w:spacing w:after="0" w:line="360" w:lineRule="auto"/>
        <w:rPr>
          <w:b/>
          <w:color w:val="000000"/>
        </w:rPr>
      </w:pPr>
    </w:p>
    <w:p w14:paraId="1E3B840D" w14:textId="30468C92" w:rsidR="008A759D" w:rsidRDefault="000C015A">
      <w:pPr>
        <w:spacing w:after="0" w:line="360" w:lineRule="auto"/>
        <w:rPr>
          <w:color w:val="000000"/>
        </w:rPr>
      </w:pPr>
      <w:r>
        <w:rPr>
          <w:b/>
        </w:rPr>
        <w:t>c) Acumulación de los asuntos.</w:t>
      </w:r>
      <w:r>
        <w:t xml:space="preserve"> El ocho de julio de dos mil veinticinco, el Pleno del Instituto de Transparencia, Acceso a la Información Pública y Protección de Datos Personales del Estado de México y Municipios, con el propósito de privilegiar la resolución expedita y evitar resoluciones contradictorias, con fundamento en el artículo 18 del Código de Procedimientos Administrativos del Estado de México, de aplicación supletoria a la Ley de Transparencia y Acceso a la Información Pública del Estado de México y Municipios, según lo previsto en su artículo 195, acordó la acumulación de los Recursos de Revisión</w:t>
      </w:r>
      <w:r>
        <w:rPr>
          <w:b/>
          <w:color w:val="000000"/>
        </w:rPr>
        <w:t xml:space="preserve"> 07923/INFOEM/IP/RR/2025, </w:t>
      </w:r>
      <w:r>
        <w:rPr>
          <w:color w:val="000000"/>
        </w:rPr>
        <w:t>al diverso</w:t>
      </w:r>
      <w:r>
        <w:rPr>
          <w:b/>
          <w:color w:val="000000"/>
        </w:rPr>
        <w:t xml:space="preserve"> 07921/INFOEM/IP/RR/2025, </w:t>
      </w:r>
      <w:r>
        <w:rPr>
          <w:color w:val="000000"/>
        </w:rPr>
        <w:t xml:space="preserve">por ser este último el más antiguo, sustanciado bajo el índice de esta Ponencia, al advertir conexidad entre estos, ya que fueron promovidos por la misma persona, en los que señaló como Sujeto Obligado al Ayuntamiento de Otzolotepec, lo cual se notificó a las partes en fecha dieciocho de julio de dos mil veinticinco mediante SAIMEX. </w:t>
      </w:r>
    </w:p>
    <w:p w14:paraId="6C45B685" w14:textId="77777777" w:rsidR="008A759D" w:rsidRDefault="008A759D">
      <w:pPr>
        <w:spacing w:after="0" w:line="360" w:lineRule="auto"/>
        <w:rPr>
          <w:b/>
          <w:color w:val="000000"/>
        </w:rPr>
      </w:pPr>
    </w:p>
    <w:p w14:paraId="497802D1" w14:textId="77777777" w:rsidR="008A759D" w:rsidRDefault="000C015A">
      <w:pPr>
        <w:spacing w:after="0" w:line="360" w:lineRule="auto"/>
        <w:rPr>
          <w:i/>
          <w:color w:val="000000"/>
        </w:rPr>
      </w:pPr>
      <w:r>
        <w:rPr>
          <w:b/>
        </w:rPr>
        <w:t xml:space="preserve">d) Informe Justificado y Manifestaciones. </w:t>
      </w:r>
      <w:r>
        <w:t>Las partes fueron omisas en emitir manifestaciones o alegatos.</w:t>
      </w:r>
    </w:p>
    <w:p w14:paraId="1C10DCC7" w14:textId="77777777" w:rsidR="008A759D" w:rsidRDefault="008A759D">
      <w:pPr>
        <w:spacing w:after="0" w:line="360" w:lineRule="auto"/>
        <w:rPr>
          <w:i/>
        </w:rPr>
      </w:pPr>
    </w:p>
    <w:p w14:paraId="4DF27165" w14:textId="77777777" w:rsidR="008A759D" w:rsidRDefault="000C015A">
      <w:pPr>
        <w:spacing w:after="0" w:line="360" w:lineRule="auto"/>
        <w:ind w:right="-28"/>
      </w:pPr>
      <w:r>
        <w:rPr>
          <w:b/>
          <w:color w:val="000000"/>
        </w:rPr>
        <w:t>e) Cierre de instrucción.</w:t>
      </w:r>
      <w:r>
        <w:t xml:space="preserve"> El </w:t>
      </w:r>
      <w:r>
        <w:rPr>
          <w:color w:val="000000"/>
        </w:rPr>
        <w:t>diecisiete de julio de dos mil veinticinco</w:t>
      </w:r>
      <w:r>
        <w:t xml:space="preserve">,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mismo que fue notificado a las partes el catorce de dicho mes y año, a través del Sistema de Acceso a la Información Mexiquense (SAIMEX). </w:t>
      </w:r>
    </w:p>
    <w:p w14:paraId="68F504E2" w14:textId="77777777" w:rsidR="008A759D" w:rsidRDefault="008A759D">
      <w:pPr>
        <w:spacing w:after="0" w:line="360" w:lineRule="auto"/>
        <w:ind w:right="-28"/>
        <w:rPr>
          <w:highlight w:val="red"/>
        </w:rPr>
      </w:pPr>
    </w:p>
    <w:p w14:paraId="1AC94019" w14:textId="77777777" w:rsidR="008A759D" w:rsidRDefault="000C015A">
      <w:pPr>
        <w:spacing w:after="0" w:line="360" w:lineRule="auto"/>
      </w:pPr>
      <w:proofErr w:type="gramStart"/>
      <w:r>
        <w:t>En razón de</w:t>
      </w:r>
      <w:proofErr w:type="gramEnd"/>
      <w:r>
        <w:t xml:space="preserve"> que fue debidamente sustanciado e integrado el expediente electrónico y no existe diligencia pendiente de desahogo, se emite la resolución que conforme a Derecho proceda, </w:t>
      </w:r>
      <w:proofErr w:type="gramStart"/>
      <w:r>
        <w:t>de acuerdo a</w:t>
      </w:r>
      <w:proofErr w:type="gramEnd"/>
      <w:r>
        <w:t xml:space="preserve"> los siguientes:</w:t>
      </w:r>
    </w:p>
    <w:p w14:paraId="35ACCB6F" w14:textId="77777777" w:rsidR="008A759D" w:rsidRDefault="000C015A">
      <w:pPr>
        <w:tabs>
          <w:tab w:val="left" w:pos="2985"/>
        </w:tabs>
        <w:spacing w:after="0" w:line="360" w:lineRule="auto"/>
        <w:rPr>
          <w:b/>
          <w:color w:val="000000"/>
        </w:rPr>
      </w:pPr>
      <w:r>
        <w:rPr>
          <w:b/>
          <w:color w:val="000000"/>
        </w:rPr>
        <w:tab/>
      </w:r>
    </w:p>
    <w:p w14:paraId="41053EAF" w14:textId="77777777" w:rsidR="008A759D" w:rsidRDefault="000C015A">
      <w:pPr>
        <w:pStyle w:val="Ttulo1"/>
        <w:spacing w:before="0" w:line="360" w:lineRule="auto"/>
        <w:jc w:val="center"/>
        <w:rPr>
          <w:rFonts w:ascii="Palatino Linotype" w:eastAsia="Palatino Linotype" w:hAnsi="Palatino Linotype" w:cs="Palatino Linotype"/>
          <w:b/>
          <w:color w:val="000000"/>
          <w:sz w:val="22"/>
          <w:szCs w:val="22"/>
        </w:rPr>
      </w:pPr>
      <w:bookmarkStart w:id="9" w:name="_Toc205476997"/>
      <w:r>
        <w:rPr>
          <w:rFonts w:ascii="Palatino Linotype" w:eastAsia="Palatino Linotype" w:hAnsi="Palatino Linotype" w:cs="Palatino Linotype"/>
          <w:b/>
          <w:color w:val="000000"/>
          <w:sz w:val="22"/>
          <w:szCs w:val="22"/>
        </w:rPr>
        <w:t>C O N S I D E R A N D O S</w:t>
      </w:r>
      <w:bookmarkEnd w:id="9"/>
    </w:p>
    <w:p w14:paraId="0142A5DB" w14:textId="77777777" w:rsidR="008A759D" w:rsidRDefault="008A759D">
      <w:pPr>
        <w:spacing w:after="0" w:line="360" w:lineRule="auto"/>
        <w:jc w:val="center"/>
        <w:rPr>
          <w:b/>
          <w:color w:val="000000"/>
        </w:rPr>
      </w:pPr>
    </w:p>
    <w:p w14:paraId="74E173B5" w14:textId="77777777" w:rsidR="008A759D" w:rsidRDefault="000C015A">
      <w:pPr>
        <w:pStyle w:val="Ttulo2"/>
        <w:spacing w:before="0" w:line="360" w:lineRule="auto"/>
        <w:rPr>
          <w:rFonts w:ascii="Palatino Linotype" w:eastAsia="Palatino Linotype" w:hAnsi="Palatino Linotype" w:cs="Palatino Linotype"/>
          <w:b/>
          <w:color w:val="000000"/>
          <w:sz w:val="22"/>
          <w:szCs w:val="22"/>
        </w:rPr>
      </w:pPr>
      <w:bookmarkStart w:id="10" w:name="_Toc205476998"/>
      <w:r>
        <w:rPr>
          <w:rFonts w:ascii="Palatino Linotype" w:eastAsia="Palatino Linotype" w:hAnsi="Palatino Linotype" w:cs="Palatino Linotype"/>
          <w:b/>
          <w:color w:val="000000"/>
          <w:sz w:val="22"/>
          <w:szCs w:val="22"/>
        </w:rPr>
        <w:t>PRIMERO. Competencia</w:t>
      </w:r>
      <w:bookmarkEnd w:id="10"/>
    </w:p>
    <w:p w14:paraId="0820ECF5" w14:textId="77777777" w:rsidR="008A759D" w:rsidRDefault="008A759D">
      <w:pPr>
        <w:spacing w:after="0" w:line="360" w:lineRule="auto"/>
      </w:pPr>
    </w:p>
    <w:p w14:paraId="722F17F1" w14:textId="002311D4" w:rsidR="008A759D" w:rsidRDefault="000C015A">
      <w:pPr>
        <w:spacing w:after="0" w:line="360" w:lineRule="auto"/>
      </w:pPr>
      <w:r w:rsidRPr="000C015A">
        <w:t xml:space="preserve">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trigésimo noveno, cuadragésimo y cuadragésimo primero de la Constitución Política del Estado Libre y Soberano de México; 1°, 2°, fracciones II y IV; 13, 29. 36, fracciones I y II; 176, 178, 179, 181 párrafo tercero, 185, 188 y 189 de la Ley Transparencia </w:t>
      </w:r>
      <w:r w:rsidRPr="000C015A">
        <w:lastRenderedPageBreak/>
        <w:t>y Acceso a la Información Pública del Estado de México y Municipios: 7°, 9°, fracciones I y XXIII y 11 del Reglamento Interior del Instituto de Transparencia, Acceso a la Información Pública y Protección de Datos Personales del Estado de México y Municipios.</w:t>
      </w:r>
    </w:p>
    <w:p w14:paraId="13B66773" w14:textId="77777777" w:rsidR="008A759D" w:rsidRDefault="008A759D">
      <w:pPr>
        <w:spacing w:after="0" w:line="360" w:lineRule="auto"/>
        <w:rPr>
          <w:b/>
          <w:color w:val="000000"/>
        </w:rPr>
      </w:pPr>
    </w:p>
    <w:p w14:paraId="57AB53A9" w14:textId="77777777" w:rsidR="008A759D" w:rsidRDefault="000C015A">
      <w:pPr>
        <w:pStyle w:val="Ttulo2"/>
        <w:spacing w:before="0" w:line="360" w:lineRule="auto"/>
        <w:rPr>
          <w:rFonts w:ascii="Palatino Linotype" w:eastAsia="Palatino Linotype" w:hAnsi="Palatino Linotype" w:cs="Palatino Linotype"/>
          <w:b/>
          <w:color w:val="000000"/>
          <w:sz w:val="22"/>
          <w:szCs w:val="22"/>
        </w:rPr>
      </w:pPr>
      <w:bookmarkStart w:id="11" w:name="_Toc205476999"/>
      <w:r>
        <w:rPr>
          <w:rFonts w:ascii="Palatino Linotype" w:eastAsia="Palatino Linotype" w:hAnsi="Palatino Linotype" w:cs="Palatino Linotype"/>
          <w:b/>
          <w:color w:val="000000"/>
          <w:sz w:val="22"/>
          <w:szCs w:val="22"/>
        </w:rPr>
        <w:t>SEGUNDO. Causales de improcedencia y sobreseimiento</w:t>
      </w:r>
      <w:bookmarkEnd w:id="11"/>
      <w:r>
        <w:rPr>
          <w:rFonts w:ascii="Palatino Linotype" w:eastAsia="Palatino Linotype" w:hAnsi="Palatino Linotype" w:cs="Palatino Linotype"/>
          <w:b/>
          <w:color w:val="000000"/>
          <w:sz w:val="22"/>
          <w:szCs w:val="22"/>
        </w:rPr>
        <w:t xml:space="preserve"> </w:t>
      </w:r>
    </w:p>
    <w:p w14:paraId="62B54CAA" w14:textId="77777777" w:rsidR="008A759D" w:rsidRDefault="008A759D">
      <w:pPr>
        <w:spacing w:after="0" w:line="360" w:lineRule="auto"/>
      </w:pPr>
    </w:p>
    <w:p w14:paraId="604B0087" w14:textId="77777777" w:rsidR="008A759D" w:rsidRDefault="000C015A">
      <w:pPr>
        <w:spacing w:after="0" w:line="360" w:lineRule="auto"/>
        <w:rPr>
          <w:color w:val="000000"/>
        </w:rPr>
      </w:pPr>
      <w:r>
        <w:rPr>
          <w:color w:val="000000"/>
        </w:rPr>
        <w:t xml:space="preserve">De las constancias que </w:t>
      </w:r>
      <w:r>
        <w:t>forman</w:t>
      </w:r>
      <w:r>
        <w:rPr>
          <w:color w:val="000000"/>
        </w:rPr>
        <w:t xml:space="preserve"> parte del Recurso de Revisión que se analiza, se advierte que previo al estudio del fondo de la </w:t>
      </w:r>
      <w:r>
        <w:rPr>
          <w:i/>
          <w:color w:val="000000"/>
        </w:rPr>
        <w:t>litis</w:t>
      </w:r>
      <w:r>
        <w:rPr>
          <w:color w:val="000000"/>
        </w:rPr>
        <w:t>, es necesario estudiar las causales de improcedencia y sobreseimiento que se adviertan, para determinar lo que en Derecho proceda.</w:t>
      </w:r>
    </w:p>
    <w:p w14:paraId="38603507" w14:textId="77777777" w:rsidR="008A759D" w:rsidRDefault="008A759D">
      <w:pPr>
        <w:spacing w:after="0" w:line="360" w:lineRule="auto"/>
        <w:rPr>
          <w:color w:val="000000"/>
        </w:rPr>
      </w:pPr>
    </w:p>
    <w:p w14:paraId="5DDF1C4B" w14:textId="77777777" w:rsidR="008A759D" w:rsidRDefault="000C015A">
      <w:pPr>
        <w:spacing w:after="0" w:line="360" w:lineRule="auto"/>
        <w:rPr>
          <w:b/>
          <w:color w:val="000000"/>
        </w:rPr>
      </w:pPr>
      <w:r>
        <w:rPr>
          <w:b/>
          <w:color w:val="000000"/>
        </w:rPr>
        <w:t>Causales de improcedencia</w:t>
      </w:r>
    </w:p>
    <w:p w14:paraId="534D3F6A" w14:textId="77777777" w:rsidR="008A759D" w:rsidRDefault="008A759D">
      <w:pPr>
        <w:spacing w:after="0" w:line="360" w:lineRule="auto"/>
        <w:rPr>
          <w:color w:val="000000"/>
        </w:rPr>
      </w:pPr>
    </w:p>
    <w:p w14:paraId="55869B00" w14:textId="77777777" w:rsidR="008A759D" w:rsidRDefault="000C015A">
      <w:pPr>
        <w:spacing w:after="0" w:line="360" w:lineRule="auto"/>
        <w:rPr>
          <w:color w:val="000000"/>
        </w:rPr>
      </w:pPr>
      <w:r>
        <w:rPr>
          <w:color w:val="000000"/>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27F53282" w14:textId="77777777" w:rsidR="008A759D" w:rsidRDefault="008A759D">
      <w:pPr>
        <w:spacing w:after="0" w:line="360" w:lineRule="auto"/>
        <w:rPr>
          <w:color w:val="000000"/>
        </w:rPr>
      </w:pPr>
    </w:p>
    <w:p w14:paraId="049F6119" w14:textId="77777777" w:rsidR="008A759D" w:rsidRDefault="000C015A">
      <w:pPr>
        <w:spacing w:after="0" w:line="360" w:lineRule="auto"/>
        <w:rPr>
          <w:color w:val="000000"/>
        </w:rPr>
      </w:pPr>
      <w:r>
        <w:rPr>
          <w:color w:val="000000"/>
        </w:rPr>
        <w:t>En el presente caso, </w:t>
      </w:r>
      <w:r>
        <w:rPr>
          <w:b/>
          <w:color w:val="000000"/>
        </w:rPr>
        <w:t>no se actualiza ninguna de las causales de improcedencia</w:t>
      </w:r>
      <w:r>
        <w:rPr>
          <w:color w:val="000000"/>
        </w:rPr>
        <w:t xml:space="preserve"> establecidas en el ordenamiento jurídico previamente señalado, toda vez que: este Instituto no tiene conocimiento de que se encuentre en trámite algún medio de defensa presentado por la persona Recurrente ante otra instancia; no existió prevención alguna; la veracidad de la </w:t>
      </w:r>
      <w:r>
        <w:rPr>
          <w:color w:val="000000"/>
        </w:rPr>
        <w:lastRenderedPageBreak/>
        <w:t>respuesta no formó parte del agravio; ni se realizó una consulta o ampliación a los alcances del requerimiento informativo.</w:t>
      </w:r>
    </w:p>
    <w:p w14:paraId="715CB493" w14:textId="77777777" w:rsidR="008A759D" w:rsidRDefault="008A759D">
      <w:pPr>
        <w:spacing w:after="0" w:line="360" w:lineRule="auto"/>
        <w:rPr>
          <w:color w:val="000000"/>
        </w:rPr>
      </w:pPr>
    </w:p>
    <w:p w14:paraId="0C8869F6" w14:textId="77777777" w:rsidR="008A759D" w:rsidRDefault="000C015A">
      <w:pPr>
        <w:spacing w:after="0" w:line="360" w:lineRule="auto"/>
        <w:rPr>
          <w:color w:val="000000"/>
        </w:rPr>
      </w:pPr>
      <w:r>
        <w:rPr>
          <w:color w:val="000000"/>
        </w:rPr>
        <w:t>Por lo cual, se actualiza la causal de procedencia del Recurso de Revisión señalada en el artículo 179, fracción VII, de la Ley en cita, pues la persona Recurrente se inconformó por la falta de respuesta a una solicitud de acceso a la información.</w:t>
      </w:r>
    </w:p>
    <w:p w14:paraId="6855ADE6" w14:textId="77777777" w:rsidR="008A759D" w:rsidRDefault="008A759D">
      <w:pPr>
        <w:spacing w:after="0" w:line="360" w:lineRule="auto"/>
        <w:rPr>
          <w:color w:val="000000"/>
        </w:rPr>
      </w:pPr>
    </w:p>
    <w:p w14:paraId="39FD3EDA" w14:textId="77777777" w:rsidR="008A759D" w:rsidRDefault="000C015A">
      <w:pPr>
        <w:spacing w:after="0" w:line="360" w:lineRule="auto"/>
        <w:rPr>
          <w:color w:val="0D0D0D"/>
        </w:rPr>
      </w:pPr>
      <w:r>
        <w:rPr>
          <w:b/>
          <w:color w:val="0D0D0D"/>
        </w:rPr>
        <w:t>Causales de sobreseimiento</w:t>
      </w:r>
    </w:p>
    <w:p w14:paraId="4360F30F" w14:textId="77777777" w:rsidR="008A759D" w:rsidRDefault="008A759D">
      <w:pPr>
        <w:spacing w:after="0" w:line="360" w:lineRule="auto"/>
        <w:rPr>
          <w:color w:val="0D0D0D"/>
        </w:rPr>
      </w:pPr>
    </w:p>
    <w:p w14:paraId="79595353" w14:textId="77777777" w:rsidR="008A759D" w:rsidRDefault="000C015A">
      <w:pPr>
        <w:spacing w:after="0" w:line="360" w:lineRule="auto"/>
        <w:rPr>
          <w:color w:val="0D0D0D"/>
        </w:rPr>
      </w:pPr>
      <w:r>
        <w:rPr>
          <w:color w:val="0D0D0D"/>
        </w:rPr>
        <w:t>Por ser de previo y especial pronunciamiento, este Instituto analiza si se actualiza alguna causal de sobreseimiento.</w:t>
      </w:r>
    </w:p>
    <w:p w14:paraId="72DE7EED" w14:textId="77777777" w:rsidR="008A759D" w:rsidRDefault="008A759D">
      <w:pPr>
        <w:spacing w:after="0" w:line="360" w:lineRule="auto"/>
        <w:rPr>
          <w:color w:val="0D0D0D"/>
        </w:rPr>
      </w:pPr>
    </w:p>
    <w:p w14:paraId="5CB839F7" w14:textId="77777777" w:rsidR="008A759D" w:rsidRDefault="000C015A">
      <w:pPr>
        <w:spacing w:after="0" w:line="360" w:lineRule="auto"/>
        <w:rPr>
          <w:color w:val="000000"/>
        </w:rPr>
      </w:pPr>
      <w:r>
        <w:rPr>
          <w:color w:val="0D0D0D"/>
        </w:rPr>
        <w:t>Sobre el tema, e</w:t>
      </w:r>
      <w:r>
        <w:rPr>
          <w:color w:val="000000"/>
        </w:rPr>
        <w:t>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persona Recurrente se haya desistido del recurso, haya fallecido, sobreviniera alguna causal de improcedencia, que el Sujeto Obligado hubiese modificado o revocado el acto impugnado o bien, haya quedado sin materia.</w:t>
      </w:r>
    </w:p>
    <w:p w14:paraId="229499EA" w14:textId="77777777" w:rsidR="008A759D" w:rsidRDefault="008A759D">
      <w:pPr>
        <w:spacing w:after="0" w:line="360" w:lineRule="auto"/>
        <w:rPr>
          <w:color w:val="000000"/>
        </w:rPr>
      </w:pPr>
    </w:p>
    <w:p w14:paraId="39E1700A" w14:textId="77777777" w:rsidR="008A759D" w:rsidRDefault="000C015A">
      <w:pPr>
        <w:spacing w:after="0" w:line="360" w:lineRule="auto"/>
        <w:rPr>
          <w:color w:val="0D0D0D"/>
        </w:rPr>
      </w:pPr>
      <w:r>
        <w:rPr>
          <w:color w:val="0D0D0D"/>
        </w:rPr>
        <w:t xml:space="preserve">Por tales motivos, se considera procedente entrar al fondo del presente asunto. </w:t>
      </w:r>
    </w:p>
    <w:p w14:paraId="1893F4CB" w14:textId="77777777" w:rsidR="008A759D" w:rsidRDefault="008A759D">
      <w:pPr>
        <w:spacing w:after="0" w:line="360" w:lineRule="auto"/>
        <w:rPr>
          <w:b/>
          <w:color w:val="000000"/>
        </w:rPr>
      </w:pPr>
    </w:p>
    <w:p w14:paraId="7F22DC52" w14:textId="77777777" w:rsidR="008A759D" w:rsidRDefault="000C015A">
      <w:pPr>
        <w:pStyle w:val="Ttulo2"/>
        <w:spacing w:before="0" w:line="360" w:lineRule="auto"/>
        <w:rPr>
          <w:rFonts w:ascii="Palatino Linotype" w:eastAsia="Palatino Linotype" w:hAnsi="Palatino Linotype" w:cs="Palatino Linotype"/>
          <w:b/>
          <w:color w:val="000000"/>
          <w:sz w:val="22"/>
          <w:szCs w:val="22"/>
        </w:rPr>
      </w:pPr>
      <w:bookmarkStart w:id="12" w:name="_Toc205477000"/>
      <w:r>
        <w:rPr>
          <w:rFonts w:ascii="Palatino Linotype" w:eastAsia="Palatino Linotype" w:hAnsi="Palatino Linotype" w:cs="Palatino Linotype"/>
          <w:b/>
          <w:color w:val="000000"/>
          <w:sz w:val="22"/>
          <w:szCs w:val="22"/>
        </w:rPr>
        <w:t>TERCERO. Determinación de la Controversia</w:t>
      </w:r>
      <w:bookmarkEnd w:id="12"/>
    </w:p>
    <w:p w14:paraId="776B280D" w14:textId="77777777" w:rsidR="008A759D" w:rsidRDefault="008A759D">
      <w:pPr>
        <w:spacing w:after="0" w:line="360" w:lineRule="auto"/>
        <w:rPr>
          <w:color w:val="FF0000"/>
        </w:rPr>
      </w:pPr>
    </w:p>
    <w:p w14:paraId="64EC7B13" w14:textId="77777777" w:rsidR="008A759D" w:rsidRDefault="000C015A">
      <w:pPr>
        <w:spacing w:after="0" w:line="360" w:lineRule="auto"/>
      </w:pPr>
      <w:r>
        <w:rPr>
          <w:color w:val="000000"/>
        </w:rPr>
        <w:lastRenderedPageBreak/>
        <w:t xml:space="preserve">Con el objetivo de ilustrar la controversia planteada, resulta conveniente precisar, que una vez realizado el estudio de las constancias que integran el expediente en el que se actúa, se desprende que el Particular </w:t>
      </w:r>
      <w:r>
        <w:t>solicitó la entrega de las convocatorias realizadas al Contralor para las sesiones del Comité de Adquisiciones y Servicios y para participar en algún procedimiento adquisitivo. En atención a ello, el Sujeto Obligado solicitó una aclaración a la solicitud, de la cual, el Particular señaló que requiere la información referente a la temporalidad de enero a abril de 2025.</w:t>
      </w:r>
    </w:p>
    <w:p w14:paraId="5F3A6796" w14:textId="77777777" w:rsidR="008A759D" w:rsidRDefault="008A759D">
      <w:pPr>
        <w:spacing w:after="0" w:line="360" w:lineRule="auto"/>
      </w:pPr>
    </w:p>
    <w:p w14:paraId="5EA4BD9B" w14:textId="77777777" w:rsidR="008A759D" w:rsidRDefault="000C015A">
      <w:pPr>
        <w:pBdr>
          <w:top w:val="nil"/>
          <w:left w:val="nil"/>
          <w:bottom w:val="nil"/>
          <w:right w:val="nil"/>
          <w:between w:val="nil"/>
        </w:pBdr>
        <w:spacing w:after="0" w:line="360" w:lineRule="auto"/>
        <w:ind w:right="-28"/>
        <w:rPr>
          <w:color w:val="000000"/>
        </w:rPr>
      </w:pPr>
      <w:r>
        <w:rPr>
          <w:color w:val="000000"/>
        </w:rPr>
        <w:t>Ante la falta de respuesta del Ente Recurrido, el Particular, justamente se inconformó por la falta de entrega de la información, lo cual se actualiza el supuesto previsto en el artículo 179, fracción VII, de la Ley de Transparencia y Acceso a la Información Pública del Estado de México y Municipios</w:t>
      </w:r>
      <w:r>
        <w:rPr>
          <w:color w:val="000000"/>
          <w:highlight w:val="white"/>
        </w:rPr>
        <w:t xml:space="preserve">. </w:t>
      </w:r>
      <w:r>
        <w:rPr>
          <w:color w:val="000000"/>
        </w:rPr>
        <w:t>Así las cosas, una vez admitido y notificado el Recurso de Revisión a las partes, estas fueron omisas en realizar manifestaciones o alegatos.</w:t>
      </w:r>
    </w:p>
    <w:p w14:paraId="710AD486" w14:textId="77777777" w:rsidR="008A759D" w:rsidRDefault="008A759D">
      <w:pPr>
        <w:pBdr>
          <w:top w:val="nil"/>
          <w:left w:val="nil"/>
          <w:bottom w:val="nil"/>
          <w:right w:val="nil"/>
          <w:between w:val="nil"/>
        </w:pBdr>
        <w:spacing w:after="0" w:line="360" w:lineRule="auto"/>
        <w:ind w:right="-28"/>
        <w:rPr>
          <w:color w:val="000000"/>
        </w:rPr>
      </w:pPr>
    </w:p>
    <w:p w14:paraId="47880420" w14:textId="77777777" w:rsidR="008A759D" w:rsidRDefault="000C015A">
      <w:pPr>
        <w:tabs>
          <w:tab w:val="left" w:pos="4962"/>
        </w:tabs>
        <w:spacing w:after="0" w:line="360" w:lineRule="auto"/>
        <w:rPr>
          <w:color w:val="000000"/>
        </w:rPr>
      </w:pPr>
      <w:r>
        <w:rPr>
          <w:color w:val="000000"/>
        </w:rPr>
        <w:t xml:space="preserve">Lo anterior, se desprende de las documentales que obran en el expediente de referencia, materia de la presente resolución, consistente en: la solicitud de acceso a la información y el escrito </w:t>
      </w:r>
      <w:proofErr w:type="spellStart"/>
      <w:r>
        <w:rPr>
          <w:color w:val="000000"/>
        </w:rPr>
        <w:t>recursal</w:t>
      </w:r>
      <w:proofErr w:type="spellEnd"/>
      <w:r>
        <w:rPr>
          <w:color w:val="000000"/>
        </w:rPr>
        <w:t>; instrumentales que se toman en cuenta a efecto de resolver el presente medio de impugnación, conforme a lo dispuesto por el artículo 185, fracción IV, de la Ley de Transparencia y Acceso a la Información Pública del Estado de México y Municipios.</w:t>
      </w:r>
    </w:p>
    <w:p w14:paraId="48132BBF" w14:textId="77777777" w:rsidR="008A759D" w:rsidRDefault="008A759D">
      <w:pPr>
        <w:spacing w:after="0" w:line="360" w:lineRule="auto"/>
        <w:rPr>
          <w:b/>
          <w:color w:val="000000"/>
        </w:rPr>
      </w:pPr>
    </w:p>
    <w:p w14:paraId="22821C59" w14:textId="77777777" w:rsidR="008A759D" w:rsidRDefault="000C015A">
      <w:pPr>
        <w:pStyle w:val="Ttulo2"/>
        <w:spacing w:before="0" w:line="360" w:lineRule="auto"/>
        <w:rPr>
          <w:rFonts w:ascii="Palatino Linotype" w:eastAsia="Palatino Linotype" w:hAnsi="Palatino Linotype" w:cs="Palatino Linotype"/>
          <w:b/>
          <w:color w:val="000000"/>
          <w:sz w:val="22"/>
          <w:szCs w:val="22"/>
        </w:rPr>
      </w:pPr>
      <w:bookmarkStart w:id="13" w:name="_Toc205477001"/>
      <w:r>
        <w:rPr>
          <w:rFonts w:ascii="Palatino Linotype" w:eastAsia="Palatino Linotype" w:hAnsi="Palatino Linotype" w:cs="Palatino Linotype"/>
          <w:b/>
          <w:color w:val="000000"/>
          <w:sz w:val="22"/>
          <w:szCs w:val="22"/>
        </w:rPr>
        <w:t>CUARTO. Marco normativo aplicable en materia de transparencia y acceso a la información pública</w:t>
      </w:r>
      <w:bookmarkEnd w:id="13"/>
    </w:p>
    <w:p w14:paraId="748653A0" w14:textId="77777777" w:rsidR="008A759D" w:rsidRDefault="008A759D">
      <w:pPr>
        <w:spacing w:after="0" w:line="360" w:lineRule="auto"/>
        <w:rPr>
          <w:color w:val="FF0000"/>
        </w:rPr>
      </w:pPr>
    </w:p>
    <w:p w14:paraId="60432466" w14:textId="77777777" w:rsidR="008A759D" w:rsidRDefault="000C015A">
      <w:pPr>
        <w:spacing w:after="0" w:line="360" w:lineRule="auto"/>
      </w:pPr>
      <w:r>
        <w:lastRenderedPageBreak/>
        <w:t xml:space="preserve">El artículo 6°, Apartado A), fracción I, de la Constitución Política de los Estados Unidos Mexicanos, establece que toda la información en posesión de cualquier </w:t>
      </w:r>
      <w:proofErr w:type="gramStart"/>
      <w:r>
        <w:t>autoridad,</w:t>
      </w:r>
      <w:proofErr w:type="gramEnd"/>
      <w:r>
        <w:t xml:space="preserve"> es pública y sólo podrá ser reservada temporalmente por razones de interés público.</w:t>
      </w:r>
    </w:p>
    <w:p w14:paraId="0AD83FE4" w14:textId="77777777" w:rsidR="008A759D" w:rsidRDefault="008A759D">
      <w:pPr>
        <w:spacing w:after="0" w:line="360" w:lineRule="auto"/>
      </w:pPr>
    </w:p>
    <w:p w14:paraId="2517B159" w14:textId="77777777" w:rsidR="008A759D" w:rsidRDefault="000C015A">
      <w:pPr>
        <w:spacing w:after="0" w:line="360" w:lineRule="auto"/>
      </w:pPr>
      <w:r>
        <w:t>En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18FB5A8F" w14:textId="77777777" w:rsidR="008A759D" w:rsidRDefault="008A759D">
      <w:pPr>
        <w:spacing w:after="0" w:line="360" w:lineRule="auto"/>
      </w:pPr>
    </w:p>
    <w:p w14:paraId="7DCDCE67" w14:textId="77777777" w:rsidR="008A759D" w:rsidRDefault="000C015A">
      <w:pPr>
        <w:spacing w:after="0" w:line="360" w:lineRule="auto"/>
      </w:pPr>
      <w:r>
        <w:t>Por su parte, la Ley de Transparencia y Acceso a la Información Pública del Estado de México y Municipios (Reglamentaria del artículo 5° de la Constitución Local), establece lo siguiente:</w:t>
      </w:r>
    </w:p>
    <w:p w14:paraId="5B7436EF" w14:textId="77777777" w:rsidR="008A759D" w:rsidRDefault="008A759D">
      <w:pPr>
        <w:spacing w:after="0" w:line="360" w:lineRule="auto"/>
      </w:pPr>
    </w:p>
    <w:p w14:paraId="146C4FDC" w14:textId="77777777" w:rsidR="008A759D" w:rsidRDefault="000C015A">
      <w:pPr>
        <w:spacing w:after="0" w:line="360" w:lineRule="auto"/>
      </w:pPr>
      <w:r>
        <w:t>El artículo 12, que, quienes generen, recopilen, administren, manejen, procesen, archiven o conserven información pública serán responsables de la misma.</w:t>
      </w:r>
    </w:p>
    <w:p w14:paraId="1A406704" w14:textId="77777777" w:rsidR="008A759D" w:rsidRDefault="008A759D">
      <w:pPr>
        <w:spacing w:after="0" w:line="360" w:lineRule="auto"/>
      </w:pPr>
    </w:p>
    <w:p w14:paraId="33BCD1DB" w14:textId="77777777" w:rsidR="008A759D" w:rsidRDefault="000C015A">
      <w:pPr>
        <w:spacing w:after="0" w:line="360" w:lineRule="auto"/>
      </w:pPr>
      <w:r>
        <w:t>El artículo 18, que, los Sujetos Obligados deberán documentar todo acto que derive del ejercicio de sus facultades, competencias o funciones, considerando desde su origen la eventual publicidad y reutilización de la información que generen.</w:t>
      </w:r>
    </w:p>
    <w:p w14:paraId="6DCB8A62" w14:textId="77777777" w:rsidR="008A759D" w:rsidRDefault="008A759D">
      <w:pPr>
        <w:spacing w:after="0" w:line="360" w:lineRule="auto"/>
      </w:pPr>
    </w:p>
    <w:p w14:paraId="3488CAE9" w14:textId="77777777" w:rsidR="008A759D" w:rsidRDefault="000C015A">
      <w:pPr>
        <w:spacing w:after="0" w:line="360" w:lineRule="auto"/>
      </w:pPr>
      <w: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7EDD297A" w14:textId="77777777" w:rsidR="008A759D" w:rsidRDefault="008A759D">
      <w:pPr>
        <w:spacing w:after="0" w:line="360" w:lineRule="auto"/>
        <w:rPr>
          <w:color w:val="FF0000"/>
        </w:rPr>
      </w:pPr>
    </w:p>
    <w:p w14:paraId="058D2F8D" w14:textId="77777777" w:rsidR="008A759D" w:rsidRDefault="000C015A">
      <w:pPr>
        <w:pStyle w:val="Ttulo2"/>
        <w:spacing w:before="0" w:line="360" w:lineRule="auto"/>
        <w:rPr>
          <w:rFonts w:ascii="Palatino Linotype" w:eastAsia="Palatino Linotype" w:hAnsi="Palatino Linotype" w:cs="Palatino Linotype"/>
          <w:b/>
          <w:color w:val="000000"/>
          <w:sz w:val="22"/>
          <w:szCs w:val="22"/>
        </w:rPr>
      </w:pPr>
      <w:bookmarkStart w:id="14" w:name="_Toc205477002"/>
      <w:r>
        <w:rPr>
          <w:rFonts w:ascii="Palatino Linotype" w:eastAsia="Palatino Linotype" w:hAnsi="Palatino Linotype" w:cs="Palatino Linotype"/>
          <w:b/>
          <w:color w:val="000000"/>
          <w:sz w:val="22"/>
          <w:szCs w:val="22"/>
        </w:rPr>
        <w:lastRenderedPageBreak/>
        <w:t>QUINTO. Estudio de Fondo</w:t>
      </w:r>
      <w:bookmarkEnd w:id="14"/>
    </w:p>
    <w:p w14:paraId="1465DC03" w14:textId="77777777" w:rsidR="008A759D" w:rsidRDefault="008A759D">
      <w:pPr>
        <w:spacing w:after="0" w:line="360" w:lineRule="auto"/>
        <w:rPr>
          <w:b/>
          <w:color w:val="000000"/>
        </w:rPr>
      </w:pPr>
    </w:p>
    <w:p w14:paraId="22B623E0" w14:textId="77777777" w:rsidR="008A759D" w:rsidRDefault="000C015A">
      <w:pPr>
        <w:spacing w:after="0" w:line="360" w:lineRule="auto"/>
        <w:rPr>
          <w:color w:val="000000"/>
        </w:rPr>
      </w:pPr>
      <w:r>
        <w:rPr>
          <w:color w:val="000000"/>
        </w:rPr>
        <w:t>Expuestas las posturas de las partes, se procede al análisis del agravio hecho valer por el Recurrente, concerniente a la falta de respuesta del Ayuntamiento de Otzolotepec a la solicitud de información.</w:t>
      </w:r>
    </w:p>
    <w:p w14:paraId="408B1879" w14:textId="77777777" w:rsidR="008A759D" w:rsidRDefault="008A759D">
      <w:pPr>
        <w:spacing w:after="0" w:line="360" w:lineRule="auto"/>
        <w:rPr>
          <w:color w:val="000000"/>
        </w:rPr>
      </w:pPr>
    </w:p>
    <w:p w14:paraId="3336BA77" w14:textId="77777777" w:rsidR="008A759D" w:rsidRDefault="000C015A">
      <w:pPr>
        <w:spacing w:after="0" w:line="360" w:lineRule="auto"/>
        <w:rPr>
          <w:color w:val="000000"/>
        </w:rPr>
      </w:pPr>
      <w:r>
        <w:rPr>
          <w:color w:val="000000"/>
        </w:rPr>
        <w:t>En principio, es de suma importancia señalar los objetivos de la Ley de Transparencia y Acceso a la Información Pública del Estado de México y Municipios, en relación con la obligación de acceso por parte de los Sujetos Obligados, lo cuales se encuentran establecidos en el artículo 2° de dicho ordenamiento jurídico y son los siguientes:</w:t>
      </w:r>
    </w:p>
    <w:p w14:paraId="559C3F45" w14:textId="77777777" w:rsidR="008A759D" w:rsidRDefault="008A759D">
      <w:pPr>
        <w:spacing w:after="0" w:line="360" w:lineRule="auto"/>
        <w:rPr>
          <w:color w:val="000000"/>
        </w:rPr>
      </w:pPr>
    </w:p>
    <w:p w14:paraId="66342450" w14:textId="77777777" w:rsidR="008A759D" w:rsidRDefault="000C015A">
      <w:pPr>
        <w:numPr>
          <w:ilvl w:val="0"/>
          <w:numId w:val="1"/>
        </w:numPr>
        <w:spacing w:after="0" w:line="360" w:lineRule="auto"/>
        <w:rPr>
          <w:color w:val="000000"/>
        </w:rPr>
      </w:pPr>
      <w:r>
        <w:rPr>
          <w:color w:val="000000"/>
        </w:rPr>
        <w:t>Proveer lo necesario para garantizar a toda persona el derecho de acceso a la información pública, a través de procedimientos sencillos, expeditos, oportunos y gratuitos;</w:t>
      </w:r>
    </w:p>
    <w:p w14:paraId="796200A1" w14:textId="77777777" w:rsidR="008A759D" w:rsidRDefault="008A759D">
      <w:pPr>
        <w:spacing w:after="0" w:line="360" w:lineRule="auto"/>
        <w:ind w:left="720"/>
        <w:rPr>
          <w:color w:val="000000"/>
        </w:rPr>
      </w:pPr>
    </w:p>
    <w:p w14:paraId="3FBF0C16" w14:textId="77777777" w:rsidR="008A759D" w:rsidRDefault="000C015A">
      <w:pPr>
        <w:numPr>
          <w:ilvl w:val="0"/>
          <w:numId w:val="1"/>
        </w:numPr>
        <w:spacing w:after="0" w:line="360" w:lineRule="auto"/>
        <w:rPr>
          <w:color w:val="000000"/>
        </w:rPr>
      </w:pPr>
      <w:r>
        <w:rPr>
          <w:color w:val="000000"/>
        </w:rPr>
        <w:t>Transparentar la gestión pública, mediante la difusión de la información generada por los Sujetos Obligados, y</w:t>
      </w:r>
    </w:p>
    <w:p w14:paraId="1F3F7B8A" w14:textId="77777777" w:rsidR="008A759D" w:rsidRDefault="008A759D">
      <w:pPr>
        <w:spacing w:after="0" w:line="360" w:lineRule="auto"/>
        <w:ind w:left="720"/>
        <w:rPr>
          <w:color w:val="000000"/>
        </w:rPr>
      </w:pPr>
    </w:p>
    <w:p w14:paraId="617324EA" w14:textId="77777777" w:rsidR="008A759D" w:rsidRDefault="000C015A">
      <w:pPr>
        <w:numPr>
          <w:ilvl w:val="0"/>
          <w:numId w:val="1"/>
        </w:numPr>
        <w:spacing w:after="0" w:line="360" w:lineRule="auto"/>
        <w:rPr>
          <w:color w:val="000000"/>
        </w:rPr>
      </w:pPr>
      <w:r>
        <w:rPr>
          <w:color w:val="000000"/>
        </w:rPr>
        <w:t>Promover, fomentar y difundir la cultura de la transparencia en el ejercicio de la función pública, el acceso a la información y la participación ciudadana, así como, la rendición de cuentas.</w:t>
      </w:r>
    </w:p>
    <w:p w14:paraId="195BFF4D" w14:textId="77777777" w:rsidR="008A759D" w:rsidRDefault="008A759D">
      <w:pPr>
        <w:spacing w:after="0" w:line="360" w:lineRule="auto"/>
        <w:rPr>
          <w:color w:val="000000"/>
        </w:rPr>
      </w:pPr>
    </w:p>
    <w:p w14:paraId="795DDBBA" w14:textId="77777777" w:rsidR="008A759D" w:rsidRDefault="000C015A">
      <w:pPr>
        <w:spacing w:after="0" w:line="360" w:lineRule="auto"/>
        <w:rPr>
          <w:color w:val="000000"/>
        </w:rPr>
      </w:pPr>
      <w:r>
        <w:rPr>
          <w:color w:val="000000"/>
        </w:rPr>
        <w:t xml:space="preserve">Conforme a lo anterior, se </w:t>
      </w:r>
      <w:r>
        <w:t>desprende</w:t>
      </w:r>
      <w:r>
        <w:rPr>
          <w:color w:val="000000"/>
        </w:rPr>
        <w:t xml:space="preserve"> que los objetivos de la Ley de la </w:t>
      </w:r>
      <w:proofErr w:type="gramStart"/>
      <w:r>
        <w:rPr>
          <w:color w:val="000000"/>
        </w:rPr>
        <w:t>materia,</w:t>
      </w:r>
      <w:proofErr w:type="gramEnd"/>
      <w:r>
        <w:rPr>
          <w:color w:val="000000"/>
        </w:rPr>
        <w:t xml:space="preserve"> son establecer las bases que regirán las formas para garantizar el derecho de acceso a la información, mediante procesos sencillos y expeditos, la promoción, fomentación y difusión de la cultura </w:t>
      </w:r>
      <w:r>
        <w:rPr>
          <w:color w:val="000000"/>
        </w:rPr>
        <w:lastRenderedPageBreak/>
        <w:t>de transparencia y la rendición de cuentas, a través de establecimiento de políticas públicas y mecanismos que garanticen la publicidad de información oportuna, verificable, comprensible, actualizada y completa.</w:t>
      </w:r>
    </w:p>
    <w:p w14:paraId="20C35599" w14:textId="77777777" w:rsidR="008A759D" w:rsidRDefault="008A759D">
      <w:pPr>
        <w:spacing w:after="0" w:line="360" w:lineRule="auto"/>
        <w:rPr>
          <w:color w:val="000000"/>
        </w:rPr>
      </w:pPr>
    </w:p>
    <w:p w14:paraId="00B79F22" w14:textId="77777777" w:rsidR="008A759D" w:rsidRDefault="000C015A">
      <w:pPr>
        <w:spacing w:after="0" w:line="360" w:lineRule="auto"/>
        <w:rPr>
          <w:color w:val="000000"/>
        </w:rPr>
      </w:pPr>
      <w:r>
        <w:rPr>
          <w:color w:val="000000"/>
        </w:rPr>
        <w:t>En ese orden de ideas, para la atención de las solicitudes de acceso a la información, debe privilegiarse el principio de máxima publicidad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1F6098F2" w14:textId="77777777" w:rsidR="008A759D" w:rsidRDefault="008A759D">
      <w:pPr>
        <w:spacing w:after="0" w:line="360" w:lineRule="auto"/>
        <w:rPr>
          <w:color w:val="000000"/>
        </w:rPr>
      </w:pPr>
    </w:p>
    <w:p w14:paraId="57D83B3A" w14:textId="77777777" w:rsidR="008A759D" w:rsidRDefault="000C015A">
      <w:pPr>
        <w:spacing w:after="0" w:line="360" w:lineRule="auto"/>
        <w:rPr>
          <w:color w:val="000000"/>
        </w:rPr>
      </w:pPr>
      <w:r>
        <w:rPr>
          <w:color w:val="000000"/>
        </w:rPr>
        <w:t>Para lograr lo anterior, los Sujetos Obligados deben seguir el procedimiento para la atención a las solicitudes de acceso a la información, establecido en los artículos 151, 159, 160, 162, 163, 164, 165 y 166, de la Ley de Transparencia y Acceso a la Información Pública del Estado de México y Municipios, el cual es el siguiente:</w:t>
      </w:r>
    </w:p>
    <w:p w14:paraId="1D651812" w14:textId="77777777" w:rsidR="008A759D" w:rsidRDefault="008A759D">
      <w:pPr>
        <w:spacing w:after="0" w:line="360" w:lineRule="auto"/>
        <w:rPr>
          <w:color w:val="000000"/>
        </w:rPr>
      </w:pPr>
    </w:p>
    <w:p w14:paraId="4A592D3A" w14:textId="77777777" w:rsidR="008A759D" w:rsidRDefault="000C015A">
      <w:pPr>
        <w:numPr>
          <w:ilvl w:val="0"/>
          <w:numId w:val="2"/>
        </w:numPr>
        <w:spacing w:after="0" w:line="360" w:lineRule="auto"/>
        <w:rPr>
          <w:color w:val="000000"/>
        </w:rPr>
      </w:pPr>
      <w:r>
        <w:rPr>
          <w:color w:val="000000"/>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5A28D6DF" w14:textId="77777777" w:rsidR="008A759D" w:rsidRDefault="008A759D">
      <w:pPr>
        <w:spacing w:after="0" w:line="360" w:lineRule="auto"/>
        <w:ind w:left="720"/>
        <w:rPr>
          <w:color w:val="000000"/>
        </w:rPr>
      </w:pPr>
    </w:p>
    <w:p w14:paraId="6BC809D1" w14:textId="77777777" w:rsidR="008A759D" w:rsidRDefault="000C015A">
      <w:pPr>
        <w:numPr>
          <w:ilvl w:val="0"/>
          <w:numId w:val="2"/>
        </w:numPr>
        <w:spacing w:after="0" w:line="360" w:lineRule="auto"/>
        <w:rPr>
          <w:color w:val="000000"/>
        </w:rPr>
      </w:pPr>
      <w:r>
        <w:rPr>
          <w:color w:val="000000"/>
        </w:rPr>
        <w:t xml:space="preserve">Los Sujetos Obligados podrán requerirle a los Solicitantes, que complementen, corrijan o amplíen su solicitud de información, cuando resulten los datos proporcionados insuficientes, incorrectos, incompletos o erróneos; solicitar dicha </w:t>
      </w:r>
      <w:r>
        <w:rPr>
          <w:color w:val="000000"/>
        </w:rPr>
        <w:lastRenderedPageBreak/>
        <w:t>aclaración, interrumpirá el plazo para dar respuesta y comenzará a computarse el día siguiente al desahogo de esta;</w:t>
      </w:r>
    </w:p>
    <w:p w14:paraId="742D8AD6" w14:textId="77777777" w:rsidR="008A759D" w:rsidRDefault="008A759D">
      <w:pPr>
        <w:spacing w:after="0" w:line="360" w:lineRule="auto"/>
        <w:ind w:left="720"/>
        <w:rPr>
          <w:color w:val="000000"/>
        </w:rPr>
      </w:pPr>
    </w:p>
    <w:p w14:paraId="123433F3" w14:textId="77777777" w:rsidR="008A759D" w:rsidRDefault="000C015A">
      <w:pPr>
        <w:numPr>
          <w:ilvl w:val="0"/>
          <w:numId w:val="2"/>
        </w:numPr>
        <w:spacing w:after="0" w:line="360" w:lineRule="auto"/>
        <w:rPr>
          <w:color w:val="000000"/>
        </w:rPr>
      </w:pPr>
      <w:r>
        <w:rPr>
          <w:color w:val="000000"/>
        </w:rPr>
        <w:t xml:space="preserve"> Las respuestas a los requerimientos informativos deberán notificarse al interesado en el menor tiempo posible, que no podrá exceder quince días, contados a partir del día siguiente a la presentación de ésta. Excepcionalmente, el plazo referido podrá ampliarse por siete días hábiles más, cuando existan razones fundadas y motivadas, a través del Comité de Transparencia;</w:t>
      </w:r>
    </w:p>
    <w:p w14:paraId="77B99CA8" w14:textId="77777777" w:rsidR="008A759D" w:rsidRDefault="008A759D">
      <w:pPr>
        <w:spacing w:after="0" w:line="360" w:lineRule="auto"/>
        <w:ind w:left="720"/>
        <w:rPr>
          <w:color w:val="000000"/>
        </w:rPr>
      </w:pPr>
    </w:p>
    <w:p w14:paraId="26BBDFC1" w14:textId="77777777" w:rsidR="008A759D" w:rsidRDefault="000C015A">
      <w:pPr>
        <w:numPr>
          <w:ilvl w:val="0"/>
          <w:numId w:val="2"/>
        </w:numPr>
        <w:spacing w:after="0" w:line="360" w:lineRule="auto"/>
        <w:rPr>
          <w:color w:val="000000"/>
        </w:rPr>
      </w:pPr>
      <w:r>
        <w:rPr>
          <w:color w:val="000000"/>
        </w:rPr>
        <w:t xml:space="preserve">Las Unidades de Transparencia garantizarán que las solicitudes se turnen a todas las áreas competentes que cuenten con la información o deban tenerla </w:t>
      </w:r>
      <w:proofErr w:type="gramStart"/>
      <w:r>
        <w:rPr>
          <w:color w:val="000000"/>
        </w:rPr>
        <w:t>de acuerdo a</w:t>
      </w:r>
      <w:proofErr w:type="gramEnd"/>
      <w:r>
        <w:rPr>
          <w:color w:val="000000"/>
        </w:rPr>
        <w:t xml:space="preserve">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1083B95F" w14:textId="77777777" w:rsidR="008A759D" w:rsidRDefault="008A759D">
      <w:pPr>
        <w:spacing w:after="0" w:line="360" w:lineRule="auto"/>
        <w:rPr>
          <w:color w:val="000000"/>
        </w:rPr>
      </w:pPr>
    </w:p>
    <w:p w14:paraId="286B2537" w14:textId="77777777" w:rsidR="008A759D" w:rsidRDefault="000C015A">
      <w:pPr>
        <w:numPr>
          <w:ilvl w:val="0"/>
          <w:numId w:val="2"/>
        </w:numPr>
        <w:spacing w:after="0" w:line="360" w:lineRule="auto"/>
        <w:rPr>
          <w:color w:val="000000"/>
        </w:rPr>
      </w:pPr>
      <w:r>
        <w:rPr>
          <w:color w:val="000000"/>
        </w:rPr>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14:paraId="317F6F32" w14:textId="77777777" w:rsidR="008A759D" w:rsidRDefault="008A759D">
      <w:pPr>
        <w:spacing w:after="0" w:line="360" w:lineRule="auto"/>
        <w:ind w:left="720"/>
        <w:rPr>
          <w:color w:val="000000"/>
        </w:rPr>
      </w:pPr>
    </w:p>
    <w:p w14:paraId="00D99E32" w14:textId="77777777" w:rsidR="008A759D" w:rsidRDefault="000C015A">
      <w:pPr>
        <w:numPr>
          <w:ilvl w:val="0"/>
          <w:numId w:val="2"/>
        </w:numPr>
        <w:spacing w:after="0" w:line="360" w:lineRule="auto"/>
        <w:rPr>
          <w:color w:val="000000"/>
        </w:rPr>
      </w:pPr>
      <w:r>
        <w:rPr>
          <w:color w:val="000000"/>
        </w:rPr>
        <w:t xml:space="preserve">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trascurrida dicha temporalidad, </w:t>
      </w:r>
      <w:r>
        <w:rPr>
          <w:color w:val="000000"/>
        </w:rPr>
        <w:lastRenderedPageBreak/>
        <w:t>los Sujetos Obligados darán por concluida la solicitud y procederán de ser el caso, a la destrucción del material.</w:t>
      </w:r>
    </w:p>
    <w:p w14:paraId="37968D27" w14:textId="77777777" w:rsidR="008A759D" w:rsidRDefault="008A759D">
      <w:pPr>
        <w:spacing w:after="0" w:line="360" w:lineRule="auto"/>
        <w:rPr>
          <w:color w:val="000000"/>
        </w:rPr>
      </w:pPr>
    </w:p>
    <w:p w14:paraId="25B1D25C" w14:textId="77777777" w:rsidR="008A759D" w:rsidRDefault="000C015A">
      <w:pPr>
        <w:spacing w:after="0" w:line="360" w:lineRule="auto"/>
        <w:rPr>
          <w:color w:val="000000"/>
        </w:rPr>
      </w:pPr>
      <w:r>
        <w:rPr>
          <w:color w:val="000000"/>
        </w:rPr>
        <w:t xml:space="preserve">Una vez establecido lo anterior, es de indicar que el agravio del Particular consistió en que, a la fecha de interposición del Recurso de Revisión, el Ayuntamiento de Otzolotepec, no había registrado respuesta al requerimiento de acceso a la información, los cuales se presentaron, el veinte de mayo de dos mil veinticinco. </w:t>
      </w:r>
    </w:p>
    <w:p w14:paraId="31DFD369" w14:textId="77777777" w:rsidR="008A759D" w:rsidRDefault="008A759D">
      <w:pPr>
        <w:spacing w:after="0" w:line="360" w:lineRule="auto"/>
        <w:rPr>
          <w:color w:val="000000"/>
        </w:rPr>
      </w:pPr>
    </w:p>
    <w:p w14:paraId="72BE41A0" w14:textId="77777777" w:rsidR="008A759D" w:rsidRDefault="000C015A">
      <w:pPr>
        <w:spacing w:after="0" w:line="360" w:lineRule="auto"/>
        <w:rPr>
          <w:color w:val="000000"/>
        </w:rPr>
      </w:pPr>
      <w:r>
        <w:rPr>
          <w:color w:val="000000"/>
        </w:rPr>
        <w:t xml:space="preserve">Aunado a ello, cabe mencionar que de conformidad con lo dispuesto en el artículo 159 de la Ley de transparencia Loca, el plazo para dar respuesta se interrumpe y debe comenzar a computarse a partir del día siguiente a aquel en el que se desahogó la aclaración, es decir, el </w:t>
      </w:r>
      <w:r>
        <w:rPr>
          <w:b/>
          <w:color w:val="000000"/>
        </w:rPr>
        <w:t>veintinueve de mayo de dos mil veinticinco.</w:t>
      </w:r>
      <w:r>
        <w:rPr>
          <w:color w:val="000000"/>
        </w:rPr>
        <w:t xml:space="preserve"> </w:t>
      </w:r>
    </w:p>
    <w:p w14:paraId="07E89934" w14:textId="77777777" w:rsidR="008A759D" w:rsidRDefault="008A759D">
      <w:pPr>
        <w:spacing w:after="0" w:line="360" w:lineRule="auto"/>
        <w:rPr>
          <w:color w:val="000000"/>
        </w:rPr>
      </w:pPr>
    </w:p>
    <w:p w14:paraId="014A1FF5" w14:textId="77777777" w:rsidR="008A759D" w:rsidRDefault="000C015A">
      <w:pPr>
        <w:spacing w:after="0" w:line="360" w:lineRule="auto"/>
        <w:rPr>
          <w:color w:val="000000"/>
        </w:rPr>
      </w:pPr>
      <w:r>
        <w:rPr>
          <w:color w:val="000000"/>
        </w:rPr>
        <w:t>Cabe mencionar, que en fecha diecisiete de junio de dos mil veinticinco, el Sujeto Obligado, a través del SAIMEX, informó que se prorrogó el plazo para dar respuesta y remitió las actas del Comité de Transparencia en las que se aprobó la prórroga por 7 días hábiles más en términos de lo dispuesto en el artículo 163 de la Ley de Transparencia y Acceso a la Información Pública del Estado de México y Municipios.</w:t>
      </w:r>
    </w:p>
    <w:p w14:paraId="13B8B919" w14:textId="77777777" w:rsidR="008A759D" w:rsidRDefault="008A759D">
      <w:pPr>
        <w:spacing w:after="0" w:line="360" w:lineRule="auto"/>
        <w:rPr>
          <w:color w:val="000000"/>
        </w:rPr>
      </w:pPr>
    </w:p>
    <w:p w14:paraId="30A1A550" w14:textId="77777777" w:rsidR="008A759D" w:rsidRDefault="000C015A">
      <w:pPr>
        <w:spacing w:after="0" w:line="360" w:lineRule="auto"/>
        <w:rPr>
          <w:color w:val="000000"/>
        </w:rPr>
      </w:pPr>
      <w:bookmarkStart w:id="15" w:name="_heading=h.o86jt97xj74" w:colFirst="0" w:colLast="0"/>
      <w:bookmarkEnd w:id="15"/>
      <w:r>
        <w:rPr>
          <w:color w:val="000000"/>
        </w:rPr>
        <w:t xml:space="preserve">En ese orden de ideas, el plazo con el que contaba el Sujeto Obligado para emitir contestación al requerimiento informativo comenzó a correr el veintinueve de mayo y feneció, contabilizando la prórroga, el veintisiete de </w:t>
      </w:r>
      <w:proofErr w:type="spellStart"/>
      <w:r>
        <w:rPr>
          <w:color w:val="000000"/>
        </w:rPr>
        <w:t>de</w:t>
      </w:r>
      <w:proofErr w:type="spellEnd"/>
      <w:r>
        <w:rPr>
          <w:color w:val="000000"/>
        </w:rPr>
        <w:t xml:space="preserve"> junio, ambos de dos mil veinticinco; lo anterior, sin contar los días, treinta y uno de mayo, primero, siete, ocho, catorce, quince, veintiuno, veintidós de junio todos ellos de dos mil veinticinco, al ser inhábiles, de conformidad con el artículo, 3°, fracción X, de la Ley de Transparencia y Acceso a la </w:t>
      </w:r>
      <w:r>
        <w:rPr>
          <w:color w:val="000000"/>
        </w:rPr>
        <w:lastRenderedPageBreak/>
        <w:t>Información Pública del Estado de México y Municipios, y el Calendario Oficial en Materia de Transparencia, Acceso a la Información Pública y Protección de Datos Personales del Estado de México y Municipios, así como de laborales de este Instituto, para el año dos mil veinticinco.</w:t>
      </w:r>
    </w:p>
    <w:p w14:paraId="444FBA01" w14:textId="77777777" w:rsidR="008A759D" w:rsidRDefault="008A759D">
      <w:pPr>
        <w:spacing w:after="0" w:line="360" w:lineRule="auto"/>
        <w:rPr>
          <w:color w:val="000000"/>
        </w:rPr>
      </w:pPr>
    </w:p>
    <w:p w14:paraId="419F8294" w14:textId="77777777" w:rsidR="008A759D" w:rsidRDefault="000C015A">
      <w:pPr>
        <w:spacing w:after="0" w:line="360" w:lineRule="auto"/>
        <w:rPr>
          <w:color w:val="000000"/>
        </w:rPr>
      </w:pPr>
      <w:r>
        <w:rPr>
          <w:color w:val="000000"/>
        </w:rPr>
        <w:t>Así, este Instituto verificó que, en efecto, no se registró respuesta a las solicitudes de información de la persona Recurrente, en el Sistema de Acceso a la Información Mexiquense (SAIMEX), tal como se observa a continuación:</w:t>
      </w:r>
    </w:p>
    <w:p w14:paraId="1F615191" w14:textId="77777777" w:rsidR="008A759D" w:rsidRDefault="008A759D">
      <w:pPr>
        <w:spacing w:after="0" w:line="360" w:lineRule="auto"/>
        <w:rPr>
          <w:color w:val="000000"/>
        </w:rPr>
      </w:pPr>
    </w:p>
    <w:p w14:paraId="7382ED6E" w14:textId="77777777" w:rsidR="008A759D" w:rsidRDefault="000C015A">
      <w:pPr>
        <w:spacing w:after="0" w:line="360" w:lineRule="auto"/>
        <w:jc w:val="center"/>
        <w:rPr>
          <w:color w:val="000000"/>
        </w:rPr>
      </w:pPr>
      <w:r>
        <w:rPr>
          <w:noProof/>
        </w:rPr>
        <w:drawing>
          <wp:inline distT="0" distB="0" distL="0" distR="0" wp14:anchorId="07C00E18" wp14:editId="6DE96BA2">
            <wp:extent cx="4876800" cy="3457575"/>
            <wp:effectExtent l="0" t="0" r="0" b="0"/>
            <wp:docPr id="54750327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4876800" cy="3457575"/>
                    </a:xfrm>
                    <a:prstGeom prst="rect">
                      <a:avLst/>
                    </a:prstGeom>
                    <a:ln/>
                  </pic:spPr>
                </pic:pic>
              </a:graphicData>
            </a:graphic>
          </wp:inline>
        </w:drawing>
      </w:r>
    </w:p>
    <w:p w14:paraId="00DB994A" w14:textId="77777777" w:rsidR="008A759D" w:rsidRDefault="000C015A">
      <w:pPr>
        <w:spacing w:after="0" w:line="360" w:lineRule="auto"/>
        <w:jc w:val="center"/>
        <w:rPr>
          <w:color w:val="000000"/>
        </w:rPr>
      </w:pPr>
      <w:r>
        <w:rPr>
          <w:noProof/>
        </w:rPr>
        <w:lastRenderedPageBreak/>
        <w:drawing>
          <wp:inline distT="0" distB="0" distL="0" distR="0" wp14:anchorId="2ED3198B" wp14:editId="7387AE5A">
            <wp:extent cx="4705350" cy="3381375"/>
            <wp:effectExtent l="0" t="0" r="0" b="0"/>
            <wp:docPr id="54750327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4705350" cy="3381375"/>
                    </a:xfrm>
                    <a:prstGeom prst="rect">
                      <a:avLst/>
                    </a:prstGeom>
                    <a:ln/>
                  </pic:spPr>
                </pic:pic>
              </a:graphicData>
            </a:graphic>
          </wp:inline>
        </w:drawing>
      </w:r>
    </w:p>
    <w:p w14:paraId="039456F8" w14:textId="77777777" w:rsidR="008A759D" w:rsidRDefault="008A759D">
      <w:pPr>
        <w:spacing w:after="0" w:line="360" w:lineRule="auto"/>
        <w:jc w:val="center"/>
        <w:rPr>
          <w:color w:val="000000"/>
        </w:rPr>
      </w:pPr>
    </w:p>
    <w:p w14:paraId="6CD92C94" w14:textId="77777777" w:rsidR="008A759D" w:rsidRDefault="008A759D">
      <w:pPr>
        <w:spacing w:after="0" w:line="360" w:lineRule="auto"/>
        <w:rPr>
          <w:color w:val="000000"/>
        </w:rPr>
      </w:pPr>
    </w:p>
    <w:p w14:paraId="62900FD9" w14:textId="77777777" w:rsidR="008A759D" w:rsidRDefault="000C015A">
      <w:pPr>
        <w:spacing w:after="0" w:line="360" w:lineRule="auto"/>
        <w:rPr>
          <w:color w:val="000000"/>
        </w:rPr>
      </w:pPr>
      <w:r>
        <w:rPr>
          <w:color w:val="000000"/>
        </w:rPr>
        <w:t xml:space="preserve">Conforme a lo anterior, se colige que, tal como lo precisó la persona Recurrente, el Sistema Municipal para el Ayuntamiento de Otzolotepec, no emitió respuesta para dar contestación a la solicitud de acceso a la información pública, dentro de los plazos establecidos en el artículo 163, de la Ley de Transparencia y Acceso a la Información Pública del Estado de México y Municipios, pues tenía hasta el dieciocho de marzo de dos mil veinticinco, para realizar dicha situación, por lo que es evidente que el agravio es </w:t>
      </w:r>
      <w:r>
        <w:rPr>
          <w:b/>
          <w:color w:val="000000"/>
        </w:rPr>
        <w:t>FUNDADO</w:t>
      </w:r>
      <w:r>
        <w:rPr>
          <w:color w:val="000000"/>
        </w:rPr>
        <w:t xml:space="preserve">. </w:t>
      </w:r>
    </w:p>
    <w:p w14:paraId="4BBCEFF1" w14:textId="77777777" w:rsidR="008A759D" w:rsidRDefault="008A759D">
      <w:pPr>
        <w:spacing w:after="0" w:line="360" w:lineRule="auto"/>
        <w:rPr>
          <w:color w:val="000000"/>
        </w:rPr>
      </w:pPr>
    </w:p>
    <w:p w14:paraId="2A4DD0E9" w14:textId="77777777" w:rsidR="008A759D" w:rsidRDefault="000C015A">
      <w:pPr>
        <w:spacing w:after="0" w:line="360" w:lineRule="auto"/>
        <w:rPr>
          <w:color w:val="000000"/>
        </w:rPr>
      </w:pPr>
      <w:r>
        <w:rPr>
          <w:color w:val="000000"/>
        </w:rPr>
        <w:t xml:space="preserve">Con base en lo expuesto, es procedente </w:t>
      </w:r>
      <w:r>
        <w:rPr>
          <w:b/>
          <w:color w:val="000000"/>
        </w:rPr>
        <w:t>ORDENAR</w:t>
      </w:r>
      <w:r>
        <w:rPr>
          <w:color w:val="000000"/>
        </w:rPr>
        <w:t xml:space="preserve"> al Sujeto Obligado, que emita respuesta que a derecho corresponda, al requerimiento de información; no obstante, para tal circunstancia es necesario analizar si cuenta con competencia para conocer de lo peticionado.</w:t>
      </w:r>
    </w:p>
    <w:p w14:paraId="065444C1" w14:textId="77777777" w:rsidR="008A759D" w:rsidRDefault="008A759D">
      <w:pPr>
        <w:tabs>
          <w:tab w:val="left" w:pos="6375"/>
        </w:tabs>
        <w:spacing w:after="0" w:line="360" w:lineRule="auto"/>
        <w:rPr>
          <w:color w:val="000000"/>
        </w:rPr>
      </w:pPr>
    </w:p>
    <w:p w14:paraId="69DE45E0" w14:textId="77777777" w:rsidR="008A759D" w:rsidRDefault="000C015A">
      <w:pPr>
        <w:tabs>
          <w:tab w:val="left" w:pos="4962"/>
        </w:tabs>
        <w:spacing w:after="0" w:line="360" w:lineRule="auto"/>
      </w:pPr>
      <w:r>
        <w:lastRenderedPageBreak/>
        <w:t>Respecto a</w:t>
      </w:r>
      <w:r>
        <w:rPr>
          <w:b/>
        </w:rPr>
        <w:t xml:space="preserve"> los Comités de Adquisiciones y Servicios; </w:t>
      </w:r>
      <w:r>
        <w:t>se advierte que la Ley de Contratación Pública del Estado de México y Municipios, dispone en sus artículos 22 y 23 que en cada Ayuntamiento se constituirá un Comité de adquisidores y servicios, que tendrá entre otras funciones, la de participar en los procedimientos de licitación, invitación restringida y adjudicación directa, así como emitir los dictámenes de adjudicación; por su parte, el Reglamento de la Ley antes mencionada, precisa en su artículo 48 el desarrollo de las sesiones del Comité y en su fracción V, dispone que al término de cada sesión se levantará un acta que será firmada por los integrantes que hubieran asistido a la sesión.</w:t>
      </w:r>
    </w:p>
    <w:p w14:paraId="0F2B9132" w14:textId="77777777" w:rsidR="008A759D" w:rsidRDefault="008A759D">
      <w:pPr>
        <w:tabs>
          <w:tab w:val="left" w:pos="4962"/>
        </w:tabs>
        <w:spacing w:after="0" w:line="360" w:lineRule="auto"/>
      </w:pPr>
    </w:p>
    <w:p w14:paraId="156DF772" w14:textId="77777777" w:rsidR="008A759D" w:rsidRDefault="000C015A">
      <w:pPr>
        <w:tabs>
          <w:tab w:val="left" w:pos="4962"/>
        </w:tabs>
        <w:spacing w:after="0" w:line="360" w:lineRule="auto"/>
      </w:pPr>
      <w:r>
        <w:t>Asimismo,</w:t>
      </w:r>
      <w:r>
        <w:rPr>
          <w:b/>
        </w:rPr>
        <w:t xml:space="preserve"> </w:t>
      </w:r>
      <w:r>
        <w:t xml:space="preserve"> la Ley de Contratación Pública del Estado de México y Municipios señala en su artículo 22, que los Ayuntamientos se auxiliarán de un Comité de arrendamientos, adquisiciones y servicios, y el artículo 24 de la misma Ley, señala sus funciones, entre las que se encuentran las señaladas en la fracción II, que implica su participación en los procedimientos de licitación, invitación restringida y adjudicación directa, así como, emitir los dictámenes de adjudicación tratándose de adquisiciones de inmuebles y arrendamientos. Por su parte, el Reglamento a la Ley de Contratación antes señalado, establece en su artículo 45, que el presidente debe convocar a los integrantes para las sesiones del comité.</w:t>
      </w:r>
    </w:p>
    <w:p w14:paraId="36BA8072" w14:textId="77777777" w:rsidR="008A759D" w:rsidRDefault="008A759D">
      <w:pPr>
        <w:tabs>
          <w:tab w:val="left" w:pos="4962"/>
        </w:tabs>
        <w:spacing w:after="0" w:line="360" w:lineRule="auto"/>
      </w:pPr>
    </w:p>
    <w:p w14:paraId="2BDE5973" w14:textId="77777777" w:rsidR="008A759D" w:rsidRDefault="000C015A">
      <w:pPr>
        <w:tabs>
          <w:tab w:val="left" w:pos="4962"/>
        </w:tabs>
        <w:spacing w:after="0" w:line="360" w:lineRule="auto"/>
      </w:pPr>
      <w:r>
        <w:t xml:space="preserve">En consecuencia, se aprecia que el Sujeto Obligado puede conocer de la información solicitada al tratarse de las convocatorias para celebrarse las sesiones del comité referidas al Contralor Municipal. </w:t>
      </w:r>
    </w:p>
    <w:p w14:paraId="0C1A67EC" w14:textId="77777777" w:rsidR="008A759D" w:rsidRDefault="000C015A">
      <w:pPr>
        <w:tabs>
          <w:tab w:val="left" w:pos="6375"/>
        </w:tabs>
        <w:spacing w:after="0" w:line="360" w:lineRule="auto"/>
        <w:rPr>
          <w:color w:val="000000"/>
        </w:rPr>
      </w:pPr>
      <w:r>
        <w:rPr>
          <w:color w:val="000000"/>
        </w:rPr>
        <w:tab/>
      </w:r>
    </w:p>
    <w:p w14:paraId="6C1185B9" w14:textId="77777777" w:rsidR="008A759D" w:rsidRDefault="000C015A">
      <w:pPr>
        <w:spacing w:after="0" w:line="360" w:lineRule="auto"/>
      </w:pPr>
      <w:r>
        <w:t xml:space="preserve">Conforme a lo anterior, se advierte que el Sujeto Obligado sí cuenta con atribuciones para conocer y responder la solicitud, dado que es la autoridad competente para emitir las licencias de funcionamiento de establecimientos comerciales en el municipio, en las cuales se </w:t>
      </w:r>
      <w:r>
        <w:lastRenderedPageBreak/>
        <w:t>establecen el tipo de actividades que pueden realizar. Por tanto, procede requerir una respuesta puntual, clara y legalmente sustentada, y en su caso, iniciar las acciones de inspección o verificación que resulten procedentes conforme al marco normativo aplicable.</w:t>
      </w:r>
    </w:p>
    <w:p w14:paraId="774404DD" w14:textId="77777777" w:rsidR="008A759D" w:rsidRDefault="008A759D">
      <w:pPr>
        <w:spacing w:after="0" w:line="360" w:lineRule="auto"/>
      </w:pPr>
    </w:p>
    <w:p w14:paraId="077B7977" w14:textId="77777777" w:rsidR="008A759D" w:rsidRDefault="000C015A">
      <w:pPr>
        <w:pStyle w:val="Ttulo2"/>
        <w:spacing w:before="0" w:line="360" w:lineRule="auto"/>
        <w:rPr>
          <w:rFonts w:ascii="Palatino Linotype" w:eastAsia="Palatino Linotype" w:hAnsi="Palatino Linotype" w:cs="Palatino Linotype"/>
          <w:b/>
          <w:color w:val="000000"/>
          <w:sz w:val="22"/>
          <w:szCs w:val="22"/>
        </w:rPr>
      </w:pPr>
      <w:bookmarkStart w:id="16" w:name="_Toc205477003"/>
      <w:r>
        <w:rPr>
          <w:rFonts w:ascii="Palatino Linotype" w:eastAsia="Palatino Linotype" w:hAnsi="Palatino Linotype" w:cs="Palatino Linotype"/>
          <w:b/>
          <w:color w:val="000000"/>
          <w:sz w:val="22"/>
          <w:szCs w:val="22"/>
        </w:rPr>
        <w:t>SEXTO. Decisión</w:t>
      </w:r>
      <w:bookmarkEnd w:id="16"/>
    </w:p>
    <w:p w14:paraId="26EF825B" w14:textId="77777777" w:rsidR="008A759D" w:rsidRDefault="008A759D">
      <w:pPr>
        <w:spacing w:after="0" w:line="360" w:lineRule="auto"/>
        <w:rPr>
          <w:b/>
          <w:color w:val="000000"/>
        </w:rPr>
      </w:pPr>
    </w:p>
    <w:p w14:paraId="4D689268" w14:textId="77777777" w:rsidR="008A759D" w:rsidRDefault="000C015A">
      <w:pPr>
        <w:spacing w:after="0" w:line="360" w:lineRule="auto"/>
        <w:rPr>
          <w:color w:val="000000"/>
        </w:rPr>
      </w:pPr>
      <w:r>
        <w:rPr>
          <w:color w:val="000000"/>
        </w:rPr>
        <w:t xml:space="preserve">De acuerdo con lo expuesto y, con fundamento en el artículo 186, fracción III, de la Ley de Transparencia y Acceso a la Información Pública del Estado de México y Municipios, este Instituto considera procedente </w:t>
      </w:r>
      <w:r>
        <w:rPr>
          <w:b/>
          <w:color w:val="000000"/>
        </w:rPr>
        <w:t xml:space="preserve">ORDENAR </w:t>
      </w:r>
      <w:r>
        <w:rPr>
          <w:color w:val="000000"/>
        </w:rPr>
        <w:t>al Ayuntamiento de Otzolotepec</w:t>
      </w:r>
      <w:r>
        <w:rPr>
          <w:b/>
          <w:color w:val="000000"/>
        </w:rPr>
        <w:t xml:space="preserve"> </w:t>
      </w:r>
      <w:r>
        <w:rPr>
          <w:color w:val="000000"/>
        </w:rPr>
        <w:t>a efecto de que previa búsqueda exhaustiva y razonable de respuesta a las solicitudes de información 00263/OTZOLOTE/IP/2025 y 00259/OTZOLOTE/IP/2025</w:t>
      </w:r>
    </w:p>
    <w:p w14:paraId="3FC58635" w14:textId="77777777" w:rsidR="008A759D" w:rsidRDefault="008A759D">
      <w:pPr>
        <w:spacing w:after="0" w:line="360" w:lineRule="auto"/>
        <w:rPr>
          <w:color w:val="000000"/>
        </w:rPr>
      </w:pPr>
    </w:p>
    <w:p w14:paraId="17BA84B6" w14:textId="77777777" w:rsidR="008A759D" w:rsidRDefault="000C015A">
      <w:pPr>
        <w:keepNext/>
        <w:keepLines/>
        <w:spacing w:after="0" w:line="360" w:lineRule="auto"/>
        <w:jc w:val="left"/>
        <w:rPr>
          <w:b/>
        </w:rPr>
      </w:pPr>
      <w:r>
        <w:rPr>
          <w:b/>
        </w:rPr>
        <w:t>SÉPTIMO. Vista a la Secretaría Técnica del Pleno</w:t>
      </w:r>
    </w:p>
    <w:p w14:paraId="6981EB58" w14:textId="77777777" w:rsidR="008A759D" w:rsidRDefault="008A759D">
      <w:pPr>
        <w:spacing w:after="0" w:line="360" w:lineRule="auto"/>
        <w:rPr>
          <w:color w:val="000000"/>
        </w:rPr>
      </w:pPr>
    </w:p>
    <w:p w14:paraId="382E75C5" w14:textId="77777777" w:rsidR="008A759D" w:rsidRDefault="000C015A">
      <w:pPr>
        <w:spacing w:after="0" w:line="360" w:lineRule="auto"/>
        <w:ind w:right="-93"/>
        <w:rPr>
          <w:color w:val="000000"/>
        </w:rPr>
      </w:pPr>
      <w:r>
        <w:rPr>
          <w:color w:val="000000"/>
        </w:rPr>
        <w:t xml:space="preserve">En el caso en estudio, como ha quedado señalado que el Ayuntamiento de Otzolotepec omitió dar respuestas en el plazo señalado en el artículo 163 de la Ley de Transparencia y Acceso a la Información Pública del Estado de México y Municipios. </w:t>
      </w:r>
    </w:p>
    <w:p w14:paraId="6968E87F" w14:textId="77777777" w:rsidR="008A759D" w:rsidRDefault="008A759D">
      <w:pPr>
        <w:spacing w:after="0" w:line="360" w:lineRule="auto"/>
        <w:ind w:right="-93"/>
        <w:rPr>
          <w:color w:val="000000"/>
        </w:rPr>
      </w:pPr>
    </w:p>
    <w:p w14:paraId="78AC397C" w14:textId="77777777" w:rsidR="008A759D" w:rsidRDefault="000C015A">
      <w:pPr>
        <w:spacing w:after="0" w:line="360" w:lineRule="auto"/>
        <w:ind w:right="-93"/>
        <w:rPr>
          <w:color w:val="000000"/>
        </w:rPr>
      </w:pPr>
      <w:r>
        <w:rPr>
          <w:color w:val="000000"/>
        </w:rPr>
        <w:t xml:space="preserve">Al respecto, el artículo 36, fracción X, del ordenamiento jurídico en cita, establece que es atribución de este Instituto hacer del conocimiento del Órgano Interno de Control o equivalente de cada Sujeto Obligado las infracciones a esta Ley. </w:t>
      </w:r>
    </w:p>
    <w:p w14:paraId="022632BA" w14:textId="77777777" w:rsidR="008A759D" w:rsidRDefault="008A759D">
      <w:pPr>
        <w:spacing w:after="0" w:line="360" w:lineRule="auto"/>
        <w:ind w:right="-93"/>
        <w:rPr>
          <w:color w:val="000000"/>
        </w:rPr>
      </w:pPr>
    </w:p>
    <w:p w14:paraId="0E74B39C" w14:textId="77777777" w:rsidR="008A759D" w:rsidRDefault="000C015A">
      <w:pPr>
        <w:spacing w:after="0" w:line="360" w:lineRule="auto"/>
        <w:ind w:right="-93"/>
        <w:rPr>
          <w:color w:val="000000"/>
        </w:rPr>
      </w:pPr>
      <w:r>
        <w:rPr>
          <w:color w:val="000000"/>
        </w:rPr>
        <w:t xml:space="preserve">Por su parte, el artículo 223 de la Ley de Transparencia y Acceso a la Información Pública del Estado de México y Municipios, prevé que este Instituto deberá dar vista al Área Competente, </w:t>
      </w:r>
      <w:r>
        <w:rPr>
          <w:color w:val="000000"/>
        </w:rPr>
        <w:lastRenderedPageBreak/>
        <w:t xml:space="preserve">con el fin de que determine el grado de responsabilidad de los servidores públicos que incumplan con las obligaciones establecidas en la Ley. </w:t>
      </w:r>
    </w:p>
    <w:p w14:paraId="2E1B1754" w14:textId="77777777" w:rsidR="008A759D" w:rsidRDefault="008A759D">
      <w:pPr>
        <w:spacing w:after="0" w:line="360" w:lineRule="auto"/>
        <w:ind w:right="-93"/>
        <w:rPr>
          <w:color w:val="000000"/>
        </w:rPr>
      </w:pPr>
    </w:p>
    <w:p w14:paraId="605AD013" w14:textId="77777777" w:rsidR="008A759D" w:rsidRDefault="000C015A">
      <w:pPr>
        <w:spacing w:after="0" w:line="360" w:lineRule="auto"/>
        <w:ind w:right="-93"/>
        <w:rPr>
          <w:color w:val="000000"/>
        </w:rPr>
      </w:pPr>
      <w:r>
        <w:rPr>
          <w:color w:val="000000"/>
        </w:rPr>
        <w:t xml:space="preserve">En ese contexto, la fracción XXVII, del artículo 19, del Reglamento Interior del Instituto de Transparencia, Acceso a la Información Pública y Protección de Datos Personales del Estado de México y Municipios, establece que es función de la Secretaría Técnica del Pleno, remitir al Órgano Interno de Control de los Sujetos Obligados, las presuntas infracciones cometidas en el marco de la Ley de la materia, para la promoción de responsabilidades y sanciones. </w:t>
      </w:r>
    </w:p>
    <w:p w14:paraId="16ED4B96" w14:textId="77777777" w:rsidR="008A759D" w:rsidRDefault="008A759D">
      <w:pPr>
        <w:spacing w:after="0" w:line="360" w:lineRule="auto"/>
        <w:ind w:right="-93"/>
        <w:rPr>
          <w:color w:val="000000"/>
        </w:rPr>
      </w:pPr>
    </w:p>
    <w:p w14:paraId="28797570" w14:textId="77777777" w:rsidR="008A759D" w:rsidRDefault="000C015A">
      <w:pPr>
        <w:spacing w:after="0" w:line="360" w:lineRule="auto"/>
        <w:ind w:right="-93"/>
        <w:rPr>
          <w:color w:val="000000"/>
        </w:rPr>
      </w:pPr>
      <w:r>
        <w:rPr>
          <w:color w:val="000000"/>
        </w:rPr>
        <w:t>Sobre el particular, si bien, la presente resolución no tiene por objetivo investigar y determinar posibles violaciones al derecho de acceso a la información, toda vez que este Organismo Autónomo, advirtió la falta de respuesta del Sujeto Obligado, se considera procedente dar vista a la Secretaría Técnica de este Instituto, para que realice lo conducente.</w:t>
      </w:r>
    </w:p>
    <w:p w14:paraId="569B0927" w14:textId="77777777" w:rsidR="008A759D" w:rsidRDefault="008A759D">
      <w:pPr>
        <w:spacing w:after="0" w:line="360" w:lineRule="auto"/>
        <w:rPr>
          <w:color w:val="000000"/>
        </w:rPr>
      </w:pPr>
    </w:p>
    <w:p w14:paraId="14BAF13E" w14:textId="77777777" w:rsidR="008A759D" w:rsidRDefault="000C015A">
      <w:pPr>
        <w:spacing w:after="0" w:line="360" w:lineRule="auto"/>
        <w:rPr>
          <w:b/>
          <w:color w:val="000000"/>
        </w:rPr>
      </w:pPr>
      <w:r>
        <w:rPr>
          <w:b/>
          <w:color w:val="000000"/>
        </w:rPr>
        <w:t>Términos de la Resolución para conocimiento del Particular</w:t>
      </w:r>
    </w:p>
    <w:p w14:paraId="62C5835B" w14:textId="77777777" w:rsidR="008A759D" w:rsidRDefault="008A759D">
      <w:pPr>
        <w:spacing w:after="0" w:line="360" w:lineRule="auto"/>
        <w:rPr>
          <w:b/>
          <w:color w:val="000000"/>
        </w:rPr>
      </w:pPr>
    </w:p>
    <w:p w14:paraId="4E4D1DDD" w14:textId="77777777" w:rsidR="008A759D" w:rsidRDefault="000C015A">
      <w:pPr>
        <w:spacing w:after="0" w:line="360" w:lineRule="auto"/>
        <w:rPr>
          <w:color w:val="000000"/>
        </w:rPr>
      </w:pPr>
      <w:r>
        <w:rPr>
          <w:color w:val="000000"/>
        </w:rPr>
        <w:t xml:space="preserve">Se le hace del conocimiento al Particular, que, en el presente caso, se le da la razón, pues el Sujeto Obligado no emitió contestación alguna, por lo que, deberá dar atención a los requerimientos de información, realizar unas búsqueda exhaustiva y razonable en sus archivos, y en su caso, entregarle la documentación que corresponda. </w:t>
      </w:r>
    </w:p>
    <w:p w14:paraId="7F7F7F06" w14:textId="77777777" w:rsidR="008A759D" w:rsidRDefault="008A759D">
      <w:pPr>
        <w:spacing w:after="0" w:line="360" w:lineRule="auto"/>
        <w:rPr>
          <w:color w:val="000000"/>
        </w:rPr>
      </w:pPr>
    </w:p>
    <w:p w14:paraId="5938FDEB" w14:textId="77777777" w:rsidR="008A759D" w:rsidRDefault="000C015A">
      <w:pPr>
        <w:spacing w:after="0" w:line="360" w:lineRule="auto"/>
        <w:rPr>
          <w:color w:val="000000"/>
        </w:rPr>
      </w:pPr>
      <w:r>
        <w:rPr>
          <w:color w:val="000000"/>
        </w:rPr>
        <w:t xml:space="preserve">Además, se le informa que, de conformidad con lo establecido en el artículo 179, párrafo segundo, de la Ley de Transparencia y Acceso a la Información Pública del Estado de México y Municipios, tiene derecho a interponer nuevamente Recurso de Revisión ante este Instituto, por la respuesta que dé el Sujeto Obligado, en cumplimiento a esta Resolución. </w:t>
      </w:r>
    </w:p>
    <w:p w14:paraId="7A71FA35" w14:textId="77777777" w:rsidR="008A759D" w:rsidRDefault="008A759D">
      <w:pPr>
        <w:spacing w:after="0" w:line="360" w:lineRule="auto"/>
        <w:rPr>
          <w:color w:val="000000"/>
        </w:rPr>
      </w:pPr>
    </w:p>
    <w:p w14:paraId="0198BB4B" w14:textId="77777777" w:rsidR="008A759D" w:rsidRDefault="000C015A">
      <w:pPr>
        <w:spacing w:after="0" w:line="360" w:lineRule="auto"/>
        <w:rPr>
          <w:color w:val="000000"/>
        </w:rPr>
      </w:pPr>
      <w:r>
        <w:rPr>
          <w:color w:val="000000"/>
        </w:rPr>
        <w:t>Finalmente, se le informa que la labor de este Instituto de Transparencia, Acceso a la Información Pública y Protección de Datos Personales del Estado de México y Municipios, es apoyar a la población a acceder a la información pública y garantizar la protección de los datos personales.</w:t>
      </w:r>
    </w:p>
    <w:p w14:paraId="5B55DF6C" w14:textId="77777777" w:rsidR="008A759D" w:rsidRDefault="008A759D">
      <w:pPr>
        <w:spacing w:after="0" w:line="360" w:lineRule="auto"/>
        <w:rPr>
          <w:color w:val="000000"/>
        </w:rPr>
      </w:pPr>
    </w:p>
    <w:p w14:paraId="08690E67" w14:textId="77777777" w:rsidR="008A759D" w:rsidRDefault="000C015A">
      <w:pPr>
        <w:spacing w:after="0" w:line="360" w:lineRule="auto"/>
        <w:rPr>
          <w:color w:val="000000"/>
        </w:rPr>
      </w:pPr>
      <w:r>
        <w:rPr>
          <w:color w:val="000000"/>
        </w:rPr>
        <w:t>Por lo expuesto y fundado, este Pleno:</w:t>
      </w:r>
    </w:p>
    <w:p w14:paraId="415A2E08" w14:textId="4517639D" w:rsidR="008A759D" w:rsidRDefault="000C015A">
      <w:pPr>
        <w:pStyle w:val="Ttulo1"/>
        <w:spacing w:before="0" w:line="360" w:lineRule="auto"/>
        <w:jc w:val="center"/>
        <w:rPr>
          <w:rFonts w:ascii="Palatino Linotype" w:eastAsia="Palatino Linotype" w:hAnsi="Palatino Linotype" w:cs="Palatino Linotype"/>
          <w:b/>
          <w:color w:val="000000"/>
          <w:sz w:val="22"/>
          <w:szCs w:val="22"/>
        </w:rPr>
      </w:pPr>
      <w:bookmarkStart w:id="17" w:name="_Toc205477004"/>
      <w:r>
        <w:rPr>
          <w:rFonts w:ascii="Palatino Linotype" w:eastAsia="Palatino Linotype" w:hAnsi="Palatino Linotype" w:cs="Palatino Linotype"/>
          <w:b/>
          <w:color w:val="000000"/>
          <w:sz w:val="22"/>
          <w:szCs w:val="22"/>
        </w:rPr>
        <w:t>R E S U E L V E</w:t>
      </w:r>
      <w:bookmarkEnd w:id="17"/>
    </w:p>
    <w:p w14:paraId="3BA4AD9E" w14:textId="77777777" w:rsidR="008A759D" w:rsidRDefault="008A759D">
      <w:pPr>
        <w:spacing w:after="0" w:line="360" w:lineRule="auto"/>
        <w:ind w:right="-91"/>
        <w:jc w:val="center"/>
        <w:rPr>
          <w:b/>
          <w:color w:val="000000"/>
        </w:rPr>
      </w:pPr>
    </w:p>
    <w:p w14:paraId="37A54F87" w14:textId="77777777" w:rsidR="008A759D" w:rsidRDefault="000C015A">
      <w:pPr>
        <w:spacing w:after="0" w:line="360" w:lineRule="auto"/>
        <w:rPr>
          <w:color w:val="000000"/>
        </w:rPr>
      </w:pPr>
      <w:r>
        <w:rPr>
          <w:b/>
          <w:color w:val="000000"/>
        </w:rPr>
        <w:t xml:space="preserve">PRIMERO. </w:t>
      </w:r>
      <w:r>
        <w:rPr>
          <w:color w:val="000000"/>
        </w:rPr>
        <w:t xml:space="preserve">Resultan </w:t>
      </w:r>
      <w:r>
        <w:rPr>
          <w:b/>
          <w:color w:val="000000"/>
        </w:rPr>
        <w:t>FUNDADAS</w:t>
      </w:r>
      <w:r>
        <w:rPr>
          <w:color w:val="000000"/>
        </w:rPr>
        <w:t xml:space="preserve"> las razones o motivos de inconformidad hechos valer por el Particular en los Recursos de Revisión </w:t>
      </w:r>
      <w:r>
        <w:rPr>
          <w:b/>
          <w:color w:val="000000"/>
        </w:rPr>
        <w:t>07921/INFOEM/IP/RR/2025 y 07923/INFOEM/IP/RR/2025</w:t>
      </w:r>
      <w:r>
        <w:rPr>
          <w:color w:val="000000"/>
        </w:rPr>
        <w:t>, en términos de los considerandos QUINTO y SEXTO de la presente Resolución.</w:t>
      </w:r>
    </w:p>
    <w:p w14:paraId="5BE8D2AC" w14:textId="77777777" w:rsidR="008A759D" w:rsidRDefault="008A759D">
      <w:pPr>
        <w:spacing w:after="0" w:line="360" w:lineRule="auto"/>
        <w:rPr>
          <w:color w:val="000000"/>
        </w:rPr>
      </w:pPr>
    </w:p>
    <w:p w14:paraId="0DE6E827" w14:textId="77777777" w:rsidR="008A759D" w:rsidRDefault="000C015A">
      <w:pPr>
        <w:spacing w:after="0" w:line="360" w:lineRule="auto"/>
        <w:rPr>
          <w:color w:val="000000"/>
        </w:rPr>
      </w:pPr>
      <w:r>
        <w:rPr>
          <w:b/>
          <w:color w:val="000000"/>
        </w:rPr>
        <w:t xml:space="preserve">SEGUNDO. </w:t>
      </w:r>
      <w:r>
        <w:rPr>
          <w:color w:val="000000"/>
        </w:rPr>
        <w:t xml:space="preserve">Se </w:t>
      </w:r>
      <w:r>
        <w:rPr>
          <w:b/>
          <w:color w:val="000000"/>
        </w:rPr>
        <w:t>ORDENA</w:t>
      </w:r>
      <w:r>
        <w:rPr>
          <w:color w:val="000000"/>
        </w:rPr>
        <w:t xml:space="preserve"> al Sujeto Obligado</w:t>
      </w:r>
      <w:r>
        <w:rPr>
          <w:b/>
          <w:color w:val="000000"/>
        </w:rPr>
        <w:t xml:space="preserve">, </w:t>
      </w:r>
      <w:r>
        <w:rPr>
          <w:color w:val="000000"/>
        </w:rPr>
        <w:t>a efecto de que de atención a las Solicitudes de acceso a la información 00263/OTZOLOTE/IP/2025 y 00259/OTZOLOTE/IP/2025 y, a través del Sistema de Acceso a la Información Mexiquense (SAIMEX), de respuesta que conforme a derecho corresponda.</w:t>
      </w:r>
    </w:p>
    <w:p w14:paraId="6E64E792" w14:textId="77777777" w:rsidR="008A759D" w:rsidRDefault="008A759D">
      <w:pPr>
        <w:spacing w:after="0" w:line="360" w:lineRule="auto"/>
        <w:ind w:right="-28"/>
        <w:rPr>
          <w:color w:val="000000"/>
        </w:rPr>
      </w:pPr>
    </w:p>
    <w:p w14:paraId="3014D037" w14:textId="77777777" w:rsidR="008A759D" w:rsidRDefault="000C015A">
      <w:pPr>
        <w:spacing w:after="0" w:line="360" w:lineRule="auto"/>
        <w:ind w:right="-28"/>
        <w:rPr>
          <w:color w:val="000000"/>
        </w:rPr>
      </w:pPr>
      <w:r>
        <w:rPr>
          <w:b/>
          <w:color w:val="000000"/>
        </w:rPr>
        <w:t>TERCERO.</w:t>
      </w:r>
      <w:r>
        <w:rPr>
          <w:color w:val="000000"/>
        </w:rPr>
        <w:t xml:space="preserve"> Con fundamento en el artículo 179, párrafo segundo, de la Ley de Transparencia y Acceso a la Información Pública del Estado de México y Municipios, se hace del conocimiento de la persona Recurrente que tiene derecho a interponer nuevamente Recurso de Revisión ante este Instituto, por la respuesta que dé el Sujeto Obligado, en cumplimiento a esta Resolución.</w:t>
      </w:r>
    </w:p>
    <w:p w14:paraId="29849158" w14:textId="77777777" w:rsidR="008A759D" w:rsidRDefault="008A759D">
      <w:pPr>
        <w:spacing w:after="0" w:line="360" w:lineRule="auto"/>
        <w:rPr>
          <w:color w:val="000000"/>
        </w:rPr>
      </w:pPr>
    </w:p>
    <w:p w14:paraId="5DC89BC2" w14:textId="77777777" w:rsidR="008A759D" w:rsidRDefault="000C015A">
      <w:pPr>
        <w:spacing w:after="0" w:line="360" w:lineRule="auto"/>
        <w:rPr>
          <w:color w:val="000000"/>
        </w:rPr>
      </w:pPr>
      <w:r>
        <w:rPr>
          <w:b/>
          <w:color w:val="000000"/>
        </w:rPr>
        <w:lastRenderedPageBreak/>
        <w:t xml:space="preserve">CUARTO. NOTIFÍQUESE POR SAIMEX </w:t>
      </w:r>
      <w:r>
        <w:rPr>
          <w:color w:val="000000"/>
        </w:rPr>
        <w:t>la presente resolución al Titular de la Unidad de</w:t>
      </w:r>
    </w:p>
    <w:p w14:paraId="740C438E" w14:textId="77777777" w:rsidR="008A759D" w:rsidRDefault="000C015A">
      <w:pPr>
        <w:spacing w:after="0" w:line="360" w:lineRule="auto"/>
        <w:rPr>
          <w:color w:val="000000"/>
        </w:rPr>
      </w:pPr>
      <w:r>
        <w:rPr>
          <w:color w:val="000000"/>
        </w:rPr>
        <w:t>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p>
    <w:p w14:paraId="158895E0" w14:textId="77777777" w:rsidR="008A759D" w:rsidRDefault="008A759D">
      <w:pPr>
        <w:spacing w:after="0" w:line="360" w:lineRule="auto"/>
        <w:rPr>
          <w:color w:val="000000"/>
        </w:rPr>
      </w:pPr>
    </w:p>
    <w:p w14:paraId="33EA6C72" w14:textId="77777777" w:rsidR="008A759D" w:rsidRDefault="000C015A">
      <w:pPr>
        <w:spacing w:after="0" w:line="360" w:lineRule="auto"/>
      </w:pPr>
      <w:r>
        <w:rPr>
          <w:b/>
        </w:rPr>
        <w:t>QUINTO. NOTIFÍQUESE</w:t>
      </w:r>
      <w:r>
        <w:t xml:space="preserve"> </w:t>
      </w:r>
      <w:r>
        <w:rPr>
          <w:b/>
        </w:rPr>
        <w:t xml:space="preserve">POR SAIMEX, </w:t>
      </w:r>
      <w:r>
        <w:t>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434F227D" w14:textId="77777777" w:rsidR="008A759D" w:rsidRDefault="008A759D">
      <w:pPr>
        <w:spacing w:after="0" w:line="360" w:lineRule="auto"/>
        <w:ind w:left="708" w:hanging="708"/>
      </w:pPr>
    </w:p>
    <w:p w14:paraId="4DEADD6A" w14:textId="77777777" w:rsidR="008A759D" w:rsidRDefault="000C015A">
      <w:pPr>
        <w:spacing w:after="0" w:line="360" w:lineRule="auto"/>
      </w:pPr>
      <w:r>
        <w:rPr>
          <w:b/>
        </w:rPr>
        <w:t>SEXTO.</w:t>
      </w:r>
      <w:r>
        <w:t xml:space="preserve"> Gírese oficio 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determine lo conducente, en términos de lo señalado en el Considerando SÉPTIMO de la presente Resolución.</w:t>
      </w:r>
    </w:p>
    <w:p w14:paraId="463D1AB4" w14:textId="77777777" w:rsidR="008A759D" w:rsidRDefault="008A759D">
      <w:pPr>
        <w:spacing w:after="0" w:line="360" w:lineRule="auto"/>
        <w:rPr>
          <w:b/>
          <w:color w:val="000000"/>
        </w:rPr>
      </w:pPr>
    </w:p>
    <w:p w14:paraId="31363426" w14:textId="77777777" w:rsidR="008A759D" w:rsidRDefault="000C015A">
      <w:pPr>
        <w:spacing w:after="0" w:line="360" w:lineRule="auto"/>
        <w:rPr>
          <w:color w:val="000000"/>
        </w:rPr>
      </w:pPr>
      <w:r>
        <w:rPr>
          <w:color w:val="000000"/>
        </w:rPr>
        <w:t>ASÍ LO RESUELVE, POR </w:t>
      </w:r>
      <w:r>
        <w:rPr>
          <w:b/>
          <w:color w:val="000000"/>
        </w:rPr>
        <w:t>UNANIMIDAD</w:t>
      </w:r>
      <w:r>
        <w:rPr>
          <w:color w:val="000000"/>
        </w:rPr>
        <w:t xml:space="preserve"> DE VOTOS EL PLENO DEL INSTITUTO DE TRANSPARENCIA, ACCESO A LA INFORMACIÓN PÚBLICA Y PROTECCIÓN DE DATOS PERSONALES DEL ESTADO DE MÉXICO Y MUNICIPIOS, CONFORMADO POR LOS COMISIONADOS JOSÉ MARTÍNEZ VILCHIS, MARÍA DEL ROSARIO MEJÍA </w:t>
      </w:r>
      <w:r>
        <w:rPr>
          <w:color w:val="000000"/>
        </w:rPr>
        <w:lastRenderedPageBreak/>
        <w:t>AYALA, SHARON CRISTINA MORALES MARTÍNEZ, LUIS GUSTAVO PARRA NORIEGA Y GUADALUPE RAMÍREZ PEÑA, EN LA VIGÉSIMA SÉPTIMA ORDINARIA, CELEBRADA EL SEIS DE AGOSTO DE DOS MIL VEINTICINCO, ANTE EL SECRETARIO TÉCNICO DEL PLENO, ALEXIS TAPIA RAMÍREZ.</w:t>
      </w:r>
    </w:p>
    <w:p w14:paraId="077B5798" w14:textId="77777777" w:rsidR="008A759D" w:rsidRDefault="008A759D">
      <w:pPr>
        <w:spacing w:after="0" w:line="360" w:lineRule="auto"/>
        <w:rPr>
          <w:color w:val="FF0000"/>
        </w:rPr>
      </w:pPr>
    </w:p>
    <w:p w14:paraId="21DC2821" w14:textId="77777777" w:rsidR="008A759D" w:rsidRDefault="008A759D">
      <w:pPr>
        <w:spacing w:after="0" w:line="360" w:lineRule="auto"/>
        <w:rPr>
          <w:color w:val="FF0000"/>
        </w:rPr>
      </w:pPr>
    </w:p>
    <w:p w14:paraId="15FC3F86" w14:textId="77777777" w:rsidR="008A759D" w:rsidRDefault="008A759D">
      <w:pPr>
        <w:spacing w:after="0" w:line="360" w:lineRule="auto"/>
        <w:rPr>
          <w:color w:val="FF0000"/>
        </w:rPr>
      </w:pPr>
    </w:p>
    <w:p w14:paraId="60A7CB8F" w14:textId="77777777" w:rsidR="000C015A" w:rsidRDefault="000C015A">
      <w:pPr>
        <w:spacing w:after="0" w:line="360" w:lineRule="auto"/>
        <w:rPr>
          <w:color w:val="FF0000"/>
        </w:rPr>
      </w:pPr>
    </w:p>
    <w:p w14:paraId="47646968" w14:textId="77777777" w:rsidR="000C015A" w:rsidRDefault="000C015A">
      <w:pPr>
        <w:spacing w:after="0" w:line="360" w:lineRule="auto"/>
        <w:rPr>
          <w:color w:val="FF0000"/>
        </w:rPr>
      </w:pPr>
    </w:p>
    <w:p w14:paraId="3290B1F8" w14:textId="77777777" w:rsidR="000C015A" w:rsidRDefault="000C015A">
      <w:pPr>
        <w:spacing w:after="0" w:line="360" w:lineRule="auto"/>
        <w:rPr>
          <w:color w:val="FF0000"/>
        </w:rPr>
      </w:pPr>
    </w:p>
    <w:p w14:paraId="7E88AD52" w14:textId="77777777" w:rsidR="000C015A" w:rsidRDefault="000C015A">
      <w:pPr>
        <w:spacing w:after="0" w:line="360" w:lineRule="auto"/>
        <w:rPr>
          <w:color w:val="FF0000"/>
        </w:rPr>
      </w:pPr>
    </w:p>
    <w:p w14:paraId="0680D033" w14:textId="77777777" w:rsidR="000C015A" w:rsidRDefault="000C015A">
      <w:pPr>
        <w:spacing w:after="0" w:line="360" w:lineRule="auto"/>
        <w:rPr>
          <w:color w:val="FF0000"/>
        </w:rPr>
      </w:pPr>
    </w:p>
    <w:p w14:paraId="5AC9E4D2" w14:textId="77777777" w:rsidR="000C015A" w:rsidRDefault="000C015A">
      <w:pPr>
        <w:spacing w:after="0" w:line="360" w:lineRule="auto"/>
        <w:rPr>
          <w:color w:val="FF0000"/>
        </w:rPr>
      </w:pPr>
    </w:p>
    <w:p w14:paraId="7FF8F41D" w14:textId="77777777" w:rsidR="000C015A" w:rsidRDefault="000C015A">
      <w:pPr>
        <w:spacing w:after="0" w:line="360" w:lineRule="auto"/>
        <w:rPr>
          <w:color w:val="FF0000"/>
        </w:rPr>
      </w:pPr>
    </w:p>
    <w:p w14:paraId="564CCE8A" w14:textId="77777777" w:rsidR="000C015A" w:rsidRDefault="000C015A">
      <w:pPr>
        <w:spacing w:after="0" w:line="360" w:lineRule="auto"/>
        <w:rPr>
          <w:color w:val="FF0000"/>
        </w:rPr>
      </w:pPr>
    </w:p>
    <w:p w14:paraId="1D0F5A1E" w14:textId="77777777" w:rsidR="000C015A" w:rsidRDefault="000C015A">
      <w:pPr>
        <w:spacing w:after="0" w:line="360" w:lineRule="auto"/>
        <w:rPr>
          <w:color w:val="FF0000"/>
        </w:rPr>
      </w:pPr>
    </w:p>
    <w:p w14:paraId="4BDB5650" w14:textId="77777777" w:rsidR="000C015A" w:rsidRDefault="000C015A">
      <w:pPr>
        <w:spacing w:after="0" w:line="360" w:lineRule="auto"/>
        <w:rPr>
          <w:color w:val="FF0000"/>
        </w:rPr>
      </w:pPr>
    </w:p>
    <w:p w14:paraId="49C7BDF0" w14:textId="77777777" w:rsidR="000C015A" w:rsidRDefault="000C015A">
      <w:pPr>
        <w:spacing w:after="0" w:line="360" w:lineRule="auto"/>
        <w:rPr>
          <w:color w:val="FF0000"/>
        </w:rPr>
      </w:pPr>
    </w:p>
    <w:p w14:paraId="1FC50BE5" w14:textId="77777777" w:rsidR="000C015A" w:rsidRDefault="000C015A">
      <w:pPr>
        <w:spacing w:after="0" w:line="360" w:lineRule="auto"/>
        <w:rPr>
          <w:color w:val="FF0000"/>
        </w:rPr>
      </w:pPr>
    </w:p>
    <w:p w14:paraId="15850A59" w14:textId="77777777" w:rsidR="000C015A" w:rsidRDefault="000C015A">
      <w:pPr>
        <w:spacing w:after="0" w:line="360" w:lineRule="auto"/>
        <w:rPr>
          <w:color w:val="FF0000"/>
        </w:rPr>
      </w:pPr>
    </w:p>
    <w:p w14:paraId="66662381" w14:textId="77777777" w:rsidR="000C015A" w:rsidRDefault="000C015A">
      <w:pPr>
        <w:spacing w:after="0" w:line="360" w:lineRule="auto"/>
        <w:rPr>
          <w:color w:val="FF0000"/>
        </w:rPr>
      </w:pPr>
    </w:p>
    <w:p w14:paraId="2BEDCB70" w14:textId="77777777" w:rsidR="000C015A" w:rsidRDefault="000C015A">
      <w:pPr>
        <w:spacing w:after="0" w:line="360" w:lineRule="auto"/>
        <w:rPr>
          <w:color w:val="FF0000"/>
        </w:rPr>
      </w:pPr>
    </w:p>
    <w:p w14:paraId="5A39E419" w14:textId="77777777" w:rsidR="000C015A" w:rsidRDefault="000C015A">
      <w:pPr>
        <w:spacing w:after="0" w:line="360" w:lineRule="auto"/>
        <w:rPr>
          <w:color w:val="FF0000"/>
        </w:rPr>
      </w:pPr>
    </w:p>
    <w:p w14:paraId="16FFB1E0" w14:textId="77777777" w:rsidR="000C015A" w:rsidRDefault="000C015A">
      <w:pPr>
        <w:spacing w:after="0" w:line="360" w:lineRule="auto"/>
        <w:rPr>
          <w:color w:val="FF0000"/>
        </w:rPr>
      </w:pPr>
    </w:p>
    <w:p w14:paraId="3E941212" w14:textId="77777777" w:rsidR="000C015A" w:rsidRDefault="000C015A">
      <w:pPr>
        <w:spacing w:after="0" w:line="360" w:lineRule="auto"/>
        <w:rPr>
          <w:color w:val="FF0000"/>
        </w:rPr>
      </w:pPr>
    </w:p>
    <w:p w14:paraId="215D0A2B" w14:textId="77777777" w:rsidR="000C015A" w:rsidRDefault="000C015A">
      <w:pPr>
        <w:spacing w:after="0" w:line="360" w:lineRule="auto"/>
        <w:rPr>
          <w:color w:val="FF0000"/>
        </w:rPr>
      </w:pPr>
    </w:p>
    <w:p w14:paraId="25362A9D" w14:textId="77777777" w:rsidR="000C015A" w:rsidRDefault="000C015A">
      <w:pPr>
        <w:spacing w:after="0" w:line="360" w:lineRule="auto"/>
        <w:rPr>
          <w:color w:val="FF0000"/>
        </w:rPr>
      </w:pPr>
    </w:p>
    <w:p w14:paraId="6365B423" w14:textId="77777777" w:rsidR="000C015A" w:rsidRDefault="000C015A">
      <w:pPr>
        <w:spacing w:after="0" w:line="360" w:lineRule="auto"/>
        <w:rPr>
          <w:color w:val="FF0000"/>
        </w:rPr>
      </w:pPr>
    </w:p>
    <w:p w14:paraId="091DC0BD" w14:textId="77777777" w:rsidR="008A759D" w:rsidRDefault="008A759D">
      <w:pPr>
        <w:spacing w:after="0" w:line="360" w:lineRule="auto"/>
        <w:rPr>
          <w:color w:val="FF0000"/>
        </w:rPr>
      </w:pPr>
    </w:p>
    <w:p w14:paraId="5577C9F5" w14:textId="77777777" w:rsidR="008A759D" w:rsidRDefault="008A759D">
      <w:pPr>
        <w:spacing w:after="0" w:line="360" w:lineRule="auto"/>
        <w:rPr>
          <w:color w:val="FF0000"/>
        </w:rPr>
      </w:pPr>
    </w:p>
    <w:p w14:paraId="6F8B97CA" w14:textId="77777777" w:rsidR="008A759D" w:rsidRDefault="008A759D">
      <w:pPr>
        <w:spacing w:after="0" w:line="360" w:lineRule="auto"/>
        <w:rPr>
          <w:color w:val="FF0000"/>
        </w:rPr>
      </w:pPr>
    </w:p>
    <w:p w14:paraId="594B0DC7" w14:textId="77777777" w:rsidR="008A759D" w:rsidRDefault="008A759D">
      <w:pPr>
        <w:spacing w:after="0" w:line="360" w:lineRule="auto"/>
        <w:rPr>
          <w:color w:val="FF0000"/>
        </w:rPr>
      </w:pPr>
    </w:p>
    <w:p w14:paraId="2F5C6CA0" w14:textId="77777777" w:rsidR="008A759D" w:rsidRDefault="008A759D">
      <w:pPr>
        <w:spacing w:after="0" w:line="360" w:lineRule="auto"/>
        <w:jc w:val="left"/>
        <w:rPr>
          <w:color w:val="FF0000"/>
        </w:rPr>
      </w:pPr>
    </w:p>
    <w:sectPr w:rsidR="008A759D">
      <w:headerReference w:type="even" r:id="rId11"/>
      <w:headerReference w:type="default" r:id="rId12"/>
      <w:footerReference w:type="even" r:id="rId13"/>
      <w:footerReference w:type="default" r:id="rId14"/>
      <w:headerReference w:type="first" r:id="rId15"/>
      <w:footerReference w:type="first" r:id="rId16"/>
      <w:pgSz w:w="12240" w:h="15840"/>
      <w:pgMar w:top="1418" w:right="1608" w:bottom="1560" w:left="1701" w:header="993"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003388" w14:textId="77777777" w:rsidR="00D217F9" w:rsidRDefault="00D217F9">
      <w:pPr>
        <w:spacing w:after="0" w:line="240" w:lineRule="auto"/>
      </w:pPr>
      <w:r>
        <w:separator/>
      </w:r>
    </w:p>
  </w:endnote>
  <w:endnote w:type="continuationSeparator" w:id="0">
    <w:p w14:paraId="435167AA" w14:textId="77777777" w:rsidR="00D217F9" w:rsidRDefault="00D217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embedRegular r:id="rId1" w:fontKey="{FB11009D-066E-499B-BC6D-AAA5898D62BA}"/>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660AC745-46F4-4DC8-9237-8BE42F5B994D}"/>
    <w:embedBold r:id="rId3" w:fontKey="{1BDAAD1A-DF38-4C32-B8C9-0A627B424CFA}"/>
    <w:embedItalic r:id="rId4" w:fontKey="{3D818ED3-6170-4BA2-B63D-9EAF33E3FEAE}"/>
    <w:embedBoldItalic r:id="rId5" w:fontKey="{D793599B-FA03-4EC0-993C-25367AEAACDD}"/>
  </w:font>
  <w:font w:name="Calibri">
    <w:panose1 w:val="020F0502020204030204"/>
    <w:charset w:val="00"/>
    <w:family w:val="swiss"/>
    <w:pitch w:val="variable"/>
    <w:sig w:usb0="E4002EFF" w:usb1="C000247B" w:usb2="00000009" w:usb3="00000000" w:csb0="000001FF" w:csb1="00000000"/>
    <w:embedRegular r:id="rId6" w:fontKey="{FC940486-B95B-4145-A9CE-82F27F5D8A37}"/>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7" w:fontKey="{D9D495FF-99E3-4884-A66F-9578C820F5A6}"/>
  </w:font>
  <w:font w:name="Georgia">
    <w:panose1 w:val="02040502050405020303"/>
    <w:charset w:val="00"/>
    <w:family w:val="roman"/>
    <w:pitch w:val="variable"/>
    <w:sig w:usb0="00000287" w:usb1="00000000" w:usb2="00000000" w:usb3="00000000" w:csb0="0000009F" w:csb1="00000000"/>
    <w:embedRegular r:id="rId8" w:fontKey="{CB24E328-63F3-4F2C-80CF-0D588A9667D8}"/>
    <w:embedItalic r:id="rId9" w:fontKey="{6A84ACEF-E05E-4B86-AE74-6312F80E8EF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82FF5" w14:textId="1BAE764F" w:rsidR="008A759D" w:rsidRDefault="000C015A">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sidR="00F1163E">
      <w:rPr>
        <w:b/>
        <w:color w:val="000000"/>
        <w:sz w:val="24"/>
        <w:szCs w:val="24"/>
      </w:rPr>
      <w:fldChar w:fldCharType="separate"/>
    </w:r>
    <w:r w:rsidR="00F1163E">
      <w:rPr>
        <w:b/>
        <w:noProof/>
        <w:color w:val="000000"/>
        <w:sz w:val="24"/>
        <w:szCs w:val="24"/>
      </w:rPr>
      <w:t>25</w:t>
    </w:r>
    <w:r>
      <w:rPr>
        <w:b/>
        <w:color w:val="000000"/>
        <w:sz w:val="24"/>
        <w:szCs w:val="24"/>
      </w:rPr>
      <w:fldChar w:fldCharType="end"/>
    </w:r>
  </w:p>
  <w:p w14:paraId="192473F7" w14:textId="77777777" w:rsidR="008A759D" w:rsidRDefault="008A759D">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55955" w14:textId="77777777" w:rsidR="008A759D" w:rsidRDefault="000C015A">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9E39F7">
      <w:rPr>
        <w:b/>
        <w:noProof/>
        <w:color w:val="000000"/>
        <w:sz w:val="24"/>
        <w:szCs w:val="24"/>
      </w:rPr>
      <w:t>20</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9E39F7">
      <w:rPr>
        <w:b/>
        <w:noProof/>
        <w:color w:val="000000"/>
        <w:sz w:val="24"/>
        <w:szCs w:val="24"/>
      </w:rPr>
      <w:t>25</w:t>
    </w:r>
    <w:r>
      <w:rPr>
        <w:b/>
        <w:color w:val="000000"/>
        <w:sz w:val="24"/>
        <w:szCs w:val="24"/>
      </w:rPr>
      <w:fldChar w:fldCharType="end"/>
    </w:r>
  </w:p>
  <w:p w14:paraId="6370FD40" w14:textId="77777777" w:rsidR="008A759D" w:rsidRDefault="008A759D">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04AE6" w14:textId="77777777" w:rsidR="008A759D" w:rsidRDefault="000C015A">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9E39F7">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9E39F7">
      <w:rPr>
        <w:b/>
        <w:noProof/>
        <w:color w:val="000000"/>
        <w:sz w:val="24"/>
        <w:szCs w:val="24"/>
      </w:rPr>
      <w:t>25</w:t>
    </w:r>
    <w:r>
      <w:rPr>
        <w:b/>
        <w:color w:val="000000"/>
        <w:sz w:val="24"/>
        <w:szCs w:val="24"/>
      </w:rPr>
      <w:fldChar w:fldCharType="end"/>
    </w:r>
  </w:p>
  <w:p w14:paraId="75361E43" w14:textId="77777777" w:rsidR="008A759D" w:rsidRDefault="008A759D">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A62918" w14:textId="77777777" w:rsidR="00D217F9" w:rsidRDefault="00D217F9">
      <w:pPr>
        <w:spacing w:after="0" w:line="240" w:lineRule="auto"/>
      </w:pPr>
      <w:r>
        <w:separator/>
      </w:r>
    </w:p>
  </w:footnote>
  <w:footnote w:type="continuationSeparator" w:id="0">
    <w:p w14:paraId="63A84DE5" w14:textId="77777777" w:rsidR="00D217F9" w:rsidRDefault="00D217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9CD30" w14:textId="77777777" w:rsidR="008A759D" w:rsidRDefault="008A759D">
    <w:pPr>
      <w:widowControl w:val="0"/>
      <w:pBdr>
        <w:top w:val="nil"/>
        <w:left w:val="nil"/>
        <w:bottom w:val="nil"/>
        <w:right w:val="nil"/>
        <w:between w:val="nil"/>
      </w:pBdr>
      <w:spacing w:after="0" w:line="276" w:lineRule="auto"/>
      <w:jc w:val="left"/>
      <w:rPr>
        <w:color w:val="FF0000"/>
      </w:rPr>
    </w:pPr>
  </w:p>
  <w:tbl>
    <w:tblPr>
      <w:tblStyle w:val="a"/>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8A759D" w14:paraId="3E590220" w14:textId="77777777">
      <w:trPr>
        <w:trHeight w:val="132"/>
      </w:trPr>
      <w:tc>
        <w:tcPr>
          <w:tcW w:w="2691" w:type="dxa"/>
        </w:tcPr>
        <w:p w14:paraId="1B319045" w14:textId="77777777" w:rsidR="008A759D" w:rsidRDefault="000C015A">
          <w:pPr>
            <w:tabs>
              <w:tab w:val="right" w:pos="8838"/>
            </w:tabs>
            <w:ind w:right="-105"/>
            <w:rPr>
              <w:b/>
            </w:rPr>
          </w:pPr>
          <w:r>
            <w:rPr>
              <w:b/>
            </w:rPr>
            <w:t>Recurso de Revisión:</w:t>
          </w:r>
        </w:p>
      </w:tc>
      <w:tc>
        <w:tcPr>
          <w:tcW w:w="3405" w:type="dxa"/>
        </w:tcPr>
        <w:p w14:paraId="577854C6" w14:textId="77777777" w:rsidR="008A759D" w:rsidRDefault="000C015A">
          <w:pPr>
            <w:tabs>
              <w:tab w:val="right" w:pos="8838"/>
            </w:tabs>
            <w:ind w:left="-28" w:right="-32"/>
          </w:pPr>
          <w:r>
            <w:t>03846/INFOEM/IP/RR/2020</w:t>
          </w:r>
        </w:p>
      </w:tc>
    </w:tr>
    <w:tr w:rsidR="008A759D" w14:paraId="16835FD8" w14:textId="77777777">
      <w:trPr>
        <w:trHeight w:val="261"/>
      </w:trPr>
      <w:tc>
        <w:tcPr>
          <w:tcW w:w="2691" w:type="dxa"/>
        </w:tcPr>
        <w:p w14:paraId="77B3696D" w14:textId="77777777" w:rsidR="008A759D" w:rsidRDefault="000C015A">
          <w:pPr>
            <w:tabs>
              <w:tab w:val="right" w:pos="8838"/>
            </w:tabs>
            <w:ind w:right="-105"/>
            <w:rPr>
              <w:b/>
            </w:rPr>
          </w:pPr>
          <w:r>
            <w:rPr>
              <w:b/>
            </w:rPr>
            <w:t>Sujeto Obligado:</w:t>
          </w:r>
        </w:p>
      </w:tc>
      <w:tc>
        <w:tcPr>
          <w:tcW w:w="3405" w:type="dxa"/>
        </w:tcPr>
        <w:p w14:paraId="38E078B4" w14:textId="77777777" w:rsidR="008A759D" w:rsidRDefault="000C015A">
          <w:pPr>
            <w:tabs>
              <w:tab w:val="right" w:pos="8838"/>
            </w:tabs>
            <w:ind w:right="-32"/>
          </w:pPr>
          <w:r>
            <w:t>Ayuntamiento de Temascalcingo</w:t>
          </w:r>
        </w:p>
      </w:tc>
    </w:tr>
    <w:tr w:rsidR="008A759D" w14:paraId="22D5CCEF" w14:textId="77777777">
      <w:trPr>
        <w:trHeight w:val="261"/>
      </w:trPr>
      <w:tc>
        <w:tcPr>
          <w:tcW w:w="2691" w:type="dxa"/>
        </w:tcPr>
        <w:p w14:paraId="49009BC3" w14:textId="77777777" w:rsidR="008A759D" w:rsidRDefault="000C015A">
          <w:pPr>
            <w:tabs>
              <w:tab w:val="right" w:pos="8838"/>
            </w:tabs>
            <w:ind w:right="-105"/>
            <w:rPr>
              <w:b/>
            </w:rPr>
          </w:pPr>
          <w:r>
            <w:rPr>
              <w:b/>
            </w:rPr>
            <w:t>Comisionado Ponente:</w:t>
          </w:r>
        </w:p>
      </w:tc>
      <w:tc>
        <w:tcPr>
          <w:tcW w:w="3405" w:type="dxa"/>
        </w:tcPr>
        <w:p w14:paraId="37646DD1" w14:textId="77777777" w:rsidR="008A759D" w:rsidRDefault="000C015A">
          <w:pPr>
            <w:tabs>
              <w:tab w:val="right" w:pos="8838"/>
            </w:tabs>
            <w:ind w:right="-32"/>
            <w:rPr>
              <w:b/>
            </w:rPr>
          </w:pPr>
          <w:r>
            <w:t>Luis Gustavo Parra Noriega</w:t>
          </w:r>
        </w:p>
      </w:tc>
    </w:tr>
  </w:tbl>
  <w:p w14:paraId="7F23B6C6" w14:textId="77777777" w:rsidR="008A759D" w:rsidRDefault="00000000">
    <w:pPr>
      <w:pBdr>
        <w:top w:val="nil"/>
        <w:left w:val="nil"/>
        <w:bottom w:val="nil"/>
        <w:right w:val="nil"/>
        <w:between w:val="nil"/>
      </w:pBdr>
      <w:tabs>
        <w:tab w:val="center" w:pos="4419"/>
        <w:tab w:val="right" w:pos="8838"/>
      </w:tabs>
      <w:spacing w:after="0" w:line="240" w:lineRule="auto"/>
      <w:rPr>
        <w:color w:val="000000"/>
      </w:rPr>
    </w:pPr>
    <w:r>
      <w:rPr>
        <w:color w:val="000000"/>
      </w:rPr>
      <w:pict w14:anchorId="6E91CB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D59AE" w14:textId="77777777" w:rsidR="008A759D" w:rsidRDefault="008A759D">
    <w:pPr>
      <w:widowControl w:val="0"/>
      <w:pBdr>
        <w:top w:val="nil"/>
        <w:left w:val="nil"/>
        <w:bottom w:val="nil"/>
        <w:right w:val="nil"/>
        <w:between w:val="nil"/>
      </w:pBdr>
      <w:spacing w:after="0" w:line="276" w:lineRule="auto"/>
      <w:jc w:val="left"/>
      <w:rPr>
        <w:color w:val="000000"/>
      </w:rPr>
    </w:pPr>
  </w:p>
  <w:tbl>
    <w:tblPr>
      <w:tblStyle w:val="a0"/>
      <w:tblW w:w="5835" w:type="dxa"/>
      <w:tblInd w:w="3084" w:type="dxa"/>
      <w:tblBorders>
        <w:top w:val="nil"/>
        <w:left w:val="nil"/>
        <w:bottom w:val="nil"/>
        <w:right w:val="nil"/>
        <w:insideH w:val="nil"/>
        <w:insideV w:val="nil"/>
      </w:tblBorders>
      <w:tblLayout w:type="fixed"/>
      <w:tblLook w:val="0400" w:firstRow="0" w:lastRow="0" w:firstColumn="0" w:lastColumn="0" w:noHBand="0" w:noVBand="1"/>
    </w:tblPr>
    <w:tblGrid>
      <w:gridCol w:w="2764"/>
      <w:gridCol w:w="3071"/>
    </w:tblGrid>
    <w:tr w:rsidR="008A759D" w14:paraId="1AD4F0A1" w14:textId="77777777">
      <w:trPr>
        <w:trHeight w:val="181"/>
      </w:trPr>
      <w:tc>
        <w:tcPr>
          <w:tcW w:w="2764" w:type="dxa"/>
          <w:vAlign w:val="center"/>
        </w:tcPr>
        <w:p w14:paraId="400641AD" w14:textId="77777777" w:rsidR="008A759D" w:rsidRDefault="000C015A">
          <w:pPr>
            <w:tabs>
              <w:tab w:val="right" w:pos="8838"/>
            </w:tabs>
            <w:ind w:right="-105"/>
            <w:jc w:val="left"/>
            <w:rPr>
              <w:b/>
            </w:rPr>
          </w:pPr>
          <w:r>
            <w:rPr>
              <w:b/>
            </w:rPr>
            <w:t>Recurso de Revisión:</w:t>
          </w:r>
        </w:p>
      </w:tc>
      <w:tc>
        <w:tcPr>
          <w:tcW w:w="3072" w:type="dxa"/>
        </w:tcPr>
        <w:p w14:paraId="4B125F0A" w14:textId="77777777" w:rsidR="008A759D" w:rsidRDefault="000C015A">
          <w:pPr>
            <w:tabs>
              <w:tab w:val="right" w:pos="8838"/>
            </w:tabs>
            <w:ind w:left="-113" w:right="57"/>
          </w:pPr>
          <w:r>
            <w:t>07921/INFOEM/IP/RR/2025 y acumulado</w:t>
          </w:r>
        </w:p>
      </w:tc>
    </w:tr>
    <w:tr w:rsidR="008A759D" w14:paraId="037F58A9" w14:textId="77777777">
      <w:trPr>
        <w:trHeight w:val="358"/>
      </w:trPr>
      <w:tc>
        <w:tcPr>
          <w:tcW w:w="2764" w:type="dxa"/>
        </w:tcPr>
        <w:p w14:paraId="76201CD6" w14:textId="77777777" w:rsidR="008A759D" w:rsidRDefault="000C015A">
          <w:pPr>
            <w:tabs>
              <w:tab w:val="right" w:pos="8838"/>
            </w:tabs>
            <w:ind w:right="-105"/>
            <w:rPr>
              <w:b/>
            </w:rPr>
          </w:pPr>
          <w:r>
            <w:rPr>
              <w:b/>
            </w:rPr>
            <w:t>Sujeto Obligado:</w:t>
          </w:r>
        </w:p>
      </w:tc>
      <w:tc>
        <w:tcPr>
          <w:tcW w:w="3072" w:type="dxa"/>
        </w:tcPr>
        <w:p w14:paraId="48FF4177" w14:textId="77777777" w:rsidR="008A759D" w:rsidRDefault="000C015A">
          <w:pPr>
            <w:tabs>
              <w:tab w:val="left" w:pos="2728"/>
              <w:tab w:val="right" w:pos="8838"/>
            </w:tabs>
            <w:ind w:left="-113" w:right="-170"/>
          </w:pPr>
          <w:r>
            <w:t>Ayuntamiento de Otzolotepec</w:t>
          </w:r>
        </w:p>
      </w:tc>
    </w:tr>
    <w:tr w:rsidR="008A759D" w14:paraId="10026A05" w14:textId="77777777">
      <w:trPr>
        <w:trHeight w:val="358"/>
      </w:trPr>
      <w:tc>
        <w:tcPr>
          <w:tcW w:w="2764" w:type="dxa"/>
        </w:tcPr>
        <w:p w14:paraId="47790A7C" w14:textId="77777777" w:rsidR="008A759D" w:rsidRDefault="000C015A">
          <w:pPr>
            <w:tabs>
              <w:tab w:val="right" w:pos="8838"/>
            </w:tabs>
            <w:ind w:right="-105"/>
            <w:rPr>
              <w:b/>
            </w:rPr>
          </w:pPr>
          <w:r>
            <w:rPr>
              <w:b/>
            </w:rPr>
            <w:t>Comisionado Ponente:</w:t>
          </w:r>
        </w:p>
      </w:tc>
      <w:tc>
        <w:tcPr>
          <w:tcW w:w="3072" w:type="dxa"/>
        </w:tcPr>
        <w:p w14:paraId="09940EA4" w14:textId="77777777" w:rsidR="008A759D" w:rsidRDefault="000C015A">
          <w:pPr>
            <w:tabs>
              <w:tab w:val="right" w:pos="8838"/>
            </w:tabs>
            <w:ind w:left="-113" w:right="-170"/>
            <w:rPr>
              <w:b/>
            </w:rPr>
          </w:pPr>
          <w:r>
            <w:t>Luis Gustavo Parra Noriega</w:t>
          </w:r>
        </w:p>
      </w:tc>
    </w:tr>
  </w:tbl>
  <w:p w14:paraId="47A9FD62" w14:textId="77777777" w:rsidR="008A759D" w:rsidRDefault="00000000">
    <w:pPr>
      <w:pBdr>
        <w:top w:val="nil"/>
        <w:left w:val="nil"/>
        <w:bottom w:val="nil"/>
        <w:right w:val="nil"/>
        <w:between w:val="nil"/>
      </w:pBdr>
      <w:tabs>
        <w:tab w:val="center" w:pos="4419"/>
        <w:tab w:val="right" w:pos="8838"/>
      </w:tabs>
      <w:spacing w:after="0" w:line="240" w:lineRule="auto"/>
      <w:rPr>
        <w:color w:val="000000"/>
      </w:rPr>
    </w:pPr>
    <w:r>
      <w:rPr>
        <w:color w:val="000000"/>
      </w:rPr>
      <w:pict w14:anchorId="6A34A9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7" type="#_x0000_t75" alt="MARCA DE AGUA - HOJA RESOLUCIÓN" style="position:absolute;left:0;text-align:left;margin-left:-90.6pt;margin-top:-122.05pt;width:663.5pt;height:12in;z-index:-251659776;mso-position-horizontal:absolute;mso-position-horizontal-relative:margin;mso-position-vertical:absolute;mso-position-vertical-relative:margin">
          <v:imagedata r:id="rId1" o:title="image3"/>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942C3" w14:textId="77777777" w:rsidR="008A759D" w:rsidRDefault="008A759D">
    <w:pPr>
      <w:widowControl w:val="0"/>
      <w:pBdr>
        <w:top w:val="nil"/>
        <w:left w:val="nil"/>
        <w:bottom w:val="nil"/>
        <w:right w:val="nil"/>
        <w:between w:val="nil"/>
      </w:pBdr>
      <w:spacing w:after="0" w:line="276" w:lineRule="auto"/>
      <w:jc w:val="left"/>
      <w:rPr>
        <w:color w:val="000000"/>
      </w:rPr>
    </w:pPr>
  </w:p>
  <w:tbl>
    <w:tblPr>
      <w:tblStyle w:val="a1"/>
      <w:tblW w:w="5316"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53"/>
      <w:gridCol w:w="2863"/>
    </w:tblGrid>
    <w:tr w:rsidR="008A759D" w14:paraId="7843B2B7" w14:textId="77777777">
      <w:trPr>
        <w:trHeight w:val="172"/>
      </w:trPr>
      <w:tc>
        <w:tcPr>
          <w:tcW w:w="2453" w:type="dxa"/>
        </w:tcPr>
        <w:p w14:paraId="6BF2E5A4" w14:textId="77777777" w:rsidR="008A759D" w:rsidRDefault="000C015A">
          <w:pPr>
            <w:tabs>
              <w:tab w:val="right" w:pos="8838"/>
            </w:tabs>
            <w:ind w:right="-105"/>
            <w:rPr>
              <w:b/>
            </w:rPr>
          </w:pPr>
          <w:r>
            <w:rPr>
              <w:b/>
            </w:rPr>
            <w:t>Recurso de Revisión:</w:t>
          </w:r>
        </w:p>
      </w:tc>
      <w:tc>
        <w:tcPr>
          <w:tcW w:w="2863" w:type="dxa"/>
        </w:tcPr>
        <w:p w14:paraId="6060AFC3" w14:textId="77777777" w:rsidR="008A759D" w:rsidRDefault="000C015A">
          <w:pPr>
            <w:tabs>
              <w:tab w:val="right" w:pos="8838"/>
            </w:tabs>
            <w:ind w:left="-113" w:right="-32"/>
          </w:pPr>
          <w:r>
            <w:t>07921/INFOEM/IP/RR/2025 y acumulado</w:t>
          </w:r>
        </w:p>
      </w:tc>
    </w:tr>
    <w:tr w:rsidR="008A759D" w14:paraId="7D37EB47" w14:textId="77777777">
      <w:trPr>
        <w:trHeight w:val="172"/>
      </w:trPr>
      <w:tc>
        <w:tcPr>
          <w:tcW w:w="2453" w:type="dxa"/>
        </w:tcPr>
        <w:p w14:paraId="582BFF61" w14:textId="77777777" w:rsidR="008A759D" w:rsidRDefault="000C015A">
          <w:pPr>
            <w:tabs>
              <w:tab w:val="left" w:pos="1875"/>
            </w:tabs>
            <w:ind w:right="-105"/>
            <w:rPr>
              <w:b/>
            </w:rPr>
          </w:pPr>
          <w:r>
            <w:rPr>
              <w:b/>
            </w:rPr>
            <w:t>Recurrente:</w:t>
          </w:r>
          <w:r>
            <w:rPr>
              <w:b/>
            </w:rPr>
            <w:tab/>
          </w:r>
        </w:p>
      </w:tc>
      <w:tc>
        <w:tcPr>
          <w:tcW w:w="2863" w:type="dxa"/>
        </w:tcPr>
        <w:p w14:paraId="2AF11178" w14:textId="77777777" w:rsidR="008A759D" w:rsidRDefault="008A759D">
          <w:pPr>
            <w:tabs>
              <w:tab w:val="right" w:pos="8838"/>
            </w:tabs>
            <w:ind w:left="-107"/>
          </w:pPr>
        </w:p>
      </w:tc>
    </w:tr>
    <w:tr w:rsidR="008A759D" w14:paraId="448F10FC" w14:textId="77777777">
      <w:trPr>
        <w:trHeight w:val="339"/>
      </w:trPr>
      <w:tc>
        <w:tcPr>
          <w:tcW w:w="2453" w:type="dxa"/>
        </w:tcPr>
        <w:p w14:paraId="6549F5F5" w14:textId="77777777" w:rsidR="008A759D" w:rsidRDefault="000C015A">
          <w:pPr>
            <w:tabs>
              <w:tab w:val="right" w:pos="8838"/>
            </w:tabs>
            <w:ind w:right="-105"/>
            <w:rPr>
              <w:b/>
            </w:rPr>
          </w:pPr>
          <w:r>
            <w:rPr>
              <w:b/>
            </w:rPr>
            <w:t>Sujeto Obligado:</w:t>
          </w:r>
        </w:p>
      </w:tc>
      <w:tc>
        <w:tcPr>
          <w:tcW w:w="2863" w:type="dxa"/>
        </w:tcPr>
        <w:p w14:paraId="616D98E2" w14:textId="77777777" w:rsidR="008A759D" w:rsidRDefault="000C015A">
          <w:pPr>
            <w:tabs>
              <w:tab w:val="right" w:pos="8838"/>
            </w:tabs>
            <w:ind w:left="-113" w:right="-32"/>
          </w:pPr>
          <w:r>
            <w:t>Ayuntamiento de Otzolotepec</w:t>
          </w:r>
        </w:p>
      </w:tc>
    </w:tr>
    <w:tr w:rsidR="008A759D" w14:paraId="16855CBB" w14:textId="77777777">
      <w:trPr>
        <w:trHeight w:val="339"/>
      </w:trPr>
      <w:tc>
        <w:tcPr>
          <w:tcW w:w="2453" w:type="dxa"/>
        </w:tcPr>
        <w:p w14:paraId="3F8B6931" w14:textId="77777777" w:rsidR="008A759D" w:rsidRDefault="000C015A">
          <w:pPr>
            <w:tabs>
              <w:tab w:val="right" w:pos="8838"/>
            </w:tabs>
            <w:ind w:right="-105"/>
            <w:rPr>
              <w:b/>
            </w:rPr>
          </w:pPr>
          <w:r>
            <w:rPr>
              <w:b/>
            </w:rPr>
            <w:t>Comisionado Ponente:</w:t>
          </w:r>
        </w:p>
      </w:tc>
      <w:tc>
        <w:tcPr>
          <w:tcW w:w="2863" w:type="dxa"/>
        </w:tcPr>
        <w:p w14:paraId="624F47E1" w14:textId="77777777" w:rsidR="008A759D" w:rsidRDefault="000C015A">
          <w:pPr>
            <w:tabs>
              <w:tab w:val="right" w:pos="8838"/>
            </w:tabs>
            <w:ind w:left="-113" w:right="-32"/>
            <w:rPr>
              <w:b/>
            </w:rPr>
          </w:pPr>
          <w:r>
            <w:t>Luis Gustavo Parra Noriega</w:t>
          </w:r>
        </w:p>
      </w:tc>
    </w:tr>
  </w:tbl>
  <w:p w14:paraId="15432B2F" w14:textId="77777777" w:rsidR="008A759D" w:rsidRDefault="00000000">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w14:anchorId="014801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MARCA DE AGUA - HOJA RESOLUCIÓN" style="position:absolute;left:0;text-align:left;margin-left:-89.1pt;margin-top:-123.5pt;width:663.5pt;height:12in;z-index:-251658752;mso-position-horizontal:absolute;mso-position-horizontal-relative:margin;mso-position-vertical:absolute;mso-position-vertical-relative:margin">
          <v:imagedata r:id="rId1" o:title="image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0077B7"/>
    <w:multiLevelType w:val="multilevel"/>
    <w:tmpl w:val="F7786D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DF27589"/>
    <w:multiLevelType w:val="multilevel"/>
    <w:tmpl w:val="C2B899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86402421">
    <w:abstractNumId w:val="1"/>
  </w:num>
  <w:num w:numId="2" w16cid:durableId="10311456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759D"/>
    <w:rsid w:val="000C015A"/>
    <w:rsid w:val="0010326E"/>
    <w:rsid w:val="00533386"/>
    <w:rsid w:val="00536037"/>
    <w:rsid w:val="008A759D"/>
    <w:rsid w:val="009E39F7"/>
    <w:rsid w:val="00C17E86"/>
    <w:rsid w:val="00D217F9"/>
    <w:rsid w:val="00F1163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C07D44"/>
  <w15:docId w15:val="{9B93B9D9-CD37-4770-BC20-26F4D9519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rFonts w:ascii="Calibri" w:eastAsia="Calibri" w:hAnsi="Calibri" w:cs="Calibri"/>
      <w:color w:val="2F5496"/>
      <w:sz w:val="32"/>
      <w:szCs w:val="32"/>
    </w:rPr>
  </w:style>
  <w:style w:type="paragraph" w:styleId="Ttulo2">
    <w:name w:val="heading 2"/>
    <w:basedOn w:val="Normal"/>
    <w:next w:val="Normal"/>
    <w:uiPriority w:val="9"/>
    <w:unhideWhenUsed/>
    <w:qFormat/>
    <w:pPr>
      <w:keepNext/>
      <w:keepLines/>
      <w:spacing w:before="40" w:after="0"/>
      <w:outlineLvl w:val="1"/>
    </w:pPr>
    <w:rPr>
      <w:rFonts w:ascii="Calibri" w:eastAsia="Calibri" w:hAnsi="Calibri" w:cs="Calibri"/>
      <w:color w:val="2F5496"/>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DB3DC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3DC5"/>
    <w:rPr>
      <w:rFonts w:ascii="Palatino Linotype" w:hAnsi="Palatino Linotype"/>
      <w:color w:val="000000" w:themeColor="text1"/>
      <w:kern w:val="0"/>
    </w:rPr>
  </w:style>
  <w:style w:type="paragraph" w:styleId="Piedepgina">
    <w:name w:val="footer"/>
    <w:basedOn w:val="Normal"/>
    <w:link w:val="PiedepginaCar"/>
    <w:uiPriority w:val="99"/>
    <w:unhideWhenUsed/>
    <w:rsid w:val="00DB3DC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3DC5"/>
    <w:rPr>
      <w:rFonts w:ascii="Palatino Linotype" w:hAnsi="Palatino Linotype"/>
      <w:color w:val="000000" w:themeColor="text1"/>
      <w:kern w:val="0"/>
    </w:rPr>
  </w:style>
  <w:style w:type="table" w:styleId="Tablaconcuadrcula">
    <w:name w:val="Table Grid"/>
    <w:basedOn w:val="Tablanormal"/>
    <w:uiPriority w:val="59"/>
    <w:qFormat/>
    <w:rsid w:val="00DB3DC5"/>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B3DC5"/>
    <w:rPr>
      <w:rFonts w:ascii="Times New Roman" w:hAnsi="Times New Roman" w:cs="Times New Roman"/>
      <w:sz w:val="24"/>
      <w:szCs w:val="24"/>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B3DC5"/>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DB3DC5"/>
    <w:rPr>
      <w:rFonts w:ascii="Palatino Linotype" w:hAnsi="Palatino Linotype"/>
      <w:color w:val="000000" w:themeColor="text1"/>
      <w:kern w:val="0"/>
    </w:rPr>
  </w:style>
  <w:style w:type="character" w:styleId="Hipervnculo">
    <w:name w:val="Hyperlink"/>
    <w:aliases w:val="Hipervínculo1,Hipervínculo11,Hipervínculo12,Hipervínculo13,Hipervínculo14,Hipervínculo15"/>
    <w:basedOn w:val="Fuentedeprrafopredeter"/>
    <w:uiPriority w:val="99"/>
    <w:unhideWhenUsed/>
    <w:qFormat/>
    <w:rsid w:val="004500E2"/>
    <w:rPr>
      <w:color w:val="0563C1" w:themeColor="hyperlink"/>
      <w:u w:val="single"/>
    </w:rPr>
  </w:style>
  <w:style w:type="character" w:customStyle="1" w:styleId="Mencinsinresolver1">
    <w:name w:val="Mención sin resolver1"/>
    <w:basedOn w:val="Fuentedeprrafopredeter"/>
    <w:uiPriority w:val="99"/>
    <w:semiHidden/>
    <w:unhideWhenUsed/>
    <w:rsid w:val="004500E2"/>
    <w:rPr>
      <w:color w:val="605E5C"/>
      <w:shd w:val="clear" w:color="auto" w:fill="E1DFDD"/>
    </w:rPr>
  </w:style>
  <w:style w:type="character" w:styleId="Hipervnculovisitado">
    <w:name w:val="FollowedHyperlink"/>
    <w:basedOn w:val="Fuentedeprrafopredeter"/>
    <w:uiPriority w:val="99"/>
    <w:semiHidden/>
    <w:unhideWhenUsed/>
    <w:rsid w:val="00254F36"/>
    <w:rPr>
      <w:color w:val="954F72" w:themeColor="followedHyperlink"/>
      <w:u w:val="single"/>
    </w:rPr>
  </w:style>
  <w:style w:type="table" w:customStyle="1" w:styleId="Tablaconcuadrcula3">
    <w:name w:val="Tabla con cuadrícula3"/>
    <w:basedOn w:val="Tablanormal"/>
    <w:next w:val="Tablaconcuadrcula"/>
    <w:uiPriority w:val="59"/>
    <w:rsid w:val="00837B92"/>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uiPriority w:val="9"/>
    <w:rsid w:val="00076681"/>
    <w:rPr>
      <w:rFonts w:asciiTheme="majorHAnsi" w:eastAsiaTheme="majorEastAsia" w:hAnsiTheme="majorHAnsi" w:cstheme="majorBidi"/>
      <w:color w:val="2F5496" w:themeColor="accent1" w:themeShade="BF"/>
      <w:kern w:val="0"/>
      <w:sz w:val="32"/>
      <w:szCs w:val="32"/>
    </w:rPr>
  </w:style>
  <w:style w:type="paragraph" w:styleId="TtuloTDC">
    <w:name w:val="TOC Heading"/>
    <w:next w:val="Normal"/>
    <w:uiPriority w:val="39"/>
    <w:unhideWhenUsed/>
    <w:qFormat/>
    <w:rsid w:val="00076681"/>
    <w:pPr>
      <w:jc w:val="left"/>
    </w:pPr>
  </w:style>
  <w:style w:type="paragraph" w:styleId="TDC1">
    <w:name w:val="toc 1"/>
    <w:basedOn w:val="Normal"/>
    <w:next w:val="Normal"/>
    <w:autoRedefine/>
    <w:uiPriority w:val="39"/>
    <w:unhideWhenUsed/>
    <w:rsid w:val="00076681"/>
    <w:pPr>
      <w:tabs>
        <w:tab w:val="right" w:leader="dot" w:pos="9072"/>
      </w:tabs>
      <w:spacing w:after="100" w:line="360" w:lineRule="auto"/>
    </w:pPr>
    <w:rPr>
      <w:rFonts w:ascii="Times New Roman" w:eastAsia="Times New Roman" w:hAnsi="Times New Roman" w:cs="Times New Roman"/>
      <w:sz w:val="20"/>
      <w:szCs w:val="20"/>
      <w:lang w:eastAsia="es-ES"/>
    </w:rPr>
  </w:style>
  <w:style w:type="paragraph" w:styleId="TDC2">
    <w:name w:val="toc 2"/>
    <w:basedOn w:val="Normal"/>
    <w:next w:val="Normal"/>
    <w:autoRedefine/>
    <w:uiPriority w:val="39"/>
    <w:unhideWhenUsed/>
    <w:rsid w:val="00076681"/>
    <w:pPr>
      <w:spacing w:after="100" w:line="240" w:lineRule="auto"/>
      <w:ind w:left="200"/>
      <w:jc w:val="left"/>
    </w:pPr>
    <w:rPr>
      <w:rFonts w:ascii="Times New Roman" w:eastAsia="Times New Roman" w:hAnsi="Times New Roman" w:cs="Times New Roman"/>
      <w:sz w:val="20"/>
      <w:szCs w:val="20"/>
      <w:lang w:eastAsia="es-ES"/>
    </w:rPr>
  </w:style>
  <w:style w:type="character" w:customStyle="1" w:styleId="Ttulo2Car">
    <w:name w:val="Título 2 Car"/>
    <w:basedOn w:val="Fuentedeprrafopredeter"/>
    <w:uiPriority w:val="9"/>
    <w:rsid w:val="00076681"/>
    <w:rPr>
      <w:rFonts w:asciiTheme="majorHAnsi" w:eastAsiaTheme="majorEastAsia" w:hAnsiTheme="majorHAnsi" w:cstheme="majorBidi"/>
      <w:color w:val="2F5496" w:themeColor="accent1" w:themeShade="BF"/>
      <w:kern w:val="0"/>
      <w:sz w:val="26"/>
      <w:szCs w:val="26"/>
    </w:rPr>
  </w:style>
  <w:style w:type="character" w:customStyle="1" w:styleId="Mencinsinresolver2">
    <w:name w:val="Mención sin resolver2"/>
    <w:basedOn w:val="Fuentedeprrafopredeter"/>
    <w:uiPriority w:val="99"/>
    <w:semiHidden/>
    <w:unhideWhenUsed/>
    <w:rsid w:val="00B417C3"/>
    <w:rPr>
      <w:color w:val="605E5C"/>
      <w:shd w:val="clear" w:color="auto" w:fill="E1DFDD"/>
    </w:rPr>
  </w:style>
  <w:style w:type="character" w:customStyle="1" w:styleId="Mencinsinresolver3">
    <w:name w:val="Mención sin resolver3"/>
    <w:basedOn w:val="Fuentedeprrafopredeter"/>
    <w:uiPriority w:val="99"/>
    <w:semiHidden/>
    <w:unhideWhenUsed/>
    <w:rsid w:val="009A627C"/>
    <w:rPr>
      <w:color w:val="605E5C"/>
      <w:shd w:val="clear" w:color="auto" w:fill="E1DFDD"/>
    </w:rPr>
  </w:style>
  <w:style w:type="character" w:customStyle="1" w:styleId="Mencinsinresolver4">
    <w:name w:val="Mención sin resolver4"/>
    <w:basedOn w:val="Fuentedeprrafopredeter"/>
    <w:uiPriority w:val="99"/>
    <w:semiHidden/>
    <w:unhideWhenUsed/>
    <w:rsid w:val="00655864"/>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5x0NzWzdepsk3C+9PmNPIyL42g==">CgMxLjAyDWguenJkYmY0b2Z5ZXYyDmguanB2M2tjdXEzdGVrMg5oLmozanNrMDM2aGM2cTIOaC5ud3duNG5jdW51dHUyDmgueXRzdnBpY3cwdWEzMg5oLjlnaTcxdXRvZ3hhYTIOaC5wODNieDN6YzFkZ2oyDmguanNqc2I5cHlnbGN0Mg5oLm1yOTR5Y2wxeXB1dzIOaC50Z3U0OXprOWFoaXMyDmguZzRyMmV3Ym41dWpxMg5oLmV2YWZjY3lpcGQwczIOaC5qdmp4a2xyODhhMGUyDmgueWwwMmRpcDMwcDhtMg5oLmpxeHI2NDliM2Q1bzINaC5vODZqdDk3eGo3NDIOaC5xdmtlMWJiNTZoMTQyDmguYTBlZ2M0ZGJrc3Q0Mg5oLm5zb2NxanV6bHliZDgAciExUUpac3lGdE4xNE9mTmV2TDFhdXNhNWZYTldLd1B0RnA=</go:docsCustomData>
</go:gDocsCustomXmlDataStorage>
</file>

<file path=customXml/itemProps1.xml><?xml version="1.0" encoding="utf-8"?>
<ds:datastoreItem xmlns:ds="http://schemas.openxmlformats.org/officeDocument/2006/customXml" ds:itemID="{113B691D-47DB-45FE-AAB2-34A144A9AEE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5195</Words>
  <Characters>28576</Characters>
  <Application>Microsoft Office Word</Application>
  <DocSecurity>0</DocSecurity>
  <Lines>238</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 PEÑA VARA</dc:creator>
  <cp:lastModifiedBy>Office</cp:lastModifiedBy>
  <cp:revision>4</cp:revision>
  <cp:lastPrinted>2025-08-08T05:53:00Z</cp:lastPrinted>
  <dcterms:created xsi:type="dcterms:W3CDTF">2025-08-08T05:53:00Z</dcterms:created>
  <dcterms:modified xsi:type="dcterms:W3CDTF">2025-08-08T05:53:00Z</dcterms:modified>
</cp:coreProperties>
</file>