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F7BCA6" w14:textId="37AC54F7" w:rsidR="00045B0C" w:rsidRDefault="00045B0C" w:rsidP="00045B0C">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Pr>
          <w:rFonts w:ascii="Palatino Linotype" w:eastAsia="Times New Roman" w:hAnsi="Palatino Linotype" w:cs="Arial"/>
          <w:color w:val="000000"/>
          <w:sz w:val="24"/>
          <w:szCs w:val="24"/>
          <w:lang w:eastAsia="es-MX"/>
        </w:rPr>
        <w:t xml:space="preserve">nueve de julio de dos mil veinticinco.     </w:t>
      </w:r>
    </w:p>
    <w:p w14:paraId="7DE48F2A" w14:textId="35CF8DC7" w:rsidR="00045B0C" w:rsidRPr="00045B0C" w:rsidRDefault="00045B0C" w:rsidP="00045B0C">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w:t>
      </w:r>
      <w:bookmarkStart w:id="0" w:name="_GoBack"/>
      <w:bookmarkEnd w:id="0"/>
      <w:r w:rsidRPr="00D336C5">
        <w:rPr>
          <w:rFonts w:ascii="Palatino Linotype" w:hAnsi="Palatino Linotype" w:cs="Arial"/>
          <w:sz w:val="24"/>
        </w:rPr>
        <w:t xml:space="preserve"> electrónico formado con motivo del recurso de revisión número</w:t>
      </w:r>
      <w:r>
        <w:rPr>
          <w:rFonts w:ascii="Palatino Linotype" w:hAnsi="Palatino Linotype" w:cs="Arial"/>
          <w:sz w:val="24"/>
        </w:rPr>
        <w:t xml:space="preserve"> </w:t>
      </w:r>
      <w:r>
        <w:rPr>
          <w:rFonts w:ascii="Palatino Linotype" w:hAnsi="Palatino Linotype" w:cs="Arial"/>
          <w:b/>
          <w:bCs/>
          <w:sz w:val="24"/>
        </w:rPr>
        <w:t xml:space="preserve">07055/INFOEM/IP/RR/2025, </w:t>
      </w:r>
      <w:r>
        <w:rPr>
          <w:rFonts w:ascii="Palatino Linotype" w:hAnsi="Palatino Linotype" w:cs="Arial"/>
          <w:sz w:val="24"/>
        </w:rPr>
        <w:t xml:space="preserve">interpuesto por la </w:t>
      </w:r>
      <w:r>
        <w:rPr>
          <w:rFonts w:ascii="Palatino Linotype" w:hAnsi="Palatino Linotype" w:cs="Arial"/>
          <w:b/>
          <w:bCs/>
          <w:sz w:val="24"/>
        </w:rPr>
        <w:t xml:space="preserve">C. </w:t>
      </w:r>
      <w:proofErr w:type="spellStart"/>
      <w:r w:rsidR="006E5CD8">
        <w:rPr>
          <w:rFonts w:ascii="Palatino Linotype" w:hAnsi="Palatino Linotype" w:cs="Arial"/>
          <w:b/>
          <w:bCs/>
          <w:sz w:val="24"/>
        </w:rPr>
        <w:t>xxxxxxxxxxxxxxxxxxxxxxxxxxxx</w:t>
      </w:r>
      <w:proofErr w:type="spellEnd"/>
      <w:r>
        <w:rPr>
          <w:rFonts w:ascii="Palatino Linotype" w:hAnsi="Palatino Linotype" w:cs="Arial"/>
          <w:b/>
          <w:bCs/>
          <w:sz w:val="24"/>
        </w:rPr>
        <w:t xml:space="preserve">, </w:t>
      </w:r>
      <w:r>
        <w:rPr>
          <w:rFonts w:ascii="Palatino Linotype" w:hAnsi="Palatino Linotype" w:cs="Arial"/>
          <w:sz w:val="24"/>
        </w:rPr>
        <w:t xml:space="preserve">en lo sucesivo </w:t>
      </w:r>
      <w:r>
        <w:rPr>
          <w:rFonts w:ascii="Palatino Linotype" w:hAnsi="Palatino Linotype" w:cs="Arial"/>
          <w:b/>
          <w:bCs/>
          <w:sz w:val="24"/>
        </w:rPr>
        <w:t xml:space="preserve">La Recurrente, </w:t>
      </w:r>
      <w:r>
        <w:rPr>
          <w:rFonts w:ascii="Palatino Linotype" w:hAnsi="Palatino Linotype" w:cs="Arial"/>
          <w:sz w:val="24"/>
        </w:rPr>
        <w:t xml:space="preserve">en contra de la respuesta del </w:t>
      </w:r>
      <w:r>
        <w:rPr>
          <w:rFonts w:ascii="Palatino Linotype" w:hAnsi="Palatino Linotype" w:cs="Arial"/>
          <w:b/>
          <w:bCs/>
          <w:sz w:val="24"/>
        </w:rPr>
        <w:t xml:space="preserve">Ayuntamiento de Calimaya,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158943C6" w14:textId="77777777" w:rsidR="00045B0C" w:rsidRDefault="00045B0C" w:rsidP="00045B0C">
      <w:pPr>
        <w:tabs>
          <w:tab w:val="left" w:pos="1701"/>
        </w:tabs>
        <w:spacing w:before="240" w:line="360" w:lineRule="auto"/>
        <w:jc w:val="both"/>
        <w:rPr>
          <w:rFonts w:ascii="Palatino Linotype" w:hAnsi="Palatino Linotype" w:cs="Arial"/>
          <w:b/>
          <w:bCs/>
          <w:sz w:val="24"/>
        </w:rPr>
      </w:pPr>
    </w:p>
    <w:p w14:paraId="409FDAD8" w14:textId="77777777" w:rsidR="00045B0C" w:rsidRPr="00B9640A" w:rsidRDefault="00045B0C" w:rsidP="00045B0C">
      <w:pPr>
        <w:pStyle w:val="infoemcitas"/>
        <w:jc w:val="center"/>
        <w:rPr>
          <w:b/>
          <w:bCs/>
          <w:i w:val="0"/>
          <w:iCs/>
          <w:sz w:val="28"/>
          <w:szCs w:val="28"/>
        </w:rPr>
      </w:pPr>
      <w:r w:rsidRPr="00B9640A">
        <w:rPr>
          <w:b/>
          <w:bCs/>
          <w:i w:val="0"/>
          <w:iCs/>
          <w:sz w:val="28"/>
          <w:szCs w:val="28"/>
        </w:rPr>
        <w:t>A N T E C E D E N T E S   D E L   A S U N T O</w:t>
      </w:r>
    </w:p>
    <w:p w14:paraId="4F9B66A3" w14:textId="77777777" w:rsidR="00045B0C" w:rsidRPr="00523CF0" w:rsidRDefault="00045B0C" w:rsidP="00045B0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r w:rsidRPr="00AB6635">
        <w:rPr>
          <w:rFonts w:ascii="Palatino Linotype" w:hAnsi="Palatino Linotype" w:cs="Arial"/>
          <w:sz w:val="24"/>
        </w:rPr>
        <w:t xml:space="preserve"> </w:t>
      </w:r>
    </w:p>
    <w:p w14:paraId="3057D719" w14:textId="79327F6C" w:rsidR="00045B0C" w:rsidRDefault="00045B0C" w:rsidP="00045B0C">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7602D1">
        <w:rPr>
          <w:rFonts w:ascii="Palatino Linotype" w:hAnsi="Palatino Linotype" w:cs="Arial"/>
          <w:b/>
          <w:bCs/>
          <w:sz w:val="24"/>
        </w:rPr>
        <w:t xml:space="preserve">veintiocho de mayo de dos mil veinticinco, El Recurrente, </w:t>
      </w:r>
      <w:r w:rsidR="007602D1">
        <w:rPr>
          <w:rFonts w:ascii="Palatino Linotype" w:hAnsi="Palatino Linotype" w:cs="Arial"/>
          <w:sz w:val="24"/>
        </w:rPr>
        <w:t>presentó a través del Sistema de Acceso a la Información Mexiquense (</w:t>
      </w:r>
      <w:r w:rsidR="007602D1">
        <w:rPr>
          <w:rFonts w:ascii="Palatino Linotype" w:hAnsi="Palatino Linotype" w:cs="Arial"/>
          <w:b/>
          <w:sz w:val="24"/>
        </w:rPr>
        <w:t>SAIMEX)</w:t>
      </w:r>
      <w:r w:rsidR="007602D1">
        <w:rPr>
          <w:rFonts w:ascii="Palatino Linotype" w:hAnsi="Palatino Linotype" w:cs="Arial"/>
          <w:sz w:val="24"/>
        </w:rPr>
        <w:t xml:space="preserve"> ante </w:t>
      </w:r>
      <w:r w:rsidR="007602D1">
        <w:rPr>
          <w:rFonts w:ascii="Palatino Linotype" w:hAnsi="Palatino Linotype" w:cs="Arial"/>
          <w:b/>
          <w:sz w:val="24"/>
        </w:rPr>
        <w:t>El Sujeto Obligado</w:t>
      </w:r>
      <w:r w:rsidR="007602D1">
        <w:rPr>
          <w:rFonts w:ascii="Palatino Linotype" w:hAnsi="Palatino Linotype" w:cs="Arial"/>
          <w:sz w:val="24"/>
        </w:rPr>
        <w:t xml:space="preserve">, solicitud de acceso a la información pública, registrada bajo el número de expediente </w:t>
      </w:r>
      <w:r w:rsidR="007602D1">
        <w:rPr>
          <w:rFonts w:ascii="Palatino Linotype" w:hAnsi="Palatino Linotype" w:cs="Arial"/>
          <w:b/>
          <w:bCs/>
          <w:sz w:val="24"/>
        </w:rPr>
        <w:t xml:space="preserve">00279/CALIMAYA/IP/2025, </w:t>
      </w:r>
      <w:r w:rsidR="007602D1">
        <w:rPr>
          <w:rFonts w:ascii="Palatino Linotype" w:hAnsi="Palatino Linotype" w:cs="Arial"/>
          <w:sz w:val="24"/>
        </w:rPr>
        <w:t>mediante la cual solicitó información en el tenor siguiente:</w:t>
      </w:r>
    </w:p>
    <w:p w14:paraId="796E17C7" w14:textId="2D9E1C3B" w:rsidR="007602D1" w:rsidRPr="007602D1" w:rsidRDefault="007602D1" w:rsidP="007602D1">
      <w:pPr>
        <w:pStyle w:val="infoem0"/>
        <w:rPr>
          <w:b/>
          <w:bCs/>
        </w:rPr>
      </w:pPr>
      <w:r>
        <w:t>“</w:t>
      </w:r>
      <w:r w:rsidRPr="007602D1">
        <w:t>Solicito la cantidad exacta del sueldo que percibe quincenalmente la titular de unidad de transparencia del periodo 2025-2027</w:t>
      </w:r>
      <w:r>
        <w:t xml:space="preserve">” </w:t>
      </w:r>
      <w:r>
        <w:rPr>
          <w:b/>
          <w:bCs/>
        </w:rPr>
        <w:t>(Sic)</w:t>
      </w:r>
    </w:p>
    <w:p w14:paraId="00C5AD36" w14:textId="77777777" w:rsidR="00045B0C" w:rsidRDefault="00045B0C" w:rsidP="00045B0C">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w:t>
      </w:r>
      <w:r>
        <w:rPr>
          <w:rFonts w:ascii="Palatino Linotype" w:eastAsia="Times New Roman" w:hAnsi="Palatino Linotype" w:cs="Times New Roman"/>
          <w:sz w:val="24"/>
          <w:szCs w:val="24"/>
          <w:lang w:val="es-ES_tradnl" w:eastAsia="es-ES"/>
        </w:rPr>
        <w:t>X</w:t>
      </w:r>
    </w:p>
    <w:p w14:paraId="3A92A91D" w14:textId="77777777" w:rsidR="00045B0C" w:rsidRDefault="00045B0C" w:rsidP="00045B0C">
      <w:pPr>
        <w:spacing w:before="240" w:line="360" w:lineRule="auto"/>
        <w:jc w:val="both"/>
        <w:rPr>
          <w:rFonts w:ascii="Palatino Linotype" w:eastAsia="Times New Roman" w:hAnsi="Palatino Linotype" w:cs="Times New Roman"/>
          <w:sz w:val="24"/>
          <w:szCs w:val="24"/>
          <w:lang w:val="es-ES_tradnl" w:eastAsia="es-ES"/>
        </w:rPr>
      </w:pPr>
    </w:p>
    <w:p w14:paraId="276E95BB" w14:textId="77777777" w:rsidR="00045B0C" w:rsidRDefault="00045B0C" w:rsidP="00045B0C">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A7BD331" w14:textId="444FBC97" w:rsidR="007602D1" w:rsidRDefault="00045B0C" w:rsidP="00045B0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se aprecia que el</w:t>
      </w:r>
      <w:r w:rsidR="007602D1">
        <w:rPr>
          <w:rFonts w:ascii="Palatino Linotype" w:hAnsi="Palatino Linotype" w:cs="Arial"/>
          <w:sz w:val="24"/>
          <w:szCs w:val="24"/>
        </w:rPr>
        <w:t xml:space="preserve"> </w:t>
      </w:r>
      <w:r w:rsidR="007602D1">
        <w:rPr>
          <w:rFonts w:ascii="Palatino Linotype" w:hAnsi="Palatino Linotype" w:cs="Arial"/>
          <w:b/>
          <w:bCs/>
          <w:sz w:val="24"/>
          <w:szCs w:val="24"/>
        </w:rPr>
        <w:t xml:space="preserve">tres de junio de dos mil veinticinco, El Sujeto Obligado </w:t>
      </w:r>
      <w:r w:rsidR="007602D1">
        <w:rPr>
          <w:rFonts w:ascii="Palatino Linotype" w:hAnsi="Palatino Linotype" w:cs="Arial"/>
          <w:sz w:val="24"/>
          <w:szCs w:val="24"/>
        </w:rPr>
        <w:t>dio respuesta a la solicitud de información en los siguientes términos:</w:t>
      </w:r>
    </w:p>
    <w:p w14:paraId="00930092" w14:textId="6B81BB6B" w:rsidR="007602D1" w:rsidRDefault="007602D1" w:rsidP="007602D1">
      <w:pPr>
        <w:pStyle w:val="infoem0"/>
      </w:pPr>
      <w:r>
        <w:t>“</w:t>
      </w:r>
      <w:r w:rsidRPr="007602D1">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0215B36C" w14:textId="4CBF8785" w:rsidR="007602D1" w:rsidRPr="007602D1" w:rsidRDefault="007602D1" w:rsidP="007602D1">
      <w:pPr>
        <w:pStyle w:val="infoem0"/>
        <w:rPr>
          <w:b/>
          <w:bCs/>
        </w:rPr>
      </w:pPr>
      <w:r w:rsidRPr="007602D1">
        <w:t xml:space="preserve">ESTIMADO SOLICITANTE: EN ATENCIÓN A SU SOLICITUD DE INFORMACIÓN CON NÚMERO DE FOLIO 00279/CALIMAYA/IP/2025 POR ESTE MEDIO ME PERMITO HACER DE SU CONOCIMIENTO QUE SU SOLICITUD FUE TURNADA AL SERVIDOR PÚBLICO HABILITADO QUE A CONTINUACIÓN SE ENLISTAN,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EL OFICIO NÚMERO PMC/MT/0433/2025 (TESORERÍA MUNICIPAL), SE DIO RESPUESTA A LA SOLICITUD CON NÚMERO DE FOLIO 00279/CALIMAYA/IP/2025, SE ADJUNTA EL OFICIO DE RESPUESTA, PARA MAYOR REFERENCIA.” SIN OTRO ASUNTO, DEJANDO A SALVO SUS PRERROGATIVAS DE INCONFORMIDAD ESTABLECIDAS EN EL TÍTULO OCTAVO DE LA LEY </w:t>
      </w:r>
      <w:r w:rsidRPr="007602D1">
        <w:lastRenderedPageBreak/>
        <w:t>DE TRANSPARENCIA Y ACCESO A LA INFORMACIÓN PÚBLICA DEL ESTADO DE MÉXICO Y MUNICIPIOS, INFORMANDO QUE CUENTA, EN SU CASO, CON 15 DÍAS PARA PROMOVERLA, QUEDO DE USTED</w:t>
      </w:r>
      <w:r>
        <w:t xml:space="preserve">” </w:t>
      </w:r>
      <w:r>
        <w:rPr>
          <w:b/>
          <w:bCs/>
        </w:rPr>
        <w:t>(Sic)</w:t>
      </w:r>
    </w:p>
    <w:p w14:paraId="41ABF7CE" w14:textId="2DE950DC" w:rsidR="007602D1" w:rsidRPr="007602D1" w:rsidRDefault="00045B0C" w:rsidP="00045B0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7602D1">
        <w:rPr>
          <w:rFonts w:ascii="Palatino Linotype" w:hAnsi="Palatino Linotype" w:cs="Arial"/>
          <w:sz w:val="24"/>
          <w:szCs w:val="24"/>
        </w:rPr>
        <w:t xml:space="preserve"> el documento electrónico </w:t>
      </w:r>
      <w:r w:rsidR="007602D1">
        <w:rPr>
          <w:rFonts w:ascii="Palatino Linotype" w:hAnsi="Palatino Linotype" w:cs="Arial"/>
          <w:b/>
          <w:bCs/>
          <w:sz w:val="24"/>
          <w:szCs w:val="24"/>
        </w:rPr>
        <w:t xml:space="preserve">“oficio 279.pdf”, </w:t>
      </w:r>
      <w:r w:rsidR="007602D1">
        <w:rPr>
          <w:rFonts w:ascii="Palatino Linotype" w:hAnsi="Palatino Linotype" w:cs="Arial"/>
          <w:sz w:val="24"/>
          <w:szCs w:val="24"/>
        </w:rPr>
        <w:t xml:space="preserve">cuyo contenido será materia de análisis en el considerando respectivo. </w:t>
      </w:r>
    </w:p>
    <w:p w14:paraId="4750B328" w14:textId="77777777" w:rsidR="007602D1" w:rsidRDefault="007602D1" w:rsidP="00045B0C">
      <w:pPr>
        <w:spacing w:before="240" w:line="360" w:lineRule="auto"/>
        <w:jc w:val="both"/>
        <w:rPr>
          <w:rFonts w:ascii="Palatino Linotype" w:hAnsi="Palatino Linotype" w:cs="Arial"/>
          <w:sz w:val="24"/>
          <w:szCs w:val="24"/>
        </w:rPr>
      </w:pPr>
    </w:p>
    <w:p w14:paraId="534EF0FA" w14:textId="77777777" w:rsidR="00045B0C" w:rsidRDefault="00045B0C" w:rsidP="00045B0C">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4037F400" w14:textId="4B20DA10" w:rsidR="007602D1" w:rsidRPr="007602D1" w:rsidRDefault="00045B0C" w:rsidP="00045B0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 xml:space="preserve">interpuso recurso de revisión, en fecha </w:t>
      </w:r>
      <w:r w:rsidR="007602D1">
        <w:rPr>
          <w:rFonts w:ascii="Palatino Linotype" w:hAnsi="Palatino Linotype" w:cs="Arial"/>
          <w:b/>
          <w:bCs/>
          <w:sz w:val="24"/>
          <w:szCs w:val="24"/>
        </w:rPr>
        <w:t xml:space="preserve">doce de junio de dos mil veinticinco, </w:t>
      </w:r>
      <w:r w:rsidR="007602D1">
        <w:rPr>
          <w:rFonts w:ascii="Palatino Linotype" w:hAnsi="Palatino Linotype" w:cs="Arial"/>
          <w:sz w:val="24"/>
          <w:szCs w:val="24"/>
        </w:rPr>
        <w:t xml:space="preserve">el cual fue registrado en el sistema electrónico con el expediente </w:t>
      </w:r>
      <w:r w:rsidR="007602D1">
        <w:rPr>
          <w:rFonts w:ascii="Palatino Linotype" w:hAnsi="Palatino Linotype" w:cs="Arial"/>
          <w:b/>
          <w:bCs/>
          <w:sz w:val="24"/>
          <w:szCs w:val="24"/>
        </w:rPr>
        <w:t xml:space="preserve">07055/INFOEM/IP/RR/2025, </w:t>
      </w:r>
      <w:r w:rsidR="007602D1">
        <w:rPr>
          <w:rFonts w:ascii="Palatino Linotype" w:hAnsi="Palatino Linotype" w:cs="Arial"/>
          <w:sz w:val="24"/>
          <w:szCs w:val="24"/>
        </w:rPr>
        <w:t xml:space="preserve">en el cual arguye las siguientes manifestaciones: </w:t>
      </w:r>
    </w:p>
    <w:p w14:paraId="36D349E9" w14:textId="77777777" w:rsidR="00045B0C" w:rsidRDefault="00045B0C" w:rsidP="00045B0C">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2C7339A" w14:textId="5EDEA44C" w:rsidR="00045B0C" w:rsidRPr="00CE3EB5" w:rsidRDefault="00045B0C" w:rsidP="00045B0C">
      <w:pPr>
        <w:pStyle w:val="Citas"/>
        <w:rPr>
          <w:b/>
          <w:bCs/>
          <w:sz w:val="24"/>
        </w:rPr>
      </w:pPr>
      <w:r w:rsidRPr="00C16092">
        <w:t>“</w:t>
      </w:r>
      <w:r w:rsidR="003E23C4" w:rsidRPr="003E23C4">
        <w:t xml:space="preserve">No se tiene la certeza fiscal y sobre todo legal de que la servidora </w:t>
      </w:r>
      <w:proofErr w:type="spellStart"/>
      <w:r w:rsidR="003E23C4" w:rsidRPr="003E23C4">
        <w:t>publica</w:t>
      </w:r>
      <w:proofErr w:type="spellEnd"/>
      <w:r w:rsidR="003E23C4" w:rsidRPr="003E23C4">
        <w:t xml:space="preserve"> gane la cantidad que dice percibir ya que solo expone un monto y ningún recibo o documento que ampare o soporte y respalde dicha información, por lo tanto no se tiene la certeza si se está declarando la verdad o alterando la información</w:t>
      </w:r>
      <w:r w:rsidRPr="00C16092">
        <w:t>”</w:t>
      </w:r>
      <w:r>
        <w:t xml:space="preserve"> </w:t>
      </w:r>
      <w:r>
        <w:rPr>
          <w:b/>
          <w:bCs/>
        </w:rPr>
        <w:t>(Sic)</w:t>
      </w:r>
    </w:p>
    <w:p w14:paraId="0F13917C" w14:textId="77777777" w:rsidR="00045B0C" w:rsidRDefault="00045B0C" w:rsidP="00045B0C">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7CC10328" w14:textId="3E379F42" w:rsidR="00045B0C" w:rsidRPr="00CE3EB5" w:rsidRDefault="00045B0C" w:rsidP="00045B0C">
      <w:pPr>
        <w:pStyle w:val="Citas"/>
        <w:rPr>
          <w:b/>
          <w:bCs/>
        </w:rPr>
      </w:pPr>
      <w:r w:rsidRPr="00C16092">
        <w:t>“</w:t>
      </w:r>
      <w:r w:rsidR="003E23C4" w:rsidRPr="003E23C4">
        <w:t xml:space="preserve">No se tiene la certeza fiscal y sobre todo legal de que la servidora </w:t>
      </w:r>
      <w:proofErr w:type="spellStart"/>
      <w:r w:rsidR="003E23C4" w:rsidRPr="003E23C4">
        <w:t>publica</w:t>
      </w:r>
      <w:proofErr w:type="spellEnd"/>
      <w:r w:rsidR="003E23C4" w:rsidRPr="003E23C4">
        <w:t xml:space="preserve"> gane la cantidad que dice percibir ya que solo expone un monto y ningún recibo o documento que ampare o soporte y respalde dicha información, por lo tanto no se tiene la certeza si se está declarando la verdad o alterando la información</w:t>
      </w:r>
      <w:r w:rsidRPr="00C16092">
        <w:t>”</w:t>
      </w:r>
      <w:r>
        <w:t xml:space="preserve"> </w:t>
      </w:r>
      <w:r>
        <w:rPr>
          <w:b/>
          <w:bCs/>
        </w:rPr>
        <w:t>(Sic)</w:t>
      </w:r>
    </w:p>
    <w:p w14:paraId="71A2892F" w14:textId="77777777" w:rsidR="00045B0C" w:rsidRDefault="00045B0C" w:rsidP="00045B0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0375BC20" w14:textId="4674FB27" w:rsidR="00045B0C" w:rsidRDefault="00045B0C" w:rsidP="00045B0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3E23C4">
        <w:rPr>
          <w:rFonts w:ascii="Palatino Linotype" w:hAnsi="Palatino Linotype" w:cs="Arial"/>
          <w:sz w:val="24"/>
          <w:szCs w:val="24"/>
        </w:rPr>
        <w:t xml:space="preserve"> </w:t>
      </w:r>
      <w:r w:rsidR="003E23C4">
        <w:rPr>
          <w:rFonts w:ascii="Palatino Linotype" w:hAnsi="Palatino Linotype" w:cs="Arial"/>
          <w:b/>
          <w:bCs/>
          <w:sz w:val="24"/>
          <w:szCs w:val="24"/>
        </w:rPr>
        <w:t xml:space="preserve">dieciocho de junio de dos mil veinticinco, </w:t>
      </w:r>
      <w:r>
        <w:rPr>
          <w:rFonts w:ascii="Palatino Linotype" w:hAnsi="Palatino Linotype" w:cs="Arial"/>
          <w:sz w:val="24"/>
          <w:szCs w:val="24"/>
        </w:rPr>
        <w:t>determinándose en él, un plazo de siete días para que las partes manifestaran lo que a su derecho corresponda en términos del numeral ya citado.</w:t>
      </w:r>
    </w:p>
    <w:p w14:paraId="56BEC867" w14:textId="77777777" w:rsidR="00045B0C" w:rsidRDefault="00045B0C" w:rsidP="00045B0C">
      <w:pPr>
        <w:spacing w:before="240" w:line="360" w:lineRule="auto"/>
        <w:jc w:val="both"/>
        <w:rPr>
          <w:rFonts w:ascii="Palatino Linotype" w:hAnsi="Palatino Linotype" w:cs="Arial"/>
          <w:sz w:val="24"/>
          <w:szCs w:val="24"/>
        </w:rPr>
      </w:pPr>
    </w:p>
    <w:p w14:paraId="701AFAC5" w14:textId="77777777" w:rsidR="00045B0C" w:rsidRDefault="00045B0C" w:rsidP="00045B0C">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56135239" w14:textId="5DECAA22" w:rsidR="00045B0C" w:rsidRPr="00CA6BAF" w:rsidRDefault="00045B0C" w:rsidP="00045B0C">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sidR="003E23C4">
        <w:rPr>
          <w:rFonts w:ascii="Palatino Linotype" w:hAnsi="Palatino Linotype" w:cs="Arial"/>
          <w:bCs/>
          <w:sz w:val="24"/>
          <w:szCs w:val="24"/>
        </w:rPr>
        <w:t xml:space="preserve">fue omiso en rendir su informe justificado. </w:t>
      </w:r>
      <w:r>
        <w:rPr>
          <w:rFonts w:ascii="Palatino Linotype" w:hAnsi="Palatino Linotype" w:cs="Arial"/>
          <w:b/>
          <w:sz w:val="24"/>
          <w:szCs w:val="24"/>
        </w:rPr>
        <w:t xml:space="preserve"> </w:t>
      </w:r>
    </w:p>
    <w:p w14:paraId="3E463BE2" w14:textId="77777777" w:rsidR="00045B0C" w:rsidRDefault="00045B0C" w:rsidP="00045B0C">
      <w:pPr>
        <w:spacing w:after="0" w:line="360" w:lineRule="auto"/>
        <w:jc w:val="both"/>
        <w:rPr>
          <w:rFonts w:ascii="Palatino Linotype" w:hAnsi="Palatino Linotype" w:cs="Arial"/>
          <w:bCs/>
          <w:sz w:val="24"/>
          <w:szCs w:val="24"/>
        </w:rPr>
      </w:pPr>
    </w:p>
    <w:p w14:paraId="27742B83" w14:textId="2C7C09E4" w:rsidR="00045B0C" w:rsidRDefault="00045B0C" w:rsidP="00045B0C">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3E23C4">
        <w:rPr>
          <w:rFonts w:ascii="Palatino Linotype" w:hAnsi="Palatino Linotype" w:cs="Arial"/>
          <w:b/>
          <w:sz w:val="24"/>
          <w:szCs w:val="24"/>
        </w:rPr>
        <w:t xml:space="preserve">veintisiete de junio 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EB61556" w14:textId="77777777" w:rsidR="00045B0C" w:rsidRDefault="00045B0C" w:rsidP="00045B0C">
      <w:pPr>
        <w:spacing w:after="0" w:line="360" w:lineRule="auto"/>
        <w:jc w:val="both"/>
        <w:rPr>
          <w:rFonts w:ascii="Palatino Linotype" w:hAnsi="Palatino Linotype" w:cs="Arial"/>
          <w:sz w:val="24"/>
          <w:szCs w:val="24"/>
        </w:rPr>
      </w:pPr>
    </w:p>
    <w:p w14:paraId="14C661F7" w14:textId="77777777" w:rsidR="00045B0C" w:rsidRPr="005D0901" w:rsidRDefault="00045B0C" w:rsidP="00045B0C">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19A8EF6A" w14:textId="77777777" w:rsidR="00045B0C" w:rsidRDefault="00045B0C" w:rsidP="00045B0C">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9E02517" w14:textId="77777777" w:rsidR="003E23C4" w:rsidRPr="008A2022" w:rsidRDefault="003E23C4" w:rsidP="003E23C4">
      <w:pPr>
        <w:spacing w:line="360" w:lineRule="auto"/>
        <w:jc w:val="both"/>
        <w:rPr>
          <w:rFonts w:ascii="Palatino Linotype" w:hAnsi="Palatino Linotype"/>
          <w:sz w:val="24"/>
          <w:szCs w:val="24"/>
        </w:rPr>
      </w:pPr>
      <w:r w:rsidRPr="008A2022">
        <w:rPr>
          <w:rFonts w:ascii="Palatino Linotype" w:hAnsi="Palatino Linotype"/>
          <w:sz w:val="24"/>
          <w:szCs w:val="24"/>
        </w:rPr>
        <w:lastRenderedPageBreak/>
        <w:t xml:space="preserve">Este Instituto de </w:t>
      </w:r>
      <w:r w:rsidRPr="003E23C4">
        <w:rPr>
          <w:rFonts w:ascii="Palatino Linotype" w:hAnsi="Palatino Linotype"/>
          <w:sz w:val="24"/>
          <w:szCs w:val="24"/>
        </w:rPr>
        <w:t>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w:t>
      </w:r>
      <w:r w:rsidRPr="008A2022">
        <w:rPr>
          <w:rFonts w:ascii="Palatino Linotype" w:hAnsi="Palatino Linotype"/>
          <w:sz w:val="24"/>
          <w:szCs w:val="24"/>
        </w:rPr>
        <w:t xml:space="preserve">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07C86B03" w14:textId="77777777" w:rsidR="003E23C4" w:rsidRDefault="003E23C4" w:rsidP="00045B0C">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45DE5BA9" w14:textId="77777777" w:rsidR="00045B0C" w:rsidRDefault="00045B0C" w:rsidP="00045B0C">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E6F34D0" w14:textId="77777777" w:rsidR="00045B0C" w:rsidRDefault="00045B0C" w:rsidP="00045B0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B990524" w14:textId="77777777" w:rsidR="003E23C4" w:rsidRDefault="003E23C4" w:rsidP="00045B0C">
      <w:pPr>
        <w:autoSpaceDE w:val="0"/>
        <w:autoSpaceDN w:val="0"/>
        <w:adjustRightInd w:val="0"/>
        <w:spacing w:after="0" w:line="360" w:lineRule="auto"/>
        <w:jc w:val="both"/>
        <w:rPr>
          <w:rFonts w:ascii="Palatino Linotype" w:hAnsi="Palatino Linotype" w:cs="Arial"/>
          <w:b/>
          <w:sz w:val="28"/>
        </w:rPr>
      </w:pPr>
    </w:p>
    <w:p w14:paraId="6216632D" w14:textId="5015645A" w:rsidR="00045B0C" w:rsidRPr="00171027" w:rsidRDefault="003E23C4" w:rsidP="00045B0C">
      <w:pPr>
        <w:spacing w:line="360" w:lineRule="auto"/>
        <w:jc w:val="both"/>
        <w:rPr>
          <w:rFonts w:ascii="Palatino Linotype" w:hAnsi="Palatino Linotype"/>
          <w:b/>
          <w:sz w:val="28"/>
          <w:szCs w:val="28"/>
        </w:rPr>
      </w:pPr>
      <w:r>
        <w:rPr>
          <w:rFonts w:ascii="Palatino Linotype" w:hAnsi="Palatino Linotype"/>
          <w:b/>
          <w:sz w:val="28"/>
          <w:szCs w:val="28"/>
        </w:rPr>
        <w:lastRenderedPageBreak/>
        <w:t>TERCERO</w:t>
      </w:r>
      <w:r w:rsidR="00045B0C" w:rsidRPr="00171027">
        <w:rPr>
          <w:rFonts w:ascii="Palatino Linotype" w:hAnsi="Palatino Linotype"/>
          <w:b/>
          <w:sz w:val="28"/>
          <w:szCs w:val="28"/>
        </w:rPr>
        <w:t>. Del estudio de las causas de improcedencia y sobreseimiento.</w:t>
      </w:r>
    </w:p>
    <w:p w14:paraId="0FE79A81" w14:textId="77777777" w:rsidR="00045B0C" w:rsidRPr="00EF0560" w:rsidRDefault="00045B0C" w:rsidP="00045B0C">
      <w:pPr>
        <w:spacing w:line="360" w:lineRule="auto"/>
        <w:jc w:val="both"/>
        <w:rPr>
          <w:rFonts w:ascii="Palatino Linotype" w:hAnsi="Palatino Linotype"/>
          <w:sz w:val="24"/>
          <w:szCs w:val="24"/>
        </w:rPr>
      </w:pPr>
      <w:r w:rsidRPr="00EF0560">
        <w:rPr>
          <w:rFonts w:ascii="Palatino Linotype" w:hAnsi="Palatino Linotype"/>
          <w:sz w:val="24"/>
          <w:szCs w:val="24"/>
        </w:rPr>
        <w:t>Es importante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31F0295" w14:textId="77777777" w:rsidR="00045B0C" w:rsidRDefault="00045B0C" w:rsidP="00045B0C">
      <w:pPr>
        <w:spacing w:line="360" w:lineRule="auto"/>
        <w:jc w:val="both"/>
        <w:rPr>
          <w:rFonts w:ascii="Palatino Linotype" w:hAnsi="Palatino Linotype"/>
          <w:sz w:val="24"/>
          <w:szCs w:val="24"/>
        </w:rPr>
      </w:pPr>
      <w:r w:rsidRPr="00EF0560">
        <w:rPr>
          <w:rFonts w:ascii="Palatino Linotype" w:hAnsi="Palatino Linotype"/>
          <w:sz w:val="24"/>
          <w:szCs w:val="24"/>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dado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r>
        <w:rPr>
          <w:rFonts w:ascii="Palatino Linotype" w:hAnsi="Palatino Linotype"/>
          <w:sz w:val="24"/>
          <w:szCs w:val="24"/>
        </w:rPr>
        <w:t xml:space="preserve"> </w:t>
      </w:r>
    </w:p>
    <w:p w14:paraId="17B2DF0E" w14:textId="77777777" w:rsidR="00045B0C" w:rsidRPr="00EF0560" w:rsidRDefault="00045B0C" w:rsidP="00045B0C">
      <w:pPr>
        <w:spacing w:line="360" w:lineRule="auto"/>
        <w:jc w:val="both"/>
        <w:rPr>
          <w:rFonts w:ascii="Palatino Linotype" w:eastAsia="Times New Roman" w:hAnsi="Palatino Linotype" w:cs="Arial"/>
          <w:sz w:val="24"/>
          <w:szCs w:val="24"/>
          <w:lang w:val="es-ES" w:eastAsia="es-ES"/>
        </w:rPr>
      </w:pPr>
      <w:r w:rsidRPr="00EF0560">
        <w:rPr>
          <w:rFonts w:ascii="Palatino Linotype" w:eastAsia="Times New Roman" w:hAnsi="Palatino Linotype" w:cs="Arial"/>
          <w:sz w:val="24"/>
          <w:szCs w:val="24"/>
          <w:lang w:val="es-ES" w:eastAsia="es-ES"/>
        </w:rPr>
        <w:t>Estudio de causales de improcedencia que no son incompatibles con el derecho de acceso a la justicia, ya que éste no se coarta por regular causas de improcedencia y sobreseimiento con tales fines</w:t>
      </w:r>
      <w:r w:rsidRPr="00EF0560">
        <w:rPr>
          <w:rFonts w:ascii="Palatino Linotype" w:eastAsia="Times New Roman" w:hAnsi="Palatino Linotype" w:cs="Arial"/>
          <w:sz w:val="24"/>
          <w:szCs w:val="24"/>
          <w:vertAlign w:val="superscript"/>
          <w:lang w:val="es-ES" w:eastAsia="es-ES"/>
        </w:rPr>
        <w:footnoteReference w:id="1"/>
      </w:r>
      <w:r w:rsidRPr="00EF0560">
        <w:rPr>
          <w:rFonts w:ascii="Palatino Linotype" w:eastAsia="Times New Roman" w:hAnsi="Palatino Linotype" w:cs="Arial"/>
          <w:sz w:val="24"/>
          <w:szCs w:val="24"/>
          <w:lang w:val="es-ES" w:eastAsia="es-ES"/>
        </w:rPr>
        <w:t>.</w:t>
      </w:r>
    </w:p>
    <w:p w14:paraId="4423D628" w14:textId="77777777" w:rsidR="00045B0C" w:rsidRPr="00EF0560" w:rsidRDefault="00045B0C" w:rsidP="00045B0C">
      <w:pPr>
        <w:spacing w:line="360" w:lineRule="auto"/>
        <w:jc w:val="both"/>
        <w:rPr>
          <w:rFonts w:ascii="Palatino Linotype" w:hAnsi="Palatino Linotype"/>
          <w:sz w:val="24"/>
          <w:szCs w:val="24"/>
        </w:rPr>
      </w:pPr>
      <w:r w:rsidRPr="00EF0560">
        <w:rPr>
          <w:rFonts w:ascii="Palatino Linotype" w:hAnsi="Palatino Linotype"/>
          <w:sz w:val="24"/>
          <w:szCs w:val="24"/>
        </w:rPr>
        <w:lastRenderedPageBreak/>
        <w:t>En primer término es necesario hacer alusión a la solicitud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la particular objetivamente requiere.</w:t>
      </w:r>
    </w:p>
    <w:p w14:paraId="2DDB8D9B" w14:textId="77777777" w:rsidR="00045B0C" w:rsidRPr="00EF0560" w:rsidRDefault="00045B0C" w:rsidP="00045B0C">
      <w:pPr>
        <w:spacing w:line="360" w:lineRule="auto"/>
        <w:jc w:val="both"/>
        <w:rPr>
          <w:rFonts w:ascii="Palatino Linotype" w:hAnsi="Palatino Linotype"/>
          <w:sz w:val="24"/>
          <w:szCs w:val="24"/>
        </w:rPr>
      </w:pPr>
      <w:r w:rsidRPr="00EF0560">
        <w:rPr>
          <w:rFonts w:ascii="Palatino Linotype" w:hAnsi="Palatino Linotype"/>
          <w:sz w:val="24"/>
          <w:szCs w:val="24"/>
        </w:rPr>
        <w:t xml:space="preserve">Ya que el planteamiento del problema es de toral importancia, a efecto de determinar la intención o voluntad </w:t>
      </w:r>
      <w:r>
        <w:rPr>
          <w:rFonts w:ascii="Palatino Linotype" w:hAnsi="Palatino Linotype"/>
          <w:sz w:val="24"/>
          <w:szCs w:val="24"/>
        </w:rPr>
        <w:t>del</w:t>
      </w:r>
      <w:r w:rsidRPr="00EF0560">
        <w:rPr>
          <w:rFonts w:ascii="Palatino Linotype" w:hAnsi="Palatino Linotype"/>
          <w:sz w:val="24"/>
          <w:szCs w:val="24"/>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5AD43B50" w14:textId="77777777" w:rsidR="00045B0C" w:rsidRPr="00EF0560" w:rsidRDefault="00045B0C" w:rsidP="00045B0C">
      <w:pPr>
        <w:spacing w:line="360" w:lineRule="auto"/>
        <w:jc w:val="both"/>
        <w:rPr>
          <w:rFonts w:ascii="Palatino Linotype" w:hAnsi="Palatino Linotype"/>
          <w:sz w:val="24"/>
          <w:szCs w:val="24"/>
        </w:rPr>
      </w:pPr>
      <w:r w:rsidRPr="00EF0560">
        <w:rPr>
          <w:rFonts w:ascii="Palatino Linotype" w:hAnsi="Palatino Linotype"/>
          <w:sz w:val="24"/>
          <w:szCs w:val="24"/>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AF45B42" w14:textId="77777777" w:rsidR="00045B0C" w:rsidRPr="00EF0560" w:rsidRDefault="00045B0C" w:rsidP="00045B0C">
      <w:pPr>
        <w:spacing w:line="360" w:lineRule="auto"/>
        <w:jc w:val="both"/>
        <w:rPr>
          <w:rFonts w:ascii="Palatino Linotype" w:hAnsi="Palatino Linotype"/>
          <w:sz w:val="24"/>
          <w:szCs w:val="24"/>
        </w:rPr>
      </w:pPr>
      <w:r w:rsidRPr="00EF0560">
        <w:rPr>
          <w:rFonts w:ascii="Palatino Linotype" w:hAnsi="Palatino Linotype"/>
          <w:sz w:val="24"/>
          <w:szCs w:val="24"/>
        </w:rPr>
        <w:t xml:space="preserve">Cabe resaltar que la Ley de Transparencia estatal en su artículo 192 contempla la figura jurídica del sobreseimiento, y específicamente en su hipótesis inmersa en la fracción </w:t>
      </w:r>
      <w:r>
        <w:rPr>
          <w:rFonts w:ascii="Palatino Linotype" w:hAnsi="Palatino Linotype"/>
          <w:sz w:val="24"/>
          <w:szCs w:val="24"/>
        </w:rPr>
        <w:t>III</w:t>
      </w:r>
      <w:r w:rsidRPr="00EF0560">
        <w:rPr>
          <w:rFonts w:ascii="Palatino Linotype" w:hAnsi="Palatino Linotype"/>
          <w:sz w:val="24"/>
          <w:szCs w:val="24"/>
        </w:rPr>
        <w:t xml:space="preserve">, la cual establece que se sobreseerá el asunto cuando </w:t>
      </w:r>
      <w:r>
        <w:rPr>
          <w:rFonts w:ascii="Palatino Linotype" w:hAnsi="Palatino Linotype"/>
          <w:sz w:val="24"/>
          <w:szCs w:val="24"/>
        </w:rPr>
        <w:t xml:space="preserve">se modifique la respuesta primigenia. </w:t>
      </w:r>
    </w:p>
    <w:p w14:paraId="2B5DBBBC" w14:textId="4B41B3C0" w:rsidR="00045B0C" w:rsidRPr="00EF0560" w:rsidRDefault="00045B0C" w:rsidP="00045B0C">
      <w:pPr>
        <w:spacing w:line="360" w:lineRule="auto"/>
        <w:jc w:val="both"/>
        <w:rPr>
          <w:rFonts w:ascii="Palatino Linotype" w:hAnsi="Palatino Linotype"/>
          <w:sz w:val="24"/>
          <w:szCs w:val="24"/>
        </w:rPr>
      </w:pPr>
      <w:r w:rsidRPr="00EF0560">
        <w:rPr>
          <w:rFonts w:ascii="Palatino Linotype" w:hAnsi="Palatino Linotype"/>
          <w:sz w:val="24"/>
          <w:szCs w:val="24"/>
        </w:rPr>
        <w:t xml:space="preserve">En ese contexto, para el efecto de verificar que el presente recurso de revisión se ha actualizado la hipótesis referida, es necesario realizar un estudio a las actuaciones que obran en el expediente electrónico a fin de determinar si en el caso en concreto se actualiza el supuesto procesal que establece la fracción </w:t>
      </w:r>
      <w:r w:rsidR="002D0C61">
        <w:rPr>
          <w:rFonts w:ascii="Palatino Linotype" w:hAnsi="Palatino Linotype"/>
          <w:sz w:val="24"/>
          <w:szCs w:val="24"/>
        </w:rPr>
        <w:t xml:space="preserve">IV </w:t>
      </w:r>
      <w:r w:rsidRPr="00EF0560">
        <w:rPr>
          <w:rFonts w:ascii="Palatino Linotype" w:hAnsi="Palatino Linotype"/>
          <w:sz w:val="24"/>
          <w:szCs w:val="24"/>
        </w:rPr>
        <w:t>del artículo 192 de la Ley de Transparencia local</w:t>
      </w:r>
      <w:r>
        <w:rPr>
          <w:rFonts w:ascii="Palatino Linotype" w:hAnsi="Palatino Linotype"/>
          <w:sz w:val="24"/>
          <w:szCs w:val="24"/>
        </w:rPr>
        <w:t xml:space="preserve">. </w:t>
      </w:r>
    </w:p>
    <w:p w14:paraId="45F7DD15" w14:textId="05CCF85E" w:rsidR="00045B0C" w:rsidRDefault="00045B0C" w:rsidP="00045B0C">
      <w:pPr>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w:t>
      </w:r>
      <w:r w:rsidR="003E23C4">
        <w:rPr>
          <w:rFonts w:ascii="Palatino Linotype" w:hAnsi="Palatino Linotype" w:cs="Arial"/>
          <w:b/>
          <w:bCs/>
          <w:sz w:val="24"/>
          <w:szCs w:val="24"/>
        </w:rPr>
        <w:t>00279/CALIMAYA/IP/2025</w:t>
      </w:r>
      <w:r w:rsidRPr="007C18FC">
        <w:rPr>
          <w:rFonts w:ascii="Palatino Linotype" w:hAnsi="Palatino Linotype" w:cs="Arial"/>
          <w:b/>
          <w:bCs/>
          <w:sz w:val="24"/>
          <w:szCs w:val="24"/>
        </w:rPr>
        <w:t xml:space="preserve"> </w:t>
      </w:r>
      <w:r>
        <w:rPr>
          <w:rFonts w:ascii="Palatino Linotype" w:hAnsi="Palatino Linotype" w:cs="Arial"/>
          <w:sz w:val="24"/>
          <w:szCs w:val="24"/>
        </w:rPr>
        <w:t xml:space="preserve">se </w:t>
      </w:r>
      <w:r w:rsidR="003E23C4">
        <w:rPr>
          <w:rFonts w:ascii="Palatino Linotype" w:hAnsi="Palatino Linotype" w:cs="Arial"/>
          <w:sz w:val="24"/>
          <w:szCs w:val="24"/>
        </w:rPr>
        <w:t xml:space="preserve">desprenden las siguientes consideraciones: </w:t>
      </w:r>
    </w:p>
    <w:p w14:paraId="05A65F21" w14:textId="77777777" w:rsidR="003E23C4" w:rsidRPr="004C0F85" w:rsidRDefault="003E23C4" w:rsidP="006E5CD8">
      <w:pPr>
        <w:pStyle w:val="Prrafodelista"/>
        <w:numPr>
          <w:ilvl w:val="0"/>
          <w:numId w:val="6"/>
        </w:numPr>
        <w:autoSpaceDE w:val="0"/>
        <w:autoSpaceDN w:val="0"/>
        <w:adjustRightInd w:val="0"/>
        <w:spacing w:line="360" w:lineRule="auto"/>
        <w:jc w:val="both"/>
        <w:rPr>
          <w:rFonts w:ascii="Palatino Linotype" w:hAnsi="Palatino Linotype" w:cs="Arial"/>
        </w:rPr>
      </w:pPr>
      <w:r w:rsidRPr="004C0F85">
        <w:rPr>
          <w:rFonts w:ascii="Palatino Linotype" w:hAnsi="Palatino Linotype" w:cs="Arial"/>
        </w:rPr>
        <w:t xml:space="preserve">Que el derecho de acceso a la información pública estriba en la prerrogativa de carácter constitucional que reconoce la potestad de los ciudadanos para solicitar </w:t>
      </w:r>
      <w:r w:rsidRPr="004C0F85">
        <w:rPr>
          <w:rFonts w:ascii="Palatino Linotype" w:hAnsi="Palatino Linotype" w:cs="Arial"/>
        </w:rPr>
        <w:lastRenderedPageBreak/>
        <w:t xml:space="preserve">soportes documentales generados, poseídos o administrados por los </w:t>
      </w:r>
      <w:r w:rsidRPr="004C0F85">
        <w:rPr>
          <w:rFonts w:ascii="Palatino Linotype" w:hAnsi="Palatino Linotype" w:cs="Arial"/>
          <w:b/>
          <w:bCs/>
        </w:rPr>
        <w:t>Sujetos Obligados.</w:t>
      </w:r>
    </w:p>
    <w:p w14:paraId="5A9C1C06" w14:textId="77777777" w:rsidR="003E23C4" w:rsidRPr="00F95FBD" w:rsidRDefault="003E23C4" w:rsidP="003E23C4">
      <w:pPr>
        <w:pStyle w:val="Prrafodelista"/>
        <w:autoSpaceDE w:val="0"/>
        <w:autoSpaceDN w:val="0"/>
        <w:adjustRightInd w:val="0"/>
        <w:spacing w:line="360" w:lineRule="auto"/>
        <w:ind w:left="720"/>
        <w:jc w:val="both"/>
        <w:rPr>
          <w:rFonts w:ascii="Palatino Linotype" w:hAnsi="Palatino Linotype" w:cs="Arial"/>
        </w:rPr>
      </w:pPr>
    </w:p>
    <w:p w14:paraId="30C7CF58" w14:textId="389D0A4E" w:rsidR="003E23C4" w:rsidRDefault="003E23C4" w:rsidP="006E5CD8">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únicamente fue formulado </w:t>
      </w:r>
      <w:r>
        <w:rPr>
          <w:rFonts w:ascii="Palatino Linotype" w:hAnsi="Palatino Linotype" w:cs="Arial"/>
          <w:b/>
          <w:bCs/>
        </w:rPr>
        <w:t xml:space="preserve">1 -un- </w:t>
      </w:r>
      <w:r>
        <w:rPr>
          <w:rFonts w:ascii="Palatino Linotype" w:hAnsi="Palatino Linotype" w:cs="Arial"/>
        </w:rPr>
        <w:t xml:space="preserve">requerimiento respecto del cual no fue señalado elemento temporal, debiendo de ser fijado a la fecha en que se ejerció el derecho de acceso a la información, es decir, al veintiocho de mayo de dos mil veinticinco. </w:t>
      </w:r>
    </w:p>
    <w:p w14:paraId="46708375" w14:textId="77777777" w:rsidR="003E23C4" w:rsidRDefault="003E23C4" w:rsidP="003E23C4">
      <w:pPr>
        <w:pStyle w:val="Prrafodelista"/>
        <w:autoSpaceDE w:val="0"/>
        <w:autoSpaceDN w:val="0"/>
        <w:adjustRightInd w:val="0"/>
        <w:spacing w:line="360" w:lineRule="auto"/>
        <w:ind w:left="780"/>
        <w:jc w:val="both"/>
        <w:rPr>
          <w:rFonts w:ascii="Palatino Linotype" w:hAnsi="Palatino Linotype" w:cs="Arial"/>
        </w:rPr>
      </w:pPr>
    </w:p>
    <w:p w14:paraId="656FFC43" w14:textId="7A39F965" w:rsidR="003E23C4" w:rsidRPr="00BF15D4" w:rsidRDefault="00901082" w:rsidP="006E5CD8">
      <w:pPr>
        <w:pStyle w:val="Prrafodelista"/>
        <w:numPr>
          <w:ilvl w:val="0"/>
          <w:numId w:val="3"/>
        </w:numPr>
        <w:autoSpaceDE w:val="0"/>
        <w:autoSpaceDN w:val="0"/>
        <w:adjustRightInd w:val="0"/>
        <w:spacing w:before="240" w:line="360" w:lineRule="auto"/>
        <w:jc w:val="both"/>
        <w:rPr>
          <w:rFonts w:ascii="Palatino Linotype" w:hAnsi="Palatino Linotype"/>
        </w:rPr>
      </w:pPr>
      <w:r w:rsidRPr="00BF15D4">
        <w:rPr>
          <w:rFonts w:ascii="Palatino Linotype" w:hAnsi="Palatino Linotype" w:cs="Arial"/>
        </w:rPr>
        <w:t>Que,</w:t>
      </w:r>
      <w:r w:rsidR="003E23C4" w:rsidRPr="00BF15D4">
        <w:rPr>
          <w:rFonts w:ascii="Palatino Linotype" w:hAnsi="Palatino Linotype" w:cs="Arial"/>
        </w:rPr>
        <w:t xml:space="preserve"> con relación al </w:t>
      </w:r>
      <w:r w:rsidR="003E23C4">
        <w:rPr>
          <w:rFonts w:ascii="Palatino Linotype" w:hAnsi="Palatino Linotype" w:cs="Arial"/>
        </w:rPr>
        <w:t xml:space="preserve">único requerimiento, </w:t>
      </w:r>
      <w:r w:rsidR="003E23C4" w:rsidRPr="00BF15D4">
        <w:rPr>
          <w:rFonts w:ascii="Palatino Linotype" w:hAnsi="Palatino Linotype" w:cs="Arial"/>
        </w:rPr>
        <w:t xml:space="preserve">se destaca que cuando los particulares </w:t>
      </w:r>
      <w:bookmarkStart w:id="1" w:name="_Hlk197949795"/>
      <w:r w:rsidR="003E23C4" w:rsidRPr="00BF15D4">
        <w:rPr>
          <w:rFonts w:ascii="Palatino Linotype" w:hAnsi="Palatino Linotype" w:cs="Arial"/>
        </w:rPr>
        <w:t xml:space="preserve">no identifican de forma precisa el documento requerido, bastará con que </w:t>
      </w:r>
      <w:r w:rsidR="003E23C4" w:rsidRPr="00BF15D4">
        <w:rPr>
          <w:rFonts w:ascii="Palatino Linotype" w:hAnsi="Palatino Linotype"/>
        </w:rPr>
        <w:t xml:space="preserve">se remita cualquiera que refleje la información requerida. Al respecto, cobra relevancia el criterio orientador emitido por el entonces Órgano Garante Nacional con número </w:t>
      </w:r>
      <w:r w:rsidR="003E23C4" w:rsidRPr="00BF15D4">
        <w:rPr>
          <w:rFonts w:ascii="Palatino Linotype" w:hAnsi="Palatino Linotype"/>
          <w:b/>
          <w:bCs/>
        </w:rPr>
        <w:t xml:space="preserve">16/17 </w:t>
      </w:r>
      <w:r w:rsidR="003E23C4" w:rsidRPr="00BF15D4">
        <w:rPr>
          <w:rFonts w:ascii="Palatino Linotype" w:hAnsi="Palatino Linotype"/>
        </w:rPr>
        <w:t>cuyo rubro y texto disponen a la literalidad lo siguiente:</w:t>
      </w:r>
    </w:p>
    <w:bookmarkEnd w:id="1"/>
    <w:p w14:paraId="142D919A" w14:textId="77777777" w:rsidR="003E23C4" w:rsidRPr="00AB5B4A" w:rsidRDefault="003E23C4" w:rsidP="003E23C4">
      <w:pPr>
        <w:pStyle w:val="Citas"/>
        <w:jc w:val="center"/>
        <w:rPr>
          <w:b/>
          <w:bCs/>
          <w:sz w:val="24"/>
          <w:szCs w:val="24"/>
        </w:rPr>
      </w:pPr>
      <w:r w:rsidRPr="00AB5B4A">
        <w:rPr>
          <w:b/>
          <w:bCs/>
          <w:sz w:val="24"/>
          <w:szCs w:val="24"/>
        </w:rPr>
        <w:t>“EXPRESIÓN DOCUMENTAL.</w:t>
      </w:r>
    </w:p>
    <w:p w14:paraId="33376CB4" w14:textId="77777777" w:rsidR="003E23C4" w:rsidRPr="00AB5B4A" w:rsidRDefault="003E23C4" w:rsidP="003E23C4">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70521239" w14:textId="77777777" w:rsidR="003E23C4" w:rsidRPr="00AB5B4A" w:rsidRDefault="003E23C4" w:rsidP="003E23C4">
      <w:pPr>
        <w:pStyle w:val="Citas"/>
        <w:rPr>
          <w:b/>
        </w:rPr>
      </w:pPr>
      <w:r w:rsidRPr="00AB5B4A">
        <w:rPr>
          <w:b/>
        </w:rPr>
        <w:t>Precedentes:</w:t>
      </w:r>
    </w:p>
    <w:p w14:paraId="179216EF" w14:textId="77777777" w:rsidR="003E23C4" w:rsidRPr="00AB5B4A" w:rsidRDefault="003E23C4" w:rsidP="006E5CD8">
      <w:pPr>
        <w:pStyle w:val="Citas"/>
        <w:numPr>
          <w:ilvl w:val="0"/>
          <w:numId w:val="4"/>
        </w:numPr>
        <w:rPr>
          <w:color w:val="000000"/>
        </w:rPr>
      </w:pPr>
      <w:r w:rsidRPr="00AB5B4A">
        <w:lastRenderedPageBreak/>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5A869CF9" w14:textId="77777777" w:rsidR="003E23C4" w:rsidRPr="00AB5B4A" w:rsidRDefault="003E23C4" w:rsidP="006E5CD8">
      <w:pPr>
        <w:pStyle w:val="Citas"/>
        <w:numPr>
          <w:ilvl w:val="0"/>
          <w:numId w:val="4"/>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7940E79A" w14:textId="77777777" w:rsidR="003E23C4" w:rsidRPr="008851AE" w:rsidRDefault="003E23C4" w:rsidP="006E5CD8">
      <w:pPr>
        <w:pStyle w:val="Citas"/>
        <w:numPr>
          <w:ilvl w:val="0"/>
          <w:numId w:val="4"/>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6AB22D6A" w14:textId="77777777" w:rsidR="00045B0C" w:rsidRDefault="00045B0C" w:rsidP="008A6DBC">
      <w:pPr>
        <w:spacing w:before="240" w:line="360" w:lineRule="auto"/>
        <w:jc w:val="both"/>
        <w:rPr>
          <w:rFonts w:ascii="Palatino Linotype" w:eastAsia="Times New Roman" w:hAnsi="Palatino Linotype" w:cs="Arial"/>
          <w:color w:val="000000"/>
          <w:sz w:val="24"/>
          <w:szCs w:val="24"/>
          <w:lang w:eastAsia="es-MX"/>
        </w:rPr>
      </w:pPr>
    </w:p>
    <w:p w14:paraId="26F07DFE" w14:textId="77777777" w:rsidR="005675DA" w:rsidRPr="0051062B" w:rsidRDefault="005675DA" w:rsidP="005675DA">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w:t>
      </w:r>
      <w:r>
        <w:rPr>
          <w:rFonts w:ascii="Palatino Linotype" w:hAnsi="Palatino Linotype"/>
          <w:sz w:val="24"/>
          <w:szCs w:val="24"/>
        </w:rPr>
        <w:tab/>
      </w:r>
      <w:r w:rsidRPr="00A44FBE">
        <w:rPr>
          <w:rFonts w:ascii="Palatino Linotype" w:hAnsi="Palatino Linotype"/>
          <w:sz w:val="24"/>
          <w:szCs w:val="24"/>
        </w:rPr>
        <w:t xml:space="preserve">fundamento </w:t>
      </w:r>
      <w:r w:rsidRPr="0051062B">
        <w:rPr>
          <w:rFonts w:ascii="Palatino Linotype" w:hAnsi="Palatino Linotype"/>
          <w:sz w:val="24"/>
          <w:szCs w:val="24"/>
        </w:rPr>
        <w:t xml:space="preserve">en los artículos 13 y 181 cuarto párrafo de la Ley en materia, los cuales a la letra rezan: </w:t>
      </w:r>
    </w:p>
    <w:p w14:paraId="731E4181" w14:textId="77777777" w:rsidR="005675DA" w:rsidRPr="0051062B" w:rsidRDefault="005675DA" w:rsidP="005675DA">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6AC3E699" w14:textId="77777777" w:rsidR="005675DA" w:rsidRPr="0051062B" w:rsidRDefault="005675DA" w:rsidP="005675DA">
      <w:pPr>
        <w:pStyle w:val="Citas"/>
        <w:rPr>
          <w:b/>
        </w:rPr>
      </w:pPr>
      <w:r w:rsidRPr="0051062B">
        <w:rPr>
          <w:b/>
        </w:rPr>
        <w:t xml:space="preserve">Artículo 181. … </w:t>
      </w:r>
    </w:p>
    <w:p w14:paraId="78727BC8" w14:textId="77777777" w:rsidR="005675DA" w:rsidRDefault="005675DA" w:rsidP="005675DA">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51222D7" w14:textId="77777777" w:rsidR="005675DA" w:rsidRDefault="005675DA" w:rsidP="005675DA">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386684FB" w14:textId="67479AF9" w:rsidR="00B03610" w:rsidRPr="003E23C4" w:rsidRDefault="003E23C4" w:rsidP="006E5CD8">
      <w:pPr>
        <w:pStyle w:val="Prrafodelista"/>
        <w:numPr>
          <w:ilvl w:val="0"/>
          <w:numId w:val="1"/>
        </w:numPr>
        <w:autoSpaceDE w:val="0"/>
        <w:autoSpaceDN w:val="0"/>
        <w:adjustRightInd w:val="0"/>
        <w:spacing w:line="360" w:lineRule="auto"/>
        <w:jc w:val="both"/>
        <w:rPr>
          <w:rFonts w:ascii="Palatino Linotype" w:hAnsi="Palatino Linotype" w:cs="Arial"/>
        </w:rPr>
      </w:pPr>
      <w:r>
        <w:rPr>
          <w:rFonts w:ascii="Palatino Linotype" w:hAnsi="Palatino Linotype" w:cs="Arial"/>
          <w:lang w:val="es-MX"/>
        </w:rPr>
        <w:t xml:space="preserve">El o los documentos donde conste la cantidad de sueldo percibida quincenalmente, por la titular de la unidad de transparencia adscrita al veintiocho de mayo de dos mil veinticinco. </w:t>
      </w:r>
    </w:p>
    <w:p w14:paraId="611D52F6" w14:textId="77777777" w:rsidR="003E23C4" w:rsidRPr="006E260F" w:rsidRDefault="003E23C4" w:rsidP="003E23C4">
      <w:pPr>
        <w:pStyle w:val="Prrafodelista"/>
        <w:autoSpaceDE w:val="0"/>
        <w:autoSpaceDN w:val="0"/>
        <w:adjustRightInd w:val="0"/>
        <w:spacing w:line="360" w:lineRule="auto"/>
        <w:ind w:left="720"/>
        <w:jc w:val="both"/>
        <w:rPr>
          <w:rFonts w:ascii="Palatino Linotype" w:hAnsi="Palatino Linotype" w:cs="Arial"/>
        </w:rPr>
      </w:pPr>
    </w:p>
    <w:p w14:paraId="1A00D119" w14:textId="77777777" w:rsidR="00475DFA" w:rsidRPr="002D338B" w:rsidRDefault="00475DFA" w:rsidP="00475DFA">
      <w:pPr>
        <w:spacing w:after="0" w:line="360" w:lineRule="auto"/>
        <w:jc w:val="both"/>
        <w:rPr>
          <w:rFonts w:ascii="Palatino Linotype" w:hAnsi="Palatino Linotype" w:cs="Arial"/>
          <w:noProof/>
          <w:color w:val="000000"/>
          <w:sz w:val="24"/>
          <w:szCs w:val="24"/>
          <w:lang w:eastAsia="es-MX"/>
        </w:rPr>
      </w:pPr>
      <w:r w:rsidRPr="002D338B">
        <w:rPr>
          <w:rFonts w:ascii="Palatino Linotype" w:hAnsi="Palatino Linotype"/>
          <w:iCs/>
          <w:sz w:val="24"/>
          <w:szCs w:val="24"/>
        </w:rPr>
        <w:t>En virtud de lo anterior,</w:t>
      </w:r>
      <w:r w:rsidRPr="002D338B">
        <w:rPr>
          <w:rFonts w:ascii="Palatino Linotype" w:hAnsi="Palatino Linotype"/>
          <w:sz w:val="24"/>
          <w:szCs w:val="24"/>
        </w:rPr>
        <w:t xml:space="preserve"> con relación a los requerimientos formulados por el particular, </w:t>
      </w:r>
      <w:r w:rsidRPr="002D338B">
        <w:rPr>
          <w:rFonts w:ascii="Palatino Linotype" w:hAnsi="Palatino Linotype"/>
          <w:bCs/>
          <w:sz w:val="24"/>
          <w:szCs w:val="24"/>
        </w:rPr>
        <w:t xml:space="preserve">resulta oportuno traer a colación los </w:t>
      </w:r>
      <w:r w:rsidRPr="002D338B">
        <w:rPr>
          <w:rFonts w:ascii="Palatino Linotype" w:hAnsi="Palatino Linotype" w:cs="Arial"/>
          <w:noProof/>
          <w:color w:val="000000"/>
          <w:sz w:val="24"/>
          <w:szCs w:val="24"/>
          <w:lang w:eastAsia="es-MX"/>
        </w:rPr>
        <w:t>artículos 24, fracción XII, y 92, fracción II de la Ley de Transparencia local, porciones normativas cuyo contenido literal es el siguiente:</w:t>
      </w:r>
    </w:p>
    <w:p w14:paraId="2C6270CB" w14:textId="77777777" w:rsidR="00475DFA" w:rsidRDefault="00475DFA" w:rsidP="00475DFA">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79924A00" w14:textId="77777777" w:rsidR="00475DFA" w:rsidRDefault="00475DFA" w:rsidP="00475DFA">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7C2DE007" w14:textId="77777777" w:rsidR="00475DFA" w:rsidRPr="009535E0" w:rsidRDefault="00475DFA" w:rsidP="00475DFA">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06F85A77" w14:textId="77777777" w:rsidR="00475DFA" w:rsidRDefault="00475DFA" w:rsidP="00475DFA">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91E462" w14:textId="77777777" w:rsidR="00475DFA" w:rsidRDefault="00475DFA" w:rsidP="00475DFA">
      <w:pPr>
        <w:pStyle w:val="INFOEM"/>
      </w:pPr>
      <w:r>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CF38BBF" w14:textId="77777777" w:rsidR="00475DFA" w:rsidRDefault="00475DFA" w:rsidP="00475DFA">
      <w:pPr>
        <w:pStyle w:val="INFOEM"/>
        <w:rPr>
          <w:b/>
        </w:rPr>
      </w:pPr>
      <w:r>
        <w:t xml:space="preserve"> (…)” </w:t>
      </w:r>
      <w:r>
        <w:rPr>
          <w:b/>
        </w:rPr>
        <w:t>(Sic)</w:t>
      </w:r>
    </w:p>
    <w:p w14:paraId="56450569" w14:textId="77777777" w:rsidR="00475DFA" w:rsidRDefault="00475DFA" w:rsidP="00475DFA">
      <w:pPr>
        <w:spacing w:before="240" w:line="360" w:lineRule="auto"/>
        <w:jc w:val="both"/>
        <w:rPr>
          <w:rFonts w:ascii="Palatino Linotype" w:hAnsi="Palatino Linotype"/>
          <w:bCs/>
          <w:sz w:val="24"/>
          <w:szCs w:val="24"/>
        </w:rPr>
      </w:pPr>
    </w:p>
    <w:p w14:paraId="30ED840F" w14:textId="4C3DA036" w:rsidR="00475DFA" w:rsidRDefault="00475DFA" w:rsidP="00475DFA">
      <w:pPr>
        <w:spacing w:before="240" w:line="360" w:lineRule="auto"/>
        <w:jc w:val="both"/>
        <w:rPr>
          <w:rFonts w:ascii="Palatino Linotype" w:hAnsi="Palatino Linotype"/>
          <w:bCs/>
          <w:sz w:val="24"/>
          <w:szCs w:val="24"/>
        </w:rPr>
      </w:pPr>
      <w:r>
        <w:rPr>
          <w:rFonts w:ascii="Palatino Linotype" w:hAnsi="Palatino Linotype"/>
          <w:bCs/>
          <w:sz w:val="24"/>
          <w:szCs w:val="24"/>
        </w:rPr>
        <w:t xml:space="preserve">Robustece lo anterior, las siguientes imágenes ilustrativas, correspondientes al organigrama del </w:t>
      </w:r>
      <w:r>
        <w:rPr>
          <w:rFonts w:ascii="Palatino Linotype" w:hAnsi="Palatino Linotype"/>
          <w:b/>
          <w:bCs/>
          <w:sz w:val="24"/>
          <w:szCs w:val="24"/>
        </w:rPr>
        <w:t>Sujeto Obligado:</w:t>
      </w:r>
    </w:p>
    <w:p w14:paraId="145FFBF3" w14:textId="73380C82" w:rsidR="00475DFA" w:rsidRDefault="00475DFA" w:rsidP="00D1676F">
      <w:pPr>
        <w:spacing w:before="240" w:line="360" w:lineRule="auto"/>
        <w:jc w:val="both"/>
        <w:rPr>
          <w:rFonts w:ascii="Palatino Linotype" w:hAnsi="Palatino Linotype" w:cs="Arial"/>
          <w:sz w:val="24"/>
          <w:szCs w:val="24"/>
        </w:rPr>
      </w:pPr>
      <w:r w:rsidRPr="00475DFA">
        <w:rPr>
          <w:rFonts w:ascii="Palatino Linotype" w:hAnsi="Palatino Linotype" w:cs="Arial"/>
          <w:noProof/>
          <w:sz w:val="24"/>
          <w:szCs w:val="24"/>
          <w:lang w:eastAsia="es-MX"/>
        </w:rPr>
        <w:drawing>
          <wp:anchor distT="0" distB="0" distL="114300" distR="114300" simplePos="0" relativeHeight="251798518" behindDoc="0" locked="0" layoutInCell="1" allowOverlap="1" wp14:anchorId="112E85F2" wp14:editId="0BF9B653">
            <wp:simplePos x="0" y="0"/>
            <wp:positionH relativeFrom="page">
              <wp:align>center</wp:align>
            </wp:positionH>
            <wp:positionV relativeFrom="paragraph">
              <wp:posOffset>455930</wp:posOffset>
            </wp:positionV>
            <wp:extent cx="5760720" cy="3623310"/>
            <wp:effectExtent l="19050" t="19050" r="11430" b="15240"/>
            <wp:wrapThrough wrapText="bothSides">
              <wp:wrapPolygon edited="0">
                <wp:start x="-71" y="-114"/>
                <wp:lineTo x="-71" y="21577"/>
                <wp:lineTo x="21571" y="21577"/>
                <wp:lineTo x="21571" y="-114"/>
                <wp:lineTo x="-71" y="-114"/>
              </wp:wrapPolygon>
            </wp:wrapThrough>
            <wp:docPr id="18167925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92587"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23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63402B5" w14:textId="71CD6681" w:rsidR="00475DFA" w:rsidRDefault="00475DFA" w:rsidP="00D1676F">
      <w:pPr>
        <w:spacing w:before="240" w:line="360" w:lineRule="auto"/>
        <w:jc w:val="both"/>
        <w:rPr>
          <w:rFonts w:ascii="Palatino Linotype" w:hAnsi="Palatino Linotype" w:cs="Arial"/>
          <w:sz w:val="24"/>
          <w:szCs w:val="24"/>
        </w:rPr>
      </w:pPr>
    </w:p>
    <w:p w14:paraId="0250F2B1" w14:textId="77E15A9D" w:rsidR="00475DFA" w:rsidRDefault="00475DFA" w:rsidP="00D1676F">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805686" behindDoc="0" locked="0" layoutInCell="1" allowOverlap="1" wp14:anchorId="1B5E3AAA" wp14:editId="221405B7">
                <wp:simplePos x="0" y="0"/>
                <wp:positionH relativeFrom="column">
                  <wp:posOffset>403860</wp:posOffset>
                </wp:positionH>
                <wp:positionV relativeFrom="paragraph">
                  <wp:posOffset>5569585</wp:posOffset>
                </wp:positionV>
                <wp:extent cx="4968240" cy="320040"/>
                <wp:effectExtent l="0" t="0" r="22860" b="22860"/>
                <wp:wrapNone/>
                <wp:docPr id="6955854" name="Rectangle 2"/>
                <wp:cNvGraphicFramePr/>
                <a:graphic xmlns:a="http://schemas.openxmlformats.org/drawingml/2006/main">
                  <a:graphicData uri="http://schemas.microsoft.com/office/word/2010/wordprocessingShape">
                    <wps:wsp>
                      <wps:cNvSpPr/>
                      <wps:spPr>
                        <a:xfrm>
                          <a:off x="0" y="0"/>
                          <a:ext cx="4968240" cy="32004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0E91E9" id="Rectangle 2" o:spid="_x0000_s1026" style="position:absolute;margin-left:31.8pt;margin-top:438.55pt;width:391.2pt;height:25.2pt;z-index:2518056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" filled="f" strokecolor="#e00" strokeweight="1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803638" behindDoc="0" locked="0" layoutInCell="1" allowOverlap="1" wp14:anchorId="01BB5567" wp14:editId="34BC54EB">
                <wp:simplePos x="0" y="0"/>
                <wp:positionH relativeFrom="column">
                  <wp:posOffset>443865</wp:posOffset>
                </wp:positionH>
                <wp:positionV relativeFrom="paragraph">
                  <wp:posOffset>1798955</wp:posOffset>
                </wp:positionV>
                <wp:extent cx="4968240" cy="320040"/>
                <wp:effectExtent l="0" t="0" r="22860" b="22860"/>
                <wp:wrapNone/>
                <wp:docPr id="1728250988" name="Rectangle 2"/>
                <wp:cNvGraphicFramePr/>
                <a:graphic xmlns:a="http://schemas.openxmlformats.org/drawingml/2006/main">
                  <a:graphicData uri="http://schemas.microsoft.com/office/word/2010/wordprocessingShape">
                    <wps:wsp>
                      <wps:cNvSpPr/>
                      <wps:spPr>
                        <a:xfrm>
                          <a:off x="0" y="0"/>
                          <a:ext cx="4968240" cy="32004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173042" id="Rectangle 2" o:spid="_x0000_s1026" style="position:absolute;margin-left:34.95pt;margin-top:141.65pt;width:391.2pt;height:25.2pt;z-index:2518036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" filled="f" strokecolor="#e00" strokeweight="1pt"/>
            </w:pict>
          </mc:Fallback>
        </mc:AlternateContent>
      </w:r>
      <w:r w:rsidRPr="00475DFA">
        <w:rPr>
          <w:rFonts w:ascii="Palatino Linotype" w:hAnsi="Palatino Linotype" w:cs="Arial"/>
          <w:noProof/>
          <w:sz w:val="24"/>
          <w:szCs w:val="24"/>
          <w:lang w:eastAsia="es-MX"/>
        </w:rPr>
        <w:drawing>
          <wp:anchor distT="0" distB="0" distL="114300" distR="114300" simplePos="0" relativeHeight="251802614" behindDoc="0" locked="0" layoutInCell="1" allowOverlap="1" wp14:anchorId="3C98EBE5" wp14:editId="41BFC113">
            <wp:simplePos x="0" y="0"/>
            <wp:positionH relativeFrom="page">
              <wp:align>center</wp:align>
            </wp:positionH>
            <wp:positionV relativeFrom="paragraph">
              <wp:posOffset>3841115</wp:posOffset>
            </wp:positionV>
            <wp:extent cx="5760720" cy="3623310"/>
            <wp:effectExtent l="19050" t="19050" r="11430" b="15240"/>
            <wp:wrapThrough wrapText="bothSides">
              <wp:wrapPolygon edited="0">
                <wp:start x="-71" y="-114"/>
                <wp:lineTo x="-71" y="21577"/>
                <wp:lineTo x="21571" y="21577"/>
                <wp:lineTo x="21571" y="-114"/>
                <wp:lineTo x="-71" y="-114"/>
              </wp:wrapPolygon>
            </wp:wrapThrough>
            <wp:docPr id="8473529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2940"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23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75DFA">
        <w:rPr>
          <w:rFonts w:ascii="Palatino Linotype" w:hAnsi="Palatino Linotype" w:cs="Arial"/>
          <w:noProof/>
          <w:sz w:val="24"/>
          <w:szCs w:val="24"/>
          <w:lang w:eastAsia="es-MX"/>
        </w:rPr>
        <w:drawing>
          <wp:anchor distT="0" distB="0" distL="114300" distR="114300" simplePos="0" relativeHeight="251799542" behindDoc="0" locked="0" layoutInCell="1" allowOverlap="1" wp14:anchorId="23A26C46" wp14:editId="42408F21">
            <wp:simplePos x="0" y="0"/>
            <wp:positionH relativeFrom="page">
              <wp:align>center</wp:align>
            </wp:positionH>
            <wp:positionV relativeFrom="paragraph">
              <wp:posOffset>19050</wp:posOffset>
            </wp:positionV>
            <wp:extent cx="5760720" cy="3600450"/>
            <wp:effectExtent l="19050" t="19050" r="11430" b="19050"/>
            <wp:wrapThrough wrapText="bothSides">
              <wp:wrapPolygon edited="0">
                <wp:start x="-71" y="-114"/>
                <wp:lineTo x="-71" y="21600"/>
                <wp:lineTo x="21571" y="21600"/>
                <wp:lineTo x="21571" y="-114"/>
                <wp:lineTo x="-71" y="-114"/>
              </wp:wrapPolygon>
            </wp:wrapThrough>
            <wp:docPr id="7748998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99889"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0DDB03" w14:textId="77777777" w:rsidR="00475DFA" w:rsidRDefault="00464D8D" w:rsidP="00D1676F">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Ahora bien, resulta oportuno resaltar</w:t>
      </w:r>
      <w:r w:rsidR="00D1676F" w:rsidRPr="00B87CF1">
        <w:rPr>
          <w:rFonts w:ascii="Palatino Linotype" w:hAnsi="Palatino Linotype" w:cs="Arial"/>
          <w:sz w:val="24"/>
          <w:szCs w:val="24"/>
        </w:rPr>
        <w:t xml:space="preserve"> que </w:t>
      </w:r>
      <w:r w:rsidR="00D1676F" w:rsidRPr="00B87CF1">
        <w:rPr>
          <w:rFonts w:ascii="Palatino Linotype" w:hAnsi="Palatino Linotype" w:cs="Arial"/>
          <w:b/>
          <w:bCs/>
          <w:sz w:val="24"/>
          <w:szCs w:val="24"/>
        </w:rPr>
        <w:t xml:space="preserve">El Sujeto Obligado </w:t>
      </w:r>
      <w:r w:rsidR="00D1676F" w:rsidRPr="00B87CF1">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w:t>
      </w:r>
      <w:r w:rsidR="00475DFA">
        <w:rPr>
          <w:rFonts w:ascii="Palatino Linotype" w:hAnsi="Palatino Linotype" w:cs="Arial"/>
          <w:sz w:val="24"/>
          <w:szCs w:val="24"/>
        </w:rPr>
        <w:t xml:space="preserve">la Dirección de Administración, así como la Tesorería municipal. </w:t>
      </w:r>
    </w:p>
    <w:p w14:paraId="73B7B006" w14:textId="0D37A5BD" w:rsidR="009260A7" w:rsidRDefault="00475DFA" w:rsidP="00475DF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En este sentido, para ilustrar su esfera competencial se traen a colación el artículo 95 de la Ley Orgánica Municipal del Estado de México</w:t>
      </w:r>
      <w:r w:rsidR="009260A7">
        <w:rPr>
          <w:rFonts w:ascii="Palatino Linotype" w:hAnsi="Palatino Linotype" w:cs="Arial"/>
          <w:sz w:val="24"/>
          <w:szCs w:val="24"/>
        </w:rPr>
        <w:t>; numeral 64 del Bando municipal de Calimaya; a</w:t>
      </w:r>
      <w:r>
        <w:rPr>
          <w:rFonts w:ascii="Palatino Linotype" w:hAnsi="Palatino Linotype" w:cs="Arial"/>
          <w:sz w:val="24"/>
          <w:szCs w:val="24"/>
        </w:rPr>
        <w:t xml:space="preserve">sí como el </w:t>
      </w:r>
      <w:r w:rsidR="009260A7">
        <w:rPr>
          <w:rFonts w:ascii="Palatino Linotype" w:hAnsi="Palatino Linotype" w:cs="Arial"/>
          <w:sz w:val="24"/>
          <w:szCs w:val="24"/>
        </w:rPr>
        <w:t xml:space="preserve">apartado 32 del Catálogo general de puestos de la administración municipal de Calimaya, porciones normativas que disponen a la literalidad lo siguiente: </w:t>
      </w:r>
    </w:p>
    <w:p w14:paraId="64E0D44B" w14:textId="77777777" w:rsidR="00475DFA" w:rsidRPr="00A0321B" w:rsidRDefault="00475DFA" w:rsidP="00475DFA">
      <w:pPr>
        <w:pStyle w:val="Citas"/>
        <w:jc w:val="center"/>
        <w:rPr>
          <w:b/>
          <w:bCs/>
          <w:i w:val="0"/>
          <w:iCs/>
        </w:rPr>
      </w:pPr>
      <w:r w:rsidRPr="00A0321B">
        <w:rPr>
          <w:b/>
          <w:bCs/>
          <w:i w:val="0"/>
          <w:iCs/>
        </w:rPr>
        <w:t>LEY ORGÁNICA MUNICIPAL DEL ESTADO DE MÉXICO</w:t>
      </w:r>
    </w:p>
    <w:p w14:paraId="203D1F22" w14:textId="77777777" w:rsidR="00475DFA" w:rsidRPr="00FE41D4" w:rsidRDefault="00475DFA" w:rsidP="00475DFA">
      <w:pPr>
        <w:pStyle w:val="Citas"/>
        <w:rPr>
          <w:b/>
          <w:bCs/>
          <w:u w:val="single"/>
        </w:rPr>
      </w:pPr>
      <w:r w:rsidRPr="00A0321B">
        <w:t>“</w:t>
      </w:r>
      <w:r w:rsidRPr="00FE41D4">
        <w:rPr>
          <w:b/>
          <w:bCs/>
          <w:u w:val="single"/>
        </w:rPr>
        <w:t>Artículo 95.- Son atribuciones del tesorero municipal:</w:t>
      </w:r>
    </w:p>
    <w:p w14:paraId="63E025AE" w14:textId="77777777" w:rsidR="00475DFA" w:rsidRDefault="00475DFA" w:rsidP="00475DFA">
      <w:pPr>
        <w:pStyle w:val="Citas"/>
      </w:pPr>
      <w:r>
        <w:t>I. Administrar la hacienda pública municipal, de conformidad con las disposiciones legales aplicables;</w:t>
      </w:r>
    </w:p>
    <w:p w14:paraId="2912653F" w14:textId="77777777" w:rsidR="00475DFA" w:rsidRDefault="00475DFA" w:rsidP="00475DFA">
      <w:pPr>
        <w:pStyle w:val="Citas"/>
      </w:pPr>
      <w:r>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41C2DDFB" w14:textId="77777777" w:rsidR="00475DFA" w:rsidRDefault="00475DFA" w:rsidP="00475DFA">
      <w:pPr>
        <w:pStyle w:val="Citas"/>
      </w:pPr>
      <w:r>
        <w:t>(…)</w:t>
      </w:r>
    </w:p>
    <w:p w14:paraId="6BCAB395" w14:textId="77777777" w:rsidR="00475DFA" w:rsidRDefault="00475DFA" w:rsidP="00475DFA">
      <w:pPr>
        <w:pStyle w:val="Citas"/>
      </w:pPr>
      <w:r>
        <w:t>IV. Llevar los registros contables, financieros y administrativos de los ingresos, egresos, e inventarios;</w:t>
      </w:r>
    </w:p>
    <w:p w14:paraId="5A584D51" w14:textId="77777777" w:rsidR="00475DFA" w:rsidRPr="00E33199" w:rsidRDefault="00475DFA" w:rsidP="00475DFA">
      <w:pPr>
        <w:pStyle w:val="Citas"/>
        <w:rPr>
          <w:b/>
          <w:bCs/>
        </w:rPr>
      </w:pPr>
      <w:r>
        <w:t xml:space="preserve">(…)” </w:t>
      </w:r>
      <w:r>
        <w:rPr>
          <w:b/>
          <w:bCs/>
        </w:rPr>
        <w:t>(Sic)</w:t>
      </w:r>
    </w:p>
    <w:p w14:paraId="77A5827B" w14:textId="6DCC1C4B" w:rsidR="009260A7" w:rsidRPr="009260A7" w:rsidRDefault="009260A7" w:rsidP="009260A7">
      <w:pPr>
        <w:pStyle w:val="infoem0"/>
        <w:jc w:val="center"/>
        <w:rPr>
          <w:b/>
          <w:bCs/>
          <w:i w:val="0"/>
          <w:iCs/>
        </w:rPr>
      </w:pPr>
      <w:r w:rsidRPr="009260A7">
        <w:rPr>
          <w:b/>
          <w:bCs/>
          <w:i w:val="0"/>
          <w:iCs/>
        </w:rPr>
        <w:lastRenderedPageBreak/>
        <w:t>BANDO MUNICIPAL DE CALIMAYA</w:t>
      </w:r>
    </w:p>
    <w:p w14:paraId="216DD965" w14:textId="43DB1CB2" w:rsidR="00475DFA" w:rsidRPr="00475DFA" w:rsidRDefault="009260A7" w:rsidP="00475DFA">
      <w:pPr>
        <w:pStyle w:val="infoem0"/>
      </w:pPr>
      <w:r>
        <w:t>“</w:t>
      </w:r>
      <w:r w:rsidR="00475DFA" w:rsidRPr="00475DFA">
        <w:t>DE LA DIRECCIÓN DE ADMINISTRACIÓN</w:t>
      </w:r>
    </w:p>
    <w:p w14:paraId="197338C6" w14:textId="48E0AF61" w:rsidR="00475DFA" w:rsidRPr="009260A7" w:rsidRDefault="00475DFA" w:rsidP="00475DFA">
      <w:pPr>
        <w:pStyle w:val="infoem0"/>
        <w:rPr>
          <w:b/>
          <w:bCs/>
        </w:rPr>
      </w:pPr>
      <w:r w:rsidRPr="00475DFA">
        <w:t>Artículo 64. Es el área encargada de proveer los recursos materiales</w:t>
      </w:r>
      <w:r>
        <w:t xml:space="preserve"> </w:t>
      </w:r>
      <w:r w:rsidRPr="00475DFA">
        <w:t>y servicios necesarios para cada una de las áreas que corresponden a la</w:t>
      </w:r>
      <w:r>
        <w:t xml:space="preserve"> </w:t>
      </w:r>
      <w:r w:rsidRPr="00475DFA">
        <w:t>Administración Pública Municipal, cumpliendo con las disposiciones</w:t>
      </w:r>
      <w:r>
        <w:t xml:space="preserve"> </w:t>
      </w:r>
      <w:r w:rsidRPr="00475DFA">
        <w:t>establecidas en las leyes aplicables a la materia, en lo referente a</w:t>
      </w:r>
      <w:r>
        <w:t xml:space="preserve"> </w:t>
      </w:r>
      <w:r w:rsidRPr="00475DFA">
        <w:t>las adquisiciones, enajenaciones, arrendamientos y servicios, en</w:t>
      </w:r>
      <w:r>
        <w:t xml:space="preserve"> </w:t>
      </w:r>
      <w:r w:rsidRPr="00475DFA">
        <w:t>coordinación con las Dependencias y Organismos auxiliares interesados;</w:t>
      </w:r>
      <w:r>
        <w:t xml:space="preserve"> </w:t>
      </w:r>
      <w:r w:rsidRPr="00475DFA">
        <w:t>su actividad estará regulada por la Ley de Contratación Pública del Estado</w:t>
      </w:r>
      <w:r>
        <w:t xml:space="preserve"> </w:t>
      </w:r>
      <w:r w:rsidRPr="00475DFA">
        <w:t>de México y Municipios y su Reglamento, y demás disposiciones de la</w:t>
      </w:r>
      <w:r>
        <w:t xml:space="preserve"> </w:t>
      </w:r>
      <w:r w:rsidRPr="00475DFA">
        <w:t>materia</w:t>
      </w:r>
      <w:r w:rsidR="009260A7">
        <w:t xml:space="preserve">” </w:t>
      </w:r>
      <w:r w:rsidR="009260A7">
        <w:rPr>
          <w:b/>
          <w:bCs/>
        </w:rPr>
        <w:t>(Sic)</w:t>
      </w:r>
    </w:p>
    <w:p w14:paraId="19864A24" w14:textId="77777777" w:rsidR="00475DFA" w:rsidRDefault="00475DFA" w:rsidP="00D1676F">
      <w:pPr>
        <w:spacing w:before="240" w:line="360" w:lineRule="auto"/>
        <w:jc w:val="both"/>
        <w:rPr>
          <w:rFonts w:ascii="Palatino Linotype" w:hAnsi="Palatino Linotype" w:cs="Arial"/>
          <w:sz w:val="24"/>
          <w:szCs w:val="24"/>
        </w:rPr>
      </w:pPr>
    </w:p>
    <w:p w14:paraId="7011F9F8" w14:textId="1259F005" w:rsidR="00FE756C" w:rsidRPr="00FE756C" w:rsidRDefault="009260A7" w:rsidP="009260A7">
      <w:pPr>
        <w:pStyle w:val="Citas"/>
        <w:jc w:val="center"/>
        <w:rPr>
          <w:b/>
          <w:bCs/>
          <w:i w:val="0"/>
          <w:iCs/>
        </w:rPr>
      </w:pPr>
      <w:r>
        <w:rPr>
          <w:b/>
          <w:bCs/>
          <w:i w:val="0"/>
          <w:iCs/>
        </w:rPr>
        <w:t>CATÁLOGO GENERAL DE PUESTOS DE LA ADMINISTRACIÓN MUNICIPAL DE CALIMAYA</w:t>
      </w:r>
    </w:p>
    <w:p w14:paraId="788A77D6" w14:textId="50C268B1" w:rsidR="00FE756C" w:rsidRDefault="009260A7" w:rsidP="00FE756C">
      <w:pPr>
        <w:pStyle w:val="Citas"/>
      </w:pPr>
      <w:r>
        <w:t>“</w:t>
      </w:r>
      <w:r w:rsidR="00FE756C">
        <w:t>32. COORDINACIÓN DE RECURSOS HUMANOS</w:t>
      </w:r>
    </w:p>
    <w:p w14:paraId="5432E878" w14:textId="67762220" w:rsidR="00FE756C" w:rsidRDefault="00FE756C" w:rsidP="00FE756C">
      <w:pPr>
        <w:pStyle w:val="Citas"/>
      </w:pPr>
      <w:r>
        <w:t>III. FUNCIONES</w:t>
      </w:r>
    </w:p>
    <w:p w14:paraId="2CD92892" w14:textId="55344DD2" w:rsidR="00FE756C" w:rsidRPr="00FE756C" w:rsidRDefault="00FE756C" w:rsidP="006E5CD8">
      <w:pPr>
        <w:pStyle w:val="Citas"/>
        <w:numPr>
          <w:ilvl w:val="0"/>
          <w:numId w:val="7"/>
        </w:numPr>
      </w:pPr>
      <w:r w:rsidRPr="00FE756C">
        <w:t>Contratar y asignar a las dependencias el personal que requieran para el ejercicio de sus</w:t>
      </w:r>
      <w:r>
        <w:t xml:space="preserve"> </w:t>
      </w:r>
      <w:r w:rsidRPr="00FE756C">
        <w:t>atribuciones</w:t>
      </w:r>
    </w:p>
    <w:p w14:paraId="7AEFD744" w14:textId="747E9A19" w:rsidR="00FE756C" w:rsidRPr="00FE756C" w:rsidRDefault="00FE756C" w:rsidP="006E5CD8">
      <w:pPr>
        <w:pStyle w:val="Citas"/>
        <w:numPr>
          <w:ilvl w:val="0"/>
          <w:numId w:val="7"/>
        </w:numPr>
      </w:pPr>
      <w:r w:rsidRPr="00FE756C">
        <w:t>Llevar la base de datos, registro y control del personal que labore en la Administración</w:t>
      </w:r>
      <w:r>
        <w:t xml:space="preserve"> </w:t>
      </w:r>
      <w:r w:rsidRPr="00FE756C">
        <w:t>Pública Municipal</w:t>
      </w:r>
    </w:p>
    <w:p w14:paraId="636CA109" w14:textId="31BB71C9" w:rsidR="00FE756C" w:rsidRDefault="00FE756C" w:rsidP="006E5CD8">
      <w:pPr>
        <w:pStyle w:val="Citas"/>
        <w:numPr>
          <w:ilvl w:val="0"/>
          <w:numId w:val="7"/>
        </w:numPr>
      </w:pPr>
      <w:r w:rsidRPr="00FE756C">
        <w:t>Llevar el registro de los expedientes personales o nombramientos del personal adscrito a</w:t>
      </w:r>
      <w:r>
        <w:t xml:space="preserve"> </w:t>
      </w:r>
      <w:r w:rsidRPr="00FE756C">
        <w:t>las dependencias</w:t>
      </w:r>
      <w:r>
        <w:t xml:space="preserve"> </w:t>
      </w:r>
    </w:p>
    <w:p w14:paraId="14AEE313" w14:textId="39A31F49" w:rsidR="00FE756C" w:rsidRDefault="00FE756C" w:rsidP="006E5CD8">
      <w:pPr>
        <w:pStyle w:val="Citas"/>
        <w:numPr>
          <w:ilvl w:val="0"/>
          <w:numId w:val="7"/>
        </w:numPr>
      </w:pPr>
      <w:r w:rsidRPr="00FE756C">
        <w:lastRenderedPageBreak/>
        <w:t>Apoyar el Servicio Social y Prácticas profesionales de estudiantes de educación de nivel</w:t>
      </w:r>
      <w:r>
        <w:t xml:space="preserve"> </w:t>
      </w:r>
      <w:r w:rsidRPr="00FE756C">
        <w:t>medio y superior, canalizándolos a las diferentes dependencias municipales y estatales con</w:t>
      </w:r>
      <w:r>
        <w:t xml:space="preserve"> </w:t>
      </w:r>
      <w:r w:rsidRPr="00FE756C">
        <w:t>los que se tenga convenio</w:t>
      </w:r>
    </w:p>
    <w:p w14:paraId="28D8AA50" w14:textId="77777777" w:rsidR="00FE756C" w:rsidRPr="00FE756C" w:rsidRDefault="00FE756C" w:rsidP="006E5CD8">
      <w:pPr>
        <w:pStyle w:val="Citas"/>
        <w:numPr>
          <w:ilvl w:val="0"/>
          <w:numId w:val="7"/>
        </w:numPr>
      </w:pPr>
      <w:r w:rsidRPr="00FE756C">
        <w:t>Llevar el registro en conjunto con Tesorería, de los movimientos de alta y baja de los</w:t>
      </w:r>
    </w:p>
    <w:p w14:paraId="1B0A856C" w14:textId="77777777" w:rsidR="00FE756C" w:rsidRPr="00FE756C" w:rsidRDefault="00FE756C" w:rsidP="006E5CD8">
      <w:pPr>
        <w:pStyle w:val="Citas"/>
        <w:numPr>
          <w:ilvl w:val="0"/>
          <w:numId w:val="7"/>
        </w:numPr>
      </w:pPr>
      <w:r w:rsidRPr="00FE756C">
        <w:t>servidores públicos municipales, para el acceso a las prestaciones y servicios</w:t>
      </w:r>
    </w:p>
    <w:p w14:paraId="4C270348" w14:textId="7488384B" w:rsidR="00FE756C" w:rsidRDefault="00FE756C" w:rsidP="006E5CD8">
      <w:pPr>
        <w:pStyle w:val="Citas"/>
        <w:numPr>
          <w:ilvl w:val="0"/>
          <w:numId w:val="7"/>
        </w:numPr>
      </w:pPr>
      <w:r w:rsidRPr="00FE756C">
        <w:t>correspondiente</w:t>
      </w:r>
      <w:r>
        <w:t>s</w:t>
      </w:r>
    </w:p>
    <w:p w14:paraId="609A38BD" w14:textId="39F4EFBA" w:rsidR="00FE756C" w:rsidRDefault="00FE756C" w:rsidP="006E5CD8">
      <w:pPr>
        <w:pStyle w:val="Citas"/>
        <w:numPr>
          <w:ilvl w:val="0"/>
          <w:numId w:val="7"/>
        </w:numPr>
      </w:pPr>
      <w:r>
        <w:t>P</w:t>
      </w:r>
      <w:r w:rsidRPr="00FE756C">
        <w:t>roporcionar la documentación a las áreas solicitantes, para los trámites ante las instancias</w:t>
      </w:r>
      <w:r>
        <w:t xml:space="preserve"> </w:t>
      </w:r>
      <w:r w:rsidRPr="00FE756C">
        <w:t>correspondientes para los efectos legales a los que haya lug</w:t>
      </w:r>
      <w:r>
        <w:t>ar</w:t>
      </w:r>
    </w:p>
    <w:p w14:paraId="287168BA" w14:textId="0B1E1423" w:rsidR="00FE756C" w:rsidRDefault="00FE756C" w:rsidP="006E5CD8">
      <w:pPr>
        <w:pStyle w:val="Citas"/>
        <w:numPr>
          <w:ilvl w:val="0"/>
          <w:numId w:val="7"/>
        </w:numPr>
      </w:pPr>
      <w:r w:rsidRPr="00FE756C">
        <w:t>Elaborar las actas administrativas, por faltas cometidas por los servidores público</w:t>
      </w:r>
      <w:r w:rsidR="009260A7">
        <w:t xml:space="preserve">” </w:t>
      </w:r>
      <w:r w:rsidR="009260A7">
        <w:rPr>
          <w:b/>
          <w:bCs/>
        </w:rPr>
        <w:t>(Sic)</w:t>
      </w:r>
    </w:p>
    <w:p w14:paraId="09EBB67F" w14:textId="77777777" w:rsidR="00475DFA" w:rsidRDefault="00475DFA" w:rsidP="00D1676F">
      <w:pPr>
        <w:spacing w:before="240" w:line="360" w:lineRule="auto"/>
        <w:jc w:val="both"/>
        <w:rPr>
          <w:rFonts w:ascii="Palatino Linotype" w:hAnsi="Palatino Linotype" w:cs="Arial"/>
          <w:sz w:val="24"/>
          <w:szCs w:val="24"/>
        </w:rPr>
      </w:pPr>
    </w:p>
    <w:p w14:paraId="620B6AB0" w14:textId="77777777" w:rsidR="009260A7" w:rsidRDefault="009260A7" w:rsidP="009260A7">
      <w:pPr>
        <w:pStyle w:val="Citas"/>
        <w:ind w:left="0" w:right="0"/>
        <w:rPr>
          <w:i w:val="0"/>
          <w:sz w:val="24"/>
          <w:szCs w:val="24"/>
        </w:rPr>
      </w:pPr>
      <w:r>
        <w:rPr>
          <w:i w:val="0"/>
          <w:sz w:val="24"/>
          <w:szCs w:val="24"/>
        </w:rPr>
        <w:t xml:space="preserve">Bajo este contexto, a toda luz se desprende que la dirección general de administración tiene competencia en materia de altas, bajas, nómina, directorio de servidores públicos, entre otros. En contraste, la tesorería da cuenta respecto de las cuentas del Ayuntamiento, ingresos, egresos, así como otros tópicos. </w:t>
      </w:r>
    </w:p>
    <w:p w14:paraId="555F93BE" w14:textId="14DA10BA" w:rsidR="009260A7" w:rsidRDefault="006165F4"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r w:rsidRPr="003721AF">
        <w:rPr>
          <w:rFonts w:ascii="Palatino Linotype" w:hAnsi="Palatino Linotype" w:cs="Arial"/>
          <w:lang w:val="es-MX"/>
        </w:rPr>
        <w:t xml:space="preserve">Una vez sentado lo anterior, como se mencionó en el antecedente </w:t>
      </w:r>
      <w:r w:rsidR="00891C40" w:rsidRPr="003721AF">
        <w:rPr>
          <w:rFonts w:ascii="Palatino Linotype" w:hAnsi="Palatino Linotype" w:cs="Arial"/>
          <w:lang w:val="es-MX"/>
        </w:rPr>
        <w:t>segundo</w:t>
      </w:r>
      <w:r w:rsidRPr="003721AF">
        <w:rPr>
          <w:rFonts w:ascii="Palatino Linotype" w:hAnsi="Palatino Linotype" w:cs="Arial"/>
          <w:lang w:val="es-MX"/>
        </w:rPr>
        <w:t xml:space="preserve">, </w:t>
      </w:r>
      <w:r w:rsidRPr="003721AF">
        <w:rPr>
          <w:rFonts w:ascii="Palatino Linotype" w:hAnsi="Palatino Linotype" w:cs="Arial"/>
          <w:b/>
          <w:bCs/>
          <w:lang w:val="es-MX"/>
        </w:rPr>
        <w:t xml:space="preserve">El Sujeto Obligado </w:t>
      </w:r>
      <w:r w:rsidRPr="003721AF">
        <w:rPr>
          <w:rFonts w:ascii="Palatino Linotype" w:hAnsi="Palatino Linotype" w:cs="Arial"/>
          <w:lang w:val="es-MX"/>
        </w:rPr>
        <w:t>en fecha</w:t>
      </w:r>
      <w:r w:rsidR="00EE0650">
        <w:rPr>
          <w:rFonts w:ascii="Palatino Linotype" w:hAnsi="Palatino Linotype" w:cs="Arial"/>
          <w:lang w:val="es-MX"/>
        </w:rPr>
        <w:t xml:space="preserve"> </w:t>
      </w:r>
      <w:r w:rsidR="009260A7">
        <w:rPr>
          <w:rFonts w:ascii="Palatino Linotype" w:hAnsi="Palatino Linotype" w:cs="Arial"/>
          <w:b/>
          <w:bCs/>
          <w:lang w:val="es-MX"/>
        </w:rPr>
        <w:t xml:space="preserve">tres de junio de dos mil veinticinco, </w:t>
      </w:r>
      <w:r w:rsidR="009260A7">
        <w:rPr>
          <w:rFonts w:ascii="Palatino Linotype" w:hAnsi="Palatino Linotype" w:cs="Arial"/>
          <w:lang w:val="es-MX"/>
        </w:rPr>
        <w:t>rindió su respuesta a la solicitud de información, adjuntando para tal efecto lo siguiente:</w:t>
      </w:r>
    </w:p>
    <w:p w14:paraId="4D4B2205" w14:textId="6ACDACD9" w:rsidR="009260A7" w:rsidRPr="0018777A" w:rsidRDefault="009260A7" w:rsidP="006E5CD8">
      <w:pPr>
        <w:pStyle w:val="Prrafodelista"/>
        <w:numPr>
          <w:ilvl w:val="0"/>
          <w:numId w:val="8"/>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lastRenderedPageBreak/>
        <w:t xml:space="preserve">“oficio 279.pdf”: </w:t>
      </w:r>
      <w:r w:rsidR="0018777A">
        <w:rPr>
          <w:rFonts w:ascii="Palatino Linotype" w:hAnsi="Palatino Linotype" w:cs="Arial"/>
          <w:lang w:val="es-MX"/>
        </w:rPr>
        <w:t xml:space="preserve">Oficio número </w:t>
      </w:r>
      <w:r w:rsidR="0018777A">
        <w:rPr>
          <w:rFonts w:ascii="Palatino Linotype" w:hAnsi="Palatino Linotype" w:cs="Arial"/>
          <w:b/>
          <w:bCs/>
          <w:lang w:val="es-MX"/>
        </w:rPr>
        <w:t xml:space="preserve">PMC/TM/0433/2025 </w:t>
      </w:r>
      <w:r w:rsidR="0018777A">
        <w:rPr>
          <w:rFonts w:ascii="Palatino Linotype" w:hAnsi="Palatino Linotype" w:cs="Arial"/>
          <w:lang w:val="es-MX"/>
        </w:rPr>
        <w:t>signado por el tesorero municipal, dirigido a la titular de la unidad de transparencia, de fecha dos de junio de dos mil veinticinco, resulta de nuestro interés el siguiente extracto:</w:t>
      </w:r>
    </w:p>
    <w:p w14:paraId="4001F3BB" w14:textId="24157215" w:rsidR="0018777A" w:rsidRPr="0005773C" w:rsidRDefault="0018777A" w:rsidP="0018777A">
      <w:pPr>
        <w:pStyle w:val="Prrafodelista"/>
        <w:autoSpaceDE w:val="0"/>
        <w:autoSpaceDN w:val="0"/>
        <w:adjustRightInd w:val="0"/>
        <w:spacing w:before="240" w:after="160" w:line="360" w:lineRule="auto"/>
        <w:ind w:left="720"/>
        <w:jc w:val="both"/>
        <w:rPr>
          <w:rFonts w:ascii="Palatino Linotype" w:hAnsi="Palatino Linotype" w:cs="Arial"/>
          <w:b/>
          <w:bCs/>
          <w:i/>
          <w:iCs/>
          <w:lang w:val="es-MX"/>
        </w:rPr>
      </w:pPr>
      <w:r>
        <w:rPr>
          <w:rFonts w:ascii="Palatino Linotype" w:hAnsi="Palatino Linotype" w:cs="Arial"/>
          <w:i/>
          <w:iCs/>
          <w:lang w:val="es-MX"/>
        </w:rPr>
        <w:t xml:space="preserve">“Se hace de su conocimiento que, </w:t>
      </w:r>
      <w:r w:rsidR="0005773C">
        <w:rPr>
          <w:rFonts w:ascii="Palatino Linotype" w:hAnsi="Palatino Linotype" w:cs="Arial"/>
          <w:i/>
          <w:iCs/>
          <w:lang w:val="es-MX"/>
        </w:rPr>
        <w:t xml:space="preserve">derivado de la solicitud de información, donde nos pide el sueldo quincenal de la Titular de la Unidad de Transparencia es de $12,000.00 pesos, por lo tanto, se da respuesta conforme al artículo 52 de la Ley de Transparencia y Acceso a la Información Pública del Estado de México y Municipios” </w:t>
      </w:r>
      <w:r w:rsidR="0005773C">
        <w:rPr>
          <w:rFonts w:ascii="Palatino Linotype" w:hAnsi="Palatino Linotype" w:cs="Arial"/>
          <w:b/>
          <w:bCs/>
          <w:i/>
          <w:iCs/>
          <w:lang w:val="es-MX"/>
        </w:rPr>
        <w:t>(Sic)</w:t>
      </w:r>
    </w:p>
    <w:p w14:paraId="4D94A400" w14:textId="77777777" w:rsidR="00EE0650" w:rsidRDefault="00EE0650" w:rsidP="001B3E2A">
      <w:pPr>
        <w:spacing w:before="240" w:line="360" w:lineRule="auto"/>
        <w:jc w:val="both"/>
        <w:rPr>
          <w:rFonts w:ascii="Palatino Linotype" w:hAnsi="Palatino Linotype"/>
          <w:sz w:val="24"/>
          <w:szCs w:val="24"/>
        </w:rPr>
      </w:pPr>
    </w:p>
    <w:p w14:paraId="7A271DEE" w14:textId="77777777" w:rsidR="0005773C" w:rsidRPr="00602DD7" w:rsidRDefault="0005773C" w:rsidP="0005773C">
      <w:pPr>
        <w:spacing w:before="240" w:line="360" w:lineRule="auto"/>
        <w:jc w:val="both"/>
        <w:rPr>
          <w:rFonts w:ascii="Palatino Linotype" w:hAnsi="Palatino Linotype"/>
          <w:sz w:val="24"/>
          <w:szCs w:val="24"/>
          <w:lang w:eastAsia="es-MX"/>
        </w:rPr>
      </w:pPr>
      <w:r w:rsidRPr="00602DD7">
        <w:rPr>
          <w:rFonts w:ascii="Palatino Linotype" w:hAnsi="Palatino Linotype" w:cs="Arial"/>
          <w:sz w:val="24"/>
          <w:szCs w:val="24"/>
        </w:rPr>
        <w:t xml:space="preserve">En las generalizaciones anteriores se comprende que </w:t>
      </w:r>
      <w:r w:rsidRPr="00602DD7">
        <w:rPr>
          <w:rFonts w:ascii="Palatino Linotype" w:hAnsi="Palatino Linotype" w:cs="Arial"/>
          <w:b/>
          <w:bCs/>
          <w:sz w:val="24"/>
          <w:szCs w:val="24"/>
        </w:rPr>
        <w:t xml:space="preserve">El Sujeto Obligado </w:t>
      </w:r>
      <w:r w:rsidRPr="00602DD7">
        <w:rPr>
          <w:rFonts w:ascii="Palatino Linotype" w:hAnsi="Palatino Linotype" w:cs="Arial"/>
          <w:sz w:val="24"/>
          <w:szCs w:val="24"/>
        </w:rPr>
        <w:t xml:space="preserve">observó de forma diligente el </w:t>
      </w:r>
      <w:r w:rsidRPr="00602DD7">
        <w:rPr>
          <w:rFonts w:ascii="Palatino Linotype" w:hAnsi="Palatino Linotype"/>
          <w:sz w:val="24"/>
          <w:szCs w:val="24"/>
          <w:lang w:eastAsia="es-MX"/>
        </w:rPr>
        <w:t>numeral 162, de la Ley de Transparencia y Acceso a la Información Pública del Estado de México y Municipios, que índica:</w:t>
      </w:r>
    </w:p>
    <w:p w14:paraId="49B43A7B" w14:textId="77777777" w:rsidR="0005773C" w:rsidRDefault="0005773C" w:rsidP="0005773C">
      <w:pPr>
        <w:pStyle w:val="Citas"/>
        <w:rPr>
          <w:b/>
          <w:bCs/>
        </w:rPr>
      </w:pPr>
      <w:r w:rsidRPr="007005FC">
        <w:t>“</w:t>
      </w:r>
      <w:r w:rsidRPr="007005FC">
        <w:rPr>
          <w:b/>
          <w:bCs/>
        </w:rPr>
        <w:t xml:space="preserve">Artículo 162. </w:t>
      </w:r>
      <w:r w:rsidRPr="007005FC">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223466D0" w14:textId="77777777" w:rsidR="0005773C" w:rsidRDefault="0005773C" w:rsidP="0005773C">
      <w:pPr>
        <w:spacing w:before="240" w:line="360" w:lineRule="auto"/>
        <w:jc w:val="both"/>
        <w:rPr>
          <w:rFonts w:ascii="Palatino Linotype" w:hAnsi="Palatino Linotype"/>
          <w:sz w:val="24"/>
          <w:szCs w:val="24"/>
        </w:rPr>
      </w:pPr>
    </w:p>
    <w:p w14:paraId="4F590324" w14:textId="4DC4EC70" w:rsidR="0005773C" w:rsidRPr="0005773C" w:rsidRDefault="0005773C" w:rsidP="0005773C">
      <w:pPr>
        <w:spacing w:before="240" w:line="360" w:lineRule="auto"/>
        <w:jc w:val="both"/>
        <w:rPr>
          <w:rFonts w:ascii="Palatino Linotype" w:hAnsi="Palatino Linotype" w:cs="Arial"/>
          <w:sz w:val="24"/>
          <w:szCs w:val="24"/>
        </w:rPr>
      </w:pPr>
      <w:r w:rsidRPr="00602DD7">
        <w:rPr>
          <w:rFonts w:ascii="Palatino Linotype" w:hAnsi="Palatino Linotype" w:cs="Arial"/>
          <w:sz w:val="24"/>
          <w:szCs w:val="24"/>
        </w:rPr>
        <w:t xml:space="preserve">Por otra parte, es conveniente acotar que el servidor público habilitado atendió </w:t>
      </w:r>
      <w:r>
        <w:rPr>
          <w:rFonts w:ascii="Palatino Linotype" w:hAnsi="Palatino Linotype" w:cs="Arial"/>
          <w:sz w:val="24"/>
          <w:szCs w:val="24"/>
        </w:rPr>
        <w:t xml:space="preserve">la solicitud de </w:t>
      </w:r>
      <w:r w:rsidR="00901082">
        <w:rPr>
          <w:rFonts w:ascii="Palatino Linotype" w:hAnsi="Palatino Linotype" w:cs="Arial"/>
          <w:sz w:val="24"/>
          <w:szCs w:val="24"/>
        </w:rPr>
        <w:t xml:space="preserve">información </w:t>
      </w:r>
      <w:r w:rsidR="00901082" w:rsidRPr="00901082">
        <w:rPr>
          <w:rFonts w:ascii="Palatino Linotype" w:hAnsi="Palatino Linotype" w:cs="Arial"/>
          <w:b/>
          <w:bCs/>
          <w:sz w:val="24"/>
          <w:szCs w:val="24"/>
        </w:rPr>
        <w:t>00279</w:t>
      </w:r>
      <w:r w:rsidRPr="00901082">
        <w:rPr>
          <w:rFonts w:ascii="Palatino Linotype" w:hAnsi="Palatino Linotype" w:cs="Arial"/>
          <w:b/>
          <w:bCs/>
          <w:sz w:val="24"/>
        </w:rPr>
        <w:t>/</w:t>
      </w:r>
      <w:r>
        <w:rPr>
          <w:rFonts w:ascii="Palatino Linotype" w:hAnsi="Palatino Linotype" w:cs="Arial"/>
          <w:b/>
          <w:bCs/>
          <w:sz w:val="24"/>
        </w:rPr>
        <w:t xml:space="preserve">CALIMAYA/IP/2025, </w:t>
      </w:r>
      <w:r>
        <w:rPr>
          <w:rFonts w:ascii="Palatino Linotype" w:hAnsi="Palatino Linotype" w:cs="Arial"/>
          <w:sz w:val="24"/>
        </w:rPr>
        <w:t xml:space="preserve">en estricta observancia al criterio </w:t>
      </w:r>
      <w:r>
        <w:rPr>
          <w:rFonts w:ascii="Palatino Linotype" w:hAnsi="Palatino Linotype" w:cs="Arial"/>
          <w:b/>
          <w:bCs/>
          <w:sz w:val="24"/>
        </w:rPr>
        <w:t xml:space="preserve">16/17 </w:t>
      </w:r>
      <w:r>
        <w:rPr>
          <w:rFonts w:ascii="Palatino Linotype" w:hAnsi="Palatino Linotype" w:cs="Arial"/>
          <w:sz w:val="24"/>
        </w:rPr>
        <w:t xml:space="preserve">emitido por el entonces Órgano garante nacional, relativo a la expresión documental. </w:t>
      </w:r>
    </w:p>
    <w:p w14:paraId="3B8A5DF3" w14:textId="77777777" w:rsidR="0005773C" w:rsidRDefault="0005773C" w:rsidP="001B3E2A">
      <w:pPr>
        <w:spacing w:before="240" w:line="360" w:lineRule="auto"/>
        <w:jc w:val="both"/>
        <w:rPr>
          <w:rFonts w:ascii="Palatino Linotype" w:hAnsi="Palatino Linotype"/>
          <w:sz w:val="24"/>
          <w:szCs w:val="24"/>
        </w:rPr>
      </w:pPr>
    </w:p>
    <w:p w14:paraId="10204905" w14:textId="486AD54D" w:rsidR="00776163" w:rsidRPr="001F410E" w:rsidRDefault="00776163" w:rsidP="00776163">
      <w:pPr>
        <w:pStyle w:val="Citas"/>
        <w:ind w:left="0" w:right="0"/>
        <w:rPr>
          <w:i w:val="0"/>
          <w:iCs/>
          <w:sz w:val="24"/>
          <w:szCs w:val="24"/>
        </w:rPr>
      </w:pPr>
      <w:r w:rsidRPr="00102B4F">
        <w:rPr>
          <w:i w:val="0"/>
          <w:iCs/>
          <w:sz w:val="24"/>
          <w:szCs w:val="24"/>
        </w:rPr>
        <w:lastRenderedPageBreak/>
        <w:t xml:space="preserve">Bajo este contexto, </w:t>
      </w:r>
      <w:r>
        <w:rPr>
          <w:i w:val="0"/>
          <w:iCs/>
          <w:sz w:val="24"/>
          <w:szCs w:val="24"/>
        </w:rPr>
        <w:t>respecto de la información proporcionada para atender el requerimiento en cita,</w:t>
      </w:r>
      <w:r w:rsidRPr="00102B4F">
        <w:rPr>
          <w:i w:val="0"/>
          <w:iCs/>
          <w:sz w:val="24"/>
          <w:szCs w:val="24"/>
        </w:rPr>
        <w:t xml:space="preserve"> este Instituto</w:t>
      </w:r>
      <w:r>
        <w:rPr>
          <w:sz w:val="24"/>
          <w:szCs w:val="24"/>
        </w:rPr>
        <w:t xml:space="preserve"> </w:t>
      </w:r>
      <w:r w:rsidRPr="001F410E">
        <w:rPr>
          <w:i w:val="0"/>
          <w:iCs/>
          <w:sz w:val="24"/>
          <w:szCs w:val="24"/>
        </w:rPr>
        <w:t>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19E0DCC" w14:textId="77777777" w:rsidR="00776163" w:rsidRPr="00D12F4B" w:rsidRDefault="00776163" w:rsidP="00776163">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678421CD" w14:textId="77777777" w:rsidR="00776163" w:rsidRPr="003A41AE" w:rsidRDefault="00776163" w:rsidP="00776163">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53119561" w14:textId="77777777" w:rsidR="00776163" w:rsidRDefault="00776163" w:rsidP="00776163">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649C9742" w14:textId="77777777" w:rsidR="00776163" w:rsidRDefault="00776163" w:rsidP="00776163">
      <w:pPr>
        <w:pStyle w:val="Citas"/>
      </w:pPr>
      <w:r w:rsidRPr="00D02076">
        <w:lastRenderedPageBreak/>
        <w:t xml:space="preserve">Expedientes: </w:t>
      </w:r>
    </w:p>
    <w:p w14:paraId="6663A3D4" w14:textId="77777777" w:rsidR="00776163" w:rsidRDefault="00776163" w:rsidP="006E5CD8">
      <w:pPr>
        <w:pStyle w:val="Citas"/>
        <w:numPr>
          <w:ilvl w:val="0"/>
          <w:numId w:val="5"/>
        </w:numPr>
      </w:pPr>
      <w:r w:rsidRPr="00D02076">
        <w:t xml:space="preserve">2440/07 Comisión Federal de Electricidad - Alonso Lujambio Irazábal </w:t>
      </w:r>
    </w:p>
    <w:p w14:paraId="1790E897" w14:textId="77777777" w:rsidR="00776163" w:rsidRDefault="00776163" w:rsidP="006E5CD8">
      <w:pPr>
        <w:pStyle w:val="Citas"/>
        <w:numPr>
          <w:ilvl w:val="0"/>
          <w:numId w:val="5"/>
        </w:numPr>
      </w:pPr>
      <w:r w:rsidRPr="00D02076">
        <w:t xml:space="preserve">0113/09 Instituto de Seguridad y Servicios Sociales de los Trabajadores del Estado – Alonso Lujambio Irazábal </w:t>
      </w:r>
    </w:p>
    <w:p w14:paraId="2D37A3E7" w14:textId="77777777" w:rsidR="00776163" w:rsidRDefault="00776163" w:rsidP="006E5CD8">
      <w:pPr>
        <w:pStyle w:val="Citas"/>
        <w:numPr>
          <w:ilvl w:val="0"/>
          <w:numId w:val="5"/>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4A978D7D" w14:textId="77777777" w:rsidR="00776163" w:rsidRDefault="00776163" w:rsidP="006E5CD8">
      <w:pPr>
        <w:pStyle w:val="Citas"/>
        <w:numPr>
          <w:ilvl w:val="0"/>
          <w:numId w:val="5"/>
        </w:numPr>
      </w:pPr>
      <w:r w:rsidRPr="00D02076">
        <w:t xml:space="preserve">2395/09 Secretaría de Economía - María </w:t>
      </w:r>
      <w:proofErr w:type="spellStart"/>
      <w:r w:rsidRPr="00D02076">
        <w:t>Marván</w:t>
      </w:r>
      <w:proofErr w:type="spellEnd"/>
      <w:r w:rsidRPr="00D02076">
        <w:t xml:space="preserve"> Laborde </w:t>
      </w:r>
    </w:p>
    <w:p w14:paraId="331BD392" w14:textId="77777777" w:rsidR="00776163" w:rsidRPr="00D02076" w:rsidRDefault="00776163" w:rsidP="006E5CD8">
      <w:pPr>
        <w:pStyle w:val="Citas"/>
        <w:numPr>
          <w:ilvl w:val="0"/>
          <w:numId w:val="5"/>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4D9055BD" w14:textId="77777777" w:rsidR="00776163" w:rsidRDefault="00776163" w:rsidP="00776163">
      <w:pPr>
        <w:spacing w:after="0" w:line="360" w:lineRule="auto"/>
        <w:jc w:val="both"/>
        <w:rPr>
          <w:rFonts w:ascii="Palatino Linotype" w:hAnsi="Palatino Linotype" w:cs="Arial"/>
          <w:noProof/>
          <w:color w:val="000000"/>
          <w:sz w:val="24"/>
          <w:szCs w:val="24"/>
          <w:lang w:eastAsia="es-MX"/>
        </w:rPr>
      </w:pPr>
    </w:p>
    <w:p w14:paraId="5991A5E1" w14:textId="4585D632" w:rsidR="00EE0650" w:rsidRDefault="00776163" w:rsidP="00776163">
      <w:pPr>
        <w:spacing w:before="240" w:line="360" w:lineRule="auto"/>
        <w:jc w:val="both"/>
        <w:rPr>
          <w:rFonts w:ascii="Palatino Linotype" w:hAnsi="Palatino Linotype" w:cs="Arial"/>
          <w:b/>
          <w:bCs/>
          <w:noProof/>
          <w:color w:val="000000"/>
          <w:sz w:val="24"/>
          <w:szCs w:val="24"/>
          <w:lang w:eastAsia="es-MX"/>
        </w:rPr>
      </w:pPr>
      <w:r w:rsidRPr="005778AD">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5778AD">
        <w:rPr>
          <w:rFonts w:ascii="Palatino Linotype" w:hAnsi="Palatino Linotype" w:cs="Arial"/>
          <w:b/>
          <w:bCs/>
          <w:noProof/>
          <w:color w:val="000000"/>
          <w:sz w:val="24"/>
          <w:szCs w:val="24"/>
          <w:lang w:eastAsia="es-MX"/>
        </w:rPr>
        <w:t>Sujetos Obligados</w:t>
      </w:r>
      <w:r>
        <w:rPr>
          <w:rFonts w:ascii="Palatino Linotype" w:hAnsi="Palatino Linotype" w:cs="Arial"/>
          <w:b/>
          <w:bCs/>
          <w:noProof/>
          <w:color w:val="000000"/>
          <w:sz w:val="24"/>
          <w:szCs w:val="24"/>
          <w:lang w:eastAsia="es-MX"/>
        </w:rPr>
        <w:t>.</w:t>
      </w:r>
    </w:p>
    <w:p w14:paraId="58A90200" w14:textId="2427E2CE" w:rsidR="008D2FA4" w:rsidRPr="008D2FA4" w:rsidRDefault="001B3E2A" w:rsidP="001B3E2A">
      <w:pPr>
        <w:spacing w:before="240" w:line="360" w:lineRule="auto"/>
        <w:jc w:val="both"/>
        <w:rPr>
          <w:rFonts w:ascii="Palatino Linotype" w:hAnsi="Palatino Linotype"/>
          <w:sz w:val="24"/>
          <w:szCs w:val="24"/>
        </w:rPr>
      </w:pPr>
      <w:r w:rsidRPr="003721AF">
        <w:rPr>
          <w:rFonts w:ascii="Palatino Linotype" w:hAnsi="Palatino Linotype"/>
          <w:sz w:val="24"/>
          <w:szCs w:val="24"/>
        </w:rPr>
        <w:t>Inconforme con</w:t>
      </w:r>
      <w:r w:rsidR="00776163">
        <w:rPr>
          <w:rFonts w:ascii="Palatino Linotype" w:hAnsi="Palatino Linotype"/>
          <w:sz w:val="24"/>
          <w:szCs w:val="24"/>
        </w:rPr>
        <w:t xml:space="preserve"> la respuesta del </w:t>
      </w:r>
      <w:r w:rsidR="00776163">
        <w:rPr>
          <w:rFonts w:ascii="Palatino Linotype" w:hAnsi="Palatino Linotype"/>
          <w:b/>
          <w:bCs/>
          <w:sz w:val="24"/>
          <w:szCs w:val="24"/>
        </w:rPr>
        <w:t xml:space="preserve">Sujeto Obligado, El Recurrente </w:t>
      </w:r>
      <w:r w:rsidR="00776163">
        <w:rPr>
          <w:rFonts w:ascii="Palatino Linotype" w:hAnsi="Palatino Linotype"/>
          <w:sz w:val="24"/>
          <w:szCs w:val="24"/>
        </w:rPr>
        <w:t xml:space="preserve">interpuso recurso de revisión en fecha </w:t>
      </w:r>
      <w:r w:rsidR="008D2FA4">
        <w:rPr>
          <w:rFonts w:ascii="Palatino Linotype" w:hAnsi="Palatino Linotype"/>
          <w:b/>
          <w:bCs/>
          <w:sz w:val="24"/>
          <w:szCs w:val="24"/>
        </w:rPr>
        <w:t xml:space="preserve">doce de junio de dos mil veinticinco. </w:t>
      </w:r>
      <w:r w:rsidR="008D2FA4">
        <w:rPr>
          <w:rFonts w:ascii="Palatino Linotype" w:hAnsi="Palatino Linotype"/>
          <w:sz w:val="24"/>
          <w:szCs w:val="24"/>
        </w:rPr>
        <w:t xml:space="preserve">Señalando como razones o motivos de inconformidad: </w:t>
      </w:r>
    </w:p>
    <w:p w14:paraId="50652E9F" w14:textId="77777777" w:rsidR="003B5D4E" w:rsidRPr="00CE3EB5" w:rsidRDefault="003B5D4E" w:rsidP="003B5D4E">
      <w:pPr>
        <w:pStyle w:val="Citas"/>
        <w:rPr>
          <w:b/>
          <w:bCs/>
        </w:rPr>
      </w:pPr>
      <w:r w:rsidRPr="003B5D4E">
        <w:rPr>
          <w:b/>
          <w:bCs/>
          <w:u w:val="single"/>
        </w:rPr>
        <w:t>“No se tiene la certeza</w:t>
      </w:r>
      <w:r w:rsidRPr="003E23C4">
        <w:t xml:space="preserve"> fiscal y sobre todo legal de que la servidora </w:t>
      </w:r>
      <w:proofErr w:type="spellStart"/>
      <w:r w:rsidRPr="003E23C4">
        <w:t>publica</w:t>
      </w:r>
      <w:proofErr w:type="spellEnd"/>
      <w:r w:rsidRPr="003E23C4">
        <w:t xml:space="preserve"> gane la cantidad que dice percibir ya que solo expone un monto y ningún recibo o documento que ampare o soporte y respalde dicha información, </w:t>
      </w:r>
      <w:r w:rsidRPr="003B5D4E">
        <w:rPr>
          <w:b/>
          <w:bCs/>
          <w:u w:val="single"/>
        </w:rPr>
        <w:t>por lo tanto no se tiene la certeza si se está declarando la verdad o alterando la información</w:t>
      </w:r>
      <w:r w:rsidRPr="00C16092">
        <w:t>”</w:t>
      </w:r>
      <w:r>
        <w:t xml:space="preserve"> </w:t>
      </w:r>
      <w:r>
        <w:rPr>
          <w:b/>
          <w:bCs/>
        </w:rPr>
        <w:t>(Sic)</w:t>
      </w:r>
    </w:p>
    <w:p w14:paraId="54FCF8D2" w14:textId="77777777" w:rsidR="00732C33" w:rsidRPr="003B5D4E" w:rsidRDefault="00732C33" w:rsidP="00732C33">
      <w:pPr>
        <w:spacing w:line="360" w:lineRule="auto"/>
        <w:jc w:val="both"/>
        <w:rPr>
          <w:rFonts w:ascii="Palatino Linotype" w:hAnsi="Palatino Linotype" w:cs="Arial"/>
          <w:sz w:val="24"/>
          <w:szCs w:val="24"/>
        </w:rPr>
      </w:pPr>
      <w:r w:rsidRPr="003B5D4E">
        <w:rPr>
          <w:rFonts w:ascii="Palatino Linotype" w:hAnsi="Palatino Linotype"/>
          <w:sz w:val="24"/>
          <w:szCs w:val="24"/>
        </w:rPr>
        <w:lastRenderedPageBreak/>
        <w:t xml:space="preserve">Una vez precisado lo anterior, </w:t>
      </w:r>
      <w:r w:rsidRPr="003B5D4E">
        <w:rPr>
          <w:rFonts w:ascii="Palatino Linotype" w:hAnsi="Palatino Linotype" w:cs="Arial"/>
          <w:sz w:val="24"/>
          <w:szCs w:val="24"/>
        </w:rPr>
        <w:t>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07E26569" w14:textId="77777777" w:rsidR="00732C33" w:rsidRPr="003B5D4E" w:rsidRDefault="00732C33" w:rsidP="00732C33">
      <w:pPr>
        <w:spacing w:line="360" w:lineRule="auto"/>
        <w:ind w:left="851" w:right="851"/>
        <w:jc w:val="both"/>
        <w:rPr>
          <w:rFonts w:ascii="Palatino Linotype" w:hAnsi="Palatino Linotype" w:cs="Arial"/>
          <w:b/>
          <w:i/>
        </w:rPr>
      </w:pPr>
      <w:r w:rsidRPr="003B5D4E">
        <w:rPr>
          <w:rFonts w:ascii="Palatino Linotype" w:hAnsi="Palatino Linotype" w:cs="Arial"/>
          <w:b/>
          <w:i/>
        </w:rPr>
        <w:t>“SOBRESEIMIENTO EN EL JUICIO DE AMPARO DIRECTO. IMPIDE EL ESTUDIO DE LAS VIOLACIONES PROCESALES PLANTEADAS EN LOS CONCEPTOS DE VIOLACIÓN.</w:t>
      </w:r>
    </w:p>
    <w:p w14:paraId="13592DD0" w14:textId="77777777" w:rsidR="00732C33" w:rsidRPr="003B5D4E" w:rsidRDefault="00732C33" w:rsidP="00732C33">
      <w:pPr>
        <w:spacing w:line="360" w:lineRule="auto"/>
        <w:ind w:left="851" w:right="851"/>
        <w:jc w:val="both"/>
        <w:rPr>
          <w:rFonts w:ascii="Palatino Linotype" w:hAnsi="Palatino Linotype"/>
          <w:i/>
          <w:color w:val="000000"/>
        </w:rPr>
      </w:pPr>
      <w:r w:rsidRPr="003B5D4E">
        <w:rPr>
          <w:rFonts w:ascii="Palatino Linotype" w:hAnsi="Palatino Linotype" w:cs="Arial"/>
          <w:b/>
          <w:i/>
          <w:u w:val="single"/>
        </w:rPr>
        <w:t>El sobreseimiento</w:t>
      </w:r>
      <w:r w:rsidRPr="003B5D4E">
        <w:rPr>
          <w:rFonts w:ascii="Palatino Linotype" w:hAnsi="Palatino Linotype" w:cs="Arial"/>
          <w:b/>
          <w:i/>
        </w:rPr>
        <w:t xml:space="preserve"> </w:t>
      </w:r>
      <w:r w:rsidRPr="003B5D4E">
        <w:rPr>
          <w:rFonts w:ascii="Palatino Linotype" w:hAnsi="Palatino Linotype" w:cs="Arial"/>
          <w:i/>
        </w:rPr>
        <w:t xml:space="preserve">en el juicio de amparo directo </w:t>
      </w:r>
      <w:r w:rsidRPr="003B5D4E">
        <w:rPr>
          <w:rFonts w:ascii="Palatino Linotype" w:hAnsi="Palatino Linotype" w:cs="Arial"/>
          <w:b/>
          <w:i/>
          <w:u w:val="single"/>
        </w:rPr>
        <w:t>provoca la terminación de la controversia planteada</w:t>
      </w:r>
      <w:r w:rsidRPr="003B5D4E">
        <w:rPr>
          <w:rFonts w:ascii="Palatino Linotype" w:hAnsi="Palatino Linotype" w:cs="Arial"/>
          <w:b/>
          <w:i/>
        </w:rPr>
        <w:t xml:space="preserve"> </w:t>
      </w:r>
      <w:r w:rsidRPr="003B5D4E">
        <w:rPr>
          <w:rFonts w:ascii="Palatino Linotype" w:hAnsi="Palatino Linotype" w:cs="Arial"/>
          <w:i/>
        </w:rPr>
        <w:t>por el quejoso en la demanda de amparo</w:t>
      </w:r>
      <w:r w:rsidRPr="003B5D4E">
        <w:rPr>
          <w:rFonts w:ascii="Calibri" w:hAnsi="Calibri"/>
          <w:color w:val="000000"/>
          <w:sz w:val="26"/>
          <w:szCs w:val="26"/>
        </w:rPr>
        <w:t xml:space="preserve"> </w:t>
      </w:r>
      <w:r w:rsidRPr="003B5D4E">
        <w:rPr>
          <w:rFonts w:ascii="Palatino Linotype" w:hAnsi="Palatino Linotype"/>
          <w:i/>
          <w:color w:val="000000"/>
        </w:rPr>
        <w:t xml:space="preserve">provoca la terminación de la controversia planteada por el quejoso en la demanda de </w:t>
      </w:r>
      <w:r w:rsidRPr="003B5D4E">
        <w:rPr>
          <w:rFonts w:ascii="Palatino Linotype" w:hAnsi="Palatino Linotype"/>
          <w:b/>
          <w:i/>
          <w:color w:val="000000"/>
        </w:rPr>
        <w:t>amparo</w:t>
      </w:r>
      <w:r w:rsidRPr="003B5D4E">
        <w:rPr>
          <w:rFonts w:ascii="Palatino Linotype" w:hAnsi="Palatino Linotype"/>
          <w:i/>
          <w:color w:val="000000"/>
        </w:rPr>
        <w:t>, sin hacer un pronunciamiento de fondo sobre la legalidad o ilegalidad de la sentencia reclamada. Por consiguiente, si al sobreseerse en el</w:t>
      </w:r>
      <w:r w:rsidRPr="003B5D4E">
        <w:rPr>
          <w:rFonts w:ascii="Palatino Linotype" w:hAnsi="Palatino Linotype"/>
          <w:b/>
          <w:i/>
          <w:color w:val="000000"/>
        </w:rPr>
        <w:t xml:space="preserve"> juicio </w:t>
      </w:r>
      <w:r w:rsidRPr="003B5D4E">
        <w:rPr>
          <w:rFonts w:ascii="Palatino Linotype" w:hAnsi="Palatino Linotype"/>
          <w:i/>
          <w:color w:val="000000"/>
        </w:rPr>
        <w:t xml:space="preserve">de </w:t>
      </w:r>
      <w:r w:rsidRPr="003B5D4E">
        <w:rPr>
          <w:rFonts w:ascii="Palatino Linotype" w:hAnsi="Palatino Linotype"/>
          <w:b/>
          <w:i/>
          <w:color w:val="000000"/>
        </w:rPr>
        <w:t>amparo</w:t>
      </w:r>
      <w:r w:rsidRPr="003B5D4E">
        <w:rPr>
          <w:rFonts w:ascii="Palatino Linotype" w:hAnsi="Palatino Linotype"/>
          <w:i/>
          <w:color w:val="000000"/>
        </w:rPr>
        <w:t xml:space="preserve"> no se pueden estudiar los planteamientos que se hacen valer en contra del fallo reclamado, tampoco se deben analizar las</w:t>
      </w:r>
      <w:r w:rsidRPr="003B5D4E">
        <w:rPr>
          <w:rFonts w:ascii="Palatino Linotype" w:hAnsi="Palatino Linotype"/>
          <w:b/>
          <w:i/>
          <w:color w:val="000000"/>
        </w:rPr>
        <w:t xml:space="preserve"> violaciones procesales</w:t>
      </w:r>
      <w:r w:rsidRPr="003B5D4E">
        <w:rPr>
          <w:rFonts w:ascii="Palatino Linotype" w:hAnsi="Palatino Linotype"/>
          <w:i/>
          <w:color w:val="000000"/>
        </w:rPr>
        <w:t xml:space="preserve"> propuestas en los </w:t>
      </w:r>
      <w:r w:rsidRPr="003B5D4E">
        <w:rPr>
          <w:rFonts w:ascii="Palatino Linotype" w:hAnsi="Palatino Linotype"/>
          <w:b/>
          <w:i/>
          <w:color w:val="000000"/>
        </w:rPr>
        <w:t xml:space="preserve">conceptos </w:t>
      </w:r>
      <w:r w:rsidRPr="003B5D4E">
        <w:rPr>
          <w:rFonts w:ascii="Palatino Linotype" w:hAnsi="Palatino Linotype"/>
          <w:i/>
          <w:color w:val="000000"/>
        </w:rPr>
        <w:t xml:space="preserve">de </w:t>
      </w:r>
      <w:r w:rsidRPr="003B5D4E">
        <w:rPr>
          <w:rFonts w:ascii="Palatino Linotype" w:hAnsi="Palatino Linotype"/>
          <w:b/>
          <w:i/>
          <w:color w:val="000000"/>
        </w:rPr>
        <w:t>violación</w:t>
      </w:r>
      <w:r w:rsidRPr="003B5D4E">
        <w:rPr>
          <w:rFonts w:ascii="Palatino Linotype" w:hAnsi="Palatino Linotype"/>
          <w:i/>
          <w:color w:val="000000"/>
        </w:rPr>
        <w:t xml:space="preserve">, dado que, la principal consecuencia del </w:t>
      </w:r>
      <w:r w:rsidRPr="003B5D4E">
        <w:rPr>
          <w:rFonts w:ascii="Palatino Linotype" w:hAnsi="Palatino Linotype"/>
          <w:b/>
          <w:i/>
          <w:color w:val="000000"/>
        </w:rPr>
        <w:t>sobreseimiento</w:t>
      </w:r>
      <w:r w:rsidRPr="003B5D4E">
        <w:rPr>
          <w:rFonts w:ascii="Palatino Linotype" w:hAnsi="Palatino Linotype"/>
          <w:i/>
          <w:color w:val="000000"/>
        </w:rPr>
        <w:t xml:space="preserve"> es poner fin al </w:t>
      </w:r>
      <w:r w:rsidRPr="003B5D4E">
        <w:rPr>
          <w:rFonts w:ascii="Palatino Linotype" w:hAnsi="Palatino Linotype"/>
          <w:b/>
          <w:i/>
          <w:color w:val="000000"/>
        </w:rPr>
        <w:t xml:space="preserve">juicio </w:t>
      </w:r>
      <w:r w:rsidRPr="003B5D4E">
        <w:rPr>
          <w:rFonts w:ascii="Palatino Linotype" w:hAnsi="Palatino Linotype"/>
          <w:i/>
          <w:color w:val="000000"/>
        </w:rPr>
        <w:t xml:space="preserve">de </w:t>
      </w:r>
      <w:r w:rsidRPr="003B5D4E">
        <w:rPr>
          <w:rFonts w:ascii="Palatino Linotype" w:hAnsi="Palatino Linotype"/>
          <w:b/>
          <w:i/>
          <w:color w:val="000000"/>
        </w:rPr>
        <w:t xml:space="preserve">amparo </w:t>
      </w:r>
      <w:r w:rsidRPr="003B5D4E">
        <w:rPr>
          <w:rFonts w:ascii="Palatino Linotype" w:hAnsi="Palatino Linotype"/>
          <w:i/>
          <w:color w:val="000000"/>
        </w:rPr>
        <w:t>sin resolver la controversia en sus méritos.  </w:t>
      </w:r>
    </w:p>
    <w:p w14:paraId="5F3F2EAC" w14:textId="77777777" w:rsidR="00732C33" w:rsidRPr="003B5D4E" w:rsidRDefault="00732C33" w:rsidP="00732C33">
      <w:pPr>
        <w:spacing w:line="360" w:lineRule="auto"/>
        <w:ind w:left="851" w:right="851"/>
        <w:jc w:val="both"/>
        <w:rPr>
          <w:rFonts w:ascii="Palatino Linotype" w:hAnsi="Palatino Linotype" w:cs="Arial"/>
          <w:b/>
          <w:i/>
        </w:rPr>
      </w:pPr>
      <w:r w:rsidRPr="003B5D4E">
        <w:rPr>
          <w:rFonts w:ascii="Palatino Linotype" w:hAnsi="Palatino Linotype" w:cs="Arial"/>
          <w:b/>
          <w:i/>
        </w:rPr>
        <w:t>SÉPTIMO TRIBUNAL COLEGIADO EN MATERIA CIVIL DEL PRIMER CIRCUITO.</w:t>
      </w:r>
    </w:p>
    <w:p w14:paraId="15EE5979" w14:textId="77777777" w:rsidR="00732C33" w:rsidRPr="003B5D4E" w:rsidRDefault="00732C33" w:rsidP="00732C33">
      <w:pPr>
        <w:spacing w:line="360" w:lineRule="auto"/>
        <w:ind w:left="851" w:right="851"/>
        <w:jc w:val="both"/>
        <w:rPr>
          <w:rFonts w:ascii="Palatino Linotype" w:hAnsi="Palatino Linotype" w:cs="Arial"/>
          <w:i/>
        </w:rPr>
      </w:pPr>
      <w:r w:rsidRPr="003B5D4E">
        <w:rPr>
          <w:rFonts w:ascii="Palatino Linotype" w:hAnsi="Palatino Linotype" w:cs="Arial"/>
          <w:i/>
        </w:rPr>
        <w:t>Amparo directo 699/2008. Mariana Leticia González Steele. 13 de noviembre de 2008. Unanimidad de votos. Ponente: Sara Judith Montalvo Trejo. Secretario: Arnulfo Mateos García.”</w:t>
      </w:r>
      <w:r w:rsidRPr="003B5D4E">
        <w:rPr>
          <w:rFonts w:ascii="Palatino Linotype" w:eastAsia="Times New Roman" w:hAnsi="Palatino Linotype" w:cs="Times New Roman"/>
          <w:b/>
          <w:i/>
          <w:lang w:val="es-ES_tradnl" w:eastAsia="es-ES"/>
        </w:rPr>
        <w:t xml:space="preserve"> [Sic]</w:t>
      </w:r>
    </w:p>
    <w:p w14:paraId="73EB3A64" w14:textId="77777777" w:rsidR="00732C33" w:rsidRPr="00732C33" w:rsidRDefault="00732C33" w:rsidP="00732C33">
      <w:pPr>
        <w:ind w:right="141"/>
        <w:jc w:val="both"/>
        <w:rPr>
          <w:rFonts w:ascii="Palatino Linotype" w:hAnsi="Palatino Linotype" w:cs="Arial"/>
          <w:highlight w:val="cyan"/>
        </w:rPr>
      </w:pPr>
    </w:p>
    <w:p w14:paraId="222BFA74" w14:textId="77777777" w:rsidR="00732C33" w:rsidRPr="001F0DB0" w:rsidRDefault="00732C33" w:rsidP="00732C33">
      <w:pPr>
        <w:spacing w:line="360" w:lineRule="auto"/>
        <w:jc w:val="both"/>
        <w:rPr>
          <w:rFonts w:ascii="Palatino Linotype" w:hAnsi="Palatino Linotype" w:cs="Arial"/>
          <w:sz w:val="24"/>
          <w:szCs w:val="24"/>
        </w:rPr>
      </w:pPr>
      <w:r w:rsidRPr="003B5D4E">
        <w:rPr>
          <w:rFonts w:ascii="Palatino Linotype" w:hAnsi="Palatino Linotype" w:cs="Arial"/>
          <w:sz w:val="24"/>
          <w:szCs w:val="24"/>
        </w:rPr>
        <w:lastRenderedPageBreak/>
        <w:t xml:space="preserve">De este modo, se puede deducir que, en las resoluciones dictadas por el Pleno de este Instituto, en las que se decreta el sobreseimiento de un recurso de revisión por la actualización de alguno de los supuestos jurídicos contemplados en el </w:t>
      </w:r>
      <w:r w:rsidRPr="003B5D4E">
        <w:rPr>
          <w:rFonts w:ascii="Palatino Linotype" w:hAnsi="Palatino Linotype" w:cs="Arial"/>
          <w:b/>
          <w:sz w:val="24"/>
          <w:szCs w:val="24"/>
        </w:rPr>
        <w:t xml:space="preserve">artículo 192 </w:t>
      </w:r>
      <w:r w:rsidRPr="003B5D4E">
        <w:rPr>
          <w:rFonts w:ascii="Palatino Linotype" w:hAnsi="Palatino Linotype" w:cs="Arial"/>
          <w:sz w:val="24"/>
          <w:szCs w:val="24"/>
        </w:rPr>
        <w:t xml:space="preserve">de la </w:t>
      </w:r>
      <w:r w:rsidRPr="003B5D4E">
        <w:rPr>
          <w:rFonts w:ascii="Palatino Linotype" w:hAnsi="Palatino Linotype" w:cs="Arial"/>
          <w:b/>
          <w:sz w:val="24"/>
          <w:szCs w:val="24"/>
        </w:rPr>
        <w:t xml:space="preserve">Ley de Transparencia y Acceso a la Información Pública del Estado de México y Municipios, </w:t>
      </w:r>
      <w:r w:rsidRPr="003B5D4E">
        <w:rPr>
          <w:rFonts w:ascii="Palatino Linotype" w:hAnsi="Palatino Linotype" w:cs="Arial"/>
          <w:sz w:val="24"/>
          <w:szCs w:val="24"/>
        </w:rPr>
        <w:t>nos encontramos ante un sobreseimiento definitivo toda vez que pone fin al procedimiento sin entrar al estudio de fondo del mismo.</w:t>
      </w:r>
      <w:r w:rsidRPr="001F0DB0">
        <w:rPr>
          <w:rFonts w:ascii="Palatino Linotype" w:hAnsi="Palatino Linotype" w:cs="Arial"/>
          <w:sz w:val="24"/>
          <w:szCs w:val="24"/>
        </w:rPr>
        <w:t xml:space="preserve"> </w:t>
      </w:r>
    </w:p>
    <w:p w14:paraId="37A3BD07" w14:textId="3D8B613D" w:rsidR="003B5D4E" w:rsidRPr="003B5D4E" w:rsidRDefault="003B5D4E" w:rsidP="003B5D4E">
      <w:pPr>
        <w:autoSpaceDE w:val="0"/>
        <w:autoSpaceDN w:val="0"/>
        <w:adjustRightInd w:val="0"/>
        <w:spacing w:before="240" w:line="360" w:lineRule="auto"/>
        <w:ind w:right="-18"/>
        <w:jc w:val="both"/>
        <w:rPr>
          <w:rFonts w:ascii="Palatino Linotype" w:hAnsi="Palatino Linotype"/>
          <w:b/>
          <w:bCs/>
          <w:i/>
          <w:iCs/>
          <w:sz w:val="24"/>
          <w:szCs w:val="24"/>
        </w:rPr>
      </w:pPr>
      <w:r>
        <w:rPr>
          <w:rFonts w:ascii="Palatino Linotype" w:hAnsi="Palatino Linotype"/>
          <w:sz w:val="24"/>
          <w:szCs w:val="24"/>
        </w:rPr>
        <w:t xml:space="preserve">De esta manera, con relación a los motivos de inconformidad, la particular </w:t>
      </w:r>
      <w:r w:rsidR="00E2591D">
        <w:rPr>
          <w:rFonts w:ascii="Palatino Linotype" w:hAnsi="Palatino Linotype"/>
          <w:sz w:val="24"/>
          <w:szCs w:val="24"/>
        </w:rPr>
        <w:t xml:space="preserve">señaló: </w:t>
      </w:r>
      <w:r w:rsidR="00E2591D" w:rsidRPr="003B5D4E">
        <w:rPr>
          <w:rFonts w:ascii="Palatino Linotype" w:hAnsi="Palatino Linotype"/>
          <w:sz w:val="24"/>
          <w:szCs w:val="24"/>
        </w:rPr>
        <w:t>“</w:t>
      </w:r>
      <w:r w:rsidRPr="003B5D4E">
        <w:rPr>
          <w:rFonts w:ascii="Palatino Linotype" w:hAnsi="Palatino Linotype"/>
          <w:b/>
          <w:bCs/>
          <w:i/>
          <w:iCs/>
          <w:sz w:val="24"/>
          <w:szCs w:val="24"/>
          <w:u w:val="single"/>
        </w:rPr>
        <w:t>No se tiene la certeza</w:t>
      </w:r>
      <w:r w:rsidRPr="003B5D4E">
        <w:rPr>
          <w:rFonts w:ascii="Palatino Linotype" w:hAnsi="Palatino Linotype"/>
          <w:i/>
          <w:iCs/>
          <w:sz w:val="24"/>
          <w:szCs w:val="24"/>
        </w:rPr>
        <w:t xml:space="preserve"> </w:t>
      </w:r>
      <w:r>
        <w:rPr>
          <w:rFonts w:ascii="Palatino Linotype" w:hAnsi="Palatino Linotype"/>
          <w:i/>
          <w:iCs/>
          <w:sz w:val="24"/>
          <w:szCs w:val="24"/>
        </w:rPr>
        <w:t>…</w:t>
      </w:r>
      <w:r w:rsidRPr="003B5D4E">
        <w:rPr>
          <w:rFonts w:ascii="Palatino Linotype" w:hAnsi="Palatino Linotype"/>
          <w:i/>
          <w:iCs/>
          <w:sz w:val="24"/>
          <w:szCs w:val="24"/>
        </w:rPr>
        <w:t xml:space="preserve"> </w:t>
      </w:r>
      <w:r w:rsidRPr="003B5D4E">
        <w:rPr>
          <w:rFonts w:ascii="Palatino Linotype" w:hAnsi="Palatino Linotype"/>
          <w:b/>
          <w:bCs/>
          <w:i/>
          <w:iCs/>
          <w:sz w:val="24"/>
          <w:szCs w:val="24"/>
          <w:u w:val="single"/>
        </w:rPr>
        <w:t>por lo tanto no se tiene la certeza si se está declarando la verdad o alterando la información</w:t>
      </w:r>
      <w:r w:rsidRPr="003B5D4E">
        <w:rPr>
          <w:rFonts w:ascii="Palatino Linotype" w:hAnsi="Palatino Linotype"/>
          <w:i/>
          <w:iCs/>
          <w:sz w:val="24"/>
          <w:szCs w:val="24"/>
        </w:rPr>
        <w:t>”</w:t>
      </w:r>
      <w:r>
        <w:rPr>
          <w:rFonts w:ascii="Palatino Linotype" w:hAnsi="Palatino Linotype"/>
          <w:i/>
          <w:iCs/>
          <w:sz w:val="24"/>
          <w:szCs w:val="24"/>
        </w:rPr>
        <w:t xml:space="preserve">. </w:t>
      </w:r>
    </w:p>
    <w:p w14:paraId="4908C75F" w14:textId="66287D2F" w:rsidR="003A73C9" w:rsidRPr="003605CA" w:rsidRDefault="003A73C9" w:rsidP="003A73C9">
      <w:pPr>
        <w:spacing w:line="360" w:lineRule="auto"/>
        <w:jc w:val="both"/>
        <w:rPr>
          <w:rFonts w:ascii="Palatino Linotype" w:hAnsi="Palatino Linotype"/>
          <w:bCs/>
          <w:sz w:val="24"/>
          <w:szCs w:val="24"/>
        </w:rPr>
      </w:pPr>
      <w:r w:rsidRPr="003605CA">
        <w:rPr>
          <w:rFonts w:ascii="Palatino Linotype" w:hAnsi="Palatino Linotype"/>
          <w:bCs/>
          <w:sz w:val="24"/>
          <w:szCs w:val="24"/>
        </w:rPr>
        <w:t>Luego entonces, hasta aquí lo expuesto se destaca que dicho señalamiento resulta improcedente para la interposición del recurso de revisión, ello con base en la fracción V del artículo 191 de la citada Ley de Transparencia Local, que consagra:</w:t>
      </w:r>
    </w:p>
    <w:p w14:paraId="70D55E80" w14:textId="77777777" w:rsidR="003A73C9" w:rsidRDefault="003A73C9" w:rsidP="003A73C9">
      <w:pPr>
        <w:pStyle w:val="Citas"/>
      </w:pPr>
      <w:r>
        <w:t>“</w:t>
      </w:r>
      <w:r w:rsidRPr="006A494B">
        <w:rPr>
          <w:b/>
        </w:rPr>
        <w:t>Artículo 191</w:t>
      </w:r>
      <w:r w:rsidRPr="006A494B">
        <w:t>. El recurso será desechado por improcedente cuando:</w:t>
      </w:r>
    </w:p>
    <w:p w14:paraId="44975048" w14:textId="77777777" w:rsidR="003A73C9" w:rsidRDefault="003A73C9" w:rsidP="003A73C9">
      <w:pPr>
        <w:pStyle w:val="Citas"/>
      </w:pPr>
      <w:r>
        <w:t>(…)</w:t>
      </w:r>
    </w:p>
    <w:p w14:paraId="7BEFB6B0" w14:textId="77777777" w:rsidR="003A73C9" w:rsidRPr="00022FF4" w:rsidRDefault="003A73C9" w:rsidP="003A73C9">
      <w:pPr>
        <w:pStyle w:val="Citas"/>
        <w:rPr>
          <w:b/>
          <w:u w:val="single"/>
        </w:rPr>
      </w:pPr>
      <w:r w:rsidRPr="00022FF4">
        <w:rPr>
          <w:b/>
          <w:u w:val="single"/>
        </w:rPr>
        <w:t>V. Se impugne la veracidad de la información proporcionada;</w:t>
      </w:r>
    </w:p>
    <w:p w14:paraId="36408AA7" w14:textId="77777777" w:rsidR="003A73C9" w:rsidRPr="003A537D" w:rsidRDefault="003A73C9" w:rsidP="003A73C9">
      <w:pPr>
        <w:pStyle w:val="Citas"/>
        <w:rPr>
          <w:b/>
        </w:rPr>
      </w:pPr>
      <w:r>
        <w:rPr>
          <w:b/>
        </w:rPr>
        <w:t>(…</w:t>
      </w:r>
      <w:r>
        <w:t xml:space="preserve">)” </w:t>
      </w:r>
      <w:r>
        <w:rPr>
          <w:b/>
        </w:rPr>
        <w:t>(Sic)</w:t>
      </w:r>
    </w:p>
    <w:p w14:paraId="6514074D" w14:textId="77777777" w:rsidR="003A73C9" w:rsidRDefault="003A73C9" w:rsidP="003A73C9">
      <w:pPr>
        <w:spacing w:line="360" w:lineRule="auto"/>
        <w:jc w:val="both"/>
        <w:rPr>
          <w:rFonts w:ascii="Palatino Linotype" w:hAnsi="Palatino Linotype"/>
          <w:bCs/>
          <w:sz w:val="24"/>
          <w:szCs w:val="24"/>
        </w:rPr>
      </w:pPr>
    </w:p>
    <w:p w14:paraId="4C68FE9F" w14:textId="77777777" w:rsidR="003A73C9" w:rsidRPr="006E3ED8" w:rsidRDefault="003A73C9" w:rsidP="003A73C9">
      <w:pPr>
        <w:spacing w:line="360" w:lineRule="auto"/>
        <w:jc w:val="both"/>
        <w:rPr>
          <w:rFonts w:ascii="Palatino Linotype" w:hAnsi="Palatino Linotype"/>
          <w:bCs/>
          <w:sz w:val="24"/>
          <w:szCs w:val="24"/>
        </w:rPr>
      </w:pPr>
      <w:r w:rsidRPr="006E3ED8">
        <w:rPr>
          <w:rFonts w:ascii="Palatino Linotype" w:hAnsi="Palatino Linotype"/>
          <w:bCs/>
          <w:sz w:val="24"/>
          <w:szCs w:val="24"/>
        </w:rPr>
        <w:t xml:space="preserve">Ordenamiento que consagra la improcedencia del recurso de revisión cuando los solicitantes duden de la veracidad de la información proporcionada por los </w:t>
      </w:r>
      <w:r w:rsidRPr="006E3ED8">
        <w:rPr>
          <w:rFonts w:ascii="Palatino Linotype" w:hAnsi="Palatino Linotype"/>
          <w:b/>
          <w:bCs/>
          <w:sz w:val="24"/>
          <w:szCs w:val="24"/>
        </w:rPr>
        <w:t>Sujetos Obligados,</w:t>
      </w:r>
      <w:r w:rsidRPr="006E3ED8">
        <w:rPr>
          <w:rFonts w:ascii="Palatino Linotype" w:hAnsi="Palatino Linotype"/>
          <w:bCs/>
          <w:sz w:val="24"/>
          <w:szCs w:val="24"/>
        </w:rPr>
        <w:t xml:space="preserve"> ello atendiendo que como quedó precisado en párrafos previos, este Órgano Garante no se encuentra facultado para dudar de la veracidad de la </w:t>
      </w:r>
      <w:r w:rsidRPr="006E3ED8">
        <w:rPr>
          <w:rFonts w:ascii="Palatino Linotype" w:hAnsi="Palatino Linotype"/>
          <w:bCs/>
          <w:sz w:val="24"/>
          <w:szCs w:val="24"/>
        </w:rPr>
        <w:lastRenderedPageBreak/>
        <w:t>información proporcionada por los Sujetos Obligados, aunado que de conformidad con los artículos 57 y 59 del Código de Procedimientos Administrativos del Estado de México, todos los documentos expedidos por los servidores públicos en el ejercicio de sus funciones son documentos públicos, que se encuentran revestidos de legalidad y fe pública, se citan los artículos para mayor referencia:</w:t>
      </w:r>
    </w:p>
    <w:p w14:paraId="72FCF7F2" w14:textId="77777777" w:rsidR="003A73C9" w:rsidRDefault="003A73C9" w:rsidP="003A73C9">
      <w:pPr>
        <w:pStyle w:val="Citas"/>
      </w:pPr>
      <w:r>
        <w:t>“</w:t>
      </w:r>
      <w:r w:rsidRPr="006A494B">
        <w:rPr>
          <w:b/>
        </w:rPr>
        <w:t>Artículo 57.-</w:t>
      </w:r>
      <w:r w:rsidRPr="006A494B">
        <w:t xml:space="preserve"> Son documentos públicos aquéllos cuya formulación está encomendada por ley,</w:t>
      </w:r>
      <w:r>
        <w:t xml:space="preserve"> </w:t>
      </w:r>
      <w:r w:rsidRPr="006A494B">
        <w:t>dentro de los límites de sus facultades, a las personas dotadas de fe pública y los expedidos por</w:t>
      </w:r>
      <w:r>
        <w:t xml:space="preserve"> </w:t>
      </w:r>
      <w:r w:rsidRPr="006A494B">
        <w:t>servidores públicos en el ejercicio de sus funciones.</w:t>
      </w:r>
    </w:p>
    <w:p w14:paraId="6DC0E51D" w14:textId="77777777" w:rsidR="003A73C9" w:rsidRDefault="003A73C9" w:rsidP="003A73C9">
      <w:pPr>
        <w:pStyle w:val="Citas"/>
      </w:pPr>
      <w:r w:rsidRPr="006A494B">
        <w:t>La calidad de públicos se demuestra por la existencia regular, sobre los documentos, de sellos,</w:t>
      </w:r>
      <w:r>
        <w:t xml:space="preserve"> </w:t>
      </w:r>
      <w:r w:rsidRPr="006A494B">
        <w:t xml:space="preserve">firmas u otros signos exteriores que, en su caso, prevengan las </w:t>
      </w:r>
      <w:r>
        <w:t>leyes, salvo prueba en contrario</w:t>
      </w:r>
    </w:p>
    <w:p w14:paraId="1C228073" w14:textId="77777777" w:rsidR="003A73C9" w:rsidRDefault="003A73C9" w:rsidP="003A73C9">
      <w:pPr>
        <w:pStyle w:val="Citas"/>
      </w:pPr>
      <w:r w:rsidRPr="007F077C">
        <w:rPr>
          <w:b/>
        </w:rPr>
        <w:t>Artículo 59.-</w:t>
      </w:r>
      <w:r w:rsidRPr="007F077C">
        <w:t xml:space="preserve"> Los documentos públicos expedidos por autoridades de la federación, de los</w:t>
      </w:r>
      <w:r>
        <w:t xml:space="preserve"> </w:t>
      </w:r>
      <w:r w:rsidRPr="007F077C">
        <w:t>estados, del Distrito Federal o de los municipios harán fe en el Estado sin necesidad de</w:t>
      </w:r>
      <w:r>
        <w:t xml:space="preserve"> </w:t>
      </w:r>
      <w:r w:rsidRPr="007F077C">
        <w:t>legalización.</w:t>
      </w:r>
    </w:p>
    <w:p w14:paraId="72A67971" w14:textId="77777777" w:rsidR="003A73C9" w:rsidRPr="003A537D" w:rsidRDefault="003A73C9" w:rsidP="003A73C9">
      <w:pPr>
        <w:pStyle w:val="Citas"/>
        <w:rPr>
          <w:b/>
        </w:rPr>
      </w:pPr>
      <w:r w:rsidRPr="007F077C">
        <w:t>Para que hagan fe en la entidad los documentos procedentes del extranjero, deberán</w:t>
      </w:r>
      <w:r>
        <w:t xml:space="preserve"> </w:t>
      </w:r>
      <w:r w:rsidRPr="007F077C">
        <w:t>presentarse debidamente legalizados por las autoridades diplomáticas o consulares o estarse a</w:t>
      </w:r>
      <w:r>
        <w:t xml:space="preserve"> </w:t>
      </w:r>
      <w:r w:rsidRPr="007F077C">
        <w:t>los convenios que el Estado haya celebrado en esta materia.</w:t>
      </w:r>
      <w:r>
        <w:t xml:space="preserve">” </w:t>
      </w:r>
      <w:r>
        <w:rPr>
          <w:b/>
        </w:rPr>
        <w:t>(Sic)</w:t>
      </w:r>
    </w:p>
    <w:p w14:paraId="778DD0B2" w14:textId="77777777" w:rsidR="003A73C9" w:rsidRDefault="003A73C9" w:rsidP="003A73C9">
      <w:pPr>
        <w:tabs>
          <w:tab w:val="left" w:pos="1284"/>
        </w:tabs>
        <w:spacing w:line="360" w:lineRule="auto"/>
        <w:jc w:val="both"/>
        <w:rPr>
          <w:rFonts w:ascii="Palatino Linotype" w:hAnsi="Palatino Linotype" w:cs="Arial"/>
          <w:sz w:val="24"/>
          <w:szCs w:val="24"/>
        </w:rPr>
      </w:pPr>
    </w:p>
    <w:p w14:paraId="44154781" w14:textId="5E94F8E6" w:rsidR="00AF5003" w:rsidRDefault="003A73C9" w:rsidP="003A73C9">
      <w:pPr>
        <w:spacing w:line="360" w:lineRule="auto"/>
        <w:jc w:val="both"/>
        <w:rPr>
          <w:rFonts w:ascii="Palatino Linotype" w:hAnsi="Palatino Linotype"/>
          <w:bCs/>
          <w:sz w:val="24"/>
          <w:szCs w:val="24"/>
        </w:rPr>
      </w:pPr>
      <w:r w:rsidRPr="003605CA">
        <w:rPr>
          <w:rFonts w:ascii="Palatino Linotype" w:hAnsi="Palatino Linotype"/>
          <w:bCs/>
          <w:sz w:val="24"/>
          <w:szCs w:val="24"/>
        </w:rPr>
        <w:t xml:space="preserve">Acotado lo anterior, como ha quedado precisado </w:t>
      </w:r>
      <w:r w:rsidR="006E744D">
        <w:rPr>
          <w:rFonts w:ascii="Palatino Linotype" w:hAnsi="Palatino Linotype"/>
          <w:bCs/>
          <w:sz w:val="24"/>
          <w:szCs w:val="24"/>
        </w:rPr>
        <w:t xml:space="preserve">en </w:t>
      </w:r>
      <w:r w:rsidR="006E744D" w:rsidRPr="003605CA">
        <w:rPr>
          <w:rFonts w:ascii="Palatino Linotype" w:hAnsi="Palatino Linotype"/>
          <w:bCs/>
          <w:sz w:val="24"/>
          <w:szCs w:val="24"/>
        </w:rPr>
        <w:t>las líneas precedentes</w:t>
      </w:r>
      <w:r w:rsidRPr="003605CA">
        <w:rPr>
          <w:rFonts w:ascii="Palatino Linotype" w:hAnsi="Palatino Linotype"/>
          <w:bCs/>
          <w:sz w:val="24"/>
          <w:szCs w:val="24"/>
        </w:rPr>
        <w:t xml:space="preserve">, se advierte </w:t>
      </w:r>
      <w:r w:rsidR="00CF3003" w:rsidRPr="003605CA">
        <w:rPr>
          <w:rFonts w:ascii="Palatino Linotype" w:hAnsi="Palatino Linotype"/>
          <w:bCs/>
          <w:sz w:val="24"/>
          <w:szCs w:val="24"/>
        </w:rPr>
        <w:t>que,</w:t>
      </w:r>
      <w:r w:rsidRPr="003605CA">
        <w:rPr>
          <w:rFonts w:ascii="Palatino Linotype" w:hAnsi="Palatino Linotype"/>
          <w:bCs/>
          <w:sz w:val="24"/>
          <w:szCs w:val="24"/>
        </w:rPr>
        <w:t xml:space="preserve"> del expediente </w:t>
      </w:r>
      <w:r w:rsidR="00C65270" w:rsidRPr="003605CA">
        <w:rPr>
          <w:rFonts w:ascii="Palatino Linotype" w:hAnsi="Palatino Linotype"/>
          <w:bCs/>
          <w:sz w:val="24"/>
          <w:szCs w:val="24"/>
        </w:rPr>
        <w:t xml:space="preserve">electrónico, </w:t>
      </w:r>
      <w:r w:rsidR="00C65270" w:rsidRPr="00C65270">
        <w:rPr>
          <w:rFonts w:ascii="Palatino Linotype" w:hAnsi="Palatino Linotype"/>
          <w:b/>
          <w:sz w:val="24"/>
          <w:szCs w:val="24"/>
        </w:rPr>
        <w:t>El</w:t>
      </w:r>
      <w:r w:rsidRPr="003605CA">
        <w:rPr>
          <w:rFonts w:ascii="Palatino Linotype" w:hAnsi="Palatino Linotype"/>
          <w:b/>
          <w:bCs/>
          <w:sz w:val="24"/>
          <w:szCs w:val="24"/>
        </w:rPr>
        <w:t xml:space="preserve"> Sujeto Obligado </w:t>
      </w:r>
      <w:r w:rsidRPr="003605CA">
        <w:rPr>
          <w:rFonts w:ascii="Palatino Linotype" w:hAnsi="Palatino Linotype"/>
          <w:bCs/>
          <w:sz w:val="24"/>
          <w:szCs w:val="24"/>
        </w:rPr>
        <w:t xml:space="preserve">se sirvió en dar respuesta al </w:t>
      </w:r>
      <w:r w:rsidRPr="003605CA">
        <w:rPr>
          <w:rFonts w:ascii="Palatino Linotype" w:hAnsi="Palatino Linotype"/>
          <w:b/>
          <w:bCs/>
          <w:sz w:val="24"/>
          <w:szCs w:val="24"/>
        </w:rPr>
        <w:t xml:space="preserve">Recurrente, </w:t>
      </w:r>
      <w:r w:rsidRPr="003605CA">
        <w:rPr>
          <w:rFonts w:ascii="Palatino Linotype" w:hAnsi="Palatino Linotype"/>
          <w:bCs/>
          <w:sz w:val="24"/>
          <w:szCs w:val="24"/>
        </w:rPr>
        <w:t xml:space="preserve">remitiendo </w:t>
      </w:r>
      <w:r w:rsidR="003B5D4E">
        <w:rPr>
          <w:rFonts w:ascii="Palatino Linotype" w:hAnsi="Palatino Linotype"/>
          <w:bCs/>
          <w:sz w:val="24"/>
          <w:szCs w:val="24"/>
        </w:rPr>
        <w:t xml:space="preserve">el sueldo de la titular de la unidad de transparencia, mediante el servidor público habilitado competente. </w:t>
      </w:r>
      <w:r w:rsidR="00AF5003">
        <w:rPr>
          <w:rFonts w:ascii="Palatino Linotype" w:hAnsi="Palatino Linotype"/>
          <w:bCs/>
          <w:sz w:val="24"/>
          <w:szCs w:val="24"/>
        </w:rPr>
        <w:t xml:space="preserve"> </w:t>
      </w:r>
    </w:p>
    <w:p w14:paraId="197B8B44" w14:textId="77777777" w:rsidR="003A73C9" w:rsidRPr="003605CA" w:rsidRDefault="003A73C9" w:rsidP="003A73C9">
      <w:pPr>
        <w:spacing w:line="360" w:lineRule="auto"/>
        <w:jc w:val="both"/>
        <w:rPr>
          <w:rFonts w:ascii="Palatino Linotype" w:hAnsi="Palatino Linotype"/>
          <w:bCs/>
          <w:sz w:val="24"/>
          <w:szCs w:val="24"/>
        </w:rPr>
      </w:pPr>
      <w:r w:rsidRPr="003605CA">
        <w:rPr>
          <w:rFonts w:ascii="Palatino Linotype" w:hAnsi="Palatino Linotype"/>
          <w:bCs/>
          <w:sz w:val="24"/>
          <w:szCs w:val="24"/>
        </w:rPr>
        <w:lastRenderedPageBreak/>
        <w:t>Podemos concluir entonces que, en el presente asunto, se actualiza la causal de sobreseimiento prevista en la fracción IV del artículo 192, de la Ley de Transparencia y Acceso a información Pública del Estado de México y Municipios, que disponen lo siguiente:</w:t>
      </w:r>
    </w:p>
    <w:p w14:paraId="339A679A" w14:textId="77777777" w:rsidR="003A73C9" w:rsidRPr="001B5F43" w:rsidRDefault="003A73C9" w:rsidP="003A73C9">
      <w:pPr>
        <w:pStyle w:val="Citas"/>
      </w:pPr>
      <w:r>
        <w:t>“</w:t>
      </w:r>
      <w:r w:rsidRPr="001B5F43">
        <w:rPr>
          <w:b/>
        </w:rPr>
        <w:t>Artículo 192.</w:t>
      </w:r>
      <w:r w:rsidRPr="001B5F43">
        <w:t xml:space="preserve"> El recurso será </w:t>
      </w:r>
      <w:r w:rsidRPr="001B5F43">
        <w:rPr>
          <w:u w:val="single"/>
        </w:rPr>
        <w:t>sobreseído</w:t>
      </w:r>
      <w:r w:rsidRPr="001B5F43">
        <w:t>, en todo o en parte, cuando una vez admitido, se actualicen</w:t>
      </w:r>
      <w:r>
        <w:t xml:space="preserve"> </w:t>
      </w:r>
      <w:r w:rsidRPr="001B5F43">
        <w:t>alguno de los siguientes supuestos:</w:t>
      </w:r>
    </w:p>
    <w:p w14:paraId="458545C1" w14:textId="77777777" w:rsidR="003A73C9" w:rsidRPr="001B5F43" w:rsidRDefault="003A73C9" w:rsidP="003A73C9">
      <w:pPr>
        <w:pStyle w:val="Citas"/>
      </w:pPr>
      <w:r>
        <w:t>(…)</w:t>
      </w:r>
    </w:p>
    <w:p w14:paraId="24D1C98B" w14:textId="77777777" w:rsidR="003A73C9" w:rsidRDefault="003A73C9" w:rsidP="003A73C9">
      <w:pPr>
        <w:pStyle w:val="Citas"/>
      </w:pPr>
      <w:r w:rsidRPr="009217C4">
        <w:t>IV. Admitido el recurso de revisión, aparezca alguna causal de impr</w:t>
      </w:r>
      <w:r>
        <w:t xml:space="preserve">ocedencia en los términos de la </w:t>
      </w:r>
      <w:r w:rsidRPr="009217C4">
        <w:t>presente Ley; y</w:t>
      </w:r>
      <w:r>
        <w:t>.</w:t>
      </w:r>
    </w:p>
    <w:p w14:paraId="1F2D9777" w14:textId="77777777" w:rsidR="003A73C9" w:rsidRPr="00A5485E" w:rsidRDefault="003A73C9" w:rsidP="003A73C9">
      <w:pPr>
        <w:pStyle w:val="Citas"/>
        <w:rPr>
          <w:b/>
        </w:rPr>
      </w:pPr>
      <w:r>
        <w:t xml:space="preserve">(…)” </w:t>
      </w:r>
      <w:r>
        <w:rPr>
          <w:b/>
        </w:rPr>
        <w:t>(Sic)</w:t>
      </w:r>
    </w:p>
    <w:p w14:paraId="305F58D1" w14:textId="77777777" w:rsidR="008F24D8" w:rsidRDefault="008F24D8" w:rsidP="003A73C9">
      <w:pPr>
        <w:spacing w:line="360" w:lineRule="auto"/>
        <w:jc w:val="both"/>
        <w:rPr>
          <w:rFonts w:ascii="Palatino Linotype" w:hAnsi="Palatino Linotype"/>
          <w:bCs/>
          <w:sz w:val="24"/>
          <w:szCs w:val="24"/>
        </w:rPr>
      </w:pPr>
    </w:p>
    <w:p w14:paraId="0D46E094" w14:textId="5B0A4233" w:rsidR="008F24D8" w:rsidRPr="008F24D8" w:rsidRDefault="003A73C9" w:rsidP="003A73C9">
      <w:pPr>
        <w:spacing w:line="360" w:lineRule="auto"/>
        <w:jc w:val="both"/>
        <w:rPr>
          <w:rFonts w:ascii="Palatino Linotype" w:eastAsiaTheme="minorEastAsia" w:hAnsi="Palatino Linotype" w:cs="Arial"/>
          <w:bCs/>
          <w:sz w:val="24"/>
          <w:szCs w:val="24"/>
          <w:lang w:val="es-ES_tradnl"/>
        </w:rPr>
      </w:pPr>
      <w:r w:rsidRPr="006E3ED8">
        <w:rPr>
          <w:rFonts w:ascii="Palatino Linotype" w:hAnsi="Palatino Linotype"/>
          <w:bCs/>
          <w:sz w:val="24"/>
          <w:szCs w:val="24"/>
        </w:rPr>
        <w:t xml:space="preserve">Por lo que </w:t>
      </w:r>
      <w:r w:rsidRPr="006E3ED8">
        <w:rPr>
          <w:rFonts w:ascii="Palatino Linotype" w:eastAsiaTheme="minorEastAsia" w:hAnsi="Palatino Linotype" w:cs="Arial"/>
          <w:b/>
          <w:sz w:val="24"/>
          <w:szCs w:val="24"/>
          <w:lang w:val="es-ES_tradnl"/>
        </w:rPr>
        <w:t xml:space="preserve">con fundamento en la segunda hipótesis de la fracción I del artículo 186, </w:t>
      </w:r>
      <w:r w:rsidRPr="006E3ED8">
        <w:rPr>
          <w:rFonts w:ascii="Palatino Linotype" w:eastAsiaTheme="minorEastAsia" w:hAnsi="Palatino Linotype" w:cs="Arial"/>
          <w:sz w:val="24"/>
          <w:szCs w:val="24"/>
          <w:lang w:val="es-ES_tradnl"/>
        </w:rPr>
        <w:t xml:space="preserve">de la Ley de Transparencia y Acceso a la Información Pública del Estado de México y Municipios, se </w:t>
      </w:r>
      <w:r w:rsidRPr="006E3ED8">
        <w:rPr>
          <w:rFonts w:ascii="Palatino Linotype" w:eastAsiaTheme="minorEastAsia" w:hAnsi="Palatino Linotype" w:cs="Arial"/>
          <w:b/>
          <w:sz w:val="24"/>
          <w:szCs w:val="24"/>
          <w:lang w:val="es-ES_tradnl"/>
        </w:rPr>
        <w:t xml:space="preserve">SOBRESEE </w:t>
      </w:r>
      <w:r w:rsidR="008F24D8">
        <w:rPr>
          <w:rFonts w:ascii="Palatino Linotype" w:eastAsiaTheme="minorEastAsia" w:hAnsi="Palatino Linotype" w:cs="Arial"/>
          <w:bCs/>
          <w:sz w:val="24"/>
          <w:szCs w:val="24"/>
          <w:lang w:val="es-ES_tradnl"/>
        </w:rPr>
        <w:t xml:space="preserve">el recurso de revisión </w:t>
      </w:r>
      <w:r w:rsidR="003B5D4E">
        <w:rPr>
          <w:rFonts w:ascii="Palatino Linotype" w:eastAsiaTheme="minorEastAsia" w:hAnsi="Palatino Linotype" w:cs="Arial"/>
          <w:b/>
          <w:sz w:val="24"/>
          <w:szCs w:val="24"/>
          <w:lang w:val="es-ES_tradnl"/>
        </w:rPr>
        <w:t>07055</w:t>
      </w:r>
      <w:r w:rsidR="008F24D8">
        <w:rPr>
          <w:rFonts w:ascii="Palatino Linotype" w:eastAsiaTheme="minorEastAsia" w:hAnsi="Palatino Linotype" w:cs="Arial"/>
          <w:b/>
          <w:sz w:val="24"/>
          <w:szCs w:val="24"/>
          <w:lang w:val="es-ES_tradnl"/>
        </w:rPr>
        <w:t>/INFOEM/IP/RR/202</w:t>
      </w:r>
      <w:r w:rsidR="003B5D4E">
        <w:rPr>
          <w:rFonts w:ascii="Palatino Linotype" w:eastAsiaTheme="minorEastAsia" w:hAnsi="Palatino Linotype" w:cs="Arial"/>
          <w:b/>
          <w:sz w:val="24"/>
          <w:szCs w:val="24"/>
          <w:lang w:val="es-ES_tradnl"/>
        </w:rPr>
        <w:t>5</w:t>
      </w:r>
      <w:r w:rsidR="008F24D8">
        <w:rPr>
          <w:rFonts w:ascii="Palatino Linotype" w:eastAsiaTheme="minorEastAsia" w:hAnsi="Palatino Linotype" w:cs="Arial"/>
          <w:b/>
          <w:sz w:val="24"/>
          <w:szCs w:val="24"/>
          <w:lang w:val="es-ES_tradnl"/>
        </w:rPr>
        <w:t xml:space="preserve"> </w:t>
      </w:r>
      <w:r w:rsidR="008F24D8">
        <w:rPr>
          <w:rFonts w:ascii="Palatino Linotype" w:eastAsiaTheme="minorEastAsia" w:hAnsi="Palatino Linotype" w:cs="Arial"/>
          <w:bCs/>
          <w:sz w:val="24"/>
          <w:szCs w:val="24"/>
          <w:lang w:val="es-ES_tradnl"/>
        </w:rPr>
        <w:t xml:space="preserve">que ha sido materia del presente fallo. </w:t>
      </w:r>
    </w:p>
    <w:p w14:paraId="332A60DA" w14:textId="161CCFEF" w:rsidR="003A73C9" w:rsidRDefault="008F24D8" w:rsidP="003A73C9">
      <w:pPr>
        <w:spacing w:line="360" w:lineRule="auto"/>
        <w:jc w:val="both"/>
        <w:rPr>
          <w:rFonts w:ascii="Palatino Linotype" w:hAnsi="Palatino Linotype"/>
          <w:sz w:val="24"/>
          <w:szCs w:val="24"/>
        </w:rPr>
      </w:pPr>
      <w:r>
        <w:rPr>
          <w:rFonts w:ascii="Palatino Linotype" w:hAnsi="Palatino Linotype"/>
          <w:sz w:val="24"/>
          <w:szCs w:val="24"/>
        </w:rPr>
        <w:t>P</w:t>
      </w:r>
      <w:r w:rsidR="003A73C9" w:rsidRPr="006E3ED8">
        <w:rPr>
          <w:rFonts w:ascii="Palatino Linotype" w:hAnsi="Palatino Linotype"/>
          <w:sz w:val="24"/>
          <w:szCs w:val="24"/>
        </w:rPr>
        <w:t>or lo antes expuesto y fundado es de resolverse y,</w:t>
      </w:r>
    </w:p>
    <w:p w14:paraId="5038EA6D" w14:textId="77777777" w:rsidR="003A73C9" w:rsidRPr="006E3ED8" w:rsidRDefault="003A73C9" w:rsidP="003A73C9">
      <w:pPr>
        <w:spacing w:line="360" w:lineRule="auto"/>
        <w:jc w:val="both"/>
        <w:rPr>
          <w:rFonts w:ascii="Palatino Linotype" w:hAnsi="Palatino Linotype"/>
          <w:sz w:val="24"/>
          <w:szCs w:val="24"/>
        </w:rPr>
      </w:pPr>
    </w:p>
    <w:p w14:paraId="32863256" w14:textId="77777777" w:rsidR="003A73C9" w:rsidRDefault="003A73C9" w:rsidP="003A73C9">
      <w:pPr>
        <w:spacing w:line="360" w:lineRule="auto"/>
        <w:jc w:val="center"/>
        <w:rPr>
          <w:rFonts w:ascii="Palatino Linotype" w:hAnsi="Palatino Linotype"/>
          <w:bCs/>
          <w:spacing w:val="60"/>
          <w:lang w:val="es-ES_tradnl"/>
        </w:rPr>
      </w:pPr>
      <w:r w:rsidRPr="00DC0F04">
        <w:rPr>
          <w:rFonts w:ascii="Palatino Linotype" w:hAnsi="Palatino Linotype"/>
          <w:b/>
          <w:bCs/>
          <w:spacing w:val="60"/>
          <w:sz w:val="28"/>
          <w:lang w:val="es-ES_tradnl"/>
        </w:rPr>
        <w:t>SE    RESUELVE</w:t>
      </w:r>
    </w:p>
    <w:p w14:paraId="4AF04087" w14:textId="0EB96417" w:rsidR="003A73C9" w:rsidRDefault="003A73C9" w:rsidP="003A73C9">
      <w:pPr>
        <w:tabs>
          <w:tab w:val="left" w:pos="8647"/>
        </w:tabs>
        <w:spacing w:line="360" w:lineRule="auto"/>
        <w:ind w:right="51"/>
        <w:jc w:val="both"/>
        <w:rPr>
          <w:rFonts w:ascii="Palatino Linotype" w:eastAsiaTheme="minorEastAsia" w:hAnsi="Palatino Linotype" w:cs="Arial"/>
          <w:sz w:val="24"/>
          <w:szCs w:val="24"/>
          <w:lang w:val="es-ES_tradnl"/>
        </w:rPr>
      </w:pPr>
      <w:r w:rsidRPr="006E3ED8">
        <w:rPr>
          <w:rFonts w:ascii="Palatino Linotype" w:eastAsiaTheme="minorEastAsia" w:hAnsi="Palatino Linotype" w:cs="Arial"/>
          <w:b/>
          <w:sz w:val="24"/>
          <w:szCs w:val="24"/>
          <w:lang w:val="es-ES_tradnl"/>
        </w:rPr>
        <w:t>PRIMERO.</w:t>
      </w:r>
      <w:r w:rsidRPr="006E3ED8">
        <w:rPr>
          <w:rFonts w:ascii="Palatino Linotype" w:eastAsiaTheme="minorEastAsia" w:hAnsi="Palatino Linotype" w:cs="Arial"/>
          <w:sz w:val="24"/>
          <w:szCs w:val="24"/>
          <w:lang w:val="es-ES_tradnl"/>
        </w:rPr>
        <w:t xml:space="preserve"> Se </w:t>
      </w:r>
      <w:r w:rsidRPr="006E3ED8">
        <w:rPr>
          <w:rFonts w:ascii="Palatino Linotype" w:eastAsiaTheme="minorEastAsia" w:hAnsi="Palatino Linotype" w:cs="Arial"/>
          <w:b/>
          <w:sz w:val="24"/>
          <w:szCs w:val="24"/>
          <w:lang w:val="es-ES_tradnl"/>
        </w:rPr>
        <w:t>SOBRESEE</w:t>
      </w:r>
      <w:r w:rsidR="008F24D8">
        <w:rPr>
          <w:rFonts w:ascii="Palatino Linotype" w:eastAsiaTheme="minorEastAsia" w:hAnsi="Palatino Linotype" w:cs="Arial"/>
          <w:b/>
          <w:sz w:val="24"/>
          <w:szCs w:val="24"/>
          <w:lang w:val="es-ES_tradnl"/>
        </w:rPr>
        <w:t xml:space="preserve"> </w:t>
      </w:r>
      <w:r w:rsidR="008F24D8">
        <w:rPr>
          <w:rFonts w:ascii="Palatino Linotype" w:eastAsiaTheme="minorEastAsia" w:hAnsi="Palatino Linotype" w:cs="Arial"/>
          <w:bCs/>
          <w:sz w:val="24"/>
          <w:szCs w:val="24"/>
          <w:lang w:val="es-ES_tradnl"/>
        </w:rPr>
        <w:t xml:space="preserve">el recurso de revisión </w:t>
      </w:r>
      <w:r w:rsidR="003B5D4E">
        <w:rPr>
          <w:rFonts w:ascii="Palatino Linotype" w:eastAsiaTheme="minorEastAsia" w:hAnsi="Palatino Linotype" w:cs="Arial"/>
          <w:b/>
          <w:sz w:val="24"/>
          <w:szCs w:val="24"/>
          <w:lang w:val="es-ES_tradnl"/>
        </w:rPr>
        <w:t>07055</w:t>
      </w:r>
      <w:r w:rsidR="008F24D8">
        <w:rPr>
          <w:rFonts w:ascii="Palatino Linotype" w:eastAsiaTheme="minorEastAsia" w:hAnsi="Palatino Linotype" w:cs="Arial"/>
          <w:b/>
          <w:sz w:val="24"/>
          <w:szCs w:val="24"/>
          <w:lang w:val="es-ES_tradnl"/>
        </w:rPr>
        <w:t>/INFOEM/IP/RR/202</w:t>
      </w:r>
      <w:r w:rsidR="003B5D4E">
        <w:rPr>
          <w:rFonts w:ascii="Palatino Linotype" w:eastAsiaTheme="minorEastAsia" w:hAnsi="Palatino Linotype" w:cs="Arial"/>
          <w:b/>
          <w:sz w:val="24"/>
          <w:szCs w:val="24"/>
          <w:lang w:val="es-ES_tradnl"/>
        </w:rPr>
        <w:t>5</w:t>
      </w:r>
      <w:r w:rsidR="008F24D8">
        <w:rPr>
          <w:rFonts w:ascii="Palatino Linotype" w:eastAsiaTheme="minorEastAsia" w:hAnsi="Palatino Linotype" w:cs="Arial"/>
          <w:b/>
          <w:sz w:val="24"/>
          <w:szCs w:val="24"/>
          <w:lang w:val="es-ES_tradnl"/>
        </w:rPr>
        <w:t xml:space="preserve">, </w:t>
      </w:r>
      <w:r w:rsidRPr="006E3ED8">
        <w:rPr>
          <w:rFonts w:ascii="Palatino Linotype" w:eastAsiaTheme="minorEastAsia" w:hAnsi="Palatino Linotype" w:cs="Arial"/>
          <w:sz w:val="24"/>
          <w:szCs w:val="24"/>
          <w:lang w:val="es-ES_tradnl"/>
        </w:rPr>
        <w:t xml:space="preserve"> </w:t>
      </w:r>
      <w:r w:rsidRPr="00B8511B">
        <w:rPr>
          <w:rFonts w:ascii="Palatino Linotype" w:eastAsia="Calibri" w:hAnsi="Palatino Linotype" w:cs="Arial"/>
          <w:lang w:val="es-ES_tradnl" w:eastAsia="es-MX"/>
        </w:rPr>
        <w:t xml:space="preserve">de conformidad con el artículo 192, fracción IV por actualizarse la causal de improcedencia contenida en la fracción V, del artículo 191, ambos de la Ley de Transparencia y Acceso a la </w:t>
      </w:r>
      <w:r w:rsidRPr="00B8511B">
        <w:rPr>
          <w:rFonts w:ascii="Palatino Linotype" w:eastAsia="Calibri" w:hAnsi="Palatino Linotype" w:cs="Arial"/>
          <w:lang w:val="es-ES_tradnl" w:eastAsia="es-MX"/>
        </w:rPr>
        <w:lastRenderedPageBreak/>
        <w:t>Información Pública del Estado de México y Municipios, en términos del Considerando</w:t>
      </w:r>
      <w:r>
        <w:rPr>
          <w:rFonts w:ascii="Palatino Linotype" w:eastAsia="Calibri" w:hAnsi="Palatino Linotype" w:cs="Arial"/>
          <w:lang w:val="es-ES_tradnl" w:eastAsia="es-MX"/>
        </w:rPr>
        <w:t xml:space="preserve"> </w:t>
      </w:r>
      <w:r w:rsidR="008A6DBC">
        <w:rPr>
          <w:rFonts w:ascii="Palatino Linotype" w:eastAsiaTheme="minorEastAsia" w:hAnsi="Palatino Linotype" w:cs="Arial"/>
          <w:b/>
          <w:sz w:val="24"/>
          <w:szCs w:val="24"/>
          <w:lang w:val="es-ES_tradnl"/>
        </w:rPr>
        <w:t>TERCERO</w:t>
      </w:r>
      <w:r w:rsidRPr="006E3ED8">
        <w:rPr>
          <w:rFonts w:ascii="Palatino Linotype" w:eastAsiaTheme="minorEastAsia" w:hAnsi="Palatino Linotype" w:cs="Arial"/>
          <w:sz w:val="24"/>
          <w:szCs w:val="24"/>
          <w:lang w:val="es-ES_tradnl"/>
        </w:rPr>
        <w:t xml:space="preserve"> de la presente resolución.</w:t>
      </w:r>
    </w:p>
    <w:p w14:paraId="5697020E" w14:textId="77777777" w:rsidR="003A73C9" w:rsidRDefault="003A73C9" w:rsidP="003A73C9">
      <w:pPr>
        <w:tabs>
          <w:tab w:val="left" w:pos="8647"/>
        </w:tabs>
        <w:spacing w:line="360" w:lineRule="auto"/>
        <w:ind w:right="51"/>
        <w:jc w:val="both"/>
        <w:rPr>
          <w:rFonts w:ascii="Palatino Linotype" w:eastAsiaTheme="minorEastAsia" w:hAnsi="Palatino Linotype" w:cs="Arial"/>
          <w:sz w:val="24"/>
          <w:szCs w:val="24"/>
          <w:lang w:val="es-ES_tradnl"/>
        </w:rPr>
      </w:pPr>
    </w:p>
    <w:p w14:paraId="504F7538" w14:textId="77777777" w:rsidR="003A73C9" w:rsidRDefault="003A73C9" w:rsidP="003A73C9">
      <w:pPr>
        <w:tabs>
          <w:tab w:val="left" w:pos="8647"/>
        </w:tabs>
        <w:spacing w:line="360" w:lineRule="auto"/>
        <w:ind w:right="51"/>
        <w:jc w:val="both"/>
        <w:rPr>
          <w:rFonts w:ascii="Palatino Linotype" w:eastAsiaTheme="minorEastAsia" w:hAnsi="Palatino Linotype" w:cs="Arial"/>
          <w:sz w:val="24"/>
          <w:szCs w:val="24"/>
          <w:lang w:val="es-ES_tradnl"/>
        </w:rPr>
      </w:pPr>
      <w:r w:rsidRPr="006E3ED8">
        <w:rPr>
          <w:rFonts w:ascii="Palatino Linotype" w:eastAsiaTheme="minorEastAsia" w:hAnsi="Palatino Linotype" w:cs="Arial"/>
          <w:b/>
          <w:sz w:val="24"/>
          <w:szCs w:val="24"/>
          <w:lang w:val="es-ES_tradnl"/>
        </w:rPr>
        <w:t>SEGUNDO.</w:t>
      </w:r>
      <w:r w:rsidRPr="006E3ED8">
        <w:rPr>
          <w:rFonts w:ascii="Palatino Linotype" w:eastAsiaTheme="minorEastAsia" w:hAnsi="Palatino Linotype" w:cs="Arial"/>
          <w:sz w:val="24"/>
          <w:szCs w:val="24"/>
          <w:lang w:val="es-ES_tradnl"/>
        </w:rPr>
        <w:t xml:space="preserve"> </w:t>
      </w:r>
      <w:r w:rsidRPr="006E3ED8">
        <w:rPr>
          <w:rFonts w:ascii="Palatino Linotype" w:eastAsiaTheme="minorEastAsia" w:hAnsi="Palatino Linotype" w:cs="Arial"/>
          <w:b/>
          <w:sz w:val="24"/>
          <w:szCs w:val="24"/>
          <w:lang w:val="es-ES_tradnl"/>
        </w:rPr>
        <w:t>Notifíquese</w:t>
      </w:r>
      <w:r w:rsidRPr="006E3ED8">
        <w:rPr>
          <w:rFonts w:ascii="Palatino Linotype" w:eastAsiaTheme="minorEastAsia" w:hAnsi="Palatino Linotype" w:cs="Arial"/>
          <w:sz w:val="24"/>
          <w:szCs w:val="24"/>
          <w:lang w:val="es-ES_tradnl"/>
        </w:rPr>
        <w:t xml:space="preserve"> vía Sistema de Acceso a la información Mexiquense (</w:t>
      </w:r>
      <w:r w:rsidRPr="006E3ED8">
        <w:rPr>
          <w:rFonts w:ascii="Palatino Linotype" w:eastAsiaTheme="minorEastAsia" w:hAnsi="Palatino Linotype" w:cs="Arial"/>
          <w:b/>
          <w:bCs/>
          <w:sz w:val="24"/>
          <w:szCs w:val="24"/>
          <w:lang w:val="es-ES_tradnl"/>
        </w:rPr>
        <w:t>SAIMEX</w:t>
      </w:r>
      <w:r w:rsidRPr="006E3ED8">
        <w:rPr>
          <w:rFonts w:ascii="Palatino Linotype" w:eastAsiaTheme="minorEastAsia" w:hAnsi="Palatino Linotype" w:cs="Arial"/>
          <w:sz w:val="24"/>
          <w:szCs w:val="24"/>
          <w:lang w:val="es-ES_tradnl"/>
        </w:rPr>
        <w:t xml:space="preserve">) la presente resolución al Titular de la Unidad de Transparencia del </w:t>
      </w:r>
      <w:r w:rsidRPr="006E3ED8">
        <w:rPr>
          <w:rFonts w:ascii="Palatino Linotype" w:eastAsiaTheme="minorEastAsia" w:hAnsi="Palatino Linotype" w:cs="Arial"/>
          <w:b/>
          <w:sz w:val="24"/>
          <w:szCs w:val="24"/>
          <w:lang w:val="es-ES_tradnl"/>
        </w:rPr>
        <w:t>Sujeto Obligado</w:t>
      </w:r>
      <w:r w:rsidRPr="006E3ED8">
        <w:rPr>
          <w:rFonts w:ascii="Palatino Linotype" w:eastAsiaTheme="minorEastAsia" w:hAnsi="Palatino Linotype" w:cs="Arial"/>
          <w:sz w:val="24"/>
          <w:szCs w:val="24"/>
          <w:lang w:val="es-ES_tradnl"/>
        </w:rPr>
        <w:t>.</w:t>
      </w:r>
    </w:p>
    <w:p w14:paraId="696735E6" w14:textId="77777777" w:rsidR="00D457AF" w:rsidRPr="006E3ED8" w:rsidRDefault="00D457AF" w:rsidP="003A73C9">
      <w:pPr>
        <w:tabs>
          <w:tab w:val="left" w:pos="8647"/>
        </w:tabs>
        <w:spacing w:line="360" w:lineRule="auto"/>
        <w:ind w:right="51"/>
        <w:jc w:val="both"/>
        <w:rPr>
          <w:rFonts w:ascii="Palatino Linotype" w:eastAsiaTheme="minorEastAsia" w:hAnsi="Palatino Linotype" w:cs="Arial"/>
          <w:sz w:val="24"/>
          <w:szCs w:val="24"/>
          <w:lang w:val="es-ES_tradnl"/>
        </w:rPr>
      </w:pPr>
    </w:p>
    <w:p w14:paraId="1ED11C92" w14:textId="77777777" w:rsidR="003A73C9" w:rsidRPr="006E3ED8" w:rsidRDefault="003A73C9" w:rsidP="003A73C9">
      <w:pPr>
        <w:spacing w:line="360" w:lineRule="auto"/>
        <w:jc w:val="both"/>
        <w:rPr>
          <w:rFonts w:ascii="Palatino Linotype" w:hAnsi="Palatino Linotype" w:cs="Arial"/>
          <w:sz w:val="24"/>
          <w:szCs w:val="24"/>
        </w:rPr>
      </w:pPr>
      <w:r w:rsidRPr="006E3ED8">
        <w:rPr>
          <w:rFonts w:ascii="Palatino Linotype" w:hAnsi="Palatino Linotype" w:cs="Arial"/>
          <w:b/>
          <w:sz w:val="24"/>
          <w:szCs w:val="24"/>
        </w:rPr>
        <w:t>TERCERO.</w:t>
      </w:r>
      <w:r w:rsidRPr="006E3ED8">
        <w:rPr>
          <w:rFonts w:ascii="Palatino Linotype" w:hAnsi="Palatino Linotype" w:cs="Arial"/>
          <w:sz w:val="24"/>
          <w:szCs w:val="24"/>
        </w:rPr>
        <w:t xml:space="preserve"> </w:t>
      </w:r>
      <w:r w:rsidRPr="006E3ED8">
        <w:rPr>
          <w:rFonts w:ascii="Palatino Linotype" w:hAnsi="Palatino Linotype" w:cs="Arial"/>
          <w:b/>
          <w:sz w:val="24"/>
          <w:szCs w:val="24"/>
        </w:rPr>
        <w:t>NOTIFÍQUESE</w:t>
      </w:r>
      <w:r w:rsidRPr="006E3ED8">
        <w:rPr>
          <w:rFonts w:ascii="Palatino Linotype" w:hAnsi="Palatino Linotype" w:cs="Arial"/>
          <w:sz w:val="24"/>
          <w:szCs w:val="24"/>
        </w:rPr>
        <w:t xml:space="preserve"> al </w:t>
      </w:r>
      <w:r w:rsidRPr="006E3ED8">
        <w:rPr>
          <w:rFonts w:ascii="Palatino Linotype" w:hAnsi="Palatino Linotype" w:cs="Arial"/>
          <w:b/>
          <w:sz w:val="24"/>
          <w:szCs w:val="24"/>
        </w:rPr>
        <w:t xml:space="preserve">Recurrente </w:t>
      </w:r>
      <w:r w:rsidRPr="006E3ED8">
        <w:rPr>
          <w:rFonts w:ascii="Palatino Linotype" w:hAnsi="Palatino Linotype" w:cs="Arial"/>
          <w:sz w:val="24"/>
          <w:szCs w:val="24"/>
        </w:rPr>
        <w:t xml:space="preserve">la presente resolución </w:t>
      </w:r>
      <w:r w:rsidRPr="006E3ED8">
        <w:rPr>
          <w:rFonts w:ascii="Palatino Linotype" w:eastAsiaTheme="minorEastAsia" w:hAnsi="Palatino Linotype" w:cs="Arial"/>
          <w:sz w:val="24"/>
          <w:szCs w:val="24"/>
          <w:lang w:val="es-ES_tradnl"/>
        </w:rPr>
        <w:t>vía Sistema de Acceso a la información Mexiquense (</w:t>
      </w:r>
      <w:r w:rsidRPr="006E3ED8">
        <w:rPr>
          <w:rFonts w:ascii="Palatino Linotype" w:eastAsiaTheme="minorEastAsia" w:hAnsi="Palatino Linotype" w:cs="Arial"/>
          <w:b/>
          <w:bCs/>
          <w:sz w:val="24"/>
          <w:szCs w:val="24"/>
          <w:lang w:val="es-ES_tradnl"/>
        </w:rPr>
        <w:t>SAIMEX</w:t>
      </w:r>
      <w:r w:rsidRPr="006E3ED8">
        <w:rPr>
          <w:rFonts w:ascii="Palatino Linotype" w:eastAsiaTheme="minorEastAsia" w:hAnsi="Palatino Linotype" w:cs="Arial"/>
          <w:sz w:val="24"/>
          <w:szCs w:val="24"/>
          <w:lang w:val="es-ES_tradnl"/>
        </w:rPr>
        <w:t xml:space="preserve">) </w:t>
      </w:r>
      <w:r w:rsidRPr="006E3ED8">
        <w:rPr>
          <w:rFonts w:ascii="Palatino Linotype" w:hAnsi="Palatino Linotype" w:cs="Arial"/>
          <w:sz w:val="24"/>
          <w:szCs w:val="24"/>
        </w:rPr>
        <w:t>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3821AFB" w14:textId="77777777" w:rsidR="007B326E" w:rsidRPr="007B326E" w:rsidRDefault="007B326E" w:rsidP="007B326E">
      <w:pPr>
        <w:pStyle w:val="Prrafodelista"/>
        <w:autoSpaceDE w:val="0"/>
        <w:autoSpaceDN w:val="0"/>
        <w:adjustRightInd w:val="0"/>
        <w:spacing w:before="240" w:after="160" w:line="360" w:lineRule="auto"/>
        <w:ind w:left="0"/>
        <w:jc w:val="both"/>
        <w:rPr>
          <w:rFonts w:ascii="Palatino Linotype" w:hAnsi="Palatino Linotype" w:cs="Arial"/>
          <w:sz w:val="22"/>
          <w:szCs w:val="22"/>
        </w:rPr>
      </w:pPr>
      <w:r w:rsidRPr="007B326E">
        <w:rPr>
          <w:rFonts w:ascii="Palatino Linotype" w:hAnsi="Palatino Linotype" w:cs="Arial"/>
          <w:sz w:val="22"/>
          <w:szCs w:val="22"/>
        </w:rPr>
        <w:t>ASÍ LO ACORDÓ, POR UNANIMIDAD DE VOTOS, EL PLENO DEL</w:t>
      </w:r>
      <w:r w:rsidRPr="007B326E">
        <w:rPr>
          <w:rFonts w:ascii="Palatino Linotype" w:eastAsia="Arial Unicode MS" w:hAnsi="Palatino Linotype" w:cs="Arial"/>
          <w:sz w:val="22"/>
          <w:szCs w:val="22"/>
        </w:rPr>
        <w:t xml:space="preserve"> INSTITUTO DE TRANSPARENCIA, ACCESO A LA INFORMACIÓN PÚBLICA Y PROTECCIÓN DE DATOS PERSONALES DEL ESTADO DE MÉXICO Y MUNICIPIOS</w:t>
      </w:r>
      <w:r w:rsidRPr="007B326E">
        <w:rPr>
          <w:rFonts w:ascii="Palatino Linotype" w:hAnsi="Palatino Linotype" w:cs="Arial"/>
          <w:sz w:val="22"/>
          <w:szCs w:val="22"/>
        </w:rPr>
        <w:t xml:space="preserve">, CONFORMADO POR LOS COMISIONADOS JOSÉ MARTÍNEZ VILCHIS, MARÍA DEL ROSARIO MEJÍA AYALA (AUSENCIA JUSTIFICADA), SHARON CRISTINA MORALES MARTÍNEZ, LUIS GUSTAVO PARRA NORIEGA Y GUADALUPE RAMÍREZ PEÑA, EN LA VIGÉSIMA QUINTA SESIÓN ORDINARIA CELEBRADA EL NUEVE DE JULIO DE DOS MIL VEINTICINCO, ANTE EL SECRETARIO TÉCNICO DEL PLENO, ALEXIS TAPIA RAMÍREZ. </w:t>
      </w:r>
    </w:p>
    <w:p w14:paraId="7151ECB1" w14:textId="77777777" w:rsidR="007B326E" w:rsidRDefault="007B326E" w:rsidP="007B326E">
      <w:pPr>
        <w:pStyle w:val="Citas"/>
        <w:ind w:left="0" w:right="0"/>
        <w:rPr>
          <w:bCs/>
          <w:i w:val="0"/>
          <w:iCs/>
          <w:sz w:val="18"/>
          <w:szCs w:val="18"/>
        </w:rPr>
      </w:pPr>
      <w:r w:rsidRPr="008C0DA8">
        <w:rPr>
          <w:bCs/>
          <w:i w:val="0"/>
          <w:iCs/>
          <w:sz w:val="18"/>
          <w:szCs w:val="18"/>
        </w:rPr>
        <w:t>CCR/JCMA</w:t>
      </w:r>
    </w:p>
    <w:p w14:paraId="4B448082" w14:textId="77777777" w:rsidR="002B338D" w:rsidRPr="003721AF" w:rsidRDefault="002B338D"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lang w:val="es-MX"/>
        </w:rPr>
      </w:pPr>
    </w:p>
    <w:p w14:paraId="07AF086E" w14:textId="77777777" w:rsidR="008B3A59" w:rsidRPr="003721AF"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0E316E9" w14:textId="77777777" w:rsidR="008B3A59" w:rsidRPr="003721AF"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3DD2238" w14:textId="77777777" w:rsidR="008B3A59" w:rsidRPr="003721AF" w:rsidRDefault="008B3A59" w:rsidP="00787D06">
      <w:pPr>
        <w:spacing w:line="360" w:lineRule="auto"/>
        <w:contextualSpacing/>
        <w:jc w:val="both"/>
        <w:rPr>
          <w:rFonts w:ascii="Palatino Linotype" w:eastAsia="MS Mincho" w:hAnsi="Palatino Linotype"/>
        </w:rPr>
      </w:pPr>
    </w:p>
    <w:p w14:paraId="7A7DB574" w14:textId="77777777" w:rsidR="006329AB" w:rsidRPr="003721AF" w:rsidRDefault="006329AB" w:rsidP="00787D06">
      <w:pPr>
        <w:spacing w:line="360" w:lineRule="auto"/>
        <w:contextualSpacing/>
        <w:jc w:val="both"/>
        <w:rPr>
          <w:rFonts w:ascii="Palatino Linotype" w:eastAsia="MS Mincho" w:hAnsi="Palatino Linotype"/>
        </w:rPr>
      </w:pPr>
    </w:p>
    <w:p w14:paraId="43A714A8" w14:textId="77777777" w:rsidR="006329AB" w:rsidRPr="003721AF" w:rsidRDefault="006329AB" w:rsidP="00787D06">
      <w:pPr>
        <w:spacing w:line="360" w:lineRule="auto"/>
        <w:contextualSpacing/>
        <w:jc w:val="both"/>
        <w:rPr>
          <w:rFonts w:ascii="Palatino Linotype" w:eastAsia="MS Mincho" w:hAnsi="Palatino Linotype"/>
        </w:rPr>
      </w:pPr>
    </w:p>
    <w:p w14:paraId="7BD0520F" w14:textId="77777777" w:rsidR="006329AB" w:rsidRPr="003721AF" w:rsidRDefault="006329AB" w:rsidP="00787D06">
      <w:pPr>
        <w:spacing w:line="360" w:lineRule="auto"/>
        <w:contextualSpacing/>
        <w:jc w:val="both"/>
        <w:rPr>
          <w:rFonts w:ascii="Palatino Linotype" w:eastAsia="MS Mincho" w:hAnsi="Palatino Linotype"/>
        </w:rPr>
      </w:pPr>
    </w:p>
    <w:p w14:paraId="01E91246" w14:textId="77777777" w:rsidR="006329AB" w:rsidRPr="003721AF" w:rsidRDefault="006329AB" w:rsidP="00787D06">
      <w:pPr>
        <w:spacing w:line="360" w:lineRule="auto"/>
        <w:contextualSpacing/>
        <w:jc w:val="both"/>
        <w:rPr>
          <w:rFonts w:ascii="Palatino Linotype" w:eastAsia="MS Mincho" w:hAnsi="Palatino Linotype"/>
        </w:rPr>
      </w:pPr>
    </w:p>
    <w:p w14:paraId="656EAE9D" w14:textId="77777777" w:rsidR="006329AB" w:rsidRPr="003721AF" w:rsidRDefault="006329AB" w:rsidP="00787D06">
      <w:pPr>
        <w:spacing w:line="360" w:lineRule="auto"/>
        <w:contextualSpacing/>
        <w:jc w:val="both"/>
        <w:rPr>
          <w:rFonts w:ascii="Palatino Linotype" w:eastAsia="MS Mincho" w:hAnsi="Palatino Linotype"/>
        </w:rPr>
      </w:pPr>
    </w:p>
    <w:p w14:paraId="622DBD2A" w14:textId="77777777" w:rsidR="006329AB" w:rsidRPr="003721AF" w:rsidRDefault="006329AB" w:rsidP="00787D06">
      <w:pPr>
        <w:spacing w:line="360" w:lineRule="auto"/>
        <w:contextualSpacing/>
        <w:jc w:val="both"/>
        <w:rPr>
          <w:rFonts w:ascii="Palatino Linotype" w:eastAsia="MS Mincho" w:hAnsi="Palatino Linotype"/>
        </w:rPr>
      </w:pPr>
    </w:p>
    <w:p w14:paraId="0FBED5F8" w14:textId="77777777" w:rsidR="006329AB" w:rsidRPr="003721AF" w:rsidRDefault="006329AB" w:rsidP="00787D06">
      <w:pPr>
        <w:spacing w:line="360" w:lineRule="auto"/>
        <w:contextualSpacing/>
        <w:jc w:val="both"/>
        <w:rPr>
          <w:rFonts w:ascii="Palatino Linotype" w:eastAsia="MS Mincho" w:hAnsi="Palatino Linotype"/>
        </w:rPr>
      </w:pPr>
    </w:p>
    <w:p w14:paraId="2723392D" w14:textId="77777777" w:rsidR="006329AB" w:rsidRPr="003721AF" w:rsidRDefault="006329AB" w:rsidP="00787D06">
      <w:pPr>
        <w:spacing w:line="360" w:lineRule="auto"/>
        <w:contextualSpacing/>
        <w:jc w:val="both"/>
        <w:rPr>
          <w:rFonts w:ascii="Palatino Linotype" w:eastAsia="MS Mincho" w:hAnsi="Palatino Linotype"/>
        </w:rPr>
      </w:pPr>
    </w:p>
    <w:p w14:paraId="0D554207" w14:textId="77777777" w:rsidR="006329AB" w:rsidRPr="003721AF" w:rsidRDefault="006329AB" w:rsidP="00787D06">
      <w:pPr>
        <w:spacing w:line="360" w:lineRule="auto"/>
        <w:contextualSpacing/>
        <w:jc w:val="both"/>
        <w:rPr>
          <w:rFonts w:ascii="Palatino Linotype" w:eastAsia="MS Mincho" w:hAnsi="Palatino Linotype"/>
        </w:rPr>
      </w:pPr>
    </w:p>
    <w:p w14:paraId="1AD2AF62" w14:textId="77777777" w:rsidR="006329AB" w:rsidRPr="003721AF" w:rsidRDefault="006329AB" w:rsidP="00787D06">
      <w:pPr>
        <w:spacing w:line="360" w:lineRule="auto"/>
        <w:contextualSpacing/>
        <w:jc w:val="both"/>
        <w:rPr>
          <w:rFonts w:ascii="Palatino Linotype" w:eastAsia="MS Mincho" w:hAnsi="Palatino Linotype"/>
        </w:rPr>
      </w:pPr>
    </w:p>
    <w:p w14:paraId="4E7A3EC8" w14:textId="77777777" w:rsidR="00292975" w:rsidRPr="003721AF" w:rsidRDefault="00292975" w:rsidP="00787D06">
      <w:pPr>
        <w:spacing w:line="360" w:lineRule="auto"/>
        <w:contextualSpacing/>
        <w:jc w:val="both"/>
        <w:rPr>
          <w:rFonts w:ascii="Palatino Linotype" w:eastAsia="MS Mincho" w:hAnsi="Palatino Linotype"/>
        </w:rPr>
      </w:pPr>
    </w:p>
    <w:p w14:paraId="77D0ECD1" w14:textId="77777777" w:rsidR="00292975" w:rsidRPr="003721AF" w:rsidRDefault="00292975" w:rsidP="00787D06">
      <w:pPr>
        <w:spacing w:line="360" w:lineRule="auto"/>
        <w:contextualSpacing/>
        <w:jc w:val="both"/>
        <w:rPr>
          <w:rFonts w:ascii="Palatino Linotype" w:eastAsia="MS Mincho" w:hAnsi="Palatino Linotype"/>
        </w:rPr>
      </w:pPr>
    </w:p>
    <w:p w14:paraId="7523C825" w14:textId="77777777" w:rsidR="00292975" w:rsidRPr="003721AF" w:rsidRDefault="00292975" w:rsidP="00787D06">
      <w:pPr>
        <w:spacing w:line="360" w:lineRule="auto"/>
        <w:contextualSpacing/>
        <w:jc w:val="both"/>
        <w:rPr>
          <w:rFonts w:ascii="Palatino Linotype" w:eastAsia="MS Mincho" w:hAnsi="Palatino Linotype"/>
        </w:rPr>
      </w:pPr>
    </w:p>
    <w:p w14:paraId="4ABD4FDC" w14:textId="77777777" w:rsidR="00292975" w:rsidRPr="003721AF" w:rsidRDefault="00292975" w:rsidP="00787D06">
      <w:pPr>
        <w:spacing w:line="360" w:lineRule="auto"/>
        <w:contextualSpacing/>
        <w:jc w:val="both"/>
        <w:rPr>
          <w:rFonts w:ascii="Palatino Linotype" w:eastAsia="MS Mincho" w:hAnsi="Palatino Linotype"/>
        </w:rPr>
      </w:pPr>
    </w:p>
    <w:p w14:paraId="2DCD5BDB" w14:textId="77777777" w:rsidR="00292975" w:rsidRPr="003721AF" w:rsidRDefault="00292975" w:rsidP="00787D06">
      <w:pPr>
        <w:spacing w:line="360" w:lineRule="auto"/>
        <w:contextualSpacing/>
        <w:jc w:val="both"/>
        <w:rPr>
          <w:rFonts w:ascii="Palatino Linotype" w:eastAsia="MS Mincho" w:hAnsi="Palatino Linotype"/>
        </w:rPr>
      </w:pPr>
    </w:p>
    <w:p w14:paraId="0061F441" w14:textId="77777777" w:rsidR="009950AD" w:rsidRPr="003721AF" w:rsidRDefault="009950AD" w:rsidP="00787D06">
      <w:pPr>
        <w:spacing w:line="360" w:lineRule="auto"/>
        <w:contextualSpacing/>
        <w:jc w:val="both"/>
        <w:rPr>
          <w:rFonts w:ascii="Palatino Linotype" w:eastAsia="MS Mincho" w:hAnsi="Palatino Linotype"/>
        </w:rPr>
      </w:pPr>
    </w:p>
    <w:p w14:paraId="1F9EF5DB" w14:textId="77777777" w:rsidR="006329AB" w:rsidRPr="003721AF"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B57F0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A288F" w14:textId="77777777" w:rsidR="00331445" w:rsidRPr="003721AF" w:rsidRDefault="00331445" w:rsidP="006168E4">
      <w:pPr>
        <w:spacing w:after="0" w:line="240" w:lineRule="auto"/>
      </w:pPr>
      <w:r w:rsidRPr="003721AF">
        <w:separator/>
      </w:r>
    </w:p>
  </w:endnote>
  <w:endnote w:type="continuationSeparator" w:id="0">
    <w:p w14:paraId="0925F50D" w14:textId="77777777" w:rsidR="00331445" w:rsidRPr="003721AF" w:rsidRDefault="00331445" w:rsidP="006168E4">
      <w:pPr>
        <w:spacing w:after="0" w:line="240" w:lineRule="auto"/>
      </w:pPr>
      <w:r w:rsidRPr="003721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3721AF" w:rsidRDefault="00D338F0" w:rsidP="00FB4AAD">
    <w:pPr>
      <w:pStyle w:val="Piedepgina"/>
      <w:jc w:val="right"/>
      <w:rPr>
        <w:rFonts w:ascii="Palatino Linotype" w:hAnsi="Palatino Linotype"/>
        <w:sz w:val="20"/>
        <w:lang w:val="es-MX"/>
      </w:rPr>
    </w:pPr>
    <w:r w:rsidRPr="003721AF">
      <w:rPr>
        <w:rFonts w:ascii="Palatino Linotype" w:hAnsi="Palatino Linotype"/>
        <w:sz w:val="20"/>
        <w:lang w:val="es-MX"/>
      </w:rPr>
      <w:t xml:space="preserve">Página </w:t>
    </w:r>
    <w:r w:rsidRPr="003721AF">
      <w:rPr>
        <w:rFonts w:ascii="Palatino Linotype" w:hAnsi="Palatino Linotype"/>
        <w:bCs/>
        <w:sz w:val="20"/>
        <w:lang w:val="es-MX"/>
      </w:rPr>
      <w:fldChar w:fldCharType="begin"/>
    </w:r>
    <w:r w:rsidRPr="003721AF">
      <w:rPr>
        <w:rFonts w:ascii="Palatino Linotype" w:hAnsi="Palatino Linotype"/>
        <w:bCs/>
        <w:sz w:val="20"/>
        <w:lang w:val="es-MX"/>
      </w:rPr>
      <w:instrText>PAGE  \* Arabic  \* MERGEFORMAT</w:instrText>
    </w:r>
    <w:r w:rsidRPr="003721AF">
      <w:rPr>
        <w:rFonts w:ascii="Palatino Linotype" w:hAnsi="Palatino Linotype"/>
        <w:bCs/>
        <w:sz w:val="20"/>
        <w:lang w:val="es-MX"/>
      </w:rPr>
      <w:fldChar w:fldCharType="separate"/>
    </w:r>
    <w:r w:rsidR="006E5CD8">
      <w:rPr>
        <w:rFonts w:ascii="Palatino Linotype" w:hAnsi="Palatino Linotype"/>
        <w:bCs/>
        <w:noProof/>
        <w:sz w:val="20"/>
        <w:lang w:val="es-MX"/>
      </w:rPr>
      <w:t>5</w:t>
    </w:r>
    <w:r w:rsidRPr="003721AF">
      <w:rPr>
        <w:rFonts w:ascii="Palatino Linotype" w:hAnsi="Palatino Linotype"/>
        <w:bCs/>
        <w:sz w:val="20"/>
        <w:lang w:val="es-MX"/>
      </w:rPr>
      <w:fldChar w:fldCharType="end"/>
    </w:r>
    <w:r w:rsidRPr="003721AF">
      <w:rPr>
        <w:rFonts w:ascii="Palatino Linotype" w:hAnsi="Palatino Linotype"/>
        <w:sz w:val="20"/>
        <w:lang w:val="es-MX"/>
      </w:rPr>
      <w:t xml:space="preserve"> de </w:t>
    </w:r>
    <w:r w:rsidRPr="003721AF">
      <w:rPr>
        <w:rFonts w:ascii="Palatino Linotype" w:hAnsi="Palatino Linotype"/>
        <w:bCs/>
        <w:sz w:val="20"/>
        <w:lang w:val="es-MX"/>
      </w:rPr>
      <w:fldChar w:fldCharType="begin"/>
    </w:r>
    <w:r w:rsidRPr="003721AF">
      <w:rPr>
        <w:rFonts w:ascii="Palatino Linotype" w:hAnsi="Palatino Linotype"/>
        <w:bCs/>
        <w:sz w:val="20"/>
        <w:lang w:val="es-MX"/>
      </w:rPr>
      <w:instrText>NUMPAGES  \* Arabic  \* MERGEFORMAT</w:instrText>
    </w:r>
    <w:r w:rsidRPr="003721AF">
      <w:rPr>
        <w:rFonts w:ascii="Palatino Linotype" w:hAnsi="Palatino Linotype"/>
        <w:bCs/>
        <w:sz w:val="20"/>
        <w:lang w:val="es-MX"/>
      </w:rPr>
      <w:fldChar w:fldCharType="separate"/>
    </w:r>
    <w:r w:rsidR="006E5CD8">
      <w:rPr>
        <w:rFonts w:ascii="Palatino Linotype" w:hAnsi="Palatino Linotype"/>
        <w:bCs/>
        <w:noProof/>
        <w:sz w:val="20"/>
        <w:lang w:val="es-MX"/>
      </w:rPr>
      <w:t>25</w:t>
    </w:r>
    <w:r w:rsidRPr="003721AF">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3721AF" w:rsidRDefault="00D338F0" w:rsidP="00FB4AAD">
    <w:pPr>
      <w:pStyle w:val="Piedepgina"/>
      <w:jc w:val="right"/>
      <w:rPr>
        <w:rFonts w:ascii="Palatino Linotype" w:hAnsi="Palatino Linotype"/>
        <w:sz w:val="20"/>
        <w:lang w:val="es-MX"/>
      </w:rPr>
    </w:pPr>
    <w:r w:rsidRPr="003721AF">
      <w:rPr>
        <w:rFonts w:ascii="Palatino Linotype" w:hAnsi="Palatino Linotype"/>
        <w:sz w:val="20"/>
        <w:lang w:val="es-MX"/>
      </w:rPr>
      <w:t xml:space="preserve">Página </w:t>
    </w:r>
    <w:r w:rsidRPr="003721AF">
      <w:rPr>
        <w:rFonts w:ascii="Palatino Linotype" w:hAnsi="Palatino Linotype"/>
        <w:bCs/>
        <w:sz w:val="20"/>
        <w:lang w:val="es-MX"/>
      </w:rPr>
      <w:fldChar w:fldCharType="begin"/>
    </w:r>
    <w:r w:rsidRPr="003721AF">
      <w:rPr>
        <w:rFonts w:ascii="Palatino Linotype" w:hAnsi="Palatino Linotype"/>
        <w:bCs/>
        <w:sz w:val="20"/>
        <w:lang w:val="es-MX"/>
      </w:rPr>
      <w:instrText>PAGE  \* Arabic  \* MERGEFORMAT</w:instrText>
    </w:r>
    <w:r w:rsidRPr="003721AF">
      <w:rPr>
        <w:rFonts w:ascii="Palatino Linotype" w:hAnsi="Palatino Linotype"/>
        <w:bCs/>
        <w:sz w:val="20"/>
        <w:lang w:val="es-MX"/>
      </w:rPr>
      <w:fldChar w:fldCharType="separate"/>
    </w:r>
    <w:r w:rsidR="006E5CD8">
      <w:rPr>
        <w:rFonts w:ascii="Palatino Linotype" w:hAnsi="Palatino Linotype"/>
        <w:bCs/>
        <w:noProof/>
        <w:sz w:val="20"/>
        <w:lang w:val="es-MX"/>
      </w:rPr>
      <w:t>1</w:t>
    </w:r>
    <w:r w:rsidRPr="003721AF">
      <w:rPr>
        <w:rFonts w:ascii="Palatino Linotype" w:hAnsi="Palatino Linotype"/>
        <w:bCs/>
        <w:sz w:val="20"/>
        <w:lang w:val="es-MX"/>
      </w:rPr>
      <w:fldChar w:fldCharType="end"/>
    </w:r>
    <w:r w:rsidRPr="003721AF">
      <w:rPr>
        <w:rFonts w:ascii="Palatino Linotype" w:hAnsi="Palatino Linotype"/>
        <w:sz w:val="20"/>
        <w:lang w:val="es-MX"/>
      </w:rPr>
      <w:t xml:space="preserve"> de </w:t>
    </w:r>
    <w:r w:rsidRPr="003721AF">
      <w:rPr>
        <w:rFonts w:ascii="Palatino Linotype" w:hAnsi="Palatino Linotype"/>
        <w:bCs/>
        <w:sz w:val="20"/>
        <w:lang w:val="es-MX"/>
      </w:rPr>
      <w:fldChar w:fldCharType="begin"/>
    </w:r>
    <w:r w:rsidRPr="003721AF">
      <w:rPr>
        <w:rFonts w:ascii="Palatino Linotype" w:hAnsi="Palatino Linotype"/>
        <w:bCs/>
        <w:sz w:val="20"/>
        <w:lang w:val="es-MX"/>
      </w:rPr>
      <w:instrText>NUMPAGES  \* Arabic  \* MERGEFORMAT</w:instrText>
    </w:r>
    <w:r w:rsidRPr="003721AF">
      <w:rPr>
        <w:rFonts w:ascii="Palatino Linotype" w:hAnsi="Palatino Linotype"/>
        <w:bCs/>
        <w:sz w:val="20"/>
        <w:lang w:val="es-MX"/>
      </w:rPr>
      <w:fldChar w:fldCharType="separate"/>
    </w:r>
    <w:r w:rsidR="006E5CD8">
      <w:rPr>
        <w:rFonts w:ascii="Palatino Linotype" w:hAnsi="Palatino Linotype"/>
        <w:bCs/>
        <w:noProof/>
        <w:sz w:val="20"/>
        <w:lang w:val="es-MX"/>
      </w:rPr>
      <w:t>25</w:t>
    </w:r>
    <w:r w:rsidRPr="003721AF">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B7E0B" w14:textId="77777777" w:rsidR="00331445" w:rsidRPr="003721AF" w:rsidRDefault="00331445" w:rsidP="006168E4">
      <w:pPr>
        <w:spacing w:after="0" w:line="240" w:lineRule="auto"/>
      </w:pPr>
      <w:r w:rsidRPr="003721AF">
        <w:separator/>
      </w:r>
    </w:p>
  </w:footnote>
  <w:footnote w:type="continuationSeparator" w:id="0">
    <w:p w14:paraId="2BD6677C" w14:textId="77777777" w:rsidR="00331445" w:rsidRPr="003721AF" w:rsidRDefault="00331445" w:rsidP="006168E4">
      <w:pPr>
        <w:spacing w:after="0" w:line="240" w:lineRule="auto"/>
      </w:pPr>
      <w:r w:rsidRPr="003721AF">
        <w:continuationSeparator/>
      </w:r>
    </w:p>
  </w:footnote>
  <w:footnote w:id="1">
    <w:p w14:paraId="50E95AE6" w14:textId="77777777" w:rsidR="00045B0C" w:rsidRPr="00EF0560" w:rsidRDefault="00045B0C" w:rsidP="00045B0C">
      <w:pPr>
        <w:spacing w:line="240" w:lineRule="auto"/>
        <w:jc w:val="both"/>
        <w:rPr>
          <w:rFonts w:ascii="Palatino Linotype" w:eastAsia="Times New Roman" w:hAnsi="Palatino Linotype"/>
          <w:b/>
          <w:bCs/>
          <w:i/>
          <w:sz w:val="18"/>
          <w:szCs w:val="18"/>
        </w:rPr>
      </w:pPr>
      <w:r w:rsidRPr="008544CF">
        <w:rPr>
          <w:rStyle w:val="Refdenotaalpie"/>
          <w:sz w:val="18"/>
          <w:szCs w:val="18"/>
        </w:rPr>
        <w:footnoteRef/>
      </w:r>
      <w:r w:rsidRPr="008544CF">
        <w:rPr>
          <w:sz w:val="18"/>
          <w:szCs w:val="18"/>
        </w:rPr>
        <w:t xml:space="preserve"> </w:t>
      </w:r>
      <w:r w:rsidRPr="00EF0560">
        <w:rPr>
          <w:rFonts w:ascii="Palatino Linotype" w:hAnsi="Palatino Linotype"/>
          <w:b/>
          <w:bCs/>
          <w:i/>
          <w:sz w:val="18"/>
          <w:szCs w:val="18"/>
        </w:rPr>
        <w:t>IMPROCEDENCIA Y SOBRESEIMIENTO EN EL JUICIO DE AMPARO. LAS CAUSAS PREVISTAS EN LOS ARTÍCULOS 73 Y 74 DE LA LEY DE LA MATERIA, RESPECTIVAMENTE, NO SON INCOMPATIBLES CON EL ARTÍCULO 25.1 DE LA CONVENCIÓN AMERICANA SOBRE DERECHOS HUMANOS.</w:t>
      </w:r>
    </w:p>
    <w:p w14:paraId="23511574" w14:textId="77777777" w:rsidR="00045B0C" w:rsidRPr="008544CF" w:rsidRDefault="00045B0C" w:rsidP="00045B0C">
      <w:pPr>
        <w:spacing w:line="240" w:lineRule="auto"/>
        <w:jc w:val="both"/>
        <w:rPr>
          <w:i/>
          <w:sz w:val="18"/>
          <w:szCs w:val="18"/>
        </w:rPr>
      </w:pPr>
      <w:r w:rsidRPr="00EF0560">
        <w:rPr>
          <w:rFonts w:ascii="Palatino Linotype" w:hAnsi="Palatino Linotype"/>
          <w:i/>
          <w:sz w:val="18"/>
          <w:szCs w:val="18"/>
        </w:rPr>
        <w:t>Del examen de compatibilidad de los artículos</w:t>
      </w:r>
      <w:r w:rsidRPr="00EF0560">
        <w:rPr>
          <w:rStyle w:val="apple-converted-space"/>
          <w:rFonts w:ascii="Palatino Linotype" w:hAnsi="Palatino Linotype"/>
          <w:i/>
          <w:sz w:val="18"/>
          <w:szCs w:val="18"/>
        </w:rPr>
        <w:t xml:space="preserve"> </w:t>
      </w:r>
      <w:hyperlink r:id="rId1" w:history="1">
        <w:r w:rsidRPr="00EF0560">
          <w:rPr>
            <w:rStyle w:val="Hipervnculo"/>
            <w:rFonts w:ascii="Palatino Linotype" w:hAnsi="Palatino Linotype"/>
            <w:i/>
            <w:sz w:val="18"/>
            <w:szCs w:val="18"/>
          </w:rPr>
          <w:t>73 y 74 de la Ley de Amparo</w:t>
        </w:r>
      </w:hyperlink>
      <w:r w:rsidRPr="00EF0560">
        <w:rPr>
          <w:rStyle w:val="apple-converted-space"/>
          <w:rFonts w:ascii="Palatino Linotype" w:hAnsi="Palatino Linotype"/>
          <w:i/>
          <w:sz w:val="18"/>
          <w:szCs w:val="18"/>
        </w:rPr>
        <w:t xml:space="preserve"> </w:t>
      </w:r>
      <w:r w:rsidRPr="00EF0560">
        <w:rPr>
          <w:rFonts w:ascii="Palatino Linotype" w:hAnsi="Palatino Linotype"/>
          <w:i/>
          <w:sz w:val="18"/>
          <w:szCs w:val="18"/>
        </w:rPr>
        <w:t>con el artículo</w:t>
      </w:r>
      <w:r w:rsidRPr="00EF0560">
        <w:rPr>
          <w:rStyle w:val="apple-converted-space"/>
          <w:rFonts w:ascii="Palatino Linotype" w:hAnsi="Palatino Linotype"/>
          <w:i/>
          <w:sz w:val="18"/>
          <w:szCs w:val="18"/>
        </w:rPr>
        <w:t xml:space="preserve"> </w:t>
      </w:r>
      <w:hyperlink r:id="rId2" w:history="1">
        <w:r w:rsidRPr="00EF0560">
          <w:rPr>
            <w:rStyle w:val="Hipervnculo"/>
            <w:rFonts w:ascii="Palatino Linotype" w:hAnsi="Palatino Linotype"/>
            <w:i/>
            <w:sz w:val="18"/>
            <w:szCs w:val="18"/>
          </w:rPr>
          <w:t>25.1 de la Convención Americana sobre Derechos Humanos</w:t>
        </w:r>
      </w:hyperlink>
      <w:r w:rsidRPr="00EF0560">
        <w:rPr>
          <w:rStyle w:val="apple-converted-space"/>
          <w:rFonts w:ascii="Palatino Linotype" w:hAnsi="Palatino Linotype"/>
          <w:i/>
          <w:sz w:val="18"/>
          <w:szCs w:val="18"/>
        </w:rPr>
        <w:t xml:space="preserve"> </w:t>
      </w:r>
      <w:r w:rsidRPr="00EF0560">
        <w:rPr>
          <w:rFonts w:ascii="Palatino Linotype" w:hAnsi="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F0560">
        <w:rPr>
          <w:rFonts w:ascii="Palatino Linotype" w:hAnsi="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Pr="003721AF" w:rsidRDefault="00D338F0">
    <w:pPr>
      <w:pStyle w:val="Encabezado"/>
      <w:rPr>
        <w:lang w:val="es-MX"/>
      </w:rPr>
    </w:pPr>
    <w:r w:rsidRPr="003721AF">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rsidRPr="003721AF" w14:paraId="46A8AAF9" w14:textId="77777777" w:rsidTr="0065263E">
      <w:trPr>
        <w:trHeight w:val="227"/>
      </w:trPr>
      <w:tc>
        <w:tcPr>
          <w:tcW w:w="5529" w:type="dxa"/>
          <w:hideMark/>
        </w:tcPr>
        <w:p w14:paraId="26B5EE34" w14:textId="3BF445B5" w:rsidR="00D338F0" w:rsidRPr="003721AF" w:rsidRDefault="00D338F0" w:rsidP="009A686F">
          <w:pPr>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Recurso de Revisión N°:</w:t>
          </w:r>
        </w:p>
      </w:tc>
      <w:tc>
        <w:tcPr>
          <w:tcW w:w="4536" w:type="dxa"/>
          <w:hideMark/>
        </w:tcPr>
        <w:p w14:paraId="2C800766" w14:textId="3303F865" w:rsidR="00D338F0" w:rsidRPr="003721AF" w:rsidRDefault="00BE673B" w:rsidP="00C25084">
          <w:pPr>
            <w:spacing w:after="120" w:line="256" w:lineRule="auto"/>
            <w:ind w:left="639" w:right="214"/>
            <w:jc w:val="both"/>
            <w:rPr>
              <w:rFonts w:ascii="Palatino Linotype" w:hAnsi="Palatino Linotype" w:cs="Arial"/>
              <w:szCs w:val="20"/>
            </w:rPr>
          </w:pPr>
          <w:r w:rsidRPr="003721AF">
            <w:rPr>
              <w:rFonts w:ascii="Palatino Linotype" w:hAnsi="Palatino Linotype" w:cs="Arial"/>
              <w:bCs/>
              <w:sz w:val="24"/>
              <w:lang w:eastAsia="es-MX"/>
            </w:rPr>
            <w:t>0</w:t>
          </w:r>
          <w:r w:rsidR="00045B0C">
            <w:rPr>
              <w:rFonts w:ascii="Palatino Linotype" w:hAnsi="Palatino Linotype" w:cs="Arial"/>
              <w:bCs/>
              <w:sz w:val="24"/>
              <w:lang w:eastAsia="es-MX"/>
            </w:rPr>
            <w:t>7055</w:t>
          </w:r>
          <w:r w:rsidR="00D338F0" w:rsidRPr="003721AF">
            <w:rPr>
              <w:rFonts w:ascii="Palatino Linotype" w:hAnsi="Palatino Linotype" w:cs="Arial"/>
              <w:bCs/>
              <w:sz w:val="24"/>
              <w:lang w:eastAsia="es-MX"/>
            </w:rPr>
            <w:t>/INFOEM/IP/RR/202</w:t>
          </w:r>
          <w:r w:rsidR="00045B0C">
            <w:rPr>
              <w:rFonts w:ascii="Palatino Linotype" w:hAnsi="Palatino Linotype" w:cs="Arial"/>
              <w:bCs/>
              <w:sz w:val="24"/>
              <w:lang w:eastAsia="es-MX"/>
            </w:rPr>
            <w:t>5</w:t>
          </w:r>
          <w:r w:rsidR="0069495B" w:rsidRPr="003721AF">
            <w:rPr>
              <w:rFonts w:ascii="Palatino Linotype" w:hAnsi="Palatino Linotype" w:cs="Arial"/>
              <w:bCs/>
              <w:sz w:val="24"/>
              <w:lang w:eastAsia="es-MX"/>
            </w:rPr>
            <w:t xml:space="preserve"> </w:t>
          </w:r>
        </w:p>
      </w:tc>
    </w:tr>
    <w:tr w:rsidR="00D338F0" w:rsidRPr="003721AF" w14:paraId="0E72512B" w14:textId="77777777" w:rsidTr="0065263E">
      <w:trPr>
        <w:trHeight w:val="242"/>
      </w:trPr>
      <w:tc>
        <w:tcPr>
          <w:tcW w:w="5529" w:type="dxa"/>
          <w:hideMark/>
        </w:tcPr>
        <w:p w14:paraId="4FB3E0E8" w14:textId="77777777" w:rsidR="00D338F0" w:rsidRPr="003721AF" w:rsidRDefault="00D338F0" w:rsidP="009A686F">
          <w:pPr>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Sujeto Obligado:</w:t>
          </w:r>
        </w:p>
      </w:tc>
      <w:tc>
        <w:tcPr>
          <w:tcW w:w="4536" w:type="dxa"/>
          <w:hideMark/>
        </w:tcPr>
        <w:p w14:paraId="42C804F0" w14:textId="1B27EABC" w:rsidR="00D338F0" w:rsidRPr="003721AF" w:rsidRDefault="00045B0C" w:rsidP="00F4623D">
          <w:pPr>
            <w:spacing w:after="120" w:line="256" w:lineRule="auto"/>
            <w:ind w:left="639" w:right="214"/>
            <w:jc w:val="both"/>
            <w:rPr>
              <w:rFonts w:ascii="Palatino Linotype" w:hAnsi="Palatino Linotype" w:cs="Arial"/>
            </w:rPr>
          </w:pPr>
          <w:r>
            <w:rPr>
              <w:rFonts w:ascii="Palatino Linotype" w:hAnsi="Palatino Linotype" w:cs="Arial"/>
            </w:rPr>
            <w:t>Ayuntamiento de Calimaya</w:t>
          </w:r>
        </w:p>
      </w:tc>
    </w:tr>
    <w:tr w:rsidR="00D338F0" w:rsidRPr="003721AF" w14:paraId="3365CD96" w14:textId="77777777" w:rsidTr="0065263E">
      <w:trPr>
        <w:trHeight w:val="342"/>
      </w:trPr>
      <w:tc>
        <w:tcPr>
          <w:tcW w:w="5529" w:type="dxa"/>
          <w:hideMark/>
        </w:tcPr>
        <w:p w14:paraId="52A09A43" w14:textId="77777777" w:rsidR="00D338F0" w:rsidRPr="003721AF" w:rsidRDefault="00D338F0" w:rsidP="009A686F">
          <w:pPr>
            <w:tabs>
              <w:tab w:val="left" w:pos="4892"/>
            </w:tabs>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Comisionado Ponente:</w:t>
          </w:r>
        </w:p>
      </w:tc>
      <w:tc>
        <w:tcPr>
          <w:tcW w:w="4536" w:type="dxa"/>
          <w:hideMark/>
        </w:tcPr>
        <w:p w14:paraId="764AECA8" w14:textId="70DC65D6" w:rsidR="00D338F0" w:rsidRPr="003721AF" w:rsidRDefault="00D338F0" w:rsidP="009A686F">
          <w:pPr>
            <w:spacing w:after="120" w:line="256" w:lineRule="auto"/>
            <w:ind w:left="497" w:right="214" w:firstLine="142"/>
            <w:jc w:val="both"/>
            <w:rPr>
              <w:rFonts w:ascii="Palatino Linotype" w:hAnsi="Palatino Linotype" w:cs="Arial"/>
              <w:szCs w:val="20"/>
            </w:rPr>
          </w:pPr>
          <w:r w:rsidRPr="003721AF">
            <w:rPr>
              <w:rFonts w:ascii="Palatino Linotype" w:hAnsi="Palatino Linotype" w:cs="Arial"/>
              <w:szCs w:val="20"/>
            </w:rPr>
            <w:t xml:space="preserve">José Martínez Vilchis </w:t>
          </w:r>
        </w:p>
      </w:tc>
    </w:tr>
  </w:tbl>
  <w:p w14:paraId="638CC457" w14:textId="77777777" w:rsidR="00D338F0" w:rsidRPr="003721AF" w:rsidRDefault="00D338F0">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rsidRPr="003721AF" w14:paraId="02D9F2E3" w14:textId="77777777" w:rsidTr="0065263E">
      <w:trPr>
        <w:trHeight w:val="227"/>
      </w:trPr>
      <w:tc>
        <w:tcPr>
          <w:tcW w:w="5529" w:type="dxa"/>
          <w:hideMark/>
        </w:tcPr>
        <w:p w14:paraId="3EA02FD0" w14:textId="3139CF90" w:rsidR="00D338F0" w:rsidRPr="003721AF" w:rsidRDefault="00D338F0" w:rsidP="00FB4AAD">
          <w:pPr>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Recurso de Revisión N°:</w:t>
          </w:r>
        </w:p>
      </w:tc>
      <w:tc>
        <w:tcPr>
          <w:tcW w:w="4536" w:type="dxa"/>
          <w:hideMark/>
        </w:tcPr>
        <w:p w14:paraId="22571C00" w14:textId="6BBB1E56" w:rsidR="00D338F0" w:rsidRPr="003721AF" w:rsidRDefault="00BE673B" w:rsidP="00C25084">
          <w:pPr>
            <w:spacing w:after="120" w:line="256" w:lineRule="auto"/>
            <w:ind w:left="639" w:right="214"/>
            <w:jc w:val="both"/>
            <w:rPr>
              <w:rFonts w:ascii="Palatino Linotype" w:hAnsi="Palatino Linotype" w:cs="Arial"/>
              <w:szCs w:val="20"/>
            </w:rPr>
          </w:pPr>
          <w:r w:rsidRPr="003721AF">
            <w:rPr>
              <w:rFonts w:ascii="Palatino Linotype" w:hAnsi="Palatino Linotype" w:cs="Arial"/>
              <w:bCs/>
              <w:sz w:val="24"/>
              <w:lang w:eastAsia="es-MX"/>
            </w:rPr>
            <w:t>0</w:t>
          </w:r>
          <w:r w:rsidR="00045B0C">
            <w:rPr>
              <w:rFonts w:ascii="Palatino Linotype" w:hAnsi="Palatino Linotype" w:cs="Arial"/>
              <w:bCs/>
              <w:sz w:val="24"/>
              <w:lang w:eastAsia="es-MX"/>
            </w:rPr>
            <w:t>7055</w:t>
          </w:r>
          <w:r w:rsidR="00D338F0" w:rsidRPr="003721AF">
            <w:rPr>
              <w:rFonts w:ascii="Palatino Linotype" w:hAnsi="Palatino Linotype" w:cs="Arial"/>
              <w:bCs/>
              <w:sz w:val="24"/>
              <w:lang w:eastAsia="es-MX"/>
            </w:rPr>
            <w:t>/INFOEM/IP/RR/202</w:t>
          </w:r>
          <w:r w:rsidR="00045B0C">
            <w:rPr>
              <w:rFonts w:ascii="Palatino Linotype" w:hAnsi="Palatino Linotype" w:cs="Arial"/>
              <w:bCs/>
              <w:sz w:val="24"/>
              <w:lang w:eastAsia="es-MX"/>
            </w:rPr>
            <w:t>5</w:t>
          </w:r>
          <w:r w:rsidR="0069495B" w:rsidRPr="003721AF">
            <w:rPr>
              <w:rFonts w:ascii="Palatino Linotype" w:hAnsi="Palatino Linotype" w:cs="Arial"/>
              <w:bCs/>
              <w:sz w:val="24"/>
              <w:lang w:eastAsia="es-MX"/>
            </w:rPr>
            <w:t xml:space="preserve"> </w:t>
          </w:r>
        </w:p>
      </w:tc>
    </w:tr>
    <w:tr w:rsidR="00D338F0" w:rsidRPr="003721AF" w14:paraId="5AC92493" w14:textId="77777777" w:rsidTr="0065263E">
      <w:trPr>
        <w:trHeight w:val="196"/>
      </w:trPr>
      <w:tc>
        <w:tcPr>
          <w:tcW w:w="5529" w:type="dxa"/>
          <w:hideMark/>
        </w:tcPr>
        <w:p w14:paraId="7E479B7E" w14:textId="77777777" w:rsidR="00D338F0" w:rsidRPr="003721AF" w:rsidRDefault="00D338F0" w:rsidP="00FB4AAD">
          <w:pPr>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Recurrente:</w:t>
          </w:r>
        </w:p>
      </w:tc>
      <w:tc>
        <w:tcPr>
          <w:tcW w:w="4536" w:type="dxa"/>
          <w:hideMark/>
        </w:tcPr>
        <w:p w14:paraId="1C253759" w14:textId="1263157C" w:rsidR="00D338F0" w:rsidRPr="003721AF" w:rsidRDefault="006E5CD8"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w:t>
          </w:r>
          <w:proofErr w:type="spellEnd"/>
          <w:r w:rsidR="00045B0C">
            <w:rPr>
              <w:rFonts w:ascii="Palatino Linotype" w:hAnsi="Palatino Linotype" w:cs="Arial"/>
            </w:rPr>
            <w:t xml:space="preserve"> </w:t>
          </w:r>
          <w:r w:rsidR="00BD1FF9">
            <w:rPr>
              <w:rFonts w:ascii="Palatino Linotype" w:hAnsi="Palatino Linotype" w:cs="Arial"/>
            </w:rPr>
            <w:t xml:space="preserve"> </w:t>
          </w:r>
        </w:p>
      </w:tc>
    </w:tr>
    <w:tr w:rsidR="00D338F0" w:rsidRPr="003721AF" w14:paraId="48DDE1B1" w14:textId="77777777" w:rsidTr="0065263E">
      <w:trPr>
        <w:trHeight w:val="242"/>
      </w:trPr>
      <w:tc>
        <w:tcPr>
          <w:tcW w:w="5529" w:type="dxa"/>
          <w:hideMark/>
        </w:tcPr>
        <w:p w14:paraId="718D1409" w14:textId="77777777" w:rsidR="00D338F0" w:rsidRPr="003721AF" w:rsidRDefault="00D338F0" w:rsidP="00FB4AAD">
          <w:pPr>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Sujeto Obligado:</w:t>
          </w:r>
        </w:p>
      </w:tc>
      <w:tc>
        <w:tcPr>
          <w:tcW w:w="4536" w:type="dxa"/>
          <w:hideMark/>
        </w:tcPr>
        <w:p w14:paraId="4C46880B" w14:textId="31DE2880" w:rsidR="00D338F0" w:rsidRPr="003721AF" w:rsidRDefault="00045B0C"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Calimaya</w:t>
          </w:r>
          <w:r w:rsidR="00BD1FF9">
            <w:rPr>
              <w:rFonts w:ascii="Palatino Linotype" w:hAnsi="Palatino Linotype" w:cs="Arial"/>
              <w:szCs w:val="20"/>
            </w:rPr>
            <w:t xml:space="preserve"> </w:t>
          </w:r>
        </w:p>
      </w:tc>
    </w:tr>
    <w:tr w:rsidR="00D338F0" w:rsidRPr="003721AF" w14:paraId="2E924228" w14:textId="77777777" w:rsidTr="0065263E">
      <w:trPr>
        <w:trHeight w:val="342"/>
      </w:trPr>
      <w:tc>
        <w:tcPr>
          <w:tcW w:w="5529" w:type="dxa"/>
          <w:hideMark/>
        </w:tcPr>
        <w:p w14:paraId="03281906" w14:textId="77777777" w:rsidR="00D338F0" w:rsidRPr="003721AF" w:rsidRDefault="00D338F0" w:rsidP="00FB4AAD">
          <w:pPr>
            <w:tabs>
              <w:tab w:val="left" w:pos="4892"/>
            </w:tabs>
            <w:spacing w:after="120" w:line="256" w:lineRule="auto"/>
            <w:ind w:right="204"/>
            <w:jc w:val="right"/>
            <w:rPr>
              <w:rFonts w:ascii="Palatino Linotype" w:hAnsi="Palatino Linotype" w:cs="Arial"/>
              <w:b/>
              <w:szCs w:val="20"/>
            </w:rPr>
          </w:pPr>
          <w:r w:rsidRPr="003721AF">
            <w:rPr>
              <w:rFonts w:ascii="Palatino Linotype" w:hAnsi="Palatino Linotype" w:cs="Arial"/>
              <w:b/>
              <w:szCs w:val="20"/>
            </w:rPr>
            <w:t>Comisionado Ponente:</w:t>
          </w:r>
        </w:p>
      </w:tc>
      <w:tc>
        <w:tcPr>
          <w:tcW w:w="4536" w:type="dxa"/>
          <w:hideMark/>
        </w:tcPr>
        <w:p w14:paraId="3454A6DD" w14:textId="2B5A7C0F" w:rsidR="00D338F0" w:rsidRPr="003721AF" w:rsidRDefault="00D338F0" w:rsidP="007D1F15">
          <w:pPr>
            <w:spacing w:after="120" w:line="256" w:lineRule="auto"/>
            <w:ind w:left="639" w:right="214"/>
            <w:jc w:val="both"/>
            <w:rPr>
              <w:rFonts w:ascii="Palatino Linotype" w:hAnsi="Palatino Linotype" w:cs="Arial"/>
              <w:szCs w:val="20"/>
            </w:rPr>
          </w:pPr>
          <w:r w:rsidRPr="003721AF">
            <w:rPr>
              <w:rFonts w:ascii="Palatino Linotype" w:hAnsi="Palatino Linotype" w:cs="Arial"/>
              <w:szCs w:val="20"/>
            </w:rPr>
            <w:t>José Martínez Vilchis</w:t>
          </w:r>
        </w:p>
      </w:tc>
    </w:tr>
  </w:tbl>
  <w:p w14:paraId="3C00C928" w14:textId="0FC045F3" w:rsidR="00D338F0" w:rsidRPr="003721AF" w:rsidRDefault="00D338F0">
    <w:pPr>
      <w:pStyle w:val="Encabezado"/>
      <w:rPr>
        <w:lang w:val="es-MX"/>
      </w:rPr>
    </w:pPr>
    <w:r w:rsidRPr="003721AF">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84340"/>
    <w:multiLevelType w:val="hybridMultilevel"/>
    <w:tmpl w:val="0576DD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00A628D"/>
    <w:multiLevelType w:val="hybridMultilevel"/>
    <w:tmpl w:val="00AE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593B34"/>
    <w:multiLevelType w:val="hybridMultilevel"/>
    <w:tmpl w:val="F7DAEBF8"/>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366F4F"/>
    <w:multiLevelType w:val="hybridMultilevel"/>
    <w:tmpl w:val="798A3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4"/>
  </w:num>
  <w:num w:numId="6">
    <w:abstractNumId w:val="7"/>
  </w:num>
  <w:num w:numId="7">
    <w:abstractNumId w:val="3"/>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066B"/>
    <w:rsid w:val="000213BA"/>
    <w:rsid w:val="00022EAF"/>
    <w:rsid w:val="00023875"/>
    <w:rsid w:val="000306A7"/>
    <w:rsid w:val="00031605"/>
    <w:rsid w:val="00032CE7"/>
    <w:rsid w:val="0004190A"/>
    <w:rsid w:val="00041F04"/>
    <w:rsid w:val="000426E3"/>
    <w:rsid w:val="00045379"/>
    <w:rsid w:val="00045B0C"/>
    <w:rsid w:val="00045B3C"/>
    <w:rsid w:val="0004682D"/>
    <w:rsid w:val="00047C81"/>
    <w:rsid w:val="00047EAF"/>
    <w:rsid w:val="00055224"/>
    <w:rsid w:val="0005773C"/>
    <w:rsid w:val="00061821"/>
    <w:rsid w:val="000623F9"/>
    <w:rsid w:val="00063A10"/>
    <w:rsid w:val="00063AE3"/>
    <w:rsid w:val="000662F8"/>
    <w:rsid w:val="00066B01"/>
    <w:rsid w:val="00071571"/>
    <w:rsid w:val="00073CC6"/>
    <w:rsid w:val="00073E78"/>
    <w:rsid w:val="00090501"/>
    <w:rsid w:val="00090745"/>
    <w:rsid w:val="00091552"/>
    <w:rsid w:val="00091C3A"/>
    <w:rsid w:val="00092586"/>
    <w:rsid w:val="00094155"/>
    <w:rsid w:val="00094C05"/>
    <w:rsid w:val="00096125"/>
    <w:rsid w:val="00096CA4"/>
    <w:rsid w:val="000A03E0"/>
    <w:rsid w:val="000A04D9"/>
    <w:rsid w:val="000A3486"/>
    <w:rsid w:val="000A378C"/>
    <w:rsid w:val="000A79DA"/>
    <w:rsid w:val="000B0456"/>
    <w:rsid w:val="000B3E98"/>
    <w:rsid w:val="000B426F"/>
    <w:rsid w:val="000B4B51"/>
    <w:rsid w:val="000B6D7D"/>
    <w:rsid w:val="000B7158"/>
    <w:rsid w:val="000B7D23"/>
    <w:rsid w:val="000C06C3"/>
    <w:rsid w:val="000C0F57"/>
    <w:rsid w:val="000C4AB1"/>
    <w:rsid w:val="000C51A0"/>
    <w:rsid w:val="000C5B8B"/>
    <w:rsid w:val="000D1B34"/>
    <w:rsid w:val="000D1B55"/>
    <w:rsid w:val="000D3C75"/>
    <w:rsid w:val="000D6422"/>
    <w:rsid w:val="000E0F23"/>
    <w:rsid w:val="000E2252"/>
    <w:rsid w:val="000E365E"/>
    <w:rsid w:val="000E5F05"/>
    <w:rsid w:val="000E686B"/>
    <w:rsid w:val="000F1FAB"/>
    <w:rsid w:val="000F2554"/>
    <w:rsid w:val="000F4793"/>
    <w:rsid w:val="000F7015"/>
    <w:rsid w:val="001022E8"/>
    <w:rsid w:val="0010372C"/>
    <w:rsid w:val="00105956"/>
    <w:rsid w:val="00105C41"/>
    <w:rsid w:val="00111DCD"/>
    <w:rsid w:val="00113D3E"/>
    <w:rsid w:val="00114CF9"/>
    <w:rsid w:val="00115F16"/>
    <w:rsid w:val="001164A1"/>
    <w:rsid w:val="001179DB"/>
    <w:rsid w:val="00121ED7"/>
    <w:rsid w:val="00122EC2"/>
    <w:rsid w:val="00124855"/>
    <w:rsid w:val="001254F5"/>
    <w:rsid w:val="00136FAD"/>
    <w:rsid w:val="0014029B"/>
    <w:rsid w:val="00146C08"/>
    <w:rsid w:val="00146F0A"/>
    <w:rsid w:val="00152C2B"/>
    <w:rsid w:val="0015319B"/>
    <w:rsid w:val="00155DCF"/>
    <w:rsid w:val="00156EC9"/>
    <w:rsid w:val="001611CC"/>
    <w:rsid w:val="001612E6"/>
    <w:rsid w:val="00161D54"/>
    <w:rsid w:val="00162A4D"/>
    <w:rsid w:val="001649A0"/>
    <w:rsid w:val="001678DF"/>
    <w:rsid w:val="00172C77"/>
    <w:rsid w:val="00172CEE"/>
    <w:rsid w:val="00173E45"/>
    <w:rsid w:val="00175897"/>
    <w:rsid w:val="00175DF9"/>
    <w:rsid w:val="00176157"/>
    <w:rsid w:val="00180B9F"/>
    <w:rsid w:val="00181CC5"/>
    <w:rsid w:val="00182911"/>
    <w:rsid w:val="00183207"/>
    <w:rsid w:val="0018349B"/>
    <w:rsid w:val="001843E1"/>
    <w:rsid w:val="0018726A"/>
    <w:rsid w:val="0018777A"/>
    <w:rsid w:val="001933E0"/>
    <w:rsid w:val="00193784"/>
    <w:rsid w:val="0019396C"/>
    <w:rsid w:val="001957D7"/>
    <w:rsid w:val="001A02EC"/>
    <w:rsid w:val="001A1D9B"/>
    <w:rsid w:val="001A1FF5"/>
    <w:rsid w:val="001A318E"/>
    <w:rsid w:val="001A577E"/>
    <w:rsid w:val="001A7C9B"/>
    <w:rsid w:val="001B05B9"/>
    <w:rsid w:val="001B3E2A"/>
    <w:rsid w:val="001B48E2"/>
    <w:rsid w:val="001B7B88"/>
    <w:rsid w:val="001C01B7"/>
    <w:rsid w:val="001C1363"/>
    <w:rsid w:val="001C2D1E"/>
    <w:rsid w:val="001C3E7E"/>
    <w:rsid w:val="001C4BFD"/>
    <w:rsid w:val="001C5B3C"/>
    <w:rsid w:val="001C7319"/>
    <w:rsid w:val="001C7D87"/>
    <w:rsid w:val="001D3DE9"/>
    <w:rsid w:val="001D3E87"/>
    <w:rsid w:val="001D4438"/>
    <w:rsid w:val="001D4669"/>
    <w:rsid w:val="001D583C"/>
    <w:rsid w:val="001D7575"/>
    <w:rsid w:val="001D78DC"/>
    <w:rsid w:val="001E249B"/>
    <w:rsid w:val="001E456C"/>
    <w:rsid w:val="001F2281"/>
    <w:rsid w:val="001F3F3C"/>
    <w:rsid w:val="001F4025"/>
    <w:rsid w:val="00211C66"/>
    <w:rsid w:val="0021296D"/>
    <w:rsid w:val="00212CB5"/>
    <w:rsid w:val="00214B90"/>
    <w:rsid w:val="0021501E"/>
    <w:rsid w:val="00215A83"/>
    <w:rsid w:val="00216ABF"/>
    <w:rsid w:val="00217852"/>
    <w:rsid w:val="00220339"/>
    <w:rsid w:val="002205C0"/>
    <w:rsid w:val="0022589E"/>
    <w:rsid w:val="00226760"/>
    <w:rsid w:val="002303A7"/>
    <w:rsid w:val="00231D77"/>
    <w:rsid w:val="00231DCE"/>
    <w:rsid w:val="002324F1"/>
    <w:rsid w:val="0023373D"/>
    <w:rsid w:val="0023423C"/>
    <w:rsid w:val="00236C82"/>
    <w:rsid w:val="0024638F"/>
    <w:rsid w:val="00246807"/>
    <w:rsid w:val="00247537"/>
    <w:rsid w:val="00247D10"/>
    <w:rsid w:val="00250470"/>
    <w:rsid w:val="00252985"/>
    <w:rsid w:val="002577FE"/>
    <w:rsid w:val="00265CA4"/>
    <w:rsid w:val="00266E00"/>
    <w:rsid w:val="002674C9"/>
    <w:rsid w:val="00271EED"/>
    <w:rsid w:val="002725E3"/>
    <w:rsid w:val="00273D0E"/>
    <w:rsid w:val="00280424"/>
    <w:rsid w:val="00282628"/>
    <w:rsid w:val="0028788A"/>
    <w:rsid w:val="002915F2"/>
    <w:rsid w:val="00292885"/>
    <w:rsid w:val="00292975"/>
    <w:rsid w:val="002938A3"/>
    <w:rsid w:val="002942AD"/>
    <w:rsid w:val="00294736"/>
    <w:rsid w:val="00297140"/>
    <w:rsid w:val="00297368"/>
    <w:rsid w:val="002A0104"/>
    <w:rsid w:val="002A2034"/>
    <w:rsid w:val="002A24F4"/>
    <w:rsid w:val="002A38BF"/>
    <w:rsid w:val="002A597E"/>
    <w:rsid w:val="002A7512"/>
    <w:rsid w:val="002B1410"/>
    <w:rsid w:val="002B1C1D"/>
    <w:rsid w:val="002B338D"/>
    <w:rsid w:val="002B5069"/>
    <w:rsid w:val="002B5DBD"/>
    <w:rsid w:val="002B70DD"/>
    <w:rsid w:val="002C51F7"/>
    <w:rsid w:val="002C72D2"/>
    <w:rsid w:val="002D0C61"/>
    <w:rsid w:val="002D29D7"/>
    <w:rsid w:val="002D35A0"/>
    <w:rsid w:val="002D4C5A"/>
    <w:rsid w:val="002D64A8"/>
    <w:rsid w:val="002D662C"/>
    <w:rsid w:val="002E0725"/>
    <w:rsid w:val="002E0A1A"/>
    <w:rsid w:val="002E1E52"/>
    <w:rsid w:val="002E2D7B"/>
    <w:rsid w:val="002E3488"/>
    <w:rsid w:val="002E5721"/>
    <w:rsid w:val="002E5E6A"/>
    <w:rsid w:val="002E7FF0"/>
    <w:rsid w:val="002F0D76"/>
    <w:rsid w:val="002F37BE"/>
    <w:rsid w:val="002F5A7C"/>
    <w:rsid w:val="002F5BA9"/>
    <w:rsid w:val="002F700B"/>
    <w:rsid w:val="00300D0B"/>
    <w:rsid w:val="0030471E"/>
    <w:rsid w:val="00305FF7"/>
    <w:rsid w:val="00306096"/>
    <w:rsid w:val="00306848"/>
    <w:rsid w:val="0031099D"/>
    <w:rsid w:val="00311566"/>
    <w:rsid w:val="0031645D"/>
    <w:rsid w:val="00320A67"/>
    <w:rsid w:val="0032220E"/>
    <w:rsid w:val="003266DA"/>
    <w:rsid w:val="003272FB"/>
    <w:rsid w:val="00330F3C"/>
    <w:rsid w:val="00331445"/>
    <w:rsid w:val="003349F3"/>
    <w:rsid w:val="00334B54"/>
    <w:rsid w:val="003406C5"/>
    <w:rsid w:val="003410F2"/>
    <w:rsid w:val="0034736B"/>
    <w:rsid w:val="003507D3"/>
    <w:rsid w:val="00353C25"/>
    <w:rsid w:val="00356E3E"/>
    <w:rsid w:val="00357457"/>
    <w:rsid w:val="00361B9C"/>
    <w:rsid w:val="0036339F"/>
    <w:rsid w:val="00364209"/>
    <w:rsid w:val="00365DA0"/>
    <w:rsid w:val="00367CC7"/>
    <w:rsid w:val="003721AF"/>
    <w:rsid w:val="003733F5"/>
    <w:rsid w:val="003749D9"/>
    <w:rsid w:val="00375727"/>
    <w:rsid w:val="00375BBA"/>
    <w:rsid w:val="00376CEC"/>
    <w:rsid w:val="00377654"/>
    <w:rsid w:val="00380010"/>
    <w:rsid w:val="00380758"/>
    <w:rsid w:val="003812E0"/>
    <w:rsid w:val="003869DF"/>
    <w:rsid w:val="00394A1E"/>
    <w:rsid w:val="00397C0C"/>
    <w:rsid w:val="003A378D"/>
    <w:rsid w:val="003A61F9"/>
    <w:rsid w:val="003A73C9"/>
    <w:rsid w:val="003B1E88"/>
    <w:rsid w:val="003B4030"/>
    <w:rsid w:val="003B5D4E"/>
    <w:rsid w:val="003B5FD0"/>
    <w:rsid w:val="003C4F65"/>
    <w:rsid w:val="003C5DEB"/>
    <w:rsid w:val="003D08E9"/>
    <w:rsid w:val="003D2D99"/>
    <w:rsid w:val="003D5CFF"/>
    <w:rsid w:val="003D78A3"/>
    <w:rsid w:val="003E05A5"/>
    <w:rsid w:val="003E128A"/>
    <w:rsid w:val="003E16E1"/>
    <w:rsid w:val="003E1E60"/>
    <w:rsid w:val="003E23C4"/>
    <w:rsid w:val="003E5144"/>
    <w:rsid w:val="003F3A54"/>
    <w:rsid w:val="004012CF"/>
    <w:rsid w:val="00402A46"/>
    <w:rsid w:val="00402FF3"/>
    <w:rsid w:val="00403A1E"/>
    <w:rsid w:val="004069EB"/>
    <w:rsid w:val="004071A7"/>
    <w:rsid w:val="004074E0"/>
    <w:rsid w:val="00407A07"/>
    <w:rsid w:val="00412901"/>
    <w:rsid w:val="0041312C"/>
    <w:rsid w:val="00417E4F"/>
    <w:rsid w:val="004213D9"/>
    <w:rsid w:val="004215B3"/>
    <w:rsid w:val="00423213"/>
    <w:rsid w:val="00423ECD"/>
    <w:rsid w:val="0042416D"/>
    <w:rsid w:val="00425CB2"/>
    <w:rsid w:val="00426B98"/>
    <w:rsid w:val="0042798A"/>
    <w:rsid w:val="00433D7C"/>
    <w:rsid w:val="00433E61"/>
    <w:rsid w:val="00433F2D"/>
    <w:rsid w:val="00442582"/>
    <w:rsid w:val="00442C1A"/>
    <w:rsid w:val="004469CB"/>
    <w:rsid w:val="004512DF"/>
    <w:rsid w:val="004516EB"/>
    <w:rsid w:val="004529B6"/>
    <w:rsid w:val="00453DBD"/>
    <w:rsid w:val="00454CE6"/>
    <w:rsid w:val="00455B34"/>
    <w:rsid w:val="00455C30"/>
    <w:rsid w:val="00462530"/>
    <w:rsid w:val="00462881"/>
    <w:rsid w:val="004639CF"/>
    <w:rsid w:val="00464D8D"/>
    <w:rsid w:val="004668C1"/>
    <w:rsid w:val="00472678"/>
    <w:rsid w:val="00473342"/>
    <w:rsid w:val="00475DFA"/>
    <w:rsid w:val="00475F48"/>
    <w:rsid w:val="00477CC2"/>
    <w:rsid w:val="0048180A"/>
    <w:rsid w:val="00481C7A"/>
    <w:rsid w:val="004855D1"/>
    <w:rsid w:val="004857CF"/>
    <w:rsid w:val="0049054A"/>
    <w:rsid w:val="004906C8"/>
    <w:rsid w:val="004924B8"/>
    <w:rsid w:val="004967E2"/>
    <w:rsid w:val="004A290F"/>
    <w:rsid w:val="004A5FFD"/>
    <w:rsid w:val="004A7956"/>
    <w:rsid w:val="004A7CE2"/>
    <w:rsid w:val="004B15D1"/>
    <w:rsid w:val="004B38AC"/>
    <w:rsid w:val="004B7109"/>
    <w:rsid w:val="004C1C2E"/>
    <w:rsid w:val="004C38C1"/>
    <w:rsid w:val="004D08EB"/>
    <w:rsid w:val="004D0C64"/>
    <w:rsid w:val="004D2B23"/>
    <w:rsid w:val="004D2C8F"/>
    <w:rsid w:val="004D2D18"/>
    <w:rsid w:val="004E0136"/>
    <w:rsid w:val="004E1318"/>
    <w:rsid w:val="004E2371"/>
    <w:rsid w:val="004E6BE9"/>
    <w:rsid w:val="004F0A50"/>
    <w:rsid w:val="004F17FE"/>
    <w:rsid w:val="0050076A"/>
    <w:rsid w:val="00502BEA"/>
    <w:rsid w:val="00503655"/>
    <w:rsid w:val="005037B3"/>
    <w:rsid w:val="005039A0"/>
    <w:rsid w:val="00504FB2"/>
    <w:rsid w:val="00506846"/>
    <w:rsid w:val="0050720F"/>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4EBF"/>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07BF"/>
    <w:rsid w:val="0056134C"/>
    <w:rsid w:val="00562653"/>
    <w:rsid w:val="005675DA"/>
    <w:rsid w:val="00567998"/>
    <w:rsid w:val="00572979"/>
    <w:rsid w:val="005733EB"/>
    <w:rsid w:val="00575651"/>
    <w:rsid w:val="005759BB"/>
    <w:rsid w:val="00576BCC"/>
    <w:rsid w:val="00577C61"/>
    <w:rsid w:val="005803A1"/>
    <w:rsid w:val="00580802"/>
    <w:rsid w:val="00581A22"/>
    <w:rsid w:val="00582A33"/>
    <w:rsid w:val="0058671A"/>
    <w:rsid w:val="00593E91"/>
    <w:rsid w:val="005A0B49"/>
    <w:rsid w:val="005A338E"/>
    <w:rsid w:val="005A4207"/>
    <w:rsid w:val="005A5930"/>
    <w:rsid w:val="005A6D57"/>
    <w:rsid w:val="005B36D5"/>
    <w:rsid w:val="005B5B70"/>
    <w:rsid w:val="005B5F05"/>
    <w:rsid w:val="005B60F0"/>
    <w:rsid w:val="005C04BB"/>
    <w:rsid w:val="005C123F"/>
    <w:rsid w:val="005C2167"/>
    <w:rsid w:val="005C6605"/>
    <w:rsid w:val="005C6982"/>
    <w:rsid w:val="005D15A3"/>
    <w:rsid w:val="005D1602"/>
    <w:rsid w:val="005D2B59"/>
    <w:rsid w:val="005D362F"/>
    <w:rsid w:val="005D370F"/>
    <w:rsid w:val="005E2749"/>
    <w:rsid w:val="005E46D0"/>
    <w:rsid w:val="005E48E4"/>
    <w:rsid w:val="005E4D7C"/>
    <w:rsid w:val="005E5834"/>
    <w:rsid w:val="005F048E"/>
    <w:rsid w:val="005F18D6"/>
    <w:rsid w:val="005F4734"/>
    <w:rsid w:val="005F57F0"/>
    <w:rsid w:val="005F7598"/>
    <w:rsid w:val="006015ED"/>
    <w:rsid w:val="00603764"/>
    <w:rsid w:val="00607168"/>
    <w:rsid w:val="0061042F"/>
    <w:rsid w:val="00610C37"/>
    <w:rsid w:val="006114BA"/>
    <w:rsid w:val="006165F4"/>
    <w:rsid w:val="006168E4"/>
    <w:rsid w:val="00621725"/>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A6A"/>
    <w:rsid w:val="00660C59"/>
    <w:rsid w:val="00661753"/>
    <w:rsid w:val="00661F00"/>
    <w:rsid w:val="006620AC"/>
    <w:rsid w:val="00662B51"/>
    <w:rsid w:val="00667DD9"/>
    <w:rsid w:val="00677379"/>
    <w:rsid w:val="0068175E"/>
    <w:rsid w:val="006848B7"/>
    <w:rsid w:val="00686E9C"/>
    <w:rsid w:val="00686FD5"/>
    <w:rsid w:val="00690743"/>
    <w:rsid w:val="0069414F"/>
    <w:rsid w:val="0069495B"/>
    <w:rsid w:val="00697278"/>
    <w:rsid w:val="006A04CA"/>
    <w:rsid w:val="006A1C0C"/>
    <w:rsid w:val="006A2BEC"/>
    <w:rsid w:val="006A4785"/>
    <w:rsid w:val="006B10D7"/>
    <w:rsid w:val="006B1312"/>
    <w:rsid w:val="006B1953"/>
    <w:rsid w:val="006B1BF1"/>
    <w:rsid w:val="006B26E3"/>
    <w:rsid w:val="006B34A6"/>
    <w:rsid w:val="006B4B63"/>
    <w:rsid w:val="006B5DDC"/>
    <w:rsid w:val="006B68FC"/>
    <w:rsid w:val="006B7294"/>
    <w:rsid w:val="006B7444"/>
    <w:rsid w:val="006C698B"/>
    <w:rsid w:val="006D1F6B"/>
    <w:rsid w:val="006D23FC"/>
    <w:rsid w:val="006D4745"/>
    <w:rsid w:val="006D7FD9"/>
    <w:rsid w:val="006E260F"/>
    <w:rsid w:val="006E5CD8"/>
    <w:rsid w:val="006E744D"/>
    <w:rsid w:val="006E7563"/>
    <w:rsid w:val="006F3452"/>
    <w:rsid w:val="006F3C14"/>
    <w:rsid w:val="006F40C4"/>
    <w:rsid w:val="006F5813"/>
    <w:rsid w:val="006F5F55"/>
    <w:rsid w:val="00701033"/>
    <w:rsid w:val="00701B61"/>
    <w:rsid w:val="00702C82"/>
    <w:rsid w:val="00703614"/>
    <w:rsid w:val="007164CD"/>
    <w:rsid w:val="007172F5"/>
    <w:rsid w:val="00717E41"/>
    <w:rsid w:val="00721E66"/>
    <w:rsid w:val="0072689F"/>
    <w:rsid w:val="007316B6"/>
    <w:rsid w:val="00732104"/>
    <w:rsid w:val="00732C33"/>
    <w:rsid w:val="0073410D"/>
    <w:rsid w:val="00736D41"/>
    <w:rsid w:val="007405F7"/>
    <w:rsid w:val="00741327"/>
    <w:rsid w:val="00742D5F"/>
    <w:rsid w:val="00742EAF"/>
    <w:rsid w:val="007431E9"/>
    <w:rsid w:val="00744B05"/>
    <w:rsid w:val="00744EEF"/>
    <w:rsid w:val="007456B7"/>
    <w:rsid w:val="00754CAE"/>
    <w:rsid w:val="007568AD"/>
    <w:rsid w:val="007602D1"/>
    <w:rsid w:val="00763C1A"/>
    <w:rsid w:val="00770CD1"/>
    <w:rsid w:val="00770FCE"/>
    <w:rsid w:val="00771AC2"/>
    <w:rsid w:val="00772E31"/>
    <w:rsid w:val="007748C4"/>
    <w:rsid w:val="00774A9C"/>
    <w:rsid w:val="0077597F"/>
    <w:rsid w:val="00776163"/>
    <w:rsid w:val="00777164"/>
    <w:rsid w:val="00780B57"/>
    <w:rsid w:val="00781530"/>
    <w:rsid w:val="007830E9"/>
    <w:rsid w:val="007835B9"/>
    <w:rsid w:val="00783A07"/>
    <w:rsid w:val="007851D5"/>
    <w:rsid w:val="00787D06"/>
    <w:rsid w:val="0079486A"/>
    <w:rsid w:val="00794F80"/>
    <w:rsid w:val="0079735D"/>
    <w:rsid w:val="00797487"/>
    <w:rsid w:val="007A0EC4"/>
    <w:rsid w:val="007A1C9E"/>
    <w:rsid w:val="007A3206"/>
    <w:rsid w:val="007A4692"/>
    <w:rsid w:val="007A747E"/>
    <w:rsid w:val="007B0046"/>
    <w:rsid w:val="007B2303"/>
    <w:rsid w:val="007B2C77"/>
    <w:rsid w:val="007B326E"/>
    <w:rsid w:val="007B3414"/>
    <w:rsid w:val="007B403C"/>
    <w:rsid w:val="007B68F7"/>
    <w:rsid w:val="007C4168"/>
    <w:rsid w:val="007C45D8"/>
    <w:rsid w:val="007D050C"/>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40F9"/>
    <w:rsid w:val="0080588E"/>
    <w:rsid w:val="00807A3D"/>
    <w:rsid w:val="00811205"/>
    <w:rsid w:val="00812C48"/>
    <w:rsid w:val="008146F9"/>
    <w:rsid w:val="00817A08"/>
    <w:rsid w:val="00822215"/>
    <w:rsid w:val="00824DCD"/>
    <w:rsid w:val="00833011"/>
    <w:rsid w:val="008354BB"/>
    <w:rsid w:val="00836B8D"/>
    <w:rsid w:val="008427E4"/>
    <w:rsid w:val="00843314"/>
    <w:rsid w:val="00844569"/>
    <w:rsid w:val="008466EC"/>
    <w:rsid w:val="008474E1"/>
    <w:rsid w:val="00847D23"/>
    <w:rsid w:val="008511E3"/>
    <w:rsid w:val="0085196B"/>
    <w:rsid w:val="00853BED"/>
    <w:rsid w:val="00863327"/>
    <w:rsid w:val="00866F25"/>
    <w:rsid w:val="00867AD0"/>
    <w:rsid w:val="00870F44"/>
    <w:rsid w:val="00871DC1"/>
    <w:rsid w:val="008724F6"/>
    <w:rsid w:val="00872A71"/>
    <w:rsid w:val="008838E2"/>
    <w:rsid w:val="00884054"/>
    <w:rsid w:val="00887CDA"/>
    <w:rsid w:val="00891C40"/>
    <w:rsid w:val="00891C7A"/>
    <w:rsid w:val="00892EDA"/>
    <w:rsid w:val="008936E7"/>
    <w:rsid w:val="00895089"/>
    <w:rsid w:val="008951ED"/>
    <w:rsid w:val="008A0A23"/>
    <w:rsid w:val="008A68CA"/>
    <w:rsid w:val="008A6DBC"/>
    <w:rsid w:val="008A75BE"/>
    <w:rsid w:val="008B02FB"/>
    <w:rsid w:val="008B0679"/>
    <w:rsid w:val="008B3A59"/>
    <w:rsid w:val="008B42B1"/>
    <w:rsid w:val="008B5224"/>
    <w:rsid w:val="008B7382"/>
    <w:rsid w:val="008C0375"/>
    <w:rsid w:val="008C2908"/>
    <w:rsid w:val="008C32A8"/>
    <w:rsid w:val="008C55A3"/>
    <w:rsid w:val="008C5A03"/>
    <w:rsid w:val="008C5E94"/>
    <w:rsid w:val="008C5F27"/>
    <w:rsid w:val="008C70C9"/>
    <w:rsid w:val="008D038F"/>
    <w:rsid w:val="008D1D2A"/>
    <w:rsid w:val="008D2FA4"/>
    <w:rsid w:val="008D4154"/>
    <w:rsid w:val="008D4EB7"/>
    <w:rsid w:val="008D6297"/>
    <w:rsid w:val="008D6D04"/>
    <w:rsid w:val="008E3791"/>
    <w:rsid w:val="008E46CA"/>
    <w:rsid w:val="008E511A"/>
    <w:rsid w:val="008E6375"/>
    <w:rsid w:val="008F0117"/>
    <w:rsid w:val="008F24D8"/>
    <w:rsid w:val="008F4C65"/>
    <w:rsid w:val="00901082"/>
    <w:rsid w:val="0090373E"/>
    <w:rsid w:val="00905422"/>
    <w:rsid w:val="00913133"/>
    <w:rsid w:val="00913221"/>
    <w:rsid w:val="00920128"/>
    <w:rsid w:val="00921DB9"/>
    <w:rsid w:val="0092403D"/>
    <w:rsid w:val="009260A7"/>
    <w:rsid w:val="009268BB"/>
    <w:rsid w:val="00926D4D"/>
    <w:rsid w:val="009309D1"/>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142A"/>
    <w:rsid w:val="00972BDF"/>
    <w:rsid w:val="00974AE2"/>
    <w:rsid w:val="0098182D"/>
    <w:rsid w:val="00990C92"/>
    <w:rsid w:val="00991F20"/>
    <w:rsid w:val="009923E0"/>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45E1"/>
    <w:rsid w:val="009C5799"/>
    <w:rsid w:val="009C5DB9"/>
    <w:rsid w:val="009C7074"/>
    <w:rsid w:val="009D144D"/>
    <w:rsid w:val="009D25FE"/>
    <w:rsid w:val="009D55E3"/>
    <w:rsid w:val="009D5B89"/>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6A6F"/>
    <w:rsid w:val="00A07282"/>
    <w:rsid w:val="00A12205"/>
    <w:rsid w:val="00A155B9"/>
    <w:rsid w:val="00A214B4"/>
    <w:rsid w:val="00A320B9"/>
    <w:rsid w:val="00A32D63"/>
    <w:rsid w:val="00A345F6"/>
    <w:rsid w:val="00A348B5"/>
    <w:rsid w:val="00A34DDD"/>
    <w:rsid w:val="00A4436A"/>
    <w:rsid w:val="00A453DC"/>
    <w:rsid w:val="00A45721"/>
    <w:rsid w:val="00A457D1"/>
    <w:rsid w:val="00A47E87"/>
    <w:rsid w:val="00A516E8"/>
    <w:rsid w:val="00A520C9"/>
    <w:rsid w:val="00A525D9"/>
    <w:rsid w:val="00A54BD6"/>
    <w:rsid w:val="00A565E7"/>
    <w:rsid w:val="00A6185A"/>
    <w:rsid w:val="00A625E2"/>
    <w:rsid w:val="00A67B13"/>
    <w:rsid w:val="00A71080"/>
    <w:rsid w:val="00A72465"/>
    <w:rsid w:val="00A72DCB"/>
    <w:rsid w:val="00A73048"/>
    <w:rsid w:val="00A75001"/>
    <w:rsid w:val="00A76F90"/>
    <w:rsid w:val="00A80C92"/>
    <w:rsid w:val="00A82461"/>
    <w:rsid w:val="00A83323"/>
    <w:rsid w:val="00A836DD"/>
    <w:rsid w:val="00A840E9"/>
    <w:rsid w:val="00A85006"/>
    <w:rsid w:val="00A851D8"/>
    <w:rsid w:val="00A86352"/>
    <w:rsid w:val="00A90295"/>
    <w:rsid w:val="00A9227B"/>
    <w:rsid w:val="00A93540"/>
    <w:rsid w:val="00A953BA"/>
    <w:rsid w:val="00AA1A2C"/>
    <w:rsid w:val="00AA207C"/>
    <w:rsid w:val="00AA5D62"/>
    <w:rsid w:val="00AB0364"/>
    <w:rsid w:val="00AB3710"/>
    <w:rsid w:val="00AB37EB"/>
    <w:rsid w:val="00AB45C9"/>
    <w:rsid w:val="00AB4B0F"/>
    <w:rsid w:val="00AB5D47"/>
    <w:rsid w:val="00AB6C3B"/>
    <w:rsid w:val="00AC1971"/>
    <w:rsid w:val="00AC5848"/>
    <w:rsid w:val="00AD15A7"/>
    <w:rsid w:val="00AD5D33"/>
    <w:rsid w:val="00AD6BEE"/>
    <w:rsid w:val="00AE008F"/>
    <w:rsid w:val="00AE1EF2"/>
    <w:rsid w:val="00AE33FE"/>
    <w:rsid w:val="00AF1248"/>
    <w:rsid w:val="00AF5003"/>
    <w:rsid w:val="00AF55AC"/>
    <w:rsid w:val="00B012D1"/>
    <w:rsid w:val="00B03610"/>
    <w:rsid w:val="00B07D6D"/>
    <w:rsid w:val="00B1003A"/>
    <w:rsid w:val="00B11E08"/>
    <w:rsid w:val="00B12E48"/>
    <w:rsid w:val="00B12FA5"/>
    <w:rsid w:val="00B13C33"/>
    <w:rsid w:val="00B2021D"/>
    <w:rsid w:val="00B247C7"/>
    <w:rsid w:val="00B2501F"/>
    <w:rsid w:val="00B26C37"/>
    <w:rsid w:val="00B3126C"/>
    <w:rsid w:val="00B32CD3"/>
    <w:rsid w:val="00B35A93"/>
    <w:rsid w:val="00B3635B"/>
    <w:rsid w:val="00B3672D"/>
    <w:rsid w:val="00B36D2B"/>
    <w:rsid w:val="00B47192"/>
    <w:rsid w:val="00B4745C"/>
    <w:rsid w:val="00B477AC"/>
    <w:rsid w:val="00B57F05"/>
    <w:rsid w:val="00B61D75"/>
    <w:rsid w:val="00B62F0D"/>
    <w:rsid w:val="00B650CF"/>
    <w:rsid w:val="00B66DB3"/>
    <w:rsid w:val="00B7258D"/>
    <w:rsid w:val="00B72B0F"/>
    <w:rsid w:val="00B72D1B"/>
    <w:rsid w:val="00B741B2"/>
    <w:rsid w:val="00B75A86"/>
    <w:rsid w:val="00B80028"/>
    <w:rsid w:val="00B833EA"/>
    <w:rsid w:val="00B85271"/>
    <w:rsid w:val="00B85EF3"/>
    <w:rsid w:val="00B9223B"/>
    <w:rsid w:val="00B97604"/>
    <w:rsid w:val="00BA11EC"/>
    <w:rsid w:val="00BA2687"/>
    <w:rsid w:val="00BA4D1F"/>
    <w:rsid w:val="00BA7AD1"/>
    <w:rsid w:val="00BB04EC"/>
    <w:rsid w:val="00BB2250"/>
    <w:rsid w:val="00BB4A68"/>
    <w:rsid w:val="00BB518B"/>
    <w:rsid w:val="00BB739A"/>
    <w:rsid w:val="00BC0FDD"/>
    <w:rsid w:val="00BC14E6"/>
    <w:rsid w:val="00BC22E0"/>
    <w:rsid w:val="00BC2E99"/>
    <w:rsid w:val="00BC42C5"/>
    <w:rsid w:val="00BD1FF9"/>
    <w:rsid w:val="00BD30FE"/>
    <w:rsid w:val="00BD4A08"/>
    <w:rsid w:val="00BD65B1"/>
    <w:rsid w:val="00BE0F79"/>
    <w:rsid w:val="00BE21EF"/>
    <w:rsid w:val="00BE28ED"/>
    <w:rsid w:val="00BE3E18"/>
    <w:rsid w:val="00BE673B"/>
    <w:rsid w:val="00BE688D"/>
    <w:rsid w:val="00BE7C9B"/>
    <w:rsid w:val="00BF01A7"/>
    <w:rsid w:val="00BF0686"/>
    <w:rsid w:val="00BF0A4C"/>
    <w:rsid w:val="00BF0D34"/>
    <w:rsid w:val="00BF1ECA"/>
    <w:rsid w:val="00BF3F7C"/>
    <w:rsid w:val="00C00463"/>
    <w:rsid w:val="00C0147E"/>
    <w:rsid w:val="00C03F20"/>
    <w:rsid w:val="00C04FE4"/>
    <w:rsid w:val="00C05248"/>
    <w:rsid w:val="00C219E6"/>
    <w:rsid w:val="00C25084"/>
    <w:rsid w:val="00C30A4F"/>
    <w:rsid w:val="00C31401"/>
    <w:rsid w:val="00C36B0A"/>
    <w:rsid w:val="00C41665"/>
    <w:rsid w:val="00C41758"/>
    <w:rsid w:val="00C429E1"/>
    <w:rsid w:val="00C462F8"/>
    <w:rsid w:val="00C52141"/>
    <w:rsid w:val="00C65270"/>
    <w:rsid w:val="00C70B66"/>
    <w:rsid w:val="00C71CD1"/>
    <w:rsid w:val="00C73143"/>
    <w:rsid w:val="00C77685"/>
    <w:rsid w:val="00C77815"/>
    <w:rsid w:val="00C80100"/>
    <w:rsid w:val="00C8239D"/>
    <w:rsid w:val="00C833B6"/>
    <w:rsid w:val="00C84901"/>
    <w:rsid w:val="00C8491D"/>
    <w:rsid w:val="00C85378"/>
    <w:rsid w:val="00C928F1"/>
    <w:rsid w:val="00C9297C"/>
    <w:rsid w:val="00C9700F"/>
    <w:rsid w:val="00CA201A"/>
    <w:rsid w:val="00CA5752"/>
    <w:rsid w:val="00CA621B"/>
    <w:rsid w:val="00CA6FDA"/>
    <w:rsid w:val="00CB0AFB"/>
    <w:rsid w:val="00CB266D"/>
    <w:rsid w:val="00CB3B6F"/>
    <w:rsid w:val="00CC0C5F"/>
    <w:rsid w:val="00CC14B6"/>
    <w:rsid w:val="00CC1EBB"/>
    <w:rsid w:val="00CC2F3D"/>
    <w:rsid w:val="00CC3508"/>
    <w:rsid w:val="00CC5144"/>
    <w:rsid w:val="00CC5FF3"/>
    <w:rsid w:val="00CD08E2"/>
    <w:rsid w:val="00CD422C"/>
    <w:rsid w:val="00CD783C"/>
    <w:rsid w:val="00CE2ADF"/>
    <w:rsid w:val="00CE3713"/>
    <w:rsid w:val="00CF0807"/>
    <w:rsid w:val="00CF0C55"/>
    <w:rsid w:val="00CF1976"/>
    <w:rsid w:val="00CF1D7D"/>
    <w:rsid w:val="00CF3003"/>
    <w:rsid w:val="00CF45D3"/>
    <w:rsid w:val="00CF5787"/>
    <w:rsid w:val="00CF59A6"/>
    <w:rsid w:val="00CF6B6C"/>
    <w:rsid w:val="00D01197"/>
    <w:rsid w:val="00D042BB"/>
    <w:rsid w:val="00D058B0"/>
    <w:rsid w:val="00D05C8E"/>
    <w:rsid w:val="00D06CA0"/>
    <w:rsid w:val="00D11F7D"/>
    <w:rsid w:val="00D11FC3"/>
    <w:rsid w:val="00D13098"/>
    <w:rsid w:val="00D1676F"/>
    <w:rsid w:val="00D17789"/>
    <w:rsid w:val="00D1789C"/>
    <w:rsid w:val="00D179FC"/>
    <w:rsid w:val="00D17B5C"/>
    <w:rsid w:val="00D17EDC"/>
    <w:rsid w:val="00D20AC2"/>
    <w:rsid w:val="00D21565"/>
    <w:rsid w:val="00D22411"/>
    <w:rsid w:val="00D226BE"/>
    <w:rsid w:val="00D25860"/>
    <w:rsid w:val="00D2737E"/>
    <w:rsid w:val="00D274A9"/>
    <w:rsid w:val="00D32347"/>
    <w:rsid w:val="00D32644"/>
    <w:rsid w:val="00D33229"/>
    <w:rsid w:val="00D33619"/>
    <w:rsid w:val="00D338F0"/>
    <w:rsid w:val="00D405BE"/>
    <w:rsid w:val="00D40FD4"/>
    <w:rsid w:val="00D457AF"/>
    <w:rsid w:val="00D52AC7"/>
    <w:rsid w:val="00D53772"/>
    <w:rsid w:val="00D54CA9"/>
    <w:rsid w:val="00D556EC"/>
    <w:rsid w:val="00D56D67"/>
    <w:rsid w:val="00D621CD"/>
    <w:rsid w:val="00D6340F"/>
    <w:rsid w:val="00D72D16"/>
    <w:rsid w:val="00D74213"/>
    <w:rsid w:val="00D763C9"/>
    <w:rsid w:val="00D7792E"/>
    <w:rsid w:val="00D8049E"/>
    <w:rsid w:val="00D804D4"/>
    <w:rsid w:val="00D81032"/>
    <w:rsid w:val="00D81914"/>
    <w:rsid w:val="00D8195B"/>
    <w:rsid w:val="00D8561C"/>
    <w:rsid w:val="00D8619F"/>
    <w:rsid w:val="00D86764"/>
    <w:rsid w:val="00D87350"/>
    <w:rsid w:val="00D90DA7"/>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E7E5F"/>
    <w:rsid w:val="00DF003C"/>
    <w:rsid w:val="00DF4501"/>
    <w:rsid w:val="00DF723C"/>
    <w:rsid w:val="00DF783E"/>
    <w:rsid w:val="00DF78AE"/>
    <w:rsid w:val="00E029A8"/>
    <w:rsid w:val="00E02DDE"/>
    <w:rsid w:val="00E117EC"/>
    <w:rsid w:val="00E11DF7"/>
    <w:rsid w:val="00E11E2E"/>
    <w:rsid w:val="00E136A4"/>
    <w:rsid w:val="00E2092E"/>
    <w:rsid w:val="00E24CF4"/>
    <w:rsid w:val="00E2591D"/>
    <w:rsid w:val="00E26A43"/>
    <w:rsid w:val="00E27279"/>
    <w:rsid w:val="00E31699"/>
    <w:rsid w:val="00E316D8"/>
    <w:rsid w:val="00E32707"/>
    <w:rsid w:val="00E348A5"/>
    <w:rsid w:val="00E371EC"/>
    <w:rsid w:val="00E422D7"/>
    <w:rsid w:val="00E45BCC"/>
    <w:rsid w:val="00E57D89"/>
    <w:rsid w:val="00E6063A"/>
    <w:rsid w:val="00E62A59"/>
    <w:rsid w:val="00E62E86"/>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A1F89"/>
    <w:rsid w:val="00EA5BCC"/>
    <w:rsid w:val="00EB117B"/>
    <w:rsid w:val="00EB15E0"/>
    <w:rsid w:val="00EB18AD"/>
    <w:rsid w:val="00EB39C0"/>
    <w:rsid w:val="00EB40D6"/>
    <w:rsid w:val="00EB5F75"/>
    <w:rsid w:val="00EB79CD"/>
    <w:rsid w:val="00EB7F18"/>
    <w:rsid w:val="00EC305D"/>
    <w:rsid w:val="00EC3BF2"/>
    <w:rsid w:val="00EC3C36"/>
    <w:rsid w:val="00EC5B60"/>
    <w:rsid w:val="00ED6131"/>
    <w:rsid w:val="00EE0578"/>
    <w:rsid w:val="00EE0650"/>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4BC6"/>
    <w:rsid w:val="00F16026"/>
    <w:rsid w:val="00F22566"/>
    <w:rsid w:val="00F22963"/>
    <w:rsid w:val="00F25D50"/>
    <w:rsid w:val="00F2654F"/>
    <w:rsid w:val="00F32B23"/>
    <w:rsid w:val="00F37993"/>
    <w:rsid w:val="00F403EA"/>
    <w:rsid w:val="00F42753"/>
    <w:rsid w:val="00F4623D"/>
    <w:rsid w:val="00F47DEC"/>
    <w:rsid w:val="00F510DB"/>
    <w:rsid w:val="00F54525"/>
    <w:rsid w:val="00F54C4E"/>
    <w:rsid w:val="00F56B30"/>
    <w:rsid w:val="00F62C8C"/>
    <w:rsid w:val="00F63781"/>
    <w:rsid w:val="00F64643"/>
    <w:rsid w:val="00F7260C"/>
    <w:rsid w:val="00F727B0"/>
    <w:rsid w:val="00F72B5D"/>
    <w:rsid w:val="00F750BE"/>
    <w:rsid w:val="00F7581F"/>
    <w:rsid w:val="00F84FFF"/>
    <w:rsid w:val="00F85D92"/>
    <w:rsid w:val="00F90E93"/>
    <w:rsid w:val="00F91F36"/>
    <w:rsid w:val="00F946D3"/>
    <w:rsid w:val="00F94BD5"/>
    <w:rsid w:val="00F95A73"/>
    <w:rsid w:val="00F97F52"/>
    <w:rsid w:val="00FA2545"/>
    <w:rsid w:val="00FA467A"/>
    <w:rsid w:val="00FA5036"/>
    <w:rsid w:val="00FA5363"/>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E512B"/>
    <w:rsid w:val="00FE62CF"/>
    <w:rsid w:val="00FE756C"/>
    <w:rsid w:val="00FF4C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567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52518-DE09-469D-897F-8F5B8E558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25</Pages>
  <Words>4581</Words>
  <Characters>25201</Characters>
  <Application>Microsoft Office Word</Application>
  <DocSecurity>0</DocSecurity>
  <Lines>210</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29723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17</cp:revision>
  <cp:lastPrinted>2020-01-30T23:10:00Z</cp:lastPrinted>
  <dcterms:created xsi:type="dcterms:W3CDTF">2024-07-15T23:58:00Z</dcterms:created>
  <dcterms:modified xsi:type="dcterms:W3CDTF">2025-08-20T23:15:00Z</dcterms:modified>
</cp:coreProperties>
</file>