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1449134154"/>
        <w:docPartObj>
          <w:docPartGallery w:val="Table of Contents"/>
          <w:docPartUnique/>
        </w:docPartObj>
      </w:sdtPr>
      <w:sdtEndPr>
        <w:rPr>
          <w:b/>
          <w:bCs/>
        </w:rPr>
      </w:sdtEndPr>
      <w:sdtContent>
        <w:p w14:paraId="4C802EA6" w14:textId="2DB59C0F" w:rsidR="003E0B6F" w:rsidRPr="000A1E5F" w:rsidRDefault="003E0B6F" w:rsidP="000A1E5F">
          <w:pPr>
            <w:pStyle w:val="TtulodeTDC"/>
            <w:spacing w:line="360" w:lineRule="auto"/>
            <w:rPr>
              <w:color w:val="auto"/>
            </w:rPr>
          </w:pPr>
          <w:r w:rsidRPr="000A1E5F">
            <w:rPr>
              <w:color w:val="auto"/>
              <w:lang w:val="es-ES"/>
            </w:rPr>
            <w:t>Contenido</w:t>
          </w:r>
        </w:p>
        <w:p w14:paraId="1A6452E9" w14:textId="5E1CA6F5" w:rsidR="000A1E5F" w:rsidRDefault="003E0B6F">
          <w:pPr>
            <w:pStyle w:val="TDC1"/>
            <w:tabs>
              <w:tab w:val="right" w:leader="dot" w:pos="9034"/>
            </w:tabs>
            <w:rPr>
              <w:rFonts w:asciiTheme="minorHAnsi" w:eastAsiaTheme="minorEastAsia" w:hAnsiTheme="minorHAnsi" w:cstheme="minorBidi"/>
              <w:noProof/>
              <w:szCs w:val="22"/>
              <w:lang w:eastAsia="es-MX"/>
            </w:rPr>
          </w:pPr>
          <w:r w:rsidRPr="000A1E5F">
            <w:rPr>
              <w:b/>
              <w:bCs/>
              <w:lang w:val="es-ES"/>
            </w:rPr>
            <w:fldChar w:fldCharType="begin"/>
          </w:r>
          <w:r w:rsidRPr="000A1E5F">
            <w:rPr>
              <w:b/>
              <w:bCs/>
              <w:lang w:val="es-ES"/>
            </w:rPr>
            <w:instrText xml:space="preserve"> TOC \o "1-3" \h \z \u </w:instrText>
          </w:r>
          <w:r w:rsidRPr="000A1E5F">
            <w:rPr>
              <w:b/>
              <w:bCs/>
              <w:lang w:val="es-ES"/>
            </w:rPr>
            <w:fldChar w:fldCharType="separate"/>
          </w:r>
          <w:hyperlink w:anchor="_Toc207226092" w:history="1">
            <w:r w:rsidR="000A1E5F" w:rsidRPr="00ED652B">
              <w:rPr>
                <w:rStyle w:val="Hipervnculo"/>
                <w:rFonts w:eastAsiaTheme="majorEastAsia"/>
                <w:noProof/>
              </w:rPr>
              <w:t>ANTECEDENTES</w:t>
            </w:r>
            <w:r w:rsidR="000A1E5F">
              <w:rPr>
                <w:noProof/>
                <w:webHidden/>
              </w:rPr>
              <w:tab/>
            </w:r>
            <w:r w:rsidR="000A1E5F">
              <w:rPr>
                <w:noProof/>
                <w:webHidden/>
              </w:rPr>
              <w:fldChar w:fldCharType="begin"/>
            </w:r>
            <w:r w:rsidR="000A1E5F">
              <w:rPr>
                <w:noProof/>
                <w:webHidden/>
              </w:rPr>
              <w:instrText xml:space="preserve"> PAGEREF _Toc207226092 \h </w:instrText>
            </w:r>
            <w:r w:rsidR="000A1E5F">
              <w:rPr>
                <w:noProof/>
                <w:webHidden/>
              </w:rPr>
            </w:r>
            <w:r w:rsidR="000A1E5F">
              <w:rPr>
                <w:noProof/>
                <w:webHidden/>
              </w:rPr>
              <w:fldChar w:fldCharType="separate"/>
            </w:r>
            <w:r w:rsidR="00312C1C">
              <w:rPr>
                <w:noProof/>
                <w:webHidden/>
              </w:rPr>
              <w:t>1</w:t>
            </w:r>
            <w:r w:rsidR="000A1E5F">
              <w:rPr>
                <w:noProof/>
                <w:webHidden/>
              </w:rPr>
              <w:fldChar w:fldCharType="end"/>
            </w:r>
          </w:hyperlink>
        </w:p>
        <w:p w14:paraId="15CD6D4B" w14:textId="7020BCA8" w:rsidR="000A1E5F" w:rsidRDefault="007558B7">
          <w:pPr>
            <w:pStyle w:val="TDC2"/>
            <w:rPr>
              <w:rFonts w:asciiTheme="minorHAnsi" w:eastAsiaTheme="minorEastAsia" w:hAnsiTheme="minorHAnsi" w:cstheme="minorBidi"/>
              <w:noProof/>
              <w:szCs w:val="22"/>
              <w:lang w:eastAsia="es-MX"/>
            </w:rPr>
          </w:pPr>
          <w:hyperlink w:anchor="_Toc207226093" w:history="1">
            <w:r w:rsidR="000A1E5F" w:rsidRPr="00ED652B">
              <w:rPr>
                <w:rStyle w:val="Hipervnculo"/>
                <w:rFonts w:eastAsiaTheme="majorEastAsia"/>
                <w:noProof/>
              </w:rPr>
              <w:t>DE LA SOLICITUD DE INFORMACIÓN</w:t>
            </w:r>
            <w:r w:rsidR="000A1E5F">
              <w:rPr>
                <w:noProof/>
                <w:webHidden/>
              </w:rPr>
              <w:tab/>
            </w:r>
            <w:r w:rsidR="000A1E5F">
              <w:rPr>
                <w:noProof/>
                <w:webHidden/>
              </w:rPr>
              <w:fldChar w:fldCharType="begin"/>
            </w:r>
            <w:r w:rsidR="000A1E5F">
              <w:rPr>
                <w:noProof/>
                <w:webHidden/>
              </w:rPr>
              <w:instrText xml:space="preserve"> PAGEREF _Toc207226093 \h </w:instrText>
            </w:r>
            <w:r w:rsidR="000A1E5F">
              <w:rPr>
                <w:noProof/>
                <w:webHidden/>
              </w:rPr>
            </w:r>
            <w:r w:rsidR="000A1E5F">
              <w:rPr>
                <w:noProof/>
                <w:webHidden/>
              </w:rPr>
              <w:fldChar w:fldCharType="separate"/>
            </w:r>
            <w:r w:rsidR="00312C1C">
              <w:rPr>
                <w:noProof/>
                <w:webHidden/>
              </w:rPr>
              <w:t>1</w:t>
            </w:r>
            <w:r w:rsidR="000A1E5F">
              <w:rPr>
                <w:noProof/>
                <w:webHidden/>
              </w:rPr>
              <w:fldChar w:fldCharType="end"/>
            </w:r>
          </w:hyperlink>
        </w:p>
        <w:p w14:paraId="04E69604" w14:textId="3331440D" w:rsidR="000A1E5F" w:rsidRDefault="007558B7">
          <w:pPr>
            <w:pStyle w:val="TDC3"/>
            <w:rPr>
              <w:rFonts w:asciiTheme="minorHAnsi" w:eastAsiaTheme="minorEastAsia" w:hAnsiTheme="minorHAnsi" w:cstheme="minorBidi"/>
              <w:noProof/>
              <w:szCs w:val="22"/>
              <w:lang w:eastAsia="es-MX"/>
            </w:rPr>
          </w:pPr>
          <w:hyperlink w:anchor="_Toc207226094" w:history="1">
            <w:r w:rsidR="000A1E5F" w:rsidRPr="00ED652B">
              <w:rPr>
                <w:rStyle w:val="Hipervnculo"/>
                <w:rFonts w:eastAsiaTheme="majorEastAsia"/>
                <w:noProof/>
              </w:rPr>
              <w:t>a) Solicitud de información.</w:t>
            </w:r>
            <w:r w:rsidR="000A1E5F">
              <w:rPr>
                <w:noProof/>
                <w:webHidden/>
              </w:rPr>
              <w:tab/>
            </w:r>
            <w:r w:rsidR="000A1E5F">
              <w:rPr>
                <w:noProof/>
                <w:webHidden/>
              </w:rPr>
              <w:fldChar w:fldCharType="begin"/>
            </w:r>
            <w:r w:rsidR="000A1E5F">
              <w:rPr>
                <w:noProof/>
                <w:webHidden/>
              </w:rPr>
              <w:instrText xml:space="preserve"> PAGEREF _Toc207226094 \h </w:instrText>
            </w:r>
            <w:r w:rsidR="000A1E5F">
              <w:rPr>
                <w:noProof/>
                <w:webHidden/>
              </w:rPr>
            </w:r>
            <w:r w:rsidR="000A1E5F">
              <w:rPr>
                <w:noProof/>
                <w:webHidden/>
              </w:rPr>
              <w:fldChar w:fldCharType="separate"/>
            </w:r>
            <w:r w:rsidR="00312C1C">
              <w:rPr>
                <w:noProof/>
                <w:webHidden/>
              </w:rPr>
              <w:t>1</w:t>
            </w:r>
            <w:r w:rsidR="000A1E5F">
              <w:rPr>
                <w:noProof/>
                <w:webHidden/>
              </w:rPr>
              <w:fldChar w:fldCharType="end"/>
            </w:r>
          </w:hyperlink>
        </w:p>
        <w:p w14:paraId="1D15BAAC" w14:textId="28F1D352" w:rsidR="000A1E5F" w:rsidRDefault="007558B7">
          <w:pPr>
            <w:pStyle w:val="TDC3"/>
            <w:rPr>
              <w:rFonts w:asciiTheme="minorHAnsi" w:eastAsiaTheme="minorEastAsia" w:hAnsiTheme="minorHAnsi" w:cstheme="minorBidi"/>
              <w:noProof/>
              <w:szCs w:val="22"/>
              <w:lang w:eastAsia="es-MX"/>
            </w:rPr>
          </w:pPr>
          <w:hyperlink w:anchor="_Toc207226095" w:history="1">
            <w:r w:rsidR="000A1E5F" w:rsidRPr="00ED652B">
              <w:rPr>
                <w:rStyle w:val="Hipervnculo"/>
                <w:rFonts w:eastAsiaTheme="majorEastAsia"/>
                <w:noProof/>
              </w:rPr>
              <w:t>b) Respuesta del Sujeto Obligado.</w:t>
            </w:r>
            <w:r w:rsidR="000A1E5F">
              <w:rPr>
                <w:noProof/>
                <w:webHidden/>
              </w:rPr>
              <w:tab/>
            </w:r>
            <w:r w:rsidR="000A1E5F">
              <w:rPr>
                <w:noProof/>
                <w:webHidden/>
              </w:rPr>
              <w:fldChar w:fldCharType="begin"/>
            </w:r>
            <w:r w:rsidR="000A1E5F">
              <w:rPr>
                <w:noProof/>
                <w:webHidden/>
              </w:rPr>
              <w:instrText xml:space="preserve"> PAGEREF _Toc207226095 \h </w:instrText>
            </w:r>
            <w:r w:rsidR="000A1E5F">
              <w:rPr>
                <w:noProof/>
                <w:webHidden/>
              </w:rPr>
            </w:r>
            <w:r w:rsidR="000A1E5F">
              <w:rPr>
                <w:noProof/>
                <w:webHidden/>
              </w:rPr>
              <w:fldChar w:fldCharType="separate"/>
            </w:r>
            <w:r w:rsidR="00312C1C">
              <w:rPr>
                <w:noProof/>
                <w:webHidden/>
              </w:rPr>
              <w:t>2</w:t>
            </w:r>
            <w:r w:rsidR="000A1E5F">
              <w:rPr>
                <w:noProof/>
                <w:webHidden/>
              </w:rPr>
              <w:fldChar w:fldCharType="end"/>
            </w:r>
          </w:hyperlink>
        </w:p>
        <w:p w14:paraId="65A71A32" w14:textId="5A78E3DD" w:rsidR="000A1E5F" w:rsidRDefault="007558B7">
          <w:pPr>
            <w:pStyle w:val="TDC2"/>
            <w:rPr>
              <w:rFonts w:asciiTheme="minorHAnsi" w:eastAsiaTheme="minorEastAsia" w:hAnsiTheme="minorHAnsi" w:cstheme="minorBidi"/>
              <w:noProof/>
              <w:szCs w:val="22"/>
              <w:lang w:eastAsia="es-MX"/>
            </w:rPr>
          </w:pPr>
          <w:hyperlink w:anchor="_Toc207226096" w:history="1">
            <w:r w:rsidR="000A1E5F" w:rsidRPr="00ED652B">
              <w:rPr>
                <w:rStyle w:val="Hipervnculo"/>
                <w:rFonts w:eastAsiaTheme="majorEastAsia"/>
                <w:noProof/>
              </w:rPr>
              <w:t>DEL RECURSO DE REVISIÓN</w:t>
            </w:r>
            <w:r w:rsidR="000A1E5F">
              <w:rPr>
                <w:noProof/>
                <w:webHidden/>
              </w:rPr>
              <w:tab/>
            </w:r>
            <w:r w:rsidR="000A1E5F">
              <w:rPr>
                <w:noProof/>
                <w:webHidden/>
              </w:rPr>
              <w:fldChar w:fldCharType="begin"/>
            </w:r>
            <w:r w:rsidR="000A1E5F">
              <w:rPr>
                <w:noProof/>
                <w:webHidden/>
              </w:rPr>
              <w:instrText xml:space="preserve"> PAGEREF _Toc207226096 \h </w:instrText>
            </w:r>
            <w:r w:rsidR="000A1E5F">
              <w:rPr>
                <w:noProof/>
                <w:webHidden/>
              </w:rPr>
            </w:r>
            <w:r w:rsidR="000A1E5F">
              <w:rPr>
                <w:noProof/>
                <w:webHidden/>
              </w:rPr>
              <w:fldChar w:fldCharType="separate"/>
            </w:r>
            <w:r w:rsidR="00312C1C">
              <w:rPr>
                <w:noProof/>
                <w:webHidden/>
              </w:rPr>
              <w:t>2</w:t>
            </w:r>
            <w:r w:rsidR="000A1E5F">
              <w:rPr>
                <w:noProof/>
                <w:webHidden/>
              </w:rPr>
              <w:fldChar w:fldCharType="end"/>
            </w:r>
          </w:hyperlink>
        </w:p>
        <w:p w14:paraId="56A4D577" w14:textId="69D23611" w:rsidR="000A1E5F" w:rsidRDefault="007558B7">
          <w:pPr>
            <w:pStyle w:val="TDC3"/>
            <w:rPr>
              <w:rFonts w:asciiTheme="minorHAnsi" w:eastAsiaTheme="minorEastAsia" w:hAnsiTheme="minorHAnsi" w:cstheme="minorBidi"/>
              <w:noProof/>
              <w:szCs w:val="22"/>
              <w:lang w:eastAsia="es-MX"/>
            </w:rPr>
          </w:pPr>
          <w:hyperlink w:anchor="_Toc207226097" w:history="1">
            <w:r w:rsidR="000A1E5F" w:rsidRPr="00ED652B">
              <w:rPr>
                <w:rStyle w:val="Hipervnculo"/>
                <w:rFonts w:eastAsiaTheme="majorEastAsia"/>
                <w:noProof/>
              </w:rPr>
              <w:t>a) Interposición del Recurso de Revisión.</w:t>
            </w:r>
            <w:r w:rsidR="000A1E5F">
              <w:rPr>
                <w:noProof/>
                <w:webHidden/>
              </w:rPr>
              <w:tab/>
            </w:r>
            <w:r w:rsidR="000A1E5F">
              <w:rPr>
                <w:noProof/>
                <w:webHidden/>
              </w:rPr>
              <w:fldChar w:fldCharType="begin"/>
            </w:r>
            <w:r w:rsidR="000A1E5F">
              <w:rPr>
                <w:noProof/>
                <w:webHidden/>
              </w:rPr>
              <w:instrText xml:space="preserve"> PAGEREF _Toc207226097 \h </w:instrText>
            </w:r>
            <w:r w:rsidR="000A1E5F">
              <w:rPr>
                <w:noProof/>
                <w:webHidden/>
              </w:rPr>
            </w:r>
            <w:r w:rsidR="000A1E5F">
              <w:rPr>
                <w:noProof/>
                <w:webHidden/>
              </w:rPr>
              <w:fldChar w:fldCharType="separate"/>
            </w:r>
            <w:r w:rsidR="00312C1C">
              <w:rPr>
                <w:noProof/>
                <w:webHidden/>
              </w:rPr>
              <w:t>2</w:t>
            </w:r>
            <w:r w:rsidR="000A1E5F">
              <w:rPr>
                <w:noProof/>
                <w:webHidden/>
              </w:rPr>
              <w:fldChar w:fldCharType="end"/>
            </w:r>
          </w:hyperlink>
        </w:p>
        <w:p w14:paraId="0C9E2640" w14:textId="06547B40" w:rsidR="000A1E5F" w:rsidRDefault="007558B7">
          <w:pPr>
            <w:pStyle w:val="TDC3"/>
            <w:rPr>
              <w:rFonts w:asciiTheme="minorHAnsi" w:eastAsiaTheme="minorEastAsia" w:hAnsiTheme="minorHAnsi" w:cstheme="minorBidi"/>
              <w:noProof/>
              <w:szCs w:val="22"/>
              <w:lang w:eastAsia="es-MX"/>
            </w:rPr>
          </w:pPr>
          <w:hyperlink w:anchor="_Toc207226098" w:history="1">
            <w:r w:rsidR="000A1E5F" w:rsidRPr="00ED652B">
              <w:rPr>
                <w:rStyle w:val="Hipervnculo"/>
                <w:rFonts w:eastAsiaTheme="majorEastAsia"/>
                <w:noProof/>
              </w:rPr>
              <w:t>b) Turno del Recurso de Revisión.</w:t>
            </w:r>
            <w:r w:rsidR="000A1E5F">
              <w:rPr>
                <w:noProof/>
                <w:webHidden/>
              </w:rPr>
              <w:tab/>
            </w:r>
            <w:r w:rsidR="000A1E5F">
              <w:rPr>
                <w:noProof/>
                <w:webHidden/>
              </w:rPr>
              <w:fldChar w:fldCharType="begin"/>
            </w:r>
            <w:r w:rsidR="000A1E5F">
              <w:rPr>
                <w:noProof/>
                <w:webHidden/>
              </w:rPr>
              <w:instrText xml:space="preserve"> PAGEREF _Toc207226098 \h </w:instrText>
            </w:r>
            <w:r w:rsidR="000A1E5F">
              <w:rPr>
                <w:noProof/>
                <w:webHidden/>
              </w:rPr>
            </w:r>
            <w:r w:rsidR="000A1E5F">
              <w:rPr>
                <w:noProof/>
                <w:webHidden/>
              </w:rPr>
              <w:fldChar w:fldCharType="separate"/>
            </w:r>
            <w:r w:rsidR="00312C1C">
              <w:rPr>
                <w:noProof/>
                <w:webHidden/>
              </w:rPr>
              <w:t>3</w:t>
            </w:r>
            <w:r w:rsidR="000A1E5F">
              <w:rPr>
                <w:noProof/>
                <w:webHidden/>
              </w:rPr>
              <w:fldChar w:fldCharType="end"/>
            </w:r>
          </w:hyperlink>
        </w:p>
        <w:p w14:paraId="2A2E2DEF" w14:textId="4C0AD5A2" w:rsidR="000A1E5F" w:rsidRDefault="007558B7">
          <w:pPr>
            <w:pStyle w:val="TDC3"/>
            <w:rPr>
              <w:rFonts w:asciiTheme="minorHAnsi" w:eastAsiaTheme="minorEastAsia" w:hAnsiTheme="minorHAnsi" w:cstheme="minorBidi"/>
              <w:noProof/>
              <w:szCs w:val="22"/>
              <w:lang w:eastAsia="es-MX"/>
            </w:rPr>
          </w:pPr>
          <w:hyperlink w:anchor="_Toc207226099" w:history="1">
            <w:r w:rsidR="000A1E5F" w:rsidRPr="00ED652B">
              <w:rPr>
                <w:rStyle w:val="Hipervnculo"/>
                <w:rFonts w:eastAsiaTheme="majorEastAsia"/>
                <w:noProof/>
              </w:rPr>
              <w:t>c) Admisión del Recurso de Revisión.</w:t>
            </w:r>
            <w:r w:rsidR="000A1E5F">
              <w:rPr>
                <w:noProof/>
                <w:webHidden/>
              </w:rPr>
              <w:tab/>
            </w:r>
            <w:r w:rsidR="000A1E5F">
              <w:rPr>
                <w:noProof/>
                <w:webHidden/>
              </w:rPr>
              <w:fldChar w:fldCharType="begin"/>
            </w:r>
            <w:r w:rsidR="000A1E5F">
              <w:rPr>
                <w:noProof/>
                <w:webHidden/>
              </w:rPr>
              <w:instrText xml:space="preserve"> PAGEREF _Toc207226099 \h </w:instrText>
            </w:r>
            <w:r w:rsidR="000A1E5F">
              <w:rPr>
                <w:noProof/>
                <w:webHidden/>
              </w:rPr>
            </w:r>
            <w:r w:rsidR="000A1E5F">
              <w:rPr>
                <w:noProof/>
                <w:webHidden/>
              </w:rPr>
              <w:fldChar w:fldCharType="separate"/>
            </w:r>
            <w:r w:rsidR="00312C1C">
              <w:rPr>
                <w:noProof/>
                <w:webHidden/>
              </w:rPr>
              <w:t>3</w:t>
            </w:r>
            <w:r w:rsidR="000A1E5F">
              <w:rPr>
                <w:noProof/>
                <w:webHidden/>
              </w:rPr>
              <w:fldChar w:fldCharType="end"/>
            </w:r>
          </w:hyperlink>
        </w:p>
        <w:p w14:paraId="48A4E4A5" w14:textId="22692F1C" w:rsidR="000A1E5F" w:rsidRDefault="007558B7">
          <w:pPr>
            <w:pStyle w:val="TDC3"/>
            <w:rPr>
              <w:rFonts w:asciiTheme="minorHAnsi" w:eastAsiaTheme="minorEastAsia" w:hAnsiTheme="minorHAnsi" w:cstheme="minorBidi"/>
              <w:noProof/>
              <w:szCs w:val="22"/>
              <w:lang w:eastAsia="es-MX"/>
            </w:rPr>
          </w:pPr>
          <w:hyperlink w:anchor="_Toc207226100" w:history="1">
            <w:r w:rsidR="000A1E5F" w:rsidRPr="00ED652B">
              <w:rPr>
                <w:rStyle w:val="Hipervnculo"/>
                <w:rFonts w:eastAsiaTheme="majorEastAsia"/>
                <w:noProof/>
              </w:rPr>
              <w:t>d) Informe Justificado del Sujeto Obligado.</w:t>
            </w:r>
            <w:r w:rsidR="000A1E5F">
              <w:rPr>
                <w:noProof/>
                <w:webHidden/>
              </w:rPr>
              <w:tab/>
            </w:r>
            <w:r w:rsidR="000A1E5F">
              <w:rPr>
                <w:noProof/>
                <w:webHidden/>
              </w:rPr>
              <w:fldChar w:fldCharType="begin"/>
            </w:r>
            <w:r w:rsidR="000A1E5F">
              <w:rPr>
                <w:noProof/>
                <w:webHidden/>
              </w:rPr>
              <w:instrText xml:space="preserve"> PAGEREF _Toc207226100 \h </w:instrText>
            </w:r>
            <w:r w:rsidR="000A1E5F">
              <w:rPr>
                <w:noProof/>
                <w:webHidden/>
              </w:rPr>
            </w:r>
            <w:r w:rsidR="000A1E5F">
              <w:rPr>
                <w:noProof/>
                <w:webHidden/>
              </w:rPr>
              <w:fldChar w:fldCharType="separate"/>
            </w:r>
            <w:r w:rsidR="00312C1C">
              <w:rPr>
                <w:noProof/>
                <w:webHidden/>
              </w:rPr>
              <w:t>4</w:t>
            </w:r>
            <w:r w:rsidR="000A1E5F">
              <w:rPr>
                <w:noProof/>
                <w:webHidden/>
              </w:rPr>
              <w:fldChar w:fldCharType="end"/>
            </w:r>
          </w:hyperlink>
        </w:p>
        <w:p w14:paraId="78E457F8" w14:textId="2FEEE49C" w:rsidR="000A1E5F" w:rsidRDefault="007558B7">
          <w:pPr>
            <w:pStyle w:val="TDC3"/>
            <w:rPr>
              <w:rFonts w:asciiTheme="minorHAnsi" w:eastAsiaTheme="minorEastAsia" w:hAnsiTheme="minorHAnsi" w:cstheme="minorBidi"/>
              <w:noProof/>
              <w:szCs w:val="22"/>
              <w:lang w:eastAsia="es-MX"/>
            </w:rPr>
          </w:pPr>
          <w:hyperlink w:anchor="_Toc207226101" w:history="1">
            <w:r w:rsidR="000A1E5F" w:rsidRPr="00ED652B">
              <w:rPr>
                <w:rStyle w:val="Hipervnculo"/>
                <w:rFonts w:eastAsiaTheme="majorEastAsia"/>
                <w:noProof/>
              </w:rPr>
              <w:t>e) Manifestaciones de la Parte Recurrente.</w:t>
            </w:r>
            <w:r w:rsidR="000A1E5F">
              <w:rPr>
                <w:noProof/>
                <w:webHidden/>
              </w:rPr>
              <w:tab/>
            </w:r>
            <w:r w:rsidR="000A1E5F">
              <w:rPr>
                <w:noProof/>
                <w:webHidden/>
              </w:rPr>
              <w:fldChar w:fldCharType="begin"/>
            </w:r>
            <w:r w:rsidR="000A1E5F">
              <w:rPr>
                <w:noProof/>
                <w:webHidden/>
              </w:rPr>
              <w:instrText xml:space="preserve"> PAGEREF _Toc207226101 \h </w:instrText>
            </w:r>
            <w:r w:rsidR="000A1E5F">
              <w:rPr>
                <w:noProof/>
                <w:webHidden/>
              </w:rPr>
            </w:r>
            <w:r w:rsidR="000A1E5F">
              <w:rPr>
                <w:noProof/>
                <w:webHidden/>
              </w:rPr>
              <w:fldChar w:fldCharType="separate"/>
            </w:r>
            <w:r w:rsidR="00312C1C">
              <w:rPr>
                <w:noProof/>
                <w:webHidden/>
              </w:rPr>
              <w:t>5</w:t>
            </w:r>
            <w:r w:rsidR="000A1E5F">
              <w:rPr>
                <w:noProof/>
                <w:webHidden/>
              </w:rPr>
              <w:fldChar w:fldCharType="end"/>
            </w:r>
          </w:hyperlink>
        </w:p>
        <w:p w14:paraId="6B0FB09D" w14:textId="358F32DF" w:rsidR="000A1E5F" w:rsidRDefault="007558B7">
          <w:pPr>
            <w:pStyle w:val="TDC3"/>
            <w:rPr>
              <w:rFonts w:asciiTheme="minorHAnsi" w:eastAsiaTheme="minorEastAsia" w:hAnsiTheme="minorHAnsi" w:cstheme="minorBidi"/>
              <w:noProof/>
              <w:szCs w:val="22"/>
              <w:lang w:eastAsia="es-MX"/>
            </w:rPr>
          </w:pPr>
          <w:hyperlink w:anchor="_Toc207226102" w:history="1">
            <w:r w:rsidR="000A1E5F" w:rsidRPr="00ED652B">
              <w:rPr>
                <w:rStyle w:val="Hipervnculo"/>
                <w:rFonts w:eastAsiaTheme="majorEastAsia"/>
                <w:noProof/>
              </w:rPr>
              <w:t>f) Cierre de instrucción.</w:t>
            </w:r>
            <w:r w:rsidR="000A1E5F">
              <w:rPr>
                <w:noProof/>
                <w:webHidden/>
              </w:rPr>
              <w:tab/>
            </w:r>
            <w:r w:rsidR="000A1E5F">
              <w:rPr>
                <w:noProof/>
                <w:webHidden/>
              </w:rPr>
              <w:fldChar w:fldCharType="begin"/>
            </w:r>
            <w:r w:rsidR="000A1E5F">
              <w:rPr>
                <w:noProof/>
                <w:webHidden/>
              </w:rPr>
              <w:instrText xml:space="preserve"> PAGEREF _Toc207226102 \h </w:instrText>
            </w:r>
            <w:r w:rsidR="000A1E5F">
              <w:rPr>
                <w:noProof/>
                <w:webHidden/>
              </w:rPr>
            </w:r>
            <w:r w:rsidR="000A1E5F">
              <w:rPr>
                <w:noProof/>
                <w:webHidden/>
              </w:rPr>
              <w:fldChar w:fldCharType="separate"/>
            </w:r>
            <w:r w:rsidR="00312C1C">
              <w:rPr>
                <w:noProof/>
                <w:webHidden/>
              </w:rPr>
              <w:t>5</w:t>
            </w:r>
            <w:r w:rsidR="000A1E5F">
              <w:rPr>
                <w:noProof/>
                <w:webHidden/>
              </w:rPr>
              <w:fldChar w:fldCharType="end"/>
            </w:r>
          </w:hyperlink>
        </w:p>
        <w:p w14:paraId="53F76A0D" w14:textId="3E37BC86" w:rsidR="000A1E5F" w:rsidRDefault="007558B7">
          <w:pPr>
            <w:pStyle w:val="TDC1"/>
            <w:tabs>
              <w:tab w:val="right" w:leader="dot" w:pos="9034"/>
            </w:tabs>
            <w:rPr>
              <w:rFonts w:asciiTheme="minorHAnsi" w:eastAsiaTheme="minorEastAsia" w:hAnsiTheme="minorHAnsi" w:cstheme="minorBidi"/>
              <w:noProof/>
              <w:szCs w:val="22"/>
              <w:lang w:eastAsia="es-MX"/>
            </w:rPr>
          </w:pPr>
          <w:hyperlink w:anchor="_Toc207226103" w:history="1">
            <w:r w:rsidR="000A1E5F" w:rsidRPr="00ED652B">
              <w:rPr>
                <w:rStyle w:val="Hipervnculo"/>
                <w:rFonts w:eastAsiaTheme="majorEastAsia"/>
                <w:noProof/>
              </w:rPr>
              <w:t>CONSIDERANDOS</w:t>
            </w:r>
            <w:r w:rsidR="000A1E5F">
              <w:rPr>
                <w:noProof/>
                <w:webHidden/>
              </w:rPr>
              <w:tab/>
            </w:r>
            <w:r w:rsidR="000A1E5F">
              <w:rPr>
                <w:noProof/>
                <w:webHidden/>
              </w:rPr>
              <w:fldChar w:fldCharType="begin"/>
            </w:r>
            <w:r w:rsidR="000A1E5F">
              <w:rPr>
                <w:noProof/>
                <w:webHidden/>
              </w:rPr>
              <w:instrText xml:space="preserve"> PAGEREF _Toc207226103 \h </w:instrText>
            </w:r>
            <w:r w:rsidR="000A1E5F">
              <w:rPr>
                <w:noProof/>
                <w:webHidden/>
              </w:rPr>
            </w:r>
            <w:r w:rsidR="000A1E5F">
              <w:rPr>
                <w:noProof/>
                <w:webHidden/>
              </w:rPr>
              <w:fldChar w:fldCharType="separate"/>
            </w:r>
            <w:r w:rsidR="00312C1C">
              <w:rPr>
                <w:noProof/>
                <w:webHidden/>
              </w:rPr>
              <w:t>5</w:t>
            </w:r>
            <w:r w:rsidR="000A1E5F">
              <w:rPr>
                <w:noProof/>
                <w:webHidden/>
              </w:rPr>
              <w:fldChar w:fldCharType="end"/>
            </w:r>
          </w:hyperlink>
        </w:p>
        <w:p w14:paraId="55AC47AB" w14:textId="30B388BA" w:rsidR="000A1E5F" w:rsidRDefault="007558B7">
          <w:pPr>
            <w:pStyle w:val="TDC2"/>
            <w:rPr>
              <w:rFonts w:asciiTheme="minorHAnsi" w:eastAsiaTheme="minorEastAsia" w:hAnsiTheme="minorHAnsi" w:cstheme="minorBidi"/>
              <w:noProof/>
              <w:szCs w:val="22"/>
              <w:lang w:eastAsia="es-MX"/>
            </w:rPr>
          </w:pPr>
          <w:hyperlink w:anchor="_Toc207226104" w:history="1">
            <w:r w:rsidR="000A1E5F" w:rsidRPr="00ED652B">
              <w:rPr>
                <w:rStyle w:val="Hipervnculo"/>
                <w:rFonts w:eastAsiaTheme="majorEastAsia"/>
                <w:noProof/>
              </w:rPr>
              <w:t>PRIMERO. Procedibilidad</w:t>
            </w:r>
            <w:r w:rsidR="000A1E5F">
              <w:rPr>
                <w:noProof/>
                <w:webHidden/>
              </w:rPr>
              <w:tab/>
            </w:r>
            <w:r w:rsidR="000A1E5F">
              <w:rPr>
                <w:noProof/>
                <w:webHidden/>
              </w:rPr>
              <w:fldChar w:fldCharType="begin"/>
            </w:r>
            <w:r w:rsidR="000A1E5F">
              <w:rPr>
                <w:noProof/>
                <w:webHidden/>
              </w:rPr>
              <w:instrText xml:space="preserve"> PAGEREF _Toc207226104 \h </w:instrText>
            </w:r>
            <w:r w:rsidR="000A1E5F">
              <w:rPr>
                <w:noProof/>
                <w:webHidden/>
              </w:rPr>
            </w:r>
            <w:r w:rsidR="000A1E5F">
              <w:rPr>
                <w:noProof/>
                <w:webHidden/>
              </w:rPr>
              <w:fldChar w:fldCharType="separate"/>
            </w:r>
            <w:r w:rsidR="00312C1C">
              <w:rPr>
                <w:noProof/>
                <w:webHidden/>
              </w:rPr>
              <w:t>5</w:t>
            </w:r>
            <w:r w:rsidR="000A1E5F">
              <w:rPr>
                <w:noProof/>
                <w:webHidden/>
              </w:rPr>
              <w:fldChar w:fldCharType="end"/>
            </w:r>
          </w:hyperlink>
        </w:p>
        <w:p w14:paraId="4D4647E2" w14:textId="24135DFB" w:rsidR="000A1E5F" w:rsidRDefault="007558B7">
          <w:pPr>
            <w:pStyle w:val="TDC3"/>
            <w:rPr>
              <w:rFonts w:asciiTheme="minorHAnsi" w:eastAsiaTheme="minorEastAsia" w:hAnsiTheme="minorHAnsi" w:cstheme="minorBidi"/>
              <w:noProof/>
              <w:szCs w:val="22"/>
              <w:lang w:eastAsia="es-MX"/>
            </w:rPr>
          </w:pPr>
          <w:hyperlink w:anchor="_Toc207226105" w:history="1">
            <w:r w:rsidR="000A1E5F" w:rsidRPr="00ED652B">
              <w:rPr>
                <w:rStyle w:val="Hipervnculo"/>
                <w:rFonts w:eastAsiaTheme="majorEastAsia"/>
                <w:noProof/>
              </w:rPr>
              <w:t>a) Competencia del Instituto.</w:t>
            </w:r>
            <w:r w:rsidR="000A1E5F">
              <w:rPr>
                <w:noProof/>
                <w:webHidden/>
              </w:rPr>
              <w:tab/>
            </w:r>
            <w:r w:rsidR="000A1E5F">
              <w:rPr>
                <w:noProof/>
                <w:webHidden/>
              </w:rPr>
              <w:fldChar w:fldCharType="begin"/>
            </w:r>
            <w:r w:rsidR="000A1E5F">
              <w:rPr>
                <w:noProof/>
                <w:webHidden/>
              </w:rPr>
              <w:instrText xml:space="preserve"> PAGEREF _Toc207226105 \h </w:instrText>
            </w:r>
            <w:r w:rsidR="000A1E5F">
              <w:rPr>
                <w:noProof/>
                <w:webHidden/>
              </w:rPr>
            </w:r>
            <w:r w:rsidR="000A1E5F">
              <w:rPr>
                <w:noProof/>
                <w:webHidden/>
              </w:rPr>
              <w:fldChar w:fldCharType="separate"/>
            </w:r>
            <w:r w:rsidR="00312C1C">
              <w:rPr>
                <w:noProof/>
                <w:webHidden/>
              </w:rPr>
              <w:t>5</w:t>
            </w:r>
            <w:r w:rsidR="000A1E5F">
              <w:rPr>
                <w:noProof/>
                <w:webHidden/>
              </w:rPr>
              <w:fldChar w:fldCharType="end"/>
            </w:r>
          </w:hyperlink>
        </w:p>
        <w:p w14:paraId="1C407DFF" w14:textId="5791AF65" w:rsidR="000A1E5F" w:rsidRDefault="007558B7">
          <w:pPr>
            <w:pStyle w:val="TDC3"/>
            <w:rPr>
              <w:rFonts w:asciiTheme="minorHAnsi" w:eastAsiaTheme="minorEastAsia" w:hAnsiTheme="minorHAnsi" w:cstheme="minorBidi"/>
              <w:noProof/>
              <w:szCs w:val="22"/>
              <w:lang w:eastAsia="es-MX"/>
            </w:rPr>
          </w:pPr>
          <w:hyperlink w:anchor="_Toc207226106" w:history="1">
            <w:r w:rsidR="000A1E5F" w:rsidRPr="00ED652B">
              <w:rPr>
                <w:rStyle w:val="Hipervnculo"/>
                <w:rFonts w:eastAsiaTheme="majorEastAsia"/>
                <w:noProof/>
              </w:rPr>
              <w:t>b) Legitimidad de la parte recurrente.</w:t>
            </w:r>
            <w:r w:rsidR="000A1E5F">
              <w:rPr>
                <w:noProof/>
                <w:webHidden/>
              </w:rPr>
              <w:tab/>
            </w:r>
            <w:r w:rsidR="000A1E5F">
              <w:rPr>
                <w:noProof/>
                <w:webHidden/>
              </w:rPr>
              <w:fldChar w:fldCharType="begin"/>
            </w:r>
            <w:r w:rsidR="000A1E5F">
              <w:rPr>
                <w:noProof/>
                <w:webHidden/>
              </w:rPr>
              <w:instrText xml:space="preserve"> PAGEREF _Toc207226106 \h </w:instrText>
            </w:r>
            <w:r w:rsidR="000A1E5F">
              <w:rPr>
                <w:noProof/>
                <w:webHidden/>
              </w:rPr>
            </w:r>
            <w:r w:rsidR="000A1E5F">
              <w:rPr>
                <w:noProof/>
                <w:webHidden/>
              </w:rPr>
              <w:fldChar w:fldCharType="separate"/>
            </w:r>
            <w:r w:rsidR="00312C1C">
              <w:rPr>
                <w:noProof/>
                <w:webHidden/>
              </w:rPr>
              <w:t>6</w:t>
            </w:r>
            <w:r w:rsidR="000A1E5F">
              <w:rPr>
                <w:noProof/>
                <w:webHidden/>
              </w:rPr>
              <w:fldChar w:fldCharType="end"/>
            </w:r>
          </w:hyperlink>
        </w:p>
        <w:p w14:paraId="712E71C1" w14:textId="62CA7F5A" w:rsidR="000A1E5F" w:rsidRDefault="007558B7">
          <w:pPr>
            <w:pStyle w:val="TDC3"/>
            <w:rPr>
              <w:rFonts w:asciiTheme="minorHAnsi" w:eastAsiaTheme="minorEastAsia" w:hAnsiTheme="minorHAnsi" w:cstheme="minorBidi"/>
              <w:noProof/>
              <w:szCs w:val="22"/>
              <w:lang w:eastAsia="es-MX"/>
            </w:rPr>
          </w:pPr>
          <w:hyperlink w:anchor="_Toc207226107" w:history="1">
            <w:r w:rsidR="000A1E5F" w:rsidRPr="00ED652B">
              <w:rPr>
                <w:rStyle w:val="Hipervnculo"/>
                <w:rFonts w:eastAsiaTheme="majorEastAsia"/>
                <w:noProof/>
              </w:rPr>
              <w:t>c) Plazo para interponer el recurso.</w:t>
            </w:r>
            <w:r w:rsidR="000A1E5F">
              <w:rPr>
                <w:noProof/>
                <w:webHidden/>
              </w:rPr>
              <w:tab/>
            </w:r>
            <w:r w:rsidR="000A1E5F">
              <w:rPr>
                <w:noProof/>
                <w:webHidden/>
              </w:rPr>
              <w:fldChar w:fldCharType="begin"/>
            </w:r>
            <w:r w:rsidR="000A1E5F">
              <w:rPr>
                <w:noProof/>
                <w:webHidden/>
              </w:rPr>
              <w:instrText xml:space="preserve"> PAGEREF _Toc207226107 \h </w:instrText>
            </w:r>
            <w:r w:rsidR="000A1E5F">
              <w:rPr>
                <w:noProof/>
                <w:webHidden/>
              </w:rPr>
            </w:r>
            <w:r w:rsidR="000A1E5F">
              <w:rPr>
                <w:noProof/>
                <w:webHidden/>
              </w:rPr>
              <w:fldChar w:fldCharType="separate"/>
            </w:r>
            <w:r w:rsidR="00312C1C">
              <w:rPr>
                <w:noProof/>
                <w:webHidden/>
              </w:rPr>
              <w:t>6</w:t>
            </w:r>
            <w:r w:rsidR="000A1E5F">
              <w:rPr>
                <w:noProof/>
                <w:webHidden/>
              </w:rPr>
              <w:fldChar w:fldCharType="end"/>
            </w:r>
          </w:hyperlink>
        </w:p>
        <w:p w14:paraId="1DCEFC51" w14:textId="22DD71C7" w:rsidR="000A1E5F" w:rsidRDefault="007558B7">
          <w:pPr>
            <w:pStyle w:val="TDC3"/>
            <w:rPr>
              <w:rFonts w:asciiTheme="minorHAnsi" w:eastAsiaTheme="minorEastAsia" w:hAnsiTheme="minorHAnsi" w:cstheme="minorBidi"/>
              <w:noProof/>
              <w:szCs w:val="22"/>
              <w:lang w:eastAsia="es-MX"/>
            </w:rPr>
          </w:pPr>
          <w:hyperlink w:anchor="_Toc207226108" w:history="1">
            <w:r w:rsidR="000A1E5F" w:rsidRPr="00ED652B">
              <w:rPr>
                <w:rStyle w:val="Hipervnculo"/>
                <w:rFonts w:eastAsiaTheme="majorEastAsia"/>
                <w:noProof/>
              </w:rPr>
              <w:t>d) Causal de procedencia.</w:t>
            </w:r>
            <w:r w:rsidR="000A1E5F">
              <w:rPr>
                <w:noProof/>
                <w:webHidden/>
              </w:rPr>
              <w:tab/>
            </w:r>
            <w:r w:rsidR="000A1E5F">
              <w:rPr>
                <w:noProof/>
                <w:webHidden/>
              </w:rPr>
              <w:fldChar w:fldCharType="begin"/>
            </w:r>
            <w:r w:rsidR="000A1E5F">
              <w:rPr>
                <w:noProof/>
                <w:webHidden/>
              </w:rPr>
              <w:instrText xml:space="preserve"> PAGEREF _Toc207226108 \h </w:instrText>
            </w:r>
            <w:r w:rsidR="000A1E5F">
              <w:rPr>
                <w:noProof/>
                <w:webHidden/>
              </w:rPr>
            </w:r>
            <w:r w:rsidR="000A1E5F">
              <w:rPr>
                <w:noProof/>
                <w:webHidden/>
              </w:rPr>
              <w:fldChar w:fldCharType="separate"/>
            </w:r>
            <w:r w:rsidR="00312C1C">
              <w:rPr>
                <w:noProof/>
                <w:webHidden/>
              </w:rPr>
              <w:t>6</w:t>
            </w:r>
            <w:r w:rsidR="000A1E5F">
              <w:rPr>
                <w:noProof/>
                <w:webHidden/>
              </w:rPr>
              <w:fldChar w:fldCharType="end"/>
            </w:r>
          </w:hyperlink>
        </w:p>
        <w:p w14:paraId="28B26500" w14:textId="65B54919" w:rsidR="000A1E5F" w:rsidRDefault="007558B7">
          <w:pPr>
            <w:pStyle w:val="TDC3"/>
            <w:rPr>
              <w:rFonts w:asciiTheme="minorHAnsi" w:eastAsiaTheme="minorEastAsia" w:hAnsiTheme="minorHAnsi" w:cstheme="minorBidi"/>
              <w:noProof/>
              <w:szCs w:val="22"/>
              <w:lang w:eastAsia="es-MX"/>
            </w:rPr>
          </w:pPr>
          <w:hyperlink w:anchor="_Toc207226109" w:history="1">
            <w:r w:rsidR="000A1E5F" w:rsidRPr="00ED652B">
              <w:rPr>
                <w:rStyle w:val="Hipervnculo"/>
                <w:rFonts w:eastAsiaTheme="majorEastAsia"/>
                <w:noProof/>
              </w:rPr>
              <w:t>e) Requisitos formales para la interposición del recurso.</w:t>
            </w:r>
            <w:r w:rsidR="000A1E5F">
              <w:rPr>
                <w:noProof/>
                <w:webHidden/>
              </w:rPr>
              <w:tab/>
            </w:r>
            <w:r w:rsidR="000A1E5F">
              <w:rPr>
                <w:noProof/>
                <w:webHidden/>
              </w:rPr>
              <w:fldChar w:fldCharType="begin"/>
            </w:r>
            <w:r w:rsidR="000A1E5F">
              <w:rPr>
                <w:noProof/>
                <w:webHidden/>
              </w:rPr>
              <w:instrText xml:space="preserve"> PAGEREF _Toc207226109 \h </w:instrText>
            </w:r>
            <w:r w:rsidR="000A1E5F">
              <w:rPr>
                <w:noProof/>
                <w:webHidden/>
              </w:rPr>
            </w:r>
            <w:r w:rsidR="000A1E5F">
              <w:rPr>
                <w:noProof/>
                <w:webHidden/>
              </w:rPr>
              <w:fldChar w:fldCharType="separate"/>
            </w:r>
            <w:r w:rsidR="00312C1C">
              <w:rPr>
                <w:noProof/>
                <w:webHidden/>
              </w:rPr>
              <w:t>6</w:t>
            </w:r>
            <w:r w:rsidR="000A1E5F">
              <w:rPr>
                <w:noProof/>
                <w:webHidden/>
              </w:rPr>
              <w:fldChar w:fldCharType="end"/>
            </w:r>
          </w:hyperlink>
        </w:p>
        <w:p w14:paraId="5ED985F8" w14:textId="7FFBD5FF" w:rsidR="000A1E5F" w:rsidRDefault="007558B7">
          <w:pPr>
            <w:pStyle w:val="TDC2"/>
            <w:rPr>
              <w:rFonts w:asciiTheme="minorHAnsi" w:eastAsiaTheme="minorEastAsia" w:hAnsiTheme="minorHAnsi" w:cstheme="minorBidi"/>
              <w:noProof/>
              <w:szCs w:val="22"/>
              <w:lang w:eastAsia="es-MX"/>
            </w:rPr>
          </w:pPr>
          <w:hyperlink w:anchor="_Toc207226110" w:history="1">
            <w:r w:rsidR="000A1E5F" w:rsidRPr="00ED652B">
              <w:rPr>
                <w:rStyle w:val="Hipervnculo"/>
                <w:rFonts w:eastAsiaTheme="majorEastAsia"/>
                <w:noProof/>
              </w:rPr>
              <w:t>SEGUNDO. Estudio de Fondo.</w:t>
            </w:r>
            <w:r w:rsidR="000A1E5F">
              <w:rPr>
                <w:noProof/>
                <w:webHidden/>
              </w:rPr>
              <w:tab/>
            </w:r>
            <w:r w:rsidR="000A1E5F">
              <w:rPr>
                <w:noProof/>
                <w:webHidden/>
              </w:rPr>
              <w:fldChar w:fldCharType="begin"/>
            </w:r>
            <w:r w:rsidR="000A1E5F">
              <w:rPr>
                <w:noProof/>
                <w:webHidden/>
              </w:rPr>
              <w:instrText xml:space="preserve"> PAGEREF _Toc207226110 \h </w:instrText>
            </w:r>
            <w:r w:rsidR="000A1E5F">
              <w:rPr>
                <w:noProof/>
                <w:webHidden/>
              </w:rPr>
            </w:r>
            <w:r w:rsidR="000A1E5F">
              <w:rPr>
                <w:noProof/>
                <w:webHidden/>
              </w:rPr>
              <w:fldChar w:fldCharType="separate"/>
            </w:r>
            <w:r w:rsidR="00312C1C">
              <w:rPr>
                <w:noProof/>
                <w:webHidden/>
              </w:rPr>
              <w:t>7</w:t>
            </w:r>
            <w:r w:rsidR="000A1E5F">
              <w:rPr>
                <w:noProof/>
                <w:webHidden/>
              </w:rPr>
              <w:fldChar w:fldCharType="end"/>
            </w:r>
          </w:hyperlink>
        </w:p>
        <w:p w14:paraId="59F5542F" w14:textId="72E7234F" w:rsidR="000A1E5F" w:rsidRDefault="007558B7">
          <w:pPr>
            <w:pStyle w:val="TDC3"/>
            <w:rPr>
              <w:rFonts w:asciiTheme="minorHAnsi" w:eastAsiaTheme="minorEastAsia" w:hAnsiTheme="minorHAnsi" w:cstheme="minorBidi"/>
              <w:noProof/>
              <w:szCs w:val="22"/>
              <w:lang w:eastAsia="es-MX"/>
            </w:rPr>
          </w:pPr>
          <w:hyperlink w:anchor="_Toc207226111" w:history="1">
            <w:r w:rsidR="000A1E5F" w:rsidRPr="00ED652B">
              <w:rPr>
                <w:rStyle w:val="Hipervnculo"/>
                <w:rFonts w:eastAsiaTheme="majorEastAsia"/>
                <w:noProof/>
              </w:rPr>
              <w:t>a) Mandato de transparencia y responsabilidad del Sujeto Obligado.</w:t>
            </w:r>
            <w:r w:rsidR="000A1E5F">
              <w:rPr>
                <w:noProof/>
                <w:webHidden/>
              </w:rPr>
              <w:tab/>
            </w:r>
            <w:r w:rsidR="000A1E5F">
              <w:rPr>
                <w:noProof/>
                <w:webHidden/>
              </w:rPr>
              <w:fldChar w:fldCharType="begin"/>
            </w:r>
            <w:r w:rsidR="000A1E5F">
              <w:rPr>
                <w:noProof/>
                <w:webHidden/>
              </w:rPr>
              <w:instrText xml:space="preserve"> PAGEREF _Toc207226111 \h </w:instrText>
            </w:r>
            <w:r w:rsidR="000A1E5F">
              <w:rPr>
                <w:noProof/>
                <w:webHidden/>
              </w:rPr>
            </w:r>
            <w:r w:rsidR="000A1E5F">
              <w:rPr>
                <w:noProof/>
                <w:webHidden/>
              </w:rPr>
              <w:fldChar w:fldCharType="separate"/>
            </w:r>
            <w:r w:rsidR="00312C1C">
              <w:rPr>
                <w:noProof/>
                <w:webHidden/>
              </w:rPr>
              <w:t>7</w:t>
            </w:r>
            <w:r w:rsidR="000A1E5F">
              <w:rPr>
                <w:noProof/>
                <w:webHidden/>
              </w:rPr>
              <w:fldChar w:fldCharType="end"/>
            </w:r>
          </w:hyperlink>
        </w:p>
        <w:p w14:paraId="33AB67CA" w14:textId="4DAE3318" w:rsidR="000A1E5F" w:rsidRDefault="007558B7">
          <w:pPr>
            <w:pStyle w:val="TDC3"/>
            <w:rPr>
              <w:rFonts w:asciiTheme="minorHAnsi" w:eastAsiaTheme="minorEastAsia" w:hAnsiTheme="minorHAnsi" w:cstheme="minorBidi"/>
              <w:noProof/>
              <w:szCs w:val="22"/>
              <w:lang w:eastAsia="es-MX"/>
            </w:rPr>
          </w:pPr>
          <w:hyperlink w:anchor="_Toc207226112" w:history="1">
            <w:r w:rsidR="000A1E5F" w:rsidRPr="00ED652B">
              <w:rPr>
                <w:rStyle w:val="Hipervnculo"/>
                <w:rFonts w:eastAsiaTheme="majorEastAsia"/>
                <w:noProof/>
              </w:rPr>
              <w:t>b) Controversia a resolver.</w:t>
            </w:r>
            <w:r w:rsidR="000A1E5F">
              <w:rPr>
                <w:noProof/>
                <w:webHidden/>
              </w:rPr>
              <w:tab/>
            </w:r>
            <w:r w:rsidR="000A1E5F">
              <w:rPr>
                <w:noProof/>
                <w:webHidden/>
              </w:rPr>
              <w:fldChar w:fldCharType="begin"/>
            </w:r>
            <w:r w:rsidR="000A1E5F">
              <w:rPr>
                <w:noProof/>
                <w:webHidden/>
              </w:rPr>
              <w:instrText xml:space="preserve"> PAGEREF _Toc207226112 \h </w:instrText>
            </w:r>
            <w:r w:rsidR="000A1E5F">
              <w:rPr>
                <w:noProof/>
                <w:webHidden/>
              </w:rPr>
            </w:r>
            <w:r w:rsidR="000A1E5F">
              <w:rPr>
                <w:noProof/>
                <w:webHidden/>
              </w:rPr>
              <w:fldChar w:fldCharType="separate"/>
            </w:r>
            <w:r w:rsidR="00312C1C">
              <w:rPr>
                <w:noProof/>
                <w:webHidden/>
              </w:rPr>
              <w:t>9</w:t>
            </w:r>
            <w:r w:rsidR="000A1E5F">
              <w:rPr>
                <w:noProof/>
                <w:webHidden/>
              </w:rPr>
              <w:fldChar w:fldCharType="end"/>
            </w:r>
          </w:hyperlink>
        </w:p>
        <w:p w14:paraId="51B98C9E" w14:textId="6F0388BC" w:rsidR="000A1E5F" w:rsidRDefault="007558B7">
          <w:pPr>
            <w:pStyle w:val="TDC3"/>
            <w:rPr>
              <w:rFonts w:asciiTheme="minorHAnsi" w:eastAsiaTheme="minorEastAsia" w:hAnsiTheme="minorHAnsi" w:cstheme="minorBidi"/>
              <w:noProof/>
              <w:szCs w:val="22"/>
              <w:lang w:eastAsia="es-MX"/>
            </w:rPr>
          </w:pPr>
          <w:hyperlink w:anchor="_Toc207226113" w:history="1">
            <w:r w:rsidR="000A1E5F" w:rsidRPr="00ED652B">
              <w:rPr>
                <w:rStyle w:val="Hipervnculo"/>
                <w:rFonts w:eastAsiaTheme="majorEastAsia"/>
                <w:noProof/>
              </w:rPr>
              <w:t>c) Estudio de la controversia.</w:t>
            </w:r>
            <w:r w:rsidR="000A1E5F">
              <w:rPr>
                <w:noProof/>
                <w:webHidden/>
              </w:rPr>
              <w:tab/>
            </w:r>
            <w:r w:rsidR="000A1E5F">
              <w:rPr>
                <w:noProof/>
                <w:webHidden/>
              </w:rPr>
              <w:fldChar w:fldCharType="begin"/>
            </w:r>
            <w:r w:rsidR="000A1E5F">
              <w:rPr>
                <w:noProof/>
                <w:webHidden/>
              </w:rPr>
              <w:instrText xml:space="preserve"> PAGEREF _Toc207226113 \h </w:instrText>
            </w:r>
            <w:r w:rsidR="000A1E5F">
              <w:rPr>
                <w:noProof/>
                <w:webHidden/>
              </w:rPr>
            </w:r>
            <w:r w:rsidR="000A1E5F">
              <w:rPr>
                <w:noProof/>
                <w:webHidden/>
              </w:rPr>
              <w:fldChar w:fldCharType="separate"/>
            </w:r>
            <w:r w:rsidR="00312C1C">
              <w:rPr>
                <w:noProof/>
                <w:webHidden/>
              </w:rPr>
              <w:t>11</w:t>
            </w:r>
            <w:r w:rsidR="000A1E5F">
              <w:rPr>
                <w:noProof/>
                <w:webHidden/>
              </w:rPr>
              <w:fldChar w:fldCharType="end"/>
            </w:r>
          </w:hyperlink>
        </w:p>
        <w:p w14:paraId="56547A3D" w14:textId="4DF5B30B" w:rsidR="000A1E5F" w:rsidRDefault="007558B7">
          <w:pPr>
            <w:pStyle w:val="TDC3"/>
            <w:rPr>
              <w:rFonts w:asciiTheme="minorHAnsi" w:eastAsiaTheme="minorEastAsia" w:hAnsiTheme="minorHAnsi" w:cstheme="minorBidi"/>
              <w:noProof/>
              <w:szCs w:val="22"/>
              <w:lang w:eastAsia="es-MX"/>
            </w:rPr>
          </w:pPr>
          <w:hyperlink w:anchor="_Toc207226114" w:history="1">
            <w:r w:rsidR="000A1E5F" w:rsidRPr="00ED652B">
              <w:rPr>
                <w:rStyle w:val="Hipervnculo"/>
                <w:rFonts w:eastAsiaTheme="majorEastAsia"/>
                <w:noProof/>
              </w:rPr>
              <w:t>d) Versión pública</w:t>
            </w:r>
            <w:r w:rsidR="000A1E5F">
              <w:rPr>
                <w:noProof/>
                <w:webHidden/>
              </w:rPr>
              <w:tab/>
            </w:r>
            <w:r w:rsidR="000A1E5F">
              <w:rPr>
                <w:noProof/>
                <w:webHidden/>
              </w:rPr>
              <w:fldChar w:fldCharType="begin"/>
            </w:r>
            <w:r w:rsidR="000A1E5F">
              <w:rPr>
                <w:noProof/>
                <w:webHidden/>
              </w:rPr>
              <w:instrText xml:space="preserve"> PAGEREF _Toc207226114 \h </w:instrText>
            </w:r>
            <w:r w:rsidR="000A1E5F">
              <w:rPr>
                <w:noProof/>
                <w:webHidden/>
              </w:rPr>
            </w:r>
            <w:r w:rsidR="000A1E5F">
              <w:rPr>
                <w:noProof/>
                <w:webHidden/>
              </w:rPr>
              <w:fldChar w:fldCharType="separate"/>
            </w:r>
            <w:r w:rsidR="00312C1C">
              <w:rPr>
                <w:noProof/>
                <w:webHidden/>
              </w:rPr>
              <w:t>16</w:t>
            </w:r>
            <w:r w:rsidR="000A1E5F">
              <w:rPr>
                <w:noProof/>
                <w:webHidden/>
              </w:rPr>
              <w:fldChar w:fldCharType="end"/>
            </w:r>
          </w:hyperlink>
        </w:p>
        <w:p w14:paraId="01E26522" w14:textId="18FD0306" w:rsidR="000A1E5F" w:rsidRDefault="007558B7">
          <w:pPr>
            <w:pStyle w:val="TDC3"/>
            <w:rPr>
              <w:rFonts w:asciiTheme="minorHAnsi" w:eastAsiaTheme="minorEastAsia" w:hAnsiTheme="minorHAnsi" w:cstheme="minorBidi"/>
              <w:noProof/>
              <w:szCs w:val="22"/>
              <w:lang w:eastAsia="es-MX"/>
            </w:rPr>
          </w:pPr>
          <w:hyperlink w:anchor="_Toc207226115" w:history="1">
            <w:r w:rsidR="000A1E5F" w:rsidRPr="00ED652B">
              <w:rPr>
                <w:rStyle w:val="Hipervnculo"/>
                <w:rFonts w:eastAsiaTheme="majorEastAsia"/>
                <w:noProof/>
              </w:rPr>
              <w:t>e) Conclusión.</w:t>
            </w:r>
            <w:r w:rsidR="000A1E5F">
              <w:rPr>
                <w:noProof/>
                <w:webHidden/>
              </w:rPr>
              <w:tab/>
            </w:r>
            <w:r w:rsidR="000A1E5F">
              <w:rPr>
                <w:noProof/>
                <w:webHidden/>
              </w:rPr>
              <w:fldChar w:fldCharType="begin"/>
            </w:r>
            <w:r w:rsidR="000A1E5F">
              <w:rPr>
                <w:noProof/>
                <w:webHidden/>
              </w:rPr>
              <w:instrText xml:space="preserve"> PAGEREF _Toc207226115 \h </w:instrText>
            </w:r>
            <w:r w:rsidR="000A1E5F">
              <w:rPr>
                <w:noProof/>
                <w:webHidden/>
              </w:rPr>
            </w:r>
            <w:r w:rsidR="000A1E5F">
              <w:rPr>
                <w:noProof/>
                <w:webHidden/>
              </w:rPr>
              <w:fldChar w:fldCharType="separate"/>
            </w:r>
            <w:r w:rsidR="00312C1C">
              <w:rPr>
                <w:noProof/>
                <w:webHidden/>
              </w:rPr>
              <w:t>29</w:t>
            </w:r>
            <w:r w:rsidR="000A1E5F">
              <w:rPr>
                <w:noProof/>
                <w:webHidden/>
              </w:rPr>
              <w:fldChar w:fldCharType="end"/>
            </w:r>
          </w:hyperlink>
        </w:p>
        <w:p w14:paraId="6C8A710A" w14:textId="1CD04B37" w:rsidR="003E0B6F" w:rsidRPr="000A1E5F" w:rsidRDefault="007558B7" w:rsidP="000A1E5F">
          <w:pPr>
            <w:pStyle w:val="TDC1"/>
            <w:tabs>
              <w:tab w:val="right" w:leader="dot" w:pos="9034"/>
            </w:tabs>
          </w:pPr>
          <w:hyperlink w:anchor="_Toc207226116" w:history="1">
            <w:r w:rsidR="000A1E5F" w:rsidRPr="00ED652B">
              <w:rPr>
                <w:rStyle w:val="Hipervnculo"/>
                <w:rFonts w:eastAsiaTheme="majorEastAsia"/>
                <w:noProof/>
              </w:rPr>
              <w:t>RESUELVE</w:t>
            </w:r>
            <w:r w:rsidR="000A1E5F">
              <w:rPr>
                <w:noProof/>
                <w:webHidden/>
              </w:rPr>
              <w:tab/>
            </w:r>
            <w:r w:rsidR="000A1E5F">
              <w:rPr>
                <w:noProof/>
                <w:webHidden/>
              </w:rPr>
              <w:fldChar w:fldCharType="begin"/>
            </w:r>
            <w:r w:rsidR="000A1E5F">
              <w:rPr>
                <w:noProof/>
                <w:webHidden/>
              </w:rPr>
              <w:instrText xml:space="preserve"> PAGEREF _Toc207226116 \h </w:instrText>
            </w:r>
            <w:r w:rsidR="000A1E5F">
              <w:rPr>
                <w:noProof/>
                <w:webHidden/>
              </w:rPr>
            </w:r>
            <w:r w:rsidR="000A1E5F">
              <w:rPr>
                <w:noProof/>
                <w:webHidden/>
              </w:rPr>
              <w:fldChar w:fldCharType="separate"/>
            </w:r>
            <w:r w:rsidR="00312C1C">
              <w:rPr>
                <w:noProof/>
                <w:webHidden/>
              </w:rPr>
              <w:t>29</w:t>
            </w:r>
            <w:r w:rsidR="000A1E5F">
              <w:rPr>
                <w:noProof/>
                <w:webHidden/>
              </w:rPr>
              <w:fldChar w:fldCharType="end"/>
            </w:r>
          </w:hyperlink>
          <w:r w:rsidR="003E0B6F" w:rsidRPr="000A1E5F">
            <w:rPr>
              <w:b/>
              <w:bCs/>
              <w:lang w:val="es-ES"/>
            </w:rPr>
            <w:fldChar w:fldCharType="end"/>
          </w:r>
        </w:p>
      </w:sdtContent>
    </w:sdt>
    <w:p w14:paraId="05850357" w14:textId="77777777" w:rsidR="008223B9" w:rsidRPr="000A1E5F" w:rsidRDefault="008223B9" w:rsidP="000A1E5F">
      <w:pPr>
        <w:sectPr w:rsidR="008223B9" w:rsidRPr="000A1E5F" w:rsidSect="00F77E5B">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5ADDDA00" w14:textId="5A5C19DB" w:rsidR="008223B9" w:rsidRPr="000A1E5F" w:rsidRDefault="00C60ED3" w:rsidP="000A1E5F">
      <w:pPr>
        <w:rPr>
          <w:b/>
        </w:rPr>
      </w:pPr>
      <w:r w:rsidRPr="000A1E5F">
        <w:lastRenderedPageBreak/>
        <w:t xml:space="preserve">Resolución del Pleno del Instituto de Transparencia, Acceso a la Información Pública y Protección de Datos Personales del Estado de México y Municipios, con domicilio en Metepec, Estado de México, del </w:t>
      </w:r>
      <w:r w:rsidR="00206A64" w:rsidRPr="000A1E5F">
        <w:rPr>
          <w:b/>
        </w:rPr>
        <w:t>veintisiete</w:t>
      </w:r>
      <w:r w:rsidRPr="000A1E5F">
        <w:rPr>
          <w:b/>
        </w:rPr>
        <w:t xml:space="preserve"> de </w:t>
      </w:r>
      <w:r w:rsidR="00D46FD3" w:rsidRPr="000A1E5F">
        <w:rPr>
          <w:b/>
        </w:rPr>
        <w:t>agosto</w:t>
      </w:r>
      <w:r w:rsidRPr="000A1E5F">
        <w:rPr>
          <w:b/>
        </w:rPr>
        <w:t xml:space="preserve"> de dos mil veinticinco.</w:t>
      </w:r>
    </w:p>
    <w:p w14:paraId="0C011116" w14:textId="77777777" w:rsidR="008223B9" w:rsidRPr="000A1E5F" w:rsidRDefault="008223B9" w:rsidP="000A1E5F"/>
    <w:p w14:paraId="1FF93FBA" w14:textId="3C6B934D" w:rsidR="008223B9" w:rsidRPr="000A1E5F" w:rsidRDefault="00C60ED3" w:rsidP="000A1E5F">
      <w:r w:rsidRPr="000A1E5F">
        <w:rPr>
          <w:b/>
        </w:rPr>
        <w:t xml:space="preserve">VISTO </w:t>
      </w:r>
      <w:r w:rsidRPr="000A1E5F">
        <w:t xml:space="preserve">el expediente formado con motivo del Recurso de Revisión </w:t>
      </w:r>
      <w:r w:rsidRPr="000A1E5F">
        <w:rPr>
          <w:b/>
        </w:rPr>
        <w:t>0</w:t>
      </w:r>
      <w:r w:rsidR="00236360" w:rsidRPr="000A1E5F">
        <w:rPr>
          <w:b/>
        </w:rPr>
        <w:t>8</w:t>
      </w:r>
      <w:r w:rsidR="00206A64" w:rsidRPr="000A1E5F">
        <w:rPr>
          <w:b/>
        </w:rPr>
        <w:t>767</w:t>
      </w:r>
      <w:r w:rsidR="003D662C" w:rsidRPr="000A1E5F">
        <w:rPr>
          <w:b/>
        </w:rPr>
        <w:t>/</w:t>
      </w:r>
      <w:r w:rsidRPr="000A1E5F">
        <w:rPr>
          <w:b/>
        </w:rPr>
        <w:t>INFOEM/IP/RR/2025</w:t>
      </w:r>
      <w:r w:rsidRPr="000A1E5F">
        <w:t xml:space="preserve"> interpuesto por </w:t>
      </w:r>
      <w:bookmarkStart w:id="2" w:name="_GoBack"/>
      <w:r w:rsidR="00D36D07">
        <w:rPr>
          <w:b/>
        </w:rPr>
        <w:t>XXXXXX XXXXXXXX XXXXXXX</w:t>
      </w:r>
      <w:r w:rsidR="00206A64" w:rsidRPr="000A1E5F">
        <w:rPr>
          <w:b/>
        </w:rPr>
        <w:t xml:space="preserve"> </w:t>
      </w:r>
      <w:bookmarkEnd w:id="2"/>
      <w:r w:rsidRPr="000A1E5F">
        <w:t xml:space="preserve">a quien en lo subsecuente se le denominará </w:t>
      </w:r>
      <w:r w:rsidRPr="000A1E5F">
        <w:rPr>
          <w:b/>
        </w:rPr>
        <w:t>LA PARTE RECURRENTE</w:t>
      </w:r>
      <w:r w:rsidRPr="000A1E5F">
        <w:t xml:space="preserve">, en contra de la respuesta emitida por </w:t>
      </w:r>
      <w:r w:rsidR="00206A64" w:rsidRPr="000A1E5F">
        <w:t>el</w:t>
      </w:r>
      <w:r w:rsidRPr="000A1E5F">
        <w:t xml:space="preserve"> </w:t>
      </w:r>
      <w:r w:rsidR="00206A64" w:rsidRPr="000A1E5F">
        <w:rPr>
          <w:b/>
        </w:rPr>
        <w:t>Ayuntamiento de Ixtlahuaca</w:t>
      </w:r>
      <w:r w:rsidRPr="000A1E5F">
        <w:rPr>
          <w:b/>
        </w:rPr>
        <w:t xml:space="preserve">, </w:t>
      </w:r>
      <w:r w:rsidRPr="000A1E5F">
        <w:t xml:space="preserve">en adelante </w:t>
      </w:r>
      <w:r w:rsidRPr="000A1E5F">
        <w:rPr>
          <w:b/>
        </w:rPr>
        <w:t>EL SUJETO OBLIGADO</w:t>
      </w:r>
      <w:r w:rsidRPr="000A1E5F">
        <w:t>, se emite la presente Resolución con base en los Antecedentes y Considerandos que se exponen a continuación:</w:t>
      </w:r>
    </w:p>
    <w:p w14:paraId="380E8808" w14:textId="77777777" w:rsidR="008223B9" w:rsidRPr="000A1E5F" w:rsidRDefault="008223B9" w:rsidP="000A1E5F"/>
    <w:p w14:paraId="20855CFF" w14:textId="77777777" w:rsidR="008223B9" w:rsidRPr="000A1E5F" w:rsidRDefault="00C60ED3" w:rsidP="000A1E5F">
      <w:pPr>
        <w:pStyle w:val="Ttulo1"/>
      </w:pPr>
      <w:bookmarkStart w:id="3" w:name="_Toc207226092"/>
      <w:r w:rsidRPr="000A1E5F">
        <w:t>ANTECEDENTES</w:t>
      </w:r>
      <w:bookmarkEnd w:id="3"/>
    </w:p>
    <w:p w14:paraId="374D5E0E" w14:textId="77777777" w:rsidR="008223B9" w:rsidRPr="000A1E5F" w:rsidRDefault="008223B9" w:rsidP="000A1E5F"/>
    <w:p w14:paraId="2E1E1A80" w14:textId="77777777" w:rsidR="008223B9" w:rsidRPr="000A1E5F" w:rsidRDefault="00C60ED3" w:rsidP="000A1E5F">
      <w:pPr>
        <w:pStyle w:val="Ttulo2"/>
        <w:jc w:val="left"/>
      </w:pPr>
      <w:bookmarkStart w:id="4" w:name="_Toc207226093"/>
      <w:r w:rsidRPr="000A1E5F">
        <w:t>DE LA SOLICITUD DE INFORMACIÓN</w:t>
      </w:r>
      <w:bookmarkEnd w:id="4"/>
    </w:p>
    <w:p w14:paraId="53EB6B0E" w14:textId="77777777" w:rsidR="008223B9" w:rsidRPr="000A1E5F" w:rsidRDefault="00C60ED3" w:rsidP="000A1E5F">
      <w:pPr>
        <w:pStyle w:val="Ttulo3"/>
        <w:spacing w:line="360" w:lineRule="auto"/>
      </w:pPr>
      <w:bookmarkStart w:id="5" w:name="_Toc207226094"/>
      <w:r w:rsidRPr="000A1E5F">
        <w:t>a) Solicitud de información.</w:t>
      </w:r>
      <w:bookmarkEnd w:id="5"/>
    </w:p>
    <w:p w14:paraId="0976C7AA" w14:textId="7F467891" w:rsidR="008223B9" w:rsidRPr="000A1E5F" w:rsidRDefault="00C60ED3" w:rsidP="000A1E5F">
      <w:pPr>
        <w:pBdr>
          <w:top w:val="nil"/>
          <w:left w:val="nil"/>
          <w:bottom w:val="nil"/>
          <w:right w:val="nil"/>
          <w:between w:val="nil"/>
        </w:pBdr>
        <w:tabs>
          <w:tab w:val="left" w:pos="0"/>
        </w:tabs>
      </w:pPr>
      <w:r w:rsidRPr="000A1E5F">
        <w:t xml:space="preserve">El </w:t>
      </w:r>
      <w:r w:rsidR="00872A8A" w:rsidRPr="000A1E5F">
        <w:rPr>
          <w:b/>
        </w:rPr>
        <w:t>veintiséis</w:t>
      </w:r>
      <w:r w:rsidRPr="000A1E5F">
        <w:rPr>
          <w:b/>
        </w:rPr>
        <w:t xml:space="preserve"> de </w:t>
      </w:r>
      <w:r w:rsidR="006D6FEB" w:rsidRPr="000A1E5F">
        <w:rPr>
          <w:b/>
        </w:rPr>
        <w:t>ju</w:t>
      </w:r>
      <w:r w:rsidR="00206A64" w:rsidRPr="000A1E5F">
        <w:rPr>
          <w:b/>
        </w:rPr>
        <w:t>n</w:t>
      </w:r>
      <w:r w:rsidR="006D6FEB" w:rsidRPr="000A1E5F">
        <w:rPr>
          <w:b/>
        </w:rPr>
        <w:t>io</w:t>
      </w:r>
      <w:r w:rsidRPr="000A1E5F">
        <w:rPr>
          <w:b/>
        </w:rPr>
        <w:t xml:space="preserve"> de dos mil veinticinco</w:t>
      </w:r>
      <w:r w:rsidRPr="000A1E5F">
        <w:t xml:space="preserve"> </w:t>
      </w:r>
      <w:r w:rsidRPr="000A1E5F">
        <w:rPr>
          <w:b/>
        </w:rPr>
        <w:t>LA PARTE RECURRENTE</w:t>
      </w:r>
      <w:r w:rsidRPr="000A1E5F">
        <w:t xml:space="preserve"> presentó una solicitud de acceso a la información pública ante el </w:t>
      </w:r>
      <w:r w:rsidRPr="000A1E5F">
        <w:rPr>
          <w:b/>
        </w:rPr>
        <w:t>SUJETO OBLIGADO</w:t>
      </w:r>
      <w:r w:rsidRPr="000A1E5F">
        <w:t>, a través del Sistema de Acceso a la Información Mexiquense (</w:t>
      </w:r>
      <w:r w:rsidRPr="000A1E5F">
        <w:rPr>
          <w:b/>
        </w:rPr>
        <w:t>SAIMEX</w:t>
      </w:r>
      <w:r w:rsidRPr="000A1E5F">
        <w:t>). Dicha solicitud quedó registrada con el número de folio</w:t>
      </w:r>
      <w:r w:rsidR="003D662C" w:rsidRPr="000A1E5F">
        <w:rPr>
          <w:b/>
        </w:rPr>
        <w:t xml:space="preserve"> </w:t>
      </w:r>
      <w:r w:rsidR="00206A64" w:rsidRPr="000A1E5F">
        <w:rPr>
          <w:b/>
        </w:rPr>
        <w:t>00141/IXTLAHUA/IP/2025</w:t>
      </w:r>
      <w:r w:rsidR="00290927" w:rsidRPr="000A1E5F">
        <w:rPr>
          <w:b/>
        </w:rPr>
        <w:t xml:space="preserve"> </w:t>
      </w:r>
      <w:r w:rsidRPr="000A1E5F">
        <w:t>y en ella se requirió la siguiente información:</w:t>
      </w:r>
    </w:p>
    <w:p w14:paraId="2CD6747D" w14:textId="77777777" w:rsidR="008223B9" w:rsidRPr="000A1E5F" w:rsidRDefault="008223B9" w:rsidP="000A1E5F">
      <w:pPr>
        <w:tabs>
          <w:tab w:val="left" w:pos="4667"/>
        </w:tabs>
        <w:ind w:left="567" w:right="567"/>
        <w:rPr>
          <w:b/>
        </w:rPr>
      </w:pPr>
    </w:p>
    <w:p w14:paraId="3A3FADF0" w14:textId="65F3D449" w:rsidR="008223B9" w:rsidRPr="000A1E5F" w:rsidRDefault="00C60ED3" w:rsidP="000A1E5F">
      <w:pPr>
        <w:pStyle w:val="Puesto"/>
        <w:rPr>
          <w:i w:val="0"/>
        </w:rPr>
      </w:pPr>
      <w:r w:rsidRPr="000A1E5F">
        <w:t>“</w:t>
      </w:r>
      <w:r w:rsidR="00206A64" w:rsidRPr="000A1E5F">
        <w:t>Solicito la factura de la compra, o renta de las patrullas que tienen actualmente en esta administración 2025-2027</w:t>
      </w:r>
      <w:r w:rsidRPr="000A1E5F">
        <w:t xml:space="preserve">” </w:t>
      </w:r>
      <w:r w:rsidRPr="000A1E5F">
        <w:rPr>
          <w:i w:val="0"/>
        </w:rPr>
        <w:t>(sic).</w:t>
      </w:r>
    </w:p>
    <w:p w14:paraId="38009173" w14:textId="77777777" w:rsidR="008223B9" w:rsidRPr="000A1E5F" w:rsidRDefault="008223B9" w:rsidP="000A1E5F">
      <w:pPr>
        <w:tabs>
          <w:tab w:val="left" w:pos="5743"/>
        </w:tabs>
        <w:ind w:left="567" w:right="567"/>
        <w:rPr>
          <w:i/>
        </w:rPr>
      </w:pPr>
    </w:p>
    <w:p w14:paraId="08D8CAA3" w14:textId="77777777" w:rsidR="008223B9" w:rsidRPr="000A1E5F" w:rsidRDefault="00C60ED3" w:rsidP="000A1E5F">
      <w:pPr>
        <w:tabs>
          <w:tab w:val="left" w:pos="4667"/>
        </w:tabs>
        <w:ind w:right="567"/>
      </w:pPr>
      <w:r w:rsidRPr="000A1E5F">
        <w:rPr>
          <w:b/>
        </w:rPr>
        <w:t>Modalidad de entrega</w:t>
      </w:r>
      <w:r w:rsidRPr="000A1E5F">
        <w:t>: a</w:t>
      </w:r>
      <w:r w:rsidRPr="000A1E5F">
        <w:rPr>
          <w:i/>
        </w:rPr>
        <w:t xml:space="preserve"> </w:t>
      </w:r>
      <w:r w:rsidRPr="000A1E5F">
        <w:t xml:space="preserve">través del </w:t>
      </w:r>
      <w:r w:rsidRPr="000A1E5F">
        <w:rPr>
          <w:b/>
        </w:rPr>
        <w:t>SAIMEX</w:t>
      </w:r>
      <w:r w:rsidRPr="000A1E5F">
        <w:t>.</w:t>
      </w:r>
    </w:p>
    <w:p w14:paraId="4792C82C" w14:textId="77777777" w:rsidR="008223B9" w:rsidRPr="000A1E5F" w:rsidRDefault="008223B9" w:rsidP="000A1E5F"/>
    <w:p w14:paraId="65162044" w14:textId="7584C7BB" w:rsidR="008223B9" w:rsidRPr="000A1E5F" w:rsidRDefault="006D4D51" w:rsidP="000A1E5F">
      <w:pPr>
        <w:pStyle w:val="Ttulo3"/>
        <w:spacing w:line="360" w:lineRule="auto"/>
      </w:pPr>
      <w:bookmarkStart w:id="6" w:name="_Toc207226095"/>
      <w:r w:rsidRPr="000A1E5F">
        <w:lastRenderedPageBreak/>
        <w:t>b</w:t>
      </w:r>
      <w:r w:rsidR="00C60ED3" w:rsidRPr="000A1E5F">
        <w:t>) Respuesta del Sujeto Obligado.</w:t>
      </w:r>
      <w:bookmarkEnd w:id="6"/>
    </w:p>
    <w:p w14:paraId="1CE0BA34" w14:textId="646F0FDF" w:rsidR="008223B9" w:rsidRPr="000A1E5F" w:rsidRDefault="00C60ED3" w:rsidP="000A1E5F">
      <w:pPr>
        <w:pBdr>
          <w:top w:val="nil"/>
          <w:left w:val="nil"/>
          <w:bottom w:val="nil"/>
          <w:right w:val="nil"/>
          <w:between w:val="nil"/>
        </w:pBdr>
      </w:pPr>
      <w:r w:rsidRPr="000A1E5F">
        <w:t xml:space="preserve">El </w:t>
      </w:r>
      <w:r w:rsidR="00206A64" w:rsidRPr="000A1E5F">
        <w:rPr>
          <w:b/>
        </w:rPr>
        <w:t>dieciséis</w:t>
      </w:r>
      <w:r w:rsidRPr="000A1E5F">
        <w:rPr>
          <w:b/>
        </w:rPr>
        <w:t xml:space="preserve"> de </w:t>
      </w:r>
      <w:r w:rsidR="006D6FEB" w:rsidRPr="000A1E5F">
        <w:rPr>
          <w:b/>
        </w:rPr>
        <w:t>julio</w:t>
      </w:r>
      <w:r w:rsidRPr="000A1E5F">
        <w:rPr>
          <w:b/>
        </w:rPr>
        <w:t xml:space="preserve"> de dos mil veinticinco</w:t>
      </w:r>
      <w:r w:rsidRPr="000A1E5F">
        <w:t xml:space="preserve"> el Titular de la Unidad de Transparencia del </w:t>
      </w:r>
      <w:r w:rsidRPr="000A1E5F">
        <w:rPr>
          <w:b/>
        </w:rPr>
        <w:t>SUJETO OBLIGADO</w:t>
      </w:r>
      <w:r w:rsidRPr="000A1E5F">
        <w:t xml:space="preserve"> notificó la siguiente respuesta a través del </w:t>
      </w:r>
      <w:r w:rsidRPr="000A1E5F">
        <w:rPr>
          <w:b/>
        </w:rPr>
        <w:t>SAIMEX</w:t>
      </w:r>
      <w:r w:rsidRPr="000A1E5F">
        <w:t>:</w:t>
      </w:r>
    </w:p>
    <w:p w14:paraId="74542D23" w14:textId="77777777" w:rsidR="008223B9" w:rsidRPr="000A1E5F" w:rsidRDefault="008223B9" w:rsidP="000A1E5F">
      <w:pPr>
        <w:tabs>
          <w:tab w:val="left" w:pos="4667"/>
        </w:tabs>
        <w:ind w:left="567" w:right="567"/>
        <w:rPr>
          <w:b/>
        </w:rPr>
      </w:pPr>
    </w:p>
    <w:p w14:paraId="211E2698" w14:textId="542E7C0F" w:rsidR="00206A64" w:rsidRPr="000A1E5F" w:rsidRDefault="00C60ED3" w:rsidP="000A1E5F">
      <w:pPr>
        <w:pStyle w:val="Puesto"/>
      </w:pPr>
      <w:r w:rsidRPr="000A1E5F">
        <w:t>“</w:t>
      </w:r>
      <w:r w:rsidR="00206A64" w:rsidRPr="000A1E5F">
        <w:t>Ixtlahuaca, México a 16 de Julio de 2025</w:t>
      </w:r>
    </w:p>
    <w:p w14:paraId="1CBB5AE8" w14:textId="77777777" w:rsidR="00206A64" w:rsidRPr="000A1E5F" w:rsidRDefault="00206A64" w:rsidP="000A1E5F">
      <w:pPr>
        <w:pStyle w:val="Puesto"/>
      </w:pPr>
      <w:r w:rsidRPr="000A1E5F">
        <w:t>Nombre del solicitante: C. Solicitante</w:t>
      </w:r>
    </w:p>
    <w:p w14:paraId="5A9B26E9" w14:textId="77777777" w:rsidR="00206A64" w:rsidRPr="000A1E5F" w:rsidRDefault="00206A64" w:rsidP="000A1E5F">
      <w:pPr>
        <w:pStyle w:val="Puesto"/>
      </w:pPr>
      <w:r w:rsidRPr="000A1E5F">
        <w:t>Folio de la solicitud: 00141/IXTLAHUA/IP/2025</w:t>
      </w:r>
    </w:p>
    <w:p w14:paraId="0D308E11" w14:textId="77777777" w:rsidR="00206A64" w:rsidRPr="000A1E5F" w:rsidRDefault="00206A64" w:rsidP="000A1E5F">
      <w:pPr>
        <w:pStyle w:val="Puesto"/>
      </w:pPr>
      <w:r w:rsidRPr="000A1E5F">
        <w:t>SE ANEXA INFORMACIÓN AL REQUERIMIENTO DE LA SOLICITUD</w:t>
      </w:r>
    </w:p>
    <w:p w14:paraId="1AC6D85A" w14:textId="77777777" w:rsidR="00206A64" w:rsidRPr="000A1E5F" w:rsidRDefault="00206A64" w:rsidP="000A1E5F">
      <w:pPr>
        <w:pStyle w:val="Puesto"/>
      </w:pPr>
      <w:r w:rsidRPr="000A1E5F">
        <w:t>ATENTAMENTE</w:t>
      </w:r>
    </w:p>
    <w:p w14:paraId="353FDDB8" w14:textId="5966B4AF" w:rsidR="008223B9" w:rsidRPr="000A1E5F" w:rsidRDefault="00206A64" w:rsidP="000A1E5F">
      <w:pPr>
        <w:pStyle w:val="Puesto"/>
      </w:pPr>
      <w:r w:rsidRPr="000A1E5F">
        <w:t>C. ALMA LUZ NIETO GONZALEZ</w:t>
      </w:r>
      <w:r w:rsidR="00C60ED3" w:rsidRPr="000A1E5F">
        <w:t>”</w:t>
      </w:r>
    </w:p>
    <w:p w14:paraId="6E29B322" w14:textId="77777777" w:rsidR="008223B9" w:rsidRPr="000A1E5F" w:rsidRDefault="008223B9" w:rsidP="000A1E5F">
      <w:pPr>
        <w:pBdr>
          <w:top w:val="nil"/>
          <w:left w:val="nil"/>
          <w:bottom w:val="nil"/>
          <w:right w:val="nil"/>
          <w:between w:val="nil"/>
        </w:pBdr>
        <w:ind w:right="-28"/>
      </w:pPr>
    </w:p>
    <w:p w14:paraId="50CA10A4" w14:textId="325F12DC" w:rsidR="008223B9" w:rsidRPr="000A1E5F" w:rsidRDefault="00C60ED3" w:rsidP="000A1E5F">
      <w:pPr>
        <w:pBdr>
          <w:top w:val="nil"/>
          <w:left w:val="nil"/>
          <w:bottom w:val="nil"/>
          <w:right w:val="nil"/>
          <w:between w:val="nil"/>
        </w:pBdr>
        <w:ind w:right="-28"/>
      </w:pPr>
      <w:r w:rsidRPr="000A1E5F">
        <w:t xml:space="preserve">A la respuesta, </w:t>
      </w:r>
      <w:r w:rsidRPr="000A1E5F">
        <w:rPr>
          <w:b/>
        </w:rPr>
        <w:t xml:space="preserve">EL SUJETO OBLIGADO </w:t>
      </w:r>
      <w:r w:rsidRPr="000A1E5F">
        <w:t xml:space="preserve">adjuntó </w:t>
      </w:r>
      <w:r w:rsidR="000171B8" w:rsidRPr="000A1E5F">
        <w:t>el documento</w:t>
      </w:r>
      <w:r w:rsidRPr="000A1E5F">
        <w:t xml:space="preserve"> que a continuación se describe:</w:t>
      </w:r>
    </w:p>
    <w:p w14:paraId="72ED55FE" w14:textId="77777777" w:rsidR="008223B9" w:rsidRPr="000A1E5F" w:rsidRDefault="008223B9" w:rsidP="000A1E5F">
      <w:pPr>
        <w:pBdr>
          <w:top w:val="nil"/>
          <w:left w:val="nil"/>
          <w:bottom w:val="nil"/>
          <w:right w:val="nil"/>
          <w:between w:val="nil"/>
        </w:pBdr>
        <w:ind w:right="-28"/>
      </w:pPr>
    </w:p>
    <w:p w14:paraId="779A3249" w14:textId="50C2BDA4" w:rsidR="00290927" w:rsidRPr="000A1E5F" w:rsidRDefault="00C60ED3" w:rsidP="000A1E5F">
      <w:pPr>
        <w:numPr>
          <w:ilvl w:val="0"/>
          <w:numId w:val="1"/>
        </w:numPr>
        <w:pBdr>
          <w:top w:val="nil"/>
          <w:left w:val="nil"/>
          <w:bottom w:val="nil"/>
          <w:right w:val="nil"/>
          <w:between w:val="nil"/>
        </w:pBdr>
        <w:ind w:right="-28"/>
      </w:pPr>
      <w:r w:rsidRPr="000A1E5F">
        <w:rPr>
          <w:b/>
          <w:i/>
        </w:rPr>
        <w:t>“</w:t>
      </w:r>
      <w:r w:rsidR="00206A64" w:rsidRPr="000A1E5F">
        <w:rPr>
          <w:b/>
          <w:i/>
        </w:rPr>
        <w:t>RESP_SOLI_141_2025.pdf</w:t>
      </w:r>
      <w:r w:rsidRPr="000A1E5F">
        <w:rPr>
          <w:b/>
          <w:i/>
        </w:rPr>
        <w:t xml:space="preserve">”: </w:t>
      </w:r>
      <w:r w:rsidRPr="000A1E5F">
        <w:t xml:space="preserve">documento que contiene </w:t>
      </w:r>
      <w:r w:rsidR="00290927" w:rsidRPr="000A1E5F">
        <w:t xml:space="preserve">el </w:t>
      </w:r>
      <w:r w:rsidR="00206A64" w:rsidRPr="000A1E5F">
        <w:t>oficio con número de registro PMI/DA/RH/1663/2025, suscrito por la Directora de Administración, por medio del cual indica que, al día de la fecha de la solicitud realizada por el particular</w:t>
      </w:r>
      <w:r w:rsidR="00E26B51" w:rsidRPr="000A1E5F">
        <w:t>, no se han comprado ni rentado patrullas durante la administración 2025-2027.</w:t>
      </w:r>
    </w:p>
    <w:p w14:paraId="6C7E712C" w14:textId="4EA4D701" w:rsidR="008223B9" w:rsidRPr="000A1E5F" w:rsidRDefault="008223B9" w:rsidP="000A1E5F">
      <w:pPr>
        <w:pBdr>
          <w:top w:val="nil"/>
          <w:left w:val="nil"/>
          <w:bottom w:val="nil"/>
          <w:right w:val="nil"/>
          <w:between w:val="nil"/>
        </w:pBdr>
        <w:ind w:right="-28"/>
      </w:pPr>
    </w:p>
    <w:p w14:paraId="01236C7C" w14:textId="7D0DDF81" w:rsidR="000171B8" w:rsidRPr="000A1E5F" w:rsidRDefault="00C60ED3" w:rsidP="000A1E5F">
      <w:pPr>
        <w:pStyle w:val="Ttulo2"/>
        <w:jc w:val="left"/>
      </w:pPr>
      <w:bookmarkStart w:id="7" w:name="_Toc207226096"/>
      <w:r w:rsidRPr="000A1E5F">
        <w:t>DEL RECURSO DE REVISIÓN</w:t>
      </w:r>
      <w:bookmarkEnd w:id="7"/>
    </w:p>
    <w:p w14:paraId="2D3A4504" w14:textId="77777777" w:rsidR="008223B9" w:rsidRPr="000A1E5F" w:rsidRDefault="00C60ED3" w:rsidP="000A1E5F">
      <w:pPr>
        <w:pStyle w:val="Ttulo3"/>
        <w:spacing w:line="360" w:lineRule="auto"/>
      </w:pPr>
      <w:bookmarkStart w:id="8" w:name="_Toc207226097"/>
      <w:r w:rsidRPr="000A1E5F">
        <w:t>a) Interposición del Recurso de Revisión.</w:t>
      </w:r>
      <w:bookmarkEnd w:id="8"/>
    </w:p>
    <w:p w14:paraId="2F767E86" w14:textId="60564E5C" w:rsidR="008223B9" w:rsidRPr="000A1E5F" w:rsidRDefault="00C60ED3" w:rsidP="000A1E5F">
      <w:pPr>
        <w:ind w:right="-28"/>
      </w:pPr>
      <w:r w:rsidRPr="000A1E5F">
        <w:t xml:space="preserve">El </w:t>
      </w:r>
      <w:r w:rsidR="00B87FA9" w:rsidRPr="000A1E5F">
        <w:rPr>
          <w:b/>
        </w:rPr>
        <w:t>dieciocho</w:t>
      </w:r>
      <w:r w:rsidRPr="000A1E5F">
        <w:rPr>
          <w:b/>
        </w:rPr>
        <w:t xml:space="preserve"> de </w:t>
      </w:r>
      <w:r w:rsidR="006D6FEB" w:rsidRPr="000A1E5F">
        <w:rPr>
          <w:b/>
        </w:rPr>
        <w:t>julio</w:t>
      </w:r>
      <w:r w:rsidRPr="000A1E5F">
        <w:rPr>
          <w:b/>
        </w:rPr>
        <w:t xml:space="preserve"> de dos mil veinticinco</w:t>
      </w:r>
      <w:r w:rsidRPr="000A1E5F">
        <w:t xml:space="preserve"> </w:t>
      </w:r>
      <w:r w:rsidRPr="000A1E5F">
        <w:rPr>
          <w:b/>
        </w:rPr>
        <w:t>LA PARTE RECURRENTE</w:t>
      </w:r>
      <w:r w:rsidRPr="000A1E5F">
        <w:t xml:space="preserve"> interpuso el recurso de revisión en contra de la respuesta emitida por el </w:t>
      </w:r>
      <w:r w:rsidRPr="000A1E5F">
        <w:rPr>
          <w:b/>
        </w:rPr>
        <w:t>SUJETO OBLIGADO</w:t>
      </w:r>
      <w:r w:rsidRPr="000A1E5F">
        <w:t xml:space="preserve">, mismo que fue registrado en </w:t>
      </w:r>
      <w:r w:rsidRPr="000A1E5F">
        <w:rPr>
          <w:b/>
        </w:rPr>
        <w:t>EL SAIMEX</w:t>
      </w:r>
      <w:r w:rsidRPr="000A1E5F">
        <w:t xml:space="preserve"> con el número de expediente </w:t>
      </w:r>
      <w:r w:rsidRPr="000A1E5F">
        <w:rPr>
          <w:b/>
        </w:rPr>
        <w:t>0</w:t>
      </w:r>
      <w:r w:rsidR="006D6FEB" w:rsidRPr="000A1E5F">
        <w:rPr>
          <w:b/>
        </w:rPr>
        <w:t>8567</w:t>
      </w:r>
      <w:r w:rsidRPr="000A1E5F">
        <w:rPr>
          <w:b/>
        </w:rPr>
        <w:t>/INFOEM/IP/RR/2025</w:t>
      </w:r>
      <w:r w:rsidRPr="000A1E5F">
        <w:t xml:space="preserve"> y en el cual manifiesta lo siguiente:</w:t>
      </w:r>
    </w:p>
    <w:p w14:paraId="6FE0ACE0" w14:textId="0A432DD8" w:rsidR="008223B9" w:rsidRDefault="008223B9" w:rsidP="000A1E5F">
      <w:pPr>
        <w:tabs>
          <w:tab w:val="left" w:pos="4667"/>
        </w:tabs>
        <w:ind w:right="539"/>
      </w:pPr>
    </w:p>
    <w:p w14:paraId="4E425EE1" w14:textId="44B97A4B" w:rsidR="000A1E5F" w:rsidRDefault="000A1E5F" w:rsidP="000A1E5F">
      <w:pPr>
        <w:tabs>
          <w:tab w:val="left" w:pos="4667"/>
        </w:tabs>
        <w:ind w:right="539"/>
      </w:pPr>
    </w:p>
    <w:p w14:paraId="1A95705B" w14:textId="77777777" w:rsidR="000A1E5F" w:rsidRPr="000A1E5F" w:rsidRDefault="000A1E5F" w:rsidP="000A1E5F">
      <w:pPr>
        <w:tabs>
          <w:tab w:val="left" w:pos="4667"/>
        </w:tabs>
        <w:ind w:right="539"/>
      </w:pPr>
    </w:p>
    <w:p w14:paraId="1954F12F" w14:textId="77777777" w:rsidR="008223B9" w:rsidRPr="000A1E5F" w:rsidRDefault="00C60ED3" w:rsidP="000A1E5F">
      <w:pPr>
        <w:ind w:right="-28"/>
        <w:rPr>
          <w:b/>
        </w:rPr>
      </w:pPr>
      <w:r w:rsidRPr="000A1E5F">
        <w:rPr>
          <w:b/>
        </w:rPr>
        <w:lastRenderedPageBreak/>
        <w:t>ACTO IMPUGNADO:</w:t>
      </w:r>
    </w:p>
    <w:p w14:paraId="6AB54973" w14:textId="77777777" w:rsidR="008223B9" w:rsidRPr="000A1E5F" w:rsidRDefault="008223B9" w:rsidP="000A1E5F">
      <w:pPr>
        <w:pStyle w:val="Puesto"/>
        <w:spacing w:line="360" w:lineRule="auto"/>
        <w:ind w:firstLine="567"/>
      </w:pPr>
    </w:p>
    <w:p w14:paraId="47CFB584" w14:textId="7A2C5211" w:rsidR="008223B9" w:rsidRPr="000A1E5F" w:rsidRDefault="00C60ED3" w:rsidP="000A1E5F">
      <w:pPr>
        <w:pStyle w:val="Puesto"/>
      </w:pPr>
      <w:bookmarkStart w:id="9" w:name="_heading=h.7itr7u1iy7he" w:colFirst="0" w:colLast="0"/>
      <w:bookmarkEnd w:id="9"/>
      <w:r w:rsidRPr="000A1E5F">
        <w:t>“</w:t>
      </w:r>
      <w:r w:rsidR="00E26B51" w:rsidRPr="000A1E5F">
        <w:t xml:space="preserve">La entrega de información incompleta constituye una violación al derecho humano de acceso a la información, reconocido en el artículo 6° de la Constitución Política de los Estados Unidos Mexicanos, y faculta al solicitante a interponer el recurso de revisión previsto en el artículo 180 de la </w:t>
      </w:r>
      <w:proofErr w:type="spellStart"/>
      <w:r w:rsidR="00E26B51" w:rsidRPr="000A1E5F">
        <w:t>LTAIPEMyM</w:t>
      </w:r>
      <w:proofErr w:type="spellEnd"/>
      <w:r w:rsidR="00E26B51" w:rsidRPr="000A1E5F">
        <w:t>, a fin de que el Instituto de Transparencia, Acceso a la Información Pública y Protección de Datos Personales del Estado de México y Municipios (INFOEM) ordene la entrega total de la información solicitada.</w:t>
      </w:r>
      <w:r w:rsidRPr="000A1E5F">
        <w:t xml:space="preserve">” </w:t>
      </w:r>
      <w:r w:rsidR="003402DA" w:rsidRPr="000A1E5F">
        <w:rPr>
          <w:i w:val="0"/>
        </w:rPr>
        <w:t>(s</w:t>
      </w:r>
      <w:r w:rsidRPr="000A1E5F">
        <w:rPr>
          <w:i w:val="0"/>
        </w:rPr>
        <w:t>ic).</w:t>
      </w:r>
    </w:p>
    <w:p w14:paraId="067362A5" w14:textId="77777777" w:rsidR="008223B9" w:rsidRPr="000A1E5F" w:rsidRDefault="008223B9" w:rsidP="000A1E5F">
      <w:pPr>
        <w:pStyle w:val="Puesto"/>
        <w:spacing w:line="360" w:lineRule="auto"/>
        <w:ind w:firstLine="567"/>
      </w:pPr>
    </w:p>
    <w:p w14:paraId="139C17AE" w14:textId="77777777" w:rsidR="008223B9" w:rsidRPr="000A1E5F" w:rsidRDefault="00C60ED3" w:rsidP="000A1E5F">
      <w:pPr>
        <w:ind w:right="-28"/>
        <w:rPr>
          <w:b/>
        </w:rPr>
      </w:pPr>
      <w:r w:rsidRPr="000A1E5F">
        <w:rPr>
          <w:b/>
        </w:rPr>
        <w:t>RAZONES O MOTIVOS DE INCONFORMIDAD;</w:t>
      </w:r>
    </w:p>
    <w:p w14:paraId="6645297A" w14:textId="77777777" w:rsidR="008223B9" w:rsidRPr="000A1E5F" w:rsidRDefault="008223B9" w:rsidP="000A1E5F">
      <w:pPr>
        <w:pStyle w:val="Puesto"/>
        <w:spacing w:line="360" w:lineRule="auto"/>
        <w:ind w:firstLine="567"/>
      </w:pPr>
    </w:p>
    <w:p w14:paraId="0655212A" w14:textId="149CCC8F" w:rsidR="008223B9" w:rsidRPr="000A1E5F" w:rsidRDefault="00C60ED3" w:rsidP="000A1E5F">
      <w:pPr>
        <w:pStyle w:val="Puesto"/>
      </w:pPr>
      <w:r w:rsidRPr="000A1E5F">
        <w:t>“</w:t>
      </w:r>
      <w:r w:rsidR="00E26B51" w:rsidRPr="000A1E5F">
        <w:t xml:space="preserve">La entrega de información incompleta constituye una violación al derecho humano de acceso a la información, reconocido en el artículo 6° de la Constitución Política de los Estados Unidos Mexicanos, y faculta al solicitante a interponer el recurso de revisión previsto en el artículo 180 de la </w:t>
      </w:r>
      <w:proofErr w:type="spellStart"/>
      <w:r w:rsidR="00E26B51" w:rsidRPr="000A1E5F">
        <w:t>LTAIPEMyM</w:t>
      </w:r>
      <w:proofErr w:type="spellEnd"/>
      <w:r w:rsidR="00E26B51" w:rsidRPr="000A1E5F">
        <w:t>, a fin de que el Instituto de Transparencia, Acceso a la Información Pública y Protección de Datos Personales del Estado de México y Municipios (INFOEM) ordene la entrega total de la información solicitada.</w:t>
      </w:r>
      <w:r w:rsidRPr="000A1E5F">
        <w:t xml:space="preserve">” </w:t>
      </w:r>
      <w:r w:rsidRPr="000A1E5F">
        <w:rPr>
          <w:i w:val="0"/>
        </w:rPr>
        <w:t>(Sic).</w:t>
      </w:r>
    </w:p>
    <w:p w14:paraId="0AE5F4B2" w14:textId="77777777" w:rsidR="008223B9" w:rsidRPr="000A1E5F" w:rsidRDefault="008223B9" w:rsidP="000A1E5F"/>
    <w:p w14:paraId="32E8F920" w14:textId="77777777" w:rsidR="008223B9" w:rsidRPr="000A1E5F" w:rsidRDefault="00C60ED3" w:rsidP="000A1E5F">
      <w:pPr>
        <w:pStyle w:val="Ttulo3"/>
        <w:spacing w:line="360" w:lineRule="auto"/>
      </w:pPr>
      <w:bookmarkStart w:id="10" w:name="_Toc207226098"/>
      <w:r w:rsidRPr="000A1E5F">
        <w:t>b) Turno del Recurso de Revisión.</w:t>
      </w:r>
      <w:bookmarkEnd w:id="10"/>
    </w:p>
    <w:p w14:paraId="2EAA1DC3" w14:textId="2FCC392A" w:rsidR="008223B9" w:rsidRPr="000A1E5F" w:rsidRDefault="00C60ED3" w:rsidP="000A1E5F">
      <w:r w:rsidRPr="000A1E5F">
        <w:t>Con fundamento en el artículo 185, fracción I de la Ley de Transparencia y Acceso a la Información Pública del Estado de México y Municipios, el</w:t>
      </w:r>
      <w:r w:rsidRPr="000A1E5F">
        <w:rPr>
          <w:b/>
        </w:rPr>
        <w:t xml:space="preserve"> </w:t>
      </w:r>
      <w:r w:rsidR="00B87FA9" w:rsidRPr="000A1E5F">
        <w:rPr>
          <w:b/>
        </w:rPr>
        <w:t>dieciocho</w:t>
      </w:r>
      <w:r w:rsidRPr="000A1E5F">
        <w:rPr>
          <w:b/>
        </w:rPr>
        <w:t xml:space="preserve"> de </w:t>
      </w:r>
      <w:r w:rsidR="006D6FEB" w:rsidRPr="000A1E5F">
        <w:rPr>
          <w:b/>
        </w:rPr>
        <w:t>jul</w:t>
      </w:r>
      <w:r w:rsidR="00290927" w:rsidRPr="000A1E5F">
        <w:rPr>
          <w:b/>
        </w:rPr>
        <w:t>io</w:t>
      </w:r>
      <w:r w:rsidRPr="000A1E5F">
        <w:rPr>
          <w:b/>
        </w:rPr>
        <w:t xml:space="preserve"> de dos mil veinticinco</w:t>
      </w:r>
      <w:r w:rsidRPr="000A1E5F">
        <w:t xml:space="preserve"> se turnó el recurso de revisión a través del SAIMEX a la </w:t>
      </w:r>
      <w:r w:rsidRPr="000A1E5F">
        <w:rPr>
          <w:b/>
        </w:rPr>
        <w:t>Comisionada Sharon Cristina Morales Martínez</w:t>
      </w:r>
      <w:r w:rsidRPr="000A1E5F">
        <w:t>, a efecto de decretar su admisión o desechamiento.</w:t>
      </w:r>
    </w:p>
    <w:p w14:paraId="4F449336" w14:textId="77777777" w:rsidR="008223B9" w:rsidRPr="000A1E5F" w:rsidRDefault="008223B9" w:rsidP="000A1E5F"/>
    <w:p w14:paraId="14D06280" w14:textId="77777777" w:rsidR="008223B9" w:rsidRPr="000A1E5F" w:rsidRDefault="00C60ED3" w:rsidP="000A1E5F">
      <w:pPr>
        <w:pStyle w:val="Ttulo3"/>
        <w:spacing w:line="360" w:lineRule="auto"/>
      </w:pPr>
      <w:bookmarkStart w:id="11" w:name="_Toc207226099"/>
      <w:r w:rsidRPr="000A1E5F">
        <w:t>c) Admisión del Recurso de Revisión.</w:t>
      </w:r>
      <w:bookmarkEnd w:id="11"/>
    </w:p>
    <w:p w14:paraId="195F80D9" w14:textId="4304EA53" w:rsidR="008223B9" w:rsidRPr="000A1E5F" w:rsidRDefault="00C60ED3" w:rsidP="000A1E5F">
      <w:r w:rsidRPr="000A1E5F">
        <w:t xml:space="preserve">El </w:t>
      </w:r>
      <w:r w:rsidR="00E26B51" w:rsidRPr="000A1E5F">
        <w:rPr>
          <w:b/>
        </w:rPr>
        <w:t>cinco</w:t>
      </w:r>
      <w:r w:rsidRPr="000A1E5F">
        <w:rPr>
          <w:b/>
        </w:rPr>
        <w:t xml:space="preserve"> de </w:t>
      </w:r>
      <w:r w:rsidR="00E26B51" w:rsidRPr="000A1E5F">
        <w:rPr>
          <w:b/>
        </w:rPr>
        <w:t>agosto</w:t>
      </w:r>
      <w:r w:rsidRPr="000A1E5F">
        <w:rPr>
          <w:b/>
        </w:rPr>
        <w:t xml:space="preserve"> de dos mil veinticinco</w:t>
      </w:r>
      <w:r w:rsidRPr="000A1E5F">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1BB590F" w14:textId="77777777" w:rsidR="008223B9" w:rsidRPr="000A1E5F" w:rsidRDefault="00C60ED3" w:rsidP="000A1E5F">
      <w:pPr>
        <w:pStyle w:val="Ttulo3"/>
        <w:spacing w:line="360" w:lineRule="auto"/>
      </w:pPr>
      <w:bookmarkStart w:id="12" w:name="_Toc207226100"/>
      <w:r w:rsidRPr="000A1E5F">
        <w:lastRenderedPageBreak/>
        <w:t>d) Informe Justificado del Sujeto Obligado.</w:t>
      </w:r>
      <w:bookmarkEnd w:id="12"/>
    </w:p>
    <w:p w14:paraId="2B5454D0" w14:textId="54B3669B" w:rsidR="008223B9" w:rsidRPr="000A1E5F" w:rsidRDefault="00C60ED3" w:rsidP="000A1E5F">
      <w:r w:rsidRPr="000A1E5F">
        <w:t xml:space="preserve">El </w:t>
      </w:r>
      <w:r w:rsidR="00B87FA9" w:rsidRPr="000A1E5F">
        <w:rPr>
          <w:b/>
        </w:rPr>
        <w:t>catorce</w:t>
      </w:r>
      <w:r w:rsidRPr="000A1E5F">
        <w:rPr>
          <w:b/>
        </w:rPr>
        <w:t xml:space="preserve"> de </w:t>
      </w:r>
      <w:r w:rsidR="006D6FEB" w:rsidRPr="000A1E5F">
        <w:rPr>
          <w:b/>
        </w:rPr>
        <w:t>agosto</w:t>
      </w:r>
      <w:r w:rsidRPr="000A1E5F">
        <w:rPr>
          <w:b/>
        </w:rPr>
        <w:t xml:space="preserve"> de dos mil veinticinco EL SUJETO OBLIGADO</w:t>
      </w:r>
      <w:r w:rsidRPr="000A1E5F">
        <w:t xml:space="preserve"> remitió conforme a su derecho, los archivos digitales denominados que se describen a continuación:</w:t>
      </w:r>
    </w:p>
    <w:p w14:paraId="5D468A86" w14:textId="77777777" w:rsidR="008223B9" w:rsidRPr="000A1E5F" w:rsidRDefault="008223B9" w:rsidP="000A1E5F"/>
    <w:p w14:paraId="78CE8440" w14:textId="3C225E0A" w:rsidR="00FD4292" w:rsidRPr="000A1E5F" w:rsidRDefault="00C60ED3" w:rsidP="000A1E5F">
      <w:pPr>
        <w:numPr>
          <w:ilvl w:val="0"/>
          <w:numId w:val="3"/>
        </w:numPr>
        <w:pBdr>
          <w:top w:val="nil"/>
          <w:left w:val="nil"/>
          <w:bottom w:val="nil"/>
          <w:right w:val="nil"/>
          <w:between w:val="nil"/>
        </w:pBdr>
        <w:rPr>
          <w:rFonts w:eastAsia="Palatino Linotype" w:cs="Palatino Linotype"/>
          <w:szCs w:val="22"/>
        </w:rPr>
      </w:pPr>
      <w:r w:rsidRPr="000A1E5F">
        <w:rPr>
          <w:rFonts w:eastAsia="Palatino Linotype" w:cs="Palatino Linotype"/>
          <w:b/>
          <w:i/>
          <w:szCs w:val="22"/>
        </w:rPr>
        <w:t>“</w:t>
      </w:r>
      <w:r w:rsidR="00E26B51" w:rsidRPr="000A1E5F">
        <w:rPr>
          <w:rFonts w:eastAsia="Palatino Linotype" w:cs="Palatino Linotype"/>
          <w:b/>
          <w:i/>
          <w:szCs w:val="22"/>
        </w:rPr>
        <w:t>INFORME JUSTIFICADO_SOL141_RR08767.pdf</w:t>
      </w:r>
      <w:r w:rsidRPr="000A1E5F">
        <w:rPr>
          <w:rFonts w:eastAsia="Palatino Linotype" w:cs="Palatino Linotype"/>
          <w:b/>
          <w:i/>
          <w:szCs w:val="22"/>
        </w:rPr>
        <w:t>“</w:t>
      </w:r>
      <w:r w:rsidRPr="000A1E5F">
        <w:rPr>
          <w:rFonts w:eastAsia="Palatino Linotype" w:cs="Palatino Linotype"/>
          <w:szCs w:val="22"/>
        </w:rPr>
        <w:t>: documento que contiene</w:t>
      </w:r>
      <w:r w:rsidR="006D6FEB" w:rsidRPr="000A1E5F">
        <w:rPr>
          <w:rFonts w:eastAsia="Palatino Linotype" w:cs="Palatino Linotype"/>
          <w:szCs w:val="22"/>
        </w:rPr>
        <w:t xml:space="preserve"> el informe justificado </w:t>
      </w:r>
      <w:r w:rsidR="00E26B51" w:rsidRPr="000A1E5F">
        <w:rPr>
          <w:rFonts w:eastAsia="Palatino Linotype" w:cs="Palatino Linotype"/>
          <w:szCs w:val="22"/>
        </w:rPr>
        <w:t>Titular de la Unidad de Transparencia, por medio del cual ratifica la respuesta primigenia; asimismo, indica que la Secretaría del Ayuntamiento, como información complementaria, remite una tabla que contiene la relación de los vehículos de la Dirección de Seguridad Pública, Desarrollo Vial y Tránsito.</w:t>
      </w:r>
    </w:p>
    <w:p w14:paraId="473F732B" w14:textId="77777777" w:rsidR="007E4814" w:rsidRPr="000A1E5F" w:rsidRDefault="007E4814" w:rsidP="000A1E5F">
      <w:pPr>
        <w:pBdr>
          <w:top w:val="nil"/>
          <w:left w:val="nil"/>
          <w:bottom w:val="nil"/>
          <w:right w:val="nil"/>
          <w:between w:val="nil"/>
        </w:pBdr>
        <w:ind w:left="720"/>
        <w:rPr>
          <w:rFonts w:eastAsia="Palatino Linotype" w:cs="Palatino Linotype"/>
          <w:szCs w:val="22"/>
        </w:rPr>
      </w:pPr>
    </w:p>
    <w:p w14:paraId="7BE8F213" w14:textId="67E28CCF" w:rsidR="007E4814" w:rsidRPr="000A1E5F" w:rsidRDefault="007E4814" w:rsidP="000A1E5F">
      <w:pPr>
        <w:pBdr>
          <w:top w:val="nil"/>
          <w:left w:val="nil"/>
          <w:bottom w:val="nil"/>
          <w:right w:val="nil"/>
          <w:between w:val="nil"/>
        </w:pBdr>
        <w:ind w:left="720"/>
        <w:rPr>
          <w:rFonts w:eastAsia="Palatino Linotype" w:cs="Palatino Linotype"/>
          <w:szCs w:val="22"/>
        </w:rPr>
      </w:pPr>
      <w:r w:rsidRPr="000A1E5F">
        <w:rPr>
          <w:rFonts w:eastAsia="Palatino Linotype" w:cs="Palatino Linotype"/>
          <w:szCs w:val="22"/>
        </w:rPr>
        <w:t>Por otra parte, se remite el oficio PMIX/UTAIPM/0518/2025, firmado por el Titular de la Unidad de Transparencia y Acceso a la Información Pública Municipal, por el cual solicita a la Secretaria del Ayuntamiento turnar a quien corresponda la solicitud del particular, con el fin de que se proporcionada la relación de las patrullas que se encuentran en función.</w:t>
      </w:r>
    </w:p>
    <w:p w14:paraId="7940D52F" w14:textId="77777777" w:rsidR="007E4814" w:rsidRPr="000A1E5F" w:rsidRDefault="007E4814" w:rsidP="000A1E5F">
      <w:pPr>
        <w:pBdr>
          <w:top w:val="nil"/>
          <w:left w:val="nil"/>
          <w:bottom w:val="nil"/>
          <w:right w:val="nil"/>
          <w:between w:val="nil"/>
        </w:pBdr>
        <w:ind w:left="720"/>
        <w:rPr>
          <w:rFonts w:eastAsia="Palatino Linotype" w:cs="Palatino Linotype"/>
          <w:szCs w:val="22"/>
        </w:rPr>
      </w:pPr>
    </w:p>
    <w:p w14:paraId="683225A4" w14:textId="6DA5F194" w:rsidR="007E4814" w:rsidRPr="000A1E5F" w:rsidRDefault="007E4814" w:rsidP="000A1E5F">
      <w:pPr>
        <w:pBdr>
          <w:top w:val="nil"/>
          <w:left w:val="nil"/>
          <w:bottom w:val="nil"/>
          <w:right w:val="nil"/>
          <w:between w:val="nil"/>
        </w:pBdr>
        <w:ind w:left="720"/>
        <w:rPr>
          <w:rFonts w:eastAsia="Palatino Linotype" w:cs="Palatino Linotype"/>
          <w:szCs w:val="22"/>
        </w:rPr>
      </w:pPr>
      <w:r w:rsidRPr="000A1E5F">
        <w:rPr>
          <w:rFonts w:eastAsia="Palatino Linotype" w:cs="Palatino Linotype"/>
          <w:szCs w:val="22"/>
        </w:rPr>
        <w:t xml:space="preserve">En virtud de lo anterior, se adjuntó el oficio PM/SA/815/2025, suscrito por la Secretaria del Ayuntamiento, en el que proporciona una relación de los vehículos de seguridad pública en funciones. </w:t>
      </w:r>
    </w:p>
    <w:p w14:paraId="12319F9F" w14:textId="77777777" w:rsidR="007E4814" w:rsidRPr="000A1E5F" w:rsidRDefault="007E4814" w:rsidP="000A1E5F">
      <w:pPr>
        <w:pBdr>
          <w:top w:val="nil"/>
          <w:left w:val="nil"/>
          <w:bottom w:val="nil"/>
          <w:right w:val="nil"/>
          <w:between w:val="nil"/>
        </w:pBdr>
        <w:ind w:left="720"/>
        <w:rPr>
          <w:rFonts w:eastAsia="Palatino Linotype" w:cs="Palatino Linotype"/>
          <w:szCs w:val="22"/>
        </w:rPr>
      </w:pPr>
    </w:p>
    <w:p w14:paraId="14C55D1F" w14:textId="1E0F2442" w:rsidR="007E4814" w:rsidRPr="000A1E5F" w:rsidRDefault="007E4814" w:rsidP="000A1E5F">
      <w:pPr>
        <w:pBdr>
          <w:top w:val="nil"/>
          <w:left w:val="nil"/>
          <w:bottom w:val="nil"/>
          <w:right w:val="nil"/>
          <w:between w:val="nil"/>
        </w:pBdr>
        <w:ind w:left="720"/>
        <w:rPr>
          <w:rFonts w:eastAsia="Palatino Linotype" w:cs="Palatino Linotype"/>
          <w:szCs w:val="22"/>
        </w:rPr>
      </w:pPr>
      <w:r w:rsidRPr="000A1E5F">
        <w:rPr>
          <w:rFonts w:eastAsia="Palatino Linotype" w:cs="Palatino Linotype"/>
          <w:szCs w:val="22"/>
        </w:rPr>
        <w:t>Finalmente, se anexa el acta de la trigésima sesión ordinaria del Comité de Transparencia, por la cual se aprueba la clasificación como información reservada de las características técnicas de los vehículos que realizan actividades en materia de seguridad pública.</w:t>
      </w:r>
    </w:p>
    <w:p w14:paraId="30F0A46E" w14:textId="77777777" w:rsidR="006D6FEB" w:rsidRPr="000A1E5F" w:rsidRDefault="006D6FEB" w:rsidP="000A1E5F">
      <w:pPr>
        <w:rPr>
          <w:rFonts w:eastAsia="Palatino Linotype" w:cs="Palatino Linotype"/>
          <w:b/>
          <w:i/>
          <w:szCs w:val="22"/>
        </w:rPr>
      </w:pPr>
    </w:p>
    <w:p w14:paraId="4D90B8F5" w14:textId="75E40E97" w:rsidR="008223B9" w:rsidRPr="000A1E5F" w:rsidRDefault="00C60ED3" w:rsidP="000A1E5F">
      <w:r w:rsidRPr="000A1E5F">
        <w:lastRenderedPageBreak/>
        <w:t xml:space="preserve">Esta información fue puesta a la vista de </w:t>
      </w:r>
      <w:r w:rsidRPr="000A1E5F">
        <w:rPr>
          <w:b/>
        </w:rPr>
        <w:t xml:space="preserve">LA PARTE RECURRENTE </w:t>
      </w:r>
      <w:r w:rsidRPr="000A1E5F">
        <w:t xml:space="preserve">el </w:t>
      </w:r>
      <w:r w:rsidR="007E4814" w:rsidRPr="000A1E5F">
        <w:rPr>
          <w:b/>
        </w:rPr>
        <w:t>diecinueve</w:t>
      </w:r>
      <w:r w:rsidRPr="000A1E5F">
        <w:rPr>
          <w:b/>
        </w:rPr>
        <w:t xml:space="preserve"> de </w:t>
      </w:r>
      <w:r w:rsidR="00F94356" w:rsidRPr="000A1E5F">
        <w:rPr>
          <w:b/>
        </w:rPr>
        <w:t>agosto</w:t>
      </w:r>
      <w:r w:rsidRPr="000A1E5F">
        <w:rPr>
          <w:b/>
        </w:rPr>
        <w:t xml:space="preserve"> de dos mil veinticinco,</w:t>
      </w:r>
      <w:r w:rsidRPr="000A1E5F">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4414659F" w14:textId="77777777" w:rsidR="008223B9" w:rsidRPr="000A1E5F" w:rsidRDefault="008223B9" w:rsidP="000A1E5F"/>
    <w:p w14:paraId="5D8B5DB3" w14:textId="77777777" w:rsidR="008223B9" w:rsidRPr="000A1E5F" w:rsidRDefault="00C60ED3" w:rsidP="000A1E5F">
      <w:pPr>
        <w:pStyle w:val="Ttulo3"/>
        <w:spacing w:line="360" w:lineRule="auto"/>
      </w:pPr>
      <w:bookmarkStart w:id="13" w:name="_Toc207226101"/>
      <w:r w:rsidRPr="000A1E5F">
        <w:t>e) Manifestaciones de la Parte Recurrente.</w:t>
      </w:r>
      <w:bookmarkEnd w:id="13"/>
    </w:p>
    <w:p w14:paraId="46968D2B" w14:textId="77777777" w:rsidR="008223B9" w:rsidRPr="000A1E5F" w:rsidRDefault="00C60ED3" w:rsidP="000A1E5F">
      <w:bookmarkStart w:id="14" w:name="_heading=h.26in1rg" w:colFirst="0" w:colLast="0"/>
      <w:bookmarkEnd w:id="14"/>
      <w:r w:rsidRPr="000A1E5F">
        <w:rPr>
          <w:b/>
        </w:rPr>
        <w:t xml:space="preserve">LA PARTE RECURRENTE </w:t>
      </w:r>
      <w:r w:rsidRPr="000A1E5F">
        <w:t>no realizó manifestación alguna dentro del término legalmente concedido para tal efecto, ni presentó pruebas o alegatos.</w:t>
      </w:r>
    </w:p>
    <w:p w14:paraId="52BC7EB2" w14:textId="77777777" w:rsidR="008223B9" w:rsidRPr="000A1E5F" w:rsidRDefault="008223B9" w:rsidP="000A1E5F">
      <w:bookmarkStart w:id="15" w:name="_heading=h.gfjhywc53qj5" w:colFirst="0" w:colLast="0"/>
      <w:bookmarkEnd w:id="15"/>
    </w:p>
    <w:p w14:paraId="2455636F" w14:textId="77777777" w:rsidR="008223B9" w:rsidRPr="000A1E5F" w:rsidRDefault="00C60ED3" w:rsidP="000A1E5F">
      <w:pPr>
        <w:pStyle w:val="Ttulo3"/>
        <w:spacing w:line="360" w:lineRule="auto"/>
      </w:pPr>
      <w:bookmarkStart w:id="16" w:name="_Toc207226102"/>
      <w:r w:rsidRPr="000A1E5F">
        <w:t>f) Cierre de instrucción.</w:t>
      </w:r>
      <w:bookmarkEnd w:id="16"/>
    </w:p>
    <w:p w14:paraId="7AD45AF5" w14:textId="50F924CE" w:rsidR="008223B9" w:rsidRPr="000A1E5F" w:rsidRDefault="00C60ED3" w:rsidP="000A1E5F">
      <w:bookmarkStart w:id="17" w:name="_heading=h.35nkun2" w:colFirst="0" w:colLast="0"/>
      <w:bookmarkEnd w:id="17"/>
      <w:r w:rsidRPr="000A1E5F">
        <w:t xml:space="preserve">Al no existir diligencias pendientes por desahogar, el </w:t>
      </w:r>
      <w:r w:rsidR="007E4814" w:rsidRPr="000A1E5F">
        <w:rPr>
          <w:b/>
        </w:rPr>
        <w:t>veintiséis</w:t>
      </w:r>
      <w:r w:rsidRPr="000A1E5F">
        <w:rPr>
          <w:b/>
        </w:rPr>
        <w:t xml:space="preserve"> de </w:t>
      </w:r>
      <w:r w:rsidR="00B913B6" w:rsidRPr="000A1E5F">
        <w:rPr>
          <w:b/>
        </w:rPr>
        <w:t>agosto</w:t>
      </w:r>
      <w:r w:rsidRPr="000A1E5F">
        <w:rPr>
          <w:b/>
        </w:rPr>
        <w:t xml:space="preserve"> de dos mil veinticinco</w:t>
      </w:r>
      <w:r w:rsidRPr="000A1E5F">
        <w:t xml:space="preserve"> la </w:t>
      </w:r>
      <w:r w:rsidRPr="000A1E5F">
        <w:rPr>
          <w:b/>
        </w:rPr>
        <w:t xml:space="preserve">Comisionada Sharon Cristina Morales Martínez </w:t>
      </w:r>
      <w:r w:rsidRPr="000A1E5F">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0A1E5F">
        <w:rPr>
          <w:b/>
        </w:rPr>
        <w:t>SAIMEX</w:t>
      </w:r>
      <w:r w:rsidRPr="000A1E5F">
        <w:t>.</w:t>
      </w:r>
    </w:p>
    <w:p w14:paraId="3FB26DB4" w14:textId="77777777" w:rsidR="008223B9" w:rsidRPr="000A1E5F" w:rsidRDefault="008223B9" w:rsidP="000A1E5F"/>
    <w:p w14:paraId="3B27603E" w14:textId="77777777" w:rsidR="008223B9" w:rsidRPr="000A1E5F" w:rsidRDefault="00C60ED3" w:rsidP="000A1E5F">
      <w:pPr>
        <w:pStyle w:val="Ttulo1"/>
      </w:pPr>
      <w:bookmarkStart w:id="18" w:name="_Toc207226103"/>
      <w:r w:rsidRPr="000A1E5F">
        <w:t>CONSIDERANDOS</w:t>
      </w:r>
      <w:bookmarkEnd w:id="18"/>
    </w:p>
    <w:p w14:paraId="70A3F9CC" w14:textId="77777777" w:rsidR="008223B9" w:rsidRPr="000A1E5F" w:rsidRDefault="008223B9" w:rsidP="000A1E5F">
      <w:pPr>
        <w:jc w:val="center"/>
        <w:rPr>
          <w:b/>
        </w:rPr>
      </w:pPr>
    </w:p>
    <w:p w14:paraId="5DB2E7B1" w14:textId="77777777" w:rsidR="008223B9" w:rsidRPr="000A1E5F" w:rsidRDefault="00C60ED3" w:rsidP="000A1E5F">
      <w:pPr>
        <w:pStyle w:val="Ttulo2"/>
      </w:pPr>
      <w:bookmarkStart w:id="19" w:name="_Toc207226104"/>
      <w:r w:rsidRPr="000A1E5F">
        <w:t>PRIMERO. Procedibilidad</w:t>
      </w:r>
      <w:bookmarkEnd w:id="19"/>
    </w:p>
    <w:p w14:paraId="336F5063" w14:textId="77777777" w:rsidR="008223B9" w:rsidRPr="000A1E5F" w:rsidRDefault="00C60ED3" w:rsidP="000A1E5F">
      <w:pPr>
        <w:pStyle w:val="Ttulo3"/>
        <w:spacing w:line="360" w:lineRule="auto"/>
      </w:pPr>
      <w:bookmarkStart w:id="20" w:name="_Toc207226105"/>
      <w:r w:rsidRPr="000A1E5F">
        <w:t>a) Competencia del Instituto.</w:t>
      </w:r>
      <w:bookmarkEnd w:id="20"/>
    </w:p>
    <w:p w14:paraId="506BACB2" w14:textId="77777777" w:rsidR="008223B9" w:rsidRPr="000A1E5F" w:rsidRDefault="00C60ED3" w:rsidP="000A1E5F">
      <w:r w:rsidRPr="000A1E5F">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w:t>
      </w:r>
      <w:r w:rsidRPr="000A1E5F">
        <w:lastRenderedPageBreak/>
        <w:t>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DCD147C" w14:textId="77777777" w:rsidR="008223B9" w:rsidRPr="000A1E5F" w:rsidRDefault="008223B9" w:rsidP="000A1E5F"/>
    <w:p w14:paraId="4F97C17F" w14:textId="77777777" w:rsidR="008223B9" w:rsidRPr="000A1E5F" w:rsidRDefault="00C60ED3" w:rsidP="000A1E5F">
      <w:pPr>
        <w:pStyle w:val="Ttulo3"/>
        <w:spacing w:line="360" w:lineRule="auto"/>
      </w:pPr>
      <w:bookmarkStart w:id="21" w:name="_Toc207226106"/>
      <w:r w:rsidRPr="000A1E5F">
        <w:t>b) Legitimidad de la parte recurrente.</w:t>
      </w:r>
      <w:bookmarkEnd w:id="21"/>
    </w:p>
    <w:p w14:paraId="0BE706EC" w14:textId="77777777" w:rsidR="008223B9" w:rsidRPr="000A1E5F" w:rsidRDefault="00C60ED3" w:rsidP="000A1E5F">
      <w:r w:rsidRPr="000A1E5F">
        <w:t>El recurso de revisión fue interpuesto por parte legítima, ya que se presentó por la misma persona que formuló la solicitud de acceso a la Información Pública,</w:t>
      </w:r>
      <w:r w:rsidRPr="000A1E5F">
        <w:rPr>
          <w:b/>
        </w:rPr>
        <w:t xml:space="preserve"> </w:t>
      </w:r>
      <w:r w:rsidRPr="000A1E5F">
        <w:t>debido a que los datos de acceso</w:t>
      </w:r>
      <w:r w:rsidRPr="000A1E5F">
        <w:rPr>
          <w:b/>
        </w:rPr>
        <w:t xml:space="preserve"> SAIMEX</w:t>
      </w:r>
      <w:r w:rsidRPr="000A1E5F">
        <w:t xml:space="preserve"> son personales e irrepetibles.</w:t>
      </w:r>
    </w:p>
    <w:p w14:paraId="390140C9" w14:textId="77777777" w:rsidR="008223B9" w:rsidRPr="000A1E5F" w:rsidRDefault="008223B9" w:rsidP="000A1E5F"/>
    <w:p w14:paraId="001F2994" w14:textId="77777777" w:rsidR="008223B9" w:rsidRPr="000A1E5F" w:rsidRDefault="00C60ED3" w:rsidP="000A1E5F">
      <w:pPr>
        <w:pStyle w:val="Ttulo3"/>
        <w:spacing w:line="360" w:lineRule="auto"/>
      </w:pPr>
      <w:bookmarkStart w:id="22" w:name="_Toc207226107"/>
      <w:r w:rsidRPr="000A1E5F">
        <w:t>c) Plazo para interponer el recurso.</w:t>
      </w:r>
      <w:bookmarkEnd w:id="22"/>
    </w:p>
    <w:p w14:paraId="3320DC51" w14:textId="07539AD5" w:rsidR="00B913B6" w:rsidRPr="000A1E5F" w:rsidRDefault="00B913B6" w:rsidP="000A1E5F">
      <w:bookmarkStart w:id="23" w:name="_heading=h.1y810tw" w:colFirst="0" w:colLast="0"/>
      <w:bookmarkEnd w:id="23"/>
      <w:r w:rsidRPr="000A1E5F">
        <w:rPr>
          <w:b/>
        </w:rPr>
        <w:t>EL SUJETO OBLIGADO</w:t>
      </w:r>
      <w:r w:rsidRPr="000A1E5F">
        <w:t xml:space="preserve"> notificó la respuesta a la solicitud de acceso a la Información Pública el </w:t>
      </w:r>
      <w:r w:rsidR="007E4814" w:rsidRPr="000A1E5F">
        <w:rPr>
          <w:b/>
        </w:rPr>
        <w:t>dieciséis</w:t>
      </w:r>
      <w:r w:rsidR="008A409D" w:rsidRPr="000A1E5F">
        <w:rPr>
          <w:b/>
        </w:rPr>
        <w:t xml:space="preserve"> </w:t>
      </w:r>
      <w:r w:rsidRPr="000A1E5F">
        <w:rPr>
          <w:b/>
        </w:rPr>
        <w:t xml:space="preserve">de </w:t>
      </w:r>
      <w:r w:rsidR="00D02A76" w:rsidRPr="000A1E5F">
        <w:rPr>
          <w:b/>
        </w:rPr>
        <w:t>julio</w:t>
      </w:r>
      <w:r w:rsidRPr="000A1E5F">
        <w:rPr>
          <w:b/>
        </w:rPr>
        <w:t xml:space="preserve"> de dos mil veinticinco</w:t>
      </w:r>
      <w:r w:rsidRPr="000A1E5F">
        <w:t xml:space="preserve"> y el recurso que nos ocupa se tuvo por interpuesto el </w:t>
      </w:r>
      <w:r w:rsidR="007E4814" w:rsidRPr="000A1E5F">
        <w:rPr>
          <w:b/>
        </w:rPr>
        <w:t>dieciocho</w:t>
      </w:r>
      <w:r w:rsidR="0005338C" w:rsidRPr="000A1E5F">
        <w:rPr>
          <w:b/>
        </w:rPr>
        <w:t xml:space="preserve"> </w:t>
      </w:r>
      <w:r w:rsidR="00D02A76" w:rsidRPr="000A1E5F">
        <w:rPr>
          <w:b/>
        </w:rPr>
        <w:t>de jul</w:t>
      </w:r>
      <w:r w:rsidRPr="000A1E5F">
        <w:rPr>
          <w:b/>
        </w:rPr>
        <w:t>io de dos mil veinticinco</w:t>
      </w:r>
      <w:r w:rsidRPr="000A1E5F">
        <w:t xml:space="preserve"> por lo tanto, éste se encuentra dentro del margen temporal previsto en el artículo 178 de la Ley de Transparencia y Acceso a la Información Pública del Estado de México y Municipios.</w:t>
      </w:r>
    </w:p>
    <w:p w14:paraId="535A3BEA" w14:textId="77777777" w:rsidR="008223B9" w:rsidRPr="000A1E5F" w:rsidRDefault="008223B9" w:rsidP="000A1E5F"/>
    <w:p w14:paraId="47B95CEB" w14:textId="77777777" w:rsidR="008223B9" w:rsidRPr="000A1E5F" w:rsidRDefault="00C60ED3" w:rsidP="000A1E5F">
      <w:pPr>
        <w:pStyle w:val="Ttulo3"/>
        <w:spacing w:line="360" w:lineRule="auto"/>
      </w:pPr>
      <w:bookmarkStart w:id="24" w:name="_Toc207226108"/>
      <w:r w:rsidRPr="000A1E5F">
        <w:t>d) Causal de procedencia.</w:t>
      </w:r>
      <w:bookmarkEnd w:id="24"/>
    </w:p>
    <w:p w14:paraId="2D2E8634" w14:textId="2D67895D" w:rsidR="008223B9" w:rsidRPr="000A1E5F" w:rsidRDefault="00C60ED3" w:rsidP="000A1E5F">
      <w:r w:rsidRPr="000A1E5F">
        <w:t>Resulta procedente la interposición del recurso de revisión, ya que se actualiza la causal de procedencia señalad</w:t>
      </w:r>
      <w:r w:rsidR="00AB1524" w:rsidRPr="000A1E5F">
        <w:t xml:space="preserve">a en el artículo 179, fracción </w:t>
      </w:r>
      <w:r w:rsidR="008A409D" w:rsidRPr="000A1E5F">
        <w:t>V</w:t>
      </w:r>
      <w:r w:rsidRPr="000A1E5F">
        <w:t xml:space="preserve"> de la Ley de Transparencia y Acceso a la Información Pública del Estado de México y Municipios.</w:t>
      </w:r>
    </w:p>
    <w:p w14:paraId="6CDF42C4" w14:textId="77777777" w:rsidR="008223B9" w:rsidRPr="000A1E5F" w:rsidRDefault="008223B9" w:rsidP="000A1E5F"/>
    <w:p w14:paraId="4C115D27" w14:textId="77777777" w:rsidR="008223B9" w:rsidRPr="000A1E5F" w:rsidRDefault="00C60ED3" w:rsidP="000A1E5F">
      <w:pPr>
        <w:pStyle w:val="Ttulo3"/>
        <w:spacing w:line="360" w:lineRule="auto"/>
      </w:pPr>
      <w:bookmarkStart w:id="25" w:name="_Toc207226109"/>
      <w:r w:rsidRPr="000A1E5F">
        <w:t>e) Requisitos formales para la interposición del recurso.</w:t>
      </w:r>
      <w:bookmarkEnd w:id="25"/>
    </w:p>
    <w:p w14:paraId="16E54276" w14:textId="77777777" w:rsidR="0005338C" w:rsidRPr="000A1E5F" w:rsidRDefault="0005338C" w:rsidP="000A1E5F">
      <w:r w:rsidRPr="000A1E5F">
        <w:rPr>
          <w:b/>
        </w:rPr>
        <w:t xml:space="preserve">LA PARTE RECURRENTE </w:t>
      </w:r>
      <w:r w:rsidRPr="000A1E5F">
        <w:t>acreditó todos y cada uno de los elementos formales exigidos por el artículo 180 de la misma normatividad.</w:t>
      </w:r>
    </w:p>
    <w:p w14:paraId="252D8542" w14:textId="77777777" w:rsidR="008223B9" w:rsidRPr="000A1E5F" w:rsidRDefault="008223B9" w:rsidP="000A1E5F"/>
    <w:p w14:paraId="5E5E02FA" w14:textId="77777777" w:rsidR="008223B9" w:rsidRPr="000A1E5F" w:rsidRDefault="00C60ED3" w:rsidP="000A1E5F">
      <w:pPr>
        <w:pStyle w:val="Ttulo2"/>
      </w:pPr>
      <w:bookmarkStart w:id="26" w:name="_Toc207226110"/>
      <w:r w:rsidRPr="000A1E5F">
        <w:t>SEGUNDO. Estudio de Fondo.</w:t>
      </w:r>
      <w:bookmarkEnd w:id="26"/>
    </w:p>
    <w:p w14:paraId="57A50E08" w14:textId="77777777" w:rsidR="008223B9" w:rsidRPr="000A1E5F" w:rsidRDefault="00C60ED3" w:rsidP="000A1E5F">
      <w:pPr>
        <w:pStyle w:val="Ttulo3"/>
        <w:spacing w:line="360" w:lineRule="auto"/>
      </w:pPr>
      <w:bookmarkStart w:id="27" w:name="_Toc207226111"/>
      <w:r w:rsidRPr="000A1E5F">
        <w:t>a) Mandato de transparencia y responsabilidad del Sujeto Obligado.</w:t>
      </w:r>
      <w:bookmarkEnd w:id="27"/>
    </w:p>
    <w:p w14:paraId="7218213E" w14:textId="77777777" w:rsidR="008223B9" w:rsidRPr="000A1E5F" w:rsidRDefault="00C60ED3" w:rsidP="000A1E5F">
      <w:r w:rsidRPr="000A1E5F">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2C04DA6" w14:textId="77777777" w:rsidR="008223B9" w:rsidRPr="000A1E5F" w:rsidRDefault="008223B9" w:rsidP="000A1E5F"/>
    <w:p w14:paraId="466F922D" w14:textId="77777777" w:rsidR="008223B9" w:rsidRPr="000A1E5F" w:rsidRDefault="00C60ED3" w:rsidP="000A1E5F">
      <w:pPr>
        <w:spacing w:line="240" w:lineRule="auto"/>
        <w:ind w:left="567" w:right="539"/>
        <w:rPr>
          <w:b/>
          <w:i/>
        </w:rPr>
      </w:pPr>
      <w:r w:rsidRPr="000A1E5F">
        <w:rPr>
          <w:b/>
          <w:i/>
        </w:rPr>
        <w:t>Constitución Política de los Estados Unidos Mexicanos</w:t>
      </w:r>
    </w:p>
    <w:p w14:paraId="41479D04" w14:textId="77777777" w:rsidR="008223B9" w:rsidRPr="000A1E5F" w:rsidRDefault="00C60ED3" w:rsidP="000A1E5F">
      <w:pPr>
        <w:spacing w:line="240" w:lineRule="auto"/>
        <w:ind w:left="567" w:right="539"/>
        <w:rPr>
          <w:b/>
          <w:i/>
        </w:rPr>
      </w:pPr>
      <w:r w:rsidRPr="000A1E5F">
        <w:rPr>
          <w:b/>
          <w:i/>
        </w:rPr>
        <w:t>“Artículo 6.</w:t>
      </w:r>
    </w:p>
    <w:p w14:paraId="735F8608" w14:textId="77777777" w:rsidR="008223B9" w:rsidRPr="000A1E5F" w:rsidRDefault="00C60ED3" w:rsidP="000A1E5F">
      <w:pPr>
        <w:spacing w:line="240" w:lineRule="auto"/>
        <w:ind w:left="567" w:right="539"/>
        <w:rPr>
          <w:i/>
        </w:rPr>
      </w:pPr>
      <w:r w:rsidRPr="000A1E5F">
        <w:rPr>
          <w:i/>
        </w:rPr>
        <w:t>(…)</w:t>
      </w:r>
    </w:p>
    <w:p w14:paraId="32A5CA1B" w14:textId="77777777" w:rsidR="008223B9" w:rsidRPr="000A1E5F" w:rsidRDefault="00C60ED3" w:rsidP="000A1E5F">
      <w:pPr>
        <w:spacing w:line="240" w:lineRule="auto"/>
        <w:ind w:left="567" w:right="539"/>
        <w:rPr>
          <w:i/>
        </w:rPr>
      </w:pPr>
      <w:r w:rsidRPr="000A1E5F">
        <w:rPr>
          <w:i/>
        </w:rPr>
        <w:t>Para efectos de lo dispuesto en el presente artículo se observará lo siguiente:</w:t>
      </w:r>
    </w:p>
    <w:p w14:paraId="1D47488D" w14:textId="77777777" w:rsidR="008223B9" w:rsidRPr="000A1E5F" w:rsidRDefault="00C60ED3" w:rsidP="000A1E5F">
      <w:pPr>
        <w:spacing w:line="240" w:lineRule="auto"/>
        <w:ind w:left="567" w:right="539"/>
        <w:rPr>
          <w:b/>
          <w:i/>
        </w:rPr>
      </w:pPr>
      <w:r w:rsidRPr="000A1E5F">
        <w:rPr>
          <w:b/>
          <w:i/>
        </w:rPr>
        <w:t>A</w:t>
      </w:r>
      <w:r w:rsidRPr="000A1E5F">
        <w:rPr>
          <w:i/>
        </w:rPr>
        <w:t xml:space="preserve">. </w:t>
      </w:r>
      <w:r w:rsidRPr="000A1E5F">
        <w:rPr>
          <w:b/>
          <w:i/>
        </w:rPr>
        <w:t>Para el ejercicio del derecho de acceso a la información</w:t>
      </w:r>
      <w:r w:rsidRPr="000A1E5F">
        <w:rPr>
          <w:i/>
        </w:rPr>
        <w:t xml:space="preserve">, la Federación y </w:t>
      </w:r>
      <w:r w:rsidRPr="000A1E5F">
        <w:rPr>
          <w:b/>
          <w:i/>
        </w:rPr>
        <w:t>las entidades federativas, en el ámbito de sus respectivas competencias, se regirán por los siguientes principios y bases:</w:t>
      </w:r>
    </w:p>
    <w:p w14:paraId="52B6FB6C" w14:textId="77777777" w:rsidR="008223B9" w:rsidRPr="000A1E5F" w:rsidRDefault="00C60ED3" w:rsidP="000A1E5F">
      <w:pPr>
        <w:spacing w:line="240" w:lineRule="auto"/>
        <w:ind w:left="567" w:right="539"/>
        <w:rPr>
          <w:i/>
        </w:rPr>
      </w:pPr>
      <w:r w:rsidRPr="000A1E5F">
        <w:rPr>
          <w:b/>
          <w:i/>
        </w:rPr>
        <w:t xml:space="preserve">I. </w:t>
      </w:r>
      <w:r w:rsidRPr="000A1E5F">
        <w:rPr>
          <w:b/>
          <w:i/>
        </w:rPr>
        <w:tab/>
        <w:t>Toda la información en posesión de cualquier</w:t>
      </w:r>
      <w:r w:rsidRPr="000A1E5F">
        <w:rPr>
          <w:i/>
        </w:rPr>
        <w:t xml:space="preserve"> </w:t>
      </w:r>
      <w:r w:rsidRPr="000A1E5F">
        <w:rPr>
          <w:b/>
          <w:i/>
        </w:rPr>
        <w:t>autoridad</w:t>
      </w:r>
      <w:r w:rsidRPr="000A1E5F">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A1E5F">
        <w:rPr>
          <w:b/>
          <w:i/>
        </w:rPr>
        <w:t>municipal</w:t>
      </w:r>
      <w:r w:rsidRPr="000A1E5F">
        <w:rPr>
          <w:i/>
        </w:rPr>
        <w:t xml:space="preserve">, </w:t>
      </w:r>
      <w:r w:rsidRPr="000A1E5F">
        <w:rPr>
          <w:b/>
          <w:i/>
        </w:rPr>
        <w:t>es pública</w:t>
      </w:r>
      <w:r w:rsidRPr="000A1E5F">
        <w:rPr>
          <w:i/>
        </w:rPr>
        <w:t xml:space="preserve"> y sólo podrá ser reservada temporalmente por razones de interés público y seguridad nacional, en los términos que fijen las leyes. </w:t>
      </w:r>
      <w:r w:rsidRPr="000A1E5F">
        <w:rPr>
          <w:b/>
          <w:i/>
        </w:rPr>
        <w:t>En la interpretación de este derecho deberá prevalecer el principio de máxima publicidad. Los sujetos obligados deberán documentar todo acto que derive del ejercicio de sus facultades, competencias o funciones</w:t>
      </w:r>
      <w:r w:rsidRPr="000A1E5F">
        <w:rPr>
          <w:i/>
        </w:rPr>
        <w:t>, la ley determinará los supuestos específicos bajo los cuales procederá la declaración de inexistencia de la información.”</w:t>
      </w:r>
    </w:p>
    <w:p w14:paraId="50D852E6" w14:textId="77777777" w:rsidR="008223B9" w:rsidRPr="000A1E5F" w:rsidRDefault="008223B9" w:rsidP="000A1E5F">
      <w:pPr>
        <w:spacing w:line="240" w:lineRule="auto"/>
        <w:ind w:left="567" w:right="539"/>
        <w:rPr>
          <w:b/>
          <w:i/>
        </w:rPr>
      </w:pPr>
    </w:p>
    <w:p w14:paraId="15F11447" w14:textId="77777777" w:rsidR="008223B9" w:rsidRPr="000A1E5F" w:rsidRDefault="00C60ED3" w:rsidP="000A1E5F">
      <w:pPr>
        <w:spacing w:line="240" w:lineRule="auto"/>
        <w:ind w:left="567" w:right="539"/>
        <w:rPr>
          <w:b/>
          <w:i/>
        </w:rPr>
      </w:pPr>
      <w:r w:rsidRPr="000A1E5F">
        <w:rPr>
          <w:b/>
          <w:i/>
        </w:rPr>
        <w:t>Constitución Política del Estado Libre y Soberano de México</w:t>
      </w:r>
    </w:p>
    <w:p w14:paraId="5CA3AFA6" w14:textId="77777777" w:rsidR="008223B9" w:rsidRPr="000A1E5F" w:rsidRDefault="00C60ED3" w:rsidP="000A1E5F">
      <w:pPr>
        <w:spacing w:line="240" w:lineRule="auto"/>
        <w:ind w:left="567" w:right="539"/>
        <w:rPr>
          <w:i/>
        </w:rPr>
      </w:pPr>
      <w:r w:rsidRPr="000A1E5F">
        <w:rPr>
          <w:b/>
          <w:i/>
        </w:rPr>
        <w:t>“Artículo 5</w:t>
      </w:r>
      <w:r w:rsidRPr="000A1E5F">
        <w:rPr>
          <w:i/>
        </w:rPr>
        <w:t xml:space="preserve">.- </w:t>
      </w:r>
    </w:p>
    <w:p w14:paraId="0E965491" w14:textId="77777777" w:rsidR="008223B9" w:rsidRPr="000A1E5F" w:rsidRDefault="00C60ED3" w:rsidP="000A1E5F">
      <w:pPr>
        <w:spacing w:line="240" w:lineRule="auto"/>
        <w:ind w:left="567" w:right="539"/>
        <w:rPr>
          <w:i/>
        </w:rPr>
      </w:pPr>
      <w:r w:rsidRPr="000A1E5F">
        <w:rPr>
          <w:i/>
        </w:rPr>
        <w:t>(…)</w:t>
      </w:r>
    </w:p>
    <w:p w14:paraId="3836E950" w14:textId="77777777" w:rsidR="008223B9" w:rsidRPr="000A1E5F" w:rsidRDefault="00C60ED3" w:rsidP="000A1E5F">
      <w:pPr>
        <w:spacing w:line="240" w:lineRule="auto"/>
        <w:ind w:left="567" w:right="539"/>
        <w:rPr>
          <w:i/>
        </w:rPr>
      </w:pPr>
      <w:r w:rsidRPr="000A1E5F">
        <w:rPr>
          <w:b/>
          <w:i/>
        </w:rPr>
        <w:t>El derecho a la información será garantizado por el Estado. La ley establecerá las previsiones que permitan asegurar la protección, el respeto y la difusión de este derecho</w:t>
      </w:r>
      <w:r w:rsidRPr="000A1E5F">
        <w:rPr>
          <w:i/>
        </w:rPr>
        <w:t>.</w:t>
      </w:r>
    </w:p>
    <w:p w14:paraId="2DA1631A" w14:textId="77777777" w:rsidR="008223B9" w:rsidRPr="000A1E5F" w:rsidRDefault="00C60ED3" w:rsidP="000A1E5F">
      <w:pPr>
        <w:spacing w:line="240" w:lineRule="auto"/>
        <w:ind w:left="567" w:right="539"/>
        <w:rPr>
          <w:i/>
        </w:rPr>
      </w:pPr>
      <w:r w:rsidRPr="000A1E5F">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63A966" w14:textId="77777777" w:rsidR="008223B9" w:rsidRPr="000A1E5F" w:rsidRDefault="00C60ED3" w:rsidP="000A1E5F">
      <w:pPr>
        <w:spacing w:line="240" w:lineRule="auto"/>
        <w:ind w:left="567" w:right="539"/>
        <w:rPr>
          <w:i/>
        </w:rPr>
      </w:pPr>
      <w:r w:rsidRPr="000A1E5F">
        <w:rPr>
          <w:b/>
          <w:i/>
        </w:rPr>
        <w:lastRenderedPageBreak/>
        <w:t>Este derecho se regirá por los principios y bases siguientes</w:t>
      </w:r>
      <w:r w:rsidRPr="000A1E5F">
        <w:rPr>
          <w:i/>
        </w:rPr>
        <w:t>:</w:t>
      </w:r>
    </w:p>
    <w:p w14:paraId="41667670" w14:textId="77777777" w:rsidR="008223B9" w:rsidRPr="000A1E5F" w:rsidRDefault="00C60ED3" w:rsidP="000A1E5F">
      <w:pPr>
        <w:spacing w:line="240" w:lineRule="auto"/>
        <w:ind w:left="567" w:right="539"/>
        <w:rPr>
          <w:i/>
        </w:rPr>
      </w:pPr>
      <w:r w:rsidRPr="000A1E5F">
        <w:rPr>
          <w:b/>
          <w:i/>
        </w:rPr>
        <w:t>I. Toda la información en posesión de cualquier autoridad, entidad, órgano y organismos de los</w:t>
      </w:r>
      <w:r w:rsidRPr="000A1E5F">
        <w:rPr>
          <w:i/>
        </w:rPr>
        <w:t xml:space="preserve"> Poderes Ejecutivo, Legislativo y Judicial, órganos autónomos, partidos políticos, fideicomisos y fondos públicos estatales y </w:t>
      </w:r>
      <w:r w:rsidRPr="000A1E5F">
        <w:rPr>
          <w:b/>
          <w:i/>
        </w:rPr>
        <w:t>municipales</w:t>
      </w:r>
      <w:r w:rsidRPr="000A1E5F">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A1E5F">
        <w:rPr>
          <w:b/>
          <w:i/>
        </w:rPr>
        <w:t>es pública</w:t>
      </w:r>
      <w:r w:rsidRPr="000A1E5F">
        <w:rPr>
          <w:i/>
        </w:rPr>
        <w:t xml:space="preserve"> y sólo podrá ser reservada temporalmente por razones previstas en la Constitución Política de los Estados Unidos Mexicanos de interés público y seguridad, en los términos que fijen las leyes. </w:t>
      </w:r>
      <w:r w:rsidRPr="000A1E5F">
        <w:rPr>
          <w:b/>
          <w:i/>
        </w:rPr>
        <w:t>En la interpretación de este derecho deberá prevalecer el principio de máxima publicidad</w:t>
      </w:r>
      <w:r w:rsidRPr="000A1E5F">
        <w:rPr>
          <w:i/>
        </w:rPr>
        <w:t xml:space="preserve">. </w:t>
      </w:r>
      <w:r w:rsidRPr="000A1E5F">
        <w:rPr>
          <w:b/>
          <w:i/>
        </w:rPr>
        <w:t>Los sujetos obligados deberán documentar todo acto que derive del ejercicio de sus facultades, competencias o funciones</w:t>
      </w:r>
      <w:r w:rsidRPr="000A1E5F">
        <w:rPr>
          <w:i/>
        </w:rPr>
        <w:t>, la ley determinará los supuestos específicos bajo los cuales procederá la declaración de inexistencia de la información.”</w:t>
      </w:r>
    </w:p>
    <w:p w14:paraId="12DA6C00" w14:textId="77777777" w:rsidR="008223B9" w:rsidRPr="000A1E5F" w:rsidRDefault="008223B9" w:rsidP="000A1E5F">
      <w:pPr>
        <w:spacing w:line="240" w:lineRule="auto"/>
        <w:rPr>
          <w:b/>
          <w:i/>
        </w:rPr>
      </w:pPr>
    </w:p>
    <w:p w14:paraId="606DF026" w14:textId="77777777" w:rsidR="008223B9" w:rsidRPr="000A1E5F" w:rsidRDefault="00C60ED3" w:rsidP="000A1E5F">
      <w:pPr>
        <w:rPr>
          <w:i/>
        </w:rPr>
      </w:pPr>
      <w:r w:rsidRPr="000A1E5F">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0A1E5F">
        <w:rPr>
          <w:i/>
        </w:rPr>
        <w:t>por los principios de simplicidad, rapidez, gratuidad del procedimiento, auxilio y orientación a los particulares.</w:t>
      </w:r>
    </w:p>
    <w:p w14:paraId="4F5D2B02" w14:textId="77777777" w:rsidR="00B913B6" w:rsidRPr="000A1E5F" w:rsidRDefault="00B913B6" w:rsidP="000A1E5F">
      <w:pPr>
        <w:rPr>
          <w:i/>
        </w:rPr>
      </w:pPr>
    </w:p>
    <w:p w14:paraId="74A2CBD3" w14:textId="77777777" w:rsidR="008223B9" w:rsidRPr="000A1E5F" w:rsidRDefault="00C60ED3" w:rsidP="000A1E5F">
      <w:pPr>
        <w:rPr>
          <w:i/>
        </w:rPr>
      </w:pPr>
      <w:r w:rsidRPr="000A1E5F">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4725EAE" w14:textId="77777777" w:rsidR="008223B9" w:rsidRPr="000A1E5F" w:rsidRDefault="008223B9" w:rsidP="000A1E5F"/>
    <w:p w14:paraId="52A70AF5" w14:textId="77777777" w:rsidR="008223B9" w:rsidRPr="000A1E5F" w:rsidRDefault="00C60ED3" w:rsidP="000A1E5F">
      <w:r w:rsidRPr="000A1E5F">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6D5C395C" w14:textId="77777777" w:rsidR="008223B9" w:rsidRPr="000A1E5F" w:rsidRDefault="008223B9" w:rsidP="000A1E5F"/>
    <w:p w14:paraId="06116EE5" w14:textId="77777777" w:rsidR="008223B9" w:rsidRPr="000A1E5F" w:rsidRDefault="00C60ED3" w:rsidP="000A1E5F">
      <w:r w:rsidRPr="000A1E5F">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5D7ED07" w14:textId="77777777" w:rsidR="008223B9" w:rsidRPr="000A1E5F" w:rsidRDefault="008223B9" w:rsidP="000A1E5F"/>
    <w:p w14:paraId="27AD1B55" w14:textId="77777777" w:rsidR="008223B9" w:rsidRPr="000A1E5F" w:rsidRDefault="00C60ED3" w:rsidP="000A1E5F">
      <w:r w:rsidRPr="000A1E5F">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36FE5409" w14:textId="77777777" w:rsidR="008223B9" w:rsidRPr="000A1E5F" w:rsidRDefault="008223B9" w:rsidP="000A1E5F"/>
    <w:p w14:paraId="55EAB409" w14:textId="77777777" w:rsidR="008223B9" w:rsidRPr="000A1E5F" w:rsidRDefault="00C60ED3" w:rsidP="000A1E5F">
      <w:bookmarkStart w:id="28" w:name="_heading=h.2bn6wsx" w:colFirst="0" w:colLast="0"/>
      <w:bookmarkEnd w:id="28"/>
      <w:r w:rsidRPr="000A1E5F">
        <w:t xml:space="preserve">Con base en lo anterior, se considera que </w:t>
      </w:r>
      <w:r w:rsidRPr="000A1E5F">
        <w:rPr>
          <w:b/>
        </w:rPr>
        <w:t>EL</w:t>
      </w:r>
      <w:r w:rsidRPr="000A1E5F">
        <w:t xml:space="preserve"> </w:t>
      </w:r>
      <w:r w:rsidRPr="000A1E5F">
        <w:rPr>
          <w:b/>
        </w:rPr>
        <w:t>SUJETO OBLIGADO</w:t>
      </w:r>
      <w:r w:rsidRPr="000A1E5F">
        <w:t xml:space="preserve"> se encontraba compelido a atender la solicitud de acceso a la información realizada por </w:t>
      </w:r>
      <w:r w:rsidRPr="000A1E5F">
        <w:rPr>
          <w:b/>
        </w:rPr>
        <w:t>LA PARTE RECURRENTE</w:t>
      </w:r>
      <w:r w:rsidRPr="000A1E5F">
        <w:t>.</w:t>
      </w:r>
    </w:p>
    <w:p w14:paraId="2809A426" w14:textId="77777777" w:rsidR="008223B9" w:rsidRPr="000A1E5F" w:rsidRDefault="008223B9" w:rsidP="000A1E5F"/>
    <w:p w14:paraId="14EB0858" w14:textId="77777777" w:rsidR="008223B9" w:rsidRPr="000A1E5F" w:rsidRDefault="00C60ED3" w:rsidP="000A1E5F">
      <w:pPr>
        <w:pStyle w:val="Ttulo3"/>
        <w:spacing w:line="360" w:lineRule="auto"/>
      </w:pPr>
      <w:bookmarkStart w:id="29" w:name="_Toc207226112"/>
      <w:r w:rsidRPr="000A1E5F">
        <w:t>b) Controversia a resolver.</w:t>
      </w:r>
      <w:bookmarkEnd w:id="29"/>
    </w:p>
    <w:p w14:paraId="1B1651FD" w14:textId="42CD9F0F" w:rsidR="00D02A76" w:rsidRPr="000A1E5F" w:rsidRDefault="000D33C6" w:rsidP="000A1E5F">
      <w:pPr>
        <w:rPr>
          <w:rFonts w:eastAsia="Calibri"/>
          <w:szCs w:val="22"/>
          <w:lang w:eastAsia="es-ES_tradnl"/>
        </w:rPr>
      </w:pPr>
      <w:r w:rsidRPr="000A1E5F">
        <w:rPr>
          <w:rFonts w:eastAsia="Calibri"/>
          <w:szCs w:val="22"/>
          <w:lang w:eastAsia="es-ES_tradnl"/>
        </w:rPr>
        <w:t xml:space="preserve">Con el objeto de ilustrar la controversia planteada, resulta conveniente precisar que, una vez realizado el estudio de las constancias que integran el expediente en que se actúa, se desprende que </w:t>
      </w:r>
      <w:r w:rsidRPr="000A1E5F">
        <w:rPr>
          <w:rFonts w:eastAsia="Calibri"/>
          <w:b/>
          <w:bCs/>
          <w:szCs w:val="22"/>
          <w:lang w:eastAsia="es-ES_tradnl"/>
        </w:rPr>
        <w:t>LA PARTE RECURRENTE</w:t>
      </w:r>
      <w:r w:rsidRPr="000A1E5F">
        <w:rPr>
          <w:rFonts w:eastAsia="Calibri"/>
          <w:szCs w:val="22"/>
          <w:lang w:eastAsia="es-ES_tradnl"/>
        </w:rPr>
        <w:t xml:space="preserve"> solicitó</w:t>
      </w:r>
      <w:r w:rsidR="00BC26FB" w:rsidRPr="000A1E5F">
        <w:rPr>
          <w:rFonts w:eastAsia="Calibri"/>
          <w:szCs w:val="22"/>
          <w:lang w:eastAsia="es-ES_tradnl"/>
        </w:rPr>
        <w:t xml:space="preserve"> la factura de la compra o renta de las patrullas que tienen actualmente la administración 2025-2027.</w:t>
      </w:r>
    </w:p>
    <w:p w14:paraId="50245BDB" w14:textId="77777777" w:rsidR="00F94356" w:rsidRPr="000A1E5F" w:rsidRDefault="00F94356" w:rsidP="000A1E5F">
      <w:pPr>
        <w:tabs>
          <w:tab w:val="left" w:pos="4667"/>
          <w:tab w:val="left" w:pos="4962"/>
        </w:tabs>
        <w:ind w:right="567"/>
      </w:pPr>
    </w:p>
    <w:p w14:paraId="1C458092" w14:textId="6AD83F49" w:rsidR="00151B77" w:rsidRPr="000A1E5F" w:rsidRDefault="00C60ED3" w:rsidP="000A1E5F">
      <w:pPr>
        <w:pBdr>
          <w:top w:val="nil"/>
          <w:left w:val="nil"/>
          <w:bottom w:val="nil"/>
          <w:right w:val="nil"/>
          <w:between w:val="nil"/>
        </w:pBdr>
        <w:ind w:right="-28"/>
      </w:pPr>
      <w:r w:rsidRPr="000A1E5F">
        <w:lastRenderedPageBreak/>
        <w:t xml:space="preserve">En respuesta, </w:t>
      </w:r>
      <w:r w:rsidRPr="000A1E5F">
        <w:rPr>
          <w:b/>
        </w:rPr>
        <w:t xml:space="preserve">EL SUJETO OBLIGADO </w:t>
      </w:r>
      <w:r w:rsidR="00FB0F29" w:rsidRPr="000A1E5F">
        <w:t xml:space="preserve">se pronunció por conducto </w:t>
      </w:r>
      <w:r w:rsidR="00B87FA9" w:rsidRPr="000A1E5F">
        <w:t>de</w:t>
      </w:r>
      <w:r w:rsidR="00D02A76" w:rsidRPr="000A1E5F">
        <w:t xml:space="preserve"> </w:t>
      </w:r>
      <w:r w:rsidR="00151B77" w:rsidRPr="000A1E5F">
        <w:t>la Directora de Administración, quien indicó que, al día de la fecha de la solicitud realizada por el particular, no se han comprado ni rentado patrullas durante la administración 2025-2027.</w:t>
      </w:r>
    </w:p>
    <w:p w14:paraId="0A130494" w14:textId="7CCB3F3A" w:rsidR="00FB0F29" w:rsidRPr="000A1E5F" w:rsidRDefault="00FB0F29" w:rsidP="000A1E5F">
      <w:pPr>
        <w:pBdr>
          <w:top w:val="nil"/>
          <w:left w:val="nil"/>
          <w:bottom w:val="nil"/>
          <w:right w:val="nil"/>
          <w:between w:val="nil"/>
        </w:pBdr>
        <w:ind w:right="-28"/>
      </w:pPr>
    </w:p>
    <w:p w14:paraId="358A2D66" w14:textId="1F439E23" w:rsidR="00FA6F45" w:rsidRPr="000A1E5F" w:rsidRDefault="00C60ED3" w:rsidP="000A1E5F">
      <w:pPr>
        <w:tabs>
          <w:tab w:val="left" w:pos="4962"/>
        </w:tabs>
      </w:pPr>
      <w:r w:rsidRPr="000A1E5F">
        <w:t xml:space="preserve">Ahora bien, en la interposición del presente recurso </w:t>
      </w:r>
      <w:r w:rsidRPr="000A1E5F">
        <w:rPr>
          <w:b/>
        </w:rPr>
        <w:t>LA PARTE RECURRENTE</w:t>
      </w:r>
      <w:r w:rsidRPr="000A1E5F">
        <w:t xml:space="preserve"> se inc</w:t>
      </w:r>
      <w:r w:rsidR="001E0800" w:rsidRPr="000A1E5F">
        <w:t>onformó</w:t>
      </w:r>
      <w:r w:rsidRPr="000A1E5F">
        <w:t xml:space="preserve"> sobre la </w:t>
      </w:r>
      <w:r w:rsidR="00151B77" w:rsidRPr="000A1E5F">
        <w:t>entrega de la información incompleta</w:t>
      </w:r>
      <w:r w:rsidR="000D17CF" w:rsidRPr="000A1E5F">
        <w:t>.</w:t>
      </w:r>
    </w:p>
    <w:p w14:paraId="7AB44C1C" w14:textId="77777777" w:rsidR="00A22841" w:rsidRPr="000A1E5F" w:rsidRDefault="00A22841" w:rsidP="000A1E5F"/>
    <w:p w14:paraId="2F757DBA" w14:textId="2B738ACF" w:rsidR="008223B9" w:rsidRPr="000A1E5F" w:rsidRDefault="00C60ED3" w:rsidP="000A1E5F">
      <w:r w:rsidRPr="000A1E5F">
        <w:t xml:space="preserve">Por otra parte, en el apartado de manifestaciones </w:t>
      </w:r>
      <w:r w:rsidRPr="000A1E5F">
        <w:rPr>
          <w:b/>
        </w:rPr>
        <w:t>EL SUJETO OBLIGADO</w:t>
      </w:r>
      <w:r w:rsidRPr="000A1E5F">
        <w:t xml:space="preserve"> </w:t>
      </w:r>
      <w:r w:rsidR="00FB0F29" w:rsidRPr="000A1E5F">
        <w:t>ratificó su</w:t>
      </w:r>
      <w:r w:rsidR="00A95433" w:rsidRPr="000A1E5F">
        <w:t xml:space="preserve"> respuesta pr</w:t>
      </w:r>
      <w:r w:rsidR="00151B77" w:rsidRPr="000A1E5F">
        <w:t xml:space="preserve">imigenia; asimismo remitió como </w:t>
      </w:r>
      <w:r w:rsidR="00151B77" w:rsidRPr="000A1E5F">
        <w:rPr>
          <w:rFonts w:eastAsia="Palatino Linotype" w:cs="Palatino Linotype"/>
          <w:szCs w:val="22"/>
        </w:rPr>
        <w:t>información complementaria, una tabla que contiene la relación de los vehículos de la Dirección de Seguridad Pública, Desarrollo Vial y Tránsito</w:t>
      </w:r>
      <w:r w:rsidR="00151B77" w:rsidRPr="000A1E5F">
        <w:t xml:space="preserve">; </w:t>
      </w:r>
      <w:r w:rsidR="00FB0F29" w:rsidRPr="000A1E5F">
        <w:t xml:space="preserve">y por su cuenta, </w:t>
      </w:r>
      <w:r w:rsidR="00FB0F29" w:rsidRPr="000A1E5F">
        <w:rPr>
          <w:b/>
        </w:rPr>
        <w:t xml:space="preserve">LA PARTE RECURRENTE </w:t>
      </w:r>
      <w:r w:rsidR="00FB0F29" w:rsidRPr="000A1E5F">
        <w:t>no realizó manifestación alguna.</w:t>
      </w:r>
    </w:p>
    <w:p w14:paraId="2E23CBA0" w14:textId="77777777" w:rsidR="00153F2C" w:rsidRPr="000A1E5F" w:rsidRDefault="00153F2C" w:rsidP="000A1E5F"/>
    <w:p w14:paraId="2E477957" w14:textId="50298B64" w:rsidR="00153F2C" w:rsidRPr="000A1E5F" w:rsidRDefault="00153F2C" w:rsidP="000A1E5F">
      <w:r w:rsidRPr="000A1E5F">
        <w:t>Ahora bien, se precisa que si bien el Sujeto Obligado, en el apartado de manifestaciones, remitió una relación de los vehículos con los que cuenta el municipio en materia de seguridad, lo cierto es que dicho pronunciamiento no resulta sustancial para resolver la controversia planteada en el presente caso, pues la materia del recurso se circunscribe exclusivamente a las facturas que amparen la compra o arrendamiento de patrullas, y no así al inventario de vehículos proporcionado. En consecuencia, el envío de tal información no satisface el requerimiento del particular ni constituye un elemento que pueda tenerse por colmado en relación con la solicitud original.</w:t>
      </w:r>
    </w:p>
    <w:p w14:paraId="496521F6" w14:textId="77777777" w:rsidR="008223B9" w:rsidRPr="000A1E5F" w:rsidRDefault="008223B9" w:rsidP="000A1E5F">
      <w:pPr>
        <w:rPr>
          <w:b/>
        </w:rPr>
      </w:pPr>
    </w:p>
    <w:p w14:paraId="47D4A898" w14:textId="5CBF2FD2" w:rsidR="008223B9" w:rsidRPr="000A1E5F" w:rsidRDefault="00C60ED3" w:rsidP="000A1E5F">
      <w:pPr>
        <w:tabs>
          <w:tab w:val="left" w:pos="4962"/>
        </w:tabs>
      </w:pPr>
      <w:r w:rsidRPr="000A1E5F">
        <w:t xml:space="preserve">En razón de lo anterior, el estudio se centrará en determinar si </w:t>
      </w:r>
      <w:r w:rsidR="000D17CF" w:rsidRPr="000A1E5F">
        <w:rPr>
          <w:b/>
        </w:rPr>
        <w:t xml:space="preserve">EL SUJETO OBLIGADO </w:t>
      </w:r>
      <w:r w:rsidR="00151B77" w:rsidRPr="000A1E5F">
        <w:t>entregó de manera completa la información solicitada por el particular.</w:t>
      </w:r>
    </w:p>
    <w:p w14:paraId="44549AF9" w14:textId="77777777" w:rsidR="008223B9" w:rsidRPr="000A1E5F" w:rsidRDefault="008223B9" w:rsidP="000A1E5F">
      <w:pPr>
        <w:tabs>
          <w:tab w:val="left" w:pos="4962"/>
        </w:tabs>
      </w:pPr>
    </w:p>
    <w:p w14:paraId="7CCA0E6E" w14:textId="77777777" w:rsidR="008223B9" w:rsidRPr="000A1E5F" w:rsidRDefault="00C60ED3" w:rsidP="000A1E5F">
      <w:pPr>
        <w:pStyle w:val="Ttulo3"/>
        <w:tabs>
          <w:tab w:val="left" w:pos="6015"/>
        </w:tabs>
        <w:spacing w:line="360" w:lineRule="auto"/>
      </w:pPr>
      <w:bookmarkStart w:id="30" w:name="_Toc207226113"/>
      <w:r w:rsidRPr="000A1E5F">
        <w:lastRenderedPageBreak/>
        <w:t>c) Estudio de la controversia.</w:t>
      </w:r>
      <w:bookmarkEnd w:id="30"/>
    </w:p>
    <w:p w14:paraId="6E09B0A9" w14:textId="77777777" w:rsidR="00505792" w:rsidRPr="000A1E5F" w:rsidRDefault="00505792" w:rsidP="000A1E5F">
      <w:pPr>
        <w:ind w:right="-93"/>
        <w:rPr>
          <w:szCs w:val="22"/>
        </w:rPr>
      </w:pPr>
      <w:r w:rsidRPr="000A1E5F">
        <w:rPr>
          <w:szCs w:val="22"/>
        </w:rPr>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04CB2C26" w14:textId="77777777" w:rsidR="00505792" w:rsidRPr="000A1E5F" w:rsidRDefault="00505792" w:rsidP="000A1E5F">
      <w:pPr>
        <w:ind w:right="-93"/>
        <w:rPr>
          <w:szCs w:val="22"/>
        </w:rPr>
      </w:pPr>
    </w:p>
    <w:p w14:paraId="01695EE3" w14:textId="77777777" w:rsidR="00505792" w:rsidRPr="000A1E5F" w:rsidRDefault="00505792" w:rsidP="000A1E5F">
      <w:pPr>
        <w:pStyle w:val="Puesto"/>
        <w:rPr>
          <w:szCs w:val="22"/>
        </w:rPr>
      </w:pPr>
      <w:r w:rsidRPr="000A1E5F">
        <w:rPr>
          <w:b/>
          <w:szCs w:val="22"/>
        </w:rPr>
        <w:t>Artículo 18</w:t>
      </w:r>
      <w:r w:rsidRPr="000A1E5F">
        <w:rPr>
          <w:szCs w:val="22"/>
        </w:rPr>
        <w:t>. Los sujetos obligados deberán documentar todo acto que derive del ejercicio de sus facultades, competencias o funciones, considerando desde su origen la eventual publicidad y reutilización de la información que generen</w:t>
      </w:r>
    </w:p>
    <w:p w14:paraId="4269DCF7" w14:textId="77777777" w:rsidR="00505792" w:rsidRPr="000A1E5F" w:rsidRDefault="00505792" w:rsidP="000A1E5F">
      <w:pPr>
        <w:ind w:right="-93"/>
        <w:rPr>
          <w:szCs w:val="22"/>
        </w:rPr>
      </w:pPr>
    </w:p>
    <w:p w14:paraId="724ED9E7" w14:textId="77777777" w:rsidR="00505792" w:rsidRPr="000A1E5F" w:rsidRDefault="00505792" w:rsidP="000A1E5F">
      <w:pPr>
        <w:ind w:right="-93"/>
        <w:rPr>
          <w:szCs w:val="22"/>
        </w:rPr>
      </w:pPr>
      <w:r w:rsidRPr="000A1E5F">
        <w:rPr>
          <w:szCs w:val="22"/>
        </w:rPr>
        <w:t xml:space="preserve">Lo anterior toma relevancia, pues según Jarquín, Soledad (2019), en el “Diccionario de Transparencia y Acceso a la Información Pública” (p. 126 y 127), todos los </w:t>
      </w:r>
      <w:r w:rsidRPr="000A1E5F">
        <w:rPr>
          <w:b/>
          <w:szCs w:val="22"/>
        </w:rPr>
        <w:t>SUJETOS OBLIGADOS</w:t>
      </w:r>
      <w:r w:rsidRPr="000A1E5F">
        <w:rPr>
          <w:szCs w:val="22"/>
        </w:rPr>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560A66FB" w14:textId="77777777" w:rsidR="00505792" w:rsidRPr="000A1E5F" w:rsidRDefault="00505792" w:rsidP="000A1E5F">
      <w:pPr>
        <w:ind w:right="-93"/>
        <w:rPr>
          <w:szCs w:val="22"/>
        </w:rPr>
      </w:pPr>
    </w:p>
    <w:p w14:paraId="681D92F5" w14:textId="77777777" w:rsidR="00505792" w:rsidRPr="000A1E5F" w:rsidRDefault="00505792" w:rsidP="000A1E5F">
      <w:pPr>
        <w:widowControl w:val="0"/>
        <w:rPr>
          <w:szCs w:val="22"/>
        </w:rPr>
      </w:pPr>
      <w:r w:rsidRPr="000A1E5F">
        <w:rPr>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6474C07F" w14:textId="77777777" w:rsidR="00505792" w:rsidRPr="000A1E5F" w:rsidRDefault="00505792" w:rsidP="000A1E5F">
      <w:pPr>
        <w:widowControl w:val="0"/>
        <w:rPr>
          <w:szCs w:val="22"/>
        </w:rPr>
      </w:pPr>
    </w:p>
    <w:p w14:paraId="51C656AD" w14:textId="287F4138" w:rsidR="00505792" w:rsidRPr="000A1E5F" w:rsidRDefault="00505792" w:rsidP="000A1E5F">
      <w:pPr>
        <w:widowControl w:val="0"/>
        <w:rPr>
          <w:szCs w:val="22"/>
        </w:rPr>
      </w:pPr>
      <w:r w:rsidRPr="000A1E5F">
        <w:rPr>
          <w:szCs w:val="22"/>
        </w:rPr>
        <w:t xml:space="preserve">Ahora bien, para dar atención integral al requerimiento formulado por la parte recurrente, se advierte que el Sujeto Obligado no recabó el pronunciamiento de otras áreas que, por la propia y especial naturaleza de la solicitud, se estima podrían contar con información relacionada con </w:t>
      </w:r>
      <w:r w:rsidRPr="000A1E5F">
        <w:rPr>
          <w:szCs w:val="22"/>
        </w:rPr>
        <w:lastRenderedPageBreak/>
        <w:t>lo requerido. Tal es el caso de manera enunciativa más no limitativa de la Tesorería Municipal, cuya intervención resultaba necesaria a fin de verificar la existencia de datos vinculados con la materia solicitada, toda vez que de conformidad con lo previsto en los artículo 61 y 62 Bando Municipal de Ixtlahuaca es el área encargada de supervisar el registro y control de las operaciones financieras presupuestales y contables., como a continuación se observa:</w:t>
      </w:r>
    </w:p>
    <w:p w14:paraId="40F80B95" w14:textId="77777777" w:rsidR="00505792" w:rsidRPr="000A1E5F" w:rsidRDefault="00505792" w:rsidP="000A1E5F">
      <w:pPr>
        <w:widowControl w:val="0"/>
        <w:rPr>
          <w:szCs w:val="22"/>
        </w:rPr>
      </w:pPr>
    </w:p>
    <w:p w14:paraId="43D2B65A" w14:textId="05AA7583" w:rsidR="00505792" w:rsidRPr="000A1E5F" w:rsidRDefault="00505792" w:rsidP="000A1E5F">
      <w:pPr>
        <w:pStyle w:val="Puesto"/>
      </w:pPr>
      <w:r w:rsidRPr="000A1E5F">
        <w:t>“</w:t>
      </w:r>
      <w:r w:rsidRPr="000A1E5F">
        <w:rPr>
          <w:b/>
        </w:rPr>
        <w:t>Artículo 61</w:t>
      </w:r>
      <w:r w:rsidRPr="000A1E5F">
        <w:t>.- El Ayuntamiento a través de la Tesorería realizará el ejercicio administrativo financiero de su Hacienda Pública Municipal correspondiéndole a la Sindicatura y a la Contraloría Municipal las funciones de inspección y control interno.</w:t>
      </w:r>
    </w:p>
    <w:p w14:paraId="2B2BA5B2" w14:textId="776ADBC2" w:rsidR="00505792" w:rsidRPr="000A1E5F" w:rsidRDefault="00505792" w:rsidP="000A1E5F">
      <w:pPr>
        <w:pStyle w:val="Puesto"/>
      </w:pPr>
      <w:r w:rsidRPr="000A1E5F">
        <w:rPr>
          <w:b/>
        </w:rPr>
        <w:t>Artículo 62.-</w:t>
      </w:r>
      <w:r w:rsidRPr="000A1E5F">
        <w:t xml:space="preserve"> La Tesorería Municipal es el órgano encargado de la recaudación de los ingresos y la responsable de realizar las erogaciones que haga la Administración Pública Municipal, de conformidad con la legislación aplicable.”</w:t>
      </w:r>
    </w:p>
    <w:p w14:paraId="44805855" w14:textId="77777777" w:rsidR="00505792" w:rsidRPr="000A1E5F" w:rsidRDefault="00505792" w:rsidP="000A1E5F">
      <w:pPr>
        <w:pStyle w:val="Puesto"/>
      </w:pPr>
    </w:p>
    <w:p w14:paraId="0AC99757" w14:textId="77777777" w:rsidR="00505792" w:rsidRPr="000A1E5F" w:rsidRDefault="00505792" w:rsidP="000A1E5F">
      <w:pPr>
        <w:widowControl w:val="0"/>
        <w:rPr>
          <w:szCs w:val="22"/>
        </w:rPr>
      </w:pPr>
      <w:r w:rsidRPr="000A1E5F">
        <w:rPr>
          <w:szCs w:val="22"/>
        </w:rPr>
        <w:t>Lo anterior se encuentra previsto en el artículo 162 de la Ley de Transparencia y Acceso a la Información Pública del Estado de México y Municipios, que establece:</w:t>
      </w:r>
    </w:p>
    <w:p w14:paraId="72BF8BA4" w14:textId="77777777" w:rsidR="00505792" w:rsidRPr="000A1E5F" w:rsidRDefault="00505792" w:rsidP="000A1E5F">
      <w:pPr>
        <w:widowControl w:val="0"/>
        <w:rPr>
          <w:szCs w:val="22"/>
        </w:rPr>
      </w:pPr>
    </w:p>
    <w:p w14:paraId="395D04C5" w14:textId="77777777" w:rsidR="00505792" w:rsidRPr="000A1E5F" w:rsidRDefault="00505792" w:rsidP="000A1E5F">
      <w:pPr>
        <w:pStyle w:val="Puesto"/>
      </w:pPr>
      <w:r w:rsidRPr="000A1E5F">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08CCC83" w14:textId="77777777" w:rsidR="00505792" w:rsidRPr="000A1E5F" w:rsidRDefault="00505792" w:rsidP="000A1E5F">
      <w:pPr>
        <w:widowControl w:val="0"/>
        <w:rPr>
          <w:szCs w:val="22"/>
        </w:rPr>
      </w:pPr>
    </w:p>
    <w:p w14:paraId="748E9A59" w14:textId="77777777" w:rsidR="00505792" w:rsidRPr="000A1E5F" w:rsidRDefault="00505792" w:rsidP="000A1E5F">
      <w:pPr>
        <w:widowControl w:val="0"/>
        <w:rPr>
          <w:szCs w:val="22"/>
        </w:rPr>
      </w:pPr>
      <w:r w:rsidRPr="000A1E5F">
        <w:rPr>
          <w:szCs w:val="22"/>
        </w:rPr>
        <w:t>En consecuencia, la omisión de turnar la solicitud a todas las áreas competentes impide tener por cumplido el deber legal de realizar una búsqueda exhaustiva y razonable, pues únicamente mediante la intervención de todas las instancias con atribuciones relacionadas es posible asegurar que el derecho de acceso a la información del solicitante se materialice de manera plena y efectiva.</w:t>
      </w:r>
    </w:p>
    <w:p w14:paraId="1DC44397" w14:textId="77777777" w:rsidR="00505792" w:rsidRPr="000A1E5F" w:rsidRDefault="00505792" w:rsidP="000A1E5F">
      <w:pPr>
        <w:widowControl w:val="0"/>
        <w:rPr>
          <w:szCs w:val="22"/>
        </w:rPr>
      </w:pPr>
    </w:p>
    <w:p w14:paraId="0D61CA0E" w14:textId="77777777" w:rsidR="00505792" w:rsidRPr="000A1E5F" w:rsidRDefault="00505792" w:rsidP="000A1E5F">
      <w:pPr>
        <w:spacing w:after="240"/>
        <w:rPr>
          <w:rFonts w:eastAsia="Palatino Linotype" w:cs="Palatino Linotype"/>
          <w:szCs w:val="22"/>
        </w:rPr>
      </w:pPr>
      <w:r w:rsidRPr="000A1E5F">
        <w:rPr>
          <w:rFonts w:eastAsia="Palatino Linotype" w:cs="Palatino Linotype"/>
          <w:szCs w:val="22"/>
        </w:rPr>
        <w:t xml:space="preserve">Por otra parte, respecto de la naturaleza de la información requerida, el Glosario de Términos Hacendarios que emite el Instituto Hacendario del Estado de México, el cual define como </w:t>
      </w:r>
      <w:r w:rsidRPr="000A1E5F">
        <w:rPr>
          <w:rFonts w:eastAsia="Palatino Linotype" w:cs="Palatino Linotype"/>
          <w:i/>
          <w:szCs w:val="22"/>
        </w:rPr>
        <w:lastRenderedPageBreak/>
        <w:t>“factura” al</w:t>
      </w:r>
      <w:r w:rsidRPr="000A1E5F">
        <w:rPr>
          <w:rFonts w:eastAsia="Palatino Linotype" w:cs="Palatino Linotype"/>
          <w:b/>
          <w:i/>
          <w:szCs w:val="22"/>
        </w:rPr>
        <w:t xml:space="preserve"> documento fiscal que emite la persona física o moral para comprobar la venta o adquisición de un bien y/o servicio.</w:t>
      </w:r>
    </w:p>
    <w:p w14:paraId="7B913886" w14:textId="77777777" w:rsidR="00505792" w:rsidRPr="000A1E5F" w:rsidRDefault="00505792" w:rsidP="000A1E5F">
      <w:pPr>
        <w:ind w:right="-7"/>
        <w:rPr>
          <w:rFonts w:eastAsia="Palatino Linotype" w:cs="Palatino Linotype"/>
          <w:szCs w:val="22"/>
        </w:rPr>
      </w:pPr>
      <w:r w:rsidRPr="000A1E5F">
        <w:rPr>
          <w:rFonts w:eastAsia="Palatino Linotype" w:cs="Palatino Linotype"/>
          <w:szCs w:val="22"/>
        </w:rPr>
        <w:t xml:space="preserve">En ese sentido, es de señalar que cuando las facturas amparan las erogaciones que se realizan con erario público tienen naturaleza pública, pues constituyen un medio idóneo de evidencia del gasto realizado con recursos públicos. </w:t>
      </w:r>
    </w:p>
    <w:p w14:paraId="0D326ACA" w14:textId="77777777" w:rsidR="00505792" w:rsidRPr="000A1E5F" w:rsidRDefault="00505792" w:rsidP="000A1E5F">
      <w:pPr>
        <w:ind w:right="-7"/>
        <w:rPr>
          <w:rFonts w:eastAsia="Palatino Linotype" w:cs="Palatino Linotype"/>
          <w:szCs w:val="22"/>
        </w:rPr>
      </w:pPr>
    </w:p>
    <w:p w14:paraId="62376F78" w14:textId="77777777" w:rsidR="00505792" w:rsidRPr="000A1E5F" w:rsidRDefault="00505792" w:rsidP="000A1E5F">
      <w:r w:rsidRPr="000A1E5F">
        <w:rPr>
          <w:rFonts w:cs="Arial"/>
          <w:lang w:eastAsia="es-MX"/>
        </w:rPr>
        <w:t xml:space="preserve">Asimismo, </w:t>
      </w:r>
      <w:r w:rsidRPr="000A1E5F">
        <w:t>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03BC2F41" w14:textId="77777777" w:rsidR="00505792" w:rsidRPr="000A1E5F" w:rsidRDefault="00505792" w:rsidP="000A1E5F">
      <w:pPr>
        <w:rPr>
          <w:rFonts w:cs="Arial"/>
        </w:rPr>
      </w:pPr>
    </w:p>
    <w:p w14:paraId="656D903A" w14:textId="77777777" w:rsidR="00505792" w:rsidRPr="000A1E5F" w:rsidRDefault="00505792" w:rsidP="000A1E5F">
      <w:pPr>
        <w:pStyle w:val="Puesto"/>
        <w:rPr>
          <w:rFonts w:eastAsia="Arial Unicode MS"/>
        </w:rPr>
      </w:pPr>
      <w:r w:rsidRPr="000A1E5F">
        <w:rPr>
          <w:rFonts w:eastAsia="Arial Unicode MS"/>
        </w:rPr>
        <w:t>“</w:t>
      </w:r>
      <w:r w:rsidRPr="000A1E5F">
        <w:rPr>
          <w:rFonts w:eastAsia="Arial Unicode MS"/>
          <w:b/>
        </w:rPr>
        <w:t>Artículo 342.-</w:t>
      </w:r>
      <w:r w:rsidRPr="000A1E5F">
        <w:rPr>
          <w:rFonts w:eastAsia="Arial Unicode MS"/>
        </w:rPr>
        <w:t xml:space="preserve"> El registro contable del efecto patrimonial y presupuestal de las operaciones financieras, se realizará conforme al sistema y a las disposiciones que se aprueben en materia de planeación, programación, </w:t>
      </w:r>
      <w:proofErr w:type="spellStart"/>
      <w:r w:rsidRPr="000A1E5F">
        <w:rPr>
          <w:rFonts w:eastAsia="Arial Unicode MS"/>
        </w:rPr>
        <w:t>presupuestación</w:t>
      </w:r>
      <w:proofErr w:type="spellEnd"/>
      <w:r w:rsidRPr="000A1E5F">
        <w:rPr>
          <w:rFonts w:eastAsia="Arial Unicode MS"/>
        </w:rPr>
        <w:t xml:space="preserve">, evaluación y contabilidad gubernamental. </w:t>
      </w:r>
    </w:p>
    <w:p w14:paraId="3742E314" w14:textId="77777777" w:rsidR="00505792" w:rsidRPr="000A1E5F" w:rsidRDefault="00505792" w:rsidP="000A1E5F">
      <w:pPr>
        <w:pStyle w:val="Puesto"/>
        <w:rPr>
          <w:rFonts w:eastAsia="Arial Unicode MS"/>
          <w:b/>
        </w:rPr>
      </w:pPr>
      <w:r w:rsidRPr="000A1E5F">
        <w:rPr>
          <w:rFonts w:eastAsia="Arial Unicode MS"/>
          <w:b/>
        </w:rPr>
        <w:t xml:space="preserve">En el caso de los municipios, el registro a que se refiere el párrafo anterior, se realizará conforme al sistema y a las disposiciones en materia de planeación, programación, </w:t>
      </w:r>
      <w:proofErr w:type="spellStart"/>
      <w:r w:rsidRPr="000A1E5F">
        <w:rPr>
          <w:rFonts w:eastAsia="Arial Unicode MS"/>
          <w:b/>
        </w:rPr>
        <w:t>presupuestación</w:t>
      </w:r>
      <w:proofErr w:type="spellEnd"/>
      <w:r w:rsidRPr="000A1E5F">
        <w:rPr>
          <w:rFonts w:eastAsia="Arial Unicode MS"/>
          <w:b/>
        </w:rPr>
        <w:t xml:space="preserve">, evaluación y contabilidad gubernamental, que se aprueben en el marco del Sistema de Coordinación Hacendaria del Estado de México. </w:t>
      </w:r>
    </w:p>
    <w:p w14:paraId="1C0E4039" w14:textId="77777777" w:rsidR="00505792" w:rsidRPr="000A1E5F" w:rsidRDefault="00505792" w:rsidP="000A1E5F">
      <w:pPr>
        <w:ind w:left="851" w:right="901"/>
        <w:rPr>
          <w:rFonts w:eastAsia="Arial Unicode MS" w:cs="Arial"/>
          <w:b/>
          <w:i/>
        </w:rPr>
      </w:pPr>
    </w:p>
    <w:p w14:paraId="69C288E5" w14:textId="77777777" w:rsidR="00505792" w:rsidRPr="000A1E5F" w:rsidRDefault="00505792" w:rsidP="000A1E5F">
      <w:pPr>
        <w:pStyle w:val="Puesto"/>
      </w:pPr>
      <w:r w:rsidRPr="000A1E5F">
        <w:rPr>
          <w:b/>
        </w:rPr>
        <w:t>Artículo 343.-</w:t>
      </w:r>
      <w:r w:rsidRPr="000A1E5F">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670AB040" w14:textId="77777777" w:rsidR="00505792" w:rsidRPr="000A1E5F" w:rsidRDefault="00505792" w:rsidP="000A1E5F">
      <w:pPr>
        <w:pStyle w:val="Puesto"/>
        <w:rPr>
          <w:rFonts w:eastAsia="Arial Unicode MS" w:cs="Arial"/>
          <w:b/>
        </w:rPr>
      </w:pPr>
      <w:r w:rsidRPr="000A1E5F">
        <w:t>El sistema de contabilidad sobre base acumulativa total, se sustentará en las normas emitidas por el Consejo Nacional de Armonización Contable.</w:t>
      </w:r>
    </w:p>
    <w:p w14:paraId="20187925" w14:textId="77777777" w:rsidR="00505792" w:rsidRPr="000A1E5F" w:rsidRDefault="00505792" w:rsidP="000A1E5F">
      <w:pPr>
        <w:pStyle w:val="Puesto"/>
        <w:rPr>
          <w:b/>
        </w:rPr>
      </w:pPr>
    </w:p>
    <w:p w14:paraId="65EC3783" w14:textId="77777777" w:rsidR="00505792" w:rsidRPr="000A1E5F" w:rsidRDefault="00505792" w:rsidP="000A1E5F">
      <w:pPr>
        <w:pStyle w:val="Puesto"/>
      </w:pPr>
      <w:r w:rsidRPr="000A1E5F">
        <w:rPr>
          <w:b/>
        </w:rPr>
        <w:t>Artículo 344.-</w:t>
      </w:r>
      <w:r w:rsidRPr="000A1E5F">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w:t>
      </w:r>
      <w:r w:rsidRPr="000A1E5F">
        <w:lastRenderedPageBreak/>
        <w:t xml:space="preserve">caso de los Municipios, se hará por la Tesorería. 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w:t>
      </w:r>
    </w:p>
    <w:p w14:paraId="321A89D6" w14:textId="77777777" w:rsidR="00505792" w:rsidRPr="000A1E5F" w:rsidRDefault="00505792" w:rsidP="000A1E5F">
      <w:pPr>
        <w:pStyle w:val="Puesto"/>
        <w:rPr>
          <w:rFonts w:eastAsia="Arial Unicode MS" w:cs="Arial"/>
        </w:rPr>
      </w:pPr>
      <w:r w:rsidRPr="000A1E5F">
        <w:t xml:space="preserve">En el caso de los Municipios, dicha obligación corresponderá a la </w:t>
      </w:r>
      <w:proofErr w:type="spellStart"/>
      <w:r w:rsidRPr="000A1E5F">
        <w:t>Tesorería.</w:t>
      </w:r>
      <w:r w:rsidRPr="000A1E5F">
        <w:rPr>
          <w:rFonts w:eastAsia="Arial Unicode MS" w:cs="Arial"/>
        </w:rPr>
        <w:t>Tratándose</w:t>
      </w:r>
      <w:proofErr w:type="spellEnd"/>
      <w:r w:rsidRPr="000A1E5F">
        <w:rPr>
          <w:rFonts w:eastAsia="Arial Unicode MS" w:cs="Arial"/>
        </w:rPr>
        <w:t xml:space="preserve"> de documentos de carácter histórico, se estará a lo dispuesto por la legislación de la materia. </w:t>
      </w:r>
    </w:p>
    <w:p w14:paraId="3F26AA23" w14:textId="77777777" w:rsidR="00505792" w:rsidRPr="000A1E5F" w:rsidRDefault="00505792" w:rsidP="000A1E5F">
      <w:pPr>
        <w:ind w:left="851" w:right="901"/>
        <w:rPr>
          <w:rFonts w:eastAsia="Arial Unicode MS" w:cs="Arial"/>
          <w:b/>
          <w:i/>
        </w:rPr>
      </w:pPr>
    </w:p>
    <w:p w14:paraId="4959E0EC" w14:textId="77777777" w:rsidR="00505792" w:rsidRPr="000A1E5F" w:rsidRDefault="00505792" w:rsidP="000A1E5F">
      <w:pPr>
        <w:pStyle w:val="Puesto"/>
      </w:pPr>
      <w:r w:rsidRPr="000A1E5F">
        <w:rPr>
          <w:b/>
        </w:rPr>
        <w:t>Artículo 345.-</w:t>
      </w:r>
      <w:r w:rsidRPr="000A1E5F">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1816A045" w14:textId="77777777" w:rsidR="00505792" w:rsidRPr="000A1E5F" w:rsidRDefault="00505792" w:rsidP="000A1E5F">
      <w:pPr>
        <w:pStyle w:val="Puesto"/>
        <w:rPr>
          <w:rFonts w:eastAsia="Arial Unicode MS"/>
        </w:rPr>
      </w:pPr>
      <w:r w:rsidRPr="000A1E5F">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El plazo señalado en este artículo empezará a contar a partir de la publicación en el Periódico Oficial, del decreto correspondiente.</w:t>
      </w:r>
      <w:r w:rsidRPr="000A1E5F">
        <w:rPr>
          <w:rFonts w:eastAsia="Arial Unicode MS"/>
        </w:rPr>
        <w:t xml:space="preserve"> (Énfasis añadido)</w:t>
      </w:r>
    </w:p>
    <w:p w14:paraId="370F2513" w14:textId="77777777" w:rsidR="00505792" w:rsidRPr="000A1E5F" w:rsidRDefault="00505792" w:rsidP="000A1E5F">
      <w:pPr>
        <w:ind w:left="709"/>
        <w:rPr>
          <w:rFonts w:eastAsia="Arial Unicode MS" w:cs="Arial"/>
          <w:i/>
        </w:rPr>
      </w:pPr>
    </w:p>
    <w:p w14:paraId="5B0E119B" w14:textId="77777777" w:rsidR="00505792" w:rsidRPr="000A1E5F" w:rsidRDefault="00505792" w:rsidP="000A1E5F">
      <w:pPr>
        <w:rPr>
          <w:rFonts w:cs="Arial"/>
        </w:rPr>
      </w:pPr>
      <w:r w:rsidRPr="000A1E5F">
        <w:rPr>
          <w:rFonts w:cs="Arial"/>
        </w:rPr>
        <w:t xml:space="preserve">De una interpretación sistemática de los artículos transcritos se desprende, que el registro contable del efecto patrimonial y presupuestal de las operaciones financieras que realice el Municipio se hace conforme al sistema y a las disposiciones que se aprueben en materia de planeación, programación, </w:t>
      </w:r>
      <w:proofErr w:type="spellStart"/>
      <w:r w:rsidRPr="000A1E5F">
        <w:rPr>
          <w:rFonts w:cs="Arial"/>
        </w:rPr>
        <w:t>presupuestación</w:t>
      </w:r>
      <w:proofErr w:type="spellEnd"/>
      <w:r w:rsidRPr="000A1E5F">
        <w:rPr>
          <w:rFonts w:cs="Arial"/>
        </w:rPr>
        <w:t>, evaluación y contabilidad gubernamental.</w:t>
      </w:r>
    </w:p>
    <w:p w14:paraId="45C660FE" w14:textId="77777777" w:rsidR="00505792" w:rsidRPr="000A1E5F" w:rsidRDefault="00505792" w:rsidP="000A1E5F">
      <w:pPr>
        <w:pBdr>
          <w:top w:val="nil"/>
          <w:left w:val="nil"/>
          <w:bottom w:val="nil"/>
          <w:right w:val="nil"/>
          <w:between w:val="nil"/>
        </w:pBdr>
        <w:rPr>
          <w:rFonts w:eastAsia="Palatino Linotype" w:cs="Palatino Linotype"/>
          <w:szCs w:val="22"/>
        </w:rPr>
      </w:pPr>
    </w:p>
    <w:p w14:paraId="6683C983" w14:textId="77777777" w:rsidR="00505792" w:rsidRPr="000A1E5F" w:rsidRDefault="00505792" w:rsidP="000A1E5F">
      <w:pPr>
        <w:spacing w:after="240"/>
        <w:rPr>
          <w:rFonts w:eastAsia="Palatino Linotype" w:cs="Palatino Linotype"/>
          <w:szCs w:val="22"/>
        </w:rPr>
      </w:pPr>
      <w:r w:rsidRPr="000A1E5F">
        <w:rPr>
          <w:rFonts w:eastAsia="Palatino Linotype" w:cs="Palatino Linotype"/>
          <w:szCs w:val="22"/>
        </w:rPr>
        <w:t xml:space="preserve">Al respecto, si bien es cierto que el Código Financiero del Estado de México y Municipios establece la obligación de los organismos para llevar los registros contables y presupuestales; también lo es que, dicho ordenamiento jurídico no establece que debemos entender por </w:t>
      </w:r>
      <w:r w:rsidRPr="000A1E5F">
        <w:rPr>
          <w:rFonts w:eastAsia="Palatino Linotype" w:cs="Palatino Linotype"/>
          <w:szCs w:val="22"/>
        </w:rPr>
        <w:lastRenderedPageBreak/>
        <w:t xml:space="preserve">registro contable y presupuestal; sin embargo, el “Glosario de Términos Administrativos”, emitido por el Instituto Nacional de Administración Pública, A.C. y el “Glosario de Términos para el Proceso de Planeación, Programación, </w:t>
      </w:r>
      <w:proofErr w:type="spellStart"/>
      <w:r w:rsidRPr="000A1E5F">
        <w:rPr>
          <w:rFonts w:eastAsia="Palatino Linotype" w:cs="Palatino Linotype"/>
          <w:szCs w:val="22"/>
        </w:rPr>
        <w:t>Presupuestación</w:t>
      </w:r>
      <w:proofErr w:type="spellEnd"/>
      <w:r w:rsidRPr="000A1E5F">
        <w:rPr>
          <w:rFonts w:eastAsia="Palatino Linotype" w:cs="Palatino Linotype"/>
          <w:szCs w:val="22"/>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68D68D3D" w14:textId="77777777" w:rsidR="00505792" w:rsidRPr="000A1E5F" w:rsidRDefault="00505792" w:rsidP="000A1E5F">
      <w:pPr>
        <w:pStyle w:val="Puesto"/>
        <w:rPr>
          <w:rFonts w:eastAsia="Palatino Linotype"/>
          <w:b/>
        </w:rPr>
      </w:pPr>
      <w:r w:rsidRPr="000A1E5F">
        <w:rPr>
          <w:rFonts w:eastAsia="Palatino Linotype"/>
        </w:rPr>
        <w:t>“</w:t>
      </w:r>
      <w:r w:rsidRPr="000A1E5F">
        <w:rPr>
          <w:rFonts w:eastAsia="Palatino Linotype"/>
          <w:b/>
        </w:rPr>
        <w:t xml:space="preserve">REGISTRO CONTABLE </w:t>
      </w:r>
    </w:p>
    <w:p w14:paraId="09F55786" w14:textId="77777777" w:rsidR="00505792" w:rsidRPr="000A1E5F" w:rsidRDefault="00505792" w:rsidP="000A1E5F">
      <w:pPr>
        <w:pStyle w:val="Puesto"/>
        <w:rPr>
          <w:rFonts w:eastAsia="Palatino Linotype"/>
        </w:rPr>
      </w:pPr>
      <w:r w:rsidRPr="000A1E5F">
        <w:rPr>
          <w:rFonts w:eastAsia="Palatino Linotype"/>
        </w:rPr>
        <w:t xml:space="preserve">Asiento que se realiza en los libros de contabilidad de las actividades relacionadas con el ingreso y egresos de un ente económico.” </w:t>
      </w:r>
    </w:p>
    <w:p w14:paraId="242B548C" w14:textId="77777777" w:rsidR="00505792" w:rsidRPr="000A1E5F" w:rsidRDefault="00505792" w:rsidP="000A1E5F">
      <w:pPr>
        <w:pStyle w:val="Puesto"/>
        <w:rPr>
          <w:rFonts w:eastAsia="Palatino Linotype"/>
        </w:rPr>
      </w:pPr>
    </w:p>
    <w:p w14:paraId="2D57406C" w14:textId="77777777" w:rsidR="00505792" w:rsidRPr="000A1E5F" w:rsidRDefault="00505792" w:rsidP="000A1E5F">
      <w:pPr>
        <w:pStyle w:val="Puesto"/>
        <w:rPr>
          <w:rFonts w:eastAsia="Palatino Linotype"/>
        </w:rPr>
      </w:pPr>
      <w:r w:rsidRPr="000A1E5F">
        <w:rPr>
          <w:rFonts w:eastAsia="Palatino Linotype"/>
        </w:rPr>
        <w:t>“</w:t>
      </w:r>
      <w:r w:rsidRPr="000A1E5F">
        <w:rPr>
          <w:rFonts w:eastAsia="Palatino Linotype"/>
          <w:b/>
        </w:rPr>
        <w:t>REGISTRO PRESUPUESTARIO</w:t>
      </w:r>
    </w:p>
    <w:p w14:paraId="1D9185FB" w14:textId="074F469B" w:rsidR="00505792" w:rsidRPr="000A1E5F" w:rsidRDefault="00505792" w:rsidP="000A1E5F">
      <w:pPr>
        <w:pStyle w:val="Puesto"/>
        <w:rPr>
          <w:rFonts w:eastAsia="Palatino Linotype"/>
        </w:rPr>
      </w:pPr>
      <w:r w:rsidRPr="000A1E5F">
        <w:rPr>
          <w:rFonts w:eastAsia="Palatino Linotype"/>
        </w:rPr>
        <w:t>Asiento contable de las erogaciones realizadas por las dependencias y entidades con relación a la asignación, modificación y ejercicio de los recursos presupuestarios que se les hayan autorizado.”</w:t>
      </w:r>
    </w:p>
    <w:p w14:paraId="597D9205" w14:textId="77777777" w:rsidR="00505792" w:rsidRPr="000A1E5F" w:rsidRDefault="00505792" w:rsidP="000A1E5F">
      <w:pPr>
        <w:rPr>
          <w:rFonts w:eastAsia="Palatino Linotype" w:cs="Palatino Linotype"/>
          <w:i/>
          <w:szCs w:val="22"/>
        </w:rPr>
      </w:pPr>
    </w:p>
    <w:p w14:paraId="16850C57" w14:textId="65FAD531" w:rsidR="00505792" w:rsidRPr="000A1E5F" w:rsidRDefault="00D45D0D" w:rsidP="000A1E5F">
      <w:pPr>
        <w:rPr>
          <w:rFonts w:eastAsia="Palatino Linotype" w:cs="Palatino Linotype"/>
          <w:szCs w:val="22"/>
        </w:rPr>
      </w:pPr>
      <w:r w:rsidRPr="000A1E5F">
        <w:rPr>
          <w:rFonts w:eastAsia="Palatino Linotype" w:cs="Palatino Linotype"/>
          <w:szCs w:val="22"/>
        </w:rPr>
        <w:t>Así bien</w:t>
      </w:r>
      <w:r w:rsidR="00505792" w:rsidRPr="000A1E5F">
        <w:rPr>
          <w:rFonts w:eastAsia="Palatino Linotype" w:cs="Palatino Linotype"/>
          <w:szCs w:val="22"/>
        </w:rPr>
        <w:t>, conviene señalar que</w:t>
      </w:r>
      <w:r w:rsidRPr="000A1E5F">
        <w:rPr>
          <w:rFonts w:eastAsia="Palatino Linotype" w:cs="Palatino Linotype"/>
          <w:szCs w:val="22"/>
        </w:rPr>
        <w:t>,</w:t>
      </w:r>
      <w:r w:rsidR="00505792" w:rsidRPr="000A1E5F">
        <w:rPr>
          <w:rFonts w:eastAsia="Palatino Linotype" w:cs="Palatino Linotype"/>
          <w:szCs w:val="22"/>
        </w:rPr>
        <w:t xml:space="preserve"> si bien la Directora de Administración manifestó que durante la administración 2025-2027 no se han adquirido ni rentado patrullas, lo cierto es que la solicitud del particular no se constriñó únicamente a la adquisición o arrendamiento efectuado por la actual gestión, sino que se refirió a las facturas que acreditaran la compra o renta de las patrullas con las que cuenta actualmente la administración. Es decir, el requerimiento no estaba limitado a operaciones realizadas en el periodo 2025-2027, sino que incluía aquellas adquisiciones o arrendamientos efectuados en administraciones anteriores, siempre que dichos vehículos formen parte del parque vehicular vigente en uso de la autoridad municipal.</w:t>
      </w:r>
    </w:p>
    <w:p w14:paraId="09371D5B" w14:textId="77777777" w:rsidR="00505792" w:rsidRPr="000A1E5F" w:rsidRDefault="00505792" w:rsidP="000A1E5F">
      <w:pPr>
        <w:rPr>
          <w:rFonts w:eastAsia="Palatino Linotype" w:cs="Palatino Linotype"/>
          <w:szCs w:val="22"/>
        </w:rPr>
      </w:pPr>
    </w:p>
    <w:p w14:paraId="226DE4EE" w14:textId="77777777" w:rsidR="00505792" w:rsidRPr="000A1E5F" w:rsidRDefault="00505792" w:rsidP="000A1E5F">
      <w:pPr>
        <w:rPr>
          <w:rFonts w:eastAsia="Palatino Linotype" w:cs="Palatino Linotype"/>
          <w:szCs w:val="22"/>
        </w:rPr>
      </w:pPr>
      <w:r w:rsidRPr="000A1E5F">
        <w:rPr>
          <w:rFonts w:eastAsia="Palatino Linotype" w:cs="Palatino Linotype"/>
          <w:szCs w:val="22"/>
        </w:rPr>
        <w:t xml:space="preserve">En ese sentido, la respuesta primigenia se advierte incompleta, pues dejó de lado la obligación de llevar a cabo una búsqueda integral y razonable en todas las áreas que, por su propia y especial naturaleza, pueden obrar en posesión de la información solicitada. Particularmente, </w:t>
      </w:r>
      <w:r w:rsidRPr="000A1E5F">
        <w:rPr>
          <w:rFonts w:eastAsia="Palatino Linotype" w:cs="Palatino Linotype"/>
          <w:szCs w:val="22"/>
        </w:rPr>
        <w:lastRenderedPageBreak/>
        <w:t>se estima que la Tesorería Municipal debe ser considerada como competente para atender la solicitud, ya que conforme al artículo 61 del Bando Municipal de Ixtlahuaca, el Ayuntamiento, a través de la Tesorería, tiene a su cargo el ejercicio administrativo financiero de la Hacienda Pública Municipal; y de acuerdo con el artículo 62 del mismo ordenamiento, la Tesorería Municipal es el órgano encargado de la recaudación de los ingresos y la responsable de realizar las erogaciones que lleve a cabo la Administración Pública Municipal.</w:t>
      </w:r>
    </w:p>
    <w:p w14:paraId="6CF45321" w14:textId="77777777" w:rsidR="00505792" w:rsidRPr="000A1E5F" w:rsidRDefault="00505792" w:rsidP="000A1E5F">
      <w:pPr>
        <w:rPr>
          <w:rFonts w:eastAsia="Palatino Linotype" w:cs="Palatino Linotype"/>
          <w:szCs w:val="22"/>
        </w:rPr>
      </w:pPr>
    </w:p>
    <w:p w14:paraId="7425FC91" w14:textId="77777777" w:rsidR="00505792" w:rsidRPr="000A1E5F" w:rsidRDefault="00505792" w:rsidP="000A1E5F">
      <w:pPr>
        <w:rPr>
          <w:rFonts w:eastAsia="Palatino Linotype" w:cs="Palatino Linotype"/>
          <w:szCs w:val="22"/>
        </w:rPr>
      </w:pPr>
      <w:r w:rsidRPr="000A1E5F">
        <w:rPr>
          <w:rFonts w:eastAsia="Palatino Linotype" w:cs="Palatino Linotype"/>
          <w:szCs w:val="22"/>
        </w:rPr>
        <w:t>De lo anterior se desprende que la Tesorería es el área que administra los recursos públicos y, por tanto, tiene bajo su resguardo la documentación comprobatoria de los egresos, entre los que se encuentran las facturas derivadas de la compra o arrendamiento de patrullas.</w:t>
      </w:r>
    </w:p>
    <w:p w14:paraId="70572FF3" w14:textId="77777777" w:rsidR="00505792" w:rsidRPr="000A1E5F" w:rsidRDefault="00505792" w:rsidP="000A1E5F">
      <w:pPr>
        <w:rPr>
          <w:rFonts w:eastAsia="Palatino Linotype" w:cs="Palatino Linotype"/>
          <w:szCs w:val="22"/>
        </w:rPr>
      </w:pPr>
    </w:p>
    <w:p w14:paraId="41579D10" w14:textId="65BDD80D" w:rsidR="00505792" w:rsidRPr="000A1E5F" w:rsidRDefault="00505792" w:rsidP="000A1E5F">
      <w:pPr>
        <w:rPr>
          <w:rFonts w:eastAsia="Palatino Linotype" w:cs="Palatino Linotype"/>
          <w:szCs w:val="22"/>
        </w:rPr>
      </w:pPr>
      <w:r w:rsidRPr="000A1E5F">
        <w:rPr>
          <w:rFonts w:eastAsia="Palatino Linotype" w:cs="Palatino Linotype"/>
          <w:szCs w:val="22"/>
        </w:rPr>
        <w:t xml:space="preserve">Por tanto, para garantizar el pleno ejercicio del derecho de acceso a la información, este </w:t>
      </w:r>
      <w:r w:rsidR="00860051" w:rsidRPr="000A1E5F">
        <w:rPr>
          <w:rFonts w:eastAsia="Palatino Linotype" w:cs="Palatino Linotype"/>
          <w:szCs w:val="22"/>
        </w:rPr>
        <w:t xml:space="preserve">Órgano Garante </w:t>
      </w:r>
      <w:r w:rsidRPr="000A1E5F">
        <w:rPr>
          <w:rFonts w:eastAsia="Palatino Linotype" w:cs="Palatino Linotype"/>
          <w:szCs w:val="22"/>
        </w:rPr>
        <w:t xml:space="preserve">concluye que </w:t>
      </w:r>
      <w:r w:rsidR="009E6C97" w:rsidRPr="000A1E5F">
        <w:rPr>
          <w:rFonts w:eastAsia="Palatino Linotype" w:cs="Palatino Linotype"/>
          <w:b/>
          <w:szCs w:val="22"/>
        </w:rPr>
        <w:t>EL SUJETO OBLIGADO</w:t>
      </w:r>
      <w:r w:rsidR="009E6C97" w:rsidRPr="000A1E5F">
        <w:rPr>
          <w:rFonts w:eastAsia="Palatino Linotype" w:cs="Palatino Linotype"/>
          <w:szCs w:val="22"/>
        </w:rPr>
        <w:t xml:space="preserve"> </w:t>
      </w:r>
      <w:r w:rsidRPr="000A1E5F">
        <w:rPr>
          <w:rFonts w:eastAsia="Palatino Linotype" w:cs="Palatino Linotype"/>
          <w:szCs w:val="22"/>
        </w:rPr>
        <w:t>deberá realizar una búsqueda exhaustiva y razonable en todas sus unidad</w:t>
      </w:r>
      <w:r w:rsidR="00D45D0D" w:rsidRPr="000A1E5F">
        <w:rPr>
          <w:rFonts w:eastAsia="Palatino Linotype" w:cs="Palatino Linotype"/>
          <w:szCs w:val="22"/>
        </w:rPr>
        <w:t xml:space="preserve">es administrativas competentes, </w:t>
      </w:r>
      <w:r w:rsidRPr="000A1E5F">
        <w:rPr>
          <w:rFonts w:eastAsia="Palatino Linotype" w:cs="Palatino Linotype"/>
          <w:szCs w:val="22"/>
        </w:rPr>
        <w:t>incluyendo expresa</w:t>
      </w:r>
      <w:r w:rsidR="00D45D0D" w:rsidRPr="000A1E5F">
        <w:rPr>
          <w:rFonts w:eastAsia="Palatino Linotype" w:cs="Palatino Linotype"/>
          <w:szCs w:val="22"/>
        </w:rPr>
        <w:t xml:space="preserve">mente a la Tesorería Municipal </w:t>
      </w:r>
      <w:r w:rsidRPr="000A1E5F">
        <w:rPr>
          <w:rFonts w:eastAsia="Palatino Linotype" w:cs="Palatino Linotype"/>
          <w:szCs w:val="22"/>
        </w:rPr>
        <w:t xml:space="preserve">y entregar </w:t>
      </w:r>
      <w:r w:rsidRPr="000A1E5F">
        <w:rPr>
          <w:rFonts w:eastAsia="Palatino Linotype"/>
        </w:rPr>
        <w:t>a</w:t>
      </w:r>
      <w:r w:rsidR="009E6C97" w:rsidRPr="000A1E5F">
        <w:rPr>
          <w:rFonts w:eastAsia="Palatino Linotype"/>
        </w:rPr>
        <w:t xml:space="preserve"> </w:t>
      </w:r>
      <w:r w:rsidR="009E6C97" w:rsidRPr="000A1E5F">
        <w:rPr>
          <w:rFonts w:eastAsia="Palatino Linotype"/>
          <w:b/>
        </w:rPr>
        <w:t>LA PARTE RECURRENTE</w:t>
      </w:r>
      <w:r w:rsidR="009E6C97" w:rsidRPr="000A1E5F">
        <w:rPr>
          <w:rFonts w:eastAsia="Palatino Linotype"/>
        </w:rPr>
        <w:t xml:space="preserve"> </w:t>
      </w:r>
      <w:r w:rsidRPr="000A1E5F">
        <w:rPr>
          <w:rFonts w:eastAsia="Palatino Linotype" w:cs="Palatino Linotype"/>
          <w:szCs w:val="22"/>
        </w:rPr>
        <w:t>las facturas por concepto de compra o arrendamiento de patrullas con las que cuente el municipio a la fecha de la solicitud.</w:t>
      </w:r>
    </w:p>
    <w:p w14:paraId="35FB1C0A" w14:textId="77777777" w:rsidR="00505792" w:rsidRPr="000A1E5F" w:rsidRDefault="00505792" w:rsidP="000A1E5F">
      <w:pPr>
        <w:rPr>
          <w:szCs w:val="22"/>
        </w:rPr>
      </w:pPr>
    </w:p>
    <w:p w14:paraId="72CDA3AE" w14:textId="77777777" w:rsidR="00505792" w:rsidRPr="000A1E5F" w:rsidRDefault="00505792" w:rsidP="000A1E5F">
      <w:pPr>
        <w:pStyle w:val="Ttulo3"/>
        <w:rPr>
          <w:szCs w:val="22"/>
        </w:rPr>
      </w:pPr>
      <w:bookmarkStart w:id="31" w:name="_Toc174466654"/>
      <w:bookmarkStart w:id="32" w:name="_Toc172051201"/>
      <w:bookmarkStart w:id="33" w:name="_Toc170898812"/>
      <w:bookmarkStart w:id="34" w:name="_Toc192502236"/>
      <w:bookmarkStart w:id="35" w:name="_Toc206058493"/>
      <w:bookmarkStart w:id="36" w:name="_Toc207226114"/>
      <w:r w:rsidRPr="000A1E5F">
        <w:rPr>
          <w:szCs w:val="22"/>
        </w:rPr>
        <w:t>d) Versión pública</w:t>
      </w:r>
      <w:bookmarkEnd w:id="31"/>
      <w:bookmarkEnd w:id="32"/>
      <w:bookmarkEnd w:id="33"/>
      <w:bookmarkEnd w:id="34"/>
      <w:bookmarkEnd w:id="35"/>
      <w:bookmarkEnd w:id="36"/>
    </w:p>
    <w:p w14:paraId="560D3E93" w14:textId="77777777" w:rsidR="00505792" w:rsidRPr="000A1E5F" w:rsidRDefault="00505792" w:rsidP="000A1E5F">
      <w:pPr>
        <w:rPr>
          <w:bCs/>
          <w:szCs w:val="22"/>
        </w:rPr>
      </w:pPr>
      <w:r w:rsidRPr="000A1E5F">
        <w:rPr>
          <w:szCs w:val="22"/>
        </w:rPr>
        <w:t xml:space="preserve">Para el caso de que el o los documentos de los cuales se ordena su entrega contengan datos personales susceptibles de ser testados, deberán ser entregados en </w:t>
      </w:r>
      <w:r w:rsidRPr="000A1E5F">
        <w:rPr>
          <w:b/>
          <w:szCs w:val="22"/>
        </w:rPr>
        <w:t>versión pública</w:t>
      </w:r>
      <w:r w:rsidRPr="000A1E5F">
        <w:rPr>
          <w:szCs w:val="22"/>
        </w:rPr>
        <w:t>, pues el</w:t>
      </w:r>
      <w:r w:rsidRPr="000A1E5F">
        <w:rPr>
          <w:bCs/>
          <w:szCs w:val="22"/>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w:t>
      </w:r>
      <w:r w:rsidRPr="000A1E5F">
        <w:rPr>
          <w:bCs/>
          <w:szCs w:val="22"/>
        </w:rPr>
        <w:lastRenderedPageBreak/>
        <w:t>constitucionales de máxima publicidad y de protección de datos personales, la ley permite la elaboración de versiones públicas en las que se suprima aquella información relacionada con la vida privada de los particulares.</w:t>
      </w:r>
    </w:p>
    <w:p w14:paraId="55266AB0" w14:textId="77777777" w:rsidR="00505792" w:rsidRPr="000A1E5F" w:rsidRDefault="00505792" w:rsidP="000A1E5F">
      <w:pPr>
        <w:rPr>
          <w:rFonts w:eastAsia="Calibri"/>
          <w:bCs/>
          <w:szCs w:val="22"/>
          <w:lang w:eastAsia="en-US"/>
        </w:rPr>
      </w:pPr>
    </w:p>
    <w:p w14:paraId="3DD7C13F" w14:textId="77777777" w:rsidR="00505792" w:rsidRPr="000A1E5F" w:rsidRDefault="00505792" w:rsidP="000A1E5F">
      <w:pPr>
        <w:rPr>
          <w:bCs/>
          <w:szCs w:val="22"/>
        </w:rPr>
      </w:pPr>
      <w:r w:rsidRPr="000A1E5F">
        <w:rPr>
          <w:bCs/>
          <w:szCs w:val="22"/>
        </w:rPr>
        <w:t>A este respecto, los artículos 3, fracciones IX, XX, XXI y XLV; 51 y 52 de la Ley de Transparencia y Acceso a la Información Pública del Estado de México y Municipios establecen:</w:t>
      </w:r>
    </w:p>
    <w:p w14:paraId="191D6987" w14:textId="77777777" w:rsidR="00505792" w:rsidRPr="000A1E5F" w:rsidRDefault="00505792" w:rsidP="000A1E5F">
      <w:pPr>
        <w:rPr>
          <w:szCs w:val="22"/>
        </w:rPr>
      </w:pPr>
    </w:p>
    <w:p w14:paraId="18661924" w14:textId="77777777" w:rsidR="00505792" w:rsidRPr="000A1E5F" w:rsidRDefault="00505792" w:rsidP="000A1E5F">
      <w:pPr>
        <w:pStyle w:val="Puesto"/>
        <w:rPr>
          <w:szCs w:val="22"/>
        </w:rPr>
      </w:pPr>
      <w:r w:rsidRPr="000A1E5F">
        <w:rPr>
          <w:b/>
          <w:bCs/>
          <w:noProof/>
          <w:szCs w:val="22"/>
        </w:rPr>
        <w:t>“</w:t>
      </w:r>
      <w:r w:rsidRPr="000A1E5F">
        <w:rPr>
          <w:b/>
          <w:bCs/>
          <w:szCs w:val="22"/>
        </w:rPr>
        <w:t xml:space="preserve">Artículo 3. </w:t>
      </w:r>
      <w:r w:rsidRPr="000A1E5F">
        <w:rPr>
          <w:szCs w:val="22"/>
        </w:rPr>
        <w:t xml:space="preserve">Para los efectos de la presente Ley se entenderá por: </w:t>
      </w:r>
    </w:p>
    <w:p w14:paraId="1FDF3D4B" w14:textId="77777777" w:rsidR="00505792" w:rsidRPr="000A1E5F" w:rsidRDefault="00505792" w:rsidP="000A1E5F">
      <w:pPr>
        <w:pStyle w:val="Puesto"/>
        <w:rPr>
          <w:szCs w:val="22"/>
        </w:rPr>
      </w:pPr>
      <w:r w:rsidRPr="000A1E5F">
        <w:rPr>
          <w:b/>
          <w:szCs w:val="22"/>
        </w:rPr>
        <w:t>IX.</w:t>
      </w:r>
      <w:r w:rsidRPr="000A1E5F">
        <w:rPr>
          <w:szCs w:val="22"/>
        </w:rPr>
        <w:t xml:space="preserve"> </w:t>
      </w:r>
      <w:r w:rsidRPr="000A1E5F">
        <w:rPr>
          <w:b/>
          <w:szCs w:val="22"/>
        </w:rPr>
        <w:t xml:space="preserve">Datos personales: </w:t>
      </w:r>
      <w:r w:rsidRPr="000A1E5F">
        <w:rPr>
          <w:szCs w:val="22"/>
        </w:rPr>
        <w:t xml:space="preserve">La información concerniente a una persona, identificada o identificable según lo dispuesto por la Ley de Protección de Datos Personales del Estado de México; </w:t>
      </w:r>
    </w:p>
    <w:p w14:paraId="523F1719" w14:textId="77777777" w:rsidR="00505792" w:rsidRPr="000A1E5F" w:rsidRDefault="00505792" w:rsidP="000A1E5F">
      <w:pPr>
        <w:rPr>
          <w:szCs w:val="22"/>
        </w:rPr>
      </w:pPr>
    </w:p>
    <w:p w14:paraId="59660467" w14:textId="77777777" w:rsidR="00505792" w:rsidRPr="000A1E5F" w:rsidRDefault="00505792" w:rsidP="000A1E5F">
      <w:pPr>
        <w:pStyle w:val="Puesto"/>
        <w:rPr>
          <w:szCs w:val="22"/>
        </w:rPr>
      </w:pPr>
      <w:r w:rsidRPr="000A1E5F">
        <w:rPr>
          <w:b/>
          <w:szCs w:val="22"/>
        </w:rPr>
        <w:t>XX.</w:t>
      </w:r>
      <w:r w:rsidRPr="000A1E5F">
        <w:rPr>
          <w:szCs w:val="22"/>
        </w:rPr>
        <w:t xml:space="preserve"> </w:t>
      </w:r>
      <w:r w:rsidRPr="000A1E5F">
        <w:rPr>
          <w:b/>
          <w:szCs w:val="22"/>
        </w:rPr>
        <w:t>Información clasificada:</w:t>
      </w:r>
      <w:r w:rsidRPr="000A1E5F">
        <w:rPr>
          <w:szCs w:val="22"/>
        </w:rPr>
        <w:t xml:space="preserve"> Aquella considerada por la presente Ley como reservada o confidencial; </w:t>
      </w:r>
    </w:p>
    <w:p w14:paraId="39C3D9F5" w14:textId="77777777" w:rsidR="00505792" w:rsidRPr="000A1E5F" w:rsidRDefault="00505792" w:rsidP="000A1E5F">
      <w:pPr>
        <w:rPr>
          <w:szCs w:val="22"/>
        </w:rPr>
      </w:pPr>
    </w:p>
    <w:p w14:paraId="298D4D1E" w14:textId="77777777" w:rsidR="00505792" w:rsidRPr="000A1E5F" w:rsidRDefault="00505792" w:rsidP="000A1E5F">
      <w:pPr>
        <w:pStyle w:val="Puesto"/>
        <w:rPr>
          <w:szCs w:val="22"/>
        </w:rPr>
      </w:pPr>
      <w:r w:rsidRPr="000A1E5F">
        <w:rPr>
          <w:b/>
          <w:szCs w:val="22"/>
        </w:rPr>
        <w:t>XXI.</w:t>
      </w:r>
      <w:r w:rsidRPr="000A1E5F">
        <w:rPr>
          <w:szCs w:val="22"/>
        </w:rPr>
        <w:t xml:space="preserve"> </w:t>
      </w:r>
      <w:r w:rsidRPr="000A1E5F">
        <w:rPr>
          <w:b/>
          <w:szCs w:val="22"/>
        </w:rPr>
        <w:t>Información confidencial</w:t>
      </w:r>
      <w:r w:rsidRPr="000A1E5F">
        <w:rPr>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CD44BD2" w14:textId="77777777" w:rsidR="00505792" w:rsidRPr="000A1E5F" w:rsidRDefault="00505792" w:rsidP="000A1E5F">
      <w:pPr>
        <w:rPr>
          <w:szCs w:val="22"/>
        </w:rPr>
      </w:pPr>
    </w:p>
    <w:p w14:paraId="676D7B8C" w14:textId="77777777" w:rsidR="00505792" w:rsidRPr="000A1E5F" w:rsidRDefault="00505792" w:rsidP="000A1E5F">
      <w:pPr>
        <w:pStyle w:val="Puesto"/>
        <w:rPr>
          <w:szCs w:val="22"/>
        </w:rPr>
      </w:pPr>
      <w:r w:rsidRPr="000A1E5F">
        <w:rPr>
          <w:b/>
          <w:szCs w:val="22"/>
        </w:rPr>
        <w:t>XLV. Versión pública:</w:t>
      </w:r>
      <w:r w:rsidRPr="000A1E5F">
        <w:rPr>
          <w:szCs w:val="22"/>
        </w:rPr>
        <w:t xml:space="preserve"> Documento en el que se elimine, suprime o borra la información clasificada como reservada o confidencial para permitir su acceso. </w:t>
      </w:r>
    </w:p>
    <w:p w14:paraId="6E2995E7" w14:textId="77777777" w:rsidR="00505792" w:rsidRPr="000A1E5F" w:rsidRDefault="00505792" w:rsidP="000A1E5F">
      <w:pPr>
        <w:rPr>
          <w:szCs w:val="22"/>
        </w:rPr>
      </w:pPr>
    </w:p>
    <w:p w14:paraId="4C68BC46" w14:textId="77777777" w:rsidR="00505792" w:rsidRPr="000A1E5F" w:rsidRDefault="00505792" w:rsidP="000A1E5F">
      <w:pPr>
        <w:pStyle w:val="Puesto"/>
        <w:rPr>
          <w:szCs w:val="22"/>
        </w:rPr>
      </w:pPr>
      <w:r w:rsidRPr="000A1E5F">
        <w:rPr>
          <w:b/>
          <w:szCs w:val="22"/>
        </w:rPr>
        <w:t>Artículo 51.</w:t>
      </w:r>
      <w:r w:rsidRPr="000A1E5F">
        <w:rPr>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A1E5F">
        <w:rPr>
          <w:b/>
          <w:szCs w:val="22"/>
        </w:rPr>
        <w:t xml:space="preserve">y tendrá la responsabilidad de verificar en cada caso que la misma no sea confidencial o reservada. </w:t>
      </w:r>
      <w:r w:rsidRPr="000A1E5F">
        <w:rPr>
          <w:szCs w:val="22"/>
        </w:rPr>
        <w:t>Dicha Unidad contará con las facultades internas necesarias para gestionar la atención a las solicitudes de información en los términos de la Ley General y la presente Ley.</w:t>
      </w:r>
    </w:p>
    <w:p w14:paraId="690B9EEC" w14:textId="77777777" w:rsidR="00505792" w:rsidRPr="000A1E5F" w:rsidRDefault="00505792" w:rsidP="000A1E5F">
      <w:pPr>
        <w:rPr>
          <w:szCs w:val="22"/>
        </w:rPr>
      </w:pPr>
    </w:p>
    <w:p w14:paraId="7DDCA73C" w14:textId="77777777" w:rsidR="00505792" w:rsidRPr="000A1E5F" w:rsidRDefault="00505792" w:rsidP="000A1E5F">
      <w:pPr>
        <w:pStyle w:val="Puesto"/>
        <w:rPr>
          <w:szCs w:val="22"/>
        </w:rPr>
      </w:pPr>
      <w:r w:rsidRPr="000A1E5F">
        <w:rPr>
          <w:b/>
          <w:szCs w:val="22"/>
        </w:rPr>
        <w:t>Artículo 52.</w:t>
      </w:r>
      <w:r w:rsidRPr="000A1E5F">
        <w:rPr>
          <w:szCs w:val="22"/>
        </w:rPr>
        <w:t xml:space="preserve"> Las solicitudes de acceso a la información y las respuestas que se les dé, incluyendo, en su caso, </w:t>
      </w:r>
      <w:r w:rsidRPr="000A1E5F">
        <w:rPr>
          <w:szCs w:val="22"/>
          <w:u w:val="single"/>
        </w:rPr>
        <w:t xml:space="preserve">la información entregada, así como las resoluciones a los recursos </w:t>
      </w:r>
      <w:r w:rsidRPr="000A1E5F">
        <w:rPr>
          <w:szCs w:val="22"/>
          <w:u w:val="single"/>
        </w:rPr>
        <w:lastRenderedPageBreak/>
        <w:t>que en su caso se promuevan serán públicas, y de ser el caso que contenga datos personales que deban ser protegidos se podrá dar su acceso en su versión pública</w:t>
      </w:r>
      <w:r w:rsidRPr="000A1E5F">
        <w:rPr>
          <w:szCs w:val="22"/>
        </w:rPr>
        <w:t>, siempre y cuando la resolución de referencia se someta a un proceso de disociación, es decir, no haga identificable al titular de tales datos personales.</w:t>
      </w:r>
      <w:r w:rsidRPr="000A1E5F">
        <w:rPr>
          <w:bCs/>
          <w:noProof/>
          <w:szCs w:val="22"/>
        </w:rPr>
        <w:t xml:space="preserve">” </w:t>
      </w:r>
      <w:r w:rsidRPr="000A1E5F">
        <w:rPr>
          <w:i w:val="0"/>
          <w:iCs/>
          <w:szCs w:val="22"/>
        </w:rPr>
        <w:t>(Énfasis añadido)</w:t>
      </w:r>
    </w:p>
    <w:p w14:paraId="1508B165" w14:textId="77777777" w:rsidR="00505792" w:rsidRPr="000A1E5F" w:rsidRDefault="00505792" w:rsidP="000A1E5F">
      <w:pPr>
        <w:rPr>
          <w:szCs w:val="22"/>
        </w:rPr>
      </w:pPr>
    </w:p>
    <w:p w14:paraId="098A2844" w14:textId="77777777" w:rsidR="00505792" w:rsidRPr="000A1E5F" w:rsidRDefault="00505792" w:rsidP="000A1E5F">
      <w:pPr>
        <w:rPr>
          <w:szCs w:val="22"/>
        </w:rPr>
      </w:pPr>
      <w:r w:rsidRPr="000A1E5F">
        <w:rPr>
          <w:szCs w:val="22"/>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4377180" w14:textId="77777777" w:rsidR="00505792" w:rsidRPr="000A1E5F" w:rsidRDefault="00505792" w:rsidP="000A1E5F">
      <w:pPr>
        <w:rPr>
          <w:szCs w:val="22"/>
        </w:rPr>
      </w:pPr>
    </w:p>
    <w:p w14:paraId="2E0A0934" w14:textId="77777777" w:rsidR="00505792" w:rsidRPr="000A1E5F" w:rsidRDefault="00505792" w:rsidP="000A1E5F">
      <w:pPr>
        <w:pStyle w:val="Puesto"/>
        <w:rPr>
          <w:rFonts w:eastAsia="Arial Unicode MS"/>
          <w:szCs w:val="22"/>
        </w:rPr>
      </w:pPr>
      <w:r w:rsidRPr="000A1E5F">
        <w:rPr>
          <w:rFonts w:eastAsia="Arial Unicode MS"/>
          <w:b/>
          <w:szCs w:val="22"/>
        </w:rPr>
        <w:t>“Artículo 22.</w:t>
      </w:r>
      <w:r w:rsidRPr="000A1E5F">
        <w:rPr>
          <w:rFonts w:eastAsia="Arial Unicode MS"/>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20FD13A" w14:textId="77777777" w:rsidR="00505792" w:rsidRPr="000A1E5F" w:rsidRDefault="00505792" w:rsidP="000A1E5F">
      <w:pPr>
        <w:rPr>
          <w:rFonts w:eastAsia="Arial Unicode MS"/>
          <w:szCs w:val="22"/>
        </w:rPr>
      </w:pPr>
    </w:p>
    <w:p w14:paraId="43DA86E5" w14:textId="77777777" w:rsidR="00505792" w:rsidRPr="000A1E5F" w:rsidRDefault="00505792" w:rsidP="000A1E5F">
      <w:pPr>
        <w:pStyle w:val="Puesto"/>
        <w:rPr>
          <w:rFonts w:eastAsia="Arial Unicode MS"/>
          <w:szCs w:val="22"/>
        </w:rPr>
      </w:pPr>
      <w:r w:rsidRPr="000A1E5F">
        <w:rPr>
          <w:rFonts w:eastAsia="Arial Unicode MS"/>
          <w:b/>
          <w:szCs w:val="22"/>
        </w:rPr>
        <w:t>Artículo 38.</w:t>
      </w:r>
      <w:r w:rsidRPr="000A1E5F">
        <w:rPr>
          <w:rFonts w:eastAsia="Arial Unicode MS"/>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A1E5F">
        <w:rPr>
          <w:rFonts w:eastAsia="Arial Unicode MS"/>
          <w:b/>
          <w:szCs w:val="22"/>
        </w:rPr>
        <w:t>”</w:t>
      </w:r>
      <w:r w:rsidRPr="000A1E5F">
        <w:rPr>
          <w:rFonts w:eastAsia="Arial Unicode MS"/>
          <w:szCs w:val="22"/>
        </w:rPr>
        <w:t xml:space="preserve"> </w:t>
      </w:r>
    </w:p>
    <w:p w14:paraId="3175DD74" w14:textId="77777777" w:rsidR="00505792" w:rsidRPr="000A1E5F" w:rsidRDefault="00505792" w:rsidP="000A1E5F">
      <w:pPr>
        <w:rPr>
          <w:rFonts w:eastAsia="Arial Unicode MS"/>
          <w:i/>
          <w:szCs w:val="22"/>
        </w:rPr>
      </w:pPr>
    </w:p>
    <w:p w14:paraId="11BD71F3" w14:textId="77777777" w:rsidR="00505792" w:rsidRPr="000A1E5F" w:rsidRDefault="00505792" w:rsidP="000A1E5F">
      <w:pPr>
        <w:rPr>
          <w:szCs w:val="22"/>
        </w:rPr>
      </w:pPr>
      <w:r w:rsidRPr="000A1E5F">
        <w:rPr>
          <w:szCs w:val="22"/>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BC943B5" w14:textId="77777777" w:rsidR="00505792" w:rsidRPr="000A1E5F" w:rsidRDefault="00505792" w:rsidP="000A1E5F">
      <w:pPr>
        <w:rPr>
          <w:szCs w:val="22"/>
        </w:rPr>
      </w:pPr>
    </w:p>
    <w:p w14:paraId="633734B8" w14:textId="77777777" w:rsidR="00505792" w:rsidRPr="000A1E5F" w:rsidRDefault="00505792" w:rsidP="000A1E5F">
      <w:pPr>
        <w:rPr>
          <w:szCs w:val="22"/>
        </w:rPr>
      </w:pPr>
      <w:r w:rsidRPr="000A1E5F">
        <w:rPr>
          <w:szCs w:val="22"/>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0A1E5F">
        <w:rPr>
          <w:rFonts w:eastAsia="Arial Unicode MS"/>
          <w:szCs w:val="22"/>
        </w:rPr>
        <w:t xml:space="preserve"> que debe ser protegida por </w:t>
      </w:r>
      <w:r w:rsidRPr="000A1E5F">
        <w:rPr>
          <w:rFonts w:eastAsia="Arial Unicode MS"/>
          <w:b/>
          <w:szCs w:val="22"/>
        </w:rPr>
        <w:t>EL SUJETO OBLIGADO,</w:t>
      </w:r>
      <w:r w:rsidRPr="000A1E5F">
        <w:rPr>
          <w:rFonts w:eastAsia="Arial Unicode MS"/>
          <w:szCs w:val="22"/>
        </w:rPr>
        <w:t xml:space="preserve"> por lo </w:t>
      </w:r>
      <w:r w:rsidRPr="000A1E5F">
        <w:rPr>
          <w:szCs w:val="22"/>
        </w:rPr>
        <w:t>que, todo dato personal susceptible de clasificación debe ser protegido.</w:t>
      </w:r>
    </w:p>
    <w:p w14:paraId="57EE5900" w14:textId="77777777" w:rsidR="00505792" w:rsidRPr="000A1E5F" w:rsidRDefault="00505792" w:rsidP="000A1E5F">
      <w:pPr>
        <w:rPr>
          <w:szCs w:val="22"/>
        </w:rPr>
      </w:pPr>
    </w:p>
    <w:p w14:paraId="6DD92CE3" w14:textId="77777777" w:rsidR="00505792" w:rsidRPr="000A1E5F" w:rsidRDefault="00505792" w:rsidP="000A1E5F">
      <w:pPr>
        <w:rPr>
          <w:szCs w:val="22"/>
        </w:rPr>
      </w:pPr>
      <w:r w:rsidRPr="000A1E5F">
        <w:rPr>
          <w:szCs w:val="22"/>
        </w:rPr>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F9C0324" w14:textId="77777777" w:rsidR="00505792" w:rsidRPr="000A1E5F" w:rsidRDefault="00505792" w:rsidP="000A1E5F">
      <w:pPr>
        <w:rPr>
          <w:szCs w:val="22"/>
        </w:rPr>
      </w:pPr>
    </w:p>
    <w:p w14:paraId="5F314D86" w14:textId="77777777" w:rsidR="00505792" w:rsidRPr="000A1E5F" w:rsidRDefault="00505792" w:rsidP="000A1E5F">
      <w:pPr>
        <w:rPr>
          <w:szCs w:val="22"/>
        </w:rPr>
      </w:pPr>
      <w:r w:rsidRPr="000A1E5F">
        <w:rPr>
          <w:szCs w:val="22"/>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177F888" w14:textId="77777777" w:rsidR="00505792" w:rsidRPr="000A1E5F" w:rsidRDefault="00505792" w:rsidP="000A1E5F">
      <w:pPr>
        <w:rPr>
          <w:szCs w:val="22"/>
        </w:rPr>
      </w:pPr>
    </w:p>
    <w:p w14:paraId="72862DA1" w14:textId="77777777" w:rsidR="00505792" w:rsidRPr="000A1E5F" w:rsidRDefault="00505792" w:rsidP="000A1E5F">
      <w:pPr>
        <w:jc w:val="center"/>
        <w:rPr>
          <w:b/>
          <w:i/>
          <w:szCs w:val="22"/>
        </w:rPr>
      </w:pPr>
      <w:r w:rsidRPr="000A1E5F">
        <w:rPr>
          <w:b/>
          <w:i/>
          <w:szCs w:val="22"/>
          <w:lang w:val="es-ES_tradnl"/>
        </w:rPr>
        <w:t>Ley de Transparencia y Acceso a la Información Pública del Estado de México y Municipios</w:t>
      </w:r>
    </w:p>
    <w:p w14:paraId="20916A7C" w14:textId="77777777" w:rsidR="00505792" w:rsidRPr="000A1E5F" w:rsidRDefault="00505792" w:rsidP="000A1E5F">
      <w:pPr>
        <w:rPr>
          <w:szCs w:val="22"/>
        </w:rPr>
      </w:pPr>
    </w:p>
    <w:p w14:paraId="05AED2C5" w14:textId="77777777" w:rsidR="00505792" w:rsidRPr="000A1E5F" w:rsidRDefault="00505792" w:rsidP="000A1E5F">
      <w:pPr>
        <w:pStyle w:val="Puesto"/>
        <w:rPr>
          <w:szCs w:val="22"/>
        </w:rPr>
      </w:pPr>
      <w:r w:rsidRPr="000A1E5F">
        <w:rPr>
          <w:b/>
          <w:szCs w:val="22"/>
        </w:rPr>
        <w:t xml:space="preserve">“Artículo 49. </w:t>
      </w:r>
      <w:r w:rsidRPr="000A1E5F">
        <w:rPr>
          <w:szCs w:val="22"/>
        </w:rPr>
        <w:t>Los Comités de Transparencia tendrán las siguientes atribuciones:</w:t>
      </w:r>
    </w:p>
    <w:p w14:paraId="1ED87A21" w14:textId="77777777" w:rsidR="00505792" w:rsidRPr="000A1E5F" w:rsidRDefault="00505792" w:rsidP="000A1E5F">
      <w:pPr>
        <w:pStyle w:val="Puesto"/>
        <w:rPr>
          <w:szCs w:val="22"/>
        </w:rPr>
      </w:pPr>
      <w:r w:rsidRPr="000A1E5F">
        <w:rPr>
          <w:b/>
          <w:szCs w:val="22"/>
        </w:rPr>
        <w:t>VIII.</w:t>
      </w:r>
      <w:r w:rsidRPr="000A1E5F">
        <w:rPr>
          <w:szCs w:val="22"/>
        </w:rPr>
        <w:t xml:space="preserve"> Aprobar, modificar o revocar la clasificación de la información;</w:t>
      </w:r>
    </w:p>
    <w:p w14:paraId="71D1FE0E" w14:textId="77777777" w:rsidR="00505792" w:rsidRPr="000A1E5F" w:rsidRDefault="00505792" w:rsidP="000A1E5F">
      <w:pPr>
        <w:rPr>
          <w:szCs w:val="22"/>
        </w:rPr>
      </w:pPr>
    </w:p>
    <w:p w14:paraId="200C5686" w14:textId="77777777" w:rsidR="00505792" w:rsidRPr="000A1E5F" w:rsidRDefault="00505792" w:rsidP="000A1E5F">
      <w:pPr>
        <w:pStyle w:val="Puesto"/>
        <w:rPr>
          <w:szCs w:val="22"/>
        </w:rPr>
      </w:pPr>
      <w:r w:rsidRPr="000A1E5F">
        <w:rPr>
          <w:b/>
          <w:szCs w:val="22"/>
        </w:rPr>
        <w:lastRenderedPageBreak/>
        <w:t>Artículo 132.</w:t>
      </w:r>
      <w:r w:rsidRPr="000A1E5F">
        <w:rPr>
          <w:szCs w:val="22"/>
        </w:rPr>
        <w:t xml:space="preserve"> La clasificación de la información se llevará a cabo en el momento en que:</w:t>
      </w:r>
    </w:p>
    <w:p w14:paraId="14601AD7" w14:textId="77777777" w:rsidR="00505792" w:rsidRPr="000A1E5F" w:rsidRDefault="00505792" w:rsidP="000A1E5F">
      <w:pPr>
        <w:pStyle w:val="Puesto"/>
        <w:rPr>
          <w:szCs w:val="22"/>
        </w:rPr>
      </w:pPr>
      <w:r w:rsidRPr="000A1E5F">
        <w:rPr>
          <w:b/>
          <w:szCs w:val="22"/>
        </w:rPr>
        <w:t>I.</w:t>
      </w:r>
      <w:r w:rsidRPr="000A1E5F">
        <w:rPr>
          <w:szCs w:val="22"/>
        </w:rPr>
        <w:t xml:space="preserve"> Se reciba una solicitud de acceso a la información;</w:t>
      </w:r>
    </w:p>
    <w:p w14:paraId="45F25A82" w14:textId="77777777" w:rsidR="00505792" w:rsidRPr="000A1E5F" w:rsidRDefault="00505792" w:rsidP="000A1E5F">
      <w:pPr>
        <w:pStyle w:val="Puesto"/>
        <w:rPr>
          <w:szCs w:val="22"/>
        </w:rPr>
      </w:pPr>
      <w:r w:rsidRPr="000A1E5F">
        <w:rPr>
          <w:b/>
          <w:szCs w:val="22"/>
        </w:rPr>
        <w:t>II.</w:t>
      </w:r>
      <w:r w:rsidRPr="000A1E5F">
        <w:rPr>
          <w:szCs w:val="22"/>
        </w:rPr>
        <w:t xml:space="preserve"> Se determine mediante resolución de autoridad competente; o</w:t>
      </w:r>
    </w:p>
    <w:p w14:paraId="7D87141A" w14:textId="77777777" w:rsidR="00505792" w:rsidRPr="000A1E5F" w:rsidRDefault="00505792" w:rsidP="000A1E5F">
      <w:pPr>
        <w:pStyle w:val="Puesto"/>
        <w:rPr>
          <w:b/>
          <w:szCs w:val="22"/>
        </w:rPr>
      </w:pPr>
      <w:r w:rsidRPr="000A1E5F">
        <w:rPr>
          <w:b/>
          <w:bCs/>
          <w:szCs w:val="22"/>
        </w:rPr>
        <w:t>III.</w:t>
      </w:r>
      <w:r w:rsidRPr="000A1E5F">
        <w:rPr>
          <w:szCs w:val="22"/>
        </w:rPr>
        <w:t xml:space="preserve"> Se generen versiones públicas para dar cumplimiento a las obligaciones de transparencia previstas en esta Ley.</w:t>
      </w:r>
      <w:r w:rsidRPr="000A1E5F">
        <w:rPr>
          <w:b/>
          <w:szCs w:val="22"/>
        </w:rPr>
        <w:t>”</w:t>
      </w:r>
    </w:p>
    <w:p w14:paraId="421B1258" w14:textId="77777777" w:rsidR="00505792" w:rsidRPr="000A1E5F" w:rsidRDefault="00505792" w:rsidP="000A1E5F">
      <w:pPr>
        <w:rPr>
          <w:szCs w:val="22"/>
        </w:rPr>
      </w:pPr>
    </w:p>
    <w:p w14:paraId="239B9F33" w14:textId="77777777" w:rsidR="00505792" w:rsidRPr="000A1E5F" w:rsidRDefault="00505792" w:rsidP="000A1E5F">
      <w:pPr>
        <w:pStyle w:val="Puesto"/>
        <w:rPr>
          <w:szCs w:val="22"/>
        </w:rPr>
      </w:pPr>
      <w:r w:rsidRPr="000A1E5F">
        <w:rPr>
          <w:b/>
          <w:szCs w:val="22"/>
        </w:rPr>
        <w:t>“Segundo. -</w:t>
      </w:r>
      <w:r w:rsidRPr="000A1E5F">
        <w:rPr>
          <w:szCs w:val="22"/>
        </w:rPr>
        <w:t xml:space="preserve"> Para efectos de los presentes Lineamientos Generales, se entenderá por:</w:t>
      </w:r>
    </w:p>
    <w:p w14:paraId="24372A37" w14:textId="77777777" w:rsidR="00505792" w:rsidRPr="000A1E5F" w:rsidRDefault="00505792" w:rsidP="000A1E5F">
      <w:pPr>
        <w:pStyle w:val="Puesto"/>
        <w:rPr>
          <w:szCs w:val="22"/>
        </w:rPr>
      </w:pPr>
      <w:r w:rsidRPr="000A1E5F">
        <w:rPr>
          <w:b/>
          <w:szCs w:val="22"/>
        </w:rPr>
        <w:t>XVIII.</w:t>
      </w:r>
      <w:r w:rsidRPr="000A1E5F">
        <w:rPr>
          <w:szCs w:val="22"/>
        </w:rPr>
        <w:t xml:space="preserve">  </w:t>
      </w:r>
      <w:r w:rsidRPr="000A1E5F">
        <w:rPr>
          <w:b/>
          <w:szCs w:val="22"/>
        </w:rPr>
        <w:t>Versión pública:</w:t>
      </w:r>
      <w:r w:rsidRPr="000A1E5F">
        <w:rPr>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35B4CC7" w14:textId="77777777" w:rsidR="00505792" w:rsidRPr="000A1E5F" w:rsidRDefault="00505792" w:rsidP="000A1E5F">
      <w:pPr>
        <w:pStyle w:val="Puesto"/>
        <w:rPr>
          <w:szCs w:val="22"/>
        </w:rPr>
      </w:pPr>
    </w:p>
    <w:p w14:paraId="109D7578" w14:textId="77777777" w:rsidR="00505792" w:rsidRPr="000A1E5F" w:rsidRDefault="00505792" w:rsidP="000A1E5F">
      <w:pPr>
        <w:pStyle w:val="Puesto"/>
        <w:rPr>
          <w:b/>
          <w:szCs w:val="22"/>
          <w:lang w:val="es-ES_tradnl" w:eastAsia="es-MX"/>
        </w:rPr>
      </w:pPr>
      <w:r w:rsidRPr="000A1E5F">
        <w:rPr>
          <w:b/>
          <w:szCs w:val="22"/>
          <w:lang w:val="es-ES_tradnl" w:eastAsia="es-MX"/>
        </w:rPr>
        <w:t xml:space="preserve">Lineamientos Generales en materia de Clasificación y Desclasificación de la </w:t>
      </w:r>
      <w:r w:rsidRPr="000A1E5F">
        <w:rPr>
          <w:b/>
          <w:szCs w:val="22"/>
          <w:lang w:val="es-ES_tradnl"/>
        </w:rPr>
        <w:t>Información</w:t>
      </w:r>
    </w:p>
    <w:p w14:paraId="03B023C9" w14:textId="77777777" w:rsidR="00505792" w:rsidRPr="000A1E5F" w:rsidRDefault="00505792" w:rsidP="000A1E5F">
      <w:pPr>
        <w:pStyle w:val="Puesto"/>
        <w:rPr>
          <w:szCs w:val="22"/>
        </w:rPr>
      </w:pPr>
    </w:p>
    <w:p w14:paraId="1759896C" w14:textId="77777777" w:rsidR="00505792" w:rsidRPr="000A1E5F" w:rsidRDefault="00505792" w:rsidP="000A1E5F">
      <w:pPr>
        <w:pStyle w:val="Puesto"/>
        <w:rPr>
          <w:szCs w:val="22"/>
        </w:rPr>
      </w:pPr>
      <w:r w:rsidRPr="000A1E5F">
        <w:rPr>
          <w:b/>
          <w:szCs w:val="22"/>
        </w:rPr>
        <w:t>Cuarto.</w:t>
      </w:r>
      <w:r w:rsidRPr="000A1E5F">
        <w:rPr>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0F9BEF0" w14:textId="77777777" w:rsidR="00505792" w:rsidRPr="000A1E5F" w:rsidRDefault="00505792" w:rsidP="000A1E5F">
      <w:pPr>
        <w:pStyle w:val="Puesto"/>
        <w:rPr>
          <w:szCs w:val="22"/>
        </w:rPr>
      </w:pPr>
      <w:r w:rsidRPr="000A1E5F">
        <w:rPr>
          <w:szCs w:val="22"/>
        </w:rPr>
        <w:t>Los sujetos obligados deberán aplicar, de manera estricta, las excepciones al derecho de acceso a la información y sólo podrán invocarlas cuando acrediten su procedencia.</w:t>
      </w:r>
    </w:p>
    <w:p w14:paraId="681EDAB2" w14:textId="77777777" w:rsidR="00505792" w:rsidRPr="000A1E5F" w:rsidRDefault="00505792" w:rsidP="000A1E5F">
      <w:pPr>
        <w:rPr>
          <w:szCs w:val="22"/>
        </w:rPr>
      </w:pPr>
    </w:p>
    <w:p w14:paraId="02B8D2E2" w14:textId="77777777" w:rsidR="00505792" w:rsidRPr="000A1E5F" w:rsidRDefault="00505792" w:rsidP="000A1E5F">
      <w:pPr>
        <w:pStyle w:val="Puesto"/>
        <w:rPr>
          <w:szCs w:val="22"/>
        </w:rPr>
      </w:pPr>
      <w:r w:rsidRPr="000A1E5F">
        <w:rPr>
          <w:b/>
          <w:szCs w:val="22"/>
        </w:rPr>
        <w:t>Quinto.</w:t>
      </w:r>
      <w:r w:rsidRPr="000A1E5F">
        <w:rPr>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77ED104" w14:textId="77777777" w:rsidR="00505792" w:rsidRPr="000A1E5F" w:rsidRDefault="00505792" w:rsidP="000A1E5F">
      <w:pPr>
        <w:rPr>
          <w:szCs w:val="22"/>
        </w:rPr>
      </w:pPr>
    </w:p>
    <w:p w14:paraId="272540AD" w14:textId="77777777" w:rsidR="00505792" w:rsidRPr="000A1E5F" w:rsidRDefault="00505792" w:rsidP="000A1E5F">
      <w:pPr>
        <w:pStyle w:val="Puesto"/>
        <w:rPr>
          <w:szCs w:val="22"/>
        </w:rPr>
      </w:pPr>
      <w:r w:rsidRPr="000A1E5F">
        <w:rPr>
          <w:b/>
          <w:szCs w:val="22"/>
        </w:rPr>
        <w:t>Sexto.</w:t>
      </w:r>
      <w:r w:rsidRPr="000A1E5F">
        <w:rPr>
          <w:szCs w:val="22"/>
        </w:rPr>
        <w:t xml:space="preserve"> Se deroga.</w:t>
      </w:r>
    </w:p>
    <w:p w14:paraId="5B2EFC7C" w14:textId="77777777" w:rsidR="00505792" w:rsidRPr="000A1E5F" w:rsidRDefault="00505792" w:rsidP="000A1E5F">
      <w:pPr>
        <w:rPr>
          <w:szCs w:val="22"/>
        </w:rPr>
      </w:pPr>
    </w:p>
    <w:p w14:paraId="34991539" w14:textId="77777777" w:rsidR="00505792" w:rsidRPr="000A1E5F" w:rsidRDefault="00505792" w:rsidP="000A1E5F">
      <w:pPr>
        <w:pStyle w:val="Puesto"/>
        <w:rPr>
          <w:szCs w:val="22"/>
        </w:rPr>
      </w:pPr>
      <w:r w:rsidRPr="000A1E5F">
        <w:rPr>
          <w:b/>
          <w:szCs w:val="22"/>
        </w:rPr>
        <w:t>Séptimo.</w:t>
      </w:r>
      <w:r w:rsidRPr="000A1E5F">
        <w:rPr>
          <w:szCs w:val="22"/>
        </w:rPr>
        <w:t xml:space="preserve"> La clasificación de la información se llevará a cabo en el momento en que:</w:t>
      </w:r>
    </w:p>
    <w:p w14:paraId="6FD00AB7" w14:textId="77777777" w:rsidR="00505792" w:rsidRPr="000A1E5F" w:rsidRDefault="00505792" w:rsidP="000A1E5F">
      <w:pPr>
        <w:pStyle w:val="Puesto"/>
        <w:rPr>
          <w:szCs w:val="22"/>
        </w:rPr>
      </w:pPr>
      <w:r w:rsidRPr="000A1E5F">
        <w:rPr>
          <w:b/>
          <w:szCs w:val="22"/>
        </w:rPr>
        <w:t>I.</w:t>
      </w:r>
      <w:r w:rsidRPr="000A1E5F">
        <w:rPr>
          <w:szCs w:val="22"/>
        </w:rPr>
        <w:t xml:space="preserve">        Se reciba una solicitud de acceso a la información;</w:t>
      </w:r>
    </w:p>
    <w:p w14:paraId="1B37F49C" w14:textId="77777777" w:rsidR="00505792" w:rsidRPr="000A1E5F" w:rsidRDefault="00505792" w:rsidP="000A1E5F">
      <w:pPr>
        <w:pStyle w:val="Puesto"/>
        <w:rPr>
          <w:szCs w:val="22"/>
        </w:rPr>
      </w:pPr>
      <w:r w:rsidRPr="000A1E5F">
        <w:rPr>
          <w:b/>
          <w:szCs w:val="22"/>
        </w:rPr>
        <w:lastRenderedPageBreak/>
        <w:t>II.</w:t>
      </w:r>
      <w:r w:rsidRPr="000A1E5F">
        <w:rPr>
          <w:szCs w:val="22"/>
        </w:rPr>
        <w:t xml:space="preserve">       Se determine mediante resolución del Comité de Transparencia, el órgano garante competente, o en cumplimiento a una sentencia del Poder Judicial; o</w:t>
      </w:r>
    </w:p>
    <w:p w14:paraId="4CAFCE53" w14:textId="77777777" w:rsidR="00505792" w:rsidRPr="000A1E5F" w:rsidRDefault="00505792" w:rsidP="000A1E5F">
      <w:pPr>
        <w:pStyle w:val="Puesto"/>
        <w:rPr>
          <w:szCs w:val="22"/>
        </w:rPr>
      </w:pPr>
      <w:r w:rsidRPr="000A1E5F">
        <w:rPr>
          <w:b/>
          <w:szCs w:val="22"/>
        </w:rPr>
        <w:t>III.</w:t>
      </w:r>
      <w:r w:rsidRPr="000A1E5F">
        <w:rPr>
          <w:szCs w:val="22"/>
        </w:rPr>
        <w:t xml:space="preserve">      Se generen versiones públicas para dar cumplimiento a las obligaciones de transparencia previstas en la Ley General, la Ley Federal y las correspondientes de las entidades federativas.</w:t>
      </w:r>
    </w:p>
    <w:p w14:paraId="0F8B3533" w14:textId="77777777" w:rsidR="00505792" w:rsidRPr="000A1E5F" w:rsidRDefault="00505792" w:rsidP="000A1E5F">
      <w:pPr>
        <w:pStyle w:val="Puesto"/>
        <w:rPr>
          <w:szCs w:val="22"/>
        </w:rPr>
      </w:pPr>
      <w:r w:rsidRPr="000A1E5F">
        <w:rPr>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6A84A058" w14:textId="77777777" w:rsidR="00505792" w:rsidRPr="000A1E5F" w:rsidRDefault="00505792" w:rsidP="000A1E5F">
      <w:pPr>
        <w:rPr>
          <w:szCs w:val="22"/>
        </w:rPr>
      </w:pPr>
    </w:p>
    <w:p w14:paraId="7D08405C" w14:textId="77777777" w:rsidR="00505792" w:rsidRPr="000A1E5F" w:rsidRDefault="00505792" w:rsidP="000A1E5F">
      <w:pPr>
        <w:pStyle w:val="Puesto"/>
        <w:rPr>
          <w:szCs w:val="22"/>
        </w:rPr>
      </w:pPr>
      <w:r w:rsidRPr="000A1E5F">
        <w:rPr>
          <w:b/>
          <w:szCs w:val="22"/>
        </w:rPr>
        <w:t>Octavo.</w:t>
      </w:r>
      <w:r w:rsidRPr="000A1E5F">
        <w:rPr>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099F4F2" w14:textId="77777777" w:rsidR="00505792" w:rsidRPr="000A1E5F" w:rsidRDefault="00505792" w:rsidP="000A1E5F">
      <w:pPr>
        <w:pStyle w:val="Puesto"/>
        <w:rPr>
          <w:szCs w:val="22"/>
        </w:rPr>
      </w:pPr>
      <w:r w:rsidRPr="000A1E5F">
        <w:rPr>
          <w:szCs w:val="22"/>
        </w:rPr>
        <w:t>Para motivar la clasificación se deberán señalar las razones o circunstancias especiales que lo llevaron a concluir que el caso particular se ajusta al supuesto previsto por la norma legal invocada como fundamento.</w:t>
      </w:r>
    </w:p>
    <w:p w14:paraId="6D56B490" w14:textId="77777777" w:rsidR="00505792" w:rsidRPr="000A1E5F" w:rsidRDefault="00505792" w:rsidP="000A1E5F">
      <w:pPr>
        <w:pStyle w:val="Puesto"/>
        <w:rPr>
          <w:szCs w:val="22"/>
        </w:rPr>
      </w:pPr>
      <w:r w:rsidRPr="000A1E5F">
        <w:rPr>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259F18C" w14:textId="77777777" w:rsidR="00505792" w:rsidRPr="000A1E5F" w:rsidRDefault="00505792" w:rsidP="000A1E5F">
      <w:pPr>
        <w:rPr>
          <w:szCs w:val="22"/>
        </w:rPr>
      </w:pPr>
    </w:p>
    <w:p w14:paraId="3F945DCD" w14:textId="77777777" w:rsidR="00505792" w:rsidRPr="000A1E5F" w:rsidRDefault="00505792" w:rsidP="000A1E5F">
      <w:pPr>
        <w:pStyle w:val="Puesto"/>
        <w:rPr>
          <w:szCs w:val="22"/>
        </w:rPr>
      </w:pPr>
      <w:r w:rsidRPr="000A1E5F">
        <w:rPr>
          <w:b/>
          <w:szCs w:val="22"/>
        </w:rPr>
        <w:t>Noveno.</w:t>
      </w:r>
      <w:r w:rsidRPr="000A1E5F">
        <w:rPr>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9DF686D" w14:textId="77777777" w:rsidR="00505792" w:rsidRPr="000A1E5F" w:rsidRDefault="00505792" w:rsidP="000A1E5F">
      <w:pPr>
        <w:rPr>
          <w:szCs w:val="22"/>
        </w:rPr>
      </w:pPr>
    </w:p>
    <w:p w14:paraId="4AB5E71A" w14:textId="77777777" w:rsidR="00505792" w:rsidRPr="000A1E5F" w:rsidRDefault="00505792" w:rsidP="000A1E5F">
      <w:pPr>
        <w:pStyle w:val="Puesto"/>
        <w:rPr>
          <w:szCs w:val="22"/>
        </w:rPr>
      </w:pPr>
      <w:r w:rsidRPr="000A1E5F">
        <w:rPr>
          <w:b/>
          <w:szCs w:val="22"/>
        </w:rPr>
        <w:t>Décimo.</w:t>
      </w:r>
      <w:r w:rsidRPr="000A1E5F">
        <w:rPr>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F6FB18E" w14:textId="77777777" w:rsidR="00505792" w:rsidRPr="000A1E5F" w:rsidRDefault="00505792" w:rsidP="000A1E5F">
      <w:pPr>
        <w:pStyle w:val="Puesto"/>
        <w:rPr>
          <w:szCs w:val="22"/>
        </w:rPr>
      </w:pPr>
      <w:r w:rsidRPr="000A1E5F">
        <w:rPr>
          <w:szCs w:val="22"/>
        </w:rPr>
        <w:t>En ausencia de los titulares de las áreas, la información será clasificada o desclasificada por la persona que lo supla, en términos de la normativa que rija la actuación del sujeto obligado.</w:t>
      </w:r>
    </w:p>
    <w:p w14:paraId="3AFB57A6" w14:textId="77777777" w:rsidR="00505792" w:rsidRPr="000A1E5F" w:rsidRDefault="00505792" w:rsidP="000A1E5F">
      <w:pPr>
        <w:pStyle w:val="Puesto"/>
        <w:rPr>
          <w:b/>
          <w:szCs w:val="22"/>
        </w:rPr>
      </w:pPr>
      <w:r w:rsidRPr="000A1E5F">
        <w:rPr>
          <w:b/>
          <w:szCs w:val="22"/>
        </w:rPr>
        <w:t>Décimo primero.</w:t>
      </w:r>
      <w:r w:rsidRPr="000A1E5F">
        <w:rPr>
          <w:szCs w:val="22"/>
        </w:rPr>
        <w:t xml:space="preserve"> En el intercambio de información entre sujetos obligados para el ejercicio de sus atribuciones, los documentos que se encuentren clasificados deberán llevar </w:t>
      </w:r>
      <w:r w:rsidRPr="000A1E5F">
        <w:rPr>
          <w:szCs w:val="22"/>
        </w:rPr>
        <w:lastRenderedPageBreak/>
        <w:t>la leyenda correspondiente de conformidad con lo dispuesto en el Capítulo VIII de los presentes lineamientos.</w:t>
      </w:r>
      <w:r w:rsidRPr="000A1E5F">
        <w:rPr>
          <w:b/>
          <w:szCs w:val="22"/>
        </w:rPr>
        <w:t>”</w:t>
      </w:r>
    </w:p>
    <w:p w14:paraId="575E4495" w14:textId="77777777" w:rsidR="00505792" w:rsidRPr="000A1E5F" w:rsidRDefault="00505792" w:rsidP="000A1E5F">
      <w:pPr>
        <w:rPr>
          <w:szCs w:val="22"/>
        </w:rPr>
      </w:pPr>
    </w:p>
    <w:p w14:paraId="5679FAB1" w14:textId="77777777" w:rsidR="00505792" w:rsidRPr="000A1E5F" w:rsidRDefault="00505792" w:rsidP="000A1E5F">
      <w:pPr>
        <w:rPr>
          <w:rFonts w:eastAsia="Palatino Linotype" w:cs="Palatino Linotype"/>
          <w:szCs w:val="22"/>
        </w:rPr>
      </w:pPr>
      <w:r w:rsidRPr="000A1E5F">
        <w:rPr>
          <w:rFonts w:eastAsia="Palatino Linotype" w:cs="Palatino Linotype"/>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CURP, el número de cuenta bancaria, que sean exclusivamente de particulares, entre otros.</w:t>
      </w:r>
    </w:p>
    <w:p w14:paraId="20934E17" w14:textId="77777777" w:rsidR="00505792" w:rsidRPr="000A1E5F" w:rsidRDefault="00505792" w:rsidP="000A1E5F">
      <w:pPr>
        <w:rPr>
          <w:rFonts w:eastAsia="Palatino Linotype" w:cs="Palatino Linotype"/>
          <w:szCs w:val="22"/>
        </w:rPr>
      </w:pPr>
    </w:p>
    <w:p w14:paraId="4E279083" w14:textId="77777777" w:rsidR="00505792" w:rsidRPr="000A1E5F" w:rsidRDefault="00505792" w:rsidP="000A1E5F">
      <w:pPr>
        <w:ind w:right="50"/>
        <w:rPr>
          <w:rFonts w:eastAsia="Palatino Linotype" w:cs="Palatino Linotype"/>
          <w:szCs w:val="22"/>
        </w:rPr>
      </w:pPr>
      <w:r w:rsidRPr="000A1E5F">
        <w:rPr>
          <w:rFonts w:eastAsia="Palatino Linotype" w:cs="Palatino Linotype"/>
          <w:szCs w:val="22"/>
        </w:rPr>
        <w:t xml:space="preserve">Por cuanto hace al </w:t>
      </w:r>
      <w:r w:rsidRPr="000A1E5F">
        <w:rPr>
          <w:rFonts w:eastAsia="Palatino Linotype" w:cs="Palatino Linotype"/>
          <w:b/>
          <w:szCs w:val="22"/>
        </w:rPr>
        <w:t xml:space="preserve">Registro Federal de Contribuyentes (RFC) </w:t>
      </w:r>
      <w:r w:rsidRPr="000A1E5F">
        <w:rPr>
          <w:rFonts w:eastAsia="Palatino Linotype" w:cs="Palatino Linotype"/>
          <w:szCs w:val="22"/>
        </w:rPr>
        <w:t>y</w:t>
      </w:r>
      <w:r w:rsidRPr="000A1E5F">
        <w:rPr>
          <w:rFonts w:eastAsia="Palatino Linotype" w:cs="Palatino Linotype"/>
          <w:b/>
          <w:szCs w:val="22"/>
        </w:rPr>
        <w:t xml:space="preserve"> el domicilio fiscal </w:t>
      </w:r>
      <w:r w:rsidRPr="000A1E5F">
        <w:rPr>
          <w:rFonts w:eastAsia="Palatino Linotype" w:cs="Palatino Linotype"/>
          <w:szCs w:val="22"/>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5EDFC85B" w14:textId="77777777" w:rsidR="00505792" w:rsidRPr="000A1E5F" w:rsidRDefault="00505792" w:rsidP="000A1E5F">
      <w:pPr>
        <w:ind w:right="50"/>
        <w:rPr>
          <w:rFonts w:eastAsia="Palatino Linotype" w:cs="Palatino Linotype"/>
          <w:szCs w:val="22"/>
        </w:rPr>
      </w:pPr>
    </w:p>
    <w:p w14:paraId="4A1631EF" w14:textId="77777777" w:rsidR="00505792" w:rsidRPr="000A1E5F" w:rsidRDefault="00505792" w:rsidP="000A1E5F">
      <w:pPr>
        <w:ind w:right="50"/>
        <w:rPr>
          <w:rFonts w:eastAsia="Palatino Linotype" w:cs="Palatino Linotype"/>
          <w:szCs w:val="22"/>
        </w:rPr>
      </w:pPr>
      <w:r w:rsidRPr="000A1E5F">
        <w:rPr>
          <w:rFonts w:eastAsia="Palatino Linotype" w:cs="Palatino Linotype"/>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08686B9" w14:textId="77777777" w:rsidR="00505792" w:rsidRPr="000A1E5F" w:rsidRDefault="00505792" w:rsidP="000A1E5F">
      <w:pPr>
        <w:ind w:right="50"/>
        <w:rPr>
          <w:rFonts w:eastAsia="Palatino Linotype" w:cs="Palatino Linotype"/>
          <w:szCs w:val="22"/>
        </w:rPr>
      </w:pPr>
    </w:p>
    <w:p w14:paraId="53EB4C6F" w14:textId="77777777" w:rsidR="00505792" w:rsidRPr="000A1E5F" w:rsidRDefault="00505792" w:rsidP="000A1E5F">
      <w:pPr>
        <w:ind w:right="50"/>
        <w:rPr>
          <w:rFonts w:eastAsia="Palatino Linotype" w:cs="Palatino Linotype"/>
          <w:szCs w:val="22"/>
        </w:rPr>
      </w:pPr>
      <w:r w:rsidRPr="000A1E5F">
        <w:rPr>
          <w:rFonts w:eastAsia="Palatino Linotype" w:cs="Palatino Linotype"/>
          <w:szCs w:val="22"/>
        </w:rPr>
        <w:lastRenderedPageBreak/>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0A1E5F">
        <w:rPr>
          <w:rFonts w:eastAsia="Palatino Linotype" w:cs="Palatino Linotype"/>
          <w:b/>
          <w:szCs w:val="22"/>
        </w:rPr>
        <w:t>no puede considerarse como información clasificada lo relativo a su nombre, registro federal de contribuyentes y domicilio fiscal</w:t>
      </w:r>
      <w:r w:rsidRPr="000A1E5F">
        <w:rPr>
          <w:rFonts w:eastAsia="Palatino Linotype" w:cs="Palatino Linotype"/>
          <w:szCs w:val="22"/>
        </w:rPr>
        <w:t>, atento a que dicha información es la que puede generar certeza en los gobernados en que se está ejerciendo debidamente el presupuesto.</w:t>
      </w:r>
    </w:p>
    <w:p w14:paraId="04E02761" w14:textId="77777777" w:rsidR="00505792" w:rsidRPr="000A1E5F" w:rsidRDefault="00505792" w:rsidP="000A1E5F">
      <w:pPr>
        <w:ind w:right="50"/>
        <w:rPr>
          <w:rFonts w:eastAsia="Palatino Linotype" w:cs="Palatino Linotype"/>
          <w:szCs w:val="22"/>
        </w:rPr>
      </w:pPr>
    </w:p>
    <w:p w14:paraId="26535AAE" w14:textId="77777777" w:rsidR="00505792" w:rsidRPr="000A1E5F" w:rsidRDefault="00505792" w:rsidP="000A1E5F">
      <w:pPr>
        <w:spacing w:after="240"/>
        <w:rPr>
          <w:rFonts w:eastAsia="Palatino Linotype" w:cs="Palatino Linotype"/>
          <w:szCs w:val="22"/>
        </w:rPr>
      </w:pPr>
      <w:r w:rsidRPr="000A1E5F">
        <w:rPr>
          <w:rFonts w:eastAsia="Palatino Linotype" w:cs="Palatino Linotype"/>
          <w:szCs w:val="22"/>
        </w:rPr>
        <w:t>Robustece lo anterior el criterio orientador 04/21 emitido por el Instituto Nacional de Transparencia, Acceso a la Información y Protección de Datos Personales, INAI, el cual refiere:</w:t>
      </w:r>
    </w:p>
    <w:p w14:paraId="66CA7FA7" w14:textId="77777777" w:rsidR="00505792" w:rsidRPr="000A1E5F" w:rsidRDefault="00505792" w:rsidP="000A1E5F">
      <w:pPr>
        <w:pStyle w:val="Puesto"/>
        <w:rPr>
          <w:rFonts w:eastAsia="Palatino Linotype"/>
        </w:rPr>
      </w:pPr>
      <w:r w:rsidRPr="000A1E5F">
        <w:rPr>
          <w:rFonts w:eastAsia="Palatino Linotype"/>
          <w:b/>
        </w:rPr>
        <w:t xml:space="preserve">“Registro Federal de Contribuyentes (RFC) de personas físicas proveedoras o contratistas. </w:t>
      </w:r>
      <w:r w:rsidRPr="000A1E5F">
        <w:rPr>
          <w:rFonts w:eastAsia="Palatino Linotype"/>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01901D96" w14:textId="77777777" w:rsidR="00505792" w:rsidRPr="000A1E5F" w:rsidRDefault="00505792" w:rsidP="000A1E5F">
      <w:pPr>
        <w:rPr>
          <w:rFonts w:eastAsia="Palatino Linotype" w:cs="Palatino Linotype"/>
          <w:szCs w:val="22"/>
        </w:rPr>
      </w:pPr>
    </w:p>
    <w:p w14:paraId="10CBB6E5" w14:textId="77777777" w:rsidR="00505792" w:rsidRPr="000A1E5F" w:rsidRDefault="00505792" w:rsidP="000A1E5F">
      <w:pPr>
        <w:rPr>
          <w:rFonts w:eastAsia="Palatino Linotype" w:cs="Palatino Linotype"/>
          <w:szCs w:val="22"/>
        </w:rPr>
      </w:pPr>
      <w:r w:rsidRPr="000A1E5F">
        <w:rPr>
          <w:rFonts w:eastAsia="Palatino Linotype" w:cs="Palatino Linotype"/>
          <w:szCs w:val="22"/>
        </w:rPr>
        <w:t xml:space="preserve">Mientras que en el caso del </w:t>
      </w:r>
      <w:r w:rsidRPr="000A1E5F">
        <w:rPr>
          <w:rFonts w:eastAsia="Palatino Linotype" w:cs="Palatino Linotype"/>
          <w:b/>
          <w:szCs w:val="22"/>
        </w:rPr>
        <w:t>folio fiscal</w:t>
      </w:r>
      <w:r w:rsidRPr="000A1E5F">
        <w:rPr>
          <w:rFonts w:eastAsia="Palatino Linotype" w:cs="Palatino Linotype"/>
          <w:szCs w:val="22"/>
        </w:rPr>
        <w:t xml:space="preserve">, la </w:t>
      </w:r>
      <w:r w:rsidRPr="000A1E5F">
        <w:rPr>
          <w:rFonts w:eastAsia="Palatino Linotype" w:cs="Palatino Linotype"/>
          <w:b/>
          <w:szCs w:val="22"/>
        </w:rPr>
        <w:t xml:space="preserve">cadena original, </w:t>
      </w:r>
      <w:r w:rsidRPr="000A1E5F">
        <w:rPr>
          <w:rFonts w:eastAsia="Palatino Linotype" w:cs="Palatino Linotype"/>
          <w:szCs w:val="22"/>
        </w:rPr>
        <w:t>los</w:t>
      </w:r>
      <w:r w:rsidRPr="000A1E5F">
        <w:rPr>
          <w:rFonts w:eastAsia="Palatino Linotype" w:cs="Palatino Linotype"/>
          <w:b/>
          <w:szCs w:val="22"/>
        </w:rPr>
        <w:t xml:space="preserve"> códigos bidimensionales o códigos QR,</w:t>
      </w:r>
      <w:r w:rsidRPr="000A1E5F">
        <w:rPr>
          <w:rFonts w:eastAsia="Palatino Linotype" w:cs="Palatino Linotype"/>
          <w:szCs w:val="22"/>
        </w:rPr>
        <w:t xml:space="preserve"> y, en general, cualquier información de carácter fiscal,  pudiera contener un Comprobante Fiscal Digital por Internet, CFDI,  se debe hacer un análisis caso por caso, con la finalidad de determinar si de dicha información se pueden obtener datos personales que no sean susceptibles de conocimiento público, como por ejemplo la Clave Única del Registro de Población, que, de difundirse, pudieran hacer identificable a una persona, debiendo, de ser el caso,  clasificarse como información confidencial, de manera fundada y motivada en términos del artículo 143, fracción I de la Ley de Transparencia y Acceso a la Información Pública del Estado de México y Municipios, de lo contrario, no es procedente su clasificación.</w:t>
      </w:r>
    </w:p>
    <w:p w14:paraId="723439E5" w14:textId="77777777" w:rsidR="00505792" w:rsidRPr="000A1E5F" w:rsidRDefault="00505792" w:rsidP="000A1E5F">
      <w:pPr>
        <w:rPr>
          <w:rFonts w:eastAsia="Palatino Linotype" w:cs="Palatino Linotype"/>
          <w:szCs w:val="22"/>
        </w:rPr>
      </w:pPr>
    </w:p>
    <w:p w14:paraId="589DEF34" w14:textId="77777777" w:rsidR="00505792" w:rsidRPr="000A1E5F" w:rsidRDefault="00505792" w:rsidP="000A1E5F">
      <w:pPr>
        <w:pBdr>
          <w:top w:val="nil"/>
          <w:left w:val="nil"/>
          <w:bottom w:val="nil"/>
          <w:right w:val="nil"/>
          <w:between w:val="nil"/>
        </w:pBdr>
        <w:ind w:right="-93"/>
        <w:rPr>
          <w:szCs w:val="22"/>
        </w:rPr>
      </w:pPr>
      <w:r w:rsidRPr="000A1E5F">
        <w:rPr>
          <w:rFonts w:eastAsia="Palatino Linotype" w:cs="Palatino Linotype"/>
          <w:szCs w:val="22"/>
        </w:rPr>
        <w:t>En cuanto a la firma, la real Academia Española lo establece como “Rasgo o conjunto de rasgos, realizados siempre de la misma manera, que identifican a una persona y sustituyen a su nom</w:t>
      </w:r>
      <w:r w:rsidRPr="000A1E5F">
        <w:rPr>
          <w:rFonts w:eastAsia="Palatino Linotype" w:cs="Palatino Linotype"/>
          <w:szCs w:val="22"/>
        </w:rPr>
        <w:lastRenderedPageBreak/>
        <w:t>bre y apellidos para aprobar o dar autenticidad a un documento”, en ese sentido, se trata de un dato personal.</w:t>
      </w:r>
    </w:p>
    <w:p w14:paraId="3DEE7A6D" w14:textId="77777777" w:rsidR="00505792" w:rsidRPr="000A1E5F" w:rsidRDefault="00505792" w:rsidP="000A1E5F">
      <w:pPr>
        <w:rPr>
          <w:szCs w:val="22"/>
        </w:rPr>
      </w:pPr>
    </w:p>
    <w:p w14:paraId="00DB8DF4" w14:textId="77777777" w:rsidR="00505792" w:rsidRPr="000A1E5F" w:rsidRDefault="00505792" w:rsidP="000A1E5F">
      <w:pPr>
        <w:pBdr>
          <w:top w:val="nil"/>
          <w:left w:val="nil"/>
          <w:bottom w:val="nil"/>
          <w:right w:val="nil"/>
          <w:between w:val="nil"/>
        </w:pBdr>
        <w:ind w:right="-93"/>
        <w:rPr>
          <w:szCs w:val="22"/>
        </w:rPr>
      </w:pPr>
      <w:r w:rsidRPr="000A1E5F">
        <w:rPr>
          <w:rFonts w:eastAsia="Palatino Linotype" w:cs="Palatino Linotype"/>
          <w:szCs w:val="22"/>
        </w:rPr>
        <w:t>Ahora bien, tratándose de servidores públicos el Criterio SO/002/2019, emitido por el Instituto Nacional de Transparencia, Acceso a la Información y Protección de Datos Personales, establece lo siguiente:</w:t>
      </w:r>
    </w:p>
    <w:p w14:paraId="01E181C4" w14:textId="77777777" w:rsidR="00505792" w:rsidRPr="000A1E5F" w:rsidRDefault="00505792" w:rsidP="000A1E5F">
      <w:pPr>
        <w:rPr>
          <w:szCs w:val="22"/>
        </w:rPr>
      </w:pPr>
    </w:p>
    <w:p w14:paraId="433BF18E" w14:textId="77777777" w:rsidR="00505792" w:rsidRPr="000A1E5F" w:rsidRDefault="00505792" w:rsidP="000A1E5F">
      <w:pPr>
        <w:pStyle w:val="Puesto"/>
      </w:pPr>
      <w:r w:rsidRPr="000A1E5F">
        <w:rPr>
          <w:rFonts w:eastAsia="Palatino Linotype"/>
        </w:rPr>
        <w:t>“</w:t>
      </w:r>
      <w:r w:rsidRPr="000A1E5F">
        <w:rPr>
          <w:rFonts w:eastAsia="Palatino Linotype"/>
          <w:b/>
        </w:rPr>
        <w:t>Firma y rúbrica de servidores públicos</w:t>
      </w:r>
      <w:r w:rsidRPr="000A1E5F">
        <w:rPr>
          <w:rFonts w:eastAsia="Palatino Linotype"/>
        </w:rPr>
        <w:t>. Si bien la firma y la rúbrica son datos personales confidenciales, cuando un servidor público emite un acto como autoridad, en ejercicio de las funciones que tiene conferidas, la firma o rúbrica mediante la cual se valida dicho acto es pública.”</w:t>
      </w:r>
    </w:p>
    <w:p w14:paraId="6DAEA025" w14:textId="77777777" w:rsidR="00505792" w:rsidRPr="000A1E5F" w:rsidRDefault="00505792" w:rsidP="000A1E5F">
      <w:pPr>
        <w:rPr>
          <w:szCs w:val="22"/>
        </w:rPr>
      </w:pPr>
    </w:p>
    <w:p w14:paraId="5F42AEF0" w14:textId="77777777" w:rsidR="00505792" w:rsidRPr="000A1E5F" w:rsidRDefault="00505792" w:rsidP="000A1E5F">
      <w:pPr>
        <w:pBdr>
          <w:top w:val="nil"/>
          <w:left w:val="nil"/>
          <w:bottom w:val="nil"/>
          <w:right w:val="nil"/>
          <w:between w:val="nil"/>
        </w:pBdr>
        <w:ind w:right="-93"/>
        <w:rPr>
          <w:szCs w:val="22"/>
        </w:rPr>
      </w:pPr>
      <w:r w:rsidRPr="000A1E5F">
        <w:rPr>
          <w:rFonts w:eastAsia="Palatino Linotype" w:cs="Palatino Linotype"/>
          <w:szCs w:val="22"/>
        </w:rPr>
        <w:t>Como ya lo refiere el Criterio señalado, la firma es un dato personal confidencial y solo será pública para el caso de los servidores públicos en el ejercicio de sus funciones. </w:t>
      </w:r>
    </w:p>
    <w:p w14:paraId="1C3E2500" w14:textId="77777777" w:rsidR="00505792" w:rsidRPr="000A1E5F" w:rsidRDefault="00505792" w:rsidP="000A1E5F">
      <w:pPr>
        <w:pBdr>
          <w:top w:val="nil"/>
          <w:left w:val="nil"/>
          <w:bottom w:val="nil"/>
          <w:right w:val="nil"/>
          <w:between w:val="nil"/>
        </w:pBdr>
        <w:spacing w:before="240"/>
        <w:ind w:right="50"/>
        <w:rPr>
          <w:rFonts w:eastAsia="Palatino Linotype" w:cs="Palatino Linotype"/>
          <w:szCs w:val="22"/>
        </w:rPr>
      </w:pPr>
      <w:r w:rsidRPr="000A1E5F">
        <w:rPr>
          <w:rFonts w:eastAsia="Palatino Linotype" w:cs="Palatino Linotype"/>
          <w:szCs w:val="22"/>
        </w:rPr>
        <w:t xml:space="preserve">Respecto del </w:t>
      </w:r>
      <w:r w:rsidRPr="000A1E5F">
        <w:rPr>
          <w:rFonts w:eastAsia="Palatino Linotype" w:cs="Palatino Linotype"/>
          <w:b/>
          <w:szCs w:val="22"/>
        </w:rPr>
        <w:t>nombre de las personas físicas</w:t>
      </w:r>
      <w:r w:rsidRPr="000A1E5F">
        <w:rPr>
          <w:rFonts w:eastAsia="Palatino Linotype" w:cs="Palatino Linotype"/>
          <w:szCs w:val="22"/>
        </w:rPr>
        <w:t xml:space="preserve"> o los </w:t>
      </w:r>
      <w:r w:rsidRPr="000A1E5F">
        <w:rPr>
          <w:rFonts w:eastAsia="Palatino Linotype" w:cs="Palatino Linotype"/>
          <w:b/>
          <w:szCs w:val="22"/>
        </w:rPr>
        <w:t>representantes legales de las personas morales</w:t>
      </w:r>
      <w:r w:rsidRPr="000A1E5F">
        <w:rPr>
          <w:rFonts w:eastAsia="Palatino Linotype" w:cs="Palatino Linotype"/>
          <w:szCs w:val="22"/>
        </w:rPr>
        <w:t xml:space="preserve">, </w:t>
      </w:r>
      <w:r w:rsidRPr="000A1E5F">
        <w:rPr>
          <w:rFonts w:eastAsia="Palatino Linotype" w:cs="Palatino Linotype"/>
          <w:b/>
          <w:szCs w:val="22"/>
        </w:rPr>
        <w:t>en su calidad de proveedores, contratistas o prestadores de servicios, y la firma y rúbrica de estos</w:t>
      </w:r>
      <w:r w:rsidRPr="000A1E5F">
        <w:rPr>
          <w:rFonts w:eastAsia="Palatino Linotype" w:cs="Palatino Linotype"/>
          <w:szCs w:val="22"/>
        </w:rPr>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171E357D" w14:textId="77777777" w:rsidR="00505792" w:rsidRPr="000A1E5F" w:rsidRDefault="00505792" w:rsidP="000A1E5F">
      <w:pPr>
        <w:pBdr>
          <w:top w:val="nil"/>
          <w:left w:val="nil"/>
          <w:bottom w:val="nil"/>
          <w:right w:val="nil"/>
          <w:between w:val="nil"/>
        </w:pBdr>
        <w:ind w:right="50"/>
        <w:rPr>
          <w:szCs w:val="22"/>
        </w:rPr>
      </w:pPr>
    </w:p>
    <w:p w14:paraId="7CF6B0A2" w14:textId="77777777" w:rsidR="00505792" w:rsidRPr="000A1E5F" w:rsidRDefault="00505792" w:rsidP="000A1E5F">
      <w:pPr>
        <w:pBdr>
          <w:top w:val="nil"/>
          <w:left w:val="nil"/>
          <w:bottom w:val="nil"/>
          <w:right w:val="nil"/>
          <w:between w:val="nil"/>
        </w:pBdr>
        <w:spacing w:after="240"/>
        <w:ind w:right="50"/>
        <w:rPr>
          <w:szCs w:val="22"/>
        </w:rPr>
      </w:pPr>
      <w:r w:rsidRPr="000A1E5F">
        <w:rPr>
          <w:rFonts w:eastAsia="Palatino Linotype" w:cs="Palatino Linotype"/>
          <w:szCs w:val="22"/>
        </w:rPr>
        <w:t>Argumentación que guarda sustento en lo estipulado por el artículo 23 de la Ley de Transparencia y Acceso a la Información Pública del Estado de México y Municipios en su penúltimo párrafo, mismo que es del tenor literal siguiente:</w:t>
      </w:r>
    </w:p>
    <w:p w14:paraId="1EE327D9" w14:textId="77777777" w:rsidR="00505792" w:rsidRPr="000A1E5F" w:rsidRDefault="00505792" w:rsidP="000A1E5F">
      <w:pPr>
        <w:pStyle w:val="Puesto"/>
      </w:pPr>
      <w:r w:rsidRPr="000A1E5F">
        <w:rPr>
          <w:rFonts w:eastAsia="Palatino Linotype"/>
        </w:rPr>
        <w:lastRenderedPageBreak/>
        <w:t>“</w:t>
      </w:r>
      <w:r w:rsidRPr="000A1E5F">
        <w:rPr>
          <w:rFonts w:eastAsia="Palatino Linotype"/>
          <w:b/>
        </w:rPr>
        <w:t>Artículo 23.</w:t>
      </w:r>
      <w:r w:rsidRPr="000A1E5F">
        <w:rPr>
          <w:rFonts w:eastAsia="Palatino Linotype"/>
        </w:rPr>
        <w:t xml:space="preserve"> (…)</w:t>
      </w:r>
    </w:p>
    <w:p w14:paraId="0B7C6004" w14:textId="77777777" w:rsidR="00505792" w:rsidRPr="000A1E5F" w:rsidRDefault="00505792" w:rsidP="000A1E5F">
      <w:pPr>
        <w:pStyle w:val="Puesto"/>
        <w:rPr>
          <w:rFonts w:eastAsia="Palatino Linotype"/>
        </w:rPr>
      </w:pPr>
      <w:r w:rsidRPr="000A1E5F">
        <w:rPr>
          <w:rFonts w:eastAsia="Palatino Linotyp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D7C2510" w14:textId="77777777" w:rsidR="00505792" w:rsidRPr="000A1E5F" w:rsidRDefault="00505792" w:rsidP="000A1E5F">
      <w:pPr>
        <w:pBdr>
          <w:top w:val="nil"/>
          <w:left w:val="nil"/>
          <w:bottom w:val="nil"/>
          <w:right w:val="nil"/>
          <w:between w:val="nil"/>
        </w:pBdr>
        <w:spacing w:line="276" w:lineRule="auto"/>
        <w:ind w:left="851" w:right="902"/>
        <w:rPr>
          <w:szCs w:val="22"/>
        </w:rPr>
      </w:pPr>
    </w:p>
    <w:p w14:paraId="5EA6A5B6" w14:textId="77777777" w:rsidR="00505792" w:rsidRPr="000A1E5F" w:rsidRDefault="00505792" w:rsidP="000A1E5F">
      <w:pPr>
        <w:pBdr>
          <w:top w:val="nil"/>
          <w:left w:val="nil"/>
          <w:bottom w:val="nil"/>
          <w:right w:val="nil"/>
          <w:between w:val="nil"/>
        </w:pBdr>
        <w:spacing w:after="280"/>
        <w:rPr>
          <w:szCs w:val="22"/>
        </w:rPr>
      </w:pPr>
      <w:r w:rsidRPr="000A1E5F">
        <w:rPr>
          <w:rFonts w:eastAsia="Palatino Linotype" w:cs="Palatino Linotype"/>
          <w:szCs w:val="22"/>
        </w:rPr>
        <w:t>Asimismo, resulta aplicable el contenido del criterio de interpretación 01/19 emitido por el Instituto Nacional de Transparencia, Acceso a la Información, y Protección de Datos Personales, INAI, que lleva por rubro y texto los siguientes</w:t>
      </w:r>
    </w:p>
    <w:p w14:paraId="3A301B39" w14:textId="77777777" w:rsidR="00505792" w:rsidRPr="000A1E5F" w:rsidRDefault="00505792" w:rsidP="000A1E5F">
      <w:pPr>
        <w:pStyle w:val="Puesto"/>
      </w:pPr>
      <w:r w:rsidRPr="000A1E5F">
        <w:rPr>
          <w:rFonts w:eastAsia="Palatino Linotype"/>
          <w:b/>
        </w:rPr>
        <w:t>“Datos de identificación del representante o apoderado legal.</w:t>
      </w:r>
      <w:r w:rsidRPr="000A1E5F">
        <w:rPr>
          <w:rFonts w:eastAsia="Palatino Linotype"/>
        </w:rPr>
        <w:t xml:space="preserve"> </w:t>
      </w:r>
      <w:r w:rsidRPr="000A1E5F">
        <w:rPr>
          <w:rFonts w:eastAsia="Palatino Linotype"/>
          <w:b/>
        </w:rPr>
        <w:t xml:space="preserve">Naturaleza jurídica. El nombre, la </w:t>
      </w:r>
      <w:r w:rsidRPr="000A1E5F">
        <w:rPr>
          <w:rFonts w:eastAsia="Palatino Linotype"/>
          <w:b/>
          <w:u w:val="single"/>
        </w:rPr>
        <w:t>firma y la rúbrica</w:t>
      </w:r>
      <w:r w:rsidRPr="000A1E5F">
        <w:rPr>
          <w:rFonts w:eastAsia="Palatino Linotype"/>
        </w:rPr>
        <w:t xml:space="preserve"> de una persona física, que actúe como representante o apoderado legal de un tercero que haya celebrado un acto jurídico, con algún sujeto obligado, </w:t>
      </w:r>
      <w:r w:rsidRPr="000A1E5F">
        <w:rPr>
          <w:rFonts w:eastAsia="Palatino Linotype"/>
          <w:b/>
          <w:u w:val="single"/>
        </w:rPr>
        <w:t>es información pública</w:t>
      </w:r>
      <w:r w:rsidRPr="000A1E5F">
        <w:rPr>
          <w:rFonts w:eastAsia="Palatino Linotype"/>
          <w:b/>
        </w:rPr>
        <w:t>, en razón de que tales datos fueron proporcionados con el objeto de expresar el consentimiento obligacional del tercero y otorgar validez a dicho instrumento jurídico</w:t>
      </w:r>
      <w:r w:rsidRPr="000A1E5F">
        <w:rPr>
          <w:rFonts w:eastAsia="Palatino Linotype"/>
        </w:rPr>
        <w:t>.”</w:t>
      </w:r>
    </w:p>
    <w:p w14:paraId="629126F5" w14:textId="77777777" w:rsidR="00505792" w:rsidRPr="000A1E5F" w:rsidRDefault="00505792" w:rsidP="000A1E5F">
      <w:pPr>
        <w:rPr>
          <w:szCs w:val="22"/>
        </w:rPr>
      </w:pPr>
    </w:p>
    <w:p w14:paraId="75906941" w14:textId="77777777" w:rsidR="00505792" w:rsidRPr="000A1E5F" w:rsidRDefault="00505792" w:rsidP="000A1E5F">
      <w:pPr>
        <w:pBdr>
          <w:top w:val="nil"/>
          <w:left w:val="nil"/>
          <w:bottom w:val="nil"/>
          <w:right w:val="nil"/>
          <w:between w:val="nil"/>
        </w:pBdr>
        <w:rPr>
          <w:szCs w:val="22"/>
        </w:rPr>
      </w:pPr>
      <w:r w:rsidRPr="000A1E5F">
        <w:rPr>
          <w:rFonts w:eastAsia="Palatino Linotype" w:cs="Palatino Linotype"/>
          <w:szCs w:val="22"/>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4022E42A" w14:textId="77777777" w:rsidR="00505792" w:rsidRPr="000A1E5F" w:rsidRDefault="00505792" w:rsidP="000A1E5F">
      <w:pPr>
        <w:rPr>
          <w:szCs w:val="22"/>
        </w:rPr>
      </w:pPr>
    </w:p>
    <w:p w14:paraId="1597FB59" w14:textId="77777777" w:rsidR="00505792" w:rsidRPr="000A1E5F" w:rsidRDefault="00505792" w:rsidP="000A1E5F">
      <w:pPr>
        <w:pBdr>
          <w:top w:val="nil"/>
          <w:left w:val="nil"/>
          <w:bottom w:val="nil"/>
          <w:right w:val="nil"/>
          <w:between w:val="nil"/>
        </w:pBdr>
        <w:ind w:right="51"/>
        <w:rPr>
          <w:szCs w:val="22"/>
        </w:rPr>
      </w:pPr>
      <w:r w:rsidRPr="000A1E5F">
        <w:rPr>
          <w:rFonts w:eastAsia="Palatino Linotype" w:cs="Palatino Linotype"/>
          <w:szCs w:val="22"/>
        </w:rPr>
        <w:t>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029241E1" w14:textId="77777777" w:rsidR="00505792" w:rsidRPr="000A1E5F" w:rsidRDefault="00505792" w:rsidP="000A1E5F">
      <w:pPr>
        <w:rPr>
          <w:szCs w:val="22"/>
        </w:rPr>
      </w:pPr>
    </w:p>
    <w:p w14:paraId="3FF5FF39" w14:textId="77777777" w:rsidR="00505792" w:rsidRPr="000A1E5F" w:rsidRDefault="00505792" w:rsidP="000A1E5F">
      <w:pPr>
        <w:pBdr>
          <w:top w:val="nil"/>
          <w:left w:val="nil"/>
          <w:bottom w:val="nil"/>
          <w:right w:val="nil"/>
          <w:between w:val="nil"/>
        </w:pBdr>
        <w:ind w:right="50"/>
        <w:rPr>
          <w:szCs w:val="22"/>
        </w:rPr>
      </w:pPr>
      <w:r w:rsidRPr="000A1E5F">
        <w:rPr>
          <w:rFonts w:eastAsia="Palatino Linotype" w:cs="Palatino Linotype"/>
          <w:szCs w:val="22"/>
        </w:rPr>
        <w:lastRenderedPageBreak/>
        <w:t>Lo anterior encuentra sustento en el criterio 10/17 emitido por el Instituto Nacional de Transparencia y Acceso a la Información Pública del Estado de México y Municipios, que a la letra dicen:</w:t>
      </w:r>
    </w:p>
    <w:p w14:paraId="5B4D072C" w14:textId="77777777" w:rsidR="00505792" w:rsidRPr="000A1E5F" w:rsidRDefault="00505792" w:rsidP="000A1E5F">
      <w:pPr>
        <w:rPr>
          <w:szCs w:val="22"/>
        </w:rPr>
      </w:pPr>
    </w:p>
    <w:p w14:paraId="35190F2F" w14:textId="77777777" w:rsidR="00505792" w:rsidRPr="000A1E5F" w:rsidRDefault="00505792" w:rsidP="000A1E5F">
      <w:pPr>
        <w:pStyle w:val="Puesto"/>
      </w:pPr>
      <w:r w:rsidRPr="000A1E5F">
        <w:rPr>
          <w:rFonts w:eastAsia="Palatino Linotype"/>
          <w:b/>
        </w:rPr>
        <w:t>“Cuentas bancarias y/o CLABE interbancaria de personas físicas y morales privadas.</w:t>
      </w:r>
      <w:r w:rsidRPr="000A1E5F">
        <w:rPr>
          <w:rFonts w:eastAsia="Palatino Linotype"/>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D683CA4" w14:textId="77777777" w:rsidR="00505792" w:rsidRPr="000A1E5F" w:rsidRDefault="00505792" w:rsidP="000A1E5F">
      <w:pPr>
        <w:spacing w:line="276" w:lineRule="auto"/>
        <w:ind w:left="567" w:right="900"/>
        <w:rPr>
          <w:szCs w:val="22"/>
        </w:rPr>
      </w:pPr>
    </w:p>
    <w:p w14:paraId="42EB2CC1" w14:textId="77777777" w:rsidR="00505792" w:rsidRPr="000A1E5F" w:rsidRDefault="00505792" w:rsidP="000A1E5F">
      <w:pPr>
        <w:pBdr>
          <w:top w:val="nil"/>
          <w:left w:val="nil"/>
          <w:bottom w:val="nil"/>
          <w:right w:val="nil"/>
          <w:between w:val="nil"/>
        </w:pBdr>
        <w:ind w:right="50"/>
        <w:rPr>
          <w:szCs w:val="22"/>
        </w:rPr>
      </w:pPr>
      <w:r w:rsidRPr="000A1E5F">
        <w:rPr>
          <w:rFonts w:eastAsia="Palatino Linotype" w:cs="Palatino Linotype"/>
          <w:szCs w:val="22"/>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5320C566" w14:textId="77777777" w:rsidR="00505792" w:rsidRPr="000A1E5F" w:rsidRDefault="00505792" w:rsidP="000A1E5F">
      <w:pPr>
        <w:rPr>
          <w:szCs w:val="22"/>
        </w:rPr>
      </w:pPr>
    </w:p>
    <w:p w14:paraId="2B41B95D" w14:textId="77777777" w:rsidR="00505792" w:rsidRPr="000A1E5F" w:rsidRDefault="00505792" w:rsidP="000A1E5F">
      <w:pPr>
        <w:pStyle w:val="Puesto"/>
        <w:rPr>
          <w:rFonts w:eastAsia="Palatino Linotype"/>
        </w:rPr>
      </w:pPr>
      <w:r w:rsidRPr="000A1E5F">
        <w:rPr>
          <w:rFonts w:eastAsia="Palatino Linotype"/>
        </w:rPr>
        <w:t>“</w:t>
      </w:r>
      <w:r w:rsidRPr="000A1E5F">
        <w:rPr>
          <w:rFonts w:eastAsia="Palatino Linotype"/>
          <w:b/>
        </w:rPr>
        <w:t>Cuentas bancarias y/o CLABE interbancaria de sujetos obligados que reciben y/o transfieren recursos públicos, son información pública</w:t>
      </w:r>
      <w:r w:rsidRPr="000A1E5F">
        <w:rPr>
          <w:rFonts w:eastAsia="Palatino Linotype"/>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1371006D" w14:textId="77777777" w:rsidR="00505792" w:rsidRPr="000A1E5F" w:rsidRDefault="00505792" w:rsidP="000A1E5F">
      <w:pPr>
        <w:pBdr>
          <w:top w:val="nil"/>
          <w:left w:val="nil"/>
          <w:bottom w:val="nil"/>
          <w:right w:val="nil"/>
          <w:between w:val="nil"/>
        </w:pBdr>
        <w:spacing w:line="276" w:lineRule="auto"/>
        <w:ind w:left="851" w:right="1134"/>
        <w:rPr>
          <w:szCs w:val="22"/>
        </w:rPr>
      </w:pPr>
    </w:p>
    <w:p w14:paraId="712A0EB1" w14:textId="77777777" w:rsidR="00505792" w:rsidRPr="000A1E5F" w:rsidRDefault="00505792" w:rsidP="000A1E5F">
      <w:pPr>
        <w:pBdr>
          <w:top w:val="nil"/>
          <w:left w:val="nil"/>
          <w:bottom w:val="nil"/>
          <w:right w:val="nil"/>
          <w:between w:val="nil"/>
        </w:pBdr>
        <w:ind w:right="50"/>
        <w:rPr>
          <w:rFonts w:eastAsia="Palatino Linotype" w:cs="Palatino Linotype"/>
          <w:szCs w:val="22"/>
        </w:rPr>
      </w:pPr>
      <w:r w:rsidRPr="000A1E5F">
        <w:rPr>
          <w:rFonts w:eastAsia="Palatino Linotype" w:cs="Palatino Linotype"/>
          <w:szCs w:val="22"/>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758285DF" w14:textId="77777777" w:rsidR="00505792" w:rsidRPr="000A1E5F" w:rsidRDefault="00505792" w:rsidP="000A1E5F">
      <w:pPr>
        <w:pBdr>
          <w:top w:val="nil"/>
          <w:left w:val="nil"/>
          <w:bottom w:val="nil"/>
          <w:right w:val="nil"/>
          <w:between w:val="nil"/>
        </w:pBdr>
        <w:ind w:right="50"/>
        <w:rPr>
          <w:szCs w:val="22"/>
        </w:rPr>
      </w:pPr>
    </w:p>
    <w:p w14:paraId="676FDA76" w14:textId="72DC6DC1" w:rsidR="00872A8A" w:rsidRPr="000A1E5F" w:rsidRDefault="00505792" w:rsidP="000A1E5F">
      <w:pPr>
        <w:rPr>
          <w:szCs w:val="22"/>
        </w:rPr>
      </w:pPr>
      <w:r w:rsidRPr="000A1E5F">
        <w:rPr>
          <w:rFonts w:eastAsia="Palatino Linotype" w:cs="Palatino Linotype"/>
          <w:szCs w:val="22"/>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491CD9CD" w14:textId="77777777" w:rsidR="00872A8A" w:rsidRPr="000A1E5F" w:rsidRDefault="00872A8A" w:rsidP="000A1E5F">
      <w:pPr>
        <w:rPr>
          <w:szCs w:val="22"/>
        </w:rPr>
      </w:pPr>
    </w:p>
    <w:p w14:paraId="4094BEA5" w14:textId="77777777" w:rsidR="00505792" w:rsidRPr="000A1E5F" w:rsidRDefault="00505792" w:rsidP="000A1E5F">
      <w:pPr>
        <w:rPr>
          <w:szCs w:val="22"/>
          <w:lang w:eastAsia="es-CO"/>
        </w:rPr>
      </w:pPr>
      <w:r w:rsidRPr="000A1E5F">
        <w:rPr>
          <w:szCs w:val="22"/>
        </w:rPr>
        <w:t xml:space="preserve">Consecuentemente, se destaca que la versión pública que elabore </w:t>
      </w:r>
      <w:r w:rsidRPr="000A1E5F">
        <w:rPr>
          <w:b/>
          <w:szCs w:val="22"/>
        </w:rPr>
        <w:t>EL SUJETO OBLIGADO</w:t>
      </w:r>
      <w:r w:rsidRPr="000A1E5F">
        <w:rPr>
          <w:szCs w:val="22"/>
        </w:rPr>
        <w:t xml:space="preserve"> debe cumplir con las formalidades exigidas en la Ley, por lo que para tal efecto emitirá el </w:t>
      </w:r>
      <w:r w:rsidRPr="000A1E5F">
        <w:rPr>
          <w:b/>
          <w:szCs w:val="22"/>
        </w:rPr>
        <w:t>Acuerdo del Comité de Transparencia</w:t>
      </w:r>
      <w:r w:rsidRPr="000A1E5F">
        <w:rPr>
          <w:szCs w:val="22"/>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0A1E5F">
        <w:rPr>
          <w:szCs w:val="22"/>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0D6B6E9E" w14:textId="77777777" w:rsidR="00872A8A" w:rsidRPr="000A1E5F" w:rsidRDefault="00872A8A" w:rsidP="000A1E5F">
      <w:pPr>
        <w:rPr>
          <w:szCs w:val="22"/>
          <w:lang w:eastAsia="es-CO"/>
        </w:rPr>
      </w:pPr>
    </w:p>
    <w:p w14:paraId="68A31301" w14:textId="151539B2" w:rsidR="00872A8A" w:rsidRPr="000A1E5F" w:rsidRDefault="00872A8A" w:rsidP="000A1E5F">
      <w:pPr>
        <w:rPr>
          <w:szCs w:val="22"/>
          <w:lang w:eastAsia="es-CO"/>
        </w:rPr>
      </w:pPr>
      <w:r w:rsidRPr="000A1E5F">
        <w:rPr>
          <w:szCs w:val="22"/>
          <w:lang w:eastAsia="es-CO"/>
        </w:rPr>
        <w:t xml:space="preserve">Ahora bien, dentro del soporte documental que se pretende ordenar, es posible que se encuentren inmersos datos referente al parque vehicular referente a las patrullas municipales, por lo que es importante traer a contexto que, este Órgano Garante considera que, </w:t>
      </w:r>
      <w:r w:rsidR="00A43435" w:rsidRPr="000A1E5F">
        <w:rPr>
          <w:szCs w:val="22"/>
          <w:lang w:eastAsia="es-CO"/>
        </w:rPr>
        <w:t xml:space="preserve">en su caso </w:t>
      </w:r>
      <w:r w:rsidR="00A43435" w:rsidRPr="000A1E5F">
        <w:rPr>
          <w:b/>
          <w:szCs w:val="22"/>
          <w:lang w:eastAsia="es-CO"/>
        </w:rPr>
        <w:t>EL SUJETO OBLIGADO</w:t>
      </w:r>
      <w:r w:rsidRPr="000A1E5F">
        <w:rPr>
          <w:szCs w:val="22"/>
          <w:lang w:eastAsia="es-CO"/>
        </w:rPr>
        <w:t xml:space="preserve"> debe clasificar como información reservada la que por su propia y especial naturaleza, encuadre en alguno de los supuestos que enmarca la Ley de </w:t>
      </w:r>
      <w:r w:rsidRPr="000A1E5F">
        <w:rPr>
          <w:szCs w:val="22"/>
          <w:lang w:eastAsia="es-CO"/>
        </w:rPr>
        <w:lastRenderedPageBreak/>
        <w:t>Transparencia y Acceso a la Información Pública del Estado de México y Municipios, misma que puede ser de manera enunciativa más no limitativa la relacionada con el equipamiento y características de las patrullas; que a diferencia del parque vehicular de automóviles operativos, sin que tenga designación directa, pueden ser de carácter público.</w:t>
      </w:r>
    </w:p>
    <w:p w14:paraId="531D0A91" w14:textId="77777777" w:rsidR="00872A8A" w:rsidRPr="000A1E5F" w:rsidRDefault="00872A8A" w:rsidP="000A1E5F">
      <w:pPr>
        <w:rPr>
          <w:szCs w:val="22"/>
          <w:lang w:eastAsia="es-CO"/>
        </w:rPr>
      </w:pPr>
    </w:p>
    <w:p w14:paraId="1C2B4A86" w14:textId="77777777" w:rsidR="00872A8A" w:rsidRPr="000A1E5F" w:rsidRDefault="00872A8A" w:rsidP="000A1E5F">
      <w:pPr>
        <w:rPr>
          <w:szCs w:val="22"/>
          <w:lang w:eastAsia="es-CO"/>
        </w:rPr>
      </w:pPr>
      <w:r w:rsidRPr="000A1E5F">
        <w:rPr>
          <w:szCs w:val="22"/>
          <w:lang w:eastAsia="es-CO"/>
        </w:rPr>
        <w:t>Conforme a lo anterior, se puede colegir que proporcionar la información en análisis podría comprometer la seguridad pública, al poner en peligro las funciones a cargo del Municipio, tendientes a preservar y resguardar la vida, la salud, la integridad y el ejercicio de los derechos de las personas, así como para el mantenimiento del orden público, toda vez que podría dar cuenta de las tecnologías, equipos y sistemas con los que cuenta la Dirección de Seguridad Pública, incluyendo de igual forma el equipamiento de los elementos de seguridad, que el dar a conocer dichos datos, puede vulnerar el estado de fuerza con el que cuenta el Municipio  y por lo tanto, acredita la causal de clasificación prevista en el artículo 140, fracción I de la Ley de Transparencia y Acceso a la Información Pública del Estado de México.</w:t>
      </w:r>
    </w:p>
    <w:p w14:paraId="43D6B518" w14:textId="77777777" w:rsidR="00872A8A" w:rsidRPr="000A1E5F" w:rsidRDefault="00872A8A" w:rsidP="000A1E5F">
      <w:pPr>
        <w:rPr>
          <w:szCs w:val="22"/>
          <w:lang w:eastAsia="es-CO"/>
        </w:rPr>
      </w:pPr>
    </w:p>
    <w:p w14:paraId="1EEE3F53" w14:textId="77777777" w:rsidR="00872A8A" w:rsidRPr="000A1E5F" w:rsidRDefault="00872A8A" w:rsidP="000A1E5F">
      <w:pPr>
        <w:rPr>
          <w:szCs w:val="22"/>
          <w:lang w:eastAsia="es-CO"/>
        </w:rPr>
      </w:pPr>
      <w:r w:rsidRPr="000A1E5F">
        <w:rPr>
          <w:szCs w:val="22"/>
          <w:lang w:eastAsia="es-CO"/>
        </w:rPr>
        <w:t xml:space="preserve">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 </w:t>
      </w:r>
    </w:p>
    <w:p w14:paraId="35001251" w14:textId="77777777" w:rsidR="00872A8A" w:rsidRPr="000A1E5F" w:rsidRDefault="00872A8A" w:rsidP="000A1E5F">
      <w:pPr>
        <w:rPr>
          <w:szCs w:val="22"/>
          <w:lang w:eastAsia="es-CO"/>
        </w:rPr>
      </w:pPr>
    </w:p>
    <w:p w14:paraId="5ECB8BFC" w14:textId="77777777" w:rsidR="00872A8A" w:rsidRPr="000A1E5F" w:rsidRDefault="00872A8A" w:rsidP="000A1E5F">
      <w:pPr>
        <w:rPr>
          <w:szCs w:val="22"/>
          <w:lang w:eastAsia="es-CO"/>
        </w:rPr>
      </w:pPr>
      <w:r w:rsidRPr="000A1E5F">
        <w:rPr>
          <w:szCs w:val="22"/>
          <w:lang w:eastAsia="es-CO"/>
        </w:rPr>
        <w:t>I.</w:t>
      </w:r>
      <w:r w:rsidRPr="000A1E5F">
        <w:rPr>
          <w:szCs w:val="22"/>
          <w:lang w:eastAsia="es-CO"/>
        </w:rPr>
        <w:tab/>
        <w:t xml:space="preserve">La divulgación de la información representa un riesgo real, demostrable e identificable de perjuicio significativo al interés público o a la seguridad nacional. </w:t>
      </w:r>
    </w:p>
    <w:p w14:paraId="41C6253A" w14:textId="77777777" w:rsidR="00872A8A" w:rsidRPr="000A1E5F" w:rsidRDefault="00872A8A" w:rsidP="000A1E5F">
      <w:pPr>
        <w:rPr>
          <w:szCs w:val="22"/>
          <w:lang w:eastAsia="es-CO"/>
        </w:rPr>
      </w:pPr>
      <w:r w:rsidRPr="000A1E5F">
        <w:rPr>
          <w:szCs w:val="22"/>
          <w:lang w:eastAsia="es-CO"/>
        </w:rPr>
        <w:t>II.</w:t>
      </w:r>
      <w:r w:rsidRPr="000A1E5F">
        <w:rPr>
          <w:szCs w:val="22"/>
          <w:lang w:eastAsia="es-CO"/>
        </w:rPr>
        <w:tab/>
        <w:t xml:space="preserve">El riesgo de perjuicio supera el interés público general de que se difunda. </w:t>
      </w:r>
    </w:p>
    <w:p w14:paraId="698F0460" w14:textId="77777777" w:rsidR="00872A8A" w:rsidRPr="000A1E5F" w:rsidRDefault="00872A8A" w:rsidP="000A1E5F">
      <w:pPr>
        <w:rPr>
          <w:szCs w:val="22"/>
          <w:lang w:eastAsia="es-CO"/>
        </w:rPr>
      </w:pPr>
      <w:r w:rsidRPr="000A1E5F">
        <w:rPr>
          <w:szCs w:val="22"/>
          <w:lang w:eastAsia="es-CO"/>
        </w:rPr>
        <w:t>III.</w:t>
      </w:r>
      <w:r w:rsidRPr="000A1E5F">
        <w:rPr>
          <w:szCs w:val="22"/>
          <w:lang w:eastAsia="es-CO"/>
        </w:rPr>
        <w:tab/>
        <w:t>Que la limitación se adecua al principio de proporcionalidad y representa el medio menos restrictivo disponible para evitar el perjuicio.</w:t>
      </w:r>
    </w:p>
    <w:p w14:paraId="2EA7BCB4" w14:textId="77777777" w:rsidR="00872A8A" w:rsidRPr="000A1E5F" w:rsidRDefault="00872A8A" w:rsidP="000A1E5F">
      <w:pPr>
        <w:rPr>
          <w:szCs w:val="22"/>
          <w:lang w:eastAsia="es-CO"/>
        </w:rPr>
      </w:pPr>
    </w:p>
    <w:p w14:paraId="6D7F4D48" w14:textId="0829F06F" w:rsidR="00872A8A" w:rsidRPr="000A1E5F" w:rsidRDefault="00872A8A" w:rsidP="000A1E5F">
      <w:pPr>
        <w:rPr>
          <w:szCs w:val="22"/>
          <w:lang w:eastAsia="es-CO"/>
        </w:rPr>
      </w:pPr>
      <w:r w:rsidRPr="000A1E5F">
        <w:rPr>
          <w:szCs w:val="22"/>
          <w:lang w:eastAsia="es-CO"/>
        </w:rPr>
        <w:lastRenderedPageBreak/>
        <w:t>Por tales consideraciones, resulta procedente que el Sujeto Obligado, realice la versión pública de la información correspondiente, ello sin pasar desapercibido la entrega del acuerdo del Comité de Transparencia que sustente la censura de la información clasificada como confidencial y reservada, en los términos establecidos en la normatividad aplicable</w:t>
      </w:r>
    </w:p>
    <w:p w14:paraId="2562A3AC" w14:textId="77777777" w:rsidR="00505792" w:rsidRPr="000A1E5F" w:rsidRDefault="00505792" w:rsidP="000A1E5F">
      <w:pPr>
        <w:rPr>
          <w:szCs w:val="22"/>
        </w:rPr>
      </w:pPr>
    </w:p>
    <w:p w14:paraId="542DCE42" w14:textId="77777777" w:rsidR="00505792" w:rsidRPr="000A1E5F" w:rsidRDefault="00505792" w:rsidP="000A1E5F">
      <w:pPr>
        <w:pStyle w:val="Ttulo3"/>
        <w:spacing w:line="360" w:lineRule="auto"/>
        <w:rPr>
          <w:szCs w:val="22"/>
        </w:rPr>
      </w:pPr>
      <w:bookmarkStart w:id="37" w:name="_Toc206058494"/>
      <w:bookmarkStart w:id="38" w:name="_Toc207226115"/>
      <w:r w:rsidRPr="000A1E5F">
        <w:rPr>
          <w:szCs w:val="22"/>
        </w:rPr>
        <w:t>e) Conclusión.</w:t>
      </w:r>
      <w:bookmarkEnd w:id="37"/>
      <w:bookmarkEnd w:id="38"/>
    </w:p>
    <w:p w14:paraId="7C4E8C78" w14:textId="7CF9BB3C" w:rsidR="00505792" w:rsidRPr="000A1E5F" w:rsidRDefault="00505792" w:rsidP="000A1E5F">
      <w:pPr>
        <w:widowControl w:val="0"/>
        <w:tabs>
          <w:tab w:val="left" w:pos="1701"/>
          <w:tab w:val="left" w:pos="1843"/>
        </w:tabs>
        <w:rPr>
          <w:szCs w:val="22"/>
        </w:rPr>
      </w:pPr>
      <w:r w:rsidRPr="000A1E5F">
        <w:rPr>
          <w:szCs w:val="22"/>
        </w:rPr>
        <w:t xml:space="preserve">En razón de lo anteriormente expuesto, este Instituto estima que las razones o motivos de inconformidad hechos valer por </w:t>
      </w:r>
      <w:r w:rsidRPr="000A1E5F">
        <w:rPr>
          <w:b/>
          <w:szCs w:val="22"/>
        </w:rPr>
        <w:t>EL RECURRENTE</w:t>
      </w:r>
      <w:r w:rsidRPr="000A1E5F">
        <w:rPr>
          <w:szCs w:val="22"/>
        </w:rPr>
        <w:t xml:space="preserve"> devienen </w:t>
      </w:r>
      <w:r w:rsidRPr="000A1E5F">
        <w:rPr>
          <w:b/>
          <w:szCs w:val="22"/>
        </w:rPr>
        <w:t>fundadas</w:t>
      </w:r>
      <w:r w:rsidRPr="000A1E5F">
        <w:rPr>
          <w:szCs w:val="22"/>
        </w:rPr>
        <w:t xml:space="preserve">; motivo por el cual, este Órgano Garante determina </w:t>
      </w:r>
      <w:r w:rsidR="00CB10B6" w:rsidRPr="000A1E5F">
        <w:rPr>
          <w:b/>
          <w:szCs w:val="22"/>
        </w:rPr>
        <w:t xml:space="preserve">REVOCAR </w:t>
      </w:r>
      <w:r w:rsidRPr="000A1E5F">
        <w:rPr>
          <w:szCs w:val="22"/>
        </w:rPr>
        <w:t xml:space="preserve">la respuesta otorgada por </w:t>
      </w:r>
      <w:r w:rsidRPr="000A1E5F">
        <w:rPr>
          <w:b/>
          <w:szCs w:val="22"/>
        </w:rPr>
        <w:t xml:space="preserve">EL SUJETO OBLIGADO, </w:t>
      </w:r>
      <w:r w:rsidRPr="000A1E5F">
        <w:rPr>
          <w:szCs w:val="22"/>
        </w:rPr>
        <w:t>en términos del artículo 186, fracción III de la Ley de Transparencia y Acceso a la Información Pública del Estado de México y Municipios por las razones expuestas en el presente considerando.</w:t>
      </w:r>
    </w:p>
    <w:p w14:paraId="6C6FD745" w14:textId="77777777" w:rsidR="00505792" w:rsidRPr="000A1E5F" w:rsidRDefault="00505792" w:rsidP="000A1E5F">
      <w:pPr>
        <w:widowControl w:val="0"/>
        <w:tabs>
          <w:tab w:val="left" w:pos="1701"/>
          <w:tab w:val="left" w:pos="1843"/>
        </w:tabs>
        <w:rPr>
          <w:szCs w:val="22"/>
        </w:rPr>
      </w:pPr>
    </w:p>
    <w:p w14:paraId="19A25FB0" w14:textId="77777777" w:rsidR="00505792" w:rsidRPr="000A1E5F" w:rsidRDefault="00505792" w:rsidP="000A1E5F">
      <w:pPr>
        <w:ind w:right="-93"/>
        <w:rPr>
          <w:szCs w:val="22"/>
        </w:rPr>
      </w:pPr>
      <w:r w:rsidRPr="000A1E5F">
        <w:rPr>
          <w:szCs w:val="22"/>
        </w:rPr>
        <w:t>Así, con fundamento en lo establecido en los artículos 5,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53DB2E4" w14:textId="77777777" w:rsidR="00505792" w:rsidRPr="000A1E5F" w:rsidRDefault="00505792" w:rsidP="000A1E5F">
      <w:pPr>
        <w:rPr>
          <w:szCs w:val="22"/>
        </w:rPr>
      </w:pPr>
    </w:p>
    <w:p w14:paraId="2B04810A" w14:textId="77777777" w:rsidR="00505792" w:rsidRPr="000A1E5F" w:rsidRDefault="00505792" w:rsidP="000A1E5F">
      <w:pPr>
        <w:pStyle w:val="Ttulo1"/>
        <w:rPr>
          <w:szCs w:val="22"/>
        </w:rPr>
      </w:pPr>
      <w:bookmarkStart w:id="39" w:name="_heading=h.gsdhnqi1wat4" w:colFirst="0" w:colLast="0"/>
      <w:bookmarkStart w:id="40" w:name="_Toc206058495"/>
      <w:bookmarkStart w:id="41" w:name="_Toc207226116"/>
      <w:bookmarkEnd w:id="39"/>
      <w:r w:rsidRPr="000A1E5F">
        <w:rPr>
          <w:szCs w:val="22"/>
        </w:rPr>
        <w:t>RESUELVE</w:t>
      </w:r>
      <w:bookmarkEnd w:id="40"/>
      <w:bookmarkEnd w:id="41"/>
    </w:p>
    <w:p w14:paraId="66D7168D" w14:textId="77777777" w:rsidR="00505792" w:rsidRPr="000A1E5F" w:rsidRDefault="00505792" w:rsidP="000A1E5F">
      <w:pPr>
        <w:ind w:right="113"/>
        <w:rPr>
          <w:b/>
          <w:szCs w:val="22"/>
        </w:rPr>
      </w:pPr>
    </w:p>
    <w:p w14:paraId="648908B8" w14:textId="5CA7BDD3" w:rsidR="00505792" w:rsidRPr="000A1E5F" w:rsidRDefault="00505792" w:rsidP="000A1E5F">
      <w:pPr>
        <w:widowControl w:val="0"/>
        <w:rPr>
          <w:szCs w:val="22"/>
        </w:rPr>
      </w:pPr>
      <w:r w:rsidRPr="000A1E5F">
        <w:rPr>
          <w:b/>
          <w:szCs w:val="22"/>
        </w:rPr>
        <w:t>PRIMERO.</w:t>
      </w:r>
      <w:r w:rsidRPr="000A1E5F">
        <w:rPr>
          <w:szCs w:val="22"/>
        </w:rPr>
        <w:t xml:space="preserve"> Se </w:t>
      </w:r>
      <w:r w:rsidR="00CB10B6" w:rsidRPr="000A1E5F">
        <w:rPr>
          <w:b/>
          <w:szCs w:val="22"/>
        </w:rPr>
        <w:t>REVOCA</w:t>
      </w:r>
      <w:r w:rsidRPr="000A1E5F">
        <w:rPr>
          <w:szCs w:val="22"/>
        </w:rPr>
        <w:t xml:space="preserve"> la respuesta entregada por el </w:t>
      </w:r>
      <w:r w:rsidRPr="000A1E5F">
        <w:rPr>
          <w:b/>
          <w:szCs w:val="22"/>
        </w:rPr>
        <w:t>SUJETO OBLIGADO</w:t>
      </w:r>
      <w:r w:rsidRPr="000A1E5F">
        <w:rPr>
          <w:szCs w:val="22"/>
        </w:rPr>
        <w:t xml:space="preserve"> en la solicitud de información</w:t>
      </w:r>
      <w:r w:rsidRPr="000A1E5F">
        <w:rPr>
          <w:b/>
          <w:szCs w:val="22"/>
        </w:rPr>
        <w:t xml:space="preserve"> </w:t>
      </w:r>
      <w:r w:rsidR="00860051" w:rsidRPr="000A1E5F">
        <w:rPr>
          <w:b/>
          <w:szCs w:val="22"/>
        </w:rPr>
        <w:t>00141/IXTLAHUA/IP/2025</w:t>
      </w:r>
      <w:r w:rsidRPr="000A1E5F">
        <w:rPr>
          <w:szCs w:val="22"/>
        </w:rPr>
        <w:t xml:space="preserve">, por resultar </w:t>
      </w:r>
      <w:r w:rsidRPr="000A1E5F">
        <w:rPr>
          <w:b/>
          <w:szCs w:val="22"/>
        </w:rPr>
        <w:t>FUNDADAS</w:t>
      </w:r>
      <w:r w:rsidRPr="000A1E5F">
        <w:rPr>
          <w:szCs w:val="22"/>
        </w:rPr>
        <w:t xml:space="preserve"> las razones o motivos de inconformidad hechos valer por </w:t>
      </w:r>
      <w:r w:rsidRPr="000A1E5F">
        <w:rPr>
          <w:b/>
          <w:szCs w:val="22"/>
        </w:rPr>
        <w:t>LA PARTE RECURRENTE</w:t>
      </w:r>
      <w:r w:rsidRPr="000A1E5F">
        <w:rPr>
          <w:szCs w:val="22"/>
        </w:rPr>
        <w:t xml:space="preserve"> en el Recurso de Revisión </w:t>
      </w:r>
      <w:r w:rsidRPr="000A1E5F">
        <w:rPr>
          <w:b/>
          <w:szCs w:val="22"/>
        </w:rPr>
        <w:t>08</w:t>
      </w:r>
      <w:r w:rsidR="00860051" w:rsidRPr="000A1E5F">
        <w:rPr>
          <w:b/>
          <w:szCs w:val="22"/>
        </w:rPr>
        <w:t>767</w:t>
      </w:r>
      <w:r w:rsidRPr="000A1E5F">
        <w:rPr>
          <w:b/>
          <w:szCs w:val="22"/>
        </w:rPr>
        <w:t xml:space="preserve">/INFOEM/IP/RR/2025 </w:t>
      </w:r>
      <w:r w:rsidRPr="000A1E5F">
        <w:rPr>
          <w:szCs w:val="22"/>
        </w:rPr>
        <w:t xml:space="preserve">en términos del considerando </w:t>
      </w:r>
      <w:r w:rsidRPr="000A1E5F">
        <w:rPr>
          <w:b/>
          <w:szCs w:val="22"/>
        </w:rPr>
        <w:t>SEGUNDO</w:t>
      </w:r>
      <w:r w:rsidRPr="000A1E5F">
        <w:rPr>
          <w:szCs w:val="22"/>
        </w:rPr>
        <w:t xml:space="preserve"> de la presente Resolución.</w:t>
      </w:r>
    </w:p>
    <w:p w14:paraId="0FAD5D97" w14:textId="517E217F" w:rsidR="00505792" w:rsidRPr="000A1E5F" w:rsidRDefault="00505792" w:rsidP="000A1E5F">
      <w:pPr>
        <w:pBdr>
          <w:top w:val="nil"/>
          <w:left w:val="nil"/>
          <w:bottom w:val="nil"/>
          <w:right w:val="nil"/>
          <w:between w:val="nil"/>
        </w:pBdr>
        <w:rPr>
          <w:szCs w:val="22"/>
        </w:rPr>
      </w:pPr>
      <w:r w:rsidRPr="000A1E5F">
        <w:rPr>
          <w:b/>
          <w:szCs w:val="22"/>
        </w:rPr>
        <w:lastRenderedPageBreak/>
        <w:t>SEGUNDO.</w:t>
      </w:r>
      <w:r w:rsidRPr="000A1E5F">
        <w:rPr>
          <w:szCs w:val="22"/>
        </w:rPr>
        <w:t xml:space="preserve"> Se </w:t>
      </w:r>
      <w:r w:rsidRPr="000A1E5F">
        <w:rPr>
          <w:b/>
          <w:szCs w:val="22"/>
        </w:rPr>
        <w:t xml:space="preserve">ORDENA </w:t>
      </w:r>
      <w:r w:rsidRPr="000A1E5F">
        <w:rPr>
          <w:szCs w:val="22"/>
        </w:rPr>
        <w:t xml:space="preserve">al </w:t>
      </w:r>
      <w:r w:rsidRPr="000A1E5F">
        <w:rPr>
          <w:b/>
          <w:szCs w:val="22"/>
        </w:rPr>
        <w:t>SUJETO OBLIGADO</w:t>
      </w:r>
      <w:r w:rsidRPr="000A1E5F">
        <w:rPr>
          <w:szCs w:val="22"/>
        </w:rPr>
        <w:t xml:space="preserve">, a efecto de que, entregue a través del </w:t>
      </w:r>
      <w:r w:rsidRPr="000A1E5F">
        <w:rPr>
          <w:b/>
          <w:szCs w:val="22"/>
        </w:rPr>
        <w:t>SAIMEX</w:t>
      </w:r>
      <w:r w:rsidRPr="000A1E5F">
        <w:rPr>
          <w:szCs w:val="22"/>
        </w:rPr>
        <w:t>,</w:t>
      </w:r>
      <w:r w:rsidR="00D45D0D" w:rsidRPr="000A1E5F">
        <w:rPr>
          <w:szCs w:val="22"/>
        </w:rPr>
        <w:t xml:space="preserve"> previa búsqueda exhaustiva y razonable y en versión pública de ser procedente,</w:t>
      </w:r>
      <w:r w:rsidRPr="000A1E5F">
        <w:rPr>
          <w:szCs w:val="22"/>
        </w:rPr>
        <w:t xml:space="preserve"> lo siguiente:</w:t>
      </w:r>
    </w:p>
    <w:p w14:paraId="08EC1372" w14:textId="77777777" w:rsidR="00505792" w:rsidRPr="000A1E5F" w:rsidRDefault="00505792" w:rsidP="000A1E5F">
      <w:pPr>
        <w:pStyle w:val="Puesto"/>
        <w:spacing w:line="276" w:lineRule="auto"/>
        <w:ind w:left="0"/>
        <w:rPr>
          <w:rFonts w:eastAsia="Times New Roman" w:cs="Times New Roman"/>
          <w:b/>
          <w:i w:val="0"/>
          <w:kern w:val="0"/>
          <w:szCs w:val="22"/>
        </w:rPr>
      </w:pPr>
      <w:bookmarkStart w:id="42" w:name="_heading=h.p2f5rm941076" w:colFirst="0" w:colLast="0"/>
      <w:bookmarkEnd w:id="42"/>
    </w:p>
    <w:p w14:paraId="6F69DB7E" w14:textId="250981DD" w:rsidR="00505792" w:rsidRPr="000A1E5F" w:rsidRDefault="00A8766F" w:rsidP="000A1E5F">
      <w:pPr>
        <w:pStyle w:val="Prrafodelista"/>
        <w:ind w:right="-93"/>
        <w:rPr>
          <w:b/>
          <w:i/>
          <w:szCs w:val="22"/>
        </w:rPr>
      </w:pPr>
      <w:r w:rsidRPr="000A1E5F">
        <w:rPr>
          <w:b/>
          <w:i/>
          <w:szCs w:val="22"/>
        </w:rPr>
        <w:t>Las f</w:t>
      </w:r>
      <w:r w:rsidR="00D45D0D" w:rsidRPr="000A1E5F">
        <w:rPr>
          <w:b/>
          <w:i/>
          <w:szCs w:val="22"/>
        </w:rPr>
        <w:t xml:space="preserve">acturas por concepto de compra o arrendamiento de patrullas con las que cuente el municipio al </w:t>
      </w:r>
      <w:r w:rsidR="005649D2" w:rsidRPr="000A1E5F">
        <w:rPr>
          <w:b/>
          <w:i/>
          <w:szCs w:val="22"/>
        </w:rPr>
        <w:t>26</w:t>
      </w:r>
      <w:r w:rsidR="00D45D0D" w:rsidRPr="000A1E5F">
        <w:rPr>
          <w:b/>
          <w:i/>
          <w:szCs w:val="22"/>
        </w:rPr>
        <w:t xml:space="preserve"> de junio de </w:t>
      </w:r>
      <w:r w:rsidRPr="000A1E5F">
        <w:rPr>
          <w:b/>
          <w:i/>
          <w:szCs w:val="22"/>
        </w:rPr>
        <w:t>2025</w:t>
      </w:r>
      <w:r w:rsidR="00D45D0D" w:rsidRPr="000A1E5F">
        <w:rPr>
          <w:b/>
          <w:i/>
          <w:szCs w:val="22"/>
        </w:rPr>
        <w:t>.</w:t>
      </w:r>
    </w:p>
    <w:p w14:paraId="7E22022A" w14:textId="77777777" w:rsidR="00D45D0D" w:rsidRPr="000A1E5F" w:rsidRDefault="00D45D0D" w:rsidP="000A1E5F">
      <w:pPr>
        <w:ind w:right="-93"/>
        <w:rPr>
          <w:szCs w:val="22"/>
        </w:rPr>
      </w:pPr>
    </w:p>
    <w:p w14:paraId="4B166762" w14:textId="77777777" w:rsidR="00505792" w:rsidRPr="000A1E5F" w:rsidRDefault="00505792" w:rsidP="000A1E5F">
      <w:pPr>
        <w:ind w:right="-93"/>
        <w:rPr>
          <w:szCs w:val="22"/>
        </w:rPr>
      </w:pPr>
      <w:r w:rsidRPr="000A1E5F">
        <w:rPr>
          <w:szCs w:val="22"/>
        </w:rPr>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40D106B" w14:textId="77777777" w:rsidR="00505792" w:rsidRPr="000A1E5F" w:rsidRDefault="00505792" w:rsidP="000A1E5F">
      <w:pPr>
        <w:ind w:right="-28"/>
        <w:rPr>
          <w:szCs w:val="22"/>
        </w:rPr>
      </w:pPr>
    </w:p>
    <w:p w14:paraId="343BC1C6" w14:textId="77777777" w:rsidR="00505792" w:rsidRPr="000A1E5F" w:rsidRDefault="00505792" w:rsidP="000A1E5F">
      <w:pPr>
        <w:rPr>
          <w:szCs w:val="22"/>
        </w:rPr>
      </w:pPr>
      <w:r w:rsidRPr="000A1E5F">
        <w:rPr>
          <w:b/>
          <w:szCs w:val="22"/>
        </w:rPr>
        <w:t>TERCERO.</w:t>
      </w:r>
      <w:r w:rsidRPr="000A1E5F">
        <w:rPr>
          <w:szCs w:val="22"/>
        </w:rPr>
        <w:t xml:space="preserve"> </w:t>
      </w:r>
      <w:r w:rsidRPr="000A1E5F">
        <w:rPr>
          <w:b/>
          <w:szCs w:val="22"/>
        </w:rPr>
        <w:t xml:space="preserve">Notifíquese </w:t>
      </w:r>
      <w:r w:rsidRPr="000A1E5F">
        <w:rPr>
          <w:szCs w:val="22"/>
        </w:rPr>
        <w:t>vía Sistema de Acceso a la Información Mexiquense (</w:t>
      </w:r>
      <w:r w:rsidRPr="000A1E5F">
        <w:rPr>
          <w:b/>
          <w:szCs w:val="22"/>
        </w:rPr>
        <w:t>SAIMEX)</w:t>
      </w:r>
      <w:r w:rsidRPr="000A1E5F">
        <w:rPr>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38587CB" w14:textId="77777777" w:rsidR="00505792" w:rsidRPr="000A1E5F" w:rsidRDefault="00505792" w:rsidP="000A1E5F">
      <w:pPr>
        <w:rPr>
          <w:szCs w:val="22"/>
        </w:rPr>
      </w:pPr>
    </w:p>
    <w:p w14:paraId="64B75FCB" w14:textId="77777777" w:rsidR="00505792" w:rsidRPr="000A1E5F" w:rsidRDefault="00505792" w:rsidP="000A1E5F">
      <w:pPr>
        <w:rPr>
          <w:b/>
          <w:szCs w:val="22"/>
        </w:rPr>
      </w:pPr>
      <w:r w:rsidRPr="000A1E5F">
        <w:rPr>
          <w:b/>
          <w:szCs w:val="22"/>
        </w:rPr>
        <w:t>CUARTO.</w:t>
      </w:r>
      <w:r w:rsidRPr="000A1E5F">
        <w:rPr>
          <w:szCs w:val="22"/>
        </w:rPr>
        <w:t xml:space="preserve"> Notifíquese a </w:t>
      </w:r>
      <w:r w:rsidRPr="000A1E5F">
        <w:rPr>
          <w:b/>
          <w:szCs w:val="22"/>
        </w:rPr>
        <w:t>LA PARTE RECURRENTE</w:t>
      </w:r>
      <w:r w:rsidRPr="000A1E5F">
        <w:rPr>
          <w:szCs w:val="22"/>
        </w:rPr>
        <w:t xml:space="preserve"> la presente resolución vía Sistema de Acceso a la Información Mexiquense </w:t>
      </w:r>
      <w:r w:rsidRPr="000A1E5F">
        <w:rPr>
          <w:b/>
          <w:szCs w:val="22"/>
        </w:rPr>
        <w:t>(SAIMEX).</w:t>
      </w:r>
    </w:p>
    <w:p w14:paraId="40074832" w14:textId="77777777" w:rsidR="00505792" w:rsidRPr="000A1E5F" w:rsidRDefault="00505792" w:rsidP="000A1E5F">
      <w:pPr>
        <w:rPr>
          <w:szCs w:val="22"/>
        </w:rPr>
      </w:pPr>
      <w:r w:rsidRPr="000A1E5F">
        <w:rPr>
          <w:b/>
          <w:szCs w:val="22"/>
        </w:rPr>
        <w:lastRenderedPageBreak/>
        <w:t>QUINTO</w:t>
      </w:r>
      <w:r w:rsidRPr="000A1E5F">
        <w:rPr>
          <w:szCs w:val="22"/>
        </w:rPr>
        <w:t xml:space="preserve">. Hágase del conocimiento a </w:t>
      </w:r>
      <w:r w:rsidRPr="000A1E5F">
        <w:rPr>
          <w:b/>
          <w:szCs w:val="22"/>
        </w:rPr>
        <w:t>LA PARTE RECURRENTE</w:t>
      </w:r>
      <w:r w:rsidRPr="000A1E5F">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72696B78" w14:textId="77777777" w:rsidR="00505792" w:rsidRPr="000A1E5F" w:rsidRDefault="00505792" w:rsidP="000A1E5F">
      <w:pPr>
        <w:rPr>
          <w:szCs w:val="22"/>
        </w:rPr>
      </w:pPr>
    </w:p>
    <w:p w14:paraId="514CDB78" w14:textId="77777777" w:rsidR="00505792" w:rsidRPr="000A1E5F" w:rsidRDefault="00505792" w:rsidP="000A1E5F">
      <w:pPr>
        <w:rPr>
          <w:szCs w:val="22"/>
        </w:rPr>
      </w:pPr>
      <w:r w:rsidRPr="000A1E5F">
        <w:rPr>
          <w:b/>
          <w:szCs w:val="22"/>
        </w:rPr>
        <w:t>SEXTO.</w:t>
      </w:r>
      <w:r w:rsidRPr="000A1E5F">
        <w:rPr>
          <w:szCs w:val="22"/>
        </w:rPr>
        <w:t xml:space="preserve"> De conformidad con el artículo 198 de la Ley de Transparencia y Acceso a la Información Pública del Estado de México y Municipios, el </w:t>
      </w:r>
      <w:r w:rsidRPr="000A1E5F">
        <w:rPr>
          <w:b/>
          <w:szCs w:val="22"/>
        </w:rPr>
        <w:t>SUJETO OBLIGADO</w:t>
      </w:r>
      <w:r w:rsidRPr="000A1E5F">
        <w:rPr>
          <w:szCs w:val="22"/>
        </w:rPr>
        <w:t xml:space="preserve"> podrá solicitar una ampliación de plazo de manera fundada y motivada, para el cumplimiento de la presente resolución.</w:t>
      </w:r>
    </w:p>
    <w:p w14:paraId="0B4226E5" w14:textId="77777777" w:rsidR="008223B9" w:rsidRPr="000A1E5F" w:rsidRDefault="008223B9" w:rsidP="000A1E5F">
      <w:pPr>
        <w:ind w:right="113"/>
        <w:rPr>
          <w:b/>
        </w:rPr>
      </w:pPr>
    </w:p>
    <w:p w14:paraId="03DAC4BC" w14:textId="1D267A63" w:rsidR="008223B9" w:rsidRPr="000A1E5F" w:rsidRDefault="00C60ED3" w:rsidP="000A1E5F">
      <w:r w:rsidRPr="000A1E5F">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0A1E5F">
        <w:t xml:space="preserve">HARON CRISTINA MORALES MARTÍNEZ, LUIS GUSTAVO PARRA NORIEGA </w:t>
      </w:r>
      <w:r w:rsidRPr="000A1E5F">
        <w:t xml:space="preserve">Y GUADALUPE RAMÍREZ PEÑA, EN LA </w:t>
      </w:r>
      <w:r w:rsidR="00D45D0D" w:rsidRPr="000A1E5F">
        <w:t>TRIGÉSIMA</w:t>
      </w:r>
      <w:r w:rsidR="003E0B6F" w:rsidRPr="000A1E5F">
        <w:t xml:space="preserve"> </w:t>
      </w:r>
      <w:r w:rsidRPr="000A1E5F">
        <w:t xml:space="preserve">SESIÓN ORDINARIA, CELEBRADA EL </w:t>
      </w:r>
      <w:r w:rsidR="00D45D0D" w:rsidRPr="000A1E5F">
        <w:t>VEINTISIETE</w:t>
      </w:r>
      <w:r w:rsidRPr="000A1E5F">
        <w:t xml:space="preserve"> DE </w:t>
      </w:r>
      <w:r w:rsidR="00B87FA9" w:rsidRPr="000A1E5F">
        <w:t>AGOSTO</w:t>
      </w:r>
      <w:r w:rsidRPr="000A1E5F">
        <w:t xml:space="preserve"> DE DOS MIL VEINTICINCO ANTE EL SECRETARIO TÉCNICO DEL PLENO, ALEXIS TAPIA RAMÍREZ.</w:t>
      </w:r>
    </w:p>
    <w:p w14:paraId="7ABA13D8" w14:textId="77777777" w:rsidR="008223B9" w:rsidRPr="000A1E5F" w:rsidRDefault="00C60ED3" w:rsidP="000A1E5F">
      <w:pPr>
        <w:tabs>
          <w:tab w:val="left" w:pos="2325"/>
        </w:tabs>
        <w:rPr>
          <w:szCs w:val="10"/>
        </w:rPr>
      </w:pPr>
      <w:r w:rsidRPr="000A1E5F">
        <w:rPr>
          <w:szCs w:val="10"/>
        </w:rPr>
        <w:t>SCMM/AGZ/DEMF/DLM</w:t>
      </w:r>
    </w:p>
    <w:p w14:paraId="4F984479" w14:textId="77777777" w:rsidR="008223B9" w:rsidRPr="000A1E5F" w:rsidRDefault="008223B9" w:rsidP="000A1E5F">
      <w:pPr>
        <w:ind w:right="-93"/>
      </w:pPr>
    </w:p>
    <w:p w14:paraId="1F87AB4D" w14:textId="77777777" w:rsidR="008223B9" w:rsidRPr="000A1E5F" w:rsidRDefault="008223B9" w:rsidP="000A1E5F">
      <w:pPr>
        <w:ind w:right="-93"/>
      </w:pPr>
    </w:p>
    <w:p w14:paraId="32C37E8B" w14:textId="77777777" w:rsidR="008223B9" w:rsidRPr="000A1E5F" w:rsidRDefault="008223B9" w:rsidP="000A1E5F">
      <w:pPr>
        <w:ind w:right="-93"/>
      </w:pPr>
    </w:p>
    <w:p w14:paraId="10DA5E9C" w14:textId="77777777" w:rsidR="008223B9" w:rsidRPr="000A1E5F" w:rsidRDefault="008223B9" w:rsidP="000A1E5F">
      <w:pPr>
        <w:ind w:right="-93"/>
      </w:pPr>
    </w:p>
    <w:p w14:paraId="246C3E6C" w14:textId="77777777" w:rsidR="008223B9" w:rsidRPr="000A1E5F" w:rsidRDefault="008223B9" w:rsidP="000A1E5F">
      <w:pPr>
        <w:ind w:right="-93"/>
      </w:pPr>
    </w:p>
    <w:p w14:paraId="67A36E1A" w14:textId="77777777" w:rsidR="008223B9" w:rsidRPr="000A1E5F" w:rsidRDefault="008223B9" w:rsidP="000A1E5F">
      <w:pPr>
        <w:ind w:right="-93"/>
      </w:pPr>
    </w:p>
    <w:p w14:paraId="03C3D67B" w14:textId="77777777" w:rsidR="008223B9" w:rsidRPr="000A1E5F" w:rsidRDefault="008223B9" w:rsidP="000A1E5F">
      <w:pPr>
        <w:ind w:right="-93"/>
      </w:pPr>
    </w:p>
    <w:p w14:paraId="0B07E9E7" w14:textId="77777777" w:rsidR="008223B9" w:rsidRPr="000A1E5F" w:rsidRDefault="008223B9" w:rsidP="000A1E5F">
      <w:pPr>
        <w:ind w:right="-93"/>
      </w:pPr>
    </w:p>
    <w:p w14:paraId="49A505C1" w14:textId="77777777" w:rsidR="008223B9" w:rsidRPr="000A1E5F" w:rsidRDefault="008223B9" w:rsidP="000A1E5F">
      <w:pPr>
        <w:tabs>
          <w:tab w:val="center" w:pos="4568"/>
        </w:tabs>
        <w:ind w:right="-93"/>
      </w:pPr>
    </w:p>
    <w:p w14:paraId="5ADA97DA" w14:textId="77777777" w:rsidR="008223B9" w:rsidRPr="000A1E5F" w:rsidRDefault="008223B9" w:rsidP="000A1E5F">
      <w:pPr>
        <w:tabs>
          <w:tab w:val="center" w:pos="4568"/>
        </w:tabs>
        <w:ind w:right="-93"/>
      </w:pPr>
    </w:p>
    <w:p w14:paraId="0F005EC4" w14:textId="77777777" w:rsidR="008223B9" w:rsidRPr="000A1E5F" w:rsidRDefault="008223B9" w:rsidP="000A1E5F">
      <w:pPr>
        <w:tabs>
          <w:tab w:val="center" w:pos="4568"/>
        </w:tabs>
        <w:ind w:right="-93"/>
      </w:pPr>
    </w:p>
    <w:p w14:paraId="1C402D24" w14:textId="77777777" w:rsidR="008223B9" w:rsidRPr="000A1E5F" w:rsidRDefault="008223B9" w:rsidP="000A1E5F">
      <w:pPr>
        <w:tabs>
          <w:tab w:val="center" w:pos="4568"/>
        </w:tabs>
        <w:ind w:right="-93"/>
      </w:pPr>
    </w:p>
    <w:p w14:paraId="651090CC" w14:textId="77777777" w:rsidR="008223B9" w:rsidRPr="000A1E5F" w:rsidRDefault="008223B9" w:rsidP="000A1E5F">
      <w:pPr>
        <w:tabs>
          <w:tab w:val="center" w:pos="4568"/>
        </w:tabs>
        <w:ind w:right="-93"/>
      </w:pPr>
    </w:p>
    <w:p w14:paraId="478FD054" w14:textId="77777777" w:rsidR="008223B9" w:rsidRPr="000A1E5F" w:rsidRDefault="008223B9" w:rsidP="000A1E5F">
      <w:pPr>
        <w:tabs>
          <w:tab w:val="center" w:pos="4568"/>
        </w:tabs>
        <w:ind w:right="-93"/>
      </w:pPr>
    </w:p>
    <w:p w14:paraId="733807C5" w14:textId="77777777" w:rsidR="008223B9" w:rsidRPr="000A1E5F" w:rsidRDefault="008223B9" w:rsidP="000A1E5F">
      <w:pPr>
        <w:tabs>
          <w:tab w:val="center" w:pos="4568"/>
        </w:tabs>
        <w:ind w:right="-93"/>
      </w:pPr>
    </w:p>
    <w:p w14:paraId="478F07ED" w14:textId="77777777" w:rsidR="008223B9" w:rsidRPr="000A1E5F" w:rsidRDefault="008223B9" w:rsidP="000A1E5F">
      <w:pPr>
        <w:tabs>
          <w:tab w:val="center" w:pos="4568"/>
        </w:tabs>
        <w:ind w:right="-93"/>
      </w:pPr>
    </w:p>
    <w:p w14:paraId="552FF693" w14:textId="77777777" w:rsidR="008223B9" w:rsidRPr="000A1E5F" w:rsidRDefault="008223B9" w:rsidP="000A1E5F">
      <w:pPr>
        <w:tabs>
          <w:tab w:val="center" w:pos="4568"/>
        </w:tabs>
        <w:ind w:right="-93"/>
      </w:pPr>
    </w:p>
    <w:p w14:paraId="2C133953" w14:textId="77777777" w:rsidR="008223B9" w:rsidRPr="000A1E5F" w:rsidRDefault="008223B9" w:rsidP="000A1E5F">
      <w:pPr>
        <w:tabs>
          <w:tab w:val="center" w:pos="4568"/>
        </w:tabs>
        <w:ind w:right="-93"/>
      </w:pPr>
    </w:p>
    <w:p w14:paraId="788AE969" w14:textId="77777777" w:rsidR="008223B9" w:rsidRPr="000A1E5F" w:rsidRDefault="008223B9" w:rsidP="000A1E5F">
      <w:pPr>
        <w:tabs>
          <w:tab w:val="center" w:pos="4568"/>
        </w:tabs>
        <w:ind w:right="-93"/>
      </w:pPr>
    </w:p>
    <w:p w14:paraId="04294D32" w14:textId="77777777" w:rsidR="008223B9" w:rsidRPr="000A1E5F" w:rsidRDefault="008223B9" w:rsidP="000A1E5F">
      <w:pPr>
        <w:tabs>
          <w:tab w:val="center" w:pos="4568"/>
        </w:tabs>
        <w:ind w:right="-93"/>
      </w:pPr>
    </w:p>
    <w:p w14:paraId="3F8327F1" w14:textId="77777777" w:rsidR="008223B9" w:rsidRPr="000A1E5F" w:rsidRDefault="008223B9" w:rsidP="000A1E5F">
      <w:pPr>
        <w:tabs>
          <w:tab w:val="center" w:pos="4568"/>
        </w:tabs>
        <w:ind w:right="-93"/>
      </w:pPr>
    </w:p>
    <w:p w14:paraId="25A02BE8" w14:textId="77777777" w:rsidR="008223B9" w:rsidRPr="000A1E5F" w:rsidRDefault="008223B9" w:rsidP="000A1E5F">
      <w:pPr>
        <w:tabs>
          <w:tab w:val="center" w:pos="4568"/>
        </w:tabs>
        <w:ind w:right="-93"/>
      </w:pPr>
    </w:p>
    <w:p w14:paraId="0CC13794" w14:textId="77777777" w:rsidR="008223B9" w:rsidRPr="000A1E5F" w:rsidRDefault="008223B9" w:rsidP="000A1E5F">
      <w:pPr>
        <w:tabs>
          <w:tab w:val="center" w:pos="4568"/>
        </w:tabs>
        <w:ind w:right="-93"/>
      </w:pPr>
    </w:p>
    <w:p w14:paraId="6B7DE980" w14:textId="77777777" w:rsidR="008223B9" w:rsidRPr="000A1E5F" w:rsidRDefault="008223B9" w:rsidP="000A1E5F">
      <w:pPr>
        <w:tabs>
          <w:tab w:val="center" w:pos="4568"/>
        </w:tabs>
        <w:ind w:right="-93"/>
      </w:pPr>
    </w:p>
    <w:p w14:paraId="5873D14E" w14:textId="77777777" w:rsidR="008223B9" w:rsidRPr="000A1E5F" w:rsidRDefault="008223B9" w:rsidP="000A1E5F"/>
    <w:sectPr w:rsidR="008223B9" w:rsidRPr="000A1E5F" w:rsidSect="00F77E5B">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B9C4E" w14:textId="77777777" w:rsidR="007558B7" w:rsidRDefault="007558B7">
      <w:pPr>
        <w:spacing w:line="240" w:lineRule="auto"/>
      </w:pPr>
      <w:r>
        <w:separator/>
      </w:r>
    </w:p>
  </w:endnote>
  <w:endnote w:type="continuationSeparator" w:id="0">
    <w:p w14:paraId="54E7FA51" w14:textId="77777777" w:rsidR="007558B7" w:rsidRDefault="00755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CE94" w14:textId="77777777" w:rsidR="00505792" w:rsidRDefault="00505792">
    <w:pPr>
      <w:tabs>
        <w:tab w:val="center" w:pos="4550"/>
        <w:tab w:val="left" w:pos="5818"/>
      </w:tabs>
      <w:ind w:right="260"/>
      <w:jc w:val="right"/>
      <w:rPr>
        <w:color w:val="071320"/>
        <w:sz w:val="24"/>
        <w:szCs w:val="24"/>
      </w:rPr>
    </w:pPr>
  </w:p>
  <w:p w14:paraId="316EE8B2" w14:textId="77777777" w:rsidR="00505792" w:rsidRDefault="0050579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F98EE" w14:textId="6EDAFD52" w:rsidR="00505792" w:rsidRDefault="00505792">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D36D07">
      <w:rPr>
        <w:noProof/>
        <w:color w:val="0A1D30"/>
        <w:sz w:val="24"/>
        <w:szCs w:val="24"/>
      </w:rPr>
      <w:t>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D36D07">
      <w:rPr>
        <w:noProof/>
        <w:color w:val="0A1D30"/>
        <w:sz w:val="24"/>
        <w:szCs w:val="24"/>
      </w:rPr>
      <w:t>33</w:t>
    </w:r>
    <w:r>
      <w:rPr>
        <w:color w:val="0A1D30"/>
        <w:sz w:val="24"/>
        <w:szCs w:val="24"/>
      </w:rPr>
      <w:fldChar w:fldCharType="end"/>
    </w:r>
  </w:p>
  <w:p w14:paraId="1B8AE224" w14:textId="77777777" w:rsidR="00505792" w:rsidRDefault="0050579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CA839" w14:textId="77777777" w:rsidR="007558B7" w:rsidRDefault="007558B7">
      <w:pPr>
        <w:spacing w:line="240" w:lineRule="auto"/>
      </w:pPr>
      <w:r>
        <w:separator/>
      </w:r>
    </w:p>
  </w:footnote>
  <w:footnote w:type="continuationSeparator" w:id="0">
    <w:p w14:paraId="53DA85E3" w14:textId="77777777" w:rsidR="007558B7" w:rsidRDefault="007558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0404DB" w14:textId="77777777" w:rsidR="00505792" w:rsidRDefault="00505792">
    <w:pPr>
      <w:widowControl w:val="0"/>
      <w:pBdr>
        <w:top w:val="nil"/>
        <w:left w:val="nil"/>
        <w:bottom w:val="nil"/>
        <w:right w:val="nil"/>
        <w:between w:val="nil"/>
      </w:pBdr>
      <w:spacing w:line="276" w:lineRule="auto"/>
      <w:jc w:val="left"/>
      <w:rPr>
        <w:rFonts w:ascii="Aptos" w:eastAsia="Aptos" w:hAnsi="Aptos" w:cs="Aptos"/>
        <w:color w:val="000000"/>
        <w:sz w:val="20"/>
      </w:rPr>
    </w:pPr>
  </w:p>
  <w:tbl>
    <w:tblPr>
      <w:tblStyle w:val="a5"/>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505792" w14:paraId="30B31710" w14:textId="77777777">
      <w:trPr>
        <w:trHeight w:val="144"/>
        <w:jc w:val="right"/>
      </w:trPr>
      <w:tc>
        <w:tcPr>
          <w:tcW w:w="2727" w:type="dxa"/>
        </w:tcPr>
        <w:p w14:paraId="113AF00C" w14:textId="77777777" w:rsidR="00505792" w:rsidRDefault="00505792">
          <w:pPr>
            <w:tabs>
              <w:tab w:val="right" w:pos="8838"/>
            </w:tabs>
            <w:ind w:left="-74" w:right="-105"/>
            <w:rPr>
              <w:b/>
            </w:rPr>
          </w:pPr>
          <w:r>
            <w:rPr>
              <w:b/>
            </w:rPr>
            <w:t>Recurso de Revisión:</w:t>
          </w:r>
        </w:p>
      </w:tc>
      <w:tc>
        <w:tcPr>
          <w:tcW w:w="3402" w:type="dxa"/>
        </w:tcPr>
        <w:p w14:paraId="1D17AF77" w14:textId="62E93843" w:rsidR="00505792" w:rsidRDefault="00505792" w:rsidP="00206A64">
          <w:pPr>
            <w:tabs>
              <w:tab w:val="right" w:pos="8838"/>
            </w:tabs>
            <w:ind w:left="-74" w:right="-105"/>
          </w:pPr>
          <w:r>
            <w:t xml:space="preserve">08767/INFOEM/IP/RR/2025 </w:t>
          </w:r>
        </w:p>
      </w:tc>
    </w:tr>
    <w:tr w:rsidR="00505792" w14:paraId="3D05C190" w14:textId="77777777">
      <w:trPr>
        <w:trHeight w:val="283"/>
        <w:jc w:val="right"/>
      </w:trPr>
      <w:tc>
        <w:tcPr>
          <w:tcW w:w="2727" w:type="dxa"/>
        </w:tcPr>
        <w:p w14:paraId="61888871" w14:textId="77777777" w:rsidR="00505792" w:rsidRDefault="00505792">
          <w:pPr>
            <w:tabs>
              <w:tab w:val="right" w:pos="8838"/>
            </w:tabs>
            <w:ind w:left="-74" w:right="-105"/>
            <w:rPr>
              <w:b/>
            </w:rPr>
          </w:pPr>
          <w:r>
            <w:rPr>
              <w:b/>
            </w:rPr>
            <w:t>Sujeto Obligado:</w:t>
          </w:r>
        </w:p>
      </w:tc>
      <w:tc>
        <w:tcPr>
          <w:tcW w:w="3402" w:type="dxa"/>
        </w:tcPr>
        <w:p w14:paraId="4DE749C4" w14:textId="4FD939BA" w:rsidR="00505792" w:rsidRDefault="00505792">
          <w:pPr>
            <w:tabs>
              <w:tab w:val="left" w:pos="2834"/>
              <w:tab w:val="right" w:pos="8838"/>
            </w:tabs>
            <w:ind w:left="-108" w:right="-105"/>
            <w:rPr>
              <w:highlight w:val="yellow"/>
            </w:rPr>
          </w:pPr>
          <w:r w:rsidRPr="00206A64">
            <w:t>Ayuntamiento de Ixtlahuaca</w:t>
          </w:r>
        </w:p>
      </w:tc>
    </w:tr>
    <w:tr w:rsidR="00505792" w14:paraId="45D64358" w14:textId="77777777">
      <w:trPr>
        <w:trHeight w:val="283"/>
        <w:jc w:val="right"/>
      </w:trPr>
      <w:tc>
        <w:tcPr>
          <w:tcW w:w="2727" w:type="dxa"/>
        </w:tcPr>
        <w:p w14:paraId="20DF9798" w14:textId="77777777" w:rsidR="00505792" w:rsidRDefault="00505792">
          <w:pPr>
            <w:tabs>
              <w:tab w:val="right" w:pos="8838"/>
            </w:tabs>
            <w:ind w:left="-74" w:right="-105"/>
            <w:rPr>
              <w:b/>
            </w:rPr>
          </w:pPr>
          <w:r>
            <w:rPr>
              <w:b/>
            </w:rPr>
            <w:t>Comisionada Ponente:</w:t>
          </w:r>
        </w:p>
      </w:tc>
      <w:tc>
        <w:tcPr>
          <w:tcW w:w="3402" w:type="dxa"/>
        </w:tcPr>
        <w:p w14:paraId="3CC7535F" w14:textId="77777777" w:rsidR="00505792" w:rsidRDefault="00505792">
          <w:pPr>
            <w:tabs>
              <w:tab w:val="right" w:pos="8838"/>
            </w:tabs>
            <w:ind w:left="-108" w:right="-105"/>
          </w:pPr>
          <w:r>
            <w:t>Sharon Cristina Morales Martínez</w:t>
          </w:r>
        </w:p>
      </w:tc>
    </w:tr>
  </w:tbl>
  <w:p w14:paraId="47E26D05" w14:textId="77777777" w:rsidR="00505792" w:rsidRDefault="00505792">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14004781" wp14:editId="69C3DDE7">
          <wp:simplePos x="0" y="0"/>
          <wp:positionH relativeFrom="margin">
            <wp:posOffset>-995041</wp:posOffset>
          </wp:positionH>
          <wp:positionV relativeFrom="margin">
            <wp:posOffset>-1782442</wp:posOffset>
          </wp:positionV>
          <wp:extent cx="8426450" cy="109728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63265" w14:textId="77777777" w:rsidR="00505792" w:rsidRDefault="00505792">
    <w:pPr>
      <w:widowControl w:val="0"/>
      <w:pBdr>
        <w:top w:val="nil"/>
        <w:left w:val="nil"/>
        <w:bottom w:val="nil"/>
        <w:right w:val="nil"/>
        <w:between w:val="nil"/>
      </w:pBdr>
      <w:spacing w:line="276" w:lineRule="auto"/>
      <w:jc w:val="left"/>
      <w:rPr>
        <w:color w:val="000000"/>
        <w:sz w:val="14"/>
        <w:szCs w:val="14"/>
      </w:rPr>
    </w:pPr>
  </w:p>
  <w:tbl>
    <w:tblPr>
      <w:tblStyle w:val="a6"/>
      <w:tblW w:w="6660" w:type="dxa"/>
      <w:tblInd w:w="2552" w:type="dxa"/>
      <w:tblLayout w:type="fixed"/>
      <w:tblLook w:val="0400" w:firstRow="0" w:lastRow="0" w:firstColumn="0" w:lastColumn="0" w:noHBand="0" w:noVBand="1"/>
    </w:tblPr>
    <w:tblGrid>
      <w:gridCol w:w="283"/>
      <w:gridCol w:w="6377"/>
    </w:tblGrid>
    <w:tr w:rsidR="00505792" w14:paraId="396883AD" w14:textId="77777777">
      <w:trPr>
        <w:trHeight w:val="1435"/>
      </w:trPr>
      <w:tc>
        <w:tcPr>
          <w:tcW w:w="283" w:type="dxa"/>
        </w:tcPr>
        <w:p w14:paraId="3D5805A3" w14:textId="77777777" w:rsidR="00505792" w:rsidRDefault="00505792">
          <w:pPr>
            <w:tabs>
              <w:tab w:val="right" w:pos="4273"/>
            </w:tabs>
            <w:rPr>
              <w:rFonts w:ascii="Garamond" w:eastAsia="Garamond" w:hAnsi="Garamond" w:cs="Garamond"/>
            </w:rPr>
          </w:pPr>
        </w:p>
      </w:tc>
      <w:tc>
        <w:tcPr>
          <w:tcW w:w="6377" w:type="dxa"/>
        </w:tcPr>
        <w:p w14:paraId="74DD19D9" w14:textId="77777777" w:rsidR="00505792" w:rsidRDefault="00505792">
          <w:pPr>
            <w:widowControl w:val="0"/>
            <w:pBdr>
              <w:top w:val="nil"/>
              <w:left w:val="nil"/>
              <w:bottom w:val="nil"/>
              <w:right w:val="nil"/>
              <w:between w:val="nil"/>
            </w:pBdr>
            <w:spacing w:line="276" w:lineRule="auto"/>
            <w:jc w:val="left"/>
            <w:rPr>
              <w:rFonts w:ascii="Garamond" w:eastAsia="Garamond" w:hAnsi="Garamond" w:cs="Garamond"/>
            </w:rPr>
          </w:pPr>
        </w:p>
        <w:tbl>
          <w:tblPr>
            <w:tblStyle w:val="a7"/>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505792" w14:paraId="51E398C4" w14:textId="77777777">
            <w:trPr>
              <w:trHeight w:val="144"/>
            </w:trPr>
            <w:tc>
              <w:tcPr>
                <w:tcW w:w="2790" w:type="dxa"/>
              </w:tcPr>
              <w:p w14:paraId="61359FA7" w14:textId="77777777" w:rsidR="00505792" w:rsidRDefault="00505792">
                <w:pPr>
                  <w:tabs>
                    <w:tab w:val="right" w:pos="8838"/>
                  </w:tabs>
                  <w:ind w:left="-74" w:right="-105"/>
                  <w:rPr>
                    <w:b/>
                  </w:rPr>
                </w:pPr>
                <w:bookmarkStart w:id="0" w:name="_heading=h.147n2zr" w:colFirst="0" w:colLast="0"/>
                <w:bookmarkEnd w:id="0"/>
                <w:r>
                  <w:rPr>
                    <w:b/>
                  </w:rPr>
                  <w:t>Recurso de Revisión:</w:t>
                </w:r>
              </w:p>
            </w:tc>
            <w:tc>
              <w:tcPr>
                <w:tcW w:w="3345" w:type="dxa"/>
              </w:tcPr>
              <w:p w14:paraId="613AB364" w14:textId="78EA80F8" w:rsidR="00505792" w:rsidRDefault="00505792" w:rsidP="00206A64">
                <w:pPr>
                  <w:tabs>
                    <w:tab w:val="right" w:pos="8838"/>
                  </w:tabs>
                  <w:ind w:left="-74" w:right="-105"/>
                </w:pPr>
                <w:r>
                  <w:t xml:space="preserve">08767/INFOEM/IP/RR/2025 </w:t>
                </w:r>
              </w:p>
            </w:tc>
            <w:tc>
              <w:tcPr>
                <w:tcW w:w="3405" w:type="dxa"/>
              </w:tcPr>
              <w:p w14:paraId="2400E87C" w14:textId="77777777" w:rsidR="00505792" w:rsidRDefault="00505792">
                <w:pPr>
                  <w:tabs>
                    <w:tab w:val="right" w:pos="8838"/>
                  </w:tabs>
                  <w:ind w:left="-74" w:right="-105"/>
                </w:pPr>
              </w:p>
            </w:tc>
          </w:tr>
          <w:tr w:rsidR="00505792" w14:paraId="471FC0D6" w14:textId="77777777">
            <w:trPr>
              <w:trHeight w:val="144"/>
            </w:trPr>
            <w:tc>
              <w:tcPr>
                <w:tcW w:w="2790" w:type="dxa"/>
              </w:tcPr>
              <w:p w14:paraId="23686821" w14:textId="77777777" w:rsidR="00505792" w:rsidRDefault="00505792">
                <w:pPr>
                  <w:tabs>
                    <w:tab w:val="right" w:pos="8838"/>
                  </w:tabs>
                  <w:ind w:left="-74" w:right="-105"/>
                  <w:rPr>
                    <w:b/>
                  </w:rPr>
                </w:pPr>
                <w:bookmarkStart w:id="1" w:name="_heading=h.3o7alnk" w:colFirst="0" w:colLast="0"/>
                <w:bookmarkEnd w:id="1"/>
                <w:r>
                  <w:rPr>
                    <w:b/>
                  </w:rPr>
                  <w:t>Recurrente:</w:t>
                </w:r>
              </w:p>
            </w:tc>
            <w:tc>
              <w:tcPr>
                <w:tcW w:w="3345" w:type="dxa"/>
              </w:tcPr>
              <w:p w14:paraId="776F740E" w14:textId="18364AA1" w:rsidR="00505792" w:rsidRDefault="00D36D07">
                <w:pPr>
                  <w:tabs>
                    <w:tab w:val="left" w:pos="3122"/>
                    <w:tab w:val="right" w:pos="8838"/>
                  </w:tabs>
                  <w:ind w:left="-105" w:right="-105"/>
                </w:pPr>
                <w:r>
                  <w:t>XXXXXX XXXXXXXX XXXXXXX</w:t>
                </w:r>
              </w:p>
            </w:tc>
            <w:tc>
              <w:tcPr>
                <w:tcW w:w="3405" w:type="dxa"/>
              </w:tcPr>
              <w:p w14:paraId="09C43486" w14:textId="77777777" w:rsidR="00505792" w:rsidRDefault="00505792">
                <w:pPr>
                  <w:tabs>
                    <w:tab w:val="left" w:pos="3122"/>
                    <w:tab w:val="right" w:pos="8838"/>
                  </w:tabs>
                  <w:ind w:left="-105" w:right="-105"/>
                </w:pPr>
              </w:p>
            </w:tc>
          </w:tr>
          <w:tr w:rsidR="00505792" w14:paraId="6DDC2532" w14:textId="77777777">
            <w:trPr>
              <w:trHeight w:val="283"/>
            </w:trPr>
            <w:tc>
              <w:tcPr>
                <w:tcW w:w="2790" w:type="dxa"/>
              </w:tcPr>
              <w:p w14:paraId="2835A883" w14:textId="77777777" w:rsidR="00505792" w:rsidRDefault="00505792">
                <w:pPr>
                  <w:tabs>
                    <w:tab w:val="right" w:pos="8838"/>
                  </w:tabs>
                  <w:ind w:left="-74" w:right="-105"/>
                  <w:rPr>
                    <w:b/>
                  </w:rPr>
                </w:pPr>
                <w:r>
                  <w:rPr>
                    <w:b/>
                  </w:rPr>
                  <w:t>Sujeto Obligado:</w:t>
                </w:r>
              </w:p>
            </w:tc>
            <w:tc>
              <w:tcPr>
                <w:tcW w:w="3345" w:type="dxa"/>
              </w:tcPr>
              <w:p w14:paraId="2D8E6A1B" w14:textId="7BBAA4C0" w:rsidR="00505792" w:rsidRDefault="00505792">
                <w:pPr>
                  <w:tabs>
                    <w:tab w:val="left" w:pos="3122"/>
                    <w:tab w:val="right" w:pos="8838"/>
                  </w:tabs>
                  <w:ind w:left="-105" w:right="-105"/>
                  <w:rPr>
                    <w:highlight w:val="yellow"/>
                  </w:rPr>
                </w:pPr>
                <w:r w:rsidRPr="00206A64">
                  <w:t>Ayuntamiento de Ixtlahuaca</w:t>
                </w:r>
              </w:p>
            </w:tc>
            <w:tc>
              <w:tcPr>
                <w:tcW w:w="3405" w:type="dxa"/>
              </w:tcPr>
              <w:p w14:paraId="4B895058" w14:textId="77777777" w:rsidR="00505792" w:rsidRDefault="00505792">
                <w:pPr>
                  <w:tabs>
                    <w:tab w:val="left" w:pos="2834"/>
                    <w:tab w:val="right" w:pos="8838"/>
                  </w:tabs>
                  <w:ind w:left="-108" w:right="-105"/>
                </w:pPr>
              </w:p>
            </w:tc>
          </w:tr>
          <w:tr w:rsidR="00505792" w14:paraId="34D45D90" w14:textId="77777777">
            <w:trPr>
              <w:trHeight w:val="283"/>
            </w:trPr>
            <w:tc>
              <w:tcPr>
                <w:tcW w:w="2790" w:type="dxa"/>
              </w:tcPr>
              <w:p w14:paraId="318BD837" w14:textId="77777777" w:rsidR="00505792" w:rsidRDefault="00505792">
                <w:pPr>
                  <w:tabs>
                    <w:tab w:val="right" w:pos="8838"/>
                  </w:tabs>
                  <w:ind w:left="-74" w:right="-105"/>
                  <w:rPr>
                    <w:b/>
                  </w:rPr>
                </w:pPr>
                <w:r>
                  <w:rPr>
                    <w:b/>
                  </w:rPr>
                  <w:t>Comisionada Ponente:</w:t>
                </w:r>
              </w:p>
            </w:tc>
            <w:tc>
              <w:tcPr>
                <w:tcW w:w="3345" w:type="dxa"/>
              </w:tcPr>
              <w:p w14:paraId="5CF282EE" w14:textId="77777777" w:rsidR="00505792" w:rsidRDefault="00505792">
                <w:pPr>
                  <w:tabs>
                    <w:tab w:val="right" w:pos="8838"/>
                  </w:tabs>
                  <w:ind w:left="-108" w:right="-105"/>
                </w:pPr>
                <w:r>
                  <w:t>Sharon Cristina Morales Martínez</w:t>
                </w:r>
              </w:p>
            </w:tc>
            <w:tc>
              <w:tcPr>
                <w:tcW w:w="3405" w:type="dxa"/>
              </w:tcPr>
              <w:p w14:paraId="5E95D334" w14:textId="77777777" w:rsidR="00505792" w:rsidRDefault="00505792">
                <w:pPr>
                  <w:tabs>
                    <w:tab w:val="right" w:pos="8838"/>
                  </w:tabs>
                  <w:ind w:left="-108" w:right="-105"/>
                </w:pPr>
              </w:p>
            </w:tc>
          </w:tr>
        </w:tbl>
        <w:p w14:paraId="521637D3" w14:textId="77777777" w:rsidR="00505792" w:rsidRDefault="00505792">
          <w:pPr>
            <w:tabs>
              <w:tab w:val="right" w:pos="8838"/>
            </w:tabs>
            <w:ind w:left="-28"/>
            <w:rPr>
              <w:rFonts w:ascii="Arial" w:eastAsia="Arial" w:hAnsi="Arial" w:cs="Arial"/>
              <w:b/>
            </w:rPr>
          </w:pPr>
        </w:p>
      </w:tc>
    </w:tr>
  </w:tbl>
  <w:p w14:paraId="79905E82" w14:textId="77777777" w:rsidR="00505792" w:rsidRDefault="007558B7">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24D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467E"/>
    <w:multiLevelType w:val="multilevel"/>
    <w:tmpl w:val="28268D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404ED6"/>
    <w:multiLevelType w:val="hybridMultilevel"/>
    <w:tmpl w:val="4BEE4FC6"/>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1E384F"/>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5E3C85"/>
    <w:multiLevelType w:val="multilevel"/>
    <w:tmpl w:val="143487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EA1F37"/>
    <w:multiLevelType w:val="hybridMultilevel"/>
    <w:tmpl w:val="3CE8F7D2"/>
    <w:lvl w:ilvl="0" w:tplc="F4CE2E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E80163C"/>
    <w:multiLevelType w:val="hybridMultilevel"/>
    <w:tmpl w:val="6068E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2A0A67"/>
    <w:multiLevelType w:val="hybridMultilevel"/>
    <w:tmpl w:val="4F8E71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08E3D3C"/>
    <w:multiLevelType w:val="hybridMultilevel"/>
    <w:tmpl w:val="AD0672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27C3E93"/>
    <w:multiLevelType w:val="hybridMultilevel"/>
    <w:tmpl w:val="A6C434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8731DCD"/>
    <w:multiLevelType w:val="hybridMultilevel"/>
    <w:tmpl w:val="AEC67B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DAC0CF4"/>
    <w:multiLevelType w:val="hybridMultilevel"/>
    <w:tmpl w:val="A2F2BF96"/>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558B0AEE"/>
    <w:multiLevelType w:val="hybridMultilevel"/>
    <w:tmpl w:val="FBE08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232C96"/>
    <w:multiLevelType w:val="hybridMultilevel"/>
    <w:tmpl w:val="86723552"/>
    <w:lvl w:ilvl="0" w:tplc="5B0C5192">
      <w:start w:val="4"/>
      <w:numFmt w:val="bullet"/>
      <w:lvlText w:val="-"/>
      <w:lvlJc w:val="left"/>
      <w:pPr>
        <w:ind w:left="108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3C7A1D"/>
    <w:multiLevelType w:val="hybridMultilevel"/>
    <w:tmpl w:val="AF12F776"/>
    <w:lvl w:ilvl="0" w:tplc="4C10738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674A3FF0"/>
    <w:multiLevelType w:val="hybridMultilevel"/>
    <w:tmpl w:val="F662A6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0E1A37"/>
    <w:multiLevelType w:val="hybridMultilevel"/>
    <w:tmpl w:val="553689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73607262"/>
    <w:multiLevelType w:val="hybridMultilevel"/>
    <w:tmpl w:val="81C01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E17666"/>
    <w:multiLevelType w:val="multilevel"/>
    <w:tmpl w:val="FC8C3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8"/>
  </w:num>
  <w:num w:numId="2">
    <w:abstractNumId w:val="0"/>
  </w:num>
  <w:num w:numId="3">
    <w:abstractNumId w:val="3"/>
  </w:num>
  <w:num w:numId="4">
    <w:abstractNumId w:val="11"/>
  </w:num>
  <w:num w:numId="5">
    <w:abstractNumId w:val="9"/>
  </w:num>
  <w:num w:numId="6">
    <w:abstractNumId w:val="7"/>
  </w:num>
  <w:num w:numId="7">
    <w:abstractNumId w:val="2"/>
  </w:num>
  <w:num w:numId="8">
    <w:abstractNumId w:val="1"/>
  </w:num>
  <w:num w:numId="9">
    <w:abstractNumId w:val="16"/>
  </w:num>
  <w:num w:numId="10">
    <w:abstractNumId w:val="17"/>
  </w:num>
  <w:num w:numId="11">
    <w:abstractNumId w:val="4"/>
  </w:num>
  <w:num w:numId="12">
    <w:abstractNumId w:val="5"/>
  </w:num>
  <w:num w:numId="13">
    <w:abstractNumId w:val="10"/>
  </w:num>
  <w:num w:numId="14">
    <w:abstractNumId w:val="12"/>
  </w:num>
  <w:num w:numId="15">
    <w:abstractNumId w:val="13"/>
  </w:num>
  <w:num w:numId="16">
    <w:abstractNumId w:val="8"/>
  </w:num>
  <w:num w:numId="17">
    <w:abstractNumId w:val="6"/>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B9"/>
    <w:rsid w:val="000171B8"/>
    <w:rsid w:val="00026943"/>
    <w:rsid w:val="00032977"/>
    <w:rsid w:val="0005338C"/>
    <w:rsid w:val="000A1E5F"/>
    <w:rsid w:val="000C751E"/>
    <w:rsid w:val="000D17CF"/>
    <w:rsid w:val="000D33C6"/>
    <w:rsid w:val="00126E59"/>
    <w:rsid w:val="00151B77"/>
    <w:rsid w:val="00153F2C"/>
    <w:rsid w:val="001E0800"/>
    <w:rsid w:val="001E4709"/>
    <w:rsid w:val="00206A64"/>
    <w:rsid w:val="00236360"/>
    <w:rsid w:val="00245787"/>
    <w:rsid w:val="00290927"/>
    <w:rsid w:val="002A0CFE"/>
    <w:rsid w:val="002A24B1"/>
    <w:rsid w:val="002B1535"/>
    <w:rsid w:val="002B7315"/>
    <w:rsid w:val="002F1DDB"/>
    <w:rsid w:val="00312C1C"/>
    <w:rsid w:val="003402DA"/>
    <w:rsid w:val="003913FF"/>
    <w:rsid w:val="003A4968"/>
    <w:rsid w:val="003B3D6B"/>
    <w:rsid w:val="003D50AE"/>
    <w:rsid w:val="003D662C"/>
    <w:rsid w:val="003E0B6F"/>
    <w:rsid w:val="00431DB6"/>
    <w:rsid w:val="00505792"/>
    <w:rsid w:val="00550A98"/>
    <w:rsid w:val="00553C03"/>
    <w:rsid w:val="005649D2"/>
    <w:rsid w:val="00565A8A"/>
    <w:rsid w:val="006172B1"/>
    <w:rsid w:val="006A6341"/>
    <w:rsid w:val="006D4D51"/>
    <w:rsid w:val="006D6FEB"/>
    <w:rsid w:val="007558B7"/>
    <w:rsid w:val="007C4A15"/>
    <w:rsid w:val="007E4814"/>
    <w:rsid w:val="007E57FA"/>
    <w:rsid w:val="00811A05"/>
    <w:rsid w:val="008223B9"/>
    <w:rsid w:val="00860051"/>
    <w:rsid w:val="00872A8A"/>
    <w:rsid w:val="0087764F"/>
    <w:rsid w:val="008A409D"/>
    <w:rsid w:val="008B15CA"/>
    <w:rsid w:val="008E2985"/>
    <w:rsid w:val="008F7BFC"/>
    <w:rsid w:val="0090445C"/>
    <w:rsid w:val="00914360"/>
    <w:rsid w:val="009670DA"/>
    <w:rsid w:val="00987D40"/>
    <w:rsid w:val="009E6C97"/>
    <w:rsid w:val="00A22841"/>
    <w:rsid w:val="00A43435"/>
    <w:rsid w:val="00A80B90"/>
    <w:rsid w:val="00A8766F"/>
    <w:rsid w:val="00A95433"/>
    <w:rsid w:val="00AB1524"/>
    <w:rsid w:val="00AD6781"/>
    <w:rsid w:val="00B87FA9"/>
    <w:rsid w:val="00B913B6"/>
    <w:rsid w:val="00BB0FEF"/>
    <w:rsid w:val="00BC26FB"/>
    <w:rsid w:val="00BD33F0"/>
    <w:rsid w:val="00BE2E7D"/>
    <w:rsid w:val="00C06644"/>
    <w:rsid w:val="00C23CD0"/>
    <w:rsid w:val="00C3703D"/>
    <w:rsid w:val="00C60ED3"/>
    <w:rsid w:val="00C611C3"/>
    <w:rsid w:val="00CA3800"/>
    <w:rsid w:val="00CB10B6"/>
    <w:rsid w:val="00D02A76"/>
    <w:rsid w:val="00D06697"/>
    <w:rsid w:val="00D26CCF"/>
    <w:rsid w:val="00D3440A"/>
    <w:rsid w:val="00D36D07"/>
    <w:rsid w:val="00D45D0D"/>
    <w:rsid w:val="00D46FD3"/>
    <w:rsid w:val="00D830B0"/>
    <w:rsid w:val="00DD53C6"/>
    <w:rsid w:val="00DF760C"/>
    <w:rsid w:val="00DF7679"/>
    <w:rsid w:val="00E26B51"/>
    <w:rsid w:val="00E8521F"/>
    <w:rsid w:val="00EF7B77"/>
    <w:rsid w:val="00F12265"/>
    <w:rsid w:val="00F51A09"/>
    <w:rsid w:val="00F77E5B"/>
    <w:rsid w:val="00F844BF"/>
    <w:rsid w:val="00F94356"/>
    <w:rsid w:val="00F96B73"/>
    <w:rsid w:val="00FA6F45"/>
    <w:rsid w:val="00FB0F29"/>
    <w:rsid w:val="00FD42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D980E3"/>
  <w15:docId w15:val="{EC955DB3-A4A2-4808-93F2-39007722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B77"/>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34218F"/>
    <w:rPr>
      <w:vertAlign w:val="superscript"/>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paragraph" w:customStyle="1" w:styleId="my-4">
    <w:name w:val="my-4"/>
    <w:basedOn w:val="Normal"/>
    <w:rsid w:val="00483D29"/>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483D29"/>
    <w:rPr>
      <w:b/>
      <w:bCs/>
    </w:rPr>
  </w:style>
  <w:style w:type="character" w:customStyle="1" w:styleId="skin-color-text">
    <w:name w:val="skin-color-text"/>
    <w:basedOn w:val="Fuentedeprrafopredeter"/>
    <w:rsid w:val="00483D29"/>
  </w:style>
  <w:style w:type="character" w:customStyle="1" w:styleId="SinespaciadoCar">
    <w:name w:val="Sin espaciado Car"/>
    <w:aliases w:val="Francesa Car,INAI Car"/>
    <w:link w:val="Sinespaciado"/>
    <w:uiPriority w:val="1"/>
    <w:locked/>
    <w:rsid w:val="00686164"/>
    <w:rPr>
      <w:rFonts w:eastAsia="Times New Roman" w:cs="Times New Roman"/>
      <w:szCs w:val="20"/>
      <w:lang w:eastAsia="es-ES"/>
    </w:rPr>
  </w:style>
  <w:style w:type="paragraph" w:styleId="NormalWeb">
    <w:name w:val="Normal (Web)"/>
    <w:basedOn w:val="Normal"/>
    <w:uiPriority w:val="99"/>
    <w:semiHidden/>
    <w:unhideWhenUsed/>
    <w:rsid w:val="00CF0519"/>
    <w:pPr>
      <w:spacing w:before="100" w:beforeAutospacing="1" w:after="100" w:afterAutospacing="1" w:line="240" w:lineRule="auto"/>
      <w:jc w:val="left"/>
    </w:pPr>
    <w:rPr>
      <w:rFonts w:ascii="Times New Roman" w:hAnsi="Times New Roman"/>
      <w:sz w:val="24"/>
      <w:szCs w:val="24"/>
      <w:lang w:eastAsia="es-MX"/>
    </w:rPr>
  </w:style>
  <w:style w:type="paragraph" w:customStyle="1" w:styleId="Texto">
    <w:name w:val="Texto"/>
    <w:basedOn w:val="Normal"/>
    <w:link w:val="TextoCar"/>
    <w:qFormat/>
    <w:rsid w:val="00552FCD"/>
    <w:pPr>
      <w:spacing w:after="101" w:line="216" w:lineRule="exact"/>
      <w:ind w:firstLine="288"/>
    </w:pPr>
    <w:rPr>
      <w:rFonts w:ascii="Arial" w:hAnsi="Arial" w:cs="Arial"/>
      <w:sz w:val="18"/>
      <w:szCs w:val="18"/>
    </w:rPr>
  </w:style>
  <w:style w:type="character" w:customStyle="1" w:styleId="TextoCar">
    <w:name w:val="Texto Car"/>
    <w:link w:val="Texto"/>
    <w:locked/>
    <w:rsid w:val="00552FCD"/>
    <w:rPr>
      <w:rFonts w:ascii="Arial" w:eastAsia="Times New Roman" w:hAnsi="Arial" w:cs="Arial"/>
      <w:sz w:val="18"/>
      <w:szCs w:val="18"/>
      <w:lang w:eastAsia="es-ES"/>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character" w:customStyle="1" w:styleId="Mencinsinresolver1">
    <w:name w:val="Mención sin resolver1"/>
    <w:basedOn w:val="Fuentedeprrafopredeter"/>
    <w:uiPriority w:val="99"/>
    <w:semiHidden/>
    <w:unhideWhenUsed/>
    <w:rsid w:val="00990B69"/>
    <w:rPr>
      <w:color w:val="605E5C"/>
      <w:shd w:val="clear" w:color="auto" w:fill="E1DFDD"/>
    </w:rPr>
  </w:style>
  <w:style w:type="table" w:customStyle="1" w:styleId="a5">
    <w:basedOn w:val="TableNormal0"/>
    <w:pPr>
      <w:spacing w:line="240" w:lineRule="auto"/>
    </w:pPr>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character" w:styleId="nfasis">
    <w:name w:val="Emphasis"/>
    <w:basedOn w:val="Fuentedeprrafopredeter"/>
    <w:uiPriority w:val="20"/>
    <w:qFormat/>
    <w:rsid w:val="00F77E5B"/>
    <w:rPr>
      <w:i/>
      <w:iCs/>
    </w:rPr>
  </w:style>
  <w:style w:type="table" w:styleId="Cuadrculadetablaclara">
    <w:name w:val="Grid Table Light"/>
    <w:basedOn w:val="Tablanormal"/>
    <w:uiPriority w:val="40"/>
    <w:rsid w:val="00F77E5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cuadrcula1clara">
    <w:name w:val="Grid Table 1 Light"/>
    <w:basedOn w:val="Tablanormal"/>
    <w:uiPriority w:val="46"/>
    <w:rsid w:val="00F77E5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64880">
      <w:bodyDiv w:val="1"/>
      <w:marLeft w:val="0"/>
      <w:marRight w:val="0"/>
      <w:marTop w:val="0"/>
      <w:marBottom w:val="0"/>
      <w:divBdr>
        <w:top w:val="none" w:sz="0" w:space="0" w:color="auto"/>
        <w:left w:val="none" w:sz="0" w:space="0" w:color="auto"/>
        <w:bottom w:val="none" w:sz="0" w:space="0" w:color="auto"/>
        <w:right w:val="none" w:sz="0" w:space="0" w:color="auto"/>
      </w:divBdr>
    </w:div>
    <w:div w:id="617564727">
      <w:bodyDiv w:val="1"/>
      <w:marLeft w:val="0"/>
      <w:marRight w:val="0"/>
      <w:marTop w:val="0"/>
      <w:marBottom w:val="0"/>
      <w:divBdr>
        <w:top w:val="none" w:sz="0" w:space="0" w:color="auto"/>
        <w:left w:val="none" w:sz="0" w:space="0" w:color="auto"/>
        <w:bottom w:val="none" w:sz="0" w:space="0" w:color="auto"/>
        <w:right w:val="none" w:sz="0" w:space="0" w:color="auto"/>
      </w:divBdr>
    </w:div>
    <w:div w:id="875461217">
      <w:bodyDiv w:val="1"/>
      <w:marLeft w:val="0"/>
      <w:marRight w:val="0"/>
      <w:marTop w:val="0"/>
      <w:marBottom w:val="0"/>
      <w:divBdr>
        <w:top w:val="none" w:sz="0" w:space="0" w:color="auto"/>
        <w:left w:val="none" w:sz="0" w:space="0" w:color="auto"/>
        <w:bottom w:val="none" w:sz="0" w:space="0" w:color="auto"/>
        <w:right w:val="none" w:sz="0" w:space="0" w:color="auto"/>
      </w:divBdr>
    </w:div>
    <w:div w:id="942416711">
      <w:bodyDiv w:val="1"/>
      <w:marLeft w:val="0"/>
      <w:marRight w:val="0"/>
      <w:marTop w:val="0"/>
      <w:marBottom w:val="0"/>
      <w:divBdr>
        <w:top w:val="none" w:sz="0" w:space="0" w:color="auto"/>
        <w:left w:val="none" w:sz="0" w:space="0" w:color="auto"/>
        <w:bottom w:val="none" w:sz="0" w:space="0" w:color="auto"/>
        <w:right w:val="none" w:sz="0" w:space="0" w:color="auto"/>
      </w:divBdr>
    </w:div>
    <w:div w:id="1980062821">
      <w:bodyDiv w:val="1"/>
      <w:marLeft w:val="0"/>
      <w:marRight w:val="0"/>
      <w:marTop w:val="0"/>
      <w:marBottom w:val="0"/>
      <w:divBdr>
        <w:top w:val="none" w:sz="0" w:space="0" w:color="auto"/>
        <w:left w:val="none" w:sz="0" w:space="0" w:color="auto"/>
        <w:bottom w:val="none" w:sz="0" w:space="0" w:color="auto"/>
        <w:right w:val="none" w:sz="0" w:space="0" w:color="auto"/>
      </w:divBdr>
    </w:div>
    <w:div w:id="203889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1rKQ0uEB9IH/CqJWxnYVH2D2g==">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0FFB0B-2B1C-4CAF-BEBC-B6D208C03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9256</Words>
  <Characters>50912</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6</cp:revision>
  <cp:lastPrinted>2025-08-29T16:48:00Z</cp:lastPrinted>
  <dcterms:created xsi:type="dcterms:W3CDTF">2025-08-21T20:02:00Z</dcterms:created>
  <dcterms:modified xsi:type="dcterms:W3CDTF">2025-11-09T21:51:00Z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