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4018" w:rsidRDefault="00AE3DA7" w:rsidP="00974018">
          <w:pPr>
            <w:pStyle w:val="TtulodeTDC"/>
            <w:spacing w:before="0" w:line="240" w:lineRule="auto"/>
            <w:rPr>
              <w:rFonts w:ascii="Palatino Linotype" w:hAnsi="Palatino Linotype"/>
              <w:color w:val="auto"/>
              <w:sz w:val="24"/>
              <w:szCs w:val="24"/>
              <w:lang w:val="es-ES"/>
            </w:rPr>
          </w:pPr>
          <w:r w:rsidRPr="00974018">
            <w:rPr>
              <w:rFonts w:ascii="Palatino Linotype" w:hAnsi="Palatino Linotype"/>
              <w:color w:val="auto"/>
              <w:sz w:val="24"/>
              <w:szCs w:val="24"/>
              <w:lang w:val="es-ES"/>
            </w:rPr>
            <w:t>Contenido</w:t>
          </w:r>
        </w:p>
        <w:p w14:paraId="3EB312A7" w14:textId="77777777" w:rsidR="00AA6EA9" w:rsidRPr="00974018" w:rsidRDefault="00AA6EA9" w:rsidP="00974018">
          <w:pPr>
            <w:spacing w:line="240" w:lineRule="auto"/>
            <w:rPr>
              <w:sz w:val="16"/>
              <w:szCs w:val="16"/>
              <w:lang w:val="es-ES" w:eastAsia="es-MX"/>
            </w:rPr>
          </w:pPr>
        </w:p>
        <w:p w14:paraId="5BF41773" w14:textId="77777777" w:rsidR="00974018" w:rsidRPr="00974018" w:rsidRDefault="00AE3DA7" w:rsidP="00974018">
          <w:pPr>
            <w:pStyle w:val="TDC1"/>
            <w:tabs>
              <w:tab w:val="right" w:leader="dot" w:pos="9034"/>
            </w:tabs>
            <w:rPr>
              <w:rFonts w:asciiTheme="minorHAnsi" w:eastAsiaTheme="minorEastAsia" w:hAnsiTheme="minorHAnsi" w:cstheme="minorBidi"/>
              <w:noProof/>
              <w:szCs w:val="22"/>
              <w:lang w:eastAsia="es-MX"/>
            </w:rPr>
          </w:pPr>
          <w:r w:rsidRPr="00974018">
            <w:rPr>
              <w:sz w:val="16"/>
              <w:szCs w:val="16"/>
            </w:rPr>
            <w:fldChar w:fldCharType="begin"/>
          </w:r>
          <w:r w:rsidRPr="00974018">
            <w:rPr>
              <w:sz w:val="16"/>
              <w:szCs w:val="16"/>
            </w:rPr>
            <w:instrText xml:space="preserve"> TOC \o "1-3" \h \z \u </w:instrText>
          </w:r>
          <w:r w:rsidRPr="00974018">
            <w:rPr>
              <w:sz w:val="16"/>
              <w:szCs w:val="16"/>
            </w:rPr>
            <w:fldChar w:fldCharType="separate"/>
          </w:r>
          <w:hyperlink w:anchor="_Toc197542638" w:history="1">
            <w:r w:rsidR="00974018" w:rsidRPr="00974018">
              <w:rPr>
                <w:rStyle w:val="Hipervnculo"/>
                <w:noProof/>
                <w:color w:val="auto"/>
              </w:rPr>
              <w:t>ANTECEDENTES</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_Toc197542638 \h </w:instrText>
            </w:r>
            <w:r w:rsidR="00974018" w:rsidRPr="00974018">
              <w:rPr>
                <w:noProof/>
                <w:webHidden/>
              </w:rPr>
            </w:r>
            <w:r w:rsidR="00974018" w:rsidRPr="00974018">
              <w:rPr>
                <w:noProof/>
                <w:webHidden/>
              </w:rPr>
              <w:fldChar w:fldCharType="separate"/>
            </w:r>
            <w:r w:rsidR="00215B7E">
              <w:rPr>
                <w:noProof/>
                <w:webHidden/>
              </w:rPr>
              <w:t>1</w:t>
            </w:r>
            <w:r w:rsidR="00974018" w:rsidRPr="00974018">
              <w:rPr>
                <w:noProof/>
                <w:webHidden/>
              </w:rPr>
              <w:fldChar w:fldCharType="end"/>
            </w:r>
          </w:hyperlink>
        </w:p>
        <w:p w14:paraId="3E347184" w14:textId="77777777" w:rsidR="00974018" w:rsidRPr="00974018" w:rsidRDefault="005B69CB" w:rsidP="00974018">
          <w:pPr>
            <w:pStyle w:val="TDC2"/>
            <w:rPr>
              <w:rFonts w:asciiTheme="minorHAnsi" w:eastAsiaTheme="minorEastAsia" w:hAnsiTheme="minorHAnsi" w:cstheme="minorBidi"/>
              <w:noProof/>
              <w:szCs w:val="22"/>
              <w:lang w:eastAsia="es-MX"/>
            </w:rPr>
          </w:pPr>
          <w:hyperlink w:anchor="_Toc197542639" w:history="1">
            <w:r w:rsidR="00974018" w:rsidRPr="00974018">
              <w:rPr>
                <w:rStyle w:val="Hipervnculo"/>
                <w:noProof/>
                <w:color w:val="auto"/>
              </w:rPr>
              <w:t>DE LA SOLICITUD DE INFORMACIÓN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_Toc197542639 \h </w:instrText>
            </w:r>
            <w:r w:rsidR="00974018" w:rsidRPr="00974018">
              <w:rPr>
                <w:noProof/>
                <w:webHidden/>
              </w:rPr>
            </w:r>
            <w:r w:rsidR="00974018" w:rsidRPr="00974018">
              <w:rPr>
                <w:noProof/>
                <w:webHidden/>
              </w:rPr>
              <w:fldChar w:fldCharType="separate"/>
            </w:r>
            <w:r w:rsidR="00215B7E">
              <w:rPr>
                <w:noProof/>
                <w:webHidden/>
              </w:rPr>
              <w:t>1</w:t>
            </w:r>
            <w:r w:rsidR="00974018" w:rsidRPr="00974018">
              <w:rPr>
                <w:noProof/>
                <w:webHidden/>
              </w:rPr>
              <w:fldChar w:fldCharType="end"/>
            </w:r>
          </w:hyperlink>
        </w:p>
        <w:p w14:paraId="7CF3AD84"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0" w:history="1">
            <w:r w:rsidR="00974018" w:rsidRPr="00974018">
              <w:rPr>
                <w:rStyle w:val="Hipervnculo"/>
                <w:noProof/>
                <w:color w:val="auto"/>
              </w:rPr>
              <w:t>a) Solicitud de información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_Toc197542640 \h </w:instrText>
            </w:r>
            <w:r w:rsidR="00974018" w:rsidRPr="00974018">
              <w:rPr>
                <w:noProof/>
                <w:webHidden/>
              </w:rPr>
            </w:r>
            <w:r w:rsidR="00974018" w:rsidRPr="00974018">
              <w:rPr>
                <w:noProof/>
                <w:webHidden/>
              </w:rPr>
              <w:fldChar w:fldCharType="separate"/>
            </w:r>
            <w:r w:rsidR="00215B7E">
              <w:rPr>
                <w:noProof/>
                <w:webHidden/>
              </w:rPr>
              <w:t>1</w:t>
            </w:r>
            <w:r w:rsidR="00974018" w:rsidRPr="00974018">
              <w:rPr>
                <w:noProof/>
                <w:webHidden/>
              </w:rPr>
              <w:fldChar w:fldCharType="end"/>
            </w:r>
          </w:hyperlink>
        </w:p>
        <w:p w14:paraId="2B54959E"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1" w:history="1">
            <w:r w:rsidR="00974018" w:rsidRPr="00974018">
              <w:rPr>
                <w:rStyle w:val="Hipervnculo"/>
                <w:noProof/>
                <w:color w:val="auto"/>
              </w:rPr>
              <w:t>b) Turno de la solicitud de información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_Toc197542641 \h </w:instrText>
            </w:r>
            <w:r w:rsidR="00974018" w:rsidRPr="00974018">
              <w:rPr>
                <w:noProof/>
                <w:webHidden/>
              </w:rPr>
            </w:r>
            <w:r w:rsidR="00974018" w:rsidRPr="00974018">
              <w:rPr>
                <w:noProof/>
                <w:webHidden/>
              </w:rPr>
              <w:fldChar w:fldCharType="separate"/>
            </w:r>
            <w:r w:rsidR="00215B7E">
              <w:rPr>
                <w:noProof/>
                <w:webHidden/>
              </w:rPr>
              <w:t>2</w:t>
            </w:r>
            <w:r w:rsidR="00974018" w:rsidRPr="00974018">
              <w:rPr>
                <w:noProof/>
                <w:webHidden/>
              </w:rPr>
              <w:fldChar w:fldCharType="end"/>
            </w:r>
          </w:hyperlink>
        </w:p>
        <w:p w14:paraId="66FCA131"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2" w:history="1">
            <w:r w:rsidR="00974018" w:rsidRPr="00974018">
              <w:rPr>
                <w:rStyle w:val="Hipervnculo"/>
                <w:noProof/>
                <w:color w:val="auto"/>
              </w:rPr>
              <w:t xml:space="preserve">c) </w:t>
            </w:r>
            <w:r w:rsidR="00974018" w:rsidRPr="00974018">
              <w:rPr>
                <w:rStyle w:val="Hipervnculo"/>
                <w:noProof/>
                <w:color w:val="auto"/>
                <w:lang w:val="es-ES"/>
              </w:rPr>
              <w:t xml:space="preserve">Respuesta </w:t>
            </w:r>
            <w:r w:rsidR="00974018" w:rsidRPr="00974018">
              <w:rPr>
                <w:rStyle w:val="Hipervnculo"/>
                <w:rFonts w:eastAsia="Calibri"/>
                <w:noProof/>
                <w:color w:val="auto"/>
                <w:lang w:eastAsia="en-US"/>
              </w:rPr>
              <w:t>del Sujeto Obligado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_Toc197542642 \h </w:instrText>
            </w:r>
            <w:r w:rsidR="00974018" w:rsidRPr="00974018">
              <w:rPr>
                <w:noProof/>
                <w:webHidden/>
              </w:rPr>
            </w:r>
            <w:r w:rsidR="00974018" w:rsidRPr="00974018">
              <w:rPr>
                <w:noProof/>
                <w:webHidden/>
              </w:rPr>
              <w:fldChar w:fldCharType="separate"/>
            </w:r>
            <w:r w:rsidR="00215B7E">
              <w:rPr>
                <w:noProof/>
                <w:webHidden/>
              </w:rPr>
              <w:t>2</w:t>
            </w:r>
            <w:r w:rsidR="00974018" w:rsidRPr="00974018">
              <w:rPr>
                <w:noProof/>
                <w:webHidden/>
              </w:rPr>
              <w:fldChar w:fldCharType="end"/>
            </w:r>
          </w:hyperlink>
        </w:p>
        <w:p w14:paraId="04C0C9FE" w14:textId="77777777" w:rsidR="00974018" w:rsidRPr="00974018" w:rsidRDefault="005B69CB" w:rsidP="00974018">
          <w:pPr>
            <w:pStyle w:val="TDC2"/>
            <w:rPr>
              <w:rFonts w:asciiTheme="minorHAnsi" w:eastAsiaTheme="minorEastAsia" w:hAnsiTheme="minorHAnsi" w:cstheme="minorBidi"/>
              <w:noProof/>
              <w:szCs w:val="22"/>
              <w:lang w:eastAsia="es-MX"/>
            </w:rPr>
          </w:pPr>
          <w:hyperlink w:anchor="_Toc197542643" w:history="1">
            <w:r w:rsidR="00974018" w:rsidRPr="00974018">
              <w:rPr>
                <w:rStyle w:val="Hipervnculo"/>
                <w:noProof/>
                <w:color w:val="auto"/>
              </w:rPr>
              <w:t>DEL RECURSO DE REVISIÓN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_Toc197542643 \h </w:instrText>
            </w:r>
            <w:r w:rsidR="00974018" w:rsidRPr="00974018">
              <w:rPr>
                <w:noProof/>
                <w:webHidden/>
              </w:rPr>
            </w:r>
            <w:r w:rsidR="00974018" w:rsidRPr="00974018">
              <w:rPr>
                <w:noProof/>
                <w:webHidden/>
              </w:rPr>
              <w:fldChar w:fldCharType="separate"/>
            </w:r>
            <w:r w:rsidR="00215B7E">
              <w:rPr>
                <w:noProof/>
                <w:webHidden/>
              </w:rPr>
              <w:t>3</w:t>
            </w:r>
            <w:r w:rsidR="00974018" w:rsidRPr="00974018">
              <w:rPr>
                <w:noProof/>
                <w:webHidden/>
              </w:rPr>
              <w:fldChar w:fldCharType="end"/>
            </w:r>
          </w:hyperlink>
        </w:p>
        <w:p w14:paraId="7311CC0B"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4" w:history="1">
            <w:r w:rsidR="00974018" w:rsidRPr="00974018">
              <w:rPr>
                <w:rStyle w:val="Hipervnculo"/>
                <w:noProof/>
                <w:color w:val="auto"/>
              </w:rPr>
              <w:t>a) Interposición del Recurso de Revisión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_Toc197542644 \h </w:instrText>
            </w:r>
            <w:r w:rsidR="00974018" w:rsidRPr="00974018">
              <w:rPr>
                <w:noProof/>
                <w:webHidden/>
              </w:rPr>
            </w:r>
            <w:r w:rsidR="00974018" w:rsidRPr="00974018">
              <w:rPr>
                <w:noProof/>
                <w:webHidden/>
              </w:rPr>
              <w:fldChar w:fldCharType="separate"/>
            </w:r>
            <w:r w:rsidR="00215B7E">
              <w:rPr>
                <w:noProof/>
                <w:webHidden/>
              </w:rPr>
              <w:t>3</w:t>
            </w:r>
            <w:r w:rsidR="00974018" w:rsidRPr="00974018">
              <w:rPr>
                <w:noProof/>
                <w:webHidden/>
              </w:rPr>
              <w:fldChar w:fldCharType="end"/>
            </w:r>
          </w:hyperlink>
        </w:p>
        <w:p w14:paraId="0CCDB9BC"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5" w:history="1">
            <w:r w:rsidR="00974018" w:rsidRPr="00974018">
              <w:rPr>
                <w:rStyle w:val="Hipervnculo"/>
                <w:noProof/>
                <w:color w:val="auto"/>
              </w:rPr>
              <w:t>b) Turno del Recurso de Revisión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_Toc197542645 \h </w:instrText>
            </w:r>
            <w:r w:rsidR="00974018" w:rsidRPr="00974018">
              <w:rPr>
                <w:noProof/>
                <w:webHidden/>
              </w:rPr>
            </w:r>
            <w:r w:rsidR="00974018" w:rsidRPr="00974018">
              <w:rPr>
                <w:noProof/>
                <w:webHidden/>
              </w:rPr>
              <w:fldChar w:fldCharType="separate"/>
            </w:r>
            <w:r w:rsidR="00215B7E">
              <w:rPr>
                <w:noProof/>
                <w:webHidden/>
              </w:rPr>
              <w:t>4</w:t>
            </w:r>
            <w:r w:rsidR="00974018" w:rsidRPr="00974018">
              <w:rPr>
                <w:noProof/>
                <w:webHidden/>
              </w:rPr>
              <w:fldChar w:fldCharType="end"/>
            </w:r>
          </w:hyperlink>
        </w:p>
        <w:p w14:paraId="4B5B1EF6"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6" w:history="1">
            <w:r w:rsidR="00974018" w:rsidRPr="00974018">
              <w:rPr>
                <w:rStyle w:val="Hipervnculo"/>
                <w:noProof/>
                <w:color w:val="auto"/>
              </w:rPr>
              <w:t>c) Admisión del Recurso de Revisión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_Toc197542646 \h </w:instrText>
            </w:r>
            <w:r w:rsidR="00974018" w:rsidRPr="00974018">
              <w:rPr>
                <w:noProof/>
                <w:webHidden/>
              </w:rPr>
            </w:r>
            <w:r w:rsidR="00974018" w:rsidRPr="00974018">
              <w:rPr>
                <w:noProof/>
                <w:webHidden/>
              </w:rPr>
              <w:fldChar w:fldCharType="separate"/>
            </w:r>
            <w:r w:rsidR="00215B7E">
              <w:rPr>
                <w:noProof/>
                <w:webHidden/>
              </w:rPr>
              <w:t>4</w:t>
            </w:r>
            <w:r w:rsidR="00974018" w:rsidRPr="00974018">
              <w:rPr>
                <w:noProof/>
                <w:webHidden/>
              </w:rPr>
              <w:fldChar w:fldCharType="end"/>
            </w:r>
          </w:hyperlink>
        </w:p>
        <w:p w14:paraId="01BFB004"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7" w:history="1">
            <w:r w:rsidR="00974018" w:rsidRPr="00974018">
              <w:rPr>
                <w:rStyle w:val="Hipervnculo"/>
                <w:noProof/>
                <w:color w:val="auto"/>
              </w:rPr>
              <w:t>d) Informe Justificado del Sujeto Obligado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_Toc197542647 \h </w:instrText>
            </w:r>
            <w:r w:rsidR="00974018" w:rsidRPr="00974018">
              <w:rPr>
                <w:noProof/>
                <w:webHidden/>
              </w:rPr>
            </w:r>
            <w:r w:rsidR="00974018" w:rsidRPr="00974018">
              <w:rPr>
                <w:noProof/>
                <w:webHidden/>
              </w:rPr>
              <w:fldChar w:fldCharType="separate"/>
            </w:r>
            <w:r w:rsidR="00215B7E">
              <w:rPr>
                <w:noProof/>
                <w:webHidden/>
              </w:rPr>
              <w:t>5</w:t>
            </w:r>
            <w:r w:rsidR="00974018" w:rsidRPr="00974018">
              <w:rPr>
                <w:noProof/>
                <w:webHidden/>
              </w:rPr>
              <w:fldChar w:fldCharType="end"/>
            </w:r>
          </w:hyperlink>
        </w:p>
        <w:p w14:paraId="31D04B77"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8" w:history="1">
            <w:r w:rsidR="00974018" w:rsidRPr="00974018">
              <w:rPr>
                <w:rStyle w:val="Hipervnculo"/>
                <w:rFonts w:eastAsia="Calibri"/>
                <w:bCs/>
                <w:noProof/>
                <w:color w:val="auto"/>
                <w:lang w:eastAsia="en-US"/>
              </w:rPr>
              <w:t>f)</w:t>
            </w:r>
            <w:r w:rsidR="00974018" w:rsidRPr="00974018">
              <w:rPr>
                <w:rStyle w:val="Hipervnculo"/>
                <w:noProof/>
                <w:color w:val="auto"/>
              </w:rPr>
              <w:t xml:space="preserve"> </w:t>
            </w:r>
            <w:r w:rsidR="00974018" w:rsidRPr="00974018">
              <w:rPr>
                <w:rStyle w:val="Hipervnculo"/>
                <w:noProof/>
                <w:color w:val="auto"/>
                <w:lang w:val="es-ES"/>
              </w:rPr>
              <w:t>Manifestaciones de la Parte Recurrente</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_Toc197542648 \h </w:instrText>
            </w:r>
            <w:r w:rsidR="00974018" w:rsidRPr="00974018">
              <w:rPr>
                <w:noProof/>
                <w:webHidden/>
              </w:rPr>
            </w:r>
            <w:r w:rsidR="00974018" w:rsidRPr="00974018">
              <w:rPr>
                <w:noProof/>
                <w:webHidden/>
              </w:rPr>
              <w:fldChar w:fldCharType="separate"/>
            </w:r>
            <w:r w:rsidR="00215B7E">
              <w:rPr>
                <w:noProof/>
                <w:webHidden/>
              </w:rPr>
              <w:t>6</w:t>
            </w:r>
            <w:r w:rsidR="00974018" w:rsidRPr="00974018">
              <w:rPr>
                <w:noProof/>
                <w:webHidden/>
              </w:rPr>
              <w:fldChar w:fldCharType="end"/>
            </w:r>
          </w:hyperlink>
        </w:p>
        <w:p w14:paraId="1EEBEF0C"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49" w:history="1">
            <w:r w:rsidR="00974018" w:rsidRPr="00974018">
              <w:rPr>
                <w:rStyle w:val="Hipervnculo"/>
                <w:rFonts w:eastAsia="Calibri"/>
                <w:noProof/>
                <w:color w:val="auto"/>
              </w:rPr>
              <w:t xml:space="preserve">g) </w:t>
            </w:r>
            <w:r w:rsidR="00974018" w:rsidRPr="00974018">
              <w:rPr>
                <w:rStyle w:val="Hipervnculo"/>
                <w:noProof/>
                <w:color w:val="auto"/>
              </w:rPr>
              <w:t>Cierre de instrucción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_Toc197542649 \h </w:instrText>
            </w:r>
            <w:r w:rsidR="00974018" w:rsidRPr="00974018">
              <w:rPr>
                <w:noProof/>
                <w:webHidden/>
              </w:rPr>
            </w:r>
            <w:r w:rsidR="00974018" w:rsidRPr="00974018">
              <w:rPr>
                <w:noProof/>
                <w:webHidden/>
              </w:rPr>
              <w:fldChar w:fldCharType="separate"/>
            </w:r>
            <w:r w:rsidR="00215B7E">
              <w:rPr>
                <w:noProof/>
                <w:webHidden/>
              </w:rPr>
              <w:t>6</w:t>
            </w:r>
            <w:r w:rsidR="00974018" w:rsidRPr="00974018">
              <w:rPr>
                <w:noProof/>
                <w:webHidden/>
              </w:rPr>
              <w:fldChar w:fldCharType="end"/>
            </w:r>
          </w:hyperlink>
        </w:p>
        <w:p w14:paraId="5C3E6F88" w14:textId="77777777" w:rsidR="00974018" w:rsidRPr="00974018" w:rsidRDefault="005B69CB" w:rsidP="00974018">
          <w:pPr>
            <w:pStyle w:val="TDC1"/>
            <w:tabs>
              <w:tab w:val="right" w:leader="dot" w:pos="9034"/>
            </w:tabs>
            <w:rPr>
              <w:rFonts w:asciiTheme="minorHAnsi" w:eastAsiaTheme="minorEastAsia" w:hAnsiTheme="minorHAnsi" w:cstheme="minorBidi"/>
              <w:noProof/>
              <w:szCs w:val="22"/>
              <w:lang w:eastAsia="es-MX"/>
            </w:rPr>
          </w:pPr>
          <w:hyperlink w:anchor="_Toc197542650" w:history="1">
            <w:r w:rsidR="00974018" w:rsidRPr="00974018">
              <w:rPr>
                <w:rStyle w:val="Hipervnculo"/>
                <w:rFonts w:eastAsiaTheme="minorHAnsi"/>
                <w:noProof/>
                <w:color w:val="auto"/>
                <w:lang w:eastAsia="en-US"/>
              </w:rPr>
              <w:t>CONSIDERANDOS</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_Toc197542650 \h </w:instrText>
            </w:r>
            <w:r w:rsidR="00974018" w:rsidRPr="00974018">
              <w:rPr>
                <w:noProof/>
                <w:webHidden/>
              </w:rPr>
            </w:r>
            <w:r w:rsidR="00974018" w:rsidRPr="00974018">
              <w:rPr>
                <w:noProof/>
                <w:webHidden/>
              </w:rPr>
              <w:fldChar w:fldCharType="separate"/>
            </w:r>
            <w:r w:rsidR="00215B7E">
              <w:rPr>
                <w:noProof/>
                <w:webHidden/>
              </w:rPr>
              <w:t>6</w:t>
            </w:r>
            <w:r w:rsidR="00974018" w:rsidRPr="00974018">
              <w:rPr>
                <w:noProof/>
                <w:webHidden/>
              </w:rPr>
              <w:fldChar w:fldCharType="end"/>
            </w:r>
          </w:hyperlink>
        </w:p>
        <w:p w14:paraId="62499BE1" w14:textId="77777777" w:rsidR="00974018" w:rsidRPr="00974018" w:rsidRDefault="005B69CB" w:rsidP="00974018">
          <w:pPr>
            <w:pStyle w:val="TDC2"/>
            <w:rPr>
              <w:rFonts w:asciiTheme="minorHAnsi" w:eastAsiaTheme="minorEastAsia" w:hAnsiTheme="minorHAnsi" w:cstheme="minorBidi"/>
              <w:noProof/>
              <w:szCs w:val="22"/>
              <w:lang w:eastAsia="es-MX"/>
            </w:rPr>
          </w:pPr>
          <w:hyperlink w:anchor="_Toc197542651" w:history="1">
            <w:r w:rsidR="00974018" w:rsidRPr="00974018">
              <w:rPr>
                <w:rStyle w:val="Hipervnculo"/>
                <w:rFonts w:eastAsia="Batang"/>
                <w:noProof/>
                <w:color w:val="auto"/>
              </w:rPr>
              <w:t>PRIMERO. Procedibilidad</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_Toc197542651 \h </w:instrText>
            </w:r>
            <w:r w:rsidR="00974018" w:rsidRPr="00974018">
              <w:rPr>
                <w:noProof/>
                <w:webHidden/>
              </w:rPr>
            </w:r>
            <w:r w:rsidR="00974018" w:rsidRPr="00974018">
              <w:rPr>
                <w:noProof/>
                <w:webHidden/>
              </w:rPr>
              <w:fldChar w:fldCharType="separate"/>
            </w:r>
            <w:r w:rsidR="00215B7E">
              <w:rPr>
                <w:noProof/>
                <w:webHidden/>
              </w:rPr>
              <w:t>6</w:t>
            </w:r>
            <w:r w:rsidR="00974018" w:rsidRPr="00974018">
              <w:rPr>
                <w:noProof/>
                <w:webHidden/>
              </w:rPr>
              <w:fldChar w:fldCharType="end"/>
            </w:r>
          </w:hyperlink>
        </w:p>
        <w:p w14:paraId="3CEE0106"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2" w:history="1">
            <w:r w:rsidR="00974018" w:rsidRPr="00974018">
              <w:rPr>
                <w:rStyle w:val="Hipervnculo"/>
                <w:noProof/>
                <w:color w:val="auto"/>
              </w:rPr>
              <w:t>a) Competencia del Instituto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_Toc197542652 \h </w:instrText>
            </w:r>
            <w:r w:rsidR="00974018" w:rsidRPr="00974018">
              <w:rPr>
                <w:noProof/>
                <w:webHidden/>
              </w:rPr>
            </w:r>
            <w:r w:rsidR="00974018" w:rsidRPr="00974018">
              <w:rPr>
                <w:noProof/>
                <w:webHidden/>
              </w:rPr>
              <w:fldChar w:fldCharType="separate"/>
            </w:r>
            <w:r w:rsidR="00215B7E">
              <w:rPr>
                <w:noProof/>
                <w:webHidden/>
              </w:rPr>
              <w:t>6</w:t>
            </w:r>
            <w:r w:rsidR="00974018" w:rsidRPr="00974018">
              <w:rPr>
                <w:noProof/>
                <w:webHidden/>
              </w:rPr>
              <w:fldChar w:fldCharType="end"/>
            </w:r>
          </w:hyperlink>
        </w:p>
        <w:p w14:paraId="11AA0771"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3" w:history="1">
            <w:r w:rsidR="00974018" w:rsidRPr="00974018">
              <w:rPr>
                <w:rStyle w:val="Hipervnculo"/>
                <w:noProof/>
                <w:color w:val="auto"/>
              </w:rPr>
              <w:t>b) Legitimidad de la parte recurrente</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_Toc197542653 \h </w:instrText>
            </w:r>
            <w:r w:rsidR="00974018" w:rsidRPr="00974018">
              <w:rPr>
                <w:noProof/>
                <w:webHidden/>
              </w:rPr>
            </w:r>
            <w:r w:rsidR="00974018" w:rsidRPr="00974018">
              <w:rPr>
                <w:noProof/>
                <w:webHidden/>
              </w:rPr>
              <w:fldChar w:fldCharType="separate"/>
            </w:r>
            <w:r w:rsidR="00215B7E">
              <w:rPr>
                <w:noProof/>
                <w:webHidden/>
              </w:rPr>
              <w:t>7</w:t>
            </w:r>
            <w:r w:rsidR="00974018" w:rsidRPr="00974018">
              <w:rPr>
                <w:noProof/>
                <w:webHidden/>
              </w:rPr>
              <w:fldChar w:fldCharType="end"/>
            </w:r>
          </w:hyperlink>
        </w:p>
        <w:p w14:paraId="42EC3FBC"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4" w:history="1">
            <w:r w:rsidR="00974018" w:rsidRPr="00974018">
              <w:rPr>
                <w:rStyle w:val="Hipervnculo"/>
                <w:rFonts w:eastAsia="Calibri"/>
                <w:noProof/>
                <w:color w:val="auto"/>
                <w:lang w:eastAsia="es-ES_tradnl"/>
              </w:rPr>
              <w:t>c) Plazo para interponer el recurso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_Toc197542654 \h </w:instrText>
            </w:r>
            <w:r w:rsidR="00974018" w:rsidRPr="00974018">
              <w:rPr>
                <w:noProof/>
                <w:webHidden/>
              </w:rPr>
            </w:r>
            <w:r w:rsidR="00974018" w:rsidRPr="00974018">
              <w:rPr>
                <w:noProof/>
                <w:webHidden/>
              </w:rPr>
              <w:fldChar w:fldCharType="separate"/>
            </w:r>
            <w:r w:rsidR="00215B7E">
              <w:rPr>
                <w:noProof/>
                <w:webHidden/>
              </w:rPr>
              <w:t>7</w:t>
            </w:r>
            <w:r w:rsidR="00974018" w:rsidRPr="00974018">
              <w:rPr>
                <w:noProof/>
                <w:webHidden/>
              </w:rPr>
              <w:fldChar w:fldCharType="end"/>
            </w:r>
          </w:hyperlink>
        </w:p>
        <w:p w14:paraId="7C55E649"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5" w:history="1">
            <w:r w:rsidR="00974018" w:rsidRPr="00974018">
              <w:rPr>
                <w:rStyle w:val="Hipervnculo"/>
                <w:rFonts w:eastAsia="Calibri"/>
                <w:noProof/>
                <w:color w:val="auto"/>
                <w:lang w:eastAsia="es-ES_tradnl"/>
              </w:rPr>
              <w:t>d) Causal de Procedencia</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_Toc197542655 \h </w:instrText>
            </w:r>
            <w:r w:rsidR="00974018" w:rsidRPr="00974018">
              <w:rPr>
                <w:noProof/>
                <w:webHidden/>
              </w:rPr>
            </w:r>
            <w:r w:rsidR="00974018" w:rsidRPr="00974018">
              <w:rPr>
                <w:noProof/>
                <w:webHidden/>
              </w:rPr>
              <w:fldChar w:fldCharType="separate"/>
            </w:r>
            <w:r w:rsidR="00215B7E">
              <w:rPr>
                <w:noProof/>
                <w:webHidden/>
              </w:rPr>
              <w:t>7</w:t>
            </w:r>
            <w:r w:rsidR="00974018" w:rsidRPr="00974018">
              <w:rPr>
                <w:noProof/>
                <w:webHidden/>
              </w:rPr>
              <w:fldChar w:fldCharType="end"/>
            </w:r>
          </w:hyperlink>
        </w:p>
        <w:p w14:paraId="06707A4E"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6" w:history="1">
            <w:r w:rsidR="00974018" w:rsidRPr="00974018">
              <w:rPr>
                <w:rStyle w:val="Hipervnculo"/>
                <w:noProof/>
                <w:color w:val="auto"/>
              </w:rPr>
              <w:t>e) Requisitos formales para la interposición del recurso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_Toc197542656 \h </w:instrText>
            </w:r>
            <w:r w:rsidR="00974018" w:rsidRPr="00974018">
              <w:rPr>
                <w:noProof/>
                <w:webHidden/>
              </w:rPr>
            </w:r>
            <w:r w:rsidR="00974018" w:rsidRPr="00974018">
              <w:rPr>
                <w:noProof/>
                <w:webHidden/>
              </w:rPr>
              <w:fldChar w:fldCharType="separate"/>
            </w:r>
            <w:r w:rsidR="00215B7E">
              <w:rPr>
                <w:noProof/>
                <w:webHidden/>
              </w:rPr>
              <w:t>7</w:t>
            </w:r>
            <w:r w:rsidR="00974018" w:rsidRPr="00974018">
              <w:rPr>
                <w:noProof/>
                <w:webHidden/>
              </w:rPr>
              <w:fldChar w:fldCharType="end"/>
            </w:r>
          </w:hyperlink>
        </w:p>
        <w:p w14:paraId="2410B883" w14:textId="77777777" w:rsidR="00974018" w:rsidRPr="00974018" w:rsidRDefault="005B69CB" w:rsidP="00974018">
          <w:pPr>
            <w:pStyle w:val="TDC2"/>
            <w:rPr>
              <w:rFonts w:asciiTheme="minorHAnsi" w:eastAsiaTheme="minorEastAsia" w:hAnsiTheme="minorHAnsi" w:cstheme="minorBidi"/>
              <w:noProof/>
              <w:szCs w:val="22"/>
              <w:lang w:eastAsia="es-MX"/>
            </w:rPr>
          </w:pPr>
          <w:hyperlink w:anchor="_Toc197542657" w:history="1">
            <w:r w:rsidR="00974018" w:rsidRPr="00974018">
              <w:rPr>
                <w:rStyle w:val="Hipervnculo"/>
                <w:noProof/>
                <w:color w:val="auto"/>
              </w:rPr>
              <w:t>SEGUNDO. Estudio de Fondo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_Toc197542657 \h </w:instrText>
            </w:r>
            <w:r w:rsidR="00974018" w:rsidRPr="00974018">
              <w:rPr>
                <w:noProof/>
                <w:webHidden/>
              </w:rPr>
            </w:r>
            <w:r w:rsidR="00974018" w:rsidRPr="00974018">
              <w:rPr>
                <w:noProof/>
                <w:webHidden/>
              </w:rPr>
              <w:fldChar w:fldCharType="separate"/>
            </w:r>
            <w:r w:rsidR="00215B7E">
              <w:rPr>
                <w:noProof/>
                <w:webHidden/>
              </w:rPr>
              <w:t>8</w:t>
            </w:r>
            <w:r w:rsidR="00974018" w:rsidRPr="00974018">
              <w:rPr>
                <w:noProof/>
                <w:webHidden/>
              </w:rPr>
              <w:fldChar w:fldCharType="end"/>
            </w:r>
          </w:hyperlink>
        </w:p>
        <w:p w14:paraId="30833994"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8" w:history="1">
            <w:r w:rsidR="00974018" w:rsidRPr="00974018">
              <w:rPr>
                <w:rStyle w:val="Hipervnculo"/>
                <w:noProof/>
                <w:color w:val="auto"/>
              </w:rPr>
              <w:t>a) Mandato de transparencia y responsabilidad del Sujeto Obligado</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_Toc197542658 \h </w:instrText>
            </w:r>
            <w:r w:rsidR="00974018" w:rsidRPr="00974018">
              <w:rPr>
                <w:noProof/>
                <w:webHidden/>
              </w:rPr>
            </w:r>
            <w:r w:rsidR="00974018" w:rsidRPr="00974018">
              <w:rPr>
                <w:noProof/>
                <w:webHidden/>
              </w:rPr>
              <w:fldChar w:fldCharType="separate"/>
            </w:r>
            <w:r w:rsidR="00215B7E">
              <w:rPr>
                <w:noProof/>
                <w:webHidden/>
              </w:rPr>
              <w:t>8</w:t>
            </w:r>
            <w:r w:rsidR="00974018" w:rsidRPr="00974018">
              <w:rPr>
                <w:noProof/>
                <w:webHidden/>
              </w:rPr>
              <w:fldChar w:fldCharType="end"/>
            </w:r>
          </w:hyperlink>
        </w:p>
        <w:p w14:paraId="3544C140"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59" w:history="1">
            <w:r w:rsidR="00974018" w:rsidRPr="00974018">
              <w:rPr>
                <w:rStyle w:val="Hipervnculo"/>
                <w:rFonts w:eastAsia="Calibri"/>
                <w:noProof/>
                <w:color w:val="auto"/>
                <w:lang w:eastAsia="es-ES_tradnl"/>
              </w:rPr>
              <w:t>b) Controversia a resolver</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_Toc197542659 \h </w:instrText>
            </w:r>
            <w:r w:rsidR="00974018" w:rsidRPr="00974018">
              <w:rPr>
                <w:noProof/>
                <w:webHidden/>
              </w:rPr>
            </w:r>
            <w:r w:rsidR="00974018" w:rsidRPr="00974018">
              <w:rPr>
                <w:noProof/>
                <w:webHidden/>
              </w:rPr>
              <w:fldChar w:fldCharType="separate"/>
            </w:r>
            <w:r w:rsidR="00215B7E">
              <w:rPr>
                <w:noProof/>
                <w:webHidden/>
              </w:rPr>
              <w:t>10</w:t>
            </w:r>
            <w:r w:rsidR="00974018" w:rsidRPr="00974018">
              <w:rPr>
                <w:noProof/>
                <w:webHidden/>
              </w:rPr>
              <w:fldChar w:fldCharType="end"/>
            </w:r>
          </w:hyperlink>
        </w:p>
        <w:p w14:paraId="29B68FF7"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60" w:history="1">
            <w:r w:rsidR="00974018" w:rsidRPr="00974018">
              <w:rPr>
                <w:rStyle w:val="Hipervnculo"/>
                <w:noProof/>
                <w:color w:val="auto"/>
              </w:rPr>
              <w:t>c) Estudio de la controversia</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_Toc197542660 \h </w:instrText>
            </w:r>
            <w:r w:rsidR="00974018" w:rsidRPr="00974018">
              <w:rPr>
                <w:noProof/>
                <w:webHidden/>
              </w:rPr>
            </w:r>
            <w:r w:rsidR="00974018" w:rsidRPr="00974018">
              <w:rPr>
                <w:noProof/>
                <w:webHidden/>
              </w:rPr>
              <w:fldChar w:fldCharType="separate"/>
            </w:r>
            <w:r w:rsidR="00215B7E">
              <w:rPr>
                <w:noProof/>
                <w:webHidden/>
              </w:rPr>
              <w:t>11</w:t>
            </w:r>
            <w:r w:rsidR="00974018" w:rsidRPr="00974018">
              <w:rPr>
                <w:noProof/>
                <w:webHidden/>
              </w:rPr>
              <w:fldChar w:fldCharType="end"/>
            </w:r>
          </w:hyperlink>
        </w:p>
        <w:p w14:paraId="5BBDB6CB"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61" w:history="1">
            <w:r w:rsidR="00974018" w:rsidRPr="00974018">
              <w:rPr>
                <w:rStyle w:val="Hipervnculo"/>
                <w:noProof/>
                <w:color w:val="auto"/>
              </w:rPr>
              <w:t>d) Versión pública</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_Toc197542661 \h </w:instrText>
            </w:r>
            <w:r w:rsidR="00974018" w:rsidRPr="00974018">
              <w:rPr>
                <w:noProof/>
                <w:webHidden/>
              </w:rPr>
            </w:r>
            <w:r w:rsidR="00974018" w:rsidRPr="00974018">
              <w:rPr>
                <w:noProof/>
                <w:webHidden/>
              </w:rPr>
              <w:fldChar w:fldCharType="separate"/>
            </w:r>
            <w:r w:rsidR="00215B7E">
              <w:rPr>
                <w:noProof/>
                <w:webHidden/>
              </w:rPr>
              <w:t>33</w:t>
            </w:r>
            <w:r w:rsidR="00974018" w:rsidRPr="00974018">
              <w:rPr>
                <w:noProof/>
                <w:webHidden/>
              </w:rPr>
              <w:fldChar w:fldCharType="end"/>
            </w:r>
          </w:hyperlink>
        </w:p>
        <w:p w14:paraId="181A6F34" w14:textId="77777777" w:rsidR="00974018" w:rsidRPr="00974018" w:rsidRDefault="005B69CB" w:rsidP="00974018">
          <w:pPr>
            <w:pStyle w:val="TDC3"/>
            <w:rPr>
              <w:rFonts w:asciiTheme="minorHAnsi" w:eastAsiaTheme="minorEastAsia" w:hAnsiTheme="minorHAnsi" w:cstheme="minorBidi"/>
              <w:noProof/>
              <w:szCs w:val="22"/>
              <w:lang w:eastAsia="es-MX"/>
            </w:rPr>
          </w:pPr>
          <w:hyperlink w:anchor="_Toc197542662" w:history="1">
            <w:r w:rsidR="00974018" w:rsidRPr="00974018">
              <w:rPr>
                <w:rStyle w:val="Hipervnculo"/>
                <w:rFonts w:eastAsia="Calibri"/>
                <w:noProof/>
                <w:color w:val="auto"/>
              </w:rPr>
              <w:t xml:space="preserve">e) </w:t>
            </w:r>
            <w:r w:rsidR="00974018" w:rsidRPr="00974018">
              <w:rPr>
                <w:rStyle w:val="Hipervnculo"/>
                <w:noProof/>
                <w:color w:val="auto"/>
              </w:rPr>
              <w:t>Conclusión</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_Toc197542662 \h </w:instrText>
            </w:r>
            <w:r w:rsidR="00974018" w:rsidRPr="00974018">
              <w:rPr>
                <w:noProof/>
                <w:webHidden/>
              </w:rPr>
            </w:r>
            <w:r w:rsidR="00974018" w:rsidRPr="00974018">
              <w:rPr>
                <w:noProof/>
                <w:webHidden/>
              </w:rPr>
              <w:fldChar w:fldCharType="separate"/>
            </w:r>
            <w:r w:rsidR="00215B7E">
              <w:rPr>
                <w:noProof/>
                <w:webHidden/>
              </w:rPr>
              <w:t>39</w:t>
            </w:r>
            <w:r w:rsidR="00974018" w:rsidRPr="00974018">
              <w:rPr>
                <w:noProof/>
                <w:webHidden/>
              </w:rPr>
              <w:fldChar w:fldCharType="end"/>
            </w:r>
          </w:hyperlink>
        </w:p>
        <w:p w14:paraId="0C82FD7A" w14:textId="3D9E98B3" w:rsidR="009B2945" w:rsidRPr="00974018" w:rsidRDefault="005B69CB" w:rsidP="00974018">
          <w:pPr>
            <w:pStyle w:val="TDC1"/>
            <w:tabs>
              <w:tab w:val="right" w:leader="dot" w:pos="9034"/>
            </w:tabs>
            <w:rPr>
              <w:b/>
              <w:bCs/>
              <w:lang w:val="es-ES"/>
            </w:rPr>
          </w:pPr>
          <w:hyperlink w:anchor="_Toc197542663" w:history="1">
            <w:r w:rsidR="00974018" w:rsidRPr="00974018">
              <w:rPr>
                <w:rStyle w:val="Hipervnculo"/>
                <w:noProof/>
                <w:color w:val="auto"/>
              </w:rPr>
              <w:t>RESUELVE</w:t>
            </w:r>
            <w:r w:rsidR="00974018" w:rsidRPr="00974018">
              <w:rPr>
                <w:noProof/>
                <w:webHidden/>
              </w:rPr>
              <w:tab/>
            </w:r>
            <w:r w:rsidR="00974018" w:rsidRPr="00974018">
              <w:rPr>
                <w:noProof/>
                <w:webHidden/>
              </w:rPr>
              <w:fldChar w:fldCharType="begin"/>
            </w:r>
            <w:r w:rsidR="00974018" w:rsidRPr="00974018">
              <w:rPr>
                <w:noProof/>
                <w:webHidden/>
              </w:rPr>
              <w:instrText xml:space="preserve"> PAGEREF _Toc197542663 \h </w:instrText>
            </w:r>
            <w:r w:rsidR="00974018" w:rsidRPr="00974018">
              <w:rPr>
                <w:noProof/>
                <w:webHidden/>
              </w:rPr>
            </w:r>
            <w:r w:rsidR="00974018" w:rsidRPr="00974018">
              <w:rPr>
                <w:noProof/>
                <w:webHidden/>
              </w:rPr>
              <w:fldChar w:fldCharType="separate"/>
            </w:r>
            <w:r w:rsidR="00215B7E">
              <w:rPr>
                <w:noProof/>
                <w:webHidden/>
              </w:rPr>
              <w:t>40</w:t>
            </w:r>
            <w:r w:rsidR="00974018" w:rsidRPr="00974018">
              <w:rPr>
                <w:noProof/>
                <w:webHidden/>
              </w:rPr>
              <w:fldChar w:fldCharType="end"/>
            </w:r>
          </w:hyperlink>
          <w:r w:rsidR="00AE3DA7" w:rsidRPr="00974018">
            <w:rPr>
              <w:b/>
              <w:bCs/>
              <w:sz w:val="16"/>
              <w:szCs w:val="16"/>
              <w:lang w:val="es-ES"/>
            </w:rPr>
            <w:fldChar w:fldCharType="end"/>
          </w:r>
        </w:p>
      </w:sdtContent>
    </w:sdt>
    <w:p w14:paraId="603A07E2" w14:textId="77777777" w:rsidR="00646436" w:rsidRPr="00974018" w:rsidRDefault="00646436" w:rsidP="00974018">
      <w:pPr>
        <w:rPr>
          <w:rFonts w:cs="Tahoma"/>
          <w:szCs w:val="22"/>
        </w:rPr>
        <w:sectPr w:rsidR="00646436" w:rsidRPr="0097401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788D290" w:rsidR="00775BFC" w:rsidRPr="00974018" w:rsidRDefault="00775BFC" w:rsidP="00974018">
      <w:r w:rsidRPr="00974018">
        <w:lastRenderedPageBreak/>
        <w:t>Resolución del Pleno del Instituto de Transparencia, Acceso a la Información Pública y Protección de Datos Personales del Estado de México y Municipios, con domicilio en Metepec, Estado de México, de</w:t>
      </w:r>
      <w:r w:rsidR="00894917" w:rsidRPr="00974018">
        <w:t xml:space="preserve">l </w:t>
      </w:r>
      <w:r w:rsidR="00B15787" w:rsidRPr="00974018">
        <w:rPr>
          <w:b/>
        </w:rPr>
        <w:t>catorce</w:t>
      </w:r>
      <w:r w:rsidR="00894917" w:rsidRPr="00974018">
        <w:rPr>
          <w:b/>
        </w:rPr>
        <w:t xml:space="preserve"> de mayo de dos mil veinticinco</w:t>
      </w:r>
      <w:r w:rsidRPr="00974018">
        <w:rPr>
          <w:b/>
        </w:rPr>
        <w:t>.</w:t>
      </w:r>
    </w:p>
    <w:p w14:paraId="0AF3AAC4" w14:textId="77777777" w:rsidR="00775BFC" w:rsidRPr="00974018" w:rsidRDefault="00775BFC" w:rsidP="00974018"/>
    <w:p w14:paraId="40EAE038" w14:textId="51C13BBC" w:rsidR="00775BFC" w:rsidRPr="00974018" w:rsidRDefault="00775BFC" w:rsidP="00974018">
      <w:r w:rsidRPr="00974018">
        <w:rPr>
          <w:b/>
        </w:rPr>
        <w:t xml:space="preserve">VISTO </w:t>
      </w:r>
      <w:r w:rsidRPr="00974018">
        <w:t xml:space="preserve">el expediente formado con motivo del Recurso de Revisión </w:t>
      </w:r>
      <w:r w:rsidR="00894917" w:rsidRPr="00974018">
        <w:rPr>
          <w:rFonts w:eastAsia="Calibri"/>
          <w:b/>
          <w:lang w:eastAsia="en-US"/>
        </w:rPr>
        <w:t>03142/</w:t>
      </w:r>
      <w:r w:rsidRPr="00974018">
        <w:rPr>
          <w:rFonts w:eastAsia="Calibri"/>
          <w:b/>
          <w:lang w:eastAsia="en-US"/>
        </w:rPr>
        <w:t>INFOEM/IP/RR/</w:t>
      </w:r>
      <w:r w:rsidR="00894917" w:rsidRPr="00974018">
        <w:rPr>
          <w:rFonts w:eastAsia="Calibri"/>
          <w:b/>
          <w:lang w:eastAsia="en-US"/>
        </w:rPr>
        <w:t>2025</w:t>
      </w:r>
      <w:r w:rsidRPr="00974018">
        <w:rPr>
          <w:rFonts w:eastAsia="Calibri"/>
          <w:lang w:eastAsia="en-US"/>
        </w:rPr>
        <w:t xml:space="preserve"> </w:t>
      </w:r>
      <w:r w:rsidRPr="00974018">
        <w:t xml:space="preserve">interpuesto por </w:t>
      </w:r>
      <w:bookmarkStart w:id="2" w:name="_GoBack"/>
      <w:r w:rsidR="008343C1">
        <w:rPr>
          <w:b/>
          <w:bCs/>
        </w:rPr>
        <w:t xml:space="preserve">XXXXX XXXXXXX </w:t>
      </w:r>
      <w:proofErr w:type="spellStart"/>
      <w:r w:rsidR="008343C1">
        <w:rPr>
          <w:b/>
          <w:bCs/>
        </w:rPr>
        <w:t>XXXXXXX</w:t>
      </w:r>
      <w:bookmarkEnd w:id="2"/>
      <w:proofErr w:type="spellEnd"/>
      <w:r w:rsidR="00894917" w:rsidRPr="00974018">
        <w:rPr>
          <w:b/>
          <w:bCs/>
        </w:rPr>
        <w:t xml:space="preserve">, </w:t>
      </w:r>
      <w:r w:rsidRPr="00974018">
        <w:t xml:space="preserve">a quien en lo subsecuente se le denominará </w:t>
      </w:r>
      <w:r w:rsidRPr="00974018">
        <w:rPr>
          <w:b/>
          <w:bCs/>
        </w:rPr>
        <w:t>LA PARTE RECURRENTE</w:t>
      </w:r>
      <w:r w:rsidRPr="00974018">
        <w:t>, en contra de la respuesta emitida por</w:t>
      </w:r>
      <w:r w:rsidR="00894917" w:rsidRPr="00974018">
        <w:t xml:space="preserve"> el </w:t>
      </w:r>
      <w:r w:rsidR="00894917" w:rsidRPr="00974018">
        <w:rPr>
          <w:b/>
          <w:bCs/>
        </w:rPr>
        <w:t>Ayuntamiento de Metepec</w:t>
      </w:r>
      <w:r w:rsidRPr="00974018">
        <w:t xml:space="preserve">, en adelante </w:t>
      </w:r>
      <w:r w:rsidRPr="00974018">
        <w:rPr>
          <w:b/>
          <w:bCs/>
        </w:rPr>
        <w:t>EL SUJETO OBLIGADO</w:t>
      </w:r>
      <w:r w:rsidRPr="00974018">
        <w:rPr>
          <w:rFonts w:eastAsia="Calibri"/>
          <w:lang w:eastAsia="en-US"/>
        </w:rPr>
        <w:t xml:space="preserve">, </w:t>
      </w:r>
      <w:r w:rsidRPr="00974018">
        <w:t>se emite la presente Resolución con base en los Antecedentes y Considerandos que se exponen a continuación:</w:t>
      </w:r>
    </w:p>
    <w:p w14:paraId="2116968C" w14:textId="77777777" w:rsidR="00775BFC" w:rsidRPr="00974018" w:rsidRDefault="00775BFC" w:rsidP="00974018"/>
    <w:p w14:paraId="5A444FB6" w14:textId="639D3567" w:rsidR="00664420" w:rsidRPr="00974018" w:rsidRDefault="00664420" w:rsidP="00974018">
      <w:pPr>
        <w:pStyle w:val="Ttulo1"/>
      </w:pPr>
      <w:bookmarkStart w:id="3" w:name="_Toc197542638"/>
      <w:r w:rsidRPr="00974018">
        <w:t>ANTECEDENTES</w:t>
      </w:r>
      <w:bookmarkEnd w:id="3"/>
    </w:p>
    <w:p w14:paraId="5CB5034E" w14:textId="77777777" w:rsidR="00AC2DB8" w:rsidRPr="00974018" w:rsidRDefault="00AC2DB8" w:rsidP="00974018"/>
    <w:p w14:paraId="09B2D38F" w14:textId="6E49D146" w:rsidR="00664420" w:rsidRPr="00974018" w:rsidRDefault="00E37A3F" w:rsidP="00974018">
      <w:pPr>
        <w:pStyle w:val="Ttulo2"/>
      </w:pPr>
      <w:bookmarkStart w:id="4" w:name="_Toc197542639"/>
      <w:r w:rsidRPr="00974018">
        <w:t>DE LA SOLICITUD DE INFORMACIÓN</w:t>
      </w:r>
      <w:bookmarkEnd w:id="4"/>
    </w:p>
    <w:p w14:paraId="7B7535DF" w14:textId="77777777" w:rsidR="00E37A3F" w:rsidRPr="00974018" w:rsidRDefault="00E37A3F" w:rsidP="00974018"/>
    <w:p w14:paraId="2C6AD1A5" w14:textId="0405B3CD" w:rsidR="00664420" w:rsidRPr="00974018" w:rsidRDefault="00E37A3F" w:rsidP="00974018">
      <w:pPr>
        <w:pStyle w:val="Ttulo3"/>
      </w:pPr>
      <w:bookmarkStart w:id="5" w:name="_Toc197542640"/>
      <w:r w:rsidRPr="00974018">
        <w:t xml:space="preserve">a) </w:t>
      </w:r>
      <w:r w:rsidR="006B10B0" w:rsidRPr="00974018">
        <w:t>S</w:t>
      </w:r>
      <w:r w:rsidR="00664420" w:rsidRPr="00974018">
        <w:t xml:space="preserve">olicitud de </w:t>
      </w:r>
      <w:r w:rsidR="006B10B0" w:rsidRPr="00974018">
        <w:t>i</w:t>
      </w:r>
      <w:r w:rsidR="00664420" w:rsidRPr="00974018">
        <w:t>nformación</w:t>
      </w:r>
      <w:bookmarkEnd w:id="5"/>
    </w:p>
    <w:p w14:paraId="06DCD29D" w14:textId="1B55E3F3" w:rsidR="009A2D78" w:rsidRPr="00974018" w:rsidRDefault="006B10B0" w:rsidP="00974018">
      <w:pPr>
        <w:pStyle w:val="Prrafodelista"/>
        <w:tabs>
          <w:tab w:val="left" w:pos="0"/>
        </w:tabs>
        <w:ind w:left="0"/>
        <w:contextualSpacing w:val="0"/>
        <w:rPr>
          <w:rFonts w:cs="Tahoma"/>
        </w:rPr>
      </w:pPr>
      <w:r w:rsidRPr="00974018">
        <w:rPr>
          <w:rFonts w:cs="Tahoma"/>
        </w:rPr>
        <w:t>El</w:t>
      </w:r>
      <w:r w:rsidR="00664420" w:rsidRPr="00974018">
        <w:rPr>
          <w:rFonts w:cs="Tahoma"/>
        </w:rPr>
        <w:t xml:space="preserve"> </w:t>
      </w:r>
      <w:r w:rsidR="00894917" w:rsidRPr="00974018">
        <w:rPr>
          <w:rFonts w:cs="Tahoma"/>
          <w:b/>
          <w:bCs/>
        </w:rPr>
        <w:t>dieciocho</w:t>
      </w:r>
      <w:r w:rsidR="00664420" w:rsidRPr="00974018">
        <w:rPr>
          <w:rFonts w:cs="Tahoma"/>
          <w:b/>
          <w:bCs/>
        </w:rPr>
        <w:t xml:space="preserve"> de </w:t>
      </w:r>
      <w:r w:rsidR="00894917" w:rsidRPr="00974018">
        <w:rPr>
          <w:rFonts w:cs="Tahoma"/>
          <w:b/>
          <w:bCs/>
        </w:rPr>
        <w:t xml:space="preserve">febrero </w:t>
      </w:r>
      <w:r w:rsidR="00664420" w:rsidRPr="00974018">
        <w:rPr>
          <w:rFonts w:cs="Tahoma"/>
          <w:b/>
          <w:bCs/>
        </w:rPr>
        <w:t xml:space="preserve">de dos mil </w:t>
      </w:r>
      <w:r w:rsidR="00FE368B" w:rsidRPr="00974018">
        <w:rPr>
          <w:rFonts w:cs="Tahoma"/>
          <w:b/>
          <w:bCs/>
        </w:rPr>
        <w:t>veinticinco</w:t>
      </w:r>
      <w:r w:rsidR="00664420" w:rsidRPr="00974018">
        <w:rPr>
          <w:rFonts w:cs="Tahoma"/>
        </w:rPr>
        <w:t xml:space="preserve">, </w:t>
      </w:r>
      <w:r w:rsidRPr="00974018">
        <w:rPr>
          <w:b/>
          <w:bCs/>
        </w:rPr>
        <w:t>LA PARTE RECURRENTE</w:t>
      </w:r>
      <w:r w:rsidR="00664420" w:rsidRPr="00974018">
        <w:rPr>
          <w:rFonts w:cs="Tahoma"/>
        </w:rPr>
        <w:t xml:space="preserve"> presentó una solicitud de acceso a la información pública </w:t>
      </w:r>
      <w:r w:rsidR="001F3515" w:rsidRPr="00974018">
        <w:rPr>
          <w:rFonts w:cs="Tahoma"/>
        </w:rPr>
        <w:t xml:space="preserve">ante el </w:t>
      </w:r>
      <w:r w:rsidR="001F3515" w:rsidRPr="00974018">
        <w:rPr>
          <w:rFonts w:cs="Tahoma"/>
          <w:b/>
          <w:bCs/>
        </w:rPr>
        <w:t>SUJETO OBLIGADO</w:t>
      </w:r>
      <w:r w:rsidR="001F3515" w:rsidRPr="00974018">
        <w:rPr>
          <w:rFonts w:cs="Tahoma"/>
        </w:rPr>
        <w:t xml:space="preserve">, </w:t>
      </w:r>
      <w:r w:rsidR="00664420" w:rsidRPr="00974018">
        <w:rPr>
          <w:rFonts w:cs="Tahoma"/>
        </w:rPr>
        <w:t xml:space="preserve">a través del </w:t>
      </w:r>
      <w:r w:rsidRPr="00974018">
        <w:rPr>
          <w:rFonts w:cs="Tahoma"/>
        </w:rPr>
        <w:t>Sistema de Acceso a la Información Mexiquense</w:t>
      </w:r>
      <w:r w:rsidR="009A2D78" w:rsidRPr="00974018">
        <w:rPr>
          <w:rFonts w:cs="Tahoma"/>
        </w:rPr>
        <w:t xml:space="preserve"> (</w:t>
      </w:r>
      <w:r w:rsidRPr="00974018">
        <w:rPr>
          <w:rFonts w:cs="Tahoma"/>
        </w:rPr>
        <w:t>SAIMEX</w:t>
      </w:r>
      <w:r w:rsidR="009A2D78" w:rsidRPr="00974018">
        <w:rPr>
          <w:rFonts w:cs="Tahoma"/>
        </w:rPr>
        <w:t>). Dicha solicitud quedó</w:t>
      </w:r>
      <w:r w:rsidRPr="00974018">
        <w:rPr>
          <w:rFonts w:cs="Tahoma"/>
        </w:rPr>
        <w:t xml:space="preserve"> registrada c</w:t>
      </w:r>
      <w:r w:rsidR="00664420" w:rsidRPr="00974018">
        <w:rPr>
          <w:rFonts w:cs="Tahoma"/>
        </w:rPr>
        <w:t>on el número de folio</w:t>
      </w:r>
      <w:r w:rsidR="00664420" w:rsidRPr="00974018">
        <w:rPr>
          <w:rFonts w:cs="Tahoma"/>
          <w:b/>
          <w:bCs/>
        </w:rPr>
        <w:t xml:space="preserve"> </w:t>
      </w:r>
      <w:r w:rsidR="00894917" w:rsidRPr="00974018">
        <w:rPr>
          <w:rFonts w:cs="Tahoma"/>
          <w:b/>
          <w:bCs/>
        </w:rPr>
        <w:t>00076/METEPEC/IP/2025</w:t>
      </w:r>
      <w:r w:rsidR="002A3601" w:rsidRPr="00974018">
        <w:rPr>
          <w:rFonts w:cs="Tahoma"/>
        </w:rPr>
        <w:t xml:space="preserve"> y en ella </w:t>
      </w:r>
      <w:r w:rsidR="009A2D78" w:rsidRPr="00974018">
        <w:rPr>
          <w:rFonts w:cs="Tahoma"/>
        </w:rPr>
        <w:t>se requirió la siguiente información:</w:t>
      </w:r>
    </w:p>
    <w:p w14:paraId="0459D6AC" w14:textId="77777777" w:rsidR="00664420" w:rsidRPr="00974018" w:rsidRDefault="00664420" w:rsidP="00974018">
      <w:pPr>
        <w:tabs>
          <w:tab w:val="left" w:pos="4667"/>
        </w:tabs>
        <w:ind w:left="567" w:right="567"/>
        <w:rPr>
          <w:rFonts w:cs="Tahoma"/>
          <w:b/>
          <w:bCs/>
        </w:rPr>
      </w:pPr>
    </w:p>
    <w:p w14:paraId="179FB369" w14:textId="71A7CA06" w:rsidR="00664420" w:rsidRPr="00974018" w:rsidRDefault="00894917" w:rsidP="00974018">
      <w:pPr>
        <w:pStyle w:val="Puesto"/>
      </w:pPr>
      <w:r w:rsidRPr="00974018">
        <w:t xml:space="preserve">¿Cuáles son las acciones programadas en la administración 2025-2027 del Ayuntamiento de Metepec para cumplir con los compromisos de su designación como Ciudad Árbol del </w:t>
      </w:r>
      <w:proofErr w:type="gramStart"/>
      <w:r w:rsidRPr="00974018">
        <w:t>mundo.?</w:t>
      </w:r>
      <w:proofErr w:type="gramEnd"/>
      <w:r w:rsidRPr="00974018">
        <w:t xml:space="preserve"> ¿Cuáles son las iniciativas planteadas al cabildo o a otras dependencias municipales o </w:t>
      </w:r>
      <w:proofErr w:type="spellStart"/>
      <w:r w:rsidRPr="00974018">
        <w:t>estatales</w:t>
      </w:r>
      <w:proofErr w:type="gramStart"/>
      <w:r w:rsidRPr="00974018">
        <w:t>,para</w:t>
      </w:r>
      <w:proofErr w:type="spellEnd"/>
      <w:proofErr w:type="gramEnd"/>
      <w:r w:rsidRPr="00974018">
        <w:t xml:space="preserve"> crear y ampliar las áreas verdes del municipio? ¿Cuál es el progreso de dichas iniciativas? ¿Cuál es el  avance en el proceso de la instalación de cajetes para árboles en las banquetas con dimensiones de 1.50mts o </w:t>
      </w:r>
      <w:proofErr w:type="spellStart"/>
      <w:proofErr w:type="gramStart"/>
      <w:r w:rsidRPr="00974018">
        <w:t>mas</w:t>
      </w:r>
      <w:proofErr w:type="spellEnd"/>
      <w:proofErr w:type="gramEnd"/>
      <w:r w:rsidRPr="00974018">
        <w:t xml:space="preserve">? </w:t>
      </w:r>
      <w:proofErr w:type="gramStart"/>
      <w:r w:rsidRPr="00974018">
        <w:t>¿ Existe</w:t>
      </w:r>
      <w:proofErr w:type="gramEnd"/>
      <w:r w:rsidRPr="00974018">
        <w:t xml:space="preserve"> algún programa de colaboración o convenios con particulares, asociaciones civiles o empresas para ampliar las áreas verdes del municipio? ¿Se buscará que en las campañas de reforestación de esta </w:t>
      </w:r>
      <w:r w:rsidRPr="00974018">
        <w:lastRenderedPageBreak/>
        <w:t xml:space="preserve">administración se plante una mayor variedad de árboles como capulines, duraznos, limones, pata de cabra cuyo crecimiento no afecta la estructura urbana y sus beneficios para las aves y abejas son de una mayor armonía </w:t>
      </w:r>
      <w:proofErr w:type="gramStart"/>
      <w:r w:rsidRPr="00974018">
        <w:t>ecológica.?</w:t>
      </w:r>
      <w:proofErr w:type="gramEnd"/>
      <w:r w:rsidRPr="00974018">
        <w:t xml:space="preserve"> ¿</w:t>
      </w:r>
      <w:proofErr w:type="spellStart"/>
      <w:r w:rsidRPr="00974018">
        <w:t>Esta</w:t>
      </w:r>
      <w:proofErr w:type="spellEnd"/>
      <w:r w:rsidRPr="00974018">
        <w:t xml:space="preserve"> ya listo el programa de ordenamiento ecológico local de Metepec y su manual de proceso? '</w:t>
      </w:r>
      <w:r w:rsidR="00664420" w:rsidRPr="00974018">
        <w:t>.</w:t>
      </w:r>
    </w:p>
    <w:p w14:paraId="64B27DE3" w14:textId="77777777" w:rsidR="00664420" w:rsidRPr="00974018" w:rsidRDefault="00664420" w:rsidP="00974018">
      <w:pPr>
        <w:tabs>
          <w:tab w:val="left" w:pos="4667"/>
        </w:tabs>
        <w:ind w:left="567" w:right="567"/>
        <w:rPr>
          <w:rFonts w:cs="Tahoma"/>
          <w:bCs/>
          <w:i/>
          <w:szCs w:val="22"/>
        </w:rPr>
      </w:pPr>
    </w:p>
    <w:p w14:paraId="0BD6321D" w14:textId="56D9ABBC" w:rsidR="00664420" w:rsidRPr="00974018" w:rsidRDefault="009A2D78" w:rsidP="00974018">
      <w:pPr>
        <w:tabs>
          <w:tab w:val="left" w:pos="4667"/>
        </w:tabs>
        <w:ind w:left="567" w:right="567"/>
        <w:rPr>
          <w:rFonts w:cs="Tahoma"/>
          <w:bCs/>
          <w:szCs w:val="22"/>
        </w:rPr>
      </w:pPr>
      <w:r w:rsidRPr="00974018">
        <w:rPr>
          <w:rFonts w:cs="Tahoma"/>
          <w:b/>
          <w:bCs/>
          <w:szCs w:val="22"/>
        </w:rPr>
        <w:t>Modalidad de entrega</w:t>
      </w:r>
      <w:r w:rsidRPr="00974018">
        <w:rPr>
          <w:rFonts w:cs="Tahoma"/>
          <w:bCs/>
          <w:szCs w:val="22"/>
        </w:rPr>
        <w:t>: a</w:t>
      </w:r>
      <w:r w:rsidR="00664420" w:rsidRPr="00974018">
        <w:rPr>
          <w:rFonts w:cs="Tahoma"/>
          <w:bCs/>
          <w:i/>
          <w:szCs w:val="22"/>
        </w:rPr>
        <w:t xml:space="preserve"> través del SAIMEX</w:t>
      </w:r>
      <w:r w:rsidRPr="00974018">
        <w:rPr>
          <w:rFonts w:cs="Tahoma"/>
          <w:bCs/>
          <w:i/>
          <w:szCs w:val="22"/>
        </w:rPr>
        <w:t>.</w:t>
      </w:r>
    </w:p>
    <w:p w14:paraId="334D2860" w14:textId="77777777" w:rsidR="00664420" w:rsidRPr="00974018" w:rsidRDefault="00664420" w:rsidP="00974018">
      <w:pPr>
        <w:autoSpaceDE w:val="0"/>
        <w:autoSpaceDN w:val="0"/>
        <w:adjustRightInd w:val="0"/>
        <w:ind w:right="-28"/>
        <w:rPr>
          <w:rFonts w:cs="Tahoma"/>
          <w:bCs/>
          <w:i/>
          <w:szCs w:val="22"/>
        </w:rPr>
      </w:pPr>
    </w:p>
    <w:p w14:paraId="5AC1EE52" w14:textId="34C34E77" w:rsidR="00D036D3" w:rsidRPr="00974018" w:rsidRDefault="00E37A3F" w:rsidP="00974018">
      <w:pPr>
        <w:pStyle w:val="Ttulo3"/>
      </w:pPr>
      <w:bookmarkStart w:id="6" w:name="_Toc197542641"/>
      <w:r w:rsidRPr="00974018">
        <w:t xml:space="preserve">b) </w:t>
      </w:r>
      <w:r w:rsidR="00D036D3" w:rsidRPr="00974018">
        <w:t>Turno de la solicitud de información</w:t>
      </w:r>
      <w:bookmarkEnd w:id="6"/>
    </w:p>
    <w:p w14:paraId="7CEE6F8C" w14:textId="4FC7A62E" w:rsidR="007D1C55" w:rsidRPr="00974018" w:rsidRDefault="00D036D3" w:rsidP="00974018">
      <w:r w:rsidRPr="00974018">
        <w:t xml:space="preserve">En cumplimiento al artículo 162 de la Ley de Transparencia y Acceso a la Información Pública del Estado de México y Municipios, el </w:t>
      </w:r>
      <w:r w:rsidR="00894917" w:rsidRPr="00974018">
        <w:rPr>
          <w:rFonts w:eastAsia="Palatino Linotype" w:cs="Palatino Linotype"/>
          <w:b/>
        </w:rPr>
        <w:t>veintisiete</w:t>
      </w:r>
      <w:r w:rsidRPr="00974018">
        <w:rPr>
          <w:rFonts w:eastAsia="Palatino Linotype" w:cs="Palatino Linotype"/>
          <w:b/>
        </w:rPr>
        <w:t xml:space="preserve"> de </w:t>
      </w:r>
      <w:r w:rsidR="00894917" w:rsidRPr="00974018">
        <w:rPr>
          <w:rFonts w:eastAsia="Palatino Linotype" w:cs="Palatino Linotype"/>
          <w:b/>
        </w:rPr>
        <w:t xml:space="preserve">febrero </w:t>
      </w:r>
      <w:r w:rsidRPr="00974018">
        <w:rPr>
          <w:rFonts w:eastAsia="Palatino Linotype" w:cs="Palatino Linotype"/>
          <w:b/>
        </w:rPr>
        <w:t xml:space="preserve">de dos mil </w:t>
      </w:r>
      <w:r w:rsidR="00FE368B" w:rsidRPr="00974018">
        <w:rPr>
          <w:rFonts w:eastAsia="Palatino Linotype" w:cs="Palatino Linotype"/>
          <w:b/>
        </w:rPr>
        <w:t>veinticinco</w:t>
      </w:r>
      <w:r w:rsidRPr="00974018">
        <w:t xml:space="preserve">, el Titular de la Unidad de Transparencia del </w:t>
      </w:r>
      <w:r w:rsidRPr="00974018">
        <w:rPr>
          <w:b/>
        </w:rPr>
        <w:t>SUJETO OBLIGADO</w:t>
      </w:r>
      <w:r w:rsidRPr="00974018">
        <w:t xml:space="preserve"> turnó la solicitud de información </w:t>
      </w:r>
      <w:r w:rsidR="00163D12" w:rsidRPr="00974018">
        <w:t xml:space="preserve">a los </w:t>
      </w:r>
      <w:r w:rsidRPr="00974018">
        <w:t>servidor</w:t>
      </w:r>
      <w:r w:rsidR="007D1C55" w:rsidRPr="00974018">
        <w:t>es</w:t>
      </w:r>
      <w:r w:rsidRPr="00974018">
        <w:t xml:space="preserve"> público</w:t>
      </w:r>
      <w:r w:rsidR="007D1C55" w:rsidRPr="00974018">
        <w:t>s</w:t>
      </w:r>
      <w:r w:rsidRPr="00974018">
        <w:t xml:space="preserve"> habilitado</w:t>
      </w:r>
      <w:r w:rsidR="007D1C55" w:rsidRPr="00974018">
        <w:t>s</w:t>
      </w:r>
      <w:r w:rsidRPr="00974018">
        <w:t xml:space="preserve"> que estimó pertinente</w:t>
      </w:r>
      <w:r w:rsidR="00163D12" w:rsidRPr="00974018">
        <w:t>s</w:t>
      </w:r>
      <w:r w:rsidR="007D1C55" w:rsidRPr="00974018">
        <w:t>.</w:t>
      </w:r>
    </w:p>
    <w:p w14:paraId="7B667FC9" w14:textId="77777777" w:rsidR="007D1C55" w:rsidRPr="00974018" w:rsidRDefault="007D1C55" w:rsidP="00974018"/>
    <w:p w14:paraId="3212BA4D" w14:textId="073B6748" w:rsidR="00664420" w:rsidRPr="00974018" w:rsidRDefault="00E37A3F" w:rsidP="00974018">
      <w:pPr>
        <w:pStyle w:val="Ttulo3"/>
        <w:rPr>
          <w:rFonts w:eastAsia="Calibri"/>
          <w:lang w:eastAsia="en-US"/>
        </w:rPr>
      </w:pPr>
      <w:bookmarkStart w:id="7" w:name="_Toc197542642"/>
      <w:r w:rsidRPr="00974018">
        <w:t xml:space="preserve">c) </w:t>
      </w:r>
      <w:r w:rsidR="00664420" w:rsidRPr="00974018">
        <w:rPr>
          <w:lang w:val="es-ES"/>
        </w:rPr>
        <w:t xml:space="preserve">Respuesta </w:t>
      </w:r>
      <w:r w:rsidR="00664420" w:rsidRPr="00974018">
        <w:rPr>
          <w:rFonts w:eastAsia="Calibri"/>
          <w:lang w:eastAsia="en-US"/>
        </w:rPr>
        <w:t>del Sujeto Obligado</w:t>
      </w:r>
      <w:bookmarkEnd w:id="7"/>
    </w:p>
    <w:p w14:paraId="79199CC1" w14:textId="061B3B86" w:rsidR="00664420" w:rsidRPr="00974018" w:rsidRDefault="00664420" w:rsidP="00974018">
      <w:pPr>
        <w:pStyle w:val="Sinespaciado"/>
        <w:spacing w:line="360" w:lineRule="auto"/>
        <w:rPr>
          <w:lang w:val="es-ES"/>
        </w:rPr>
      </w:pPr>
      <w:r w:rsidRPr="00974018">
        <w:rPr>
          <w:lang w:val="es-ES"/>
        </w:rPr>
        <w:t xml:space="preserve">El </w:t>
      </w:r>
      <w:r w:rsidR="00894917" w:rsidRPr="00974018">
        <w:rPr>
          <w:b/>
          <w:bCs/>
          <w:lang w:val="es-ES"/>
        </w:rPr>
        <w:t>doce</w:t>
      </w:r>
      <w:r w:rsidRPr="00974018">
        <w:rPr>
          <w:b/>
          <w:bCs/>
          <w:lang w:val="es-ES"/>
        </w:rPr>
        <w:t xml:space="preserve"> de </w:t>
      </w:r>
      <w:r w:rsidR="00894917" w:rsidRPr="00974018">
        <w:rPr>
          <w:b/>
          <w:bCs/>
          <w:lang w:val="es-ES"/>
        </w:rPr>
        <w:t xml:space="preserve">marzo </w:t>
      </w:r>
      <w:r w:rsidRPr="00974018">
        <w:rPr>
          <w:b/>
          <w:bCs/>
          <w:lang w:val="es-ES"/>
        </w:rPr>
        <w:t xml:space="preserve">de dos mil </w:t>
      </w:r>
      <w:r w:rsidR="00FE368B" w:rsidRPr="00974018">
        <w:rPr>
          <w:b/>
          <w:bCs/>
          <w:lang w:val="es-ES"/>
        </w:rPr>
        <w:t>veinticinco</w:t>
      </w:r>
      <w:r w:rsidRPr="00974018">
        <w:rPr>
          <w:lang w:val="es-ES"/>
        </w:rPr>
        <w:t xml:space="preserve">, </w:t>
      </w:r>
      <w:r w:rsidR="00F07EE6" w:rsidRPr="00974018">
        <w:rPr>
          <w:lang w:val="es-ES"/>
        </w:rPr>
        <w:t xml:space="preserve">el Titular de la Unidad de Transparencia del </w:t>
      </w:r>
      <w:r w:rsidR="00F07EE6" w:rsidRPr="00974018">
        <w:rPr>
          <w:b/>
          <w:lang w:val="es-ES"/>
        </w:rPr>
        <w:t>SUJETO OBLIGADO</w:t>
      </w:r>
      <w:r w:rsidR="00F07EE6" w:rsidRPr="00974018">
        <w:rPr>
          <w:lang w:val="es-ES"/>
        </w:rPr>
        <w:t xml:space="preserve"> notificó la siguiente respuesta a través del </w:t>
      </w:r>
      <w:r w:rsidRPr="00974018">
        <w:rPr>
          <w:lang w:val="es-ES"/>
        </w:rPr>
        <w:t>SAIMEX</w:t>
      </w:r>
      <w:r w:rsidR="00F07EE6" w:rsidRPr="00974018">
        <w:rPr>
          <w:lang w:val="es-ES"/>
        </w:rPr>
        <w:t>:</w:t>
      </w:r>
    </w:p>
    <w:p w14:paraId="669F7EFD" w14:textId="77777777" w:rsidR="00664420" w:rsidRPr="00974018" w:rsidRDefault="00664420" w:rsidP="00974018">
      <w:pPr>
        <w:tabs>
          <w:tab w:val="left" w:pos="4667"/>
        </w:tabs>
        <w:ind w:left="567" w:right="567"/>
        <w:rPr>
          <w:rFonts w:cs="Tahoma"/>
          <w:b/>
          <w:bCs/>
        </w:rPr>
      </w:pPr>
    </w:p>
    <w:p w14:paraId="042FE73D" w14:textId="148B0E2C" w:rsidR="00F07EE6" w:rsidRPr="00974018" w:rsidRDefault="00894917" w:rsidP="00974018">
      <w:pPr>
        <w:pStyle w:val="Puesto"/>
      </w:pPr>
      <w:r w:rsidRPr="00974018">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w:t>
      </w:r>
      <w:r w:rsidRPr="00974018">
        <w:lastRenderedPageBreak/>
        <w:t>estar a sus órdenes. ATENTAMENTE LIC. GERARDO ARTURO OZUNA MARTINEZ DIRECTOR DE TRANSPARENCIA Y GOBIERNO ABIERTO</w:t>
      </w:r>
      <w:r w:rsidR="00F07EE6" w:rsidRPr="00974018">
        <w:t>.</w:t>
      </w:r>
    </w:p>
    <w:p w14:paraId="5D11024C" w14:textId="77777777" w:rsidR="00664420" w:rsidRPr="00974018" w:rsidRDefault="00664420" w:rsidP="00974018">
      <w:pPr>
        <w:autoSpaceDE w:val="0"/>
        <w:autoSpaceDN w:val="0"/>
        <w:adjustRightInd w:val="0"/>
        <w:ind w:right="-28"/>
        <w:rPr>
          <w:rFonts w:cs="Tahoma"/>
          <w:bCs/>
          <w:szCs w:val="22"/>
        </w:rPr>
      </w:pPr>
    </w:p>
    <w:p w14:paraId="70920289" w14:textId="1734249B" w:rsidR="00664420" w:rsidRPr="00974018" w:rsidRDefault="00F07EE6" w:rsidP="00974018">
      <w:pPr>
        <w:autoSpaceDE w:val="0"/>
        <w:autoSpaceDN w:val="0"/>
        <w:adjustRightInd w:val="0"/>
        <w:ind w:right="-28"/>
        <w:rPr>
          <w:rFonts w:cs="Tahoma"/>
          <w:bCs/>
          <w:szCs w:val="22"/>
          <w:lang w:val="es-ES"/>
        </w:rPr>
      </w:pPr>
      <w:r w:rsidRPr="00974018">
        <w:rPr>
          <w:rFonts w:cs="Tahoma"/>
          <w:bCs/>
          <w:szCs w:val="22"/>
          <w:lang w:val="es-ES"/>
        </w:rPr>
        <w:t xml:space="preserve">Asimismo, </w:t>
      </w:r>
      <w:r w:rsidRPr="00974018">
        <w:rPr>
          <w:rFonts w:cs="Tahoma"/>
          <w:b/>
          <w:szCs w:val="22"/>
          <w:lang w:val="es-ES"/>
        </w:rPr>
        <w:t xml:space="preserve">EL SUJETO OBLIGADO </w:t>
      </w:r>
      <w:r w:rsidRPr="00974018">
        <w:rPr>
          <w:rFonts w:cs="Tahoma"/>
          <w:bCs/>
          <w:szCs w:val="22"/>
          <w:lang w:val="es-ES"/>
        </w:rPr>
        <w:t>adjuntó a su respuesta los archivos electrónicos que se describen a continuación</w:t>
      </w:r>
      <w:r w:rsidR="00664420" w:rsidRPr="00974018">
        <w:rPr>
          <w:rFonts w:cs="Tahoma"/>
          <w:bCs/>
          <w:szCs w:val="22"/>
          <w:lang w:val="es-ES"/>
        </w:rPr>
        <w:t>:</w:t>
      </w:r>
    </w:p>
    <w:p w14:paraId="2C78354F" w14:textId="77777777" w:rsidR="00664420" w:rsidRPr="00974018" w:rsidRDefault="00664420" w:rsidP="00974018">
      <w:pPr>
        <w:autoSpaceDE w:val="0"/>
        <w:autoSpaceDN w:val="0"/>
        <w:adjustRightInd w:val="0"/>
        <w:ind w:right="-28"/>
        <w:rPr>
          <w:rFonts w:cs="Tahoma"/>
          <w:bCs/>
          <w:szCs w:val="22"/>
          <w:lang w:val="es-ES"/>
        </w:rPr>
      </w:pPr>
    </w:p>
    <w:p w14:paraId="0882943E" w14:textId="2A79C7C9" w:rsidR="00894917" w:rsidRPr="00974018" w:rsidRDefault="00894917" w:rsidP="00974018">
      <w:pPr>
        <w:autoSpaceDE w:val="0"/>
        <w:autoSpaceDN w:val="0"/>
        <w:adjustRightInd w:val="0"/>
        <w:ind w:right="-28"/>
        <w:rPr>
          <w:rFonts w:cs="Tahoma"/>
          <w:szCs w:val="22"/>
          <w:lang w:val="es-ES"/>
        </w:rPr>
      </w:pPr>
      <w:r w:rsidRPr="00974018">
        <w:rPr>
          <w:rFonts w:cs="Tahoma"/>
          <w:b/>
          <w:szCs w:val="22"/>
          <w:lang w:val="es-ES"/>
        </w:rPr>
        <w:t xml:space="preserve">00076 METEPEC IP 2025.zip </w:t>
      </w:r>
      <w:r w:rsidRPr="00974018">
        <w:rPr>
          <w:rFonts w:cs="Tahoma"/>
          <w:szCs w:val="22"/>
          <w:lang w:val="es-ES"/>
        </w:rPr>
        <w:t xml:space="preserve">Carpeta en formato </w:t>
      </w:r>
      <w:proofErr w:type="spellStart"/>
      <w:r w:rsidRPr="00974018">
        <w:rPr>
          <w:rFonts w:cs="Tahoma"/>
          <w:szCs w:val="22"/>
          <w:lang w:val="es-ES"/>
        </w:rPr>
        <w:t>zip</w:t>
      </w:r>
      <w:proofErr w:type="spellEnd"/>
      <w:r w:rsidRPr="00974018">
        <w:rPr>
          <w:rFonts w:cs="Tahoma"/>
          <w:szCs w:val="22"/>
          <w:lang w:val="es-ES"/>
        </w:rPr>
        <w:t xml:space="preserve"> con el archivo denominado </w:t>
      </w:r>
      <w:r w:rsidRPr="00974018">
        <w:rPr>
          <w:rFonts w:cs="Tahoma"/>
          <w:i/>
          <w:szCs w:val="22"/>
          <w:lang w:val="es-ES"/>
        </w:rPr>
        <w:t xml:space="preserve">00076 METEPEC IP 2025.pdf </w:t>
      </w:r>
      <w:r w:rsidRPr="00974018">
        <w:rPr>
          <w:rFonts w:cs="Tahoma"/>
          <w:szCs w:val="22"/>
          <w:lang w:val="es-ES"/>
        </w:rPr>
        <w:t>el cual contiene la respuesta emitida por el Director de Servicios Públicos que en lo medular dice lo siguiente:</w:t>
      </w:r>
    </w:p>
    <w:p w14:paraId="1CF22FA1" w14:textId="77777777" w:rsidR="00894917" w:rsidRPr="00974018" w:rsidRDefault="00894917" w:rsidP="00974018">
      <w:pPr>
        <w:autoSpaceDE w:val="0"/>
        <w:autoSpaceDN w:val="0"/>
        <w:adjustRightInd w:val="0"/>
        <w:ind w:right="-28"/>
        <w:rPr>
          <w:rFonts w:cs="Tahoma"/>
          <w:szCs w:val="22"/>
          <w:lang w:val="es-ES"/>
        </w:rPr>
      </w:pPr>
    </w:p>
    <w:p w14:paraId="121A0384" w14:textId="4A7324DC" w:rsidR="00894917" w:rsidRPr="00974018" w:rsidRDefault="00894917" w:rsidP="00974018">
      <w:pPr>
        <w:autoSpaceDE w:val="0"/>
        <w:autoSpaceDN w:val="0"/>
        <w:adjustRightInd w:val="0"/>
        <w:ind w:right="-28"/>
        <w:rPr>
          <w:rFonts w:cs="Tahoma"/>
          <w:i/>
          <w:szCs w:val="22"/>
          <w:lang w:val="es-ES"/>
        </w:rPr>
      </w:pPr>
      <w:r w:rsidRPr="00974018">
        <w:rPr>
          <w:rFonts w:cs="Tahoma"/>
          <w:i/>
          <w:szCs w:val="22"/>
          <w:lang w:val="es-ES"/>
        </w:rPr>
        <w:t>“Del análisis de la solicitud de información, se responde que esta Dirección de Servicios Públicos, realiza funciones de carácter operativo, en la prestación de servicios públicos municipales, mismas que se ejecutan en las Subdirecciones de Limpia, Áreas Verdes y Alumbrado Público, por le tanto, no cuenta con la información para emitir una respuesta puntual y detallada.”</w:t>
      </w:r>
    </w:p>
    <w:p w14:paraId="3A7689EB" w14:textId="77777777" w:rsidR="00894917" w:rsidRPr="00974018" w:rsidRDefault="00894917" w:rsidP="00974018">
      <w:pPr>
        <w:autoSpaceDE w:val="0"/>
        <w:autoSpaceDN w:val="0"/>
        <w:adjustRightInd w:val="0"/>
        <w:ind w:right="-28"/>
        <w:rPr>
          <w:rFonts w:cs="Tahoma"/>
          <w:b/>
          <w:szCs w:val="22"/>
          <w:lang w:val="es-ES"/>
        </w:rPr>
      </w:pPr>
    </w:p>
    <w:p w14:paraId="2ED4B04A" w14:textId="3F3700A6" w:rsidR="00DE1133" w:rsidRPr="00974018" w:rsidRDefault="00894917" w:rsidP="00974018">
      <w:pPr>
        <w:autoSpaceDE w:val="0"/>
        <w:autoSpaceDN w:val="0"/>
        <w:adjustRightInd w:val="0"/>
        <w:ind w:right="-28"/>
        <w:rPr>
          <w:rFonts w:cs="Tahoma"/>
          <w:b/>
          <w:szCs w:val="22"/>
          <w:lang w:val="es-ES"/>
        </w:rPr>
      </w:pPr>
      <w:r w:rsidRPr="00974018">
        <w:rPr>
          <w:rFonts w:cs="Tahoma"/>
          <w:b/>
          <w:szCs w:val="22"/>
          <w:lang w:val="es-ES"/>
        </w:rPr>
        <w:t xml:space="preserve">00076-METEPEC-IP-2025.pdf </w:t>
      </w:r>
      <w:r w:rsidRPr="00974018">
        <w:rPr>
          <w:rFonts w:cs="Tahoma"/>
          <w:szCs w:val="22"/>
          <w:lang w:val="es-ES"/>
        </w:rPr>
        <w:t>Respuesta emitida por la Directora de Medio Ambiente mediante la cual en lo medular argumenta que la información solicitada es una consulta y no un derecho de acceso a la información.</w:t>
      </w:r>
    </w:p>
    <w:p w14:paraId="52460699" w14:textId="77777777" w:rsidR="00664420" w:rsidRPr="00974018" w:rsidRDefault="00664420" w:rsidP="00974018">
      <w:pPr>
        <w:autoSpaceDE w:val="0"/>
        <w:autoSpaceDN w:val="0"/>
        <w:adjustRightInd w:val="0"/>
        <w:ind w:right="-28"/>
        <w:rPr>
          <w:rFonts w:cs="Tahoma"/>
          <w:bCs/>
          <w:szCs w:val="22"/>
          <w:lang w:val="es-ES"/>
        </w:rPr>
      </w:pPr>
    </w:p>
    <w:p w14:paraId="5A5DAB9E" w14:textId="77777777" w:rsidR="00E37A3F" w:rsidRPr="00974018" w:rsidRDefault="00E37A3F" w:rsidP="00974018">
      <w:pPr>
        <w:pStyle w:val="Ttulo2"/>
        <w:jc w:val="left"/>
      </w:pPr>
      <w:bookmarkStart w:id="8" w:name="_Toc197542643"/>
      <w:r w:rsidRPr="00974018">
        <w:t>DEL RECURSO DE REVISIÓN</w:t>
      </w:r>
      <w:bookmarkEnd w:id="8"/>
    </w:p>
    <w:p w14:paraId="0B17CD08" w14:textId="77777777" w:rsidR="00664420" w:rsidRPr="00974018" w:rsidRDefault="00664420" w:rsidP="00974018">
      <w:pPr>
        <w:autoSpaceDE w:val="0"/>
        <w:autoSpaceDN w:val="0"/>
        <w:adjustRightInd w:val="0"/>
        <w:ind w:right="-28"/>
        <w:rPr>
          <w:rFonts w:cs="Tahoma"/>
          <w:bCs/>
          <w:szCs w:val="22"/>
          <w:lang w:val="es-ES"/>
        </w:rPr>
      </w:pPr>
    </w:p>
    <w:p w14:paraId="2B216813" w14:textId="61ADBB2B" w:rsidR="00664420" w:rsidRPr="00974018" w:rsidRDefault="006E25BC" w:rsidP="00974018">
      <w:pPr>
        <w:pStyle w:val="Ttulo3"/>
      </w:pPr>
      <w:bookmarkStart w:id="9" w:name="_Toc197542644"/>
      <w:r w:rsidRPr="00974018">
        <w:rPr>
          <w:szCs w:val="32"/>
        </w:rPr>
        <w:t>a)</w:t>
      </w:r>
      <w:r w:rsidRPr="00974018">
        <w:t xml:space="preserve"> </w:t>
      </w:r>
      <w:r w:rsidR="00664420" w:rsidRPr="00974018">
        <w:t>Interposición del Recurso de Revisión</w:t>
      </w:r>
      <w:bookmarkEnd w:id="9"/>
    </w:p>
    <w:p w14:paraId="6279C622" w14:textId="46D2E377" w:rsidR="00664420" w:rsidRPr="00974018" w:rsidRDefault="00664420" w:rsidP="00974018">
      <w:pPr>
        <w:autoSpaceDE w:val="0"/>
        <w:autoSpaceDN w:val="0"/>
        <w:adjustRightInd w:val="0"/>
        <w:ind w:right="-28"/>
        <w:rPr>
          <w:rFonts w:cs="Tahoma"/>
          <w:szCs w:val="22"/>
        </w:rPr>
      </w:pPr>
      <w:r w:rsidRPr="00974018">
        <w:rPr>
          <w:rFonts w:cs="Tahoma"/>
          <w:szCs w:val="22"/>
        </w:rPr>
        <w:t xml:space="preserve">El </w:t>
      </w:r>
      <w:r w:rsidR="00967F93" w:rsidRPr="00974018">
        <w:rPr>
          <w:rFonts w:cs="Tahoma"/>
          <w:b/>
          <w:bCs/>
          <w:szCs w:val="22"/>
        </w:rPr>
        <w:t>dieciocho</w:t>
      </w:r>
      <w:r w:rsidRPr="00974018">
        <w:rPr>
          <w:rFonts w:cs="Tahoma"/>
          <w:b/>
          <w:bCs/>
          <w:szCs w:val="22"/>
        </w:rPr>
        <w:t xml:space="preserve"> de </w:t>
      </w:r>
      <w:r w:rsidR="00205079" w:rsidRPr="00974018">
        <w:rPr>
          <w:rFonts w:cs="Tahoma"/>
          <w:b/>
          <w:bCs/>
          <w:szCs w:val="22"/>
        </w:rPr>
        <w:t xml:space="preserve">marzo </w:t>
      </w:r>
      <w:r w:rsidRPr="00974018">
        <w:rPr>
          <w:rFonts w:cs="Tahoma"/>
          <w:b/>
          <w:bCs/>
          <w:szCs w:val="22"/>
        </w:rPr>
        <w:t xml:space="preserve">de dos mil </w:t>
      </w:r>
      <w:r w:rsidR="00FE368B" w:rsidRPr="00974018">
        <w:rPr>
          <w:rFonts w:cs="Tahoma"/>
          <w:b/>
          <w:bCs/>
          <w:szCs w:val="22"/>
        </w:rPr>
        <w:t xml:space="preserve">veinticinco </w:t>
      </w:r>
      <w:r w:rsidR="00F75D23" w:rsidRPr="00974018">
        <w:rPr>
          <w:rFonts w:cs="Tahoma"/>
          <w:b/>
          <w:bCs/>
          <w:szCs w:val="22"/>
        </w:rPr>
        <w:t>LA PARTE RECURRENTE</w:t>
      </w:r>
      <w:r w:rsidR="00F75D23" w:rsidRPr="00974018">
        <w:rPr>
          <w:rFonts w:cs="Tahoma"/>
          <w:szCs w:val="22"/>
        </w:rPr>
        <w:t xml:space="preserve"> interpuso el recurso de revisión en contra de la respuesta emitida por el </w:t>
      </w:r>
      <w:r w:rsidR="00F75D23" w:rsidRPr="00974018">
        <w:rPr>
          <w:rFonts w:cs="Tahoma"/>
          <w:b/>
          <w:bCs/>
          <w:szCs w:val="22"/>
        </w:rPr>
        <w:t>SUJETO OBLIGADO</w:t>
      </w:r>
      <w:r w:rsidR="00953430" w:rsidRPr="00974018">
        <w:rPr>
          <w:rFonts w:cs="Tahoma"/>
          <w:szCs w:val="22"/>
        </w:rPr>
        <w:t xml:space="preserve">, mismo que fue registrado en el SAIMEX con el número de expediente </w:t>
      </w:r>
      <w:r w:rsidR="00205079" w:rsidRPr="00974018">
        <w:rPr>
          <w:rFonts w:cs="Tahoma"/>
          <w:b/>
          <w:bCs/>
          <w:szCs w:val="22"/>
        </w:rPr>
        <w:t>03142/</w:t>
      </w:r>
      <w:r w:rsidR="00953430" w:rsidRPr="00974018">
        <w:rPr>
          <w:rFonts w:cs="Tahoma"/>
          <w:b/>
          <w:bCs/>
          <w:szCs w:val="22"/>
        </w:rPr>
        <w:t>INFOEM/IP/RR</w:t>
      </w:r>
      <w:r w:rsidR="00205079" w:rsidRPr="00974018">
        <w:rPr>
          <w:rFonts w:cs="Tahoma"/>
          <w:b/>
          <w:bCs/>
          <w:szCs w:val="22"/>
        </w:rPr>
        <w:t>/2025</w:t>
      </w:r>
      <w:r w:rsidR="00953430" w:rsidRPr="00974018">
        <w:rPr>
          <w:rFonts w:cs="Tahoma"/>
          <w:szCs w:val="22"/>
        </w:rPr>
        <w:t xml:space="preserve"> y en el cual manifiesta lo siguiente</w:t>
      </w:r>
      <w:r w:rsidRPr="00974018">
        <w:rPr>
          <w:rFonts w:cs="Tahoma"/>
          <w:szCs w:val="22"/>
        </w:rPr>
        <w:t>:</w:t>
      </w:r>
    </w:p>
    <w:p w14:paraId="74B30008" w14:textId="77777777" w:rsidR="00664420" w:rsidRPr="00974018" w:rsidRDefault="00664420" w:rsidP="00974018">
      <w:pPr>
        <w:tabs>
          <w:tab w:val="left" w:pos="4667"/>
        </w:tabs>
        <w:ind w:right="539"/>
        <w:rPr>
          <w:rFonts w:cs="Tahoma"/>
          <w:szCs w:val="22"/>
        </w:rPr>
      </w:pPr>
    </w:p>
    <w:p w14:paraId="12153283" w14:textId="77777777" w:rsidR="00664420" w:rsidRPr="00974018" w:rsidRDefault="00664420" w:rsidP="00974018">
      <w:pPr>
        <w:tabs>
          <w:tab w:val="left" w:pos="4667"/>
        </w:tabs>
        <w:ind w:left="567" w:right="539"/>
        <w:rPr>
          <w:rFonts w:cs="Tahoma"/>
          <w:b/>
          <w:iCs/>
        </w:rPr>
      </w:pPr>
      <w:r w:rsidRPr="00974018">
        <w:rPr>
          <w:rFonts w:cs="Tahoma"/>
          <w:b/>
          <w:iCs/>
        </w:rPr>
        <w:t>ACTO IMPUGNADO</w:t>
      </w:r>
      <w:r w:rsidRPr="00974018">
        <w:rPr>
          <w:rFonts w:cs="Tahoma"/>
          <w:b/>
          <w:iCs/>
        </w:rPr>
        <w:tab/>
      </w:r>
    </w:p>
    <w:p w14:paraId="523F8BF4" w14:textId="69DD1F04" w:rsidR="00664420" w:rsidRPr="00974018" w:rsidRDefault="00205079" w:rsidP="00974018">
      <w:pPr>
        <w:tabs>
          <w:tab w:val="left" w:pos="4667"/>
        </w:tabs>
        <w:ind w:left="567" w:right="539"/>
        <w:rPr>
          <w:rFonts w:cs="Tahoma"/>
          <w:bCs/>
          <w:i/>
        </w:rPr>
      </w:pPr>
      <w:r w:rsidRPr="00974018">
        <w:rPr>
          <w:rFonts w:cs="Tahoma"/>
          <w:bCs/>
          <w:i/>
        </w:rPr>
        <w:t xml:space="preserve">Solicite información por medio de la solicitud 0076/METEPEC/IP/2025 Efectúe siete preguntas en relación a temas de medio ambiente y ninguna de ellas me fue contestada, me dicen que no pueden elaborar información particular para </w:t>
      </w:r>
      <w:proofErr w:type="spellStart"/>
      <w:r w:rsidRPr="00974018">
        <w:rPr>
          <w:rFonts w:cs="Tahoma"/>
          <w:bCs/>
          <w:i/>
        </w:rPr>
        <w:t>mi</w:t>
      </w:r>
      <w:proofErr w:type="spellEnd"/>
      <w:r w:rsidRPr="00974018">
        <w:rPr>
          <w:rFonts w:cs="Tahoma"/>
          <w:bCs/>
          <w:i/>
        </w:rPr>
        <w:t xml:space="preserve">, yo lo que solicito es que me brinden la información con lo que las dependencias involucradas cuenten, porque en varias entrevistas personales, con los funcionarios de las mismas me indicaron los proyectos que se tenían considerados, campañas y e </w:t>
      </w:r>
      <w:proofErr w:type="spellStart"/>
      <w:r w:rsidRPr="00974018">
        <w:rPr>
          <w:rFonts w:cs="Tahoma"/>
          <w:bCs/>
          <w:i/>
        </w:rPr>
        <w:t>iniciativas,por</w:t>
      </w:r>
      <w:proofErr w:type="spellEnd"/>
      <w:r w:rsidRPr="00974018">
        <w:rPr>
          <w:rFonts w:cs="Tahoma"/>
          <w:bCs/>
          <w:i/>
        </w:rPr>
        <w:t xml:space="preserve"> otro lado me avisaron que el Programa de ordenamiento ecológico estaba muy avanzado</w:t>
      </w:r>
      <w:r w:rsidR="00664420" w:rsidRPr="00974018">
        <w:rPr>
          <w:rFonts w:cs="Tahoma"/>
          <w:bCs/>
          <w:i/>
        </w:rPr>
        <w:t>.</w:t>
      </w:r>
    </w:p>
    <w:p w14:paraId="6AE8EA9A" w14:textId="77777777" w:rsidR="00664420" w:rsidRPr="00974018" w:rsidRDefault="00664420" w:rsidP="00974018">
      <w:pPr>
        <w:tabs>
          <w:tab w:val="left" w:pos="4667"/>
        </w:tabs>
        <w:ind w:left="567" w:right="539"/>
        <w:rPr>
          <w:rFonts w:cs="Tahoma"/>
          <w:bCs/>
          <w:i/>
        </w:rPr>
      </w:pPr>
    </w:p>
    <w:p w14:paraId="047D036B" w14:textId="77777777" w:rsidR="00664420" w:rsidRPr="00974018" w:rsidRDefault="00664420" w:rsidP="00974018">
      <w:pPr>
        <w:tabs>
          <w:tab w:val="left" w:pos="4667"/>
        </w:tabs>
        <w:ind w:left="567" w:right="539"/>
        <w:rPr>
          <w:rFonts w:cs="Tahoma"/>
          <w:b/>
          <w:iCs/>
        </w:rPr>
      </w:pPr>
      <w:r w:rsidRPr="00974018">
        <w:rPr>
          <w:rFonts w:cs="Tahoma"/>
          <w:b/>
          <w:iCs/>
        </w:rPr>
        <w:t>RAZONES O MOTIVOS DE LA INCONFORMIDAD</w:t>
      </w:r>
      <w:r w:rsidRPr="00974018">
        <w:rPr>
          <w:rFonts w:cs="Tahoma"/>
          <w:b/>
          <w:iCs/>
        </w:rPr>
        <w:tab/>
      </w:r>
    </w:p>
    <w:p w14:paraId="1DAE2563" w14:textId="7C35547D" w:rsidR="00953430" w:rsidRPr="00974018" w:rsidRDefault="00A93549" w:rsidP="00974018">
      <w:pPr>
        <w:tabs>
          <w:tab w:val="left" w:pos="4667"/>
        </w:tabs>
        <w:ind w:left="567" w:right="539"/>
        <w:rPr>
          <w:rFonts w:cs="Tahoma"/>
          <w:bCs/>
          <w:i/>
        </w:rPr>
      </w:pPr>
      <w:r w:rsidRPr="00974018">
        <w:rPr>
          <w:rFonts w:cs="Tahoma"/>
          <w:bCs/>
          <w:i/>
        </w:rPr>
        <w:t xml:space="preserve">Me dicen que no hay obligación, de informar dice la </w:t>
      </w:r>
      <w:proofErr w:type="gramStart"/>
      <w:r w:rsidRPr="00974018">
        <w:rPr>
          <w:rFonts w:cs="Tahoma"/>
          <w:bCs/>
          <w:i/>
        </w:rPr>
        <w:t>autoridad ,porque</w:t>
      </w:r>
      <w:proofErr w:type="gramEnd"/>
      <w:r w:rsidRPr="00974018">
        <w:rPr>
          <w:rFonts w:cs="Tahoma"/>
          <w:bCs/>
          <w:i/>
        </w:rPr>
        <w:t xml:space="preserve"> aparentemente ellos interpretan que estoy solicitando un pronunciamiento particular, en todas mis preguntas y que por lo tanto no me pueden elaborar ningún documento ad hoc</w:t>
      </w:r>
      <w:r w:rsidR="00953430" w:rsidRPr="00974018">
        <w:rPr>
          <w:rFonts w:cs="Tahoma"/>
          <w:bCs/>
          <w:i/>
        </w:rPr>
        <w:t>.</w:t>
      </w:r>
    </w:p>
    <w:p w14:paraId="48FE75EA" w14:textId="77777777" w:rsidR="00664420" w:rsidRPr="00974018" w:rsidRDefault="00664420" w:rsidP="00974018">
      <w:pPr>
        <w:tabs>
          <w:tab w:val="left" w:pos="4667"/>
        </w:tabs>
        <w:ind w:right="567"/>
        <w:rPr>
          <w:rFonts w:cs="Tahoma"/>
          <w:b/>
          <w:bCs/>
        </w:rPr>
      </w:pPr>
    </w:p>
    <w:p w14:paraId="6804DEF1" w14:textId="3C4F6CB5" w:rsidR="00664420" w:rsidRPr="00974018" w:rsidRDefault="006E25BC" w:rsidP="00974018">
      <w:pPr>
        <w:pStyle w:val="Ttulo3"/>
      </w:pPr>
      <w:bookmarkStart w:id="10" w:name="_Toc197542645"/>
      <w:r w:rsidRPr="00974018">
        <w:t>b</w:t>
      </w:r>
      <w:r w:rsidR="00664420" w:rsidRPr="00974018">
        <w:t>) Turno del Recurso de Revisión</w:t>
      </w:r>
      <w:bookmarkEnd w:id="10"/>
    </w:p>
    <w:p w14:paraId="1173671B" w14:textId="3CBF2227" w:rsidR="00C72DAA" w:rsidRPr="00974018" w:rsidRDefault="00C72DAA" w:rsidP="00974018">
      <w:r w:rsidRPr="00974018">
        <w:t>Con fundamento en el artículo 185, fracción I de la Ley de Transparencia y Acceso a la Información Pública del Estado de México y Municipios, el</w:t>
      </w:r>
      <w:r w:rsidRPr="00974018">
        <w:rPr>
          <w:b/>
          <w:bCs/>
        </w:rPr>
        <w:t xml:space="preserve"> </w:t>
      </w:r>
      <w:r w:rsidR="00967F93" w:rsidRPr="00974018">
        <w:rPr>
          <w:rFonts w:eastAsia="Palatino Linotype" w:cs="Palatino Linotype"/>
          <w:b/>
        </w:rPr>
        <w:t xml:space="preserve">dieciocho de marzo de dos mil veinticinco </w:t>
      </w:r>
      <w:r w:rsidRPr="00974018">
        <w:t>se turnó el recurso de revisión a través del</w:t>
      </w:r>
      <w:r w:rsidRPr="00974018">
        <w:rPr>
          <w:rFonts w:eastAsia="Arial Unicode MS"/>
        </w:rPr>
        <w:t xml:space="preserve"> </w:t>
      </w:r>
      <w:r w:rsidRPr="00974018">
        <w:rPr>
          <w:rFonts w:eastAsia="Arial Unicode MS"/>
          <w:bCs/>
        </w:rPr>
        <w:t>SAIMEX</w:t>
      </w:r>
      <w:r w:rsidRPr="00974018">
        <w:t xml:space="preserve"> a la </w:t>
      </w:r>
      <w:r w:rsidRPr="00974018">
        <w:rPr>
          <w:b/>
        </w:rPr>
        <w:t>Comisionada Sharon Cristina Morales Martínez</w:t>
      </w:r>
      <w:r w:rsidRPr="00974018">
        <w:rPr>
          <w:bCs/>
        </w:rPr>
        <w:t xml:space="preserve">, </w:t>
      </w:r>
      <w:r w:rsidRPr="00974018">
        <w:t xml:space="preserve">a efecto de decretar su admisión o </w:t>
      </w:r>
      <w:proofErr w:type="spellStart"/>
      <w:r w:rsidRPr="00974018">
        <w:t>desechamiento</w:t>
      </w:r>
      <w:proofErr w:type="spellEnd"/>
      <w:r w:rsidRPr="00974018">
        <w:t xml:space="preserve">. </w:t>
      </w:r>
    </w:p>
    <w:p w14:paraId="18F305CB" w14:textId="77777777" w:rsidR="00664420" w:rsidRPr="00974018" w:rsidRDefault="00664420" w:rsidP="00974018">
      <w:pPr>
        <w:rPr>
          <w:rFonts w:eastAsia="Batang" w:cs="Tahoma"/>
          <w:bCs/>
          <w:szCs w:val="22"/>
        </w:rPr>
      </w:pPr>
    </w:p>
    <w:p w14:paraId="3E31EC2D" w14:textId="295256A1" w:rsidR="00664420" w:rsidRPr="00974018" w:rsidRDefault="006E25BC" w:rsidP="00974018">
      <w:pPr>
        <w:pStyle w:val="Ttulo3"/>
      </w:pPr>
      <w:bookmarkStart w:id="11" w:name="_Toc197542646"/>
      <w:r w:rsidRPr="00974018">
        <w:t>c</w:t>
      </w:r>
      <w:r w:rsidR="00664420" w:rsidRPr="00974018">
        <w:t>) Admisión del Recurso de Revisión</w:t>
      </w:r>
      <w:bookmarkEnd w:id="11"/>
    </w:p>
    <w:p w14:paraId="240447D5" w14:textId="02A1F0F3" w:rsidR="000E09C4" w:rsidRPr="00974018" w:rsidRDefault="000E09C4" w:rsidP="00974018">
      <w:pPr>
        <w:rPr>
          <w:rFonts w:cs="Arial"/>
        </w:rPr>
      </w:pPr>
      <w:r w:rsidRPr="00974018">
        <w:rPr>
          <w:rFonts w:cs="Arial"/>
        </w:rPr>
        <w:t xml:space="preserve">El </w:t>
      </w:r>
      <w:r w:rsidR="00E82F19" w:rsidRPr="00974018">
        <w:rPr>
          <w:rFonts w:eastAsia="Palatino Linotype" w:cs="Palatino Linotype"/>
          <w:b/>
        </w:rPr>
        <w:t>veintiuno</w:t>
      </w:r>
      <w:r w:rsidR="00967F93" w:rsidRPr="00974018">
        <w:rPr>
          <w:rFonts w:eastAsia="Palatino Linotype" w:cs="Palatino Linotype"/>
          <w:b/>
        </w:rPr>
        <w:t xml:space="preserve"> de marzo de dos mil veinticinco </w:t>
      </w:r>
      <w:r w:rsidRPr="00974018">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974018">
        <w:rPr>
          <w:rFonts w:cs="Arial"/>
        </w:rPr>
        <w:lastRenderedPageBreak/>
        <w:t>conforme a lo dispuesto por el artículo 185</w:t>
      </w:r>
      <w:r w:rsidR="00865CF4" w:rsidRPr="00974018">
        <w:rPr>
          <w:rFonts w:cs="Arial"/>
        </w:rPr>
        <w:t>, fracción II</w:t>
      </w:r>
      <w:r w:rsidRPr="00974018">
        <w:rPr>
          <w:rFonts w:cs="Arial"/>
        </w:rPr>
        <w:t xml:space="preserve"> de la Ley de Transparencia y Acceso a la Información Pública del Estado de México y Municipios.</w:t>
      </w:r>
    </w:p>
    <w:p w14:paraId="34EC3F86" w14:textId="77777777" w:rsidR="00D2790D" w:rsidRPr="00974018" w:rsidRDefault="00D2790D" w:rsidP="00974018">
      <w:pPr>
        <w:rPr>
          <w:rFonts w:cs="Arial"/>
        </w:rPr>
      </w:pPr>
    </w:p>
    <w:p w14:paraId="3B820F58" w14:textId="4C578406" w:rsidR="00865CF4" w:rsidRPr="00974018" w:rsidRDefault="006E25BC" w:rsidP="00974018">
      <w:pPr>
        <w:pStyle w:val="Ttulo3"/>
      </w:pPr>
      <w:bookmarkStart w:id="12" w:name="_Toc197542647"/>
      <w:r w:rsidRPr="00974018">
        <w:t>d</w:t>
      </w:r>
      <w:r w:rsidR="00D2790D" w:rsidRPr="00974018">
        <w:t xml:space="preserve">) </w:t>
      </w:r>
      <w:r w:rsidR="00865CF4" w:rsidRPr="00974018">
        <w:t>Informe Justificado del Sujeto Obligado</w:t>
      </w:r>
      <w:bookmarkEnd w:id="12"/>
    </w:p>
    <w:p w14:paraId="14A706BE" w14:textId="7F83697A" w:rsidR="00865CF4" w:rsidRPr="00974018" w:rsidRDefault="00865CF4" w:rsidP="00974018">
      <w:pPr>
        <w:rPr>
          <w:rFonts w:eastAsia="Arial Unicode MS" w:cs="Arial"/>
        </w:rPr>
      </w:pPr>
      <w:r w:rsidRPr="00974018">
        <w:rPr>
          <w:rFonts w:cs="Tahoma"/>
          <w:b/>
          <w:szCs w:val="24"/>
        </w:rPr>
        <w:t xml:space="preserve">EL SUJETO OBLIGADO </w:t>
      </w:r>
      <w:r w:rsidRPr="00974018">
        <w:rPr>
          <w:rFonts w:eastAsia="Arial Unicode MS" w:cs="Arial"/>
        </w:rPr>
        <w:t>rindió su informe justificado dentro del término legal</w:t>
      </w:r>
      <w:r w:rsidR="00E82F19" w:rsidRPr="00974018">
        <w:rPr>
          <w:rFonts w:eastAsia="Arial Unicode MS" w:cs="Arial"/>
        </w:rPr>
        <w:t>mente concedido para tal efecto mediante los archivos que se describen a continuación:</w:t>
      </w:r>
    </w:p>
    <w:p w14:paraId="6F725EC2" w14:textId="77777777" w:rsidR="00E82F19" w:rsidRPr="00974018" w:rsidRDefault="00E82F19" w:rsidP="00974018">
      <w:pPr>
        <w:rPr>
          <w:rFonts w:eastAsia="Arial Unicode MS" w:cs="Arial"/>
        </w:rPr>
      </w:pPr>
    </w:p>
    <w:p w14:paraId="05A9F1B4" w14:textId="65ED3532" w:rsidR="00E82F19" w:rsidRPr="00974018" w:rsidRDefault="00E82F19" w:rsidP="00974018">
      <w:pPr>
        <w:rPr>
          <w:rFonts w:eastAsia="Arial Unicode MS" w:cs="Arial"/>
          <w:i/>
        </w:rPr>
      </w:pPr>
      <w:r w:rsidRPr="00974018">
        <w:rPr>
          <w:rFonts w:eastAsia="Arial Unicode MS" w:cs="Arial"/>
        </w:rPr>
        <w:t xml:space="preserve">RR 3142 SOLIC 76 SERVICIOS PUBLICOS MANIFESTACIONES.pdf Informe justificado emitid por el Director de Servicios Públicos mediante el cual ratifica su respuesta inicial </w:t>
      </w:r>
      <w:r w:rsidR="005D32EA" w:rsidRPr="00974018">
        <w:rPr>
          <w:rFonts w:eastAsia="Arial Unicode MS" w:cs="Arial"/>
        </w:rPr>
        <w:t xml:space="preserve">y manifiesta lo siguiente </w:t>
      </w:r>
      <w:r w:rsidR="005D32EA" w:rsidRPr="00974018">
        <w:rPr>
          <w:rFonts w:eastAsia="Arial Unicode MS" w:cs="Arial"/>
          <w:i/>
        </w:rPr>
        <w:t>“se hace de su conocimiento que previa búsqueda exhaustiva y minuciosa en los archivos documentales que obran en las diferentes áreas de esta Dirección a mi cargo, y en los documentos digitales públicos, con el propósito de ubicar la información precisada … se informa que a la fecha de la solicitud, no se encuentran documentos que informen los requerimientos deseados…”</w:t>
      </w:r>
    </w:p>
    <w:p w14:paraId="2A7F9AB7" w14:textId="77777777" w:rsidR="00E82F19" w:rsidRPr="00974018" w:rsidRDefault="00E82F19" w:rsidP="00974018">
      <w:pPr>
        <w:rPr>
          <w:rFonts w:eastAsia="Arial Unicode MS" w:cs="Arial"/>
        </w:rPr>
      </w:pPr>
    </w:p>
    <w:p w14:paraId="7C5F189F" w14:textId="18A80AD7" w:rsidR="00E82F19" w:rsidRPr="00974018" w:rsidRDefault="00E82F19" w:rsidP="00974018">
      <w:pPr>
        <w:rPr>
          <w:rFonts w:eastAsia="Arial Unicode MS" w:cs="Arial"/>
        </w:rPr>
      </w:pPr>
      <w:r w:rsidRPr="00974018">
        <w:rPr>
          <w:rFonts w:eastAsia="Arial Unicode MS" w:cs="Arial"/>
        </w:rPr>
        <w:t>00076-SERVICIOS PÚBLICOS.pdf Documento que tiene el turno mediante el cual el Titular de la Unidad de Transparencia le hace del conocimiento al Director de Servicios Públicos respecto a la interposición del presente recurso.</w:t>
      </w:r>
    </w:p>
    <w:p w14:paraId="11AA38FB" w14:textId="77777777" w:rsidR="00E82F19" w:rsidRPr="00974018" w:rsidRDefault="00E82F19" w:rsidP="00974018">
      <w:pPr>
        <w:rPr>
          <w:rFonts w:eastAsia="Arial Unicode MS" w:cs="Arial"/>
        </w:rPr>
      </w:pPr>
    </w:p>
    <w:p w14:paraId="4A58BC71" w14:textId="195A9B13" w:rsidR="00E82F19" w:rsidRPr="00974018" w:rsidRDefault="005D32EA" w:rsidP="00974018">
      <w:pPr>
        <w:rPr>
          <w:rFonts w:eastAsia="Arial Unicode MS" w:cs="Arial"/>
        </w:rPr>
      </w:pPr>
      <w:r w:rsidRPr="00974018">
        <w:rPr>
          <w:rFonts w:eastAsia="Arial Unicode MS" w:cs="Arial"/>
        </w:rPr>
        <w:t>00076-MEDIO AMBIENTE.pdf Documento que tiene el turno mediante el cual el Titular de la Unidad de Transparencia le hace del conocimiento a la Directora de Medio Ambiente respecto a la interposición del presente recurso.</w:t>
      </w:r>
    </w:p>
    <w:p w14:paraId="331E4740" w14:textId="77777777" w:rsidR="005D32EA" w:rsidRPr="00974018" w:rsidRDefault="005D32EA" w:rsidP="00974018">
      <w:pPr>
        <w:rPr>
          <w:rFonts w:eastAsia="Arial Unicode MS" w:cs="Arial"/>
        </w:rPr>
      </w:pPr>
    </w:p>
    <w:p w14:paraId="27416547" w14:textId="3077A830" w:rsidR="005D32EA" w:rsidRPr="00974018" w:rsidRDefault="005D32EA" w:rsidP="00974018">
      <w:pPr>
        <w:rPr>
          <w:rFonts w:eastAsia="Arial Unicode MS" w:cs="Arial"/>
        </w:rPr>
      </w:pPr>
      <w:r w:rsidRPr="00974018">
        <w:rPr>
          <w:rFonts w:eastAsia="Arial Unicode MS" w:cs="Arial"/>
        </w:rPr>
        <w:t>03142-RR-0076-MEDIO AMBIENTE.PDF Informe justificado emitid por Directora de Medio Ambiente mediante el cual ratifica su respuesta inicial confirmando que lo solicitado corresponde a un derecho de petición.</w:t>
      </w:r>
    </w:p>
    <w:p w14:paraId="2BA043BC" w14:textId="1C20364B" w:rsidR="005D32EA" w:rsidRPr="00974018" w:rsidRDefault="005D32EA" w:rsidP="00974018">
      <w:pPr>
        <w:rPr>
          <w:rFonts w:eastAsia="Arial Unicode MS" w:cs="Arial"/>
        </w:rPr>
      </w:pPr>
    </w:p>
    <w:p w14:paraId="49420AED" w14:textId="77777777" w:rsidR="00E82F19" w:rsidRPr="00974018" w:rsidRDefault="00E82F19" w:rsidP="00974018">
      <w:pPr>
        <w:rPr>
          <w:rFonts w:eastAsia="Arial Unicode MS" w:cs="Arial"/>
        </w:rPr>
      </w:pPr>
    </w:p>
    <w:p w14:paraId="66BA6FC7" w14:textId="77777777" w:rsidR="00865CF4" w:rsidRPr="00974018" w:rsidRDefault="00865CF4" w:rsidP="00974018">
      <w:pPr>
        <w:rPr>
          <w:rFonts w:cs="Tahoma"/>
          <w:bCs/>
          <w:szCs w:val="24"/>
        </w:rPr>
      </w:pPr>
    </w:p>
    <w:p w14:paraId="755B7730" w14:textId="19C7EE54" w:rsidR="00664420" w:rsidRPr="00974018" w:rsidRDefault="006E25BC" w:rsidP="00974018">
      <w:pPr>
        <w:pStyle w:val="Ttulo3"/>
        <w:rPr>
          <w:lang w:val="es-ES"/>
        </w:rPr>
      </w:pPr>
      <w:bookmarkStart w:id="13" w:name="_Toc197542648"/>
      <w:r w:rsidRPr="00974018">
        <w:rPr>
          <w:rFonts w:eastAsia="Calibri"/>
          <w:bCs/>
          <w:lang w:eastAsia="en-US"/>
        </w:rPr>
        <w:t>f</w:t>
      </w:r>
      <w:r w:rsidR="00664420" w:rsidRPr="00974018">
        <w:rPr>
          <w:rFonts w:eastAsia="Calibri"/>
          <w:bCs/>
          <w:lang w:eastAsia="en-US"/>
        </w:rPr>
        <w:t>)</w:t>
      </w:r>
      <w:r w:rsidR="00664420" w:rsidRPr="00974018">
        <w:t xml:space="preserve"> </w:t>
      </w:r>
      <w:r w:rsidR="00865CF4" w:rsidRPr="00974018">
        <w:rPr>
          <w:lang w:val="es-ES"/>
        </w:rPr>
        <w:t>Manifestaciones de la Parte Recurrente</w:t>
      </w:r>
      <w:bookmarkEnd w:id="13"/>
    </w:p>
    <w:p w14:paraId="4E8AF011" w14:textId="77777777" w:rsidR="00865CF4" w:rsidRPr="00974018" w:rsidRDefault="00865CF4" w:rsidP="00974018">
      <w:pPr>
        <w:rPr>
          <w:rFonts w:eastAsia="Arial Unicode MS" w:cs="Arial"/>
        </w:rPr>
      </w:pPr>
      <w:r w:rsidRPr="00974018">
        <w:rPr>
          <w:rFonts w:cs="Tahoma"/>
          <w:b/>
          <w:szCs w:val="24"/>
        </w:rPr>
        <w:t xml:space="preserve">LA PARTE RECURRENTE </w:t>
      </w:r>
      <w:r w:rsidRPr="00974018">
        <w:rPr>
          <w:rFonts w:eastAsia="Arial Unicode MS" w:cs="Arial"/>
        </w:rPr>
        <w:t>no realizó manifestación alguna dentro del término legalmente concedido para tal efecto, ni presentó pruebas o alegatos.</w:t>
      </w:r>
    </w:p>
    <w:p w14:paraId="43289D82" w14:textId="77777777" w:rsidR="00865CF4" w:rsidRPr="00974018" w:rsidRDefault="00865CF4" w:rsidP="00974018">
      <w:pPr>
        <w:rPr>
          <w:rFonts w:eastAsia="Arial Unicode MS" w:cs="Arial"/>
        </w:rPr>
      </w:pPr>
    </w:p>
    <w:p w14:paraId="24F87764" w14:textId="77777777" w:rsidR="00664420" w:rsidRPr="00974018" w:rsidRDefault="00664420" w:rsidP="00974018">
      <w:pPr>
        <w:rPr>
          <w:rFonts w:cs="Tahoma"/>
          <w:bCs/>
          <w:szCs w:val="24"/>
        </w:rPr>
      </w:pPr>
    </w:p>
    <w:p w14:paraId="0E651988" w14:textId="588F8906" w:rsidR="00664420" w:rsidRPr="00974018" w:rsidRDefault="006E25BC" w:rsidP="00974018">
      <w:pPr>
        <w:pStyle w:val="Ttulo3"/>
      </w:pPr>
      <w:bookmarkStart w:id="14" w:name="_Toc197542649"/>
      <w:r w:rsidRPr="00974018">
        <w:rPr>
          <w:rFonts w:eastAsia="Calibri"/>
        </w:rPr>
        <w:t>g</w:t>
      </w:r>
      <w:r w:rsidR="00664420" w:rsidRPr="00974018">
        <w:rPr>
          <w:rFonts w:eastAsia="Calibri"/>
        </w:rPr>
        <w:t xml:space="preserve">) </w:t>
      </w:r>
      <w:r w:rsidR="00664420" w:rsidRPr="00974018">
        <w:t>Cierre de instrucción</w:t>
      </w:r>
      <w:bookmarkEnd w:id="14"/>
    </w:p>
    <w:p w14:paraId="79AF95DC" w14:textId="073C3596" w:rsidR="00664420" w:rsidRPr="00974018" w:rsidRDefault="00BF091A" w:rsidP="00974018">
      <w:r w:rsidRPr="00974018">
        <w:rPr>
          <w:rFonts w:cs="Tahoma"/>
          <w:szCs w:val="22"/>
        </w:rPr>
        <w:t>Al no existir diligencias pendientes por desahogar</w:t>
      </w:r>
      <w:r w:rsidRPr="00974018">
        <w:rPr>
          <w:rFonts w:cs="Arial"/>
        </w:rPr>
        <w:t xml:space="preserve">, el </w:t>
      </w:r>
      <w:bookmarkStart w:id="15" w:name="_Hlk104892386"/>
      <w:r w:rsidR="00D32CFD" w:rsidRPr="00974018">
        <w:rPr>
          <w:rFonts w:cs="Arial"/>
          <w:b/>
        </w:rPr>
        <w:t>siete</w:t>
      </w:r>
      <w:r w:rsidRPr="00974018">
        <w:rPr>
          <w:rFonts w:cs="Arial"/>
          <w:b/>
        </w:rPr>
        <w:t xml:space="preserve"> de </w:t>
      </w:r>
      <w:bookmarkEnd w:id="15"/>
      <w:r w:rsidR="00D32CFD" w:rsidRPr="00974018">
        <w:rPr>
          <w:rFonts w:cs="Arial"/>
          <w:b/>
        </w:rPr>
        <w:t xml:space="preserve">mayo </w:t>
      </w:r>
      <w:r w:rsidRPr="00974018">
        <w:rPr>
          <w:rFonts w:cs="Arial"/>
          <w:b/>
        </w:rPr>
        <w:t xml:space="preserve">de dos mil </w:t>
      </w:r>
      <w:r w:rsidR="00FE368B" w:rsidRPr="00974018">
        <w:rPr>
          <w:rFonts w:cs="Arial"/>
          <w:b/>
        </w:rPr>
        <w:t xml:space="preserve">veinticinco </w:t>
      </w:r>
      <w:r w:rsidRPr="00974018">
        <w:rPr>
          <w:rFonts w:cs="Arial"/>
        </w:rPr>
        <w:t xml:space="preserve">la </w:t>
      </w:r>
      <w:r w:rsidRPr="00974018">
        <w:rPr>
          <w:rFonts w:cs="Arial"/>
          <w:b/>
          <w:bCs/>
        </w:rPr>
        <w:t xml:space="preserve">Comisionada </w:t>
      </w:r>
      <w:r w:rsidRPr="00974018">
        <w:rPr>
          <w:b/>
        </w:rPr>
        <w:t xml:space="preserve">Sharon Cristina Morales Martínez </w:t>
      </w:r>
      <w:r w:rsidRPr="00974018">
        <w:rPr>
          <w:rFonts w:cs="Arial"/>
        </w:rPr>
        <w:t>acordó el cierre de instrucción</w:t>
      </w:r>
      <w:r w:rsidR="0011350D" w:rsidRPr="00974018">
        <w:rPr>
          <w:rFonts w:cs="Arial"/>
        </w:rPr>
        <w:t xml:space="preserve"> y</w:t>
      </w:r>
      <w:r w:rsidRPr="00974018">
        <w:rPr>
          <w:rFonts w:cs="Arial"/>
        </w:rPr>
        <w:t xml:space="preserve"> </w:t>
      </w:r>
      <w:r w:rsidR="0011350D" w:rsidRPr="00974018">
        <w:rPr>
          <w:rFonts w:cs="Arial"/>
        </w:rPr>
        <w:t xml:space="preserve">la </w:t>
      </w:r>
      <w:r w:rsidRPr="00974018">
        <w:rPr>
          <w:rFonts w:cs="Arial"/>
        </w:rPr>
        <w:t>remisión del expediente a efecto de ser resuelto, de conformidad con lo establecido en el artículo 185 fracciones VI y VIII de la Ley de Transparencia y Acceso a la Información Pública del Estado de México y Municipios</w:t>
      </w:r>
      <w:r w:rsidRPr="00974018">
        <w:t>.</w:t>
      </w:r>
      <w:r w:rsidR="0011350D" w:rsidRPr="00974018">
        <w:t xml:space="preserve"> Dicho acuerdo </w:t>
      </w:r>
      <w:r w:rsidR="00664420" w:rsidRPr="00974018">
        <w:rPr>
          <w:rFonts w:cs="Tahoma"/>
          <w:szCs w:val="22"/>
        </w:rPr>
        <w:t xml:space="preserve">fue notificado a las partes el mismo día a través del </w:t>
      </w:r>
      <w:r w:rsidR="00664420" w:rsidRPr="00974018">
        <w:rPr>
          <w:rFonts w:cs="Tahoma"/>
          <w:szCs w:val="22"/>
          <w:lang w:val="es-ES"/>
        </w:rPr>
        <w:t>SAIMEX</w:t>
      </w:r>
      <w:r w:rsidR="00664420" w:rsidRPr="00974018">
        <w:rPr>
          <w:rFonts w:cs="Tahoma"/>
          <w:szCs w:val="22"/>
        </w:rPr>
        <w:t>.</w:t>
      </w:r>
    </w:p>
    <w:p w14:paraId="741683E3" w14:textId="77777777" w:rsidR="0011350D" w:rsidRPr="00974018" w:rsidRDefault="0011350D" w:rsidP="00974018">
      <w:pPr>
        <w:rPr>
          <w:rFonts w:cs="Tahoma"/>
          <w:szCs w:val="22"/>
        </w:rPr>
      </w:pPr>
    </w:p>
    <w:p w14:paraId="7A9629DE" w14:textId="77777777" w:rsidR="00664420" w:rsidRPr="00974018" w:rsidRDefault="00664420" w:rsidP="00974018">
      <w:pPr>
        <w:pStyle w:val="Ttulo1"/>
        <w:rPr>
          <w:rFonts w:eastAsiaTheme="minorHAnsi"/>
          <w:lang w:eastAsia="en-US"/>
        </w:rPr>
      </w:pPr>
      <w:bookmarkStart w:id="16" w:name="_Toc197542650"/>
      <w:r w:rsidRPr="00974018">
        <w:rPr>
          <w:rFonts w:eastAsiaTheme="minorHAnsi"/>
          <w:lang w:eastAsia="en-US"/>
        </w:rPr>
        <w:t>CONSIDERANDOS</w:t>
      </w:r>
      <w:bookmarkEnd w:id="16"/>
    </w:p>
    <w:p w14:paraId="6DD1243B" w14:textId="77777777" w:rsidR="00664420" w:rsidRPr="00974018" w:rsidRDefault="00664420" w:rsidP="00974018">
      <w:pPr>
        <w:contextualSpacing/>
        <w:jc w:val="center"/>
        <w:rPr>
          <w:rFonts w:eastAsiaTheme="minorHAnsi" w:cs="Tahoma"/>
          <w:b/>
          <w:szCs w:val="22"/>
          <w:lang w:eastAsia="en-US"/>
        </w:rPr>
      </w:pPr>
    </w:p>
    <w:p w14:paraId="0B67CB92" w14:textId="2E307D3B" w:rsidR="00664420" w:rsidRPr="00974018" w:rsidRDefault="00664420" w:rsidP="00974018">
      <w:pPr>
        <w:pStyle w:val="Ttulo2"/>
        <w:rPr>
          <w:rFonts w:eastAsia="Batang"/>
        </w:rPr>
      </w:pPr>
      <w:bookmarkStart w:id="17" w:name="_Toc197542651"/>
      <w:r w:rsidRPr="00974018">
        <w:rPr>
          <w:rFonts w:eastAsia="Batang"/>
        </w:rPr>
        <w:t xml:space="preserve">PRIMERO. </w:t>
      </w:r>
      <w:proofErr w:type="spellStart"/>
      <w:r w:rsidR="00BA55A8" w:rsidRPr="00974018">
        <w:rPr>
          <w:rFonts w:eastAsia="Batang"/>
        </w:rPr>
        <w:t>Procedibilidad</w:t>
      </w:r>
      <w:bookmarkEnd w:id="17"/>
      <w:proofErr w:type="spellEnd"/>
    </w:p>
    <w:p w14:paraId="39C52BC1" w14:textId="56FCC20D" w:rsidR="00BA55A8" w:rsidRPr="00974018" w:rsidRDefault="00BA55A8" w:rsidP="00974018">
      <w:pPr>
        <w:pStyle w:val="Ttulo3"/>
      </w:pPr>
      <w:bookmarkStart w:id="18" w:name="_Toc197542652"/>
      <w:r w:rsidRPr="00974018">
        <w:t>a) Competencia</w:t>
      </w:r>
      <w:r w:rsidR="00150C49" w:rsidRPr="00974018">
        <w:t xml:space="preserve"> del Instituto</w:t>
      </w:r>
      <w:bookmarkEnd w:id="18"/>
    </w:p>
    <w:p w14:paraId="56E64942" w14:textId="0A14A870" w:rsidR="0011350D" w:rsidRPr="00974018" w:rsidRDefault="0011350D" w:rsidP="00974018">
      <w:pPr>
        <w:rPr>
          <w:rFonts w:cs="Arial"/>
        </w:rPr>
      </w:pPr>
      <w:r w:rsidRPr="00974018">
        <w:t xml:space="preserve">Este Instituto de Transparencia, Acceso a la Información Pública y Protección de Datos Personales del Estado de México y Municipios es competente para conocer y resolver </w:t>
      </w:r>
      <w:r w:rsidR="005F65B7" w:rsidRPr="00974018">
        <w:t xml:space="preserve">el </w:t>
      </w:r>
      <w:r w:rsidRPr="00974018">
        <w:t xml:space="preserve">presente Recurso de Revisión, conforme a lo dispuesto en los artículos 6, Apartado A de la Constitución Política de los Estados Unidos Mexicanos; 5, </w:t>
      </w:r>
      <w:r w:rsidR="008D18C3" w:rsidRPr="00974018">
        <w:t>párrafos trigésimo séptimo, trigésimo octavo y trigésimo noveno, fracciones IV y V de la Constitución Política del Estado Libre y Soberano de México</w:t>
      </w:r>
      <w:r w:rsidRPr="00974018">
        <w:t xml:space="preserve">; ordinal 2, fracción II, 13, 29, 36, fracciones I y II, 176, 178, 179, 181 </w:t>
      </w:r>
      <w:r w:rsidRPr="00974018">
        <w:lastRenderedPageBreak/>
        <w:t>párrafo tercero y 185 de la Ley de Transparencia y Acceso a la Información Pública del Estado de México y Municipios</w:t>
      </w:r>
      <w:r w:rsidRPr="0097401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74018" w:rsidRDefault="00DB1C09" w:rsidP="00974018">
      <w:pPr>
        <w:rPr>
          <w:rFonts w:cs="Arial"/>
        </w:rPr>
      </w:pPr>
    </w:p>
    <w:p w14:paraId="517A2DD6" w14:textId="4169BE4D" w:rsidR="00664420" w:rsidRPr="00974018" w:rsidRDefault="00BA55A8" w:rsidP="00974018">
      <w:pPr>
        <w:pStyle w:val="Ttulo3"/>
      </w:pPr>
      <w:bookmarkStart w:id="19" w:name="_Toc197542653"/>
      <w:r w:rsidRPr="00974018">
        <w:t>b)</w:t>
      </w:r>
      <w:r w:rsidR="00664420" w:rsidRPr="00974018">
        <w:t xml:space="preserve"> </w:t>
      </w:r>
      <w:r w:rsidR="00D91CB4" w:rsidRPr="00974018">
        <w:t>Legitimidad</w:t>
      </w:r>
      <w:r w:rsidRPr="00974018">
        <w:t xml:space="preserve"> de la parte recurrente</w:t>
      </w:r>
      <w:bookmarkEnd w:id="19"/>
    </w:p>
    <w:p w14:paraId="26FEA382" w14:textId="0B06695C" w:rsidR="00D91CB4" w:rsidRPr="00974018" w:rsidRDefault="00D91CB4" w:rsidP="00974018">
      <w:pPr>
        <w:rPr>
          <w:rFonts w:cs="Arial"/>
          <w:bCs/>
        </w:rPr>
      </w:pPr>
      <w:r w:rsidRPr="00974018">
        <w:rPr>
          <w:rFonts w:cs="Arial"/>
          <w:bCs/>
        </w:rPr>
        <w:t>El recurso de revisión fue interpuesto por parte legítima, ya que se presentó por la misma persona que formuló la solicitud de acceso a la Información Pública,</w:t>
      </w:r>
      <w:r w:rsidRPr="00974018">
        <w:rPr>
          <w:rFonts w:cs="Arial"/>
          <w:b/>
          <w:bCs/>
        </w:rPr>
        <w:t xml:space="preserve"> </w:t>
      </w:r>
      <w:r w:rsidRPr="00974018">
        <w:rPr>
          <w:rFonts w:cs="Arial"/>
        </w:rPr>
        <w:t>debido a que los datos de acceso</w:t>
      </w:r>
      <w:r w:rsidRPr="00974018">
        <w:rPr>
          <w:rFonts w:cs="Arial"/>
          <w:b/>
          <w:bCs/>
        </w:rPr>
        <w:t xml:space="preserve"> </w:t>
      </w:r>
      <w:r w:rsidRPr="00974018">
        <w:rPr>
          <w:rFonts w:cs="Arial"/>
        </w:rPr>
        <w:t>SAIMEX</w:t>
      </w:r>
      <w:r w:rsidRPr="00974018">
        <w:rPr>
          <w:rFonts w:eastAsia="Calibri" w:cs="Arial"/>
          <w:lang w:eastAsia="en-US"/>
        </w:rPr>
        <w:t xml:space="preserve"> son personales e irrepetibles.</w:t>
      </w:r>
    </w:p>
    <w:p w14:paraId="2C367810" w14:textId="77777777" w:rsidR="00D91CB4" w:rsidRPr="00974018" w:rsidRDefault="00D91CB4" w:rsidP="00974018"/>
    <w:p w14:paraId="496490FC" w14:textId="1A5F3FDB" w:rsidR="00D91CB4" w:rsidRPr="00974018" w:rsidRDefault="00BA55A8" w:rsidP="00974018">
      <w:pPr>
        <w:pStyle w:val="Ttulo3"/>
        <w:rPr>
          <w:rFonts w:eastAsia="Calibri"/>
          <w:lang w:eastAsia="es-ES_tradnl"/>
        </w:rPr>
      </w:pPr>
      <w:bookmarkStart w:id="20" w:name="_Toc197542654"/>
      <w:r w:rsidRPr="00974018">
        <w:rPr>
          <w:rFonts w:eastAsia="Calibri"/>
          <w:lang w:eastAsia="es-ES_tradnl"/>
        </w:rPr>
        <w:t>c)</w:t>
      </w:r>
      <w:r w:rsidR="00664420" w:rsidRPr="00974018">
        <w:rPr>
          <w:rFonts w:eastAsia="Calibri"/>
          <w:lang w:eastAsia="es-ES_tradnl"/>
        </w:rPr>
        <w:t xml:space="preserve"> </w:t>
      </w:r>
      <w:r w:rsidR="00D91CB4" w:rsidRPr="00974018">
        <w:rPr>
          <w:rFonts w:eastAsia="Calibri"/>
          <w:lang w:eastAsia="es-ES_tradnl"/>
        </w:rPr>
        <w:t>Plazo para interponer el recurso</w:t>
      </w:r>
      <w:bookmarkEnd w:id="20"/>
    </w:p>
    <w:p w14:paraId="106D37EE" w14:textId="19CC4258" w:rsidR="00D91CB4" w:rsidRPr="00974018" w:rsidRDefault="00D91CB4" w:rsidP="00974018">
      <w:pPr>
        <w:rPr>
          <w:rFonts w:eastAsiaTheme="minorEastAsia" w:cs="Arial"/>
          <w:lang w:val="es-ES_tradnl"/>
        </w:rPr>
      </w:pPr>
      <w:r w:rsidRPr="00974018">
        <w:rPr>
          <w:rFonts w:cs="Arial"/>
          <w:b/>
        </w:rPr>
        <w:t>EL SUJETO OBLIGADO</w:t>
      </w:r>
      <w:r w:rsidRPr="00974018">
        <w:rPr>
          <w:rFonts w:cs="Arial"/>
        </w:rPr>
        <w:t xml:space="preserve"> notificó la respuesta a la solicitud de acceso a la Información Pública el </w:t>
      </w:r>
      <w:r w:rsidR="00D32CFD" w:rsidRPr="00974018">
        <w:rPr>
          <w:rFonts w:eastAsia="Palatino Linotype" w:cs="Palatino Linotype"/>
          <w:b/>
        </w:rPr>
        <w:t>doce</w:t>
      </w:r>
      <w:r w:rsidRPr="00974018">
        <w:rPr>
          <w:rFonts w:eastAsia="Palatino Linotype" w:cs="Palatino Linotype"/>
          <w:b/>
        </w:rPr>
        <w:t xml:space="preserve"> de </w:t>
      </w:r>
      <w:r w:rsidR="00D32CFD" w:rsidRPr="00974018">
        <w:rPr>
          <w:rFonts w:eastAsia="Palatino Linotype" w:cs="Palatino Linotype"/>
          <w:b/>
        </w:rPr>
        <w:t xml:space="preserve">marzo </w:t>
      </w:r>
      <w:r w:rsidRPr="00974018">
        <w:rPr>
          <w:rFonts w:eastAsia="Palatino Linotype" w:cs="Palatino Linotype"/>
          <w:b/>
        </w:rPr>
        <w:t xml:space="preserve">de dos mil </w:t>
      </w:r>
      <w:r w:rsidR="00FE368B" w:rsidRPr="00974018">
        <w:rPr>
          <w:rFonts w:eastAsia="Palatino Linotype" w:cs="Palatino Linotype"/>
          <w:b/>
        </w:rPr>
        <w:t xml:space="preserve">veinticinco </w:t>
      </w:r>
      <w:r w:rsidR="00A53315" w:rsidRPr="00974018">
        <w:rPr>
          <w:rFonts w:cs="Arial"/>
        </w:rPr>
        <w:t xml:space="preserve">y el recurso </w:t>
      </w:r>
      <w:r w:rsidR="00A53315" w:rsidRPr="00974018">
        <w:rPr>
          <w:rFonts w:eastAsia="Palatino Linotype" w:cs="Palatino Linotype"/>
        </w:rPr>
        <w:t xml:space="preserve">que nos ocupa se interpuso el </w:t>
      </w:r>
      <w:r w:rsidR="00D32CFD" w:rsidRPr="00974018">
        <w:rPr>
          <w:rFonts w:eastAsia="Palatino Linotype" w:cs="Palatino Linotype"/>
          <w:b/>
        </w:rPr>
        <w:t xml:space="preserve">dieciocho de marzo </w:t>
      </w:r>
      <w:r w:rsidR="00A53315" w:rsidRPr="00974018">
        <w:rPr>
          <w:rFonts w:eastAsia="Palatino Linotype" w:cs="Palatino Linotype"/>
          <w:b/>
        </w:rPr>
        <w:t xml:space="preserve">de dos mil </w:t>
      </w:r>
      <w:r w:rsidR="00FE368B" w:rsidRPr="00974018">
        <w:rPr>
          <w:rFonts w:eastAsia="Palatino Linotype" w:cs="Palatino Linotype"/>
          <w:b/>
        </w:rPr>
        <w:t>veinticinco</w:t>
      </w:r>
      <w:r w:rsidR="00A53315" w:rsidRPr="00974018">
        <w:rPr>
          <w:rFonts w:eastAsia="Palatino Linotype" w:cs="Palatino Linotype"/>
          <w:bCs/>
        </w:rPr>
        <w:t>;</w:t>
      </w:r>
      <w:r w:rsidR="00A53315" w:rsidRPr="00974018">
        <w:rPr>
          <w:rFonts w:eastAsia="Palatino Linotype" w:cs="Palatino Linotype"/>
        </w:rPr>
        <w:t xml:space="preserve"> por lo tanto, éste se encuentra dentro del margen temporal previsto en el artículo 178 de la </w:t>
      </w:r>
      <w:r w:rsidR="00A53315" w:rsidRPr="00974018">
        <w:rPr>
          <w:rFonts w:cs="Arial"/>
        </w:rPr>
        <w:t>Ley de Transparencia y Acceso a la Información Pública del Estado de México y Municipios</w:t>
      </w:r>
      <w:r w:rsidR="00163D12" w:rsidRPr="00974018">
        <w:rPr>
          <w:rFonts w:cs="Arial"/>
        </w:rPr>
        <w:t>.</w:t>
      </w:r>
    </w:p>
    <w:p w14:paraId="49076992" w14:textId="77777777" w:rsidR="00D91CB4" w:rsidRPr="00974018" w:rsidRDefault="00D91CB4" w:rsidP="00974018">
      <w:pPr>
        <w:rPr>
          <w:rFonts w:eastAsia="Palatino Linotype" w:cs="Palatino Linotype"/>
        </w:rPr>
      </w:pPr>
    </w:p>
    <w:p w14:paraId="46C0EB3A" w14:textId="15F1A919" w:rsidR="00A53315" w:rsidRPr="00974018" w:rsidRDefault="00BA55A8" w:rsidP="00974018">
      <w:pPr>
        <w:pStyle w:val="Ttulo3"/>
        <w:rPr>
          <w:rFonts w:eastAsia="Calibri"/>
          <w:lang w:eastAsia="es-ES_tradnl"/>
        </w:rPr>
      </w:pPr>
      <w:bookmarkStart w:id="21" w:name="_Toc197542655"/>
      <w:r w:rsidRPr="00974018">
        <w:rPr>
          <w:rFonts w:eastAsia="Calibri"/>
          <w:lang w:eastAsia="es-ES_tradnl"/>
        </w:rPr>
        <w:t>d)</w:t>
      </w:r>
      <w:r w:rsidR="00D91CB4" w:rsidRPr="00974018">
        <w:rPr>
          <w:rFonts w:eastAsia="Calibri"/>
          <w:lang w:eastAsia="es-ES_tradnl"/>
        </w:rPr>
        <w:t xml:space="preserve"> </w:t>
      </w:r>
      <w:r w:rsidR="009A0277" w:rsidRPr="00974018">
        <w:rPr>
          <w:rFonts w:eastAsia="Calibri"/>
          <w:lang w:eastAsia="es-ES_tradnl"/>
        </w:rPr>
        <w:t>Causal de Procedencia</w:t>
      </w:r>
      <w:bookmarkEnd w:id="21"/>
    </w:p>
    <w:p w14:paraId="190404A6" w14:textId="1B4222B2" w:rsidR="00BA55A8" w:rsidRPr="00974018" w:rsidRDefault="00BA55A8" w:rsidP="00974018">
      <w:r w:rsidRPr="00974018">
        <w:rPr>
          <w:rFonts w:cs="Arial"/>
        </w:rPr>
        <w:t xml:space="preserve">Resulta procedente la interposición del recurso de revisión, ya que </w:t>
      </w:r>
      <w:r w:rsidRPr="00974018">
        <w:rPr>
          <w:rFonts w:eastAsia="Calibri" w:cs="Tahoma"/>
          <w:szCs w:val="22"/>
          <w:lang w:eastAsia="es-MX"/>
        </w:rPr>
        <w:t xml:space="preserve">se actualiza la causal de procedencia señalada en el artículo 179, fracción </w:t>
      </w:r>
      <w:r w:rsidR="00D32CFD" w:rsidRPr="00974018">
        <w:rPr>
          <w:rFonts w:eastAsia="Calibri" w:cs="Tahoma"/>
          <w:szCs w:val="22"/>
          <w:lang w:eastAsia="es-MX"/>
        </w:rPr>
        <w:t>I</w:t>
      </w:r>
      <w:r w:rsidRPr="00974018">
        <w:rPr>
          <w:rFonts w:cs="Arial"/>
        </w:rPr>
        <w:t xml:space="preserve"> de la </w:t>
      </w:r>
      <w:r w:rsidRPr="00974018">
        <w:t>Ley de Transparencia y Acceso a la Información Pública del Estado de México y Municipios.</w:t>
      </w:r>
    </w:p>
    <w:p w14:paraId="0EFF7141" w14:textId="77777777" w:rsidR="00362A11" w:rsidRPr="00974018" w:rsidRDefault="00362A11" w:rsidP="00974018"/>
    <w:p w14:paraId="2284D7EB" w14:textId="3EE1D036" w:rsidR="00BA55A8" w:rsidRPr="00974018" w:rsidRDefault="00362A11" w:rsidP="00974018">
      <w:pPr>
        <w:pStyle w:val="Ttulo3"/>
      </w:pPr>
      <w:bookmarkStart w:id="22" w:name="_Toc197542656"/>
      <w:r w:rsidRPr="00974018">
        <w:t>e) Requisitos formales para la interposición del recurso</w:t>
      </w:r>
      <w:bookmarkEnd w:id="22"/>
    </w:p>
    <w:p w14:paraId="6390674A" w14:textId="78A894DD" w:rsidR="00BA55A8" w:rsidRPr="00974018" w:rsidRDefault="00BA55A8" w:rsidP="00974018">
      <w:pPr>
        <w:rPr>
          <w:rFonts w:cs="Arial"/>
        </w:rPr>
      </w:pPr>
      <w:r w:rsidRPr="00974018">
        <w:rPr>
          <w:rFonts w:cs="Arial"/>
          <w:b/>
          <w:bCs/>
        </w:rPr>
        <w:t xml:space="preserve">LA PARTE RECURRENTE </w:t>
      </w:r>
      <w:r w:rsidRPr="00974018">
        <w:rPr>
          <w:rFonts w:cs="Arial"/>
        </w:rPr>
        <w:t>acreditó todos y cada uno de los elementos formales exigidos por el artículo 180 de la misma normatividad.</w:t>
      </w:r>
    </w:p>
    <w:p w14:paraId="20BDA7EE" w14:textId="77777777" w:rsidR="005F5301" w:rsidRPr="00974018" w:rsidRDefault="005F5301" w:rsidP="00974018">
      <w:pPr>
        <w:rPr>
          <w:rFonts w:cs="Arial"/>
        </w:rPr>
      </w:pPr>
    </w:p>
    <w:p w14:paraId="457548E9" w14:textId="3F7AF03B" w:rsidR="00C71CEF" w:rsidRPr="00974018" w:rsidRDefault="00C71CEF" w:rsidP="00974018">
      <w:pPr>
        <w:pStyle w:val="Ttulo2"/>
      </w:pPr>
      <w:bookmarkStart w:id="23" w:name="_Toc197542657"/>
      <w:r w:rsidRPr="00974018">
        <w:t>SEGUNDO. Estudio de Fondo</w:t>
      </w:r>
      <w:bookmarkEnd w:id="23"/>
    </w:p>
    <w:p w14:paraId="2A308F59" w14:textId="0FF373F0" w:rsidR="00C049E2" w:rsidRPr="00974018" w:rsidRDefault="00C71CEF" w:rsidP="00974018">
      <w:pPr>
        <w:pStyle w:val="Ttulo3"/>
      </w:pPr>
      <w:bookmarkStart w:id="24" w:name="_Toc197542658"/>
      <w:r w:rsidRPr="00974018">
        <w:t>a</w:t>
      </w:r>
      <w:r w:rsidR="00C049E2" w:rsidRPr="00974018">
        <w:t>) Mandato de transparencia y responsabilidad del Sujeto Obligado</w:t>
      </w:r>
      <w:bookmarkEnd w:id="24"/>
    </w:p>
    <w:p w14:paraId="6901A889" w14:textId="59EEDAE1" w:rsidR="00C049E2" w:rsidRPr="00974018" w:rsidRDefault="00C049E2" w:rsidP="00974018">
      <w:pPr>
        <w:rPr>
          <w:rFonts w:eastAsia="Palatino Linotype"/>
        </w:rPr>
      </w:pPr>
      <w:r w:rsidRPr="00974018">
        <w:rPr>
          <w:rFonts w:eastAsia="Palatino Linotype"/>
        </w:rPr>
        <w:t xml:space="preserve">El </w:t>
      </w:r>
      <w:r w:rsidR="00717E59" w:rsidRPr="00974018">
        <w:rPr>
          <w:rFonts w:eastAsia="Palatino Linotype"/>
        </w:rPr>
        <w:t>d</w:t>
      </w:r>
      <w:r w:rsidRPr="00974018">
        <w:rPr>
          <w:rFonts w:eastAsia="Palatino Linotype"/>
        </w:rPr>
        <w:t xml:space="preserve">erecho de </w:t>
      </w:r>
      <w:r w:rsidR="00717E59" w:rsidRPr="00974018">
        <w:rPr>
          <w:rFonts w:eastAsia="Palatino Linotype"/>
        </w:rPr>
        <w:t>a</w:t>
      </w:r>
      <w:r w:rsidRPr="00974018">
        <w:rPr>
          <w:rFonts w:eastAsia="Palatino Linotype"/>
        </w:rPr>
        <w:t xml:space="preserve">cceso a la </w:t>
      </w:r>
      <w:r w:rsidR="00717E59" w:rsidRPr="00974018">
        <w:rPr>
          <w:rFonts w:eastAsia="Palatino Linotype"/>
        </w:rPr>
        <w:t>i</w:t>
      </w:r>
      <w:r w:rsidRPr="00974018">
        <w:rPr>
          <w:rFonts w:eastAsia="Palatino Linotype"/>
        </w:rPr>
        <w:t xml:space="preserve">nformación </w:t>
      </w:r>
      <w:r w:rsidR="00717E59" w:rsidRPr="00974018">
        <w:rPr>
          <w:rFonts w:eastAsia="Palatino Linotype"/>
        </w:rPr>
        <w:t>p</w:t>
      </w:r>
      <w:r w:rsidRPr="0097401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4018">
        <w:rPr>
          <w:rFonts w:eastAsia="Palatino Linotype"/>
        </w:rPr>
        <w:t>:</w:t>
      </w:r>
    </w:p>
    <w:p w14:paraId="7FAB8D32" w14:textId="77777777" w:rsidR="00C049E2" w:rsidRPr="00974018" w:rsidRDefault="00C049E2" w:rsidP="00974018">
      <w:pPr>
        <w:rPr>
          <w:rFonts w:eastAsia="Palatino Linotype"/>
        </w:rPr>
      </w:pPr>
    </w:p>
    <w:p w14:paraId="05320813" w14:textId="77777777" w:rsidR="00C049E2" w:rsidRPr="00974018" w:rsidRDefault="00C049E2" w:rsidP="00974018">
      <w:pPr>
        <w:spacing w:line="240" w:lineRule="auto"/>
        <w:ind w:left="567" w:right="539"/>
        <w:rPr>
          <w:rFonts w:eastAsia="Palatino Linotype"/>
          <w:b/>
          <w:i/>
        </w:rPr>
      </w:pPr>
      <w:r w:rsidRPr="00974018">
        <w:rPr>
          <w:rFonts w:eastAsia="Palatino Linotype"/>
          <w:b/>
          <w:i/>
        </w:rPr>
        <w:t>Constitución Política de los Estados Unidos Mexicanos</w:t>
      </w:r>
    </w:p>
    <w:p w14:paraId="6B6C67B6" w14:textId="77777777" w:rsidR="00C049E2" w:rsidRPr="00974018" w:rsidRDefault="00C049E2" w:rsidP="00974018">
      <w:pPr>
        <w:spacing w:line="240" w:lineRule="auto"/>
        <w:ind w:left="567" w:right="539"/>
        <w:rPr>
          <w:rFonts w:eastAsia="Palatino Linotype"/>
          <w:b/>
          <w:i/>
        </w:rPr>
      </w:pPr>
      <w:r w:rsidRPr="00974018">
        <w:rPr>
          <w:rFonts w:eastAsia="Palatino Linotype"/>
          <w:b/>
          <w:i/>
        </w:rPr>
        <w:t>“Artículo 6.</w:t>
      </w:r>
    </w:p>
    <w:p w14:paraId="38D3B4C4" w14:textId="77777777" w:rsidR="00C049E2" w:rsidRPr="00974018" w:rsidRDefault="00C049E2" w:rsidP="00974018">
      <w:pPr>
        <w:spacing w:line="240" w:lineRule="auto"/>
        <w:ind w:left="567" w:right="539"/>
        <w:rPr>
          <w:rFonts w:eastAsia="Palatino Linotype"/>
          <w:i/>
        </w:rPr>
      </w:pPr>
      <w:r w:rsidRPr="00974018">
        <w:rPr>
          <w:rFonts w:eastAsia="Palatino Linotype"/>
          <w:i/>
        </w:rPr>
        <w:t>(…)</w:t>
      </w:r>
    </w:p>
    <w:p w14:paraId="2CCAA297" w14:textId="6602827B" w:rsidR="00C049E2" w:rsidRPr="00974018" w:rsidRDefault="00C049E2" w:rsidP="00974018">
      <w:pPr>
        <w:spacing w:line="240" w:lineRule="auto"/>
        <w:ind w:left="567" w:right="539"/>
        <w:rPr>
          <w:rFonts w:eastAsia="Palatino Linotype"/>
          <w:i/>
        </w:rPr>
      </w:pPr>
      <w:r w:rsidRPr="00974018">
        <w:rPr>
          <w:rFonts w:eastAsia="Palatino Linotype"/>
          <w:i/>
        </w:rPr>
        <w:t>Para efectos de lo dispuesto en el presente artículo se observará lo siguiente:</w:t>
      </w:r>
    </w:p>
    <w:p w14:paraId="74CC3718" w14:textId="77777777" w:rsidR="00C049E2" w:rsidRPr="00974018" w:rsidRDefault="00C049E2" w:rsidP="00974018">
      <w:pPr>
        <w:spacing w:line="240" w:lineRule="auto"/>
        <w:ind w:left="567" w:right="539"/>
        <w:rPr>
          <w:rFonts w:eastAsia="Palatino Linotype"/>
          <w:b/>
          <w:i/>
        </w:rPr>
      </w:pPr>
      <w:r w:rsidRPr="00974018">
        <w:rPr>
          <w:rFonts w:eastAsia="Palatino Linotype"/>
          <w:b/>
          <w:i/>
        </w:rPr>
        <w:t>A</w:t>
      </w:r>
      <w:r w:rsidRPr="00974018">
        <w:rPr>
          <w:rFonts w:eastAsia="Palatino Linotype"/>
          <w:i/>
        </w:rPr>
        <w:t xml:space="preserve">. </w:t>
      </w:r>
      <w:r w:rsidRPr="00974018">
        <w:rPr>
          <w:rFonts w:eastAsia="Palatino Linotype"/>
          <w:b/>
          <w:i/>
        </w:rPr>
        <w:t>Para el ejercicio del derecho de acceso a la información</w:t>
      </w:r>
      <w:r w:rsidRPr="00974018">
        <w:rPr>
          <w:rFonts w:eastAsia="Palatino Linotype"/>
          <w:i/>
        </w:rPr>
        <w:t xml:space="preserve">, la Federación y </w:t>
      </w:r>
      <w:r w:rsidRPr="00974018">
        <w:rPr>
          <w:rFonts w:eastAsia="Palatino Linotype"/>
          <w:b/>
          <w:i/>
        </w:rPr>
        <w:t>las entidades federativas, en el ámbito de sus respectivas competencias, se regirán por los siguientes principios y bases:</w:t>
      </w:r>
    </w:p>
    <w:p w14:paraId="596A956B" w14:textId="77777777" w:rsidR="00C049E2" w:rsidRPr="00974018" w:rsidRDefault="00C049E2" w:rsidP="00974018">
      <w:pPr>
        <w:spacing w:line="240" w:lineRule="auto"/>
        <w:ind w:left="567" w:right="539"/>
        <w:rPr>
          <w:rFonts w:eastAsia="Palatino Linotype"/>
          <w:i/>
        </w:rPr>
      </w:pPr>
      <w:r w:rsidRPr="00974018">
        <w:rPr>
          <w:rFonts w:eastAsia="Palatino Linotype"/>
          <w:b/>
          <w:i/>
        </w:rPr>
        <w:t xml:space="preserve">I. </w:t>
      </w:r>
      <w:r w:rsidRPr="00974018">
        <w:rPr>
          <w:rFonts w:eastAsia="Palatino Linotype"/>
          <w:b/>
          <w:i/>
        </w:rPr>
        <w:tab/>
        <w:t>Toda la información en posesión de cualquier</w:t>
      </w:r>
      <w:r w:rsidRPr="00974018">
        <w:rPr>
          <w:rFonts w:eastAsia="Palatino Linotype"/>
          <w:i/>
        </w:rPr>
        <w:t xml:space="preserve"> </w:t>
      </w:r>
      <w:r w:rsidRPr="00974018">
        <w:rPr>
          <w:rFonts w:eastAsia="Palatino Linotype"/>
          <w:b/>
          <w:i/>
        </w:rPr>
        <w:t>autoridad</w:t>
      </w:r>
      <w:r w:rsidRPr="0097401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4018">
        <w:rPr>
          <w:rFonts w:eastAsia="Palatino Linotype"/>
          <w:b/>
          <w:i/>
        </w:rPr>
        <w:t>municipal</w:t>
      </w:r>
      <w:r w:rsidRPr="00974018">
        <w:rPr>
          <w:rFonts w:eastAsia="Palatino Linotype"/>
          <w:i/>
        </w:rPr>
        <w:t xml:space="preserve">, </w:t>
      </w:r>
      <w:r w:rsidRPr="00974018">
        <w:rPr>
          <w:rFonts w:eastAsia="Palatino Linotype"/>
          <w:b/>
          <w:i/>
        </w:rPr>
        <w:t>es pública</w:t>
      </w:r>
      <w:r w:rsidRPr="00974018">
        <w:rPr>
          <w:rFonts w:eastAsia="Palatino Linotype"/>
          <w:i/>
        </w:rPr>
        <w:t xml:space="preserve"> y sólo podrá ser reservada temporalmente por razones de interés público y seguridad nacional, en los términos que fijen las leyes. </w:t>
      </w:r>
      <w:r w:rsidRPr="0097401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74018">
        <w:rPr>
          <w:rFonts w:eastAsia="Palatino Linotype"/>
          <w:i/>
        </w:rPr>
        <w:t>, la ley determinará los supuestos específicos bajo los cuales procederá la declaración de inexistencia de la información.”</w:t>
      </w:r>
    </w:p>
    <w:p w14:paraId="68F313E4" w14:textId="77777777" w:rsidR="00C049E2" w:rsidRPr="00974018" w:rsidRDefault="00C049E2" w:rsidP="00974018">
      <w:pPr>
        <w:spacing w:line="240" w:lineRule="auto"/>
        <w:ind w:left="567" w:right="539"/>
        <w:rPr>
          <w:rFonts w:eastAsia="Palatino Linotype"/>
          <w:b/>
          <w:i/>
        </w:rPr>
      </w:pPr>
    </w:p>
    <w:p w14:paraId="504F12DB" w14:textId="77777777" w:rsidR="00C049E2" w:rsidRPr="00974018" w:rsidRDefault="00C049E2" w:rsidP="00974018">
      <w:pPr>
        <w:spacing w:line="240" w:lineRule="auto"/>
        <w:ind w:left="567" w:right="539"/>
        <w:rPr>
          <w:rFonts w:eastAsia="Palatino Linotype"/>
          <w:b/>
          <w:i/>
        </w:rPr>
      </w:pPr>
      <w:r w:rsidRPr="00974018">
        <w:rPr>
          <w:rFonts w:eastAsia="Palatino Linotype"/>
          <w:b/>
          <w:i/>
        </w:rPr>
        <w:t>Constitución Política del Estado Libre y Soberano de México</w:t>
      </w:r>
    </w:p>
    <w:p w14:paraId="04932D29" w14:textId="77777777" w:rsidR="00C049E2" w:rsidRPr="00974018" w:rsidRDefault="00C049E2" w:rsidP="00974018">
      <w:pPr>
        <w:spacing w:line="240" w:lineRule="auto"/>
        <w:ind w:left="567" w:right="539"/>
        <w:rPr>
          <w:rFonts w:eastAsia="Palatino Linotype"/>
          <w:i/>
        </w:rPr>
      </w:pPr>
      <w:r w:rsidRPr="00974018">
        <w:rPr>
          <w:rFonts w:eastAsia="Palatino Linotype"/>
          <w:b/>
          <w:i/>
        </w:rPr>
        <w:t>“Artículo 5</w:t>
      </w:r>
      <w:r w:rsidRPr="00974018">
        <w:rPr>
          <w:rFonts w:eastAsia="Palatino Linotype"/>
          <w:i/>
        </w:rPr>
        <w:t xml:space="preserve">.- </w:t>
      </w:r>
    </w:p>
    <w:p w14:paraId="1D3829F4" w14:textId="77777777" w:rsidR="00C049E2" w:rsidRPr="00974018" w:rsidRDefault="00C049E2" w:rsidP="00974018">
      <w:pPr>
        <w:spacing w:line="240" w:lineRule="auto"/>
        <w:ind w:left="567" w:right="539"/>
        <w:rPr>
          <w:rFonts w:eastAsia="Palatino Linotype"/>
          <w:i/>
        </w:rPr>
      </w:pPr>
      <w:r w:rsidRPr="00974018">
        <w:rPr>
          <w:rFonts w:eastAsia="Palatino Linotype"/>
          <w:i/>
        </w:rPr>
        <w:t>(…)</w:t>
      </w:r>
    </w:p>
    <w:p w14:paraId="0EAE47FD" w14:textId="77777777" w:rsidR="00C049E2" w:rsidRPr="00974018" w:rsidRDefault="00C049E2" w:rsidP="00974018">
      <w:pPr>
        <w:spacing w:line="240" w:lineRule="auto"/>
        <w:ind w:left="567" w:right="539"/>
        <w:rPr>
          <w:rFonts w:eastAsia="Palatino Linotype"/>
          <w:i/>
        </w:rPr>
      </w:pPr>
      <w:r w:rsidRPr="00974018">
        <w:rPr>
          <w:rFonts w:eastAsia="Palatino Linotype"/>
          <w:b/>
          <w:i/>
        </w:rPr>
        <w:t>El derecho a la información será garantizado por el Estado. La ley establecerá las previsiones que permitan asegurar la protección, el respeto y la difusión de este derecho</w:t>
      </w:r>
      <w:r w:rsidRPr="00974018">
        <w:rPr>
          <w:rFonts w:eastAsia="Palatino Linotype"/>
          <w:i/>
        </w:rPr>
        <w:t>.</w:t>
      </w:r>
    </w:p>
    <w:p w14:paraId="4F0C804A" w14:textId="77777777" w:rsidR="00C049E2" w:rsidRPr="00974018" w:rsidRDefault="00C049E2" w:rsidP="00974018">
      <w:pPr>
        <w:spacing w:line="240" w:lineRule="auto"/>
        <w:ind w:left="567" w:right="539"/>
        <w:rPr>
          <w:rFonts w:eastAsia="Palatino Linotype"/>
          <w:i/>
        </w:rPr>
      </w:pPr>
      <w:r w:rsidRPr="0097401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4018" w:rsidRDefault="00C049E2" w:rsidP="00974018">
      <w:pPr>
        <w:spacing w:line="240" w:lineRule="auto"/>
        <w:ind w:left="567" w:right="539"/>
        <w:rPr>
          <w:rFonts w:eastAsia="Palatino Linotype"/>
          <w:i/>
        </w:rPr>
      </w:pPr>
      <w:r w:rsidRPr="00974018">
        <w:rPr>
          <w:rFonts w:eastAsia="Palatino Linotype"/>
          <w:b/>
          <w:i/>
        </w:rPr>
        <w:lastRenderedPageBreak/>
        <w:t>Este derecho se regirá por los principios y bases siguientes</w:t>
      </w:r>
      <w:r w:rsidRPr="00974018">
        <w:rPr>
          <w:rFonts w:eastAsia="Palatino Linotype"/>
          <w:i/>
        </w:rPr>
        <w:t>:</w:t>
      </w:r>
    </w:p>
    <w:p w14:paraId="4A3E8CBA" w14:textId="77777777" w:rsidR="00C049E2" w:rsidRPr="00974018" w:rsidRDefault="00C049E2" w:rsidP="00974018">
      <w:pPr>
        <w:spacing w:line="240" w:lineRule="auto"/>
        <w:ind w:left="567" w:right="539"/>
        <w:rPr>
          <w:rFonts w:eastAsia="Palatino Linotype"/>
          <w:i/>
        </w:rPr>
      </w:pPr>
      <w:r w:rsidRPr="00974018">
        <w:rPr>
          <w:rFonts w:eastAsia="Palatino Linotype"/>
          <w:b/>
          <w:i/>
        </w:rPr>
        <w:t>I. Toda la información en posesión de cualquier autoridad, entidad, órgano y organismos de los</w:t>
      </w:r>
      <w:r w:rsidRPr="00974018">
        <w:rPr>
          <w:rFonts w:eastAsia="Palatino Linotype"/>
          <w:i/>
        </w:rPr>
        <w:t xml:space="preserve"> Poderes Ejecutivo, Legislativo y Judicial, órganos autónomos, partidos políticos, fideicomisos y fondos públicos estatales y </w:t>
      </w:r>
      <w:r w:rsidRPr="00974018">
        <w:rPr>
          <w:rFonts w:eastAsia="Palatino Linotype"/>
          <w:b/>
          <w:i/>
        </w:rPr>
        <w:t>municipales</w:t>
      </w:r>
      <w:r w:rsidRPr="0097401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4018">
        <w:rPr>
          <w:rFonts w:eastAsia="Palatino Linotype"/>
          <w:b/>
          <w:i/>
        </w:rPr>
        <w:t>es pública</w:t>
      </w:r>
      <w:r w:rsidRPr="0097401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74018">
        <w:rPr>
          <w:rFonts w:eastAsia="Palatino Linotype"/>
          <w:b/>
          <w:i/>
        </w:rPr>
        <w:t>En la interpretación de este derecho deberá prevalecer el principio de máxima publicidad</w:t>
      </w:r>
      <w:r w:rsidRPr="00974018">
        <w:rPr>
          <w:rFonts w:eastAsia="Palatino Linotype"/>
          <w:i/>
        </w:rPr>
        <w:t xml:space="preserve">. </w:t>
      </w:r>
      <w:r w:rsidRPr="00974018">
        <w:rPr>
          <w:rFonts w:eastAsia="Palatino Linotype"/>
          <w:b/>
          <w:i/>
        </w:rPr>
        <w:t>Los sujetos obligados deberán documentar todo acto que derive del ejercicio de sus facultades, competencias o funciones</w:t>
      </w:r>
      <w:r w:rsidRPr="00974018">
        <w:rPr>
          <w:rFonts w:eastAsia="Palatino Linotype"/>
          <w:i/>
        </w:rPr>
        <w:t>, la ley determinará los supuestos específicos bajo los cuales procederá la declaración de inexistencia de la información.”</w:t>
      </w:r>
    </w:p>
    <w:p w14:paraId="5CA98E37" w14:textId="77777777" w:rsidR="00C049E2" w:rsidRPr="00974018" w:rsidRDefault="00C049E2" w:rsidP="00974018">
      <w:pPr>
        <w:rPr>
          <w:rFonts w:eastAsia="Palatino Linotype"/>
          <w:b/>
          <w:i/>
        </w:rPr>
      </w:pPr>
    </w:p>
    <w:p w14:paraId="6FC1BB3B" w14:textId="3BF4A33D" w:rsidR="00C049E2" w:rsidRPr="00974018" w:rsidRDefault="00717E59" w:rsidP="00974018">
      <w:pPr>
        <w:rPr>
          <w:rFonts w:eastAsia="Palatino Linotype"/>
          <w:i/>
        </w:rPr>
      </w:pPr>
      <w:r w:rsidRPr="00974018">
        <w:rPr>
          <w:rFonts w:eastAsia="Palatino Linotype"/>
        </w:rPr>
        <w:t xml:space="preserve">Asimismo, </w:t>
      </w:r>
      <w:r w:rsidR="00C049E2" w:rsidRPr="00974018">
        <w:rPr>
          <w:rFonts w:eastAsia="Palatino Linotype"/>
        </w:rPr>
        <w:t>el artículo 150 de la Ley de Transparencia y Acceso a la Información Pública del Estado de México y Municipios</w:t>
      </w:r>
      <w:r w:rsidR="00057B2D" w:rsidRPr="00974018">
        <w:rPr>
          <w:rFonts w:eastAsia="Palatino Linotype"/>
        </w:rPr>
        <w:t xml:space="preserve"> </w:t>
      </w:r>
      <w:r w:rsidR="00E9335C" w:rsidRPr="00974018">
        <w:rPr>
          <w:rFonts w:eastAsia="Palatino Linotype"/>
        </w:rPr>
        <w:t xml:space="preserve">indica </w:t>
      </w:r>
      <w:r w:rsidR="00057B2D" w:rsidRPr="00974018">
        <w:rPr>
          <w:rFonts w:eastAsia="Palatino Linotype"/>
        </w:rPr>
        <w:t>que</w:t>
      </w:r>
      <w:r w:rsidR="00C049E2" w:rsidRPr="00974018">
        <w:rPr>
          <w:rFonts w:eastAsia="Palatino Linotype"/>
        </w:rPr>
        <w:t xml:space="preserve"> la solicitud es la garantía primaria del Derecho de Acceso a la Información, además, establece que se regirá </w:t>
      </w:r>
      <w:r w:rsidR="00C049E2" w:rsidRPr="00974018">
        <w:rPr>
          <w:rFonts w:eastAsia="Palatino Linotype"/>
          <w:i/>
        </w:rPr>
        <w:t>por los principios de simplicidad, rapidez</w:t>
      </w:r>
      <w:r w:rsidR="005F65B7" w:rsidRPr="00974018">
        <w:rPr>
          <w:rFonts w:eastAsia="Palatino Linotype"/>
          <w:i/>
        </w:rPr>
        <w:t>,</w:t>
      </w:r>
      <w:r w:rsidR="00C049E2" w:rsidRPr="00974018">
        <w:rPr>
          <w:rFonts w:eastAsia="Palatino Linotype"/>
          <w:i/>
        </w:rPr>
        <w:t xml:space="preserve"> gratuidad del procedimiento, auxilio y orientación a los particulare</w:t>
      </w:r>
      <w:r w:rsidR="001A58B3" w:rsidRPr="00974018">
        <w:rPr>
          <w:rFonts w:eastAsia="Palatino Linotype"/>
          <w:i/>
        </w:rPr>
        <w:t>s.</w:t>
      </w:r>
    </w:p>
    <w:p w14:paraId="033466A6" w14:textId="77777777" w:rsidR="001A58B3" w:rsidRPr="00974018" w:rsidRDefault="001A58B3" w:rsidP="00974018">
      <w:pPr>
        <w:rPr>
          <w:rFonts w:eastAsia="Palatino Linotype"/>
          <w:i/>
        </w:rPr>
      </w:pPr>
    </w:p>
    <w:p w14:paraId="04ADA10B" w14:textId="574A944A" w:rsidR="001A58B3" w:rsidRPr="00974018" w:rsidRDefault="00233F17" w:rsidP="00974018">
      <w:pPr>
        <w:rPr>
          <w:rFonts w:eastAsia="Palatino Linotype" w:cs="Palatino Linotype"/>
          <w:i/>
          <w:szCs w:val="22"/>
        </w:rPr>
      </w:pPr>
      <w:r w:rsidRPr="00974018">
        <w:rPr>
          <w:rFonts w:eastAsia="Palatino Linotype" w:cs="Palatino Linotype"/>
        </w:rPr>
        <w:t xml:space="preserve">Por su parte, el artículo 4 de </w:t>
      </w:r>
      <w:r w:rsidR="001A58B3" w:rsidRPr="0097401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4018">
        <w:rPr>
          <w:rFonts w:eastAsia="Palatino Linotype" w:cs="Palatino Linotype"/>
        </w:rPr>
        <w:t>.</w:t>
      </w:r>
    </w:p>
    <w:p w14:paraId="1407DBB8" w14:textId="77777777" w:rsidR="001A58B3" w:rsidRPr="00974018" w:rsidRDefault="001A58B3" w:rsidP="00974018">
      <w:pPr>
        <w:rPr>
          <w:rFonts w:eastAsia="Palatino Linotype" w:cs="Palatino Linotype"/>
        </w:rPr>
      </w:pPr>
    </w:p>
    <w:p w14:paraId="7552AA79" w14:textId="5C52E4A4" w:rsidR="001A58B3" w:rsidRPr="00974018" w:rsidRDefault="001A58B3" w:rsidP="00974018">
      <w:pPr>
        <w:rPr>
          <w:rFonts w:eastAsia="Palatino Linotype" w:cs="Palatino Linotype"/>
        </w:rPr>
      </w:pPr>
      <w:r w:rsidRPr="00974018">
        <w:rPr>
          <w:rFonts w:eastAsia="Palatino Linotype" w:cs="Palatino Linotype"/>
        </w:rPr>
        <w:t xml:space="preserve">Esto es, que los Sujetos Obligados </w:t>
      </w:r>
      <w:r w:rsidR="00FA5957" w:rsidRPr="00974018">
        <w:rPr>
          <w:rFonts w:eastAsia="Palatino Linotype" w:cs="Palatino Linotype"/>
        </w:rPr>
        <w:t>deben</w:t>
      </w:r>
      <w:r w:rsidRPr="00974018">
        <w:rPr>
          <w:rFonts w:eastAsia="Palatino Linotype" w:cs="Palatino Linotype"/>
        </w:rPr>
        <w:t xml:space="preserve"> atender las solicitudes de acceso a la información pública que se les </w:t>
      </w:r>
      <w:r w:rsidR="00FA5957" w:rsidRPr="00974018">
        <w:rPr>
          <w:rFonts w:eastAsia="Palatino Linotype" w:cs="Palatino Linotype"/>
        </w:rPr>
        <w:t>sean realizadas,</w:t>
      </w:r>
      <w:r w:rsidRPr="00974018">
        <w:rPr>
          <w:rFonts w:eastAsia="Palatino Linotype" w:cs="Palatino Linotype"/>
        </w:rPr>
        <w:t xml:space="preserve"> y proporcionar la información pública que obre en su poder</w:t>
      </w:r>
      <w:r w:rsidR="00FA5957" w:rsidRPr="00974018">
        <w:rPr>
          <w:rFonts w:eastAsia="Palatino Linotype" w:cs="Palatino Linotype"/>
        </w:rPr>
        <w:t>,</w:t>
      </w:r>
      <w:r w:rsidRPr="00974018">
        <w:rPr>
          <w:rFonts w:eastAsia="Palatino Linotype" w:cs="Palatino Linotype"/>
        </w:rPr>
        <w:t xml:space="preserve"> conforme </w:t>
      </w:r>
      <w:r w:rsidR="00FA5957" w:rsidRPr="00974018">
        <w:rPr>
          <w:rFonts w:eastAsia="Palatino Linotype" w:cs="Palatino Linotype"/>
        </w:rPr>
        <w:t>a</w:t>
      </w:r>
      <w:r w:rsidRPr="00974018">
        <w:rPr>
          <w:rFonts w:eastAsia="Palatino Linotype" w:cs="Palatino Linotype"/>
        </w:rPr>
        <w:t xml:space="preserve">l estado </w:t>
      </w:r>
      <w:r w:rsidR="00FA5957" w:rsidRPr="00974018">
        <w:rPr>
          <w:rFonts w:eastAsia="Palatino Linotype" w:cs="Palatino Linotype"/>
        </w:rPr>
        <w:t xml:space="preserve">en </w:t>
      </w:r>
      <w:r w:rsidRPr="00974018">
        <w:rPr>
          <w:rFonts w:eastAsia="Palatino Linotype" w:cs="Palatino Linotype"/>
        </w:rPr>
        <w:t>que se encuentr</w:t>
      </w:r>
      <w:r w:rsidR="00FA5957" w:rsidRPr="00974018">
        <w:rPr>
          <w:rFonts w:eastAsia="Palatino Linotype" w:cs="Palatino Linotype"/>
        </w:rPr>
        <w:t>e, sin que sea necesario</w:t>
      </w:r>
      <w:r w:rsidRPr="00974018">
        <w:rPr>
          <w:rFonts w:eastAsia="Palatino Linotype" w:cs="Palatino Linotype"/>
        </w:rPr>
        <w:t xml:space="preserve"> </w:t>
      </w:r>
      <w:r w:rsidR="00FA5957" w:rsidRPr="00974018">
        <w:rPr>
          <w:rFonts w:eastAsia="Palatino Linotype" w:cs="Palatino Linotype"/>
        </w:rPr>
        <w:t>procesar</w:t>
      </w:r>
      <w:r w:rsidRPr="00974018">
        <w:rPr>
          <w:rFonts w:eastAsia="Palatino Linotype" w:cs="Palatino Linotype"/>
        </w:rPr>
        <w:t xml:space="preserve"> la misma, ni presentarla conforme al interés del solicitante; </w:t>
      </w:r>
      <w:r w:rsidR="00FA5957" w:rsidRPr="00974018">
        <w:rPr>
          <w:rFonts w:eastAsia="Palatino Linotype" w:cs="Palatino Linotype"/>
        </w:rPr>
        <w:t>tal y como</w:t>
      </w:r>
      <w:r w:rsidRPr="00974018">
        <w:rPr>
          <w:rFonts w:eastAsia="Palatino Linotype" w:cs="Palatino Linotype"/>
        </w:rPr>
        <w:t xml:space="preserve"> lo establece el artículo 12 de la Ley de Transparencia y Acceso a la Información Pública del Estado de México y Municipios</w:t>
      </w:r>
      <w:r w:rsidR="00970EB3" w:rsidRPr="00974018">
        <w:rPr>
          <w:rFonts w:eastAsia="Palatino Linotype" w:cs="Palatino Linotype"/>
        </w:rPr>
        <w:t>.</w:t>
      </w:r>
    </w:p>
    <w:p w14:paraId="73245195" w14:textId="77777777" w:rsidR="00970EB3" w:rsidRPr="00974018" w:rsidRDefault="00970EB3" w:rsidP="00974018">
      <w:pPr>
        <w:rPr>
          <w:rFonts w:eastAsia="Palatino Linotype" w:cs="Palatino Linotype"/>
        </w:rPr>
      </w:pPr>
    </w:p>
    <w:p w14:paraId="7F62D4DF" w14:textId="775730E1" w:rsidR="001A58B3" w:rsidRPr="00974018" w:rsidRDefault="001A58B3" w:rsidP="00974018">
      <w:pPr>
        <w:rPr>
          <w:rFonts w:eastAsia="Palatino Linotype" w:cs="Palatino Linotype"/>
        </w:rPr>
      </w:pPr>
      <w:r w:rsidRPr="00974018">
        <w:rPr>
          <w:rFonts w:eastAsia="Palatino Linotype" w:cs="Palatino Linotype"/>
        </w:rPr>
        <w:lastRenderedPageBreak/>
        <w:t>Es decir, que todo sujeto obligado que genere, recopile, administre, procese, archive, posea o conserven, son responsables de la misma</w:t>
      </w:r>
      <w:r w:rsidR="00970EB3" w:rsidRPr="00974018">
        <w:rPr>
          <w:rFonts w:eastAsia="Palatino Linotype" w:cs="Palatino Linotype"/>
        </w:rPr>
        <w:t>,</w:t>
      </w:r>
      <w:r w:rsidRPr="0097401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4018">
        <w:rPr>
          <w:rFonts w:eastAsia="Palatino Linotype" w:cs="Palatino Linotype"/>
        </w:rPr>
        <w:t>o</w:t>
      </w:r>
      <w:r w:rsidRPr="0097401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4018" w:rsidRDefault="001A58B3" w:rsidP="00974018">
      <w:pPr>
        <w:rPr>
          <w:rFonts w:eastAsia="Palatino Linotype" w:cs="Palatino Linotype"/>
        </w:rPr>
      </w:pPr>
    </w:p>
    <w:p w14:paraId="04E42DFE" w14:textId="573F1198" w:rsidR="001A58B3" w:rsidRPr="00974018" w:rsidRDefault="001A58B3" w:rsidP="00974018">
      <w:pPr>
        <w:rPr>
          <w:rFonts w:eastAsia="Palatino Linotype" w:cs="Palatino Linotype"/>
        </w:rPr>
      </w:pPr>
      <w:r w:rsidRPr="0097401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4018">
        <w:rPr>
          <w:rFonts w:eastAsia="Palatino Linotype" w:cs="Palatino Linotype"/>
        </w:rPr>
        <w:t>, s</w:t>
      </w:r>
      <w:r w:rsidRPr="00974018">
        <w:rPr>
          <w:rFonts w:eastAsia="Palatino Linotype" w:cs="Palatino Linotype"/>
        </w:rPr>
        <w:t xml:space="preserve">iempre y cuando no se trate de información reservada o </w:t>
      </w:r>
      <w:r w:rsidR="00331F35" w:rsidRPr="00974018">
        <w:rPr>
          <w:rFonts w:eastAsia="Palatino Linotype" w:cs="Palatino Linotype"/>
        </w:rPr>
        <w:t>confidencial.</w:t>
      </w:r>
    </w:p>
    <w:p w14:paraId="40C5219F" w14:textId="77777777" w:rsidR="001A58B3" w:rsidRPr="00974018" w:rsidRDefault="001A58B3" w:rsidP="00974018">
      <w:pPr>
        <w:rPr>
          <w:rFonts w:eastAsia="Palatino Linotype" w:cs="Palatino Linotype"/>
        </w:rPr>
      </w:pPr>
    </w:p>
    <w:p w14:paraId="2E629608" w14:textId="01727E15" w:rsidR="00C049E2" w:rsidRPr="00974018" w:rsidRDefault="006067C7" w:rsidP="00974018">
      <w:pPr>
        <w:rPr>
          <w:rFonts w:eastAsia="Palatino Linotype"/>
        </w:rPr>
      </w:pPr>
      <w:bookmarkStart w:id="25" w:name="_heading=h.2s8eyo1" w:colFirst="0" w:colLast="0"/>
      <w:bookmarkEnd w:id="25"/>
      <w:r w:rsidRPr="00974018">
        <w:rPr>
          <w:rFonts w:eastAsia="Palatino Linotype"/>
        </w:rPr>
        <w:t>Con base en lo anterior</w:t>
      </w:r>
      <w:r w:rsidR="00B22A80" w:rsidRPr="00974018">
        <w:rPr>
          <w:rFonts w:eastAsia="Palatino Linotype"/>
        </w:rPr>
        <w:t>, se considera que</w:t>
      </w:r>
      <w:r w:rsidR="00C049E2" w:rsidRPr="00974018">
        <w:rPr>
          <w:rFonts w:eastAsia="Palatino Linotype"/>
        </w:rPr>
        <w:t xml:space="preserve"> </w:t>
      </w:r>
      <w:r w:rsidR="00B22A80" w:rsidRPr="00974018">
        <w:rPr>
          <w:rFonts w:eastAsia="Palatino Linotype"/>
          <w:b/>
          <w:bCs/>
        </w:rPr>
        <w:t>EL</w:t>
      </w:r>
      <w:r w:rsidR="00C049E2" w:rsidRPr="00974018">
        <w:rPr>
          <w:rFonts w:eastAsia="Palatino Linotype"/>
        </w:rPr>
        <w:t xml:space="preserve"> </w:t>
      </w:r>
      <w:r w:rsidR="00C049E2" w:rsidRPr="00974018">
        <w:rPr>
          <w:rFonts w:eastAsia="Palatino Linotype"/>
          <w:b/>
        </w:rPr>
        <w:t>SUJETO OBLIGADO</w:t>
      </w:r>
      <w:r w:rsidR="00C049E2" w:rsidRPr="00974018">
        <w:rPr>
          <w:rFonts w:eastAsia="Palatino Linotype"/>
        </w:rPr>
        <w:t xml:space="preserve"> </w:t>
      </w:r>
      <w:r w:rsidR="00B22A80" w:rsidRPr="00974018">
        <w:rPr>
          <w:rFonts w:eastAsia="Palatino Linotype"/>
        </w:rPr>
        <w:t xml:space="preserve">se </w:t>
      </w:r>
      <w:r w:rsidR="00717E59" w:rsidRPr="00974018">
        <w:rPr>
          <w:rFonts w:eastAsia="Palatino Linotype"/>
        </w:rPr>
        <w:t>encontraba</w:t>
      </w:r>
      <w:r w:rsidR="00B22A80" w:rsidRPr="00974018">
        <w:rPr>
          <w:rFonts w:eastAsia="Palatino Linotype"/>
        </w:rPr>
        <w:t xml:space="preserve"> compelido a</w:t>
      </w:r>
      <w:r w:rsidR="00C049E2" w:rsidRPr="00974018">
        <w:rPr>
          <w:rFonts w:eastAsia="Palatino Linotype"/>
        </w:rPr>
        <w:t xml:space="preserve"> atender la solicitud de acceso a la información </w:t>
      </w:r>
      <w:r w:rsidR="00B22A80" w:rsidRPr="00974018">
        <w:rPr>
          <w:rFonts w:eastAsia="Palatino Linotype"/>
        </w:rPr>
        <w:t xml:space="preserve">realizada por </w:t>
      </w:r>
      <w:r w:rsidR="00B22A80" w:rsidRPr="00974018">
        <w:rPr>
          <w:rFonts w:eastAsia="Palatino Linotype"/>
          <w:b/>
          <w:bCs/>
        </w:rPr>
        <w:t>LA PARTE RECURRENTE</w:t>
      </w:r>
      <w:r w:rsidR="00331F35" w:rsidRPr="00974018">
        <w:rPr>
          <w:rFonts w:eastAsia="Palatino Linotype"/>
        </w:rPr>
        <w:t>.</w:t>
      </w:r>
    </w:p>
    <w:p w14:paraId="1611F147" w14:textId="77777777" w:rsidR="00BD5A7C" w:rsidRPr="00974018" w:rsidRDefault="00BD5A7C" w:rsidP="00974018">
      <w:pPr>
        <w:rPr>
          <w:rFonts w:eastAsia="Palatino Linotype"/>
        </w:rPr>
      </w:pPr>
    </w:p>
    <w:p w14:paraId="51A0E8B4" w14:textId="676DCA47" w:rsidR="00664420" w:rsidRPr="00974018" w:rsidRDefault="00C71CEF" w:rsidP="00974018">
      <w:pPr>
        <w:pStyle w:val="Ttulo3"/>
        <w:rPr>
          <w:rFonts w:eastAsia="Calibri"/>
          <w:lang w:eastAsia="es-ES_tradnl"/>
        </w:rPr>
      </w:pPr>
      <w:bookmarkStart w:id="26" w:name="_Toc197542659"/>
      <w:r w:rsidRPr="00974018">
        <w:rPr>
          <w:rFonts w:eastAsia="Calibri"/>
          <w:lang w:eastAsia="es-ES_tradnl"/>
        </w:rPr>
        <w:t>b)</w:t>
      </w:r>
      <w:r w:rsidR="00A53315" w:rsidRPr="00974018">
        <w:rPr>
          <w:rFonts w:eastAsia="Calibri"/>
          <w:lang w:eastAsia="es-ES_tradnl"/>
        </w:rPr>
        <w:t xml:space="preserve"> </w:t>
      </w:r>
      <w:r w:rsidR="00A21A20" w:rsidRPr="00974018">
        <w:rPr>
          <w:rFonts w:eastAsia="Calibri"/>
          <w:lang w:eastAsia="es-ES_tradnl"/>
        </w:rPr>
        <w:t>Controversia a resolver</w:t>
      </w:r>
      <w:bookmarkEnd w:id="26"/>
    </w:p>
    <w:p w14:paraId="5DAE2A65" w14:textId="382C31A9" w:rsidR="00664420" w:rsidRPr="00974018" w:rsidRDefault="00664420" w:rsidP="00974018">
      <w:pPr>
        <w:rPr>
          <w:rFonts w:eastAsia="Calibri"/>
          <w:lang w:eastAsia="es-ES_tradnl"/>
        </w:rPr>
      </w:pPr>
      <w:r w:rsidRPr="0097401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74018">
        <w:rPr>
          <w:rFonts w:eastAsia="Calibri"/>
          <w:b/>
          <w:bCs/>
          <w:lang w:eastAsia="es-ES_tradnl"/>
        </w:rPr>
        <w:t>LA PARTE RECURRENTE</w:t>
      </w:r>
      <w:r w:rsidRPr="00974018">
        <w:rPr>
          <w:rFonts w:eastAsia="Calibri"/>
          <w:lang w:eastAsia="es-ES_tradnl"/>
        </w:rPr>
        <w:t xml:space="preserve"> solicitó lo siguiente:</w:t>
      </w:r>
    </w:p>
    <w:p w14:paraId="7D9D559B" w14:textId="77777777" w:rsidR="00664420" w:rsidRPr="00974018" w:rsidRDefault="00664420" w:rsidP="00974018">
      <w:pPr>
        <w:tabs>
          <w:tab w:val="left" w:pos="4962"/>
        </w:tabs>
        <w:contextualSpacing/>
        <w:rPr>
          <w:rFonts w:eastAsia="Calibri" w:cs="Tahoma"/>
          <w:iCs/>
          <w:szCs w:val="22"/>
          <w:lang w:eastAsia="es-ES_tradnl"/>
        </w:rPr>
      </w:pPr>
    </w:p>
    <w:p w14:paraId="20EC041B" w14:textId="77777777" w:rsidR="00D32CFD" w:rsidRPr="00974018" w:rsidRDefault="005D5A50" w:rsidP="00974018">
      <w:pPr>
        <w:pStyle w:val="Prrafodelista"/>
        <w:numPr>
          <w:ilvl w:val="0"/>
          <w:numId w:val="8"/>
        </w:numPr>
        <w:tabs>
          <w:tab w:val="left" w:pos="4962"/>
        </w:tabs>
        <w:rPr>
          <w:rFonts w:eastAsiaTheme="minorHAnsi" w:cs="Tahoma"/>
          <w:bCs/>
          <w:iCs/>
          <w:szCs w:val="22"/>
          <w:lang w:eastAsia="en-US"/>
        </w:rPr>
      </w:pPr>
      <w:r w:rsidRPr="00974018">
        <w:rPr>
          <w:rFonts w:cs="Tahoma"/>
          <w:bCs/>
          <w:iCs/>
          <w:szCs w:val="22"/>
        </w:rPr>
        <w:t xml:space="preserve">Enumeración </w:t>
      </w:r>
      <w:r w:rsidR="00D32CFD" w:rsidRPr="00974018">
        <w:rPr>
          <w:rFonts w:cs="Tahoma"/>
          <w:bCs/>
          <w:iCs/>
          <w:szCs w:val="22"/>
        </w:rPr>
        <w:t xml:space="preserve">¿Cuáles son las acciones programadas en la administración 2025-2027 del Ayuntamiento de Metepec para cumplir con los compromisos de su designación como Ciudad Árbol del </w:t>
      </w:r>
      <w:proofErr w:type="gramStart"/>
      <w:r w:rsidR="00D32CFD" w:rsidRPr="00974018">
        <w:rPr>
          <w:rFonts w:cs="Tahoma"/>
          <w:bCs/>
          <w:iCs/>
          <w:szCs w:val="22"/>
        </w:rPr>
        <w:t>mundo.?</w:t>
      </w:r>
      <w:proofErr w:type="gramEnd"/>
      <w:r w:rsidR="00D32CFD" w:rsidRPr="00974018">
        <w:rPr>
          <w:rFonts w:cs="Tahoma"/>
          <w:bCs/>
          <w:iCs/>
          <w:szCs w:val="22"/>
        </w:rPr>
        <w:t xml:space="preserve"> ¿Cuáles son las iniciativas planteadas al cabildo o a </w:t>
      </w:r>
      <w:r w:rsidR="00D32CFD" w:rsidRPr="00974018">
        <w:rPr>
          <w:rFonts w:cs="Tahoma"/>
          <w:bCs/>
          <w:iCs/>
          <w:szCs w:val="22"/>
        </w:rPr>
        <w:lastRenderedPageBreak/>
        <w:t xml:space="preserve">otras dependencias municipales o </w:t>
      </w:r>
      <w:proofErr w:type="spellStart"/>
      <w:r w:rsidR="00D32CFD" w:rsidRPr="00974018">
        <w:rPr>
          <w:rFonts w:cs="Tahoma"/>
          <w:bCs/>
          <w:iCs/>
          <w:szCs w:val="22"/>
        </w:rPr>
        <w:t>estatales</w:t>
      </w:r>
      <w:proofErr w:type="gramStart"/>
      <w:r w:rsidR="00D32CFD" w:rsidRPr="00974018">
        <w:rPr>
          <w:rFonts w:cs="Tahoma"/>
          <w:bCs/>
          <w:iCs/>
          <w:szCs w:val="22"/>
        </w:rPr>
        <w:t>,para</w:t>
      </w:r>
      <w:proofErr w:type="spellEnd"/>
      <w:proofErr w:type="gramEnd"/>
      <w:r w:rsidR="00D32CFD" w:rsidRPr="00974018">
        <w:rPr>
          <w:rFonts w:cs="Tahoma"/>
          <w:bCs/>
          <w:iCs/>
          <w:szCs w:val="22"/>
        </w:rPr>
        <w:t xml:space="preserve"> crear y ampliar las áreas verdes del municipio? ¿Cuál es el progreso de dichas iniciativas? ¿Cuál es el  avance en el proceso de la instalación de cajetes para árboles en las banquetas con dimensiones de 1.50mts o </w:t>
      </w:r>
      <w:proofErr w:type="spellStart"/>
      <w:proofErr w:type="gramStart"/>
      <w:r w:rsidR="00D32CFD" w:rsidRPr="00974018">
        <w:rPr>
          <w:rFonts w:cs="Tahoma"/>
          <w:bCs/>
          <w:iCs/>
          <w:szCs w:val="22"/>
        </w:rPr>
        <w:t>mas</w:t>
      </w:r>
      <w:proofErr w:type="spellEnd"/>
      <w:proofErr w:type="gramEnd"/>
      <w:r w:rsidR="00D32CFD" w:rsidRPr="00974018">
        <w:rPr>
          <w:rFonts w:cs="Tahoma"/>
          <w:bCs/>
          <w:iCs/>
          <w:szCs w:val="22"/>
        </w:rPr>
        <w:t xml:space="preserve">? </w:t>
      </w:r>
      <w:proofErr w:type="gramStart"/>
      <w:r w:rsidR="00D32CFD" w:rsidRPr="00974018">
        <w:rPr>
          <w:rFonts w:cs="Tahoma"/>
          <w:bCs/>
          <w:iCs/>
          <w:szCs w:val="22"/>
        </w:rPr>
        <w:t>¿ Existe</w:t>
      </w:r>
      <w:proofErr w:type="gramEnd"/>
      <w:r w:rsidR="00D32CFD" w:rsidRPr="00974018">
        <w:rPr>
          <w:rFonts w:cs="Tahoma"/>
          <w:bCs/>
          <w:iCs/>
          <w:szCs w:val="22"/>
        </w:rPr>
        <w:t xml:space="preserve"> algún programa de colaboración o convenios con particulares, asociaciones civiles o empresas para ampliar las áreas verdes del municipio? ¿Se buscará que en las campañas de reforestación de esta administración se plante una mayor variedad de árboles como capulines, duraznos, limones, pata de cabra cuyo crecimiento no afecta la estructura urbana y sus beneficios para las aves y abejas son de una mayor armonía </w:t>
      </w:r>
      <w:proofErr w:type="gramStart"/>
      <w:r w:rsidR="00D32CFD" w:rsidRPr="00974018">
        <w:rPr>
          <w:rFonts w:cs="Tahoma"/>
          <w:bCs/>
          <w:iCs/>
          <w:szCs w:val="22"/>
        </w:rPr>
        <w:t>ecológica.?</w:t>
      </w:r>
      <w:proofErr w:type="gramEnd"/>
      <w:r w:rsidR="00D32CFD" w:rsidRPr="00974018">
        <w:rPr>
          <w:rFonts w:cs="Tahoma"/>
          <w:bCs/>
          <w:iCs/>
          <w:szCs w:val="22"/>
        </w:rPr>
        <w:t xml:space="preserve"> ¿</w:t>
      </w:r>
      <w:proofErr w:type="spellStart"/>
      <w:r w:rsidR="00D32CFD" w:rsidRPr="00974018">
        <w:rPr>
          <w:rFonts w:cs="Tahoma"/>
          <w:bCs/>
          <w:iCs/>
          <w:szCs w:val="22"/>
        </w:rPr>
        <w:t>Esta</w:t>
      </w:r>
      <w:proofErr w:type="spellEnd"/>
      <w:r w:rsidR="00D32CFD" w:rsidRPr="00974018">
        <w:rPr>
          <w:rFonts w:cs="Tahoma"/>
          <w:bCs/>
          <w:iCs/>
          <w:szCs w:val="22"/>
        </w:rPr>
        <w:t xml:space="preserve"> ya listo el programa de ordenamiento ecológico local de Metepec y su manual de proceso? </w:t>
      </w:r>
    </w:p>
    <w:p w14:paraId="1B11C1D7" w14:textId="77777777" w:rsidR="00D32CFD" w:rsidRPr="00974018" w:rsidRDefault="00D32CFD" w:rsidP="00974018">
      <w:pPr>
        <w:tabs>
          <w:tab w:val="left" w:pos="4962"/>
        </w:tabs>
        <w:ind w:left="360"/>
        <w:rPr>
          <w:rFonts w:eastAsiaTheme="minorHAnsi" w:cs="Tahoma"/>
          <w:bCs/>
          <w:iCs/>
          <w:szCs w:val="22"/>
          <w:lang w:eastAsia="en-US"/>
        </w:rPr>
      </w:pPr>
    </w:p>
    <w:p w14:paraId="228E8457" w14:textId="515BB4AE" w:rsidR="005B18AF" w:rsidRPr="00974018" w:rsidRDefault="00664420" w:rsidP="00974018">
      <w:pPr>
        <w:tabs>
          <w:tab w:val="left" w:pos="4962"/>
        </w:tabs>
        <w:rPr>
          <w:rFonts w:cs="Tahoma"/>
          <w:bCs/>
          <w:iCs/>
          <w:szCs w:val="22"/>
        </w:rPr>
      </w:pPr>
      <w:r w:rsidRPr="00974018">
        <w:rPr>
          <w:rFonts w:eastAsiaTheme="minorHAnsi" w:cs="Tahoma"/>
          <w:bCs/>
          <w:iCs/>
          <w:szCs w:val="22"/>
          <w:lang w:eastAsia="en-US"/>
        </w:rPr>
        <w:t xml:space="preserve">En respuesta, </w:t>
      </w:r>
      <w:r w:rsidR="005D5A50" w:rsidRPr="00974018">
        <w:rPr>
          <w:rFonts w:eastAsiaTheme="minorHAnsi" w:cs="Tahoma"/>
          <w:b/>
          <w:iCs/>
          <w:szCs w:val="22"/>
          <w:lang w:eastAsia="en-US"/>
        </w:rPr>
        <w:t>EL SUJETO OBLIGADO</w:t>
      </w:r>
      <w:r w:rsidRPr="00974018">
        <w:rPr>
          <w:rFonts w:eastAsiaTheme="minorHAnsi" w:cs="Tahoma"/>
          <w:bCs/>
          <w:iCs/>
          <w:szCs w:val="22"/>
          <w:lang w:eastAsia="en-US"/>
        </w:rPr>
        <w:t xml:space="preserve"> se pronunció por conducto de</w:t>
      </w:r>
      <w:r w:rsidR="00D32CFD" w:rsidRPr="00974018">
        <w:rPr>
          <w:rFonts w:eastAsiaTheme="minorHAnsi" w:cs="Tahoma"/>
          <w:bCs/>
          <w:iCs/>
          <w:szCs w:val="22"/>
          <w:lang w:eastAsia="en-US"/>
        </w:rPr>
        <w:t xml:space="preserve">l </w:t>
      </w:r>
      <w:r w:rsidR="00D32CFD" w:rsidRPr="00974018">
        <w:rPr>
          <w:rFonts w:cs="Tahoma"/>
          <w:szCs w:val="22"/>
          <w:lang w:val="es-ES"/>
        </w:rPr>
        <w:t>Director de Servicios Públicos quien manifestó no contar con la información y la Directora de Medio Ambiente quien manifestó que la información solicitada correspondía a un derecho de petición</w:t>
      </w:r>
      <w:r w:rsidR="00D32CFD" w:rsidRPr="00974018">
        <w:rPr>
          <w:rFonts w:eastAsiaTheme="minorHAnsi" w:cs="Tahoma"/>
          <w:bCs/>
          <w:iCs/>
          <w:szCs w:val="22"/>
          <w:lang w:eastAsia="en-US"/>
        </w:rPr>
        <w:t>.</w:t>
      </w:r>
    </w:p>
    <w:p w14:paraId="4BEBD880" w14:textId="77777777" w:rsidR="00664420" w:rsidRPr="00974018" w:rsidRDefault="00664420" w:rsidP="00974018">
      <w:pPr>
        <w:tabs>
          <w:tab w:val="left" w:pos="4962"/>
        </w:tabs>
        <w:contextualSpacing/>
        <w:rPr>
          <w:rFonts w:eastAsiaTheme="minorHAnsi" w:cs="Tahoma"/>
          <w:bCs/>
          <w:iCs/>
          <w:szCs w:val="22"/>
          <w:lang w:eastAsia="en-US"/>
        </w:rPr>
      </w:pPr>
    </w:p>
    <w:p w14:paraId="31DD81D7" w14:textId="3249C0E7" w:rsidR="00664420" w:rsidRPr="00974018" w:rsidRDefault="00CF7586" w:rsidP="00974018">
      <w:pPr>
        <w:tabs>
          <w:tab w:val="left" w:pos="4962"/>
        </w:tabs>
        <w:contextualSpacing/>
        <w:rPr>
          <w:rFonts w:eastAsiaTheme="minorHAnsi" w:cs="Tahoma"/>
          <w:bCs/>
          <w:iCs/>
          <w:szCs w:val="22"/>
          <w:lang w:eastAsia="en-US"/>
        </w:rPr>
      </w:pPr>
      <w:r w:rsidRPr="00974018">
        <w:rPr>
          <w:rFonts w:eastAsiaTheme="minorHAnsi" w:cs="Tahoma"/>
          <w:bCs/>
          <w:iCs/>
          <w:szCs w:val="22"/>
          <w:lang w:eastAsia="en-US"/>
        </w:rPr>
        <w:t xml:space="preserve">Ahora bien, en la interposición del presente recurso </w:t>
      </w:r>
      <w:r w:rsidRPr="00974018">
        <w:rPr>
          <w:rFonts w:eastAsiaTheme="minorHAnsi" w:cs="Tahoma"/>
          <w:b/>
          <w:iCs/>
          <w:szCs w:val="22"/>
          <w:lang w:eastAsia="en-US"/>
        </w:rPr>
        <w:t>LA PARTE RECURRENTE</w:t>
      </w:r>
      <w:r w:rsidR="00664420" w:rsidRPr="00974018">
        <w:rPr>
          <w:rFonts w:eastAsiaTheme="minorHAnsi" w:cs="Tahoma"/>
          <w:bCs/>
          <w:iCs/>
          <w:szCs w:val="22"/>
          <w:lang w:eastAsia="en-US"/>
        </w:rPr>
        <w:t xml:space="preserve"> se inconformó de </w:t>
      </w:r>
      <w:r w:rsidR="00D32CFD" w:rsidRPr="00974018">
        <w:rPr>
          <w:rFonts w:eastAsiaTheme="minorHAnsi" w:cs="Tahoma"/>
          <w:bCs/>
          <w:iCs/>
          <w:szCs w:val="22"/>
          <w:lang w:eastAsia="en-US"/>
        </w:rPr>
        <w:t>la negativa de la información</w:t>
      </w:r>
      <w:r w:rsidRPr="00974018">
        <w:rPr>
          <w:rFonts w:eastAsiaTheme="minorHAnsi" w:cs="Tahoma"/>
          <w:bCs/>
          <w:iCs/>
          <w:szCs w:val="22"/>
          <w:lang w:eastAsia="en-US"/>
        </w:rPr>
        <w:t xml:space="preserve">, por lo cual, el estudio </w:t>
      </w:r>
      <w:r w:rsidR="005B18AF" w:rsidRPr="00974018">
        <w:rPr>
          <w:rFonts w:eastAsiaTheme="minorHAnsi" w:cs="Tahoma"/>
          <w:bCs/>
          <w:iCs/>
          <w:szCs w:val="22"/>
          <w:lang w:eastAsia="en-US"/>
        </w:rPr>
        <w:t xml:space="preserve">se centrará en determinar si </w:t>
      </w:r>
      <w:r w:rsidR="00D32CFD" w:rsidRPr="00974018">
        <w:rPr>
          <w:rFonts w:eastAsiaTheme="minorHAnsi" w:cs="Tahoma"/>
          <w:bCs/>
          <w:iCs/>
          <w:szCs w:val="22"/>
          <w:lang w:eastAsia="en-US"/>
        </w:rPr>
        <w:t>con las respuestas se colma o no con la pretensión de la parte recurrente.</w:t>
      </w:r>
    </w:p>
    <w:p w14:paraId="56B9D5BE" w14:textId="77777777" w:rsidR="00D32CFD" w:rsidRPr="00974018" w:rsidRDefault="00D32CFD" w:rsidP="00974018">
      <w:pPr>
        <w:tabs>
          <w:tab w:val="left" w:pos="4962"/>
        </w:tabs>
        <w:contextualSpacing/>
        <w:rPr>
          <w:rFonts w:eastAsiaTheme="minorHAnsi" w:cs="Tahoma"/>
          <w:bCs/>
          <w:iCs/>
          <w:szCs w:val="22"/>
          <w:lang w:eastAsia="en-US"/>
        </w:rPr>
      </w:pPr>
    </w:p>
    <w:p w14:paraId="414FD2D5" w14:textId="4408E416" w:rsidR="00664420" w:rsidRPr="00974018" w:rsidRDefault="00A21A20" w:rsidP="00974018">
      <w:pPr>
        <w:pStyle w:val="Ttulo3"/>
      </w:pPr>
      <w:bookmarkStart w:id="27" w:name="_Toc197542660"/>
      <w:r w:rsidRPr="00974018">
        <w:t>c)</w:t>
      </w:r>
      <w:r w:rsidR="00664420" w:rsidRPr="00974018">
        <w:t xml:space="preserve"> </w:t>
      </w:r>
      <w:r w:rsidRPr="00974018">
        <w:t>Estudio de la controversia</w:t>
      </w:r>
      <w:bookmarkEnd w:id="27"/>
    </w:p>
    <w:p w14:paraId="0525693E" w14:textId="729EF7EB" w:rsidR="00D32CFD" w:rsidRPr="00974018" w:rsidRDefault="00D32CFD" w:rsidP="00974018">
      <w:pPr>
        <w:rPr>
          <w:rFonts w:eastAsia="Arial Unicode MS" w:cs="Arial"/>
        </w:rPr>
      </w:pPr>
      <w:r w:rsidRPr="00974018">
        <w:rPr>
          <w:rFonts w:cs="Arial"/>
          <w:szCs w:val="22"/>
        </w:rPr>
        <w:t xml:space="preserve">En primera instancia, </w:t>
      </w:r>
      <w:r w:rsidRPr="00974018">
        <w:rPr>
          <w:rFonts w:eastAsia="Arial Unicode MS" w:cs="Arial"/>
        </w:rPr>
        <w:t xml:space="preserve">es importante destacar que, a través de la solicitud </w:t>
      </w:r>
      <w:r w:rsidRPr="00974018">
        <w:rPr>
          <w:rFonts w:eastAsia="Arial Unicode MS" w:cs="Arial"/>
          <w:b/>
        </w:rPr>
        <w:t>LA</w:t>
      </w:r>
      <w:r w:rsidRPr="00974018">
        <w:rPr>
          <w:b/>
        </w:rPr>
        <w:t xml:space="preserve"> RECURRENTE</w:t>
      </w:r>
      <w:r w:rsidRPr="00974018">
        <w:rPr>
          <w:rFonts w:eastAsia="Arial Unicode MS" w:cs="Arial"/>
        </w:rPr>
        <w:t xml:space="preserve"> formuló cuestionamientos al </w:t>
      </w:r>
      <w:r w:rsidRPr="00974018">
        <w:rPr>
          <w:rFonts w:eastAsia="Arial Unicode MS" w:cs="Arial"/>
          <w:b/>
        </w:rPr>
        <w:t>SUJETO OBLIGADO</w:t>
      </w:r>
      <w:r w:rsidRPr="00974018">
        <w:rPr>
          <w:rFonts w:eastAsia="Arial Unicode MS" w:cs="Arial"/>
        </w:rPr>
        <w:t xml:space="preserve">, lo cual en estricto sentido no es materia de acceso a la información pública, no obstante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w:t>
      </w:r>
      <w:r w:rsidRPr="00974018">
        <w:rPr>
          <w:rFonts w:eastAsia="Arial Unicode MS" w:cs="Arial"/>
        </w:rPr>
        <w:lastRenderedPageBreak/>
        <w:t>procesamientos de datos; sin embargo, del análisis realizado a los cuestionamientos realizados por la particular, este Órgano Garante advierte que los mismos se pueden atender, mediante la entrega de</w:t>
      </w:r>
      <w:r w:rsidRPr="00974018">
        <w:rPr>
          <w:rFonts w:cs="Arial"/>
        </w:rPr>
        <w:t xml:space="preserve"> expresiones documentales. Lo anterior, tiene apoyo en el criterio 16/17 del </w:t>
      </w:r>
      <w:r w:rsidR="00F90BBB" w:rsidRPr="00974018">
        <w:rPr>
          <w:rFonts w:cs="Arial"/>
        </w:rPr>
        <w:t xml:space="preserve">entonces </w:t>
      </w:r>
      <w:r w:rsidRPr="00974018">
        <w:rPr>
          <w:rFonts w:cs="Arial"/>
        </w:rPr>
        <w:t>Instituto Nacional de Transparencia, Acceso a la Información y Protección de Datos Personales, el cual menciona lo siguiente:</w:t>
      </w:r>
    </w:p>
    <w:p w14:paraId="074335CF" w14:textId="77777777" w:rsidR="00D32CFD" w:rsidRPr="00974018" w:rsidRDefault="00D32CFD" w:rsidP="00974018">
      <w:pPr>
        <w:tabs>
          <w:tab w:val="left" w:pos="5049"/>
        </w:tabs>
        <w:autoSpaceDE w:val="0"/>
        <w:autoSpaceDN w:val="0"/>
        <w:adjustRightInd w:val="0"/>
        <w:rPr>
          <w:rFonts w:cs="Arial"/>
        </w:rPr>
      </w:pPr>
      <w:r w:rsidRPr="00974018">
        <w:rPr>
          <w:rFonts w:cs="Arial"/>
        </w:rPr>
        <w:tab/>
      </w:r>
    </w:p>
    <w:p w14:paraId="38740836" w14:textId="77777777" w:rsidR="00D32CFD" w:rsidRPr="00974018" w:rsidRDefault="00D32CFD" w:rsidP="00974018">
      <w:pPr>
        <w:ind w:left="851" w:right="901"/>
        <w:rPr>
          <w:rFonts w:cs="Arial"/>
          <w:i/>
          <w:szCs w:val="22"/>
        </w:rPr>
      </w:pPr>
      <w:r w:rsidRPr="00974018">
        <w:rPr>
          <w:rFonts w:cs="Arial"/>
          <w:i/>
          <w:szCs w:val="22"/>
        </w:rPr>
        <w:t>“</w:t>
      </w:r>
      <w:r w:rsidRPr="00974018">
        <w:rPr>
          <w:rFonts w:cs="Arial"/>
          <w:b/>
          <w:i/>
          <w:szCs w:val="22"/>
        </w:rPr>
        <w:t>Expresión documental.</w:t>
      </w:r>
      <w:r w:rsidRPr="00974018">
        <w:rPr>
          <w:rFonts w:cs="Arial"/>
          <w:i/>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566BDA6E" w14:textId="77777777" w:rsidR="00D32CFD" w:rsidRPr="00974018" w:rsidRDefault="00D32CFD" w:rsidP="00974018">
      <w:pPr>
        <w:ind w:left="851" w:right="901"/>
        <w:rPr>
          <w:rFonts w:cs="Arial"/>
          <w:i/>
          <w:szCs w:val="22"/>
        </w:rPr>
      </w:pPr>
    </w:p>
    <w:p w14:paraId="74B41540" w14:textId="77777777" w:rsidR="00D32CFD" w:rsidRPr="00974018" w:rsidRDefault="00D32CFD" w:rsidP="00974018">
      <w:pPr>
        <w:autoSpaceDE w:val="0"/>
        <w:autoSpaceDN w:val="0"/>
        <w:adjustRightInd w:val="0"/>
        <w:rPr>
          <w:rFonts w:cs="Arial"/>
        </w:rPr>
      </w:pPr>
      <w:r w:rsidRPr="00974018">
        <w:rPr>
          <w:rFonts w:cs="Arial"/>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3BA030A9" w14:textId="77777777" w:rsidR="00D32CFD" w:rsidRPr="00974018" w:rsidRDefault="00D32CFD" w:rsidP="00974018">
      <w:pPr>
        <w:autoSpaceDE w:val="0"/>
        <w:autoSpaceDN w:val="0"/>
        <w:adjustRightInd w:val="0"/>
      </w:pPr>
    </w:p>
    <w:p w14:paraId="0B779957" w14:textId="77777777" w:rsidR="00D32CFD" w:rsidRPr="00974018" w:rsidRDefault="00D32CFD" w:rsidP="00974018">
      <w:pPr>
        <w:autoSpaceDE w:val="0"/>
        <w:autoSpaceDN w:val="0"/>
        <w:adjustRightInd w:val="0"/>
        <w:rPr>
          <w:rFonts w:cs="Arial"/>
        </w:rPr>
      </w:pPr>
      <w:r w:rsidRPr="00974018">
        <w:rPr>
          <w:rFonts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06425F33" w14:textId="77777777" w:rsidR="00D32CFD" w:rsidRPr="00974018" w:rsidRDefault="00D32CFD" w:rsidP="00974018">
      <w:pPr>
        <w:autoSpaceDE w:val="0"/>
        <w:autoSpaceDN w:val="0"/>
        <w:adjustRightInd w:val="0"/>
      </w:pPr>
    </w:p>
    <w:p w14:paraId="3B4ACAAB" w14:textId="77777777" w:rsidR="00D32CFD" w:rsidRPr="00974018" w:rsidRDefault="00D32CFD" w:rsidP="00974018">
      <w:pPr>
        <w:rPr>
          <w:rFonts w:cs="Arial"/>
          <w:lang w:eastAsia="es-MX"/>
        </w:rPr>
      </w:pPr>
      <w:r w:rsidRPr="00974018">
        <w:lastRenderedPageBreak/>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974018">
        <w:rPr>
          <w:b/>
        </w:rPr>
        <w:t xml:space="preserve">EL SUJETO OBLIGADO </w:t>
      </w:r>
      <w:r w:rsidRPr="00974018">
        <w:t xml:space="preserve">dio respuesta a parte de los requerimientos, sirviendo de sustento lo establecido en el numeral </w:t>
      </w:r>
      <w:r w:rsidRPr="00974018">
        <w:rPr>
          <w:rFonts w:cs="Arial"/>
          <w:lang w:eastAsia="es-MX"/>
        </w:rPr>
        <w:t>8 de la Ley de Transparencia y Acceso a la Información Pública del Estado de México y Municipios, que es del tenor literal siguiente:</w:t>
      </w:r>
    </w:p>
    <w:p w14:paraId="3F4DE33B" w14:textId="77777777" w:rsidR="00D32CFD" w:rsidRPr="00974018" w:rsidRDefault="00D32CFD" w:rsidP="00974018">
      <w:pPr>
        <w:rPr>
          <w:rFonts w:cs="Arial"/>
          <w:lang w:eastAsia="es-MX"/>
        </w:rPr>
      </w:pPr>
    </w:p>
    <w:p w14:paraId="2A13117F" w14:textId="77777777" w:rsidR="00D32CFD" w:rsidRPr="00974018" w:rsidRDefault="00D32CFD" w:rsidP="00974018">
      <w:pPr>
        <w:ind w:left="851" w:right="901"/>
        <w:rPr>
          <w:rFonts w:cs="Arial"/>
          <w:i/>
          <w:lang w:eastAsia="es-MX"/>
        </w:rPr>
      </w:pPr>
      <w:r w:rsidRPr="00974018">
        <w:rPr>
          <w:rFonts w:cs="Arial"/>
          <w:i/>
          <w:lang w:eastAsia="es-MX"/>
        </w:rPr>
        <w:t>“</w:t>
      </w:r>
      <w:r w:rsidRPr="00974018">
        <w:rPr>
          <w:rFonts w:cs="Arial"/>
          <w:b/>
          <w:i/>
          <w:lang w:eastAsia="es-MX"/>
        </w:rPr>
        <w:t>Artículo 8</w:t>
      </w:r>
      <w:r w:rsidRPr="00974018">
        <w:rPr>
          <w:rFonts w:cs="Arial"/>
          <w:i/>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3892FE6B" w14:textId="77777777" w:rsidR="00D32CFD" w:rsidRPr="00974018" w:rsidRDefault="00D32CFD" w:rsidP="00974018">
      <w:pPr>
        <w:ind w:left="851" w:right="901"/>
        <w:rPr>
          <w:rFonts w:cs="Arial"/>
          <w:i/>
          <w:lang w:eastAsia="es-MX"/>
        </w:rPr>
      </w:pPr>
      <w:r w:rsidRPr="00974018">
        <w:rPr>
          <w:rFonts w:cs="Arial"/>
          <w:i/>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7A371B12" w14:textId="77777777" w:rsidR="00D32CFD" w:rsidRPr="00974018" w:rsidRDefault="00D32CFD" w:rsidP="00974018">
      <w:pPr>
        <w:rPr>
          <w:rFonts w:cs="Arial"/>
          <w:lang w:eastAsia="es-MX"/>
        </w:rPr>
      </w:pPr>
    </w:p>
    <w:p w14:paraId="2F167754" w14:textId="77777777" w:rsidR="00D32CFD" w:rsidRPr="00974018" w:rsidRDefault="00D32CFD" w:rsidP="00974018">
      <w:pPr>
        <w:rPr>
          <w:rFonts w:cs="Arial"/>
          <w:lang w:eastAsia="es-MX"/>
        </w:rPr>
      </w:pPr>
      <w:r w:rsidRPr="00974018">
        <w:rPr>
          <w:rFonts w:cs="Arial"/>
          <w:lang w:eastAsia="es-MX"/>
        </w:rPr>
        <w:t>En este sentido, es conveniente invocar el criterio jurisprudencial, emitido la Primera Sala de la Suprema Corte de Justicia de la Nación, encontrado en el Libro 11, Tomo I página 613, de octubre de 2014,</w:t>
      </w:r>
      <w:r w:rsidRPr="00974018">
        <w:t xml:space="preserve"> </w:t>
      </w:r>
      <w:r w:rsidRPr="00974018">
        <w:rPr>
          <w:rFonts w:cs="Arial"/>
          <w:lang w:eastAsia="es-MX"/>
        </w:rPr>
        <w:t>del Semanario Judicial de la Federación y su Gaceta, Décima Época, que su texto nos refiere:</w:t>
      </w:r>
    </w:p>
    <w:p w14:paraId="0BEC99AD" w14:textId="77777777" w:rsidR="00D32CFD" w:rsidRPr="00974018" w:rsidRDefault="00D32CFD" w:rsidP="00974018">
      <w:pPr>
        <w:rPr>
          <w:rFonts w:cs="Arial"/>
          <w:lang w:eastAsia="es-MX"/>
        </w:rPr>
      </w:pPr>
    </w:p>
    <w:p w14:paraId="0ED03241" w14:textId="77777777" w:rsidR="00D32CFD" w:rsidRPr="00974018" w:rsidRDefault="00D32CFD" w:rsidP="00974018">
      <w:pPr>
        <w:ind w:left="851" w:right="901"/>
        <w:rPr>
          <w:rFonts w:cs="Arial"/>
          <w:b/>
          <w:i/>
          <w:lang w:eastAsia="es-MX"/>
        </w:rPr>
      </w:pPr>
      <w:r w:rsidRPr="00974018">
        <w:rPr>
          <w:rFonts w:cs="Arial"/>
          <w:b/>
          <w:i/>
          <w:lang w:eastAsia="es-MX"/>
        </w:rPr>
        <w:lastRenderedPageBreak/>
        <w:t xml:space="preserve">PRINCIPIO PRO PERSONA. REQUISITOS MÍNIMOS PARA QUE SE ATIENDA EL FONDO DE LA SOLICITUD DE SU APLICACIÓN, O LA IMPUGNACIÓN DE SU OMISIÓN POR LA AUTORIDAD RESPONSABLE. </w:t>
      </w:r>
      <w:r w:rsidRPr="00974018">
        <w:rPr>
          <w:rFonts w:cs="Arial"/>
          <w:i/>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974018">
        <w:rPr>
          <w:rFonts w:cs="Arial"/>
          <w:i/>
          <w:lang w:eastAsia="es-MX"/>
        </w:rPr>
        <w:t>pro</w:t>
      </w:r>
      <w:proofErr w:type="spellEnd"/>
      <w:r w:rsidRPr="00974018">
        <w:rPr>
          <w:rFonts w:cs="Arial"/>
          <w:i/>
          <w:lang w:eastAsia="es-MX"/>
        </w:rPr>
        <w:t xml:space="preserve"> persona, pues para realizarlo </w:t>
      </w:r>
      <w:r w:rsidRPr="00974018">
        <w:rPr>
          <w:rFonts w:cs="Arial"/>
          <w:i/>
          <w:lang w:eastAsia="es-MX"/>
        </w:rPr>
        <w:lastRenderedPageBreak/>
        <w:t>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6424A820" w14:textId="77777777" w:rsidR="00D32CFD" w:rsidRPr="00974018" w:rsidRDefault="00D32CFD" w:rsidP="00974018">
      <w:pPr>
        <w:rPr>
          <w:rFonts w:cs="Arial"/>
          <w:i/>
        </w:rPr>
      </w:pPr>
    </w:p>
    <w:p w14:paraId="6D52BC86" w14:textId="7528F9D3" w:rsidR="00D32CFD" w:rsidRPr="00974018" w:rsidRDefault="00D32CFD" w:rsidP="00974018">
      <w:pPr>
        <w:rPr>
          <w:rFonts w:cs="Arial"/>
        </w:rPr>
      </w:pPr>
      <w:r w:rsidRPr="00974018">
        <w:rPr>
          <w:rFonts w:cs="Arial"/>
        </w:rPr>
        <w:t xml:space="preserve">Señalado lo anterior se procede a contextualizar lo que solicita la recurrente a través de los cuestionamientos planteados </w:t>
      </w:r>
      <w:r w:rsidR="00F90BBB" w:rsidRPr="00974018">
        <w:rPr>
          <w:rFonts w:cs="Arial"/>
        </w:rPr>
        <w:t>para determinar cuáles si pueden ser atenidos mediante la entrega de documentos y cuales sí son considerados un  derecho de petición.</w:t>
      </w:r>
    </w:p>
    <w:p w14:paraId="400513A1" w14:textId="77777777" w:rsidR="00F90BBB" w:rsidRPr="00974018" w:rsidRDefault="00F90BBB" w:rsidP="00974018">
      <w:pPr>
        <w:rPr>
          <w:rFonts w:cs="Arial"/>
        </w:rPr>
      </w:pPr>
    </w:p>
    <w:tbl>
      <w:tblPr>
        <w:tblStyle w:val="Tablaconcuadrcula"/>
        <w:tblW w:w="0" w:type="auto"/>
        <w:tblLook w:val="04A0" w:firstRow="1" w:lastRow="0" w:firstColumn="1" w:lastColumn="0" w:noHBand="0" w:noVBand="1"/>
      </w:tblPr>
      <w:tblGrid>
        <w:gridCol w:w="4517"/>
        <w:gridCol w:w="4517"/>
      </w:tblGrid>
      <w:tr w:rsidR="00974018" w:rsidRPr="00974018" w14:paraId="205877FB" w14:textId="77777777" w:rsidTr="00F90BBB">
        <w:tc>
          <w:tcPr>
            <w:tcW w:w="4517" w:type="dxa"/>
            <w:shd w:val="clear" w:color="auto" w:fill="D9D9D9" w:themeFill="background1" w:themeFillShade="D9"/>
            <w:vAlign w:val="center"/>
          </w:tcPr>
          <w:p w14:paraId="30AB28AD" w14:textId="340B4ED0" w:rsidR="00F90BBB" w:rsidRPr="00974018" w:rsidRDefault="00F90BBB" w:rsidP="00974018">
            <w:pPr>
              <w:jc w:val="center"/>
              <w:rPr>
                <w:rFonts w:cs="Arial"/>
                <w:b/>
              </w:rPr>
            </w:pPr>
            <w:r w:rsidRPr="00974018">
              <w:rPr>
                <w:rFonts w:cs="Arial"/>
                <w:b/>
              </w:rPr>
              <w:t>Derecho de Acceso a la Información</w:t>
            </w:r>
          </w:p>
        </w:tc>
        <w:tc>
          <w:tcPr>
            <w:tcW w:w="4517" w:type="dxa"/>
            <w:shd w:val="clear" w:color="auto" w:fill="D9D9D9" w:themeFill="background1" w:themeFillShade="D9"/>
            <w:vAlign w:val="center"/>
          </w:tcPr>
          <w:p w14:paraId="314432AA" w14:textId="5FF28F2F" w:rsidR="00F90BBB" w:rsidRPr="00974018" w:rsidRDefault="00F90BBB" w:rsidP="00974018">
            <w:pPr>
              <w:jc w:val="center"/>
              <w:rPr>
                <w:rFonts w:cs="Arial"/>
                <w:b/>
              </w:rPr>
            </w:pPr>
            <w:r w:rsidRPr="00974018">
              <w:rPr>
                <w:rFonts w:cs="Arial"/>
                <w:b/>
              </w:rPr>
              <w:t>Derecho de petición</w:t>
            </w:r>
          </w:p>
        </w:tc>
      </w:tr>
      <w:tr w:rsidR="00974018" w:rsidRPr="00974018" w14:paraId="53C6B888" w14:textId="77777777" w:rsidTr="00F90BBB">
        <w:tc>
          <w:tcPr>
            <w:tcW w:w="4517" w:type="dxa"/>
          </w:tcPr>
          <w:p w14:paraId="170A56E7" w14:textId="77777777" w:rsidR="001C55D7" w:rsidRPr="00974018" w:rsidRDefault="001C55D7" w:rsidP="00974018">
            <w:pPr>
              <w:rPr>
                <w:rFonts w:cs="Arial"/>
              </w:rPr>
            </w:pPr>
            <w:r w:rsidRPr="00974018">
              <w:rPr>
                <w:rFonts w:cs="Arial"/>
              </w:rPr>
              <w:t xml:space="preserve">1 ¿Cuáles son las acciones programadas en la administración 2025-2027 del Ayuntamiento de Metepec para cumplir con los compromisos de su designación como Ciudad Árbol del </w:t>
            </w:r>
            <w:proofErr w:type="gramStart"/>
            <w:r w:rsidRPr="00974018">
              <w:rPr>
                <w:rFonts w:cs="Arial"/>
              </w:rPr>
              <w:t>mundo.?</w:t>
            </w:r>
            <w:proofErr w:type="gramEnd"/>
            <w:r w:rsidRPr="00974018">
              <w:rPr>
                <w:rFonts w:cs="Arial"/>
              </w:rPr>
              <w:t xml:space="preserve"> </w:t>
            </w:r>
          </w:p>
          <w:p w14:paraId="7CFF91F3" w14:textId="77777777" w:rsidR="00F90BBB" w:rsidRPr="00974018" w:rsidRDefault="00F90BBB" w:rsidP="00974018">
            <w:pPr>
              <w:rPr>
                <w:rFonts w:cs="Arial"/>
              </w:rPr>
            </w:pPr>
          </w:p>
        </w:tc>
        <w:tc>
          <w:tcPr>
            <w:tcW w:w="4517" w:type="dxa"/>
          </w:tcPr>
          <w:p w14:paraId="7AFF5616" w14:textId="77777777" w:rsidR="001C55D7" w:rsidRPr="00974018" w:rsidRDefault="001C55D7" w:rsidP="00974018">
            <w:pPr>
              <w:rPr>
                <w:rFonts w:cs="Arial"/>
              </w:rPr>
            </w:pPr>
            <w:r w:rsidRPr="00974018">
              <w:rPr>
                <w:rFonts w:cs="Arial"/>
              </w:rPr>
              <w:t xml:space="preserve">5 ¿Se buscará que en las campañas de reforestación de esta administración se plante una mayor variedad de árboles como capulines, duraznos, limones, pata de cabra cuyo crecimiento no afecta la estructura urbana y sus beneficios para las aves y abejas son de una mayor armonía </w:t>
            </w:r>
            <w:proofErr w:type="gramStart"/>
            <w:r w:rsidRPr="00974018">
              <w:rPr>
                <w:rFonts w:cs="Arial"/>
              </w:rPr>
              <w:t>ecológica.?</w:t>
            </w:r>
            <w:proofErr w:type="gramEnd"/>
          </w:p>
          <w:p w14:paraId="738F1933" w14:textId="77777777" w:rsidR="00F90BBB" w:rsidRPr="00974018" w:rsidRDefault="00F90BBB" w:rsidP="00974018">
            <w:pPr>
              <w:rPr>
                <w:rFonts w:cs="Arial"/>
              </w:rPr>
            </w:pPr>
          </w:p>
        </w:tc>
      </w:tr>
      <w:tr w:rsidR="00974018" w:rsidRPr="00974018" w14:paraId="4CCB5AE6" w14:textId="77777777" w:rsidTr="00F90BBB">
        <w:tc>
          <w:tcPr>
            <w:tcW w:w="4517" w:type="dxa"/>
          </w:tcPr>
          <w:p w14:paraId="09A20EC1" w14:textId="2A94CC6D" w:rsidR="00F90BBB" w:rsidRPr="00974018" w:rsidRDefault="001C55D7" w:rsidP="00974018">
            <w:pPr>
              <w:rPr>
                <w:rFonts w:cs="Arial"/>
              </w:rPr>
            </w:pPr>
            <w:r w:rsidRPr="00974018">
              <w:rPr>
                <w:rFonts w:cs="Arial"/>
              </w:rPr>
              <w:lastRenderedPageBreak/>
              <w:t xml:space="preserve">2 ¿Cuáles son las iniciativas planteadas al cabildo o a otras dependencias municipales o estatales, para crear y ampliar las áreas verdes del municipio? ¿Cuál es el progreso de dichas iniciativas? </w:t>
            </w:r>
          </w:p>
        </w:tc>
        <w:tc>
          <w:tcPr>
            <w:tcW w:w="4517" w:type="dxa"/>
          </w:tcPr>
          <w:p w14:paraId="291CB152" w14:textId="77777777" w:rsidR="00F90BBB" w:rsidRPr="00974018" w:rsidRDefault="00F90BBB" w:rsidP="00974018">
            <w:pPr>
              <w:rPr>
                <w:rFonts w:cs="Arial"/>
              </w:rPr>
            </w:pPr>
          </w:p>
        </w:tc>
      </w:tr>
      <w:tr w:rsidR="00974018" w:rsidRPr="00974018" w14:paraId="6A645BF1" w14:textId="77777777" w:rsidTr="00F90BBB">
        <w:tc>
          <w:tcPr>
            <w:tcW w:w="4517" w:type="dxa"/>
          </w:tcPr>
          <w:p w14:paraId="306B07AA" w14:textId="227EFEDD" w:rsidR="00F90BBB" w:rsidRPr="00974018" w:rsidRDefault="001C55D7" w:rsidP="00974018">
            <w:pPr>
              <w:rPr>
                <w:rFonts w:cs="Arial"/>
              </w:rPr>
            </w:pPr>
            <w:r w:rsidRPr="00974018">
              <w:rPr>
                <w:rFonts w:cs="Arial"/>
              </w:rPr>
              <w:t xml:space="preserve">3 ¿Cuál es el  avance en el proceso de la instalación de cajetes para árboles en las banquetas con dimensiones de 1.50mts o </w:t>
            </w:r>
            <w:proofErr w:type="spellStart"/>
            <w:r w:rsidRPr="00974018">
              <w:rPr>
                <w:rFonts w:cs="Arial"/>
              </w:rPr>
              <w:t>mas</w:t>
            </w:r>
            <w:proofErr w:type="spellEnd"/>
            <w:r w:rsidRPr="00974018">
              <w:rPr>
                <w:rFonts w:cs="Arial"/>
              </w:rPr>
              <w:t xml:space="preserve">? </w:t>
            </w:r>
          </w:p>
        </w:tc>
        <w:tc>
          <w:tcPr>
            <w:tcW w:w="4517" w:type="dxa"/>
          </w:tcPr>
          <w:p w14:paraId="1511E3FF" w14:textId="77777777" w:rsidR="00F90BBB" w:rsidRPr="00974018" w:rsidRDefault="00F90BBB" w:rsidP="00974018">
            <w:pPr>
              <w:rPr>
                <w:rFonts w:cs="Arial"/>
              </w:rPr>
            </w:pPr>
          </w:p>
        </w:tc>
      </w:tr>
      <w:tr w:rsidR="00974018" w:rsidRPr="00974018" w14:paraId="59572B2D" w14:textId="77777777" w:rsidTr="00F90BBB">
        <w:tc>
          <w:tcPr>
            <w:tcW w:w="4517" w:type="dxa"/>
          </w:tcPr>
          <w:p w14:paraId="26600858" w14:textId="77777777" w:rsidR="001C55D7" w:rsidRPr="00974018" w:rsidRDefault="001C55D7" w:rsidP="00974018">
            <w:pPr>
              <w:rPr>
                <w:rFonts w:cs="Arial"/>
              </w:rPr>
            </w:pPr>
            <w:r w:rsidRPr="00974018">
              <w:rPr>
                <w:rFonts w:cs="Arial"/>
              </w:rPr>
              <w:t xml:space="preserve">4 </w:t>
            </w:r>
            <w:proofErr w:type="gramStart"/>
            <w:r w:rsidRPr="00974018">
              <w:rPr>
                <w:rFonts w:cs="Arial"/>
              </w:rPr>
              <w:t>¿ Existe</w:t>
            </w:r>
            <w:proofErr w:type="gramEnd"/>
            <w:r w:rsidRPr="00974018">
              <w:rPr>
                <w:rFonts w:cs="Arial"/>
              </w:rPr>
              <w:t xml:space="preserve"> algún programa de colaboración o convenios con particulares, asociaciones civiles o empresas para ampliar las áreas verdes del municipio? </w:t>
            </w:r>
          </w:p>
          <w:p w14:paraId="27281022" w14:textId="77777777" w:rsidR="00F90BBB" w:rsidRPr="00974018" w:rsidRDefault="00F90BBB" w:rsidP="00974018">
            <w:pPr>
              <w:rPr>
                <w:rFonts w:cs="Arial"/>
              </w:rPr>
            </w:pPr>
          </w:p>
        </w:tc>
        <w:tc>
          <w:tcPr>
            <w:tcW w:w="4517" w:type="dxa"/>
          </w:tcPr>
          <w:p w14:paraId="46FFAB30" w14:textId="77777777" w:rsidR="00F90BBB" w:rsidRPr="00974018" w:rsidRDefault="00F90BBB" w:rsidP="00974018">
            <w:pPr>
              <w:rPr>
                <w:rFonts w:cs="Arial"/>
              </w:rPr>
            </w:pPr>
          </w:p>
        </w:tc>
      </w:tr>
      <w:tr w:rsidR="00F90BBB" w:rsidRPr="00974018" w14:paraId="0201496D" w14:textId="77777777" w:rsidTr="00F90BBB">
        <w:tc>
          <w:tcPr>
            <w:tcW w:w="4517" w:type="dxa"/>
          </w:tcPr>
          <w:p w14:paraId="002035EB" w14:textId="77777777" w:rsidR="00F90BBB" w:rsidRPr="00974018" w:rsidRDefault="00F90BBB" w:rsidP="00974018">
            <w:pPr>
              <w:rPr>
                <w:rFonts w:cs="Arial"/>
              </w:rPr>
            </w:pPr>
          </w:p>
        </w:tc>
        <w:tc>
          <w:tcPr>
            <w:tcW w:w="4517" w:type="dxa"/>
          </w:tcPr>
          <w:p w14:paraId="4B8E1A30" w14:textId="77777777" w:rsidR="001C55D7" w:rsidRPr="00974018" w:rsidRDefault="001C55D7" w:rsidP="00974018">
            <w:pPr>
              <w:rPr>
                <w:rFonts w:cs="Arial"/>
              </w:rPr>
            </w:pPr>
            <w:r w:rsidRPr="00974018">
              <w:rPr>
                <w:rFonts w:cs="Arial"/>
              </w:rPr>
              <w:t>6 ¿</w:t>
            </w:r>
            <w:proofErr w:type="spellStart"/>
            <w:r w:rsidRPr="00974018">
              <w:rPr>
                <w:rFonts w:cs="Arial"/>
              </w:rPr>
              <w:t>Esta</w:t>
            </w:r>
            <w:proofErr w:type="spellEnd"/>
            <w:r w:rsidRPr="00974018">
              <w:rPr>
                <w:rFonts w:cs="Arial"/>
              </w:rPr>
              <w:t xml:space="preserve"> ya listo el programa de ordenamiento ecológico local de Metepec y su manual de proceso? </w:t>
            </w:r>
          </w:p>
          <w:p w14:paraId="6EC1204E" w14:textId="77777777" w:rsidR="00F90BBB" w:rsidRPr="00974018" w:rsidRDefault="00F90BBB" w:rsidP="00974018">
            <w:pPr>
              <w:rPr>
                <w:rFonts w:cs="Arial"/>
              </w:rPr>
            </w:pPr>
          </w:p>
        </w:tc>
      </w:tr>
    </w:tbl>
    <w:p w14:paraId="291F7D3E" w14:textId="77777777" w:rsidR="00F90BBB" w:rsidRPr="00974018" w:rsidRDefault="00F90BBB" w:rsidP="00974018">
      <w:pPr>
        <w:rPr>
          <w:rFonts w:cs="Arial"/>
        </w:rPr>
      </w:pPr>
    </w:p>
    <w:p w14:paraId="4163D505" w14:textId="77777777" w:rsidR="001C55D7" w:rsidRPr="00974018" w:rsidRDefault="001C55D7" w:rsidP="00974018">
      <w:pPr>
        <w:rPr>
          <w:rFonts w:cs="Arial"/>
        </w:rPr>
      </w:pPr>
      <w:r w:rsidRPr="00974018">
        <w:rPr>
          <w:rFonts w:cs="Arial"/>
        </w:rPr>
        <w:t xml:space="preserve">Ahora bien por lo que hace a los puntos “5 ¿Se buscará que en las campañas de reforestación de esta administración se plante una mayor variedad de árboles como capulines, duraznos, limones, pata de cabra cuyo crecimiento no afecta la estructura urbana y sus beneficios para las aves y abejas son de una mayor armonía </w:t>
      </w:r>
      <w:proofErr w:type="gramStart"/>
      <w:r w:rsidRPr="00974018">
        <w:rPr>
          <w:rFonts w:cs="Arial"/>
        </w:rPr>
        <w:t>ecológica.</w:t>
      </w:r>
      <w:proofErr w:type="gramEnd"/>
      <w:r w:rsidRPr="00974018">
        <w:rPr>
          <w:rFonts w:cs="Arial"/>
        </w:rPr>
        <w:t>?” y “6 ¿</w:t>
      </w:r>
      <w:proofErr w:type="spellStart"/>
      <w:r w:rsidRPr="00974018">
        <w:rPr>
          <w:rFonts w:cs="Arial"/>
        </w:rPr>
        <w:t>Esta</w:t>
      </w:r>
      <w:proofErr w:type="spellEnd"/>
      <w:r w:rsidRPr="00974018">
        <w:rPr>
          <w:rFonts w:cs="Arial"/>
        </w:rPr>
        <w:t xml:space="preserve"> ya listo el programa de ordenamiento ecológico local de Metepec y su manual de proceso?”</w:t>
      </w:r>
    </w:p>
    <w:p w14:paraId="562A3064" w14:textId="2DEFFDCE" w:rsidR="001C55D7" w:rsidRPr="00974018" w:rsidRDefault="001C55D7" w:rsidP="00974018">
      <w:pPr>
        <w:rPr>
          <w:rFonts w:cs="Arial"/>
        </w:rPr>
      </w:pPr>
      <w:r w:rsidRPr="00974018">
        <w:rPr>
          <w:rFonts w:cs="Arial"/>
        </w:rPr>
        <w:t xml:space="preserve"> </w:t>
      </w:r>
    </w:p>
    <w:p w14:paraId="13909714" w14:textId="602D433B" w:rsidR="006B1F8C" w:rsidRPr="00974018" w:rsidRDefault="001C55D7" w:rsidP="00974018">
      <w:r w:rsidRPr="00974018">
        <w:rPr>
          <w:rFonts w:cs="Arial"/>
        </w:rPr>
        <w:lastRenderedPageBreak/>
        <w:t>Se advierte que no pueden ser colmados mediante un documento y</w:t>
      </w:r>
      <w:r w:rsidR="006B1F8C" w:rsidRPr="00974018">
        <w:t xml:space="preserve"> no constituye un derecho de acceso a la información y por lo tanto, no </w:t>
      </w:r>
      <w:r w:rsidRPr="00974018">
        <w:t>son</w:t>
      </w:r>
      <w:r w:rsidR="006B1F8C" w:rsidRPr="00974018">
        <w:t xml:space="preserve"> atendible mediante una solicitud de acceso a la información pública, ya que se tratan de una petición de</w:t>
      </w:r>
      <w:r w:rsidR="006B1F8C" w:rsidRPr="00974018">
        <w:rPr>
          <w:b/>
        </w:rPr>
        <w:t xml:space="preserve"> LA PARTE RECURRENTE</w:t>
      </w:r>
      <w:r w:rsidR="006B1F8C" w:rsidRPr="00974018">
        <w:t>, situación que conlleva a afirmar que se está en presencia del ejercicio del derecho a la libre expresión y en todo caso a un derecho de petición.</w:t>
      </w:r>
    </w:p>
    <w:p w14:paraId="2D008C3F" w14:textId="77777777" w:rsidR="006B1F8C" w:rsidRPr="00974018" w:rsidRDefault="006B1F8C" w:rsidP="00974018">
      <w:pPr>
        <w:pStyle w:val="Prrafodelista"/>
        <w:widowControl w:val="0"/>
        <w:autoSpaceDE w:val="0"/>
        <w:autoSpaceDN w:val="0"/>
        <w:adjustRightInd w:val="0"/>
        <w:ind w:left="0"/>
      </w:pPr>
    </w:p>
    <w:p w14:paraId="09110649" w14:textId="77777777" w:rsidR="006B1F8C" w:rsidRPr="00974018" w:rsidRDefault="006B1F8C" w:rsidP="00974018">
      <w:pPr>
        <w:pStyle w:val="Prrafodelista"/>
        <w:widowControl w:val="0"/>
        <w:autoSpaceDE w:val="0"/>
        <w:autoSpaceDN w:val="0"/>
        <w:adjustRightInd w:val="0"/>
        <w:ind w:left="0"/>
        <w:rPr>
          <w:rFonts w:eastAsia="Palatino Linotype" w:cs="Palatino Linotype"/>
        </w:rPr>
      </w:pPr>
      <w:r w:rsidRPr="00974018">
        <w:t>Así las cosas, M</w:t>
      </w:r>
      <w:r w:rsidRPr="00974018">
        <w:rPr>
          <w:rFonts w:eastAsia="Palatino Linotype" w:cs="Palatino Linotype"/>
        </w:rPr>
        <w:t xml:space="preserve">iguel Carbonell en su libro “Los derechos fundamentales” refiere que el </w:t>
      </w:r>
      <w:r w:rsidRPr="00974018">
        <w:rPr>
          <w:rFonts w:eastAsia="Palatino Linotype" w:cs="Palatino Linotype"/>
          <w:u w:val="single"/>
        </w:rPr>
        <w:t>derecho de petición se ha entendido de dos distintitas maneras</w:t>
      </w:r>
      <w:r w:rsidRPr="00974018">
        <w:rPr>
          <w:rFonts w:eastAsia="Palatino Linotype" w:cs="Palatino Linotype"/>
        </w:rPr>
        <w:t xml:space="preserve">, a saber: como un derecho fundamental de participación política ya que </w:t>
      </w:r>
      <w:r w:rsidRPr="00974018">
        <w:rPr>
          <w:rFonts w:eastAsia="Palatino Linotype" w:cs="Palatino Linotype"/>
          <w:u w:val="single"/>
        </w:rPr>
        <w:t xml:space="preserve">permite a los particulares trasladar a las autoridades sus </w:t>
      </w:r>
      <w:r w:rsidRPr="00974018">
        <w:rPr>
          <w:rFonts w:eastAsia="Palatino Linotype" w:cs="Palatino Linotype"/>
          <w:b/>
          <w:u w:val="single"/>
        </w:rPr>
        <w:t>inquietudes, quejas</w:t>
      </w:r>
      <w:r w:rsidRPr="00974018">
        <w:rPr>
          <w:rFonts w:eastAsia="Palatino Linotype" w:cs="Palatino Linotype"/>
          <w:u w:val="single"/>
        </w:rPr>
        <w:t>, sugerencias</w:t>
      </w:r>
      <w:r w:rsidRPr="00974018">
        <w:rPr>
          <w:rFonts w:eastAsia="Palatino Linotype" w:cs="Palatino Linotype"/>
        </w:rPr>
        <w:t xml:space="preserve"> y requerimientos en cualquier materia o asunto; y como una </w:t>
      </w:r>
      <w:r w:rsidRPr="00974018">
        <w:rPr>
          <w:rFonts w:eastAsia="Palatino Linotype" w:cs="Palatino Linotype"/>
          <w:b/>
        </w:rPr>
        <w:t>forma específica de la libertad de expresión</w:t>
      </w:r>
      <w:r w:rsidRPr="00974018">
        <w:rPr>
          <w:rFonts w:eastAsia="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974018">
        <w:rPr>
          <w:rFonts w:eastAsia="Palatino Linotype" w:cs="Palatino Linotype"/>
          <w:vertAlign w:val="superscript"/>
        </w:rPr>
        <w:footnoteReference w:id="1"/>
      </w:r>
    </w:p>
    <w:p w14:paraId="6D2AD73D" w14:textId="77777777" w:rsidR="006B1F8C" w:rsidRPr="00974018" w:rsidRDefault="006B1F8C" w:rsidP="00974018">
      <w:pPr>
        <w:spacing w:before="240" w:after="240"/>
        <w:ind w:right="99"/>
        <w:contextualSpacing/>
        <w:rPr>
          <w:rFonts w:eastAsia="Palatino Linotype" w:cs="Palatino Linotype"/>
        </w:rPr>
      </w:pPr>
      <w:r w:rsidRPr="00974018">
        <w:rPr>
          <w:rFonts w:eastAsia="Palatino Linotype" w:cs="Palatino Linotype"/>
        </w:rPr>
        <w:t xml:space="preserve">Por otro lado, el autor anteriormente citado, indica que el </w:t>
      </w:r>
      <w:r w:rsidRPr="00974018">
        <w:rPr>
          <w:rFonts w:eastAsia="Palatino Linotype" w:cs="Palatino Linotype"/>
          <w:b/>
          <w:u w:val="single"/>
        </w:rPr>
        <w:t>derecho de acceso a la información pública</w:t>
      </w:r>
      <w:r w:rsidRPr="00974018">
        <w:rPr>
          <w:rFonts w:eastAsia="Palatino Linotype" w:cs="Palatino Linotype"/>
        </w:rPr>
        <w:t xml:space="preserve"> es el derecho de conocer la </w:t>
      </w:r>
      <w:r w:rsidRPr="00974018">
        <w:rPr>
          <w:rFonts w:eastAsia="Palatino Linotype" w:cs="Palatino Linotype"/>
          <w:u w:val="single"/>
        </w:rPr>
        <w:t>información de carácter público que se genera o está en posesión de los órganos del poder público</w:t>
      </w:r>
      <w:r w:rsidRPr="00974018">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1F902C42" w14:textId="77777777" w:rsidR="006B1F8C" w:rsidRPr="00974018" w:rsidRDefault="006B1F8C" w:rsidP="00974018">
      <w:pPr>
        <w:spacing w:before="240" w:after="240"/>
        <w:ind w:right="99"/>
        <w:contextualSpacing/>
        <w:rPr>
          <w:rFonts w:eastAsia="Palatino Linotype" w:cs="Palatino Linotype"/>
        </w:rPr>
      </w:pPr>
    </w:p>
    <w:p w14:paraId="78FEA56F" w14:textId="77777777" w:rsidR="006B1F8C" w:rsidRPr="00974018" w:rsidRDefault="006B1F8C" w:rsidP="00974018">
      <w:pPr>
        <w:spacing w:before="240" w:after="240"/>
        <w:ind w:right="99"/>
        <w:contextualSpacing/>
        <w:rPr>
          <w:rFonts w:eastAsia="Palatino Linotype" w:cs="Palatino Linotype"/>
        </w:rPr>
      </w:pPr>
      <w:r w:rsidRPr="00974018">
        <w:rPr>
          <w:rFonts w:eastAsia="Palatino Linotype" w:cs="Palatino Linotype"/>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974018">
        <w:rPr>
          <w:rFonts w:eastAsia="Palatino Linotype" w:cs="Palatino Linotype"/>
          <w:vertAlign w:val="superscript"/>
        </w:rPr>
        <w:footnoteReference w:id="2"/>
      </w:r>
    </w:p>
    <w:p w14:paraId="5C1D7BC6" w14:textId="77777777" w:rsidR="006B1F8C" w:rsidRPr="00974018" w:rsidRDefault="006B1F8C" w:rsidP="00974018">
      <w:pPr>
        <w:spacing w:before="240" w:after="240"/>
        <w:ind w:right="99"/>
        <w:contextualSpacing/>
        <w:rPr>
          <w:rFonts w:eastAsia="Palatino Linotype" w:cs="Palatino Linotype"/>
        </w:rPr>
      </w:pPr>
    </w:p>
    <w:p w14:paraId="72223CDC" w14:textId="77777777" w:rsidR="006B1F8C" w:rsidRPr="00974018" w:rsidRDefault="006B1F8C" w:rsidP="00974018">
      <w:pPr>
        <w:spacing w:before="240" w:after="240"/>
        <w:ind w:right="99"/>
        <w:contextualSpacing/>
        <w:rPr>
          <w:rFonts w:eastAsia="Palatino Linotype" w:cs="Palatino Linotype"/>
        </w:rPr>
      </w:pPr>
      <w:r w:rsidRPr="00974018">
        <w:rPr>
          <w:rFonts w:eastAsia="Palatino Linotype" w:cs="Palatino Linotype"/>
        </w:rPr>
        <w:t xml:space="preserve">De lo anterior se puede concluir que la distinción entre el </w:t>
      </w:r>
      <w:r w:rsidRPr="00974018">
        <w:rPr>
          <w:rFonts w:eastAsia="Palatino Linotype" w:cs="Palatino Linotype"/>
          <w:b/>
        </w:rPr>
        <w:t>derecho de petición</w:t>
      </w:r>
      <w:r w:rsidRPr="00974018">
        <w:rPr>
          <w:rFonts w:eastAsia="Palatino Linotype" w:cs="Palatino Linotype"/>
        </w:rPr>
        <w:t xml:space="preserve"> y el derecho de acceso a la información descansa, principalmente, en que </w:t>
      </w:r>
      <w:r w:rsidRPr="00974018">
        <w:rPr>
          <w:rFonts w:eastAsia="Palatino Linotype" w:cs="Palatino Linotype"/>
          <w:u w:val="single"/>
        </w:rPr>
        <w:t xml:space="preserve">la pretensión del peticionario consiste generalmente en obligar a la autoridad responsable a que actúe </w:t>
      </w:r>
      <w:r w:rsidRPr="00974018">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685AD46" w14:textId="77777777" w:rsidR="006B1F8C" w:rsidRPr="00974018" w:rsidRDefault="006B1F8C" w:rsidP="00974018">
      <w:pPr>
        <w:spacing w:before="240" w:after="240"/>
        <w:ind w:right="99"/>
        <w:contextualSpacing/>
        <w:rPr>
          <w:rFonts w:eastAsia="Palatino Linotype" w:cs="Palatino Linotype"/>
        </w:rPr>
      </w:pPr>
    </w:p>
    <w:p w14:paraId="715518E3" w14:textId="77777777" w:rsidR="006B1F8C" w:rsidRPr="00974018" w:rsidRDefault="006B1F8C" w:rsidP="00974018">
      <w:pPr>
        <w:spacing w:before="240" w:after="240"/>
        <w:ind w:right="99"/>
        <w:contextualSpacing/>
        <w:rPr>
          <w:rFonts w:eastAsia="Palatino Linotype" w:cs="Palatino Linotype"/>
        </w:rPr>
      </w:pPr>
      <w:r w:rsidRPr="00974018">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974018">
        <w:rPr>
          <w:rFonts w:eastAsia="Palatino Linotype" w:cs="Palatino Linotype"/>
          <w:b/>
          <w:u w:val="single"/>
        </w:rPr>
        <w:t>interrogantes, inquietudes, quejas y manifestaciones</w:t>
      </w:r>
      <w:r w:rsidRPr="00974018">
        <w:rPr>
          <w:rFonts w:eastAsia="Palatino Linotype" w:cs="Palatino Linotype"/>
        </w:rPr>
        <w:t xml:space="preserve"> resultan estar encaminadas a ser satisfechas en ejercicio del derecho de petición.</w:t>
      </w:r>
    </w:p>
    <w:p w14:paraId="5211D27D" w14:textId="77777777" w:rsidR="001C55D7" w:rsidRPr="00974018" w:rsidRDefault="001C55D7" w:rsidP="00974018">
      <w:pPr>
        <w:ind w:right="99"/>
        <w:rPr>
          <w:rFonts w:eastAsia="Palatino Linotype" w:cs="Palatino Linotype"/>
          <w:lang w:eastAsia="es-MX"/>
        </w:rPr>
      </w:pPr>
    </w:p>
    <w:p w14:paraId="7689667A" w14:textId="77777777" w:rsidR="006B1F8C" w:rsidRPr="00974018" w:rsidRDefault="006B1F8C" w:rsidP="00974018">
      <w:pPr>
        <w:ind w:right="99"/>
        <w:rPr>
          <w:rFonts w:eastAsia="Palatino Linotype" w:cs="Palatino Linotype"/>
          <w:lang w:eastAsia="es-MX"/>
        </w:rPr>
      </w:pPr>
      <w:r w:rsidRPr="00974018">
        <w:rPr>
          <w:rFonts w:eastAsia="Palatino Linotype" w:cs="Palatino Linotype"/>
          <w:lang w:eastAsia="es-MX"/>
        </w:rPr>
        <w:t xml:space="preserve">De lo anterior se puede concluir que la distinción entre el </w:t>
      </w:r>
      <w:r w:rsidRPr="00974018">
        <w:rPr>
          <w:rFonts w:eastAsia="Palatino Linotype" w:cs="Palatino Linotype"/>
          <w:b/>
          <w:lang w:eastAsia="es-MX"/>
        </w:rPr>
        <w:t>derecho de petición</w:t>
      </w:r>
      <w:r w:rsidRPr="00974018">
        <w:rPr>
          <w:rFonts w:eastAsia="Palatino Linotype" w:cs="Palatino Linotype"/>
          <w:lang w:eastAsia="es-MX"/>
        </w:rPr>
        <w:t xml:space="preserve"> y el derecho de acceso a la información descansa, principalmente, en que la pretensión del peticionario consiste generalmente en obligar a la autoridad responsable a que actúe en el sentido de </w:t>
      </w:r>
      <w:r w:rsidRPr="00974018">
        <w:rPr>
          <w:rFonts w:eastAsia="Palatino Linotype" w:cs="Palatino Linotype"/>
          <w:lang w:eastAsia="es-MX"/>
        </w:rPr>
        <w:lastRenderedPageBreak/>
        <w:t>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A1745E9" w14:textId="77777777" w:rsidR="00D32CFD" w:rsidRPr="00974018" w:rsidRDefault="00D32CFD" w:rsidP="00974018">
      <w:pPr>
        <w:rPr>
          <w:rFonts w:cs="Arial"/>
        </w:rPr>
      </w:pPr>
    </w:p>
    <w:p w14:paraId="39A2A31D" w14:textId="73F6C139" w:rsidR="001C55D7" w:rsidRPr="00974018" w:rsidRDefault="001C55D7" w:rsidP="00974018">
      <w:pPr>
        <w:rPr>
          <w:rFonts w:cs="Arial"/>
        </w:rPr>
      </w:pPr>
      <w:r w:rsidRPr="00974018">
        <w:rPr>
          <w:rFonts w:cs="Tahoma"/>
          <w:bCs/>
          <w:szCs w:val="22"/>
        </w:rPr>
        <w:t xml:space="preserve">No obstante, por lo que hace a los puntos </w:t>
      </w:r>
      <w:r w:rsidRPr="00974018">
        <w:rPr>
          <w:rFonts w:cs="Arial"/>
        </w:rPr>
        <w:t xml:space="preserve">1 ¿Cuáles son las acciones programadas en la administración 2025-2027 del Ayuntamiento de Metepec para cumplir con los compromisos de su designación como Ciudad Árbol del </w:t>
      </w:r>
      <w:proofErr w:type="gramStart"/>
      <w:r w:rsidRPr="00974018">
        <w:rPr>
          <w:rFonts w:cs="Arial"/>
        </w:rPr>
        <w:t>mundo.?</w:t>
      </w:r>
      <w:proofErr w:type="gramEnd"/>
      <w:r w:rsidRPr="00974018">
        <w:rPr>
          <w:rFonts w:cs="Arial"/>
        </w:rPr>
        <w:t xml:space="preserve">  2 ¿Cuáles son las iniciativas planteadas al cabildo o a otras dependencias municipales o estatales, para crear y ampliar las áreas verdes del municipio? ¿Cuál es el progreso de dichas iniciativas? 3 ¿Cuál es el  avance en el proceso de la instalación de cajetes para árboles en las banquetas con dimensiones de 1.50mts o </w:t>
      </w:r>
      <w:proofErr w:type="spellStart"/>
      <w:r w:rsidRPr="00974018">
        <w:rPr>
          <w:rFonts w:cs="Arial"/>
        </w:rPr>
        <w:t>mas</w:t>
      </w:r>
      <w:proofErr w:type="spellEnd"/>
      <w:r w:rsidRPr="00974018">
        <w:rPr>
          <w:rFonts w:cs="Arial"/>
        </w:rPr>
        <w:t xml:space="preserve">? y 4 </w:t>
      </w:r>
      <w:proofErr w:type="gramStart"/>
      <w:r w:rsidRPr="00974018">
        <w:rPr>
          <w:rFonts w:cs="Arial"/>
        </w:rPr>
        <w:t>¿ Existe</w:t>
      </w:r>
      <w:proofErr w:type="gramEnd"/>
      <w:r w:rsidRPr="00974018">
        <w:rPr>
          <w:rFonts w:cs="Arial"/>
        </w:rPr>
        <w:t xml:space="preserve"> algún programa de colaboración o convenios con particulares, asociaciones civiles o empresas para ampliar las áreas verdes del municipio?  Se advierte que estos si pueden colarse con la entrega de documentos que pudieran tener la información por las consideraciones siguientes:</w:t>
      </w:r>
    </w:p>
    <w:p w14:paraId="5C5F8F2E" w14:textId="77777777" w:rsidR="001C55D7" w:rsidRPr="00974018" w:rsidRDefault="001C55D7" w:rsidP="00974018">
      <w:pPr>
        <w:rPr>
          <w:rFonts w:cs="Arial"/>
        </w:rPr>
      </w:pPr>
    </w:p>
    <w:p w14:paraId="70F9B20C" w14:textId="77777777" w:rsidR="001C55D7" w:rsidRPr="00974018" w:rsidRDefault="001C55D7" w:rsidP="00974018">
      <w:pPr>
        <w:rPr>
          <w:rFonts w:cs="Arial"/>
          <w:b/>
        </w:rPr>
      </w:pPr>
      <w:r w:rsidRPr="00974018">
        <w:rPr>
          <w:rFonts w:cs="Arial"/>
          <w:b/>
        </w:rPr>
        <w:t xml:space="preserve">1 ¿Cuáles son las acciones programadas en la administración 2025-2027 del Ayuntamiento de Metepec para cumplir con los compromisos de su designación como Ciudad Árbol del </w:t>
      </w:r>
      <w:proofErr w:type="gramStart"/>
      <w:r w:rsidRPr="00974018">
        <w:rPr>
          <w:rFonts w:cs="Arial"/>
          <w:b/>
        </w:rPr>
        <w:t>mundo.?</w:t>
      </w:r>
      <w:proofErr w:type="gramEnd"/>
      <w:r w:rsidRPr="00974018">
        <w:rPr>
          <w:rFonts w:cs="Arial"/>
          <w:b/>
        </w:rPr>
        <w:t xml:space="preserve"> </w:t>
      </w:r>
    </w:p>
    <w:p w14:paraId="5904D211" w14:textId="77777777" w:rsidR="001C55D7" w:rsidRPr="00974018" w:rsidRDefault="001C55D7" w:rsidP="00974018">
      <w:pPr>
        <w:rPr>
          <w:rFonts w:cs="Arial"/>
        </w:rPr>
      </w:pPr>
    </w:p>
    <w:p w14:paraId="2F60EBC9" w14:textId="77777777" w:rsidR="001C55D7" w:rsidRPr="00974018" w:rsidRDefault="001C55D7" w:rsidP="00974018">
      <w:pPr>
        <w:ind w:right="-93"/>
        <w:rPr>
          <w:rFonts w:cs="Tahoma"/>
          <w:bCs/>
          <w:szCs w:val="22"/>
        </w:rPr>
      </w:pPr>
      <w:r w:rsidRPr="00974018">
        <w:rPr>
          <w:rFonts w:cs="Arial"/>
        </w:rPr>
        <w:t xml:space="preserve">Ciudad Árbol por el mundo es un reconocimiento a ciudades que lograron </w:t>
      </w:r>
      <w:r w:rsidRPr="00974018">
        <w:t>con éxito 5 estándares básicos de gestión forestal urbana. Este reconocimiento es testimonio de su compromiso por construir una ciudad saludable para la actualidad y para el futuro.</w:t>
      </w:r>
    </w:p>
    <w:p w14:paraId="4DD9E233" w14:textId="55C52F4E" w:rsidR="000605CC" w:rsidRPr="00974018" w:rsidRDefault="000605CC" w:rsidP="00974018">
      <w:pPr>
        <w:rPr>
          <w:rFonts w:cs="Arial"/>
        </w:rPr>
      </w:pPr>
    </w:p>
    <w:p w14:paraId="17DC4C6D" w14:textId="77777777" w:rsidR="000605CC" w:rsidRPr="00974018" w:rsidRDefault="000605CC" w:rsidP="00974018">
      <w:pPr>
        <w:ind w:right="-93"/>
        <w:rPr>
          <w:rFonts w:cs="Tahoma"/>
          <w:bCs/>
          <w:szCs w:val="22"/>
        </w:rPr>
      </w:pPr>
    </w:p>
    <w:p w14:paraId="574DA3DA" w14:textId="77777777" w:rsidR="000605CC" w:rsidRPr="00974018" w:rsidRDefault="000605CC" w:rsidP="00974018">
      <w:pPr>
        <w:ind w:right="-93"/>
        <w:rPr>
          <w:rFonts w:cs="Tahoma"/>
          <w:bCs/>
          <w:szCs w:val="22"/>
        </w:rPr>
      </w:pPr>
    </w:p>
    <w:p w14:paraId="35DDFFBD" w14:textId="12C1FFC9" w:rsidR="000605CC" w:rsidRPr="00974018" w:rsidRDefault="001C55D7" w:rsidP="00974018">
      <w:pPr>
        <w:ind w:right="-93"/>
      </w:pPr>
      <w:r w:rsidRPr="00974018">
        <w:lastRenderedPageBreak/>
        <w:t xml:space="preserve">Estas ciudades demuestran ser líderes en la gestión de sus árboles urbanos, y son parte de la solución a muchos de los problemas </w:t>
      </w:r>
      <w:r w:rsidR="00E95EE7" w:rsidRPr="00974018">
        <w:t>globales que enfrentamos hoy.</w:t>
      </w:r>
      <w:r w:rsidR="00E95EE7" w:rsidRPr="00974018">
        <w:rPr>
          <w:rStyle w:val="Refdenotaalpie"/>
        </w:rPr>
        <w:footnoteReference w:id="3"/>
      </w:r>
    </w:p>
    <w:p w14:paraId="3A8CCF68" w14:textId="77777777" w:rsidR="00E95EE7" w:rsidRPr="00974018" w:rsidRDefault="00E95EE7" w:rsidP="00974018">
      <w:pPr>
        <w:ind w:right="-93"/>
      </w:pPr>
    </w:p>
    <w:p w14:paraId="34C6F90C" w14:textId="18559C35" w:rsidR="00E95EE7" w:rsidRPr="00974018" w:rsidRDefault="00E95EE7" w:rsidP="00974018">
      <w:pPr>
        <w:ind w:right="-93"/>
      </w:pPr>
      <w:r w:rsidRPr="00974018">
        <w:t>Destacando que efectivamente Metepec se encuentra dentro de los lugares que obtuvieron dicho reconocimiento tal como se advierte en la imagen que se inserta a continuación:</w:t>
      </w:r>
    </w:p>
    <w:p w14:paraId="46FD8D1E" w14:textId="77777777" w:rsidR="00E95EE7" w:rsidRPr="00974018" w:rsidRDefault="00E95EE7" w:rsidP="00974018">
      <w:pPr>
        <w:ind w:right="-93"/>
        <w:rPr>
          <w:rFonts w:cs="Tahoma"/>
          <w:bCs/>
          <w:szCs w:val="22"/>
        </w:rPr>
      </w:pPr>
    </w:p>
    <w:p w14:paraId="031CA1FE" w14:textId="786AB196" w:rsidR="000605CC" w:rsidRPr="00974018" w:rsidRDefault="00E95EE7" w:rsidP="00974018">
      <w:pPr>
        <w:ind w:right="-93"/>
        <w:rPr>
          <w:rFonts w:cs="Tahoma"/>
          <w:bCs/>
          <w:szCs w:val="22"/>
        </w:rPr>
      </w:pPr>
      <w:r w:rsidRPr="00974018">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302BC320" wp14:editId="52FFDB56">
                <wp:simplePos x="0" y="0"/>
                <wp:positionH relativeFrom="column">
                  <wp:posOffset>2785953</wp:posOffset>
                </wp:positionH>
                <wp:positionV relativeFrom="paragraph">
                  <wp:posOffset>3135470</wp:posOffset>
                </wp:positionV>
                <wp:extent cx="572568" cy="222190"/>
                <wp:effectExtent l="38100" t="38100" r="37465" b="45085"/>
                <wp:wrapNone/>
                <wp:docPr id="2" name="Rectángulo 2"/>
                <wp:cNvGraphicFramePr/>
                <a:graphic xmlns:a="http://schemas.openxmlformats.org/drawingml/2006/main">
                  <a:graphicData uri="http://schemas.microsoft.com/office/word/2010/wordprocessingShape">
                    <wps:wsp>
                      <wps:cNvSpPr/>
                      <wps:spPr>
                        <a:xfrm>
                          <a:off x="0" y="0"/>
                          <a:ext cx="572568" cy="22219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2CED9" id="Rectángulo 2" o:spid="_x0000_s1026" style="position:absolute;margin-left:219.35pt;margin-top:246.9pt;width:45.1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" filled="f" strokecolor="red" strokeweight="6pt"/>
            </w:pict>
          </mc:Fallback>
        </mc:AlternateContent>
      </w:r>
      <w:r w:rsidRPr="00974018">
        <w:rPr>
          <w:rFonts w:cs="Tahoma"/>
          <w:bCs/>
          <w:noProof/>
          <w:szCs w:val="22"/>
          <w:lang w:eastAsia="es-MX"/>
        </w:rPr>
        <w:drawing>
          <wp:inline distT="0" distB="0" distL="0" distR="0" wp14:anchorId="5A42F23D" wp14:editId="6CA01E0A">
            <wp:extent cx="5742940" cy="5048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048250"/>
                    </a:xfrm>
                    <a:prstGeom prst="rect">
                      <a:avLst/>
                    </a:prstGeom>
                  </pic:spPr>
                </pic:pic>
              </a:graphicData>
            </a:graphic>
          </wp:inline>
        </w:drawing>
      </w:r>
    </w:p>
    <w:p w14:paraId="382BDFB4" w14:textId="3FB0427F" w:rsidR="000605CC" w:rsidRPr="00974018" w:rsidRDefault="00E95EE7" w:rsidP="00974018">
      <w:pPr>
        <w:ind w:right="-93"/>
        <w:rPr>
          <w:rFonts w:cs="Tahoma"/>
          <w:bCs/>
          <w:szCs w:val="22"/>
        </w:rPr>
      </w:pPr>
      <w:r w:rsidRPr="00974018">
        <w:rPr>
          <w:rFonts w:cs="Tahoma"/>
          <w:bCs/>
          <w:szCs w:val="22"/>
        </w:rPr>
        <w:lastRenderedPageBreak/>
        <w:t>Ahora bien, se advierte que los 5 estándares señalados líneas arriba son los siguientes:</w:t>
      </w:r>
    </w:p>
    <w:p w14:paraId="3DE0CA8B" w14:textId="77777777" w:rsidR="000605CC" w:rsidRPr="00974018" w:rsidRDefault="000605CC" w:rsidP="00974018">
      <w:pPr>
        <w:ind w:right="-93"/>
        <w:rPr>
          <w:rFonts w:cs="Tahoma"/>
          <w:bCs/>
          <w:szCs w:val="22"/>
        </w:rPr>
      </w:pPr>
    </w:p>
    <w:p w14:paraId="3377AB32" w14:textId="26ED1CCB" w:rsidR="000605CC" w:rsidRPr="00974018" w:rsidRDefault="00E95EE7" w:rsidP="00974018">
      <w:pPr>
        <w:ind w:right="-93"/>
        <w:rPr>
          <w:rFonts w:cs="Tahoma"/>
          <w:bCs/>
          <w:szCs w:val="22"/>
        </w:rPr>
      </w:pPr>
      <w:r w:rsidRPr="00974018">
        <w:rPr>
          <w:rFonts w:cs="Tahoma"/>
          <w:bCs/>
          <w:noProof/>
          <w:szCs w:val="22"/>
          <w:lang w:eastAsia="es-MX"/>
        </w:rPr>
        <w:drawing>
          <wp:inline distT="0" distB="0" distL="0" distR="0" wp14:anchorId="7176526A" wp14:editId="0EA93E71">
            <wp:extent cx="5742940" cy="26822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682240"/>
                    </a:xfrm>
                    <a:prstGeom prst="rect">
                      <a:avLst/>
                    </a:prstGeom>
                  </pic:spPr>
                </pic:pic>
              </a:graphicData>
            </a:graphic>
          </wp:inline>
        </w:drawing>
      </w:r>
    </w:p>
    <w:p w14:paraId="4C7EC100" w14:textId="77777777" w:rsidR="000605CC" w:rsidRPr="00974018" w:rsidRDefault="000605CC" w:rsidP="00974018">
      <w:pPr>
        <w:ind w:right="-93"/>
        <w:rPr>
          <w:rFonts w:cs="Tahoma"/>
          <w:bCs/>
          <w:szCs w:val="22"/>
        </w:rPr>
      </w:pPr>
    </w:p>
    <w:p w14:paraId="7D7480B8" w14:textId="0BC642DE" w:rsidR="000605CC" w:rsidRPr="00974018" w:rsidRDefault="00E95EE7" w:rsidP="00974018">
      <w:pPr>
        <w:ind w:right="-93"/>
        <w:rPr>
          <w:rFonts w:cs="Tahoma"/>
          <w:bCs/>
          <w:szCs w:val="22"/>
        </w:rPr>
      </w:pPr>
      <w:r w:rsidRPr="00974018">
        <w:rPr>
          <w:rFonts w:cs="Tahoma"/>
          <w:bCs/>
          <w:noProof/>
          <w:szCs w:val="22"/>
          <w:lang w:eastAsia="es-MX"/>
        </w:rPr>
        <w:drawing>
          <wp:inline distT="0" distB="0" distL="0" distR="0" wp14:anchorId="4FFFE529" wp14:editId="44024FFD">
            <wp:extent cx="5742940" cy="28835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2883535"/>
                    </a:xfrm>
                    <a:prstGeom prst="rect">
                      <a:avLst/>
                    </a:prstGeom>
                  </pic:spPr>
                </pic:pic>
              </a:graphicData>
            </a:graphic>
          </wp:inline>
        </w:drawing>
      </w:r>
    </w:p>
    <w:p w14:paraId="7EFBA31B" w14:textId="77777777" w:rsidR="000605CC" w:rsidRPr="00974018" w:rsidRDefault="000605CC" w:rsidP="00974018">
      <w:pPr>
        <w:ind w:right="-93"/>
        <w:rPr>
          <w:rFonts w:cs="Tahoma"/>
          <w:bCs/>
          <w:szCs w:val="22"/>
        </w:rPr>
      </w:pPr>
    </w:p>
    <w:p w14:paraId="0265C0D5" w14:textId="77777777" w:rsidR="00622144" w:rsidRPr="00974018" w:rsidRDefault="00E95EE7" w:rsidP="00974018">
      <w:pPr>
        <w:ind w:right="-93"/>
        <w:rPr>
          <w:rFonts w:cs="Tahoma"/>
          <w:bCs/>
          <w:szCs w:val="22"/>
        </w:rPr>
      </w:pPr>
      <w:r w:rsidRPr="00974018">
        <w:rPr>
          <w:rFonts w:cs="Tahoma"/>
          <w:bCs/>
          <w:szCs w:val="22"/>
        </w:rPr>
        <w:lastRenderedPageBreak/>
        <w:t xml:space="preserve">Luego entonces podemos confirmar que el Ayuntamiento de Metepec al tener dicho reconocimiento debió cumplir con los 5 estándares señalado líneas arriba </w:t>
      </w:r>
      <w:r w:rsidR="00622144" w:rsidRPr="00974018">
        <w:rPr>
          <w:rFonts w:cs="Tahoma"/>
          <w:bCs/>
          <w:szCs w:val="22"/>
        </w:rPr>
        <w:t>ya que dicho reconocimiento tiene como objetivo conectar ciudades de todo el mundo que se comprometen con el manejo responsable de sus árboles urbanos.</w:t>
      </w:r>
    </w:p>
    <w:p w14:paraId="594CF6D0" w14:textId="77777777" w:rsidR="00622144" w:rsidRPr="00974018" w:rsidRDefault="00622144" w:rsidP="00974018">
      <w:pPr>
        <w:ind w:right="-93"/>
        <w:rPr>
          <w:rFonts w:cs="Tahoma"/>
          <w:bCs/>
          <w:szCs w:val="22"/>
        </w:rPr>
      </w:pPr>
    </w:p>
    <w:p w14:paraId="5C0F0E55" w14:textId="118BF8A4" w:rsidR="00E95EE7" w:rsidRPr="00974018" w:rsidRDefault="00622144" w:rsidP="00974018">
      <w:pPr>
        <w:ind w:right="-93"/>
        <w:rPr>
          <w:rFonts w:cs="Tahoma"/>
          <w:bCs/>
          <w:szCs w:val="22"/>
        </w:rPr>
      </w:pPr>
      <w:r w:rsidRPr="00974018">
        <w:rPr>
          <w:rFonts w:cs="Tahoma"/>
          <w:bCs/>
          <w:szCs w:val="22"/>
        </w:rPr>
        <w:t>Al ser parte de esta red, el Ayuntamiento de Metepec ha aceptado formalmente cinco compromisos que no solo son recomendaciones técnicas, sino que pueden ser interpretados como obligaciones éticas, administrativas y jurídicas conforme a la legislación ambiental, a saber los siguientes:</w:t>
      </w:r>
    </w:p>
    <w:p w14:paraId="107A95A2" w14:textId="77777777" w:rsidR="000605CC" w:rsidRPr="00974018" w:rsidRDefault="000605CC" w:rsidP="00974018">
      <w:pPr>
        <w:ind w:right="-93"/>
        <w:rPr>
          <w:rFonts w:cs="Tahoma"/>
          <w:bCs/>
          <w:szCs w:val="22"/>
        </w:rPr>
      </w:pPr>
    </w:p>
    <w:p w14:paraId="0F733E35" w14:textId="77777777" w:rsidR="00622144" w:rsidRPr="00974018" w:rsidRDefault="00622144" w:rsidP="00974018">
      <w:pPr>
        <w:ind w:right="-93"/>
        <w:rPr>
          <w:rFonts w:cs="Tahoma"/>
          <w:bCs/>
          <w:szCs w:val="22"/>
        </w:rPr>
      </w:pPr>
      <w:r w:rsidRPr="00974018">
        <w:rPr>
          <w:rFonts w:cs="Tahoma"/>
          <w:bCs/>
          <w:szCs w:val="22"/>
        </w:rPr>
        <w:t>Establecer responsabilidad (</w:t>
      </w:r>
      <w:proofErr w:type="spellStart"/>
      <w:r w:rsidRPr="00974018">
        <w:rPr>
          <w:rFonts w:cs="Tahoma"/>
          <w:bCs/>
          <w:szCs w:val="22"/>
        </w:rPr>
        <w:t>Authority</w:t>
      </w:r>
      <w:proofErr w:type="spellEnd"/>
      <w:r w:rsidRPr="00974018">
        <w:rPr>
          <w:rFonts w:cs="Tahoma"/>
          <w:bCs/>
          <w:szCs w:val="22"/>
        </w:rPr>
        <w:t>)</w:t>
      </w:r>
    </w:p>
    <w:p w14:paraId="53262C61" w14:textId="77777777" w:rsidR="00622144" w:rsidRPr="00974018" w:rsidRDefault="00622144" w:rsidP="00974018">
      <w:pPr>
        <w:ind w:right="-93"/>
        <w:rPr>
          <w:rFonts w:cs="Tahoma"/>
          <w:bCs/>
          <w:szCs w:val="22"/>
        </w:rPr>
      </w:pPr>
      <w:r w:rsidRPr="00974018">
        <w:rPr>
          <w:rFonts w:cs="Tahoma"/>
          <w:bCs/>
          <w:szCs w:val="22"/>
        </w:rPr>
        <w:t>Metepec debe contar con una autoridad o dependencia municipal claramente designada que se encargue de las políticas, planes y acciones sobre árboles. Esta estructura debe ser transparente, accesible y contar con personal capacitado.</w:t>
      </w:r>
    </w:p>
    <w:p w14:paraId="7A8156C2" w14:textId="77777777" w:rsidR="00622144" w:rsidRPr="00974018" w:rsidRDefault="00622144" w:rsidP="00974018">
      <w:pPr>
        <w:ind w:right="-93"/>
        <w:rPr>
          <w:rFonts w:cs="Tahoma"/>
          <w:bCs/>
          <w:szCs w:val="22"/>
        </w:rPr>
      </w:pPr>
    </w:p>
    <w:p w14:paraId="4EEA424B" w14:textId="77777777" w:rsidR="00622144" w:rsidRPr="00974018" w:rsidRDefault="00622144" w:rsidP="00974018">
      <w:pPr>
        <w:ind w:right="-93"/>
        <w:rPr>
          <w:rFonts w:cs="Tahoma"/>
          <w:bCs/>
          <w:szCs w:val="22"/>
        </w:rPr>
      </w:pPr>
      <w:r w:rsidRPr="00974018">
        <w:rPr>
          <w:rFonts w:cs="Tahoma"/>
          <w:bCs/>
          <w:szCs w:val="22"/>
        </w:rPr>
        <w:t>Marco normativo (Leyes y políticas)</w:t>
      </w:r>
    </w:p>
    <w:p w14:paraId="0BFE0DCB" w14:textId="77777777" w:rsidR="00622144" w:rsidRPr="00974018" w:rsidRDefault="00622144" w:rsidP="00974018">
      <w:pPr>
        <w:ind w:right="-93"/>
        <w:rPr>
          <w:rFonts w:cs="Tahoma"/>
          <w:bCs/>
          <w:szCs w:val="22"/>
        </w:rPr>
      </w:pPr>
      <w:r w:rsidRPr="00974018">
        <w:rPr>
          <w:rFonts w:cs="Tahoma"/>
          <w:bCs/>
          <w:szCs w:val="22"/>
        </w:rPr>
        <w:t>La ciudad debe tener ordenamientos o reglamentos locales que regulen el manejo, la protección y la siembra de árboles. Estas normas deben ser de acceso público, permitir la participación ciudadana y establecer sanciones en caso de incumplimiento.</w:t>
      </w:r>
    </w:p>
    <w:p w14:paraId="2C63D05B" w14:textId="77777777" w:rsidR="00622144" w:rsidRPr="00974018" w:rsidRDefault="00622144" w:rsidP="00974018">
      <w:pPr>
        <w:ind w:right="-93"/>
        <w:rPr>
          <w:rFonts w:cs="Tahoma"/>
          <w:bCs/>
          <w:szCs w:val="22"/>
        </w:rPr>
      </w:pPr>
    </w:p>
    <w:p w14:paraId="0C3D01F6" w14:textId="77777777" w:rsidR="00622144" w:rsidRPr="00974018" w:rsidRDefault="00622144" w:rsidP="00974018">
      <w:pPr>
        <w:ind w:right="-93"/>
        <w:rPr>
          <w:rFonts w:cs="Tahoma"/>
          <w:bCs/>
          <w:szCs w:val="22"/>
        </w:rPr>
      </w:pPr>
      <w:r w:rsidRPr="00974018">
        <w:rPr>
          <w:rFonts w:cs="Tahoma"/>
          <w:bCs/>
          <w:szCs w:val="22"/>
        </w:rPr>
        <w:t>Inventario del arbolado urbano</w:t>
      </w:r>
    </w:p>
    <w:p w14:paraId="1B80F81C" w14:textId="77777777" w:rsidR="00622144" w:rsidRPr="00974018" w:rsidRDefault="00622144" w:rsidP="00974018">
      <w:pPr>
        <w:ind w:right="-93"/>
        <w:rPr>
          <w:rFonts w:cs="Tahoma"/>
          <w:bCs/>
          <w:szCs w:val="22"/>
        </w:rPr>
      </w:pPr>
      <w:r w:rsidRPr="00974018">
        <w:rPr>
          <w:rFonts w:cs="Tahoma"/>
          <w:bCs/>
          <w:szCs w:val="22"/>
        </w:rPr>
        <w:t>Es fundamental tener un inventario técnico de los árboles existentes. Esto permite planificar acciones de mantenimiento, prevenir riesgos y promover la plantación estratégica. También ayuda a evaluar el impacto ambiental y económico del arbolado en la ciudad.</w:t>
      </w:r>
    </w:p>
    <w:p w14:paraId="3DBB176C" w14:textId="77777777" w:rsidR="00622144" w:rsidRPr="00974018" w:rsidRDefault="00622144" w:rsidP="00974018">
      <w:pPr>
        <w:ind w:right="-93"/>
        <w:rPr>
          <w:rFonts w:cs="Tahoma"/>
          <w:bCs/>
          <w:szCs w:val="22"/>
        </w:rPr>
      </w:pPr>
    </w:p>
    <w:p w14:paraId="4D7E6E7D" w14:textId="77777777" w:rsidR="00622144" w:rsidRPr="00974018" w:rsidRDefault="00622144" w:rsidP="00974018">
      <w:pPr>
        <w:ind w:right="-93"/>
        <w:rPr>
          <w:rFonts w:cs="Tahoma"/>
          <w:bCs/>
          <w:szCs w:val="22"/>
        </w:rPr>
      </w:pPr>
      <w:r w:rsidRPr="00974018">
        <w:rPr>
          <w:rFonts w:cs="Tahoma"/>
          <w:bCs/>
          <w:szCs w:val="22"/>
        </w:rPr>
        <w:t>Asignación presupuestaria anual</w:t>
      </w:r>
    </w:p>
    <w:p w14:paraId="06618C9A" w14:textId="77777777" w:rsidR="00622144" w:rsidRPr="00974018" w:rsidRDefault="00622144" w:rsidP="00974018">
      <w:pPr>
        <w:ind w:right="-93"/>
        <w:rPr>
          <w:rFonts w:cs="Tahoma"/>
          <w:bCs/>
          <w:szCs w:val="22"/>
        </w:rPr>
      </w:pPr>
      <w:r w:rsidRPr="00974018">
        <w:rPr>
          <w:rFonts w:cs="Tahoma"/>
          <w:bCs/>
          <w:szCs w:val="22"/>
        </w:rPr>
        <w:lastRenderedPageBreak/>
        <w:t>Sin un presupuesto etiquetado, los compromisos se quedan en buenas intenciones. El municipio debe prever recursos económicos suficientes cada año para cuidar, sembrar y reforestar su territorio, con transparencia en su aplicación.</w:t>
      </w:r>
    </w:p>
    <w:p w14:paraId="675BA598" w14:textId="77777777" w:rsidR="00622144" w:rsidRPr="00974018" w:rsidRDefault="00622144" w:rsidP="00974018">
      <w:pPr>
        <w:ind w:right="-93"/>
        <w:rPr>
          <w:rFonts w:cs="Tahoma"/>
          <w:bCs/>
          <w:szCs w:val="22"/>
        </w:rPr>
      </w:pPr>
    </w:p>
    <w:p w14:paraId="41EC9428" w14:textId="77777777" w:rsidR="00622144" w:rsidRPr="00974018" w:rsidRDefault="00622144" w:rsidP="00974018">
      <w:pPr>
        <w:ind w:right="-93"/>
        <w:rPr>
          <w:rFonts w:cs="Tahoma"/>
          <w:bCs/>
          <w:szCs w:val="22"/>
        </w:rPr>
      </w:pPr>
      <w:r w:rsidRPr="00974018">
        <w:rPr>
          <w:rFonts w:cs="Tahoma"/>
          <w:bCs/>
          <w:szCs w:val="22"/>
        </w:rPr>
        <w:t>Celebración del Día del Árbol</w:t>
      </w:r>
    </w:p>
    <w:p w14:paraId="0FF85649" w14:textId="2BFC9780" w:rsidR="000605CC" w:rsidRPr="00974018" w:rsidRDefault="00622144" w:rsidP="00974018">
      <w:pPr>
        <w:ind w:right="-93"/>
        <w:rPr>
          <w:rFonts w:cs="Tahoma"/>
          <w:bCs/>
          <w:szCs w:val="22"/>
        </w:rPr>
      </w:pPr>
      <w:r w:rsidRPr="00974018">
        <w:rPr>
          <w:rFonts w:cs="Tahoma"/>
          <w:bCs/>
          <w:szCs w:val="22"/>
        </w:rPr>
        <w:t>El programa exige que cada ciudad celebre al menos un evento anual que fomente la cultura forestal urbana. Estas actividades no son solo simbólicas: tienen un valor educativo y fortalecen la relación entre la comunidad y su entorno natural</w:t>
      </w:r>
    </w:p>
    <w:p w14:paraId="01D095AA" w14:textId="77777777" w:rsidR="000605CC" w:rsidRPr="00974018" w:rsidRDefault="000605CC" w:rsidP="00974018">
      <w:pPr>
        <w:ind w:right="-93"/>
        <w:rPr>
          <w:rFonts w:cs="Tahoma"/>
          <w:bCs/>
          <w:szCs w:val="22"/>
        </w:rPr>
      </w:pPr>
    </w:p>
    <w:p w14:paraId="41CE6A71" w14:textId="7DFFBE02" w:rsidR="00622144" w:rsidRPr="00974018" w:rsidRDefault="00622144" w:rsidP="00974018">
      <w:pPr>
        <w:ind w:right="-93"/>
        <w:rPr>
          <w:rFonts w:cs="Tahoma"/>
          <w:bCs/>
          <w:szCs w:val="22"/>
        </w:rPr>
      </w:pPr>
      <w:r w:rsidRPr="00974018">
        <w:rPr>
          <w:rFonts w:cs="Tahoma"/>
          <w:bCs/>
          <w:szCs w:val="22"/>
        </w:rPr>
        <w:t>Luego entonces podemos concluir que el SUJETO OBLIGADO al ser parte de este reconocimiento ejecuta o debe ejecutar diferentes acciones para su cumplimiento y dichas acciones deben ser, en su mayoría, del conocimiento del área competente para tal efecto, en este caso la Dirección de Medio Ambiente, tal como se puede advertir en las propias atribuciones de esta dirección tal como se muestra a continuación:</w:t>
      </w:r>
    </w:p>
    <w:p w14:paraId="3859C61E" w14:textId="77777777" w:rsidR="000605CC" w:rsidRPr="00974018" w:rsidRDefault="000605CC" w:rsidP="00974018">
      <w:pPr>
        <w:ind w:right="-93"/>
        <w:rPr>
          <w:rFonts w:cs="Tahoma"/>
          <w:bCs/>
          <w:szCs w:val="22"/>
        </w:rPr>
      </w:pPr>
    </w:p>
    <w:p w14:paraId="589720DE" w14:textId="77777777" w:rsidR="00622144" w:rsidRPr="00974018" w:rsidRDefault="00622144" w:rsidP="00974018">
      <w:pPr>
        <w:ind w:left="567" w:right="397"/>
        <w:rPr>
          <w:rFonts w:cs="Tahoma"/>
          <w:bCs/>
          <w:i/>
          <w:szCs w:val="22"/>
        </w:rPr>
      </w:pPr>
      <w:r w:rsidRPr="00974018">
        <w:rPr>
          <w:rFonts w:cs="Tahoma"/>
          <w:bCs/>
          <w:i/>
          <w:szCs w:val="22"/>
        </w:rPr>
        <w:t>Artículo 3.237. La Dirección de Medio Ambiente, es un área dedicada a administrar bienes públicos relacionados con los recursos naturales y el medio ambiente; es responsable de dar opiniones técnicas y normativas de estudios ecológicos, proyectos, manifestaciones de impacto ambiental y gestiones ambientales.</w:t>
      </w:r>
    </w:p>
    <w:p w14:paraId="1321D351" w14:textId="77777777" w:rsidR="00622144" w:rsidRPr="00974018" w:rsidRDefault="00622144" w:rsidP="00974018">
      <w:pPr>
        <w:ind w:left="567" w:right="397"/>
        <w:rPr>
          <w:rFonts w:cs="Tahoma"/>
          <w:bCs/>
          <w:i/>
          <w:szCs w:val="22"/>
        </w:rPr>
      </w:pPr>
    </w:p>
    <w:p w14:paraId="38D4D903" w14:textId="77777777" w:rsidR="00622144" w:rsidRPr="00974018" w:rsidRDefault="00622144" w:rsidP="00974018">
      <w:pPr>
        <w:ind w:left="567" w:right="397"/>
        <w:rPr>
          <w:rFonts w:cs="Tahoma"/>
          <w:bCs/>
          <w:i/>
          <w:szCs w:val="22"/>
        </w:rPr>
      </w:pPr>
      <w:r w:rsidRPr="00974018">
        <w:rPr>
          <w:rFonts w:cs="Tahoma"/>
          <w:bCs/>
          <w:i/>
          <w:szCs w:val="22"/>
        </w:rPr>
        <w:t>Asimismo, emite autorizaciones y permisos, relacionados con el uso, manejo y aprovechamiento de los recursos naturales dentro del marco del desarrollo sustentable. Promueve la gestión ambiental, la coordinación y promoción de proyectos y programas para el mejoramiento ambiental del Municipio, con otras dependencias del gobierno federal, estatal y municipal. También participa de manera relevante en la planeación y ejecución de los programas de desarrollo del Municipio.</w:t>
      </w:r>
    </w:p>
    <w:p w14:paraId="43E88A0E" w14:textId="5896254D" w:rsidR="000605CC" w:rsidRPr="00974018" w:rsidRDefault="00622144" w:rsidP="00974018">
      <w:pPr>
        <w:ind w:left="567" w:right="397"/>
        <w:rPr>
          <w:rFonts w:cs="Tahoma"/>
          <w:bCs/>
          <w:i/>
          <w:szCs w:val="22"/>
        </w:rPr>
      </w:pPr>
      <w:r w:rsidRPr="00974018">
        <w:rPr>
          <w:rFonts w:cs="Tahoma"/>
          <w:bCs/>
          <w:i/>
          <w:szCs w:val="22"/>
        </w:rPr>
        <w:lastRenderedPageBreak/>
        <w:t>Artículo 3.238. La Dirección de Medio Ambiente tiene las siguientes atribuciones:</w:t>
      </w:r>
    </w:p>
    <w:p w14:paraId="1111D205" w14:textId="77777777" w:rsidR="00687DEA" w:rsidRPr="00974018" w:rsidRDefault="00687DEA" w:rsidP="00974018">
      <w:pPr>
        <w:ind w:left="567" w:right="397"/>
        <w:rPr>
          <w:rFonts w:cs="Tahoma"/>
          <w:bCs/>
          <w:i/>
          <w:szCs w:val="22"/>
        </w:rPr>
      </w:pPr>
      <w:r w:rsidRPr="00974018">
        <w:rPr>
          <w:rFonts w:cs="Tahoma"/>
          <w:bCs/>
          <w:i/>
          <w:szCs w:val="22"/>
        </w:rPr>
        <w:t>I. Promover la conservación, restauración, uso y manejo de los recursos naturales en las áreas rurales y urbanas del Municipio incorporando tecnología de punta;</w:t>
      </w:r>
    </w:p>
    <w:p w14:paraId="73B2B532" w14:textId="77777777" w:rsidR="00687DEA" w:rsidRPr="00974018" w:rsidRDefault="00687DEA" w:rsidP="00974018">
      <w:pPr>
        <w:ind w:left="567" w:right="397"/>
        <w:rPr>
          <w:rFonts w:cs="Tahoma"/>
          <w:bCs/>
          <w:i/>
          <w:szCs w:val="22"/>
        </w:rPr>
      </w:pPr>
      <w:r w:rsidRPr="00974018">
        <w:rPr>
          <w:rFonts w:cs="Tahoma"/>
          <w:bCs/>
          <w:i/>
          <w:szCs w:val="22"/>
        </w:rPr>
        <w:t>II. Emitir autorizaciones para realizar labores de poda, derribo, trasplante o sustitución de árboles y vegetación urbana tanto en espacios públicos como en propiedad privada;</w:t>
      </w:r>
    </w:p>
    <w:p w14:paraId="29DE45E3" w14:textId="77777777" w:rsidR="00687DEA" w:rsidRPr="00974018" w:rsidRDefault="00687DEA" w:rsidP="00974018">
      <w:pPr>
        <w:ind w:left="567" w:right="397"/>
        <w:rPr>
          <w:rFonts w:cs="Tahoma"/>
          <w:bCs/>
          <w:i/>
          <w:szCs w:val="22"/>
        </w:rPr>
      </w:pPr>
      <w:r w:rsidRPr="00974018">
        <w:rPr>
          <w:rFonts w:cs="Tahoma"/>
          <w:bCs/>
          <w:i/>
          <w:szCs w:val="22"/>
        </w:rPr>
        <w:t xml:space="preserve">III. Formular, proponer y desarrollar estrategias que </w:t>
      </w:r>
      <w:proofErr w:type="spellStart"/>
      <w:r w:rsidRPr="00974018">
        <w:rPr>
          <w:rFonts w:cs="Tahoma"/>
          <w:bCs/>
          <w:i/>
          <w:szCs w:val="22"/>
        </w:rPr>
        <w:t>eficienten</w:t>
      </w:r>
      <w:proofErr w:type="spellEnd"/>
      <w:r w:rsidRPr="00974018">
        <w:rPr>
          <w:rFonts w:cs="Tahoma"/>
          <w:bCs/>
          <w:i/>
          <w:szCs w:val="22"/>
        </w:rPr>
        <w:t xml:space="preserve"> los procesos de ejecución, seguimiento y actualización de los programas de ordenamiento ambiental que competen al Municipio;</w:t>
      </w:r>
    </w:p>
    <w:p w14:paraId="4F2BDFB8" w14:textId="77777777" w:rsidR="00687DEA" w:rsidRPr="00974018" w:rsidRDefault="00687DEA" w:rsidP="00974018">
      <w:pPr>
        <w:ind w:left="567" w:right="397"/>
        <w:rPr>
          <w:rFonts w:cs="Tahoma"/>
          <w:bCs/>
          <w:i/>
          <w:szCs w:val="22"/>
        </w:rPr>
      </w:pPr>
      <w:r w:rsidRPr="00974018">
        <w:rPr>
          <w:rFonts w:cs="Tahoma"/>
          <w:bCs/>
          <w:i/>
          <w:szCs w:val="22"/>
        </w:rPr>
        <w:t>IV. Promover la participación de los diversos sectores que integren la sociedad en la conservación y aprovechamiento sustentable de los recursos naturales en el Municipio;</w:t>
      </w:r>
    </w:p>
    <w:p w14:paraId="61326FE8" w14:textId="77777777" w:rsidR="00687DEA" w:rsidRPr="00974018" w:rsidRDefault="00687DEA" w:rsidP="00974018">
      <w:pPr>
        <w:ind w:left="567" w:right="397"/>
        <w:rPr>
          <w:rFonts w:cs="Tahoma"/>
          <w:bCs/>
          <w:i/>
          <w:szCs w:val="22"/>
        </w:rPr>
      </w:pPr>
      <w:r w:rsidRPr="00974018">
        <w:rPr>
          <w:rFonts w:cs="Tahoma"/>
          <w:bCs/>
          <w:i/>
          <w:szCs w:val="22"/>
        </w:rPr>
        <w:t>V. Fomentar y promover programas de educación y capacitación ambiental con actividades enfocadas a una educación y cultura ambientalista, a fin de que las y los habitantes de Metepec incorporen como valores personales, familiares y sociales, la necesidad de conservar, proteger y restaurar el ambiente, promoviendo el uso racional de los recursos naturales, especialmente la protección del agua y de los recursos energéticos no renovables; coordinándose con las autoridades educativas, autoridades auxiliares, consejos de participación ciudadana, organizaciones sociales, sectores representativos y la población en general;</w:t>
      </w:r>
    </w:p>
    <w:p w14:paraId="66FBFDDB" w14:textId="77777777" w:rsidR="00687DEA" w:rsidRPr="00974018" w:rsidRDefault="00687DEA" w:rsidP="00974018">
      <w:pPr>
        <w:ind w:left="567" w:right="397"/>
        <w:rPr>
          <w:rFonts w:cs="Tahoma"/>
          <w:bCs/>
          <w:i/>
          <w:szCs w:val="22"/>
        </w:rPr>
      </w:pPr>
      <w:r w:rsidRPr="00974018">
        <w:rPr>
          <w:rFonts w:cs="Tahoma"/>
          <w:bCs/>
          <w:i/>
          <w:szCs w:val="22"/>
        </w:rPr>
        <w:t>VI. Vigilar y aplicar la normatividad ambiental vigente para garantizar la protección, conservación, restauración, regeneración y preservación de los recursos naturales y entorno ambiental;</w:t>
      </w:r>
    </w:p>
    <w:p w14:paraId="6C46ADF2" w14:textId="77777777" w:rsidR="00687DEA" w:rsidRPr="00974018" w:rsidRDefault="00687DEA" w:rsidP="00974018">
      <w:pPr>
        <w:ind w:left="567" w:right="397"/>
        <w:rPr>
          <w:rFonts w:cs="Tahoma"/>
          <w:bCs/>
          <w:i/>
          <w:szCs w:val="22"/>
        </w:rPr>
      </w:pPr>
      <w:r w:rsidRPr="00974018">
        <w:rPr>
          <w:rFonts w:cs="Tahoma"/>
          <w:bCs/>
          <w:i/>
          <w:szCs w:val="22"/>
        </w:rPr>
        <w:t>VII. Coordinar y apoyar las acciones y estrategias de los programas de gestión ambiental, recursos naturales, proyectos ecológicos y parque ecológico;</w:t>
      </w:r>
    </w:p>
    <w:p w14:paraId="6E8C12A0" w14:textId="77777777" w:rsidR="00687DEA" w:rsidRPr="00974018" w:rsidRDefault="00687DEA" w:rsidP="00974018">
      <w:pPr>
        <w:ind w:left="567" w:right="397"/>
        <w:rPr>
          <w:rFonts w:cs="Tahoma"/>
          <w:bCs/>
          <w:i/>
          <w:szCs w:val="22"/>
        </w:rPr>
      </w:pPr>
      <w:r w:rsidRPr="00974018">
        <w:rPr>
          <w:rFonts w:cs="Tahoma"/>
          <w:bCs/>
          <w:i/>
          <w:szCs w:val="22"/>
        </w:rPr>
        <w:t>VIII. Promover y coordinar acciones para el manejo adecuado de los residuos sólidos urbanos municipales;</w:t>
      </w:r>
    </w:p>
    <w:p w14:paraId="0EB36BC1" w14:textId="77777777" w:rsidR="00687DEA" w:rsidRPr="00974018" w:rsidRDefault="00687DEA" w:rsidP="00974018">
      <w:pPr>
        <w:ind w:left="567" w:right="397"/>
        <w:rPr>
          <w:rFonts w:cs="Tahoma"/>
          <w:bCs/>
          <w:i/>
          <w:szCs w:val="22"/>
        </w:rPr>
      </w:pPr>
      <w:r w:rsidRPr="00974018">
        <w:rPr>
          <w:rFonts w:cs="Tahoma"/>
          <w:bCs/>
          <w:i/>
          <w:szCs w:val="22"/>
        </w:rPr>
        <w:lastRenderedPageBreak/>
        <w:t>IX. Promover y aplicar criterios ambientales al interior de la Administración Pública Municipal; como el ahorro de energía eléctrica, compras ecológicas, ahorro del agua, verificación y corrección de fugas internas, separación de origen de residuos y composteo de residuos orgánicos, desarrollando un sistema de gestión ambiental municipal;</w:t>
      </w:r>
    </w:p>
    <w:p w14:paraId="143986AF" w14:textId="77777777" w:rsidR="00687DEA" w:rsidRPr="00974018" w:rsidRDefault="00687DEA" w:rsidP="00974018">
      <w:pPr>
        <w:ind w:left="567" w:right="397"/>
        <w:rPr>
          <w:rFonts w:cs="Tahoma"/>
          <w:bCs/>
          <w:i/>
          <w:szCs w:val="22"/>
        </w:rPr>
      </w:pPr>
      <w:r w:rsidRPr="00974018">
        <w:rPr>
          <w:rFonts w:cs="Tahoma"/>
          <w:bCs/>
          <w:i/>
          <w:szCs w:val="22"/>
        </w:rPr>
        <w:t>X. Otorgar el visto bueno para la autorización de apertura de nuevos establecimientos comerciales, de servicios que puedan tener un impacto sobre el medio ambiente; valorando en cada caso la viabilidad o necesidad de establecer medidas compensatorias del impacto ambiental;</w:t>
      </w:r>
    </w:p>
    <w:p w14:paraId="7DF0AA8F" w14:textId="77777777" w:rsidR="00687DEA" w:rsidRPr="00974018" w:rsidRDefault="00687DEA" w:rsidP="00974018">
      <w:pPr>
        <w:ind w:left="567" w:right="397"/>
        <w:rPr>
          <w:rFonts w:cs="Tahoma"/>
          <w:bCs/>
          <w:i/>
          <w:szCs w:val="22"/>
        </w:rPr>
      </w:pPr>
      <w:r w:rsidRPr="00974018">
        <w:rPr>
          <w:rFonts w:cs="Tahoma"/>
          <w:bCs/>
          <w:i/>
          <w:szCs w:val="22"/>
        </w:rPr>
        <w:t>XI. Emitir la Evaluación Técnica de Factibilidad en materia de medio ambiente y/o ecología y/o impacto sanitario, considerando los efectos ambientales y las acciones de prevención y remediación en el aprovechamiento de los recursos naturales; de conformidad con los requisitos que se establezcan para tal efecto;</w:t>
      </w:r>
    </w:p>
    <w:p w14:paraId="14CC18A1" w14:textId="77777777" w:rsidR="00687DEA" w:rsidRPr="00974018" w:rsidRDefault="00687DEA" w:rsidP="00974018">
      <w:pPr>
        <w:ind w:left="567" w:right="397"/>
        <w:rPr>
          <w:rFonts w:cs="Tahoma"/>
          <w:bCs/>
          <w:i/>
          <w:szCs w:val="22"/>
        </w:rPr>
      </w:pPr>
      <w:r w:rsidRPr="00974018">
        <w:rPr>
          <w:rFonts w:cs="Tahoma"/>
          <w:bCs/>
          <w:i/>
          <w:szCs w:val="22"/>
        </w:rPr>
        <w:t>XII. Integrar el registro de los establecimientos industriales, comerciales y/o de servicios, generadores de residuos sólidos urbanos;</w:t>
      </w:r>
    </w:p>
    <w:p w14:paraId="74D98285" w14:textId="77777777" w:rsidR="00687DEA" w:rsidRPr="00974018" w:rsidRDefault="00687DEA" w:rsidP="00974018">
      <w:pPr>
        <w:ind w:left="567" w:right="397"/>
        <w:rPr>
          <w:rFonts w:cs="Tahoma"/>
          <w:bCs/>
          <w:i/>
          <w:szCs w:val="22"/>
        </w:rPr>
      </w:pPr>
      <w:r w:rsidRPr="00974018">
        <w:rPr>
          <w:rFonts w:cs="Tahoma"/>
          <w:bCs/>
          <w:i/>
          <w:szCs w:val="22"/>
        </w:rPr>
        <w:t>XIII. Autorizar la operación del servicio de manejo de residuos sólidos urbanos, en el ámbito de la competencia municipal;</w:t>
      </w:r>
    </w:p>
    <w:p w14:paraId="577124B2" w14:textId="77777777" w:rsidR="00687DEA" w:rsidRPr="00974018" w:rsidRDefault="00687DEA" w:rsidP="00974018">
      <w:pPr>
        <w:ind w:left="567" w:right="397"/>
        <w:rPr>
          <w:rFonts w:cs="Tahoma"/>
          <w:bCs/>
          <w:i/>
          <w:szCs w:val="22"/>
        </w:rPr>
      </w:pPr>
      <w:r w:rsidRPr="00974018">
        <w:rPr>
          <w:rFonts w:cs="Tahoma"/>
          <w:bCs/>
          <w:i/>
          <w:szCs w:val="22"/>
        </w:rPr>
        <w:t>XIV. Emitir la autorización a las personas físicas o jurídico-colectivas que presten el servicio de transporte y acopio de residuos sólidos urbanos;</w:t>
      </w:r>
    </w:p>
    <w:p w14:paraId="2A99AE96" w14:textId="77777777" w:rsidR="00687DEA" w:rsidRPr="00974018" w:rsidRDefault="00687DEA" w:rsidP="00974018">
      <w:pPr>
        <w:ind w:left="567" w:right="397"/>
        <w:rPr>
          <w:rFonts w:cs="Tahoma"/>
          <w:bCs/>
          <w:i/>
          <w:szCs w:val="22"/>
        </w:rPr>
      </w:pPr>
      <w:r w:rsidRPr="00974018">
        <w:rPr>
          <w:rFonts w:cs="Tahoma"/>
          <w:bCs/>
          <w:i/>
          <w:szCs w:val="22"/>
        </w:rPr>
        <w:t>XV. Establecer y regular el Centro de Control Canino y Felino Municipal;</w:t>
      </w:r>
    </w:p>
    <w:p w14:paraId="1DA75245" w14:textId="64CB75E0" w:rsidR="000605CC" w:rsidRPr="00974018" w:rsidRDefault="00687DEA" w:rsidP="00974018">
      <w:pPr>
        <w:ind w:left="567" w:right="397"/>
        <w:rPr>
          <w:rFonts w:cs="Tahoma"/>
          <w:bCs/>
          <w:i/>
          <w:szCs w:val="22"/>
        </w:rPr>
      </w:pPr>
      <w:r w:rsidRPr="00974018">
        <w:rPr>
          <w:rFonts w:cs="Tahoma"/>
          <w:bCs/>
          <w:i/>
          <w:szCs w:val="22"/>
        </w:rPr>
        <w:t>XVI. Recibir y atender quejas sobre maltrato animal;</w:t>
      </w:r>
    </w:p>
    <w:p w14:paraId="2516EC8E" w14:textId="77777777" w:rsidR="00687DEA" w:rsidRPr="00974018" w:rsidRDefault="00687DEA" w:rsidP="00974018">
      <w:pPr>
        <w:ind w:left="567" w:right="397"/>
        <w:rPr>
          <w:rFonts w:cs="Tahoma"/>
          <w:bCs/>
          <w:i/>
          <w:szCs w:val="22"/>
        </w:rPr>
      </w:pPr>
      <w:r w:rsidRPr="00974018">
        <w:rPr>
          <w:rFonts w:cs="Tahoma"/>
          <w:bCs/>
          <w:i/>
          <w:szCs w:val="22"/>
        </w:rPr>
        <w:t>XVII. Supervisar las condiciones de operación y mantenimiento de criaderos de animales, siempre que medie denuncia ciudadana de maltrato, y en caso de encontrar anomalías o infracciones a las leyes de la materia, imponer las sanciones que en derecho apliquen, de acuerdo a la normatividad vigente;</w:t>
      </w:r>
    </w:p>
    <w:p w14:paraId="7B7DD0D5" w14:textId="77777777" w:rsidR="00687DEA" w:rsidRPr="00974018" w:rsidRDefault="00687DEA" w:rsidP="00974018">
      <w:pPr>
        <w:ind w:left="567" w:right="397"/>
        <w:rPr>
          <w:rFonts w:cs="Tahoma"/>
          <w:bCs/>
          <w:i/>
          <w:szCs w:val="22"/>
        </w:rPr>
      </w:pPr>
      <w:r w:rsidRPr="00974018">
        <w:rPr>
          <w:rFonts w:cs="Tahoma"/>
          <w:bCs/>
          <w:i/>
          <w:szCs w:val="22"/>
        </w:rPr>
        <w:t>XVIII. Promover las acciones necesarias para aminorar los efectos del cambio climático;</w:t>
      </w:r>
    </w:p>
    <w:p w14:paraId="24C18600" w14:textId="77777777" w:rsidR="00687DEA" w:rsidRPr="00974018" w:rsidRDefault="00687DEA" w:rsidP="00974018">
      <w:pPr>
        <w:ind w:left="567" w:right="397"/>
        <w:rPr>
          <w:rFonts w:cs="Tahoma"/>
          <w:bCs/>
          <w:i/>
          <w:szCs w:val="22"/>
        </w:rPr>
      </w:pPr>
      <w:r w:rsidRPr="00974018">
        <w:rPr>
          <w:rFonts w:cs="Tahoma"/>
          <w:bCs/>
          <w:i/>
          <w:szCs w:val="22"/>
        </w:rPr>
        <w:lastRenderedPageBreak/>
        <w:t>XIX. Promover acciones encaminadas a mejorar la movilidad, fomentando el uso de medio de trasportes sustentables y amigables con el ambiente; y</w:t>
      </w:r>
    </w:p>
    <w:p w14:paraId="6040F7FD" w14:textId="2F3E62FA" w:rsidR="000605CC" w:rsidRPr="00974018" w:rsidRDefault="00687DEA" w:rsidP="00974018">
      <w:pPr>
        <w:ind w:left="567" w:right="397"/>
        <w:rPr>
          <w:rFonts w:cs="Tahoma"/>
          <w:bCs/>
          <w:i/>
          <w:szCs w:val="22"/>
        </w:rPr>
      </w:pPr>
      <w:r w:rsidRPr="00974018">
        <w:rPr>
          <w:rFonts w:cs="Tahoma"/>
          <w:bCs/>
          <w:i/>
          <w:szCs w:val="22"/>
        </w:rPr>
        <w:t>XX. Las demás que le confieran otros ordenamientos legales aplicables, o las que por acuerdo de Cabildo o el Presidente Municipal le señalen.</w:t>
      </w:r>
    </w:p>
    <w:p w14:paraId="59AF88FD" w14:textId="77777777" w:rsidR="000605CC" w:rsidRPr="00974018" w:rsidRDefault="000605CC" w:rsidP="00974018">
      <w:pPr>
        <w:ind w:right="-93"/>
        <w:rPr>
          <w:rFonts w:cs="Tahoma"/>
          <w:bCs/>
          <w:szCs w:val="22"/>
        </w:rPr>
      </w:pPr>
    </w:p>
    <w:p w14:paraId="7FDD3562" w14:textId="323A92AB" w:rsidR="000605CC" w:rsidRPr="00974018" w:rsidRDefault="00687DEA" w:rsidP="00974018">
      <w:pPr>
        <w:ind w:right="-93"/>
        <w:rPr>
          <w:rFonts w:cs="Tahoma"/>
          <w:bCs/>
          <w:szCs w:val="22"/>
        </w:rPr>
      </w:pPr>
      <w:r w:rsidRPr="00974018">
        <w:rPr>
          <w:rFonts w:cs="Tahoma"/>
          <w:bCs/>
          <w:szCs w:val="22"/>
        </w:rPr>
        <w:t>No obstante, como ya se señaló el SUJETO OBLIGADO a través de la Dirección del Medio ambiente consideró que la información solicitada constituía un derecho de petición, lo cual como ya vimos no es así pesto que existe fuente obligacional</w:t>
      </w:r>
      <w:r w:rsidRPr="00974018">
        <w:rPr>
          <w:rStyle w:val="Refdenotaalpie"/>
          <w:rFonts w:cs="Tahoma"/>
          <w:bCs/>
          <w:szCs w:val="22"/>
        </w:rPr>
        <w:footnoteReference w:id="4"/>
      </w:r>
      <w:r w:rsidRPr="00974018">
        <w:rPr>
          <w:rFonts w:cs="Tahoma"/>
          <w:bCs/>
          <w:szCs w:val="22"/>
        </w:rPr>
        <w:t xml:space="preserve"> para que ésta área pueda conocer de la información solicitada por lo cual es viable ordenar lo siguiente:</w:t>
      </w:r>
    </w:p>
    <w:p w14:paraId="37484A89" w14:textId="77777777" w:rsidR="00687DEA" w:rsidRPr="00974018" w:rsidRDefault="00687DEA" w:rsidP="00974018">
      <w:pPr>
        <w:ind w:right="-93"/>
        <w:rPr>
          <w:rFonts w:cs="Tahoma"/>
          <w:bCs/>
          <w:szCs w:val="22"/>
        </w:rPr>
      </w:pPr>
    </w:p>
    <w:p w14:paraId="3C2374E5" w14:textId="2041DE9E" w:rsidR="00687DEA" w:rsidRPr="00974018" w:rsidRDefault="00687DEA" w:rsidP="00974018">
      <w:pPr>
        <w:ind w:right="-93"/>
        <w:rPr>
          <w:rFonts w:cs="Tahoma"/>
          <w:bCs/>
          <w:i/>
          <w:szCs w:val="22"/>
        </w:rPr>
      </w:pPr>
      <w:r w:rsidRPr="00974018">
        <w:rPr>
          <w:rFonts w:cs="Tahoma"/>
          <w:bCs/>
          <w:i/>
          <w:szCs w:val="22"/>
        </w:rPr>
        <w:t xml:space="preserve">El documento donde consten las </w:t>
      </w:r>
      <w:r w:rsidRPr="00974018">
        <w:rPr>
          <w:rFonts w:cs="Arial"/>
          <w:i/>
        </w:rPr>
        <w:t>acciones programadas por parte de la administración 2025-2027 para cumplir con los compromisos de su reconocimiento “Ciudad Árbol del mundo” vigentes al 18 de febrero de 2025.</w:t>
      </w:r>
    </w:p>
    <w:p w14:paraId="4491730D" w14:textId="77777777" w:rsidR="00687DEA" w:rsidRPr="00974018" w:rsidRDefault="00687DEA" w:rsidP="00974018">
      <w:pPr>
        <w:ind w:right="-93"/>
        <w:rPr>
          <w:rFonts w:cs="Tahoma"/>
          <w:bCs/>
          <w:szCs w:val="22"/>
        </w:rPr>
      </w:pPr>
    </w:p>
    <w:p w14:paraId="50C1980C" w14:textId="771F9011" w:rsidR="000605CC" w:rsidRPr="00974018" w:rsidRDefault="00687DEA" w:rsidP="00974018">
      <w:pPr>
        <w:ind w:right="-93"/>
        <w:rPr>
          <w:rFonts w:cs="Tahoma"/>
          <w:b/>
          <w:bCs/>
          <w:szCs w:val="22"/>
        </w:rPr>
      </w:pPr>
      <w:r w:rsidRPr="00974018">
        <w:rPr>
          <w:rFonts w:cs="Arial"/>
          <w:b/>
        </w:rPr>
        <w:t>2 ¿Cuáles son las iniciativas planteadas al cabildo o a otras dependencias municipales o estatales, para crear y ampliar las áreas verdes del municipio? ¿Cuál es el progreso de dichas iniciativas?</w:t>
      </w:r>
    </w:p>
    <w:p w14:paraId="59B8F6E5" w14:textId="77777777" w:rsidR="000605CC" w:rsidRPr="00974018" w:rsidRDefault="000605CC" w:rsidP="00974018">
      <w:pPr>
        <w:ind w:right="-93"/>
        <w:rPr>
          <w:rFonts w:cs="Tahoma"/>
          <w:bCs/>
          <w:szCs w:val="22"/>
        </w:rPr>
      </w:pPr>
    </w:p>
    <w:p w14:paraId="5991B34E" w14:textId="4AE80A9C" w:rsidR="009C1C75" w:rsidRPr="00974018" w:rsidRDefault="009C1C75" w:rsidP="00974018">
      <w:pPr>
        <w:ind w:right="-93"/>
        <w:rPr>
          <w:rFonts w:cs="Tahoma"/>
          <w:bCs/>
          <w:szCs w:val="22"/>
        </w:rPr>
      </w:pPr>
      <w:r w:rsidRPr="00974018">
        <w:rPr>
          <w:rFonts w:cs="Tahoma"/>
          <w:bCs/>
          <w:szCs w:val="22"/>
        </w:rPr>
        <w:t>Como ya se señaló en el punto que antecede la presente información no es un derecho de petición y el área competente para tal efecto es la Dirección de Medio Ambiente, destacando que dicha dirección de conformidad con el Código reglamentario Municipal de Metepec cuenta con las siguientes áreas para el cumplimiento de sus atribuciones y facultades, áreas que dentro de sus facultades refuerzan la competencia de esta dirección para conocer de la información solicitada.</w:t>
      </w:r>
    </w:p>
    <w:p w14:paraId="485A3185" w14:textId="77777777" w:rsidR="009C1C75" w:rsidRPr="00974018" w:rsidRDefault="009C1C75" w:rsidP="00974018">
      <w:pPr>
        <w:ind w:left="567" w:right="539"/>
        <w:rPr>
          <w:rFonts w:cs="Tahoma"/>
          <w:bCs/>
          <w:i/>
          <w:szCs w:val="22"/>
        </w:rPr>
      </w:pPr>
      <w:r w:rsidRPr="00974018">
        <w:rPr>
          <w:rFonts w:cs="Tahoma"/>
          <w:bCs/>
          <w:i/>
          <w:szCs w:val="22"/>
        </w:rPr>
        <w:lastRenderedPageBreak/>
        <w:t>Artículo 3.240. La Subdirección de Gestión Ambiental; tendrá las siguientes funciones:</w:t>
      </w:r>
    </w:p>
    <w:p w14:paraId="472A9801" w14:textId="77777777" w:rsidR="009C1C75" w:rsidRPr="00974018" w:rsidRDefault="009C1C75" w:rsidP="00974018">
      <w:pPr>
        <w:ind w:left="567" w:right="539"/>
        <w:rPr>
          <w:rFonts w:cs="Tahoma"/>
          <w:bCs/>
          <w:i/>
          <w:szCs w:val="22"/>
        </w:rPr>
      </w:pPr>
      <w:r w:rsidRPr="00974018">
        <w:rPr>
          <w:rFonts w:cs="Tahoma"/>
          <w:bCs/>
          <w:i/>
          <w:szCs w:val="22"/>
        </w:rPr>
        <w:t>I. Instrumentar la gestión ambiental en el ámbito municipal, a través de la aplicación, seguimiento y evaluación de políticas y lineamientos de carácter técnico y administrativo para la protección ambiental, que contribuyan al desarrollo sustentable del municipio, garantizando un servicio de calidad, eficiencia y transparencia;</w:t>
      </w:r>
    </w:p>
    <w:p w14:paraId="48162C4A" w14:textId="77777777" w:rsidR="009C1C75" w:rsidRPr="00974018" w:rsidRDefault="009C1C75" w:rsidP="00974018">
      <w:pPr>
        <w:ind w:left="567" w:right="539"/>
        <w:rPr>
          <w:rFonts w:cs="Tahoma"/>
          <w:bCs/>
          <w:i/>
          <w:szCs w:val="22"/>
        </w:rPr>
      </w:pPr>
      <w:r w:rsidRPr="00974018">
        <w:rPr>
          <w:rFonts w:cs="Tahoma"/>
          <w:bCs/>
          <w:i/>
          <w:szCs w:val="22"/>
        </w:rPr>
        <w:t>II. Ejercer los actos de autoridad relativos a la aplicación de los instrumentos normativos, en el ámbito de su competencia, en materia de protección, conservación, restauración y aprovechamiento sustentable de los recursos naturales del Municipio, contribuyendo a la gestión, fomento y manejo sustentable de los mismos;</w:t>
      </w:r>
    </w:p>
    <w:p w14:paraId="15ADE921" w14:textId="77777777" w:rsidR="009C1C75" w:rsidRPr="00974018" w:rsidRDefault="009C1C75" w:rsidP="00974018">
      <w:pPr>
        <w:ind w:left="567" w:right="539"/>
        <w:rPr>
          <w:rFonts w:cs="Tahoma"/>
          <w:bCs/>
          <w:i/>
          <w:szCs w:val="22"/>
        </w:rPr>
      </w:pPr>
      <w:r w:rsidRPr="00974018">
        <w:rPr>
          <w:rFonts w:cs="Tahoma"/>
          <w:bCs/>
          <w:i/>
          <w:szCs w:val="22"/>
        </w:rPr>
        <w:t>III. Formular en coordinación con las unidades administrativas correspondientes, las acciones, los criterios ambientales y la política de aprovechamiento sustentable, conservación, protección y restauración del arbolado en el ámbito de su competencia;</w:t>
      </w:r>
    </w:p>
    <w:p w14:paraId="4BD54D16" w14:textId="77777777" w:rsidR="009C1C75" w:rsidRPr="00974018" w:rsidRDefault="009C1C75" w:rsidP="00974018">
      <w:pPr>
        <w:ind w:left="567" w:right="539"/>
        <w:rPr>
          <w:rFonts w:cs="Tahoma"/>
          <w:bCs/>
          <w:i/>
          <w:szCs w:val="22"/>
        </w:rPr>
      </w:pPr>
      <w:r w:rsidRPr="00974018">
        <w:rPr>
          <w:rFonts w:cs="Tahoma"/>
          <w:bCs/>
          <w:i/>
          <w:szCs w:val="22"/>
        </w:rPr>
        <w:t>IV. Difundir los lineamientos, criterios y emitir las recomendaciones para la restauración ambiental y evaluar los resultados de los programas de reforestación que se ejecuten;</w:t>
      </w:r>
    </w:p>
    <w:p w14:paraId="50FB2460" w14:textId="77777777" w:rsidR="009C1C75" w:rsidRPr="00974018" w:rsidRDefault="009C1C75" w:rsidP="00974018">
      <w:pPr>
        <w:ind w:left="567" w:right="539"/>
        <w:rPr>
          <w:rFonts w:cs="Tahoma"/>
          <w:bCs/>
          <w:i/>
          <w:szCs w:val="22"/>
        </w:rPr>
      </w:pPr>
      <w:r w:rsidRPr="00974018">
        <w:rPr>
          <w:rFonts w:cs="Tahoma"/>
          <w:bCs/>
          <w:i/>
          <w:szCs w:val="22"/>
        </w:rPr>
        <w:t>V. Difundir la política administrativa del Parque Municipal de Recreación Popular "El Calvario" e impulsar la participación de los sectores público, social y privado en su establecimiento, manejo, administración y desarrollo sustentable;</w:t>
      </w:r>
    </w:p>
    <w:p w14:paraId="4DAF597B" w14:textId="77777777" w:rsidR="009C1C75" w:rsidRPr="00974018" w:rsidRDefault="009C1C75" w:rsidP="00974018">
      <w:pPr>
        <w:ind w:left="567" w:right="539"/>
        <w:rPr>
          <w:rFonts w:cs="Tahoma"/>
          <w:bCs/>
          <w:i/>
          <w:szCs w:val="22"/>
        </w:rPr>
      </w:pPr>
      <w:r w:rsidRPr="00974018">
        <w:rPr>
          <w:rFonts w:cs="Tahoma"/>
          <w:bCs/>
          <w:i/>
          <w:szCs w:val="22"/>
        </w:rPr>
        <w:t>VI. Realizar trabajos de restauración y reforestación y otros encaminados a proteger y utilizar con mayor provecho los recursos naturales y organizar a la sociedad en general para estos fines;</w:t>
      </w:r>
    </w:p>
    <w:p w14:paraId="5B089F05" w14:textId="77777777" w:rsidR="009C1C75" w:rsidRPr="00974018" w:rsidRDefault="009C1C75" w:rsidP="00974018">
      <w:pPr>
        <w:ind w:left="567" w:right="539"/>
        <w:rPr>
          <w:rFonts w:cs="Tahoma"/>
          <w:bCs/>
          <w:i/>
          <w:szCs w:val="22"/>
        </w:rPr>
      </w:pPr>
      <w:r w:rsidRPr="00974018">
        <w:rPr>
          <w:rFonts w:cs="Tahoma"/>
          <w:bCs/>
          <w:i/>
          <w:szCs w:val="22"/>
        </w:rPr>
        <w:t>VII. Diseñar, implementar, dar seguimiento y evaluar las políticas públicas en materia ambiental; así como los proyectos, programas y acciones orientados a la protección y cuidado del ambiente.</w:t>
      </w:r>
    </w:p>
    <w:p w14:paraId="74C96CC3" w14:textId="77777777" w:rsidR="009C1C75" w:rsidRPr="00974018" w:rsidRDefault="009C1C75" w:rsidP="00974018">
      <w:pPr>
        <w:ind w:left="567" w:right="539"/>
        <w:rPr>
          <w:rFonts w:cs="Tahoma"/>
          <w:bCs/>
          <w:i/>
          <w:szCs w:val="22"/>
        </w:rPr>
      </w:pPr>
      <w:r w:rsidRPr="00974018">
        <w:rPr>
          <w:rFonts w:cs="Tahoma"/>
          <w:bCs/>
          <w:i/>
          <w:szCs w:val="22"/>
        </w:rPr>
        <w:t>VIII. Administrar y supervisar el mantenimiento y reproducción de plantas en el vivero municipal;</w:t>
      </w:r>
    </w:p>
    <w:p w14:paraId="6E5E6EE5" w14:textId="77777777" w:rsidR="009C1C75" w:rsidRPr="00974018" w:rsidRDefault="009C1C75" w:rsidP="00974018">
      <w:pPr>
        <w:ind w:left="567" w:right="539"/>
        <w:rPr>
          <w:rFonts w:cs="Tahoma"/>
          <w:bCs/>
          <w:i/>
          <w:szCs w:val="22"/>
        </w:rPr>
      </w:pPr>
      <w:r w:rsidRPr="00974018">
        <w:rPr>
          <w:rFonts w:cs="Tahoma"/>
          <w:bCs/>
          <w:i/>
          <w:szCs w:val="22"/>
        </w:rPr>
        <w:lastRenderedPageBreak/>
        <w:t>IX. Proponer el cuidado y mantenimiento del jardín lineal, desarrollando los programas necesarios para ello;</w:t>
      </w:r>
    </w:p>
    <w:p w14:paraId="37D14359" w14:textId="77777777" w:rsidR="009C1C75" w:rsidRPr="00974018" w:rsidRDefault="009C1C75" w:rsidP="00974018">
      <w:pPr>
        <w:ind w:left="567" w:right="539"/>
        <w:rPr>
          <w:rFonts w:cs="Tahoma"/>
          <w:bCs/>
          <w:i/>
          <w:szCs w:val="22"/>
        </w:rPr>
      </w:pPr>
      <w:r w:rsidRPr="00974018">
        <w:rPr>
          <w:rFonts w:cs="Tahoma"/>
          <w:bCs/>
          <w:i/>
          <w:szCs w:val="22"/>
        </w:rPr>
        <w:t>X. Conducir las actividades de seguimiento a las autorizaciones en materia de derribo o poda de arbolado, así como para modificar, suspender, anular, nulificar y revocar dichas autorizaciones;</w:t>
      </w:r>
    </w:p>
    <w:p w14:paraId="7211866B" w14:textId="77777777" w:rsidR="009C1C75" w:rsidRPr="00974018" w:rsidRDefault="009C1C75" w:rsidP="00974018">
      <w:pPr>
        <w:ind w:left="567" w:right="539"/>
        <w:rPr>
          <w:rFonts w:cs="Tahoma"/>
          <w:bCs/>
          <w:i/>
          <w:szCs w:val="22"/>
        </w:rPr>
      </w:pPr>
      <w:r w:rsidRPr="00974018">
        <w:rPr>
          <w:rFonts w:cs="Tahoma"/>
          <w:bCs/>
          <w:i/>
          <w:szCs w:val="22"/>
        </w:rPr>
        <w:t>XI. Elaborar dictámenes técnicos en materia de impacto ambiental, cuando se trate de proyectos u obras propias del Ayuntamiento;</w:t>
      </w:r>
    </w:p>
    <w:p w14:paraId="255EB5F4" w14:textId="77777777" w:rsidR="009C1C75" w:rsidRPr="00974018" w:rsidRDefault="009C1C75" w:rsidP="00974018">
      <w:pPr>
        <w:ind w:left="567" w:right="539"/>
        <w:rPr>
          <w:rFonts w:cs="Tahoma"/>
          <w:bCs/>
          <w:i/>
          <w:szCs w:val="22"/>
        </w:rPr>
      </w:pPr>
      <w:r w:rsidRPr="00974018">
        <w:rPr>
          <w:rFonts w:cs="Tahoma"/>
          <w:bCs/>
          <w:i/>
          <w:szCs w:val="22"/>
        </w:rPr>
        <w:t>XII. Valorar y emitir las recomendaciones necesarias, derivadas de las condicionantes de impacto ambiental, impuestas por la Secretaría de Medo Ambiente del Estado, hacia particulares;</w:t>
      </w:r>
    </w:p>
    <w:p w14:paraId="3D770784" w14:textId="77777777" w:rsidR="009C1C75" w:rsidRPr="00974018" w:rsidRDefault="009C1C75" w:rsidP="00974018">
      <w:pPr>
        <w:ind w:left="567" w:right="539"/>
        <w:rPr>
          <w:rFonts w:cs="Tahoma"/>
          <w:bCs/>
          <w:i/>
          <w:szCs w:val="22"/>
        </w:rPr>
      </w:pPr>
      <w:r w:rsidRPr="00974018">
        <w:rPr>
          <w:rFonts w:cs="Tahoma"/>
          <w:bCs/>
          <w:i/>
          <w:szCs w:val="22"/>
        </w:rPr>
        <w:t>XIII. Conducir y orientar el diseño, promoción, coordinación y evaluación de actividades de corto y mediano plazo sobre problemas prioritarios municipales sobre el cuidado, protección y conservación del medio ambiente en al ámbito de competencia marcado por la normatividad vigente;</w:t>
      </w:r>
    </w:p>
    <w:p w14:paraId="1A681D6F" w14:textId="77777777" w:rsidR="009C1C75" w:rsidRPr="00974018" w:rsidRDefault="009C1C75" w:rsidP="00974018">
      <w:pPr>
        <w:ind w:left="567" w:right="539"/>
        <w:rPr>
          <w:rFonts w:cs="Tahoma"/>
          <w:bCs/>
          <w:i/>
          <w:szCs w:val="22"/>
        </w:rPr>
      </w:pPr>
      <w:r w:rsidRPr="00974018">
        <w:rPr>
          <w:rFonts w:cs="Tahoma"/>
          <w:bCs/>
          <w:i/>
          <w:szCs w:val="22"/>
        </w:rPr>
        <w:t>XIV. Proponer lineamientos para la formulación, ejecución y evaluación de los proyectos y programas de aprovechamiento sustentable de los recursos naturales;</w:t>
      </w:r>
    </w:p>
    <w:p w14:paraId="273DF3EE" w14:textId="77777777" w:rsidR="009C1C75" w:rsidRPr="00974018" w:rsidRDefault="009C1C75" w:rsidP="00974018">
      <w:pPr>
        <w:ind w:left="567" w:right="539"/>
        <w:rPr>
          <w:rFonts w:cs="Tahoma"/>
          <w:bCs/>
          <w:i/>
          <w:szCs w:val="22"/>
        </w:rPr>
      </w:pPr>
      <w:r w:rsidRPr="00974018">
        <w:rPr>
          <w:rFonts w:cs="Tahoma"/>
          <w:bCs/>
          <w:i/>
          <w:szCs w:val="22"/>
        </w:rPr>
        <w:t>XV. Conducir el desarrollo, promoción y fomento de proyectos aplicados a problemas prioritarios en el ámbito municipal en materia de residuos, conforme al ámbito de competencia marcado por la normatividad vigente en la materia;</w:t>
      </w:r>
    </w:p>
    <w:p w14:paraId="0EC3CBAE" w14:textId="77777777" w:rsidR="009C1C75" w:rsidRPr="00974018" w:rsidRDefault="009C1C75" w:rsidP="00974018">
      <w:pPr>
        <w:ind w:left="567" w:right="539"/>
        <w:rPr>
          <w:rFonts w:cs="Tahoma"/>
          <w:bCs/>
          <w:i/>
          <w:szCs w:val="22"/>
        </w:rPr>
      </w:pPr>
      <w:r w:rsidRPr="00974018">
        <w:rPr>
          <w:rFonts w:cs="Tahoma"/>
          <w:bCs/>
          <w:i/>
          <w:szCs w:val="22"/>
        </w:rPr>
        <w:t>XVI. Instrumentar los sistemas, métodos y procedimientos para evaluar y dictaminar el manejo de residuos de competencia municipal, así como para expedir autorizaciones en la materia, para la realización de las obras o actividades de que se trate;</w:t>
      </w:r>
    </w:p>
    <w:p w14:paraId="08697A00" w14:textId="77777777" w:rsidR="009C1C75" w:rsidRPr="00974018" w:rsidRDefault="009C1C75" w:rsidP="00974018">
      <w:pPr>
        <w:ind w:left="567" w:right="539"/>
        <w:rPr>
          <w:rFonts w:cs="Tahoma"/>
          <w:bCs/>
          <w:i/>
          <w:szCs w:val="22"/>
        </w:rPr>
      </w:pPr>
      <w:r w:rsidRPr="00974018">
        <w:rPr>
          <w:rFonts w:cs="Tahoma"/>
          <w:bCs/>
          <w:i/>
          <w:szCs w:val="22"/>
        </w:rPr>
        <w:t>XVII. Conducir las actividades de seguimiento a las autorizaciones en materia de manejo de residuos de competencia municipal, así como para modificar, suspender, anular, nulificar y revocar dichas autorizaciones;</w:t>
      </w:r>
    </w:p>
    <w:p w14:paraId="517A16C9" w14:textId="77777777" w:rsidR="009C1C75" w:rsidRPr="00974018" w:rsidRDefault="009C1C75" w:rsidP="00974018">
      <w:pPr>
        <w:ind w:left="567" w:right="539"/>
        <w:rPr>
          <w:rFonts w:cs="Tahoma"/>
          <w:bCs/>
          <w:i/>
          <w:szCs w:val="22"/>
        </w:rPr>
      </w:pPr>
      <w:r w:rsidRPr="00974018">
        <w:rPr>
          <w:rFonts w:cs="Tahoma"/>
          <w:bCs/>
          <w:i/>
          <w:szCs w:val="22"/>
        </w:rPr>
        <w:lastRenderedPageBreak/>
        <w:t>XVIII. Orientar el fomento de la cultura ambiental, así como, la promoción y difusión de energías renovables, tecnologías y formas de uso para el aprovechamiento sustentable de los recursos naturales en los ámbitos de agua, aire, suelo y las derivadas de la gestión integral de los residuos;</w:t>
      </w:r>
    </w:p>
    <w:p w14:paraId="6FA7E60A" w14:textId="53C8ED1E" w:rsidR="009C1C75" w:rsidRPr="00974018" w:rsidRDefault="009C1C75" w:rsidP="00974018">
      <w:pPr>
        <w:ind w:left="567" w:right="539"/>
        <w:rPr>
          <w:rFonts w:cs="Tahoma"/>
          <w:bCs/>
          <w:i/>
          <w:szCs w:val="22"/>
        </w:rPr>
      </w:pPr>
      <w:r w:rsidRPr="00974018">
        <w:rPr>
          <w:rFonts w:cs="Tahoma"/>
          <w:bCs/>
          <w:i/>
          <w:szCs w:val="22"/>
        </w:rPr>
        <w:t>XIX. Difundir la cultura ambiental en todos los niveles educativos y entre la sociedad civil en general, a fin de lograr concientización, integración y armonía con el medio ambiente e impulsar la participación su cuidado, aprovechamiento racional, preservación y restauración;</w:t>
      </w:r>
    </w:p>
    <w:p w14:paraId="3B044562" w14:textId="77777777" w:rsidR="00685212" w:rsidRPr="00974018" w:rsidRDefault="00685212" w:rsidP="00974018">
      <w:pPr>
        <w:ind w:left="567" w:right="539"/>
        <w:rPr>
          <w:rFonts w:cs="Tahoma"/>
          <w:bCs/>
          <w:i/>
          <w:szCs w:val="22"/>
        </w:rPr>
      </w:pPr>
    </w:p>
    <w:p w14:paraId="0B921B7D" w14:textId="712F34AA" w:rsidR="00685212" w:rsidRPr="00974018" w:rsidRDefault="00685212" w:rsidP="00974018">
      <w:pPr>
        <w:rPr>
          <w:rFonts w:cs="Tahoma"/>
        </w:rPr>
      </w:pPr>
      <w:r w:rsidRPr="00974018">
        <w:rPr>
          <w:rFonts w:cs="Tahoma"/>
        </w:rPr>
        <w:t xml:space="preserve">Señalado lo anterior es precios clarificar que, el artículo 1.8, fracción XIII, del Código Administrativo del Estado de México, establece que para que tenga validez, todo acto administrativo deberá resolver todos los puntos propuestos por los interesados; además, el </w:t>
      </w:r>
      <w:r w:rsidRPr="00974018">
        <w:rPr>
          <w:rFonts w:cs="Tahoma"/>
          <w:bCs/>
        </w:rPr>
        <w:t xml:space="preserve">Criterio de interpretación con clave de registro </w:t>
      </w:r>
      <w:r w:rsidRPr="00974018">
        <w:rPr>
          <w:rFonts w:cs="Tahoma"/>
        </w:rPr>
        <w:t>SO/002/2017, de la Segunda Época</w:t>
      </w:r>
      <w:r w:rsidRPr="00974018">
        <w:rPr>
          <w:rFonts w:cs="Tahoma"/>
          <w:bCs/>
        </w:rPr>
        <w:t>, emitido por el Instituto Nacional de Transparencia, Acceso a la Información y Protección de Datos Personales</w:t>
      </w:r>
      <w:r w:rsidRPr="00974018">
        <w:rPr>
          <w:rFonts w:cs="Tahoma"/>
        </w:rPr>
        <w:t>, del Instituto Nacional de Transparencia, Acceso a la Información y Protección de Datos Personales, precisa lo siguiente:</w:t>
      </w:r>
    </w:p>
    <w:p w14:paraId="7F353FFB" w14:textId="77777777" w:rsidR="00685212" w:rsidRPr="00974018" w:rsidRDefault="00685212" w:rsidP="00974018">
      <w:pPr>
        <w:rPr>
          <w:rFonts w:cs="Tahoma"/>
        </w:rPr>
      </w:pPr>
    </w:p>
    <w:p w14:paraId="38E47B84" w14:textId="77777777" w:rsidR="00685212" w:rsidRPr="00974018" w:rsidRDefault="00685212" w:rsidP="00974018">
      <w:pPr>
        <w:ind w:left="567" w:right="567"/>
        <w:rPr>
          <w:i/>
          <w:iCs/>
        </w:rPr>
      </w:pPr>
      <w:r w:rsidRPr="00974018">
        <w:rPr>
          <w:b/>
          <w:bCs/>
          <w:i/>
          <w:iCs/>
        </w:rPr>
        <w:t xml:space="preserve">Congruencia y exhaustividad. Sus alcances para garantizar el derecho de acceso a la información. </w:t>
      </w:r>
      <w:r w:rsidRPr="00974018">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974018">
        <w:rPr>
          <w:i/>
          <w:iCs/>
          <w:u w:val="single"/>
        </w:rPr>
        <w:t>la exhaustividad significa que dicha respuesta se refiera expresamente a cada uno de los puntos solicitados</w:t>
      </w:r>
      <w:r w:rsidRPr="00974018">
        <w:rPr>
          <w:i/>
          <w:iCs/>
        </w:rPr>
        <w:t xml:space="preserve">. Por lo anterior, los sujetos obligados </w:t>
      </w:r>
      <w:r w:rsidRPr="00974018">
        <w:rPr>
          <w:i/>
          <w:iCs/>
        </w:rPr>
        <w:lastRenderedPageBreak/>
        <w:t>cumplirán con los principios de congruencia y exhaustividad, cuando las respuestas que emitan guarden una relación lógica con lo solicitado y atiendan de manera puntual y expresa, cada uno de los contenidos de información.</w:t>
      </w:r>
    </w:p>
    <w:p w14:paraId="30635032" w14:textId="77777777" w:rsidR="00685212" w:rsidRPr="00974018" w:rsidRDefault="00685212" w:rsidP="00974018">
      <w:pPr>
        <w:ind w:left="567" w:right="567"/>
        <w:rPr>
          <w:i/>
          <w:iCs/>
        </w:rPr>
      </w:pPr>
    </w:p>
    <w:p w14:paraId="6D084E73" w14:textId="77777777" w:rsidR="00685212" w:rsidRPr="00974018" w:rsidRDefault="00685212" w:rsidP="00974018">
      <w:pPr>
        <w:rPr>
          <w:rFonts w:cs="Tahoma"/>
          <w:bCs/>
          <w:lang w:val="es-ES_tradnl"/>
        </w:rPr>
      </w:pPr>
      <w:r w:rsidRPr="00974018">
        <w:rPr>
          <w:rFonts w:cs="Tahoma"/>
        </w:rPr>
        <w:t xml:space="preserve">Conforme al criterio referido, se logra vislumbrar que </w:t>
      </w:r>
      <w:r w:rsidRPr="00974018">
        <w:rPr>
          <w:rFonts w:cs="Tahoma"/>
          <w:bCs/>
        </w:rPr>
        <w:t xml:space="preserve">todo acto administrativo debe apegarse al </w:t>
      </w:r>
      <w:r w:rsidRPr="00974018">
        <w:rPr>
          <w:rFonts w:cs="Tahoma"/>
          <w:b/>
          <w:bCs/>
        </w:rPr>
        <w:t>principio de exhaustividad</w:t>
      </w:r>
      <w:r w:rsidRPr="00974018">
        <w:rPr>
          <w:rFonts w:cs="Tahoma"/>
          <w:bCs/>
        </w:rPr>
        <w:t xml:space="preserve">, </w:t>
      </w:r>
      <w:r w:rsidRPr="00974018">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2B68C22" w14:textId="77777777" w:rsidR="00685212" w:rsidRPr="00974018" w:rsidRDefault="00685212" w:rsidP="00974018">
      <w:pPr>
        <w:rPr>
          <w:rFonts w:cs="Tahoma"/>
        </w:rPr>
      </w:pPr>
    </w:p>
    <w:p w14:paraId="602AE604" w14:textId="309AE122" w:rsidR="00685212" w:rsidRPr="00974018" w:rsidRDefault="00685212" w:rsidP="00974018">
      <w:pPr>
        <w:rPr>
          <w:rFonts w:cs="Tahoma"/>
          <w:b/>
          <w:bCs/>
        </w:rPr>
      </w:pPr>
      <w:r w:rsidRPr="00974018">
        <w:rPr>
          <w:rFonts w:cs="Tahoma"/>
          <w:lang w:eastAsia="es-MX"/>
        </w:rPr>
        <w:t xml:space="preserve">En esa tesitura, al haberse dado como respuesta un argumento bajo la premisa de que lo solicitado era un derecho de petición, se asevera que el </w:t>
      </w:r>
      <w:r w:rsidRPr="00974018">
        <w:rPr>
          <w:rFonts w:cs="Tahoma"/>
          <w:b/>
          <w:bCs/>
          <w:lang w:eastAsia="es-MX"/>
        </w:rPr>
        <w:t>SUJETO OBLIGADO</w:t>
      </w:r>
      <w:r w:rsidRPr="00974018">
        <w:rPr>
          <w:rFonts w:cs="Tahoma"/>
          <w:lang w:eastAsia="es-MX"/>
        </w:rPr>
        <w:t xml:space="preserve"> no satisfizo el derecho de acceso </w:t>
      </w:r>
      <w:r w:rsidRPr="00974018">
        <w:rPr>
          <w:rFonts w:eastAsia="Calibri" w:cs="Tahoma"/>
          <w:bCs/>
        </w:rPr>
        <w:t xml:space="preserve">a la información de </w:t>
      </w:r>
      <w:r w:rsidRPr="00974018">
        <w:rPr>
          <w:rFonts w:eastAsia="Calibri" w:cs="Tahoma"/>
          <w:b/>
          <w:bCs/>
          <w:iCs/>
        </w:rPr>
        <w:t>LA PARTE RECURRENTE</w:t>
      </w:r>
      <w:r w:rsidRPr="00974018">
        <w:rPr>
          <w:rFonts w:eastAsia="Calibri" w:cs="Tahoma"/>
          <w:b/>
          <w:bCs/>
        </w:rPr>
        <w:t>.</w:t>
      </w:r>
    </w:p>
    <w:p w14:paraId="08C542EA" w14:textId="77777777" w:rsidR="000605CC" w:rsidRPr="00974018" w:rsidRDefault="000605CC" w:rsidP="00974018">
      <w:pPr>
        <w:ind w:right="-93"/>
        <w:rPr>
          <w:rFonts w:cs="Tahoma"/>
          <w:bCs/>
          <w:szCs w:val="22"/>
        </w:rPr>
      </w:pPr>
    </w:p>
    <w:p w14:paraId="546BD562" w14:textId="1B64660C" w:rsidR="000605CC" w:rsidRPr="00974018" w:rsidRDefault="00685212" w:rsidP="00974018">
      <w:pPr>
        <w:ind w:right="-93"/>
        <w:rPr>
          <w:rFonts w:cs="Tahoma"/>
          <w:bCs/>
          <w:szCs w:val="22"/>
        </w:rPr>
      </w:pPr>
      <w:r w:rsidRPr="00974018">
        <w:rPr>
          <w:rFonts w:cs="Tahoma"/>
          <w:bCs/>
          <w:szCs w:val="22"/>
        </w:rPr>
        <w:t xml:space="preserve">Por lo anterior es viable se ordene lo </w:t>
      </w:r>
      <w:r w:rsidR="00470E79" w:rsidRPr="00974018">
        <w:rPr>
          <w:rFonts w:cs="Tahoma"/>
          <w:bCs/>
          <w:szCs w:val="22"/>
        </w:rPr>
        <w:t>siguiente</w:t>
      </w:r>
      <w:r w:rsidRPr="00974018">
        <w:rPr>
          <w:rFonts w:cs="Tahoma"/>
          <w:bCs/>
          <w:szCs w:val="22"/>
        </w:rPr>
        <w:t>:</w:t>
      </w:r>
    </w:p>
    <w:p w14:paraId="04018156" w14:textId="77777777" w:rsidR="00685212" w:rsidRPr="00974018" w:rsidRDefault="00685212" w:rsidP="00974018">
      <w:pPr>
        <w:ind w:right="-93"/>
        <w:rPr>
          <w:rFonts w:cs="Tahoma"/>
          <w:bCs/>
          <w:szCs w:val="22"/>
        </w:rPr>
      </w:pPr>
    </w:p>
    <w:p w14:paraId="48CB6D33" w14:textId="51675CAC" w:rsidR="00685212" w:rsidRPr="00974018" w:rsidRDefault="00685212" w:rsidP="00974018">
      <w:pPr>
        <w:ind w:right="-93"/>
        <w:rPr>
          <w:rFonts w:cs="Tahoma"/>
          <w:bCs/>
          <w:szCs w:val="22"/>
        </w:rPr>
      </w:pPr>
      <w:r w:rsidRPr="00974018">
        <w:rPr>
          <w:rFonts w:cs="Tahoma"/>
          <w:bCs/>
          <w:i/>
          <w:szCs w:val="22"/>
        </w:rPr>
        <w:t>El documento donde consten</w:t>
      </w:r>
      <w:r w:rsidRPr="00974018">
        <w:t xml:space="preserve"> </w:t>
      </w:r>
      <w:r w:rsidRPr="00974018">
        <w:rPr>
          <w:rFonts w:cs="Tahoma"/>
          <w:bCs/>
          <w:i/>
          <w:szCs w:val="22"/>
        </w:rPr>
        <w:t xml:space="preserve">las iniciativas para crear y ampliar las áreas verdes del municipio, así como su progreso </w:t>
      </w:r>
      <w:r w:rsidRPr="00974018">
        <w:rPr>
          <w:rFonts w:cs="Arial"/>
          <w:i/>
        </w:rPr>
        <w:t>al 18 de febrero de 2025</w:t>
      </w:r>
      <w:r w:rsidR="00470E79" w:rsidRPr="00974018">
        <w:rPr>
          <w:rFonts w:cs="Arial"/>
          <w:i/>
        </w:rPr>
        <w:t>.</w:t>
      </w:r>
    </w:p>
    <w:p w14:paraId="0B44BC43" w14:textId="77777777" w:rsidR="00685212" w:rsidRPr="00974018" w:rsidRDefault="00685212" w:rsidP="00974018">
      <w:pPr>
        <w:ind w:right="-93"/>
        <w:rPr>
          <w:rFonts w:cs="Tahoma"/>
          <w:bCs/>
          <w:szCs w:val="22"/>
        </w:rPr>
      </w:pPr>
    </w:p>
    <w:p w14:paraId="39044E5A" w14:textId="77777777" w:rsidR="003E00A8" w:rsidRPr="00974018" w:rsidRDefault="003E00A8" w:rsidP="00974018">
      <w:pPr>
        <w:rPr>
          <w:rFonts w:cs="Arial"/>
          <w:b/>
        </w:rPr>
      </w:pPr>
      <w:r w:rsidRPr="00974018">
        <w:rPr>
          <w:rFonts w:cs="Arial"/>
          <w:b/>
        </w:rPr>
        <w:t xml:space="preserve">3 ¿Cuál es el  avance en el proceso de la instalación de cajetes para árboles en las banquetas con dimensiones de 1.50mts o </w:t>
      </w:r>
      <w:proofErr w:type="spellStart"/>
      <w:r w:rsidRPr="00974018">
        <w:rPr>
          <w:rFonts w:cs="Arial"/>
          <w:b/>
        </w:rPr>
        <w:t>mas</w:t>
      </w:r>
      <w:proofErr w:type="spellEnd"/>
      <w:r w:rsidRPr="00974018">
        <w:rPr>
          <w:rFonts w:cs="Arial"/>
          <w:b/>
        </w:rPr>
        <w:t xml:space="preserve">? 4 </w:t>
      </w:r>
      <w:proofErr w:type="gramStart"/>
      <w:r w:rsidRPr="00974018">
        <w:rPr>
          <w:rFonts w:cs="Arial"/>
          <w:b/>
        </w:rPr>
        <w:t>¿ Existe</w:t>
      </w:r>
      <w:proofErr w:type="gramEnd"/>
      <w:r w:rsidRPr="00974018">
        <w:rPr>
          <w:rFonts w:cs="Arial"/>
          <w:b/>
        </w:rPr>
        <w:t xml:space="preserve"> algún programa de colaboración o convenios con particulares, asociaciones civiles o empresas para ampliar las áreas verdes del municipio? </w:t>
      </w:r>
    </w:p>
    <w:p w14:paraId="66F70E76" w14:textId="236DCBEE" w:rsidR="00685212" w:rsidRPr="00974018" w:rsidRDefault="00685212" w:rsidP="00974018">
      <w:pPr>
        <w:ind w:right="-93"/>
        <w:rPr>
          <w:rFonts w:cs="Tahoma"/>
          <w:bCs/>
          <w:szCs w:val="22"/>
        </w:rPr>
      </w:pPr>
    </w:p>
    <w:p w14:paraId="5B70D66F" w14:textId="6246AACA" w:rsidR="000605CC" w:rsidRPr="00974018" w:rsidRDefault="003E00A8" w:rsidP="00974018">
      <w:pPr>
        <w:ind w:right="-93"/>
        <w:rPr>
          <w:rFonts w:cs="Tahoma"/>
          <w:bCs/>
          <w:szCs w:val="22"/>
        </w:rPr>
      </w:pPr>
      <w:r w:rsidRPr="00974018">
        <w:rPr>
          <w:rFonts w:cs="Tahoma"/>
          <w:bCs/>
          <w:szCs w:val="22"/>
        </w:rPr>
        <w:lastRenderedPageBreak/>
        <w:t>Finalmente respecto a estos últimos dos puntos se advierte que se encuentran en el mismo supuesto que los ya estudiados líneas arriba en razón de que el área competente para tal efecto solo se limitó en referir que la información solicitada constituía un derecho de petición y como ya vimos dicho argumento es incorrecto al poder existir documentos que colmen la pretensión de la parte recurrente y al faltar precisamente esa búsqueda exhaustiva en los archivos de la dirección.</w:t>
      </w:r>
    </w:p>
    <w:p w14:paraId="1D47DB13" w14:textId="77777777" w:rsidR="000605CC" w:rsidRPr="00974018" w:rsidRDefault="000605CC" w:rsidP="00974018">
      <w:pPr>
        <w:ind w:right="-93"/>
        <w:rPr>
          <w:rFonts w:cs="Tahoma"/>
          <w:bCs/>
          <w:szCs w:val="22"/>
        </w:rPr>
      </w:pPr>
    </w:p>
    <w:p w14:paraId="1694EEE9" w14:textId="39F94493" w:rsidR="003E00A8" w:rsidRPr="00974018" w:rsidRDefault="003E00A8" w:rsidP="00974018">
      <w:pPr>
        <w:ind w:right="-93"/>
        <w:rPr>
          <w:rFonts w:cs="Tahoma"/>
          <w:bCs/>
          <w:szCs w:val="22"/>
        </w:rPr>
      </w:pPr>
      <w:r w:rsidRPr="00974018">
        <w:rPr>
          <w:rFonts w:cs="Tahoma"/>
          <w:bCs/>
          <w:szCs w:val="22"/>
        </w:rPr>
        <w:t>Ahora bien respecto a la facultad de conocer la información se advierte que el punto 3 esta correlacionado con las atribuciones siguientes:</w:t>
      </w:r>
    </w:p>
    <w:p w14:paraId="1707340D" w14:textId="77777777" w:rsidR="003E00A8" w:rsidRPr="00974018" w:rsidRDefault="003E00A8" w:rsidP="00974018">
      <w:pPr>
        <w:pStyle w:val="Default"/>
        <w:spacing w:line="360" w:lineRule="auto"/>
        <w:ind w:left="567" w:right="539"/>
        <w:jc w:val="both"/>
        <w:rPr>
          <w:rFonts w:ascii="Palatino Linotype" w:eastAsia="Times New Roman" w:hAnsi="Palatino Linotype" w:cs="Tahoma"/>
          <w:bCs/>
          <w:i/>
          <w:color w:val="auto"/>
          <w:sz w:val="22"/>
          <w:szCs w:val="22"/>
          <w:lang w:eastAsia="es-ES"/>
          <w14:ligatures w14:val="none"/>
        </w:rPr>
      </w:pPr>
      <w:r w:rsidRPr="00974018">
        <w:rPr>
          <w:rFonts w:ascii="Palatino Linotype" w:eastAsia="Times New Roman" w:hAnsi="Palatino Linotype" w:cs="Tahoma"/>
          <w:bCs/>
          <w:i/>
          <w:color w:val="auto"/>
          <w:sz w:val="22"/>
          <w:szCs w:val="22"/>
          <w:lang w:eastAsia="es-ES"/>
          <w14:ligatures w14:val="none"/>
        </w:rPr>
        <w:t xml:space="preserve">I. Promover la conservación, restauración, uso y manejo de los recursos naturales en las áreas rurales y urbanas del Municipio incorporando tecnología de punta; </w:t>
      </w:r>
    </w:p>
    <w:p w14:paraId="0A64931E" w14:textId="77777777" w:rsidR="003E00A8" w:rsidRPr="00974018" w:rsidRDefault="003E00A8" w:rsidP="00974018">
      <w:pPr>
        <w:pStyle w:val="Default"/>
        <w:spacing w:line="360" w:lineRule="auto"/>
        <w:ind w:left="567" w:right="539"/>
        <w:jc w:val="both"/>
        <w:rPr>
          <w:rFonts w:ascii="Palatino Linotype" w:eastAsia="Times New Roman" w:hAnsi="Palatino Linotype" w:cs="Tahoma"/>
          <w:bCs/>
          <w:i/>
          <w:color w:val="auto"/>
          <w:sz w:val="22"/>
          <w:szCs w:val="22"/>
          <w:lang w:eastAsia="es-ES"/>
          <w14:ligatures w14:val="none"/>
        </w:rPr>
      </w:pPr>
      <w:r w:rsidRPr="00974018">
        <w:rPr>
          <w:rFonts w:ascii="Palatino Linotype" w:eastAsia="Times New Roman" w:hAnsi="Palatino Linotype" w:cs="Tahoma"/>
          <w:bCs/>
          <w:i/>
          <w:color w:val="auto"/>
          <w:sz w:val="22"/>
          <w:szCs w:val="22"/>
          <w:lang w:eastAsia="es-ES"/>
          <w14:ligatures w14:val="none"/>
        </w:rPr>
        <w:t xml:space="preserve">II. Emitir autorizaciones para realizar labores de poda, derribo, trasplante o sustitución de árboles y vegetación urbana tanto en espacios públicos como en propiedad privada; </w:t>
      </w:r>
    </w:p>
    <w:p w14:paraId="2D21CFBB" w14:textId="7DAEF154" w:rsidR="000605CC" w:rsidRPr="00974018" w:rsidRDefault="003E00A8" w:rsidP="00974018">
      <w:pPr>
        <w:ind w:left="567" w:right="539"/>
        <w:rPr>
          <w:rFonts w:cs="Tahoma"/>
          <w:bCs/>
          <w:i/>
          <w:szCs w:val="22"/>
        </w:rPr>
      </w:pPr>
      <w:r w:rsidRPr="00974018">
        <w:rPr>
          <w:rFonts w:cs="Tahoma"/>
          <w:bCs/>
          <w:i/>
          <w:szCs w:val="22"/>
        </w:rPr>
        <w:t>III. Formular, proponer y desarrollar estrategias que eficiente los procesos de ejecución, seguimiento y actualización de los programas de ordenamiento ambiental que competen al Municipio;</w:t>
      </w:r>
    </w:p>
    <w:p w14:paraId="5F76735E" w14:textId="77777777" w:rsidR="000605CC" w:rsidRPr="00974018" w:rsidRDefault="000605CC" w:rsidP="00974018">
      <w:pPr>
        <w:ind w:right="-93"/>
        <w:rPr>
          <w:rFonts w:cs="Tahoma"/>
          <w:bCs/>
          <w:szCs w:val="22"/>
        </w:rPr>
      </w:pPr>
    </w:p>
    <w:p w14:paraId="683563DB" w14:textId="0EDCF73E" w:rsidR="003E00A8" w:rsidRPr="00974018" w:rsidRDefault="003E00A8" w:rsidP="00974018">
      <w:pPr>
        <w:spacing w:before="240"/>
        <w:rPr>
          <w:bCs/>
        </w:rPr>
      </w:pPr>
      <w:r w:rsidRPr="00974018">
        <w:rPr>
          <w:rFonts w:cs="Arial"/>
          <w:sz w:val="24"/>
          <w:szCs w:val="24"/>
        </w:rPr>
        <w:t xml:space="preserve">Y respecto al punto 4 este está contemplado en las obligaciones de transparencia común, lo anterior con fundamento </w:t>
      </w:r>
      <w:r w:rsidRPr="00974018">
        <w:rPr>
          <w:bCs/>
          <w:sz w:val="24"/>
          <w:szCs w:val="24"/>
        </w:rPr>
        <w:t xml:space="preserve">en el artículo 24, fracción XII, 92, fracción XXXVII de la Ley de Transparencia y Acceso a la Información Pública del Estado de México y Municipios, porciones normativas que disponen a la literalidad lo siguiente: </w:t>
      </w:r>
    </w:p>
    <w:p w14:paraId="6344A76A" w14:textId="77777777" w:rsidR="003E00A8" w:rsidRPr="00974018" w:rsidRDefault="003E00A8" w:rsidP="00974018">
      <w:pPr>
        <w:spacing w:before="240"/>
        <w:ind w:left="851" w:right="851"/>
        <w:rPr>
          <w:i/>
        </w:rPr>
      </w:pPr>
      <w:r w:rsidRPr="00974018">
        <w:rPr>
          <w:i/>
        </w:rPr>
        <w:t>“Artículo 24. Para el cumplimiento de los objetivos de esta Ley, los sujetos obligados deberán cumplir con las siguientes obligaciones, según corresponda, de acuerdo a su naturaleza:</w:t>
      </w:r>
    </w:p>
    <w:p w14:paraId="5BD78C0F" w14:textId="77777777" w:rsidR="003E00A8" w:rsidRPr="00974018" w:rsidRDefault="003E00A8" w:rsidP="00974018">
      <w:pPr>
        <w:spacing w:before="240"/>
        <w:ind w:left="851" w:right="851"/>
        <w:rPr>
          <w:bCs/>
          <w:i/>
        </w:rPr>
      </w:pPr>
      <w:r w:rsidRPr="00974018">
        <w:rPr>
          <w:bCs/>
          <w:i/>
        </w:rPr>
        <w:lastRenderedPageBreak/>
        <w:t>XII. Publicar y mantener actualizada la información relativa a las obligaciones generales de transparencia previstas en la presente Ley o determinadas así por el Instituto, y en general aquella que sea de interés público;</w:t>
      </w:r>
    </w:p>
    <w:p w14:paraId="772513A2" w14:textId="77777777" w:rsidR="003E00A8" w:rsidRPr="00974018" w:rsidRDefault="003E00A8" w:rsidP="00974018">
      <w:pPr>
        <w:spacing w:before="240"/>
        <w:ind w:left="851" w:right="851"/>
        <w:rPr>
          <w:i/>
        </w:rPr>
      </w:pPr>
      <w:r w:rsidRPr="00974018">
        <w:rPr>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46F152D" w14:textId="77777777" w:rsidR="003E00A8" w:rsidRPr="00974018" w:rsidRDefault="003E00A8" w:rsidP="00974018">
      <w:pPr>
        <w:pStyle w:val="Citas"/>
      </w:pPr>
      <w:r w:rsidRPr="00974018">
        <w:t>(…)</w:t>
      </w:r>
    </w:p>
    <w:p w14:paraId="148C4BC6" w14:textId="77777777" w:rsidR="003E00A8" w:rsidRPr="00974018" w:rsidRDefault="003E00A8" w:rsidP="00974018">
      <w:pPr>
        <w:pStyle w:val="Citas"/>
        <w:rPr>
          <w:b/>
          <w:bCs/>
          <w:u w:val="single"/>
        </w:rPr>
      </w:pPr>
      <w:r w:rsidRPr="00974018">
        <w:rPr>
          <w:b/>
          <w:bCs/>
          <w:u w:val="single"/>
        </w:rPr>
        <w:t xml:space="preserve">XXXVII. Los convenios de coordinación, de concertación, entre otros, que suscriban con otros entes de los sectores público, social y privado; </w:t>
      </w:r>
    </w:p>
    <w:p w14:paraId="65439809" w14:textId="77777777" w:rsidR="003E00A8" w:rsidRPr="00974018" w:rsidRDefault="003E00A8" w:rsidP="00974018">
      <w:pPr>
        <w:pStyle w:val="Citas"/>
        <w:rPr>
          <w:b/>
          <w:bCs/>
        </w:rPr>
      </w:pPr>
      <w:r w:rsidRPr="00974018">
        <w:t xml:space="preserve">(…)” </w:t>
      </w:r>
      <w:r w:rsidRPr="00974018">
        <w:rPr>
          <w:b/>
          <w:bCs/>
        </w:rPr>
        <w:t xml:space="preserve">(Sic) </w:t>
      </w:r>
    </w:p>
    <w:p w14:paraId="6D2C7871" w14:textId="77777777" w:rsidR="003E00A8" w:rsidRPr="00974018" w:rsidRDefault="003E00A8" w:rsidP="00974018">
      <w:pPr>
        <w:pStyle w:val="Sinespaciado"/>
        <w:spacing w:line="360" w:lineRule="auto"/>
        <w:rPr>
          <w:rFonts w:ascii="Verdana" w:hAnsi="Verdana"/>
          <w:sz w:val="14"/>
          <w:szCs w:val="14"/>
        </w:rPr>
      </w:pPr>
    </w:p>
    <w:p w14:paraId="5E158BD2" w14:textId="77777777" w:rsidR="003E00A8" w:rsidRPr="00974018" w:rsidRDefault="003E00A8" w:rsidP="00974018">
      <w:pPr>
        <w:pStyle w:val="Sinespaciado"/>
        <w:spacing w:line="360" w:lineRule="auto"/>
        <w:rPr>
          <w:rFonts w:ascii="Verdana" w:hAnsi="Verdana"/>
          <w:sz w:val="14"/>
          <w:szCs w:val="14"/>
        </w:rPr>
      </w:pPr>
    </w:p>
    <w:p w14:paraId="7BA1F265" w14:textId="77777777" w:rsidR="003E00A8" w:rsidRPr="00974018" w:rsidRDefault="003E00A8" w:rsidP="00974018">
      <w:pPr>
        <w:pStyle w:val="Prrafodelista"/>
        <w:autoSpaceDE w:val="0"/>
        <w:autoSpaceDN w:val="0"/>
        <w:adjustRightInd w:val="0"/>
        <w:spacing w:before="240" w:after="160"/>
        <w:ind w:left="0"/>
        <w:rPr>
          <w:rFonts w:eastAsia="MS Mincho"/>
        </w:rPr>
      </w:pPr>
      <w:r w:rsidRPr="00974018">
        <w:rPr>
          <w:rFonts w:eastAsia="MS Mincho" w:cs="Tahoma"/>
        </w:rPr>
        <w:t xml:space="preserve">Así la Ley de Transparencia y Acceso a la Información Pública del Estado de México y Municipios </w:t>
      </w:r>
      <w:r w:rsidRPr="00974018">
        <w:rPr>
          <w:rFonts w:eastAsia="Arial Unicode MS" w:cs="Arial"/>
        </w:rPr>
        <w:t xml:space="preserve">en el artículo 92 </w:t>
      </w:r>
      <w:r w:rsidRPr="00974018">
        <w:rPr>
          <w:rFonts w:eastAsia="Arial Unicode MS"/>
        </w:rPr>
        <w:t xml:space="preserve">fracción XXXVII señala que la información requerida respecto de convenios se trata de una  obligación de transparencia común, esto es, información que por su naturaleza es pública y que los sujetos obligados  </w:t>
      </w:r>
      <w:r w:rsidRPr="00974018">
        <w:rPr>
          <w:rFonts w:eastAsia="MS Mincho"/>
        </w:rPr>
        <w:t>deben poner a disposición del público de manera permanente y por tanto deberán mantenerla actualizada, en los respectivos medios electrónicos, de acuerdo con sus facultades, atribuciones, funciones u objeto social.</w:t>
      </w:r>
    </w:p>
    <w:p w14:paraId="14A0734A" w14:textId="77777777" w:rsidR="00867AD8" w:rsidRPr="00974018" w:rsidRDefault="00867AD8" w:rsidP="00974018">
      <w:pPr>
        <w:pStyle w:val="Prrafodelista"/>
        <w:autoSpaceDE w:val="0"/>
        <w:autoSpaceDN w:val="0"/>
        <w:adjustRightInd w:val="0"/>
        <w:spacing w:before="240" w:after="160"/>
        <w:ind w:left="0"/>
        <w:rPr>
          <w:rFonts w:eastAsia="MS Mincho"/>
        </w:rPr>
      </w:pPr>
    </w:p>
    <w:p w14:paraId="2716F2B8" w14:textId="51DFE237" w:rsidR="00867AD8" w:rsidRPr="00974018" w:rsidRDefault="00867AD8" w:rsidP="00974018">
      <w:pPr>
        <w:ind w:right="-93"/>
        <w:rPr>
          <w:rFonts w:cs="Tahoma"/>
          <w:bCs/>
          <w:szCs w:val="22"/>
        </w:rPr>
      </w:pPr>
      <w:r w:rsidRPr="00974018">
        <w:rPr>
          <w:rFonts w:cs="Tahoma"/>
          <w:bCs/>
          <w:szCs w:val="22"/>
        </w:rPr>
        <w:t>En consecuencia es viable ordenar lo siguiente:</w:t>
      </w:r>
    </w:p>
    <w:p w14:paraId="14F63D23" w14:textId="77777777" w:rsidR="00867AD8" w:rsidRPr="00974018" w:rsidRDefault="00867AD8" w:rsidP="00974018">
      <w:pPr>
        <w:ind w:right="-93"/>
        <w:rPr>
          <w:rFonts w:cs="Tahoma"/>
          <w:bCs/>
          <w:szCs w:val="22"/>
        </w:rPr>
      </w:pPr>
    </w:p>
    <w:p w14:paraId="366A4680" w14:textId="34AFEEC1" w:rsidR="00867AD8" w:rsidRPr="00974018" w:rsidRDefault="00867AD8" w:rsidP="00974018">
      <w:pPr>
        <w:ind w:right="-93"/>
        <w:rPr>
          <w:rFonts w:cs="Tahoma"/>
          <w:bCs/>
          <w:szCs w:val="22"/>
        </w:rPr>
      </w:pPr>
      <w:r w:rsidRPr="00974018">
        <w:rPr>
          <w:rFonts w:cs="Tahoma"/>
          <w:bCs/>
          <w:i/>
          <w:szCs w:val="22"/>
        </w:rPr>
        <w:lastRenderedPageBreak/>
        <w:t>El documento donde conste</w:t>
      </w:r>
      <w:r w:rsidRPr="00974018">
        <w:t xml:space="preserve"> </w:t>
      </w:r>
      <w:r w:rsidRPr="00974018">
        <w:rPr>
          <w:rFonts w:cs="Tahoma"/>
          <w:bCs/>
          <w:i/>
          <w:szCs w:val="22"/>
        </w:rPr>
        <w:t xml:space="preserve">el  avance en el proceso de la instalación de cajetes para árboles en las banquetas </w:t>
      </w:r>
      <w:r w:rsidRPr="00974018">
        <w:rPr>
          <w:rFonts w:cs="Arial"/>
          <w:i/>
        </w:rPr>
        <w:t>al 18 de febrero de 2025.</w:t>
      </w:r>
    </w:p>
    <w:p w14:paraId="33345455" w14:textId="77777777" w:rsidR="00867AD8" w:rsidRPr="00974018" w:rsidRDefault="00867AD8" w:rsidP="00974018">
      <w:pPr>
        <w:ind w:right="-93"/>
        <w:rPr>
          <w:rFonts w:cs="Tahoma"/>
          <w:bCs/>
          <w:i/>
          <w:szCs w:val="22"/>
        </w:rPr>
      </w:pPr>
    </w:p>
    <w:p w14:paraId="0840A631" w14:textId="28F879C3" w:rsidR="00867AD8" w:rsidRPr="00974018" w:rsidRDefault="00867AD8" w:rsidP="00974018">
      <w:pPr>
        <w:ind w:right="-93"/>
        <w:rPr>
          <w:rFonts w:cs="Tahoma"/>
          <w:bCs/>
          <w:szCs w:val="22"/>
        </w:rPr>
      </w:pPr>
      <w:r w:rsidRPr="00974018">
        <w:rPr>
          <w:rFonts w:cs="Tahoma"/>
          <w:bCs/>
          <w:i/>
          <w:szCs w:val="22"/>
        </w:rPr>
        <w:t xml:space="preserve">El documento donde consten los programas de colaboración o convenios con particulares, asociaciones civiles o empresas para ampliar las áreas verdes del municipio </w:t>
      </w:r>
      <w:r w:rsidRPr="00974018">
        <w:rPr>
          <w:rFonts w:cs="Arial"/>
          <w:i/>
        </w:rPr>
        <w:t>al 18 de febrero de 2025.</w:t>
      </w:r>
    </w:p>
    <w:p w14:paraId="2BC0C704" w14:textId="1D4B2E21" w:rsidR="000605CC" w:rsidRPr="00974018" w:rsidRDefault="000605CC" w:rsidP="00974018">
      <w:pPr>
        <w:ind w:right="-93"/>
        <w:rPr>
          <w:rFonts w:cs="Tahoma"/>
          <w:bCs/>
          <w:szCs w:val="22"/>
        </w:rPr>
      </w:pPr>
    </w:p>
    <w:p w14:paraId="7E26658F" w14:textId="05247B54" w:rsidR="000A7287" w:rsidRPr="00974018" w:rsidRDefault="000A7287" w:rsidP="00974018">
      <w:pPr>
        <w:pStyle w:val="Prrafodelista"/>
        <w:widowControl w:val="0"/>
        <w:autoSpaceDE w:val="0"/>
        <w:autoSpaceDN w:val="0"/>
        <w:adjustRightInd w:val="0"/>
        <w:ind w:left="0"/>
      </w:pPr>
      <w:r w:rsidRPr="00974018">
        <w:rPr>
          <w:rFonts w:cs="Tahoma"/>
          <w:bCs/>
          <w:szCs w:val="22"/>
        </w:rPr>
        <w:t>Por último y no menos importante es necesario precisar que</w:t>
      </w:r>
      <w:r w:rsidRPr="00974018">
        <w:t xml:space="preserve">, para el caso de que la información ordenada no obre en los archivos del </w:t>
      </w:r>
      <w:r w:rsidRPr="00974018">
        <w:rPr>
          <w:b/>
        </w:rPr>
        <w:t>SUJETO OBLIGADO</w:t>
      </w:r>
      <w:r w:rsidRPr="00974018">
        <w:t xml:space="preserve"> por no haber sido generada, bastará con que así lo haga del conocimiento de </w:t>
      </w:r>
      <w:r w:rsidRPr="00974018">
        <w:rPr>
          <w:b/>
        </w:rPr>
        <w:t>LA PARTE RECURRENTE</w:t>
      </w:r>
      <w:r w:rsidRPr="00974018">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213114B" w14:textId="77777777" w:rsidR="000A7287" w:rsidRPr="00974018" w:rsidRDefault="000A7287" w:rsidP="00974018">
      <w:pPr>
        <w:pStyle w:val="Prrafodelista"/>
        <w:widowControl w:val="0"/>
        <w:autoSpaceDE w:val="0"/>
        <w:autoSpaceDN w:val="0"/>
        <w:adjustRightInd w:val="0"/>
      </w:pPr>
    </w:p>
    <w:p w14:paraId="508B24EA" w14:textId="77777777" w:rsidR="000A7287" w:rsidRPr="00974018" w:rsidRDefault="000A7287" w:rsidP="00974018">
      <w:pPr>
        <w:pStyle w:val="Puesto"/>
        <w:rPr>
          <w:b/>
        </w:rPr>
      </w:pPr>
      <w:r w:rsidRPr="00974018">
        <w:rPr>
          <w:b/>
        </w:rPr>
        <w:t>“Artículo 19…</w:t>
      </w:r>
    </w:p>
    <w:p w14:paraId="05140778" w14:textId="77777777" w:rsidR="000A7287" w:rsidRPr="00974018" w:rsidRDefault="000A7287" w:rsidP="00974018">
      <w:pPr>
        <w:pStyle w:val="Puesto"/>
        <w:rPr>
          <w:b/>
        </w:rPr>
      </w:pPr>
      <w:r w:rsidRPr="00974018">
        <w:rPr>
          <w:b/>
        </w:rPr>
        <w:t>En los casos en que ciertas facultades, competencias o funciones no se hayan ejercido, se debe motivar la respuesta en función de las causas que motiven tal circunstancia.”</w:t>
      </w:r>
    </w:p>
    <w:p w14:paraId="143FF5D4" w14:textId="3D36E61B" w:rsidR="000605CC" w:rsidRPr="00974018" w:rsidRDefault="000605CC" w:rsidP="00974018">
      <w:pPr>
        <w:ind w:right="-93"/>
        <w:rPr>
          <w:rFonts w:cs="Tahoma"/>
          <w:bCs/>
          <w:szCs w:val="22"/>
        </w:rPr>
      </w:pPr>
    </w:p>
    <w:p w14:paraId="7BB159A4" w14:textId="77777777" w:rsidR="000605CC" w:rsidRPr="00974018" w:rsidRDefault="000605CC" w:rsidP="00974018">
      <w:pPr>
        <w:ind w:right="-93"/>
        <w:rPr>
          <w:rFonts w:cs="Tahoma"/>
          <w:bCs/>
          <w:szCs w:val="22"/>
        </w:rPr>
      </w:pPr>
    </w:p>
    <w:p w14:paraId="5DA7C963" w14:textId="6787BB2B" w:rsidR="00664420" w:rsidRPr="00974018" w:rsidRDefault="00BD5A7C" w:rsidP="00974018">
      <w:pPr>
        <w:pStyle w:val="Ttulo3"/>
      </w:pPr>
      <w:bookmarkStart w:id="28" w:name="_Toc197542661"/>
      <w:r w:rsidRPr="00974018">
        <w:t>d</w:t>
      </w:r>
      <w:r w:rsidR="00A21A20" w:rsidRPr="00974018">
        <w:t>)</w:t>
      </w:r>
      <w:r w:rsidR="00664420" w:rsidRPr="00974018">
        <w:t xml:space="preserve"> Versión pública</w:t>
      </w:r>
      <w:bookmarkEnd w:id="28"/>
    </w:p>
    <w:p w14:paraId="20B03CFE" w14:textId="401FB7F4" w:rsidR="00AC3CA0" w:rsidRPr="00974018" w:rsidRDefault="007F5D06" w:rsidP="00974018">
      <w:pPr>
        <w:rPr>
          <w:bCs/>
        </w:rPr>
      </w:pPr>
      <w:r w:rsidRPr="00974018">
        <w:t>P</w:t>
      </w:r>
      <w:r w:rsidR="00AC3CA0" w:rsidRPr="00974018">
        <w:t xml:space="preserve">ara el caso de que el o los documentos de los cuales se ordena su entrega contengan datos personales susceptibles de ser testados, deberán ser entregados en </w:t>
      </w:r>
      <w:r w:rsidR="00AC3CA0" w:rsidRPr="00974018">
        <w:rPr>
          <w:b/>
        </w:rPr>
        <w:t>versión pública</w:t>
      </w:r>
      <w:r w:rsidRPr="00974018">
        <w:t>,</w:t>
      </w:r>
      <w:r w:rsidR="00AC3CA0" w:rsidRPr="00974018">
        <w:t xml:space="preserve"> pues el</w:t>
      </w:r>
      <w:r w:rsidR="00AC3CA0" w:rsidRPr="0097401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00AC3CA0" w:rsidRPr="00974018">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74018" w:rsidRDefault="00AC3CA0" w:rsidP="00974018">
      <w:pPr>
        <w:rPr>
          <w:rFonts w:eastAsia="Calibri"/>
          <w:bCs/>
          <w:lang w:eastAsia="en-US"/>
        </w:rPr>
      </w:pPr>
    </w:p>
    <w:p w14:paraId="13DAE086" w14:textId="0C1C7ADD" w:rsidR="00AC3CA0" w:rsidRPr="00974018" w:rsidRDefault="00AC3CA0" w:rsidP="00974018">
      <w:pPr>
        <w:rPr>
          <w:bCs/>
        </w:rPr>
      </w:pPr>
      <w:r w:rsidRPr="00974018">
        <w:rPr>
          <w:bCs/>
        </w:rPr>
        <w:t xml:space="preserve">A este respecto, los artículos 3, fracciones IX, XX, XXI y </w:t>
      </w:r>
      <w:r w:rsidR="007F5D06" w:rsidRPr="00974018">
        <w:rPr>
          <w:bCs/>
        </w:rPr>
        <w:t>XLV; 51</w:t>
      </w:r>
      <w:r w:rsidRPr="00974018">
        <w:rPr>
          <w:bCs/>
        </w:rPr>
        <w:t xml:space="preserve"> y 52 de la Ley de Transparencia y Acceso a la Información Pública del Estado de México y Municipios establecen:</w:t>
      </w:r>
    </w:p>
    <w:p w14:paraId="4EE42F33" w14:textId="77777777" w:rsidR="00AC3CA0" w:rsidRPr="00974018" w:rsidRDefault="00AC3CA0" w:rsidP="00974018"/>
    <w:p w14:paraId="22F38C0C" w14:textId="77777777" w:rsidR="00AC3CA0" w:rsidRPr="00974018" w:rsidRDefault="00AC3CA0" w:rsidP="00974018">
      <w:pPr>
        <w:pStyle w:val="Puesto"/>
      </w:pPr>
      <w:r w:rsidRPr="00974018">
        <w:rPr>
          <w:b/>
          <w:bCs/>
          <w:noProof/>
        </w:rPr>
        <w:t>“</w:t>
      </w:r>
      <w:r w:rsidRPr="00974018">
        <w:rPr>
          <w:b/>
          <w:bCs/>
        </w:rPr>
        <w:t xml:space="preserve">Artículo 3. </w:t>
      </w:r>
      <w:r w:rsidRPr="00974018">
        <w:t xml:space="preserve">Para los efectos de la presente Ley se entenderá por: </w:t>
      </w:r>
    </w:p>
    <w:p w14:paraId="74507E00" w14:textId="77777777" w:rsidR="00AC3CA0" w:rsidRPr="00974018" w:rsidRDefault="00AC3CA0" w:rsidP="00974018">
      <w:pPr>
        <w:pStyle w:val="Puesto"/>
      </w:pPr>
      <w:r w:rsidRPr="00974018">
        <w:rPr>
          <w:b/>
        </w:rPr>
        <w:t>IX.</w:t>
      </w:r>
      <w:r w:rsidRPr="00974018">
        <w:t xml:space="preserve"> </w:t>
      </w:r>
      <w:r w:rsidRPr="00974018">
        <w:rPr>
          <w:b/>
        </w:rPr>
        <w:t xml:space="preserve">Datos personales: </w:t>
      </w:r>
      <w:r w:rsidRPr="00974018">
        <w:t xml:space="preserve">La información concerniente a una persona, identificada o identificable según lo dispuesto por la Ley de Protección de Datos Personales del Estado de México; </w:t>
      </w:r>
    </w:p>
    <w:p w14:paraId="320759AF" w14:textId="77777777" w:rsidR="002B7C6F" w:rsidRPr="00974018" w:rsidRDefault="002B7C6F" w:rsidP="00974018"/>
    <w:p w14:paraId="4EFEB771" w14:textId="77777777" w:rsidR="00AC3CA0" w:rsidRPr="00974018" w:rsidRDefault="00AC3CA0" w:rsidP="00974018">
      <w:pPr>
        <w:pStyle w:val="Puesto"/>
      </w:pPr>
      <w:r w:rsidRPr="00974018">
        <w:rPr>
          <w:b/>
        </w:rPr>
        <w:t>XX.</w:t>
      </w:r>
      <w:r w:rsidRPr="00974018">
        <w:t xml:space="preserve"> </w:t>
      </w:r>
      <w:r w:rsidRPr="00974018">
        <w:rPr>
          <w:b/>
        </w:rPr>
        <w:t>Información clasificada:</w:t>
      </w:r>
      <w:r w:rsidRPr="00974018">
        <w:t xml:space="preserve"> Aquella considerada por la presente Ley como reservada o confidencial; </w:t>
      </w:r>
    </w:p>
    <w:p w14:paraId="5DA95E10" w14:textId="77777777" w:rsidR="002B7C6F" w:rsidRPr="00974018" w:rsidRDefault="002B7C6F" w:rsidP="00974018"/>
    <w:p w14:paraId="1CD04431" w14:textId="77777777" w:rsidR="00AC3CA0" w:rsidRPr="00974018" w:rsidRDefault="00AC3CA0" w:rsidP="00974018">
      <w:pPr>
        <w:pStyle w:val="Puesto"/>
      </w:pPr>
      <w:r w:rsidRPr="00974018">
        <w:rPr>
          <w:b/>
        </w:rPr>
        <w:t>XXI.</w:t>
      </w:r>
      <w:r w:rsidRPr="00974018">
        <w:t xml:space="preserve"> </w:t>
      </w:r>
      <w:r w:rsidRPr="00974018">
        <w:rPr>
          <w:b/>
        </w:rPr>
        <w:t>Información confidencial</w:t>
      </w:r>
      <w:r w:rsidRPr="0097401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74018" w:rsidRDefault="002B7C6F" w:rsidP="00974018"/>
    <w:p w14:paraId="7CD4D2FB" w14:textId="77777777" w:rsidR="00AC3CA0" w:rsidRPr="00974018" w:rsidRDefault="00AC3CA0" w:rsidP="00974018">
      <w:pPr>
        <w:pStyle w:val="Puesto"/>
      </w:pPr>
      <w:r w:rsidRPr="00974018">
        <w:rPr>
          <w:b/>
        </w:rPr>
        <w:t>XLV. Versión pública:</w:t>
      </w:r>
      <w:r w:rsidRPr="00974018">
        <w:t xml:space="preserve"> Documento en el que se elimine, suprime o borra la información clasificada como reservada o confidencial para permitir su acceso. </w:t>
      </w:r>
    </w:p>
    <w:p w14:paraId="1ACE9141" w14:textId="77777777" w:rsidR="002B7C6F" w:rsidRPr="00974018" w:rsidRDefault="002B7C6F" w:rsidP="00974018"/>
    <w:p w14:paraId="0BAED675" w14:textId="178B54DE" w:rsidR="00AC3CA0" w:rsidRPr="00974018" w:rsidRDefault="00AC3CA0" w:rsidP="00974018">
      <w:pPr>
        <w:pStyle w:val="Puesto"/>
      </w:pPr>
      <w:r w:rsidRPr="00974018">
        <w:rPr>
          <w:b/>
        </w:rPr>
        <w:t>Artículo 51.</w:t>
      </w:r>
      <w:r w:rsidRPr="00974018">
        <w:t xml:space="preserve"> Los sujetos obligados designaran a un responsable para atender la Unidad de Transparencia, quien fungirá como enlace entre éstos y los solicitantes. Dicha Unidad será la encargada de tramitar internamente la solicitud de información </w:t>
      </w:r>
      <w:r w:rsidRPr="00974018">
        <w:rPr>
          <w:b/>
        </w:rPr>
        <w:t xml:space="preserve">y tendrá la responsabilidad de verificar en cada caso que la misma no sea confidencial o reservada. </w:t>
      </w:r>
      <w:r w:rsidRPr="00974018">
        <w:t>Dicha Unidad contará con las facultades internas necesarias para gestionar la atención a las solicitudes de información en los términos de la Ley General y la presente Ley.</w:t>
      </w:r>
    </w:p>
    <w:p w14:paraId="54D7F3F5" w14:textId="77777777" w:rsidR="002B7C6F" w:rsidRPr="00974018" w:rsidRDefault="002B7C6F" w:rsidP="00974018"/>
    <w:p w14:paraId="5AB2B52F" w14:textId="68BEB541" w:rsidR="00AC3CA0" w:rsidRPr="00974018" w:rsidRDefault="00AC3CA0" w:rsidP="00974018">
      <w:pPr>
        <w:pStyle w:val="Puesto"/>
      </w:pPr>
      <w:r w:rsidRPr="00974018">
        <w:rPr>
          <w:b/>
        </w:rPr>
        <w:lastRenderedPageBreak/>
        <w:t>Artículo 52.</w:t>
      </w:r>
      <w:r w:rsidRPr="00974018">
        <w:t xml:space="preserve"> Las solicitudes de acceso a la información y las respuestas que se les dé, incluyendo, en su caso, </w:t>
      </w:r>
      <w:r w:rsidRPr="00974018">
        <w:rPr>
          <w:u w:val="single"/>
        </w:rPr>
        <w:t>la información entregada, así como las resoluciones a los recursos que en su caso se promuevan serán públicas, y de ser el caso que contenga datos personales que deban ser protegidos se podrá dar su acceso en su versión pública</w:t>
      </w:r>
      <w:r w:rsidRPr="00974018">
        <w:t>, siempre y cuando la resolución de referencia se someta a un proceso de disociación, es decir, no haga identificable al titular de tales datos personales.</w:t>
      </w:r>
      <w:r w:rsidRPr="00974018">
        <w:rPr>
          <w:bCs/>
          <w:noProof/>
        </w:rPr>
        <w:t>”</w:t>
      </w:r>
      <w:r w:rsidR="007F5D06" w:rsidRPr="00974018">
        <w:rPr>
          <w:bCs/>
          <w:noProof/>
        </w:rPr>
        <w:t xml:space="preserve"> </w:t>
      </w:r>
      <w:r w:rsidRPr="00974018">
        <w:rPr>
          <w:i w:val="0"/>
          <w:iCs/>
          <w:szCs w:val="22"/>
        </w:rPr>
        <w:t>(Énfasis añadido)</w:t>
      </w:r>
    </w:p>
    <w:p w14:paraId="14DDB49A" w14:textId="77777777" w:rsidR="00AC3CA0" w:rsidRPr="00974018" w:rsidRDefault="00AC3CA0" w:rsidP="00974018"/>
    <w:p w14:paraId="18663A56" w14:textId="530412FA" w:rsidR="00AC3CA0" w:rsidRPr="00974018" w:rsidRDefault="00AC3CA0" w:rsidP="00974018">
      <w:r w:rsidRPr="0097401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74018">
        <w:t xml:space="preserve">se </w:t>
      </w:r>
      <w:r w:rsidRPr="00974018">
        <w:t>efectúe deberá estar justificado en la Ley, lo anterior en términos de lo dispuesto por el artículo 22, párrafo primero</w:t>
      </w:r>
      <w:r w:rsidR="007F5D06" w:rsidRPr="00974018">
        <w:t>,</w:t>
      </w:r>
      <w:r w:rsidRPr="00974018">
        <w:t xml:space="preserve"> </w:t>
      </w:r>
      <w:r w:rsidR="007F5D06" w:rsidRPr="00974018">
        <w:t>relacionado</w:t>
      </w:r>
      <w:r w:rsidRPr="00974018">
        <w:t xml:space="preserve"> con el 38 de la Ley de Protección de Datos Personales en Posesión de Sujetos Obligados del Estado de México y Municipios, los cuales se transcriben para mayor referencia: </w:t>
      </w:r>
    </w:p>
    <w:p w14:paraId="24D8A62C" w14:textId="77777777" w:rsidR="00AC3CA0" w:rsidRPr="00974018" w:rsidRDefault="00AC3CA0" w:rsidP="00974018"/>
    <w:p w14:paraId="266BB0EA" w14:textId="01A7285C" w:rsidR="00AC3CA0" w:rsidRPr="00974018" w:rsidRDefault="00AC3CA0" w:rsidP="00974018">
      <w:pPr>
        <w:pStyle w:val="Puesto"/>
        <w:rPr>
          <w:rFonts w:eastAsia="Arial Unicode MS"/>
        </w:rPr>
      </w:pPr>
      <w:r w:rsidRPr="00974018">
        <w:rPr>
          <w:rFonts w:eastAsia="Arial Unicode MS"/>
          <w:b/>
        </w:rPr>
        <w:t>“Artículo 22.</w:t>
      </w:r>
      <w:r w:rsidRPr="0097401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74018" w:rsidRDefault="002B7C6F" w:rsidP="00974018">
      <w:pPr>
        <w:rPr>
          <w:rFonts w:eastAsia="Arial Unicode MS"/>
        </w:rPr>
      </w:pPr>
    </w:p>
    <w:p w14:paraId="0C6ECD10" w14:textId="77777777" w:rsidR="00AC3CA0" w:rsidRPr="00974018" w:rsidRDefault="00AC3CA0" w:rsidP="00974018">
      <w:pPr>
        <w:pStyle w:val="Puesto"/>
        <w:rPr>
          <w:rFonts w:eastAsia="Arial Unicode MS"/>
        </w:rPr>
      </w:pPr>
      <w:r w:rsidRPr="00974018">
        <w:rPr>
          <w:rFonts w:eastAsia="Arial Unicode MS"/>
          <w:b/>
        </w:rPr>
        <w:t>Artículo 38.</w:t>
      </w:r>
      <w:r w:rsidRPr="0097401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74018">
        <w:rPr>
          <w:rFonts w:eastAsia="Arial Unicode MS"/>
          <w:b/>
        </w:rPr>
        <w:t>”</w:t>
      </w:r>
      <w:r w:rsidRPr="00974018">
        <w:rPr>
          <w:rFonts w:eastAsia="Arial Unicode MS"/>
        </w:rPr>
        <w:t xml:space="preserve"> </w:t>
      </w:r>
    </w:p>
    <w:p w14:paraId="11BDA04E" w14:textId="77777777" w:rsidR="00AC3CA0" w:rsidRPr="00974018" w:rsidRDefault="00AC3CA0" w:rsidP="00974018">
      <w:pPr>
        <w:rPr>
          <w:rFonts w:eastAsia="Arial Unicode MS"/>
          <w:i/>
          <w:szCs w:val="22"/>
        </w:rPr>
      </w:pPr>
    </w:p>
    <w:p w14:paraId="32BB7A5F" w14:textId="77777777" w:rsidR="00AC3CA0" w:rsidRPr="00974018" w:rsidRDefault="00AC3CA0" w:rsidP="00974018">
      <w:r w:rsidRPr="0097401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974018">
        <w:lastRenderedPageBreak/>
        <w:t xml:space="preserve">particulares toda vez que ésta tiene por objeto proteger datos personales, entendiéndose por tales, aquéllos que hacen identificable a una persona. </w:t>
      </w:r>
    </w:p>
    <w:p w14:paraId="5D526487" w14:textId="77777777" w:rsidR="00AC3CA0" w:rsidRPr="00974018" w:rsidRDefault="00AC3CA0" w:rsidP="00974018"/>
    <w:p w14:paraId="3CE77CF7" w14:textId="77777777" w:rsidR="00AC3CA0" w:rsidRPr="00974018" w:rsidRDefault="00AC3CA0" w:rsidP="00974018">
      <w:r w:rsidRPr="0097401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74018">
        <w:rPr>
          <w:rFonts w:eastAsia="Arial Unicode MS"/>
        </w:rPr>
        <w:t xml:space="preserve"> que debe ser protegida por </w:t>
      </w:r>
      <w:r w:rsidRPr="00974018">
        <w:rPr>
          <w:rFonts w:eastAsia="Arial Unicode MS"/>
          <w:b/>
        </w:rPr>
        <w:t>EL SUJETO OBLIGADO,</w:t>
      </w:r>
      <w:r w:rsidRPr="00974018">
        <w:rPr>
          <w:rFonts w:eastAsia="Arial Unicode MS"/>
        </w:rPr>
        <w:t xml:space="preserve"> por lo </w:t>
      </w:r>
      <w:r w:rsidRPr="00974018">
        <w:t>que, todo dato personal susceptible de clasificación debe ser protegido.</w:t>
      </w:r>
    </w:p>
    <w:p w14:paraId="17B1D51E" w14:textId="77777777" w:rsidR="00AC3CA0" w:rsidRPr="00974018" w:rsidRDefault="00AC3CA0" w:rsidP="00974018"/>
    <w:p w14:paraId="1C499B05" w14:textId="0FD0F4F9" w:rsidR="00AC3CA0" w:rsidRPr="00974018" w:rsidRDefault="00AC3CA0" w:rsidP="00974018">
      <w:r w:rsidRPr="00974018">
        <w:t>La finalidad de la versión pública es salvaguardar la vida, integridad, seguridad, patrimonio y privacidad de las personas; de tal manera que</w:t>
      </w:r>
      <w:r w:rsidR="007F5D06" w:rsidRPr="00974018">
        <w:t>,</w:t>
      </w:r>
      <w:r w:rsidRPr="00974018">
        <w:t xml:space="preserve"> todo aquello que no tenga por objeto proteger lo anterior, es susceptible de ser entregado</w:t>
      </w:r>
      <w:r w:rsidR="007F5D06" w:rsidRPr="00974018">
        <w:t>.</w:t>
      </w:r>
      <w:r w:rsidRPr="00974018">
        <w:t xml:space="preserve"> </w:t>
      </w:r>
      <w:r w:rsidR="007F5D06" w:rsidRPr="00974018">
        <w:t>E</w:t>
      </w:r>
      <w:r w:rsidRPr="00974018">
        <w:t>n otras palabras, la protección de datos personales</w:t>
      </w:r>
      <w:r w:rsidR="007F5D06" w:rsidRPr="00974018">
        <w:t xml:space="preserve"> </w:t>
      </w:r>
      <w:r w:rsidRPr="00974018">
        <w:t>es una derivación del derecho a la intimidad.</w:t>
      </w:r>
    </w:p>
    <w:p w14:paraId="4ECCCE5B" w14:textId="77777777" w:rsidR="00AC3CA0" w:rsidRPr="00974018" w:rsidRDefault="00AC3CA0" w:rsidP="00974018"/>
    <w:p w14:paraId="22155419" w14:textId="5E52B74B" w:rsidR="00AC3CA0" w:rsidRPr="00974018" w:rsidRDefault="00AC3CA0" w:rsidP="00974018">
      <w:r w:rsidRPr="0097401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74018" w:rsidRDefault="00AC3CA0" w:rsidP="00974018"/>
    <w:p w14:paraId="12C70FB7" w14:textId="77777777" w:rsidR="00AC3CA0" w:rsidRPr="00974018" w:rsidRDefault="00AC3CA0" w:rsidP="00974018">
      <w:pPr>
        <w:jc w:val="center"/>
        <w:rPr>
          <w:b/>
          <w:i/>
          <w:szCs w:val="22"/>
        </w:rPr>
      </w:pPr>
      <w:r w:rsidRPr="00974018">
        <w:rPr>
          <w:b/>
          <w:i/>
          <w:szCs w:val="22"/>
          <w:lang w:val="es-ES_tradnl"/>
        </w:rPr>
        <w:t>Ley de Transparencia y Acceso a la Información Pública del Estado de México y Municipios</w:t>
      </w:r>
    </w:p>
    <w:p w14:paraId="79B28D55" w14:textId="77777777" w:rsidR="00AC3CA0" w:rsidRPr="00974018" w:rsidRDefault="00AC3CA0" w:rsidP="00974018"/>
    <w:p w14:paraId="51E4FC60" w14:textId="77777777" w:rsidR="00AC3CA0" w:rsidRPr="00974018" w:rsidRDefault="00AC3CA0" w:rsidP="00974018">
      <w:pPr>
        <w:pStyle w:val="Puesto"/>
      </w:pPr>
      <w:r w:rsidRPr="00974018">
        <w:rPr>
          <w:b/>
        </w:rPr>
        <w:lastRenderedPageBreak/>
        <w:t xml:space="preserve">“Artículo 49. </w:t>
      </w:r>
      <w:r w:rsidRPr="00974018">
        <w:t>Los Comités de Transparencia tendrán las siguientes atribuciones:</w:t>
      </w:r>
    </w:p>
    <w:p w14:paraId="58B2CA83" w14:textId="77777777" w:rsidR="00AC3CA0" w:rsidRPr="00974018" w:rsidRDefault="00AC3CA0" w:rsidP="00974018">
      <w:pPr>
        <w:pStyle w:val="Puesto"/>
      </w:pPr>
      <w:r w:rsidRPr="00974018">
        <w:rPr>
          <w:b/>
        </w:rPr>
        <w:t>VIII.</w:t>
      </w:r>
      <w:r w:rsidRPr="00974018">
        <w:t xml:space="preserve"> Aprobar, modificar o revocar la clasificación de la información;</w:t>
      </w:r>
    </w:p>
    <w:p w14:paraId="42CDD815" w14:textId="77777777" w:rsidR="002B7C6F" w:rsidRPr="00974018" w:rsidRDefault="002B7C6F" w:rsidP="00974018"/>
    <w:p w14:paraId="5E0FE30C" w14:textId="77777777" w:rsidR="00AC3CA0" w:rsidRPr="00974018" w:rsidRDefault="00AC3CA0" w:rsidP="00974018">
      <w:pPr>
        <w:pStyle w:val="Puesto"/>
      </w:pPr>
      <w:r w:rsidRPr="00974018">
        <w:rPr>
          <w:b/>
        </w:rPr>
        <w:t>Artículo 132.</w:t>
      </w:r>
      <w:r w:rsidRPr="00974018">
        <w:t xml:space="preserve"> La clasificación de la información se llevará a cabo en el momento en que:</w:t>
      </w:r>
    </w:p>
    <w:p w14:paraId="22862CEF" w14:textId="77777777" w:rsidR="00AC3CA0" w:rsidRPr="00974018" w:rsidRDefault="00AC3CA0" w:rsidP="00974018">
      <w:pPr>
        <w:pStyle w:val="Puesto"/>
      </w:pPr>
      <w:r w:rsidRPr="00974018">
        <w:rPr>
          <w:b/>
        </w:rPr>
        <w:t>I.</w:t>
      </w:r>
      <w:r w:rsidRPr="00974018">
        <w:t xml:space="preserve"> Se reciba una solicitud de acceso a la información;</w:t>
      </w:r>
    </w:p>
    <w:p w14:paraId="1076A40B" w14:textId="77777777" w:rsidR="00AC3CA0" w:rsidRPr="00974018" w:rsidRDefault="00AC3CA0" w:rsidP="00974018">
      <w:pPr>
        <w:pStyle w:val="Puesto"/>
      </w:pPr>
      <w:r w:rsidRPr="00974018">
        <w:rPr>
          <w:b/>
        </w:rPr>
        <w:t>II.</w:t>
      </w:r>
      <w:r w:rsidRPr="00974018">
        <w:t xml:space="preserve"> Se determine mediante resolución de autoridad competente; o</w:t>
      </w:r>
    </w:p>
    <w:p w14:paraId="327FFDF5" w14:textId="77777777" w:rsidR="00AC3CA0" w:rsidRPr="00974018" w:rsidRDefault="00AC3CA0" w:rsidP="00974018">
      <w:pPr>
        <w:pStyle w:val="Puesto"/>
        <w:rPr>
          <w:b/>
        </w:rPr>
      </w:pPr>
      <w:r w:rsidRPr="00974018">
        <w:rPr>
          <w:b/>
          <w:bCs/>
        </w:rPr>
        <w:t>III.</w:t>
      </w:r>
      <w:r w:rsidRPr="00974018">
        <w:t xml:space="preserve"> Se generen versiones públicas para dar cumplimiento a las obligaciones de transparencia previstas en esta Ley.</w:t>
      </w:r>
      <w:r w:rsidRPr="00974018">
        <w:rPr>
          <w:b/>
        </w:rPr>
        <w:t>”</w:t>
      </w:r>
    </w:p>
    <w:p w14:paraId="63550E79" w14:textId="77777777" w:rsidR="002B7C6F" w:rsidRPr="00974018" w:rsidRDefault="002B7C6F" w:rsidP="00974018"/>
    <w:p w14:paraId="733E702D" w14:textId="04C291BD" w:rsidR="00AC3CA0" w:rsidRPr="00974018" w:rsidRDefault="00AC3CA0" w:rsidP="00974018">
      <w:pPr>
        <w:pStyle w:val="Puesto"/>
      </w:pPr>
      <w:r w:rsidRPr="00974018">
        <w:rPr>
          <w:b/>
        </w:rPr>
        <w:t>“</w:t>
      </w:r>
      <w:r w:rsidR="002B7C6F" w:rsidRPr="00974018">
        <w:rPr>
          <w:b/>
        </w:rPr>
        <w:t>Segundo. -</w:t>
      </w:r>
      <w:r w:rsidRPr="00974018">
        <w:t xml:space="preserve"> Para efectos de los presentes Lineamientos Generales, se entenderá por:</w:t>
      </w:r>
    </w:p>
    <w:p w14:paraId="3D6255D3" w14:textId="77777777" w:rsidR="00AC3CA0" w:rsidRPr="00974018" w:rsidRDefault="00AC3CA0" w:rsidP="00974018">
      <w:pPr>
        <w:pStyle w:val="Puesto"/>
      </w:pPr>
      <w:r w:rsidRPr="00974018">
        <w:rPr>
          <w:b/>
        </w:rPr>
        <w:t>XVIII.</w:t>
      </w:r>
      <w:r w:rsidRPr="00974018">
        <w:t xml:space="preserve">  </w:t>
      </w:r>
      <w:r w:rsidRPr="00974018">
        <w:rPr>
          <w:b/>
        </w:rPr>
        <w:t>Versión pública:</w:t>
      </w:r>
      <w:r w:rsidRPr="0097401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74018" w:rsidRDefault="00AC3CA0" w:rsidP="00974018">
      <w:pPr>
        <w:pStyle w:val="Puesto"/>
      </w:pPr>
    </w:p>
    <w:p w14:paraId="492CD288" w14:textId="77777777" w:rsidR="00AC3CA0" w:rsidRPr="00974018" w:rsidRDefault="00AC3CA0" w:rsidP="00974018">
      <w:pPr>
        <w:pStyle w:val="Puesto"/>
        <w:rPr>
          <w:b/>
          <w:lang w:val="es-ES_tradnl" w:eastAsia="es-MX"/>
        </w:rPr>
      </w:pPr>
      <w:r w:rsidRPr="00974018">
        <w:rPr>
          <w:b/>
          <w:lang w:val="es-ES_tradnl" w:eastAsia="es-MX"/>
        </w:rPr>
        <w:t xml:space="preserve">Lineamientos Generales en materia de Clasificación y Desclasificación de la </w:t>
      </w:r>
      <w:r w:rsidRPr="00974018">
        <w:rPr>
          <w:b/>
          <w:lang w:val="es-ES_tradnl"/>
        </w:rPr>
        <w:t>Información</w:t>
      </w:r>
    </w:p>
    <w:p w14:paraId="57959355" w14:textId="77777777" w:rsidR="00AC3CA0" w:rsidRPr="00974018" w:rsidRDefault="00AC3CA0" w:rsidP="00974018">
      <w:pPr>
        <w:pStyle w:val="Puesto"/>
      </w:pPr>
    </w:p>
    <w:p w14:paraId="204206B6" w14:textId="77777777" w:rsidR="00AC3CA0" w:rsidRPr="00974018" w:rsidRDefault="00AC3CA0" w:rsidP="00974018">
      <w:pPr>
        <w:pStyle w:val="Puesto"/>
      </w:pPr>
      <w:r w:rsidRPr="00974018">
        <w:rPr>
          <w:b/>
        </w:rPr>
        <w:t>Cuarto.</w:t>
      </w:r>
      <w:r w:rsidRPr="0097401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74018" w:rsidRDefault="00AC3CA0" w:rsidP="00974018">
      <w:pPr>
        <w:pStyle w:val="Puesto"/>
      </w:pPr>
      <w:r w:rsidRPr="00974018">
        <w:t>Los sujetos obligados deberán aplicar, de manera estricta, las excepciones al derecho de acceso a la información y sólo podrán invocarlas cuando acrediten su procedencia.</w:t>
      </w:r>
    </w:p>
    <w:p w14:paraId="2334DA4A" w14:textId="77777777" w:rsidR="002B7C6F" w:rsidRPr="00974018" w:rsidRDefault="002B7C6F" w:rsidP="00974018"/>
    <w:p w14:paraId="773F3D38" w14:textId="77777777" w:rsidR="00AC3CA0" w:rsidRPr="00974018" w:rsidRDefault="00AC3CA0" w:rsidP="00974018">
      <w:pPr>
        <w:pStyle w:val="Puesto"/>
      </w:pPr>
      <w:r w:rsidRPr="00974018">
        <w:rPr>
          <w:b/>
        </w:rPr>
        <w:t>Quinto.</w:t>
      </w:r>
      <w:r w:rsidRPr="0097401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974018" w:rsidRDefault="002B7C6F" w:rsidP="00974018"/>
    <w:p w14:paraId="501C8886" w14:textId="77777777" w:rsidR="00AC3CA0" w:rsidRPr="00974018" w:rsidRDefault="00AC3CA0" w:rsidP="00974018">
      <w:pPr>
        <w:pStyle w:val="Puesto"/>
      </w:pPr>
      <w:r w:rsidRPr="00974018">
        <w:rPr>
          <w:b/>
        </w:rPr>
        <w:t>Sexto.</w:t>
      </w:r>
      <w:r w:rsidRPr="00974018">
        <w:t xml:space="preserve"> Se deroga.</w:t>
      </w:r>
    </w:p>
    <w:p w14:paraId="35534E5B" w14:textId="77777777" w:rsidR="002B7C6F" w:rsidRPr="00974018" w:rsidRDefault="002B7C6F" w:rsidP="00974018"/>
    <w:p w14:paraId="71AE6E31" w14:textId="77777777" w:rsidR="00AC3CA0" w:rsidRPr="00974018" w:rsidRDefault="00AC3CA0" w:rsidP="00974018">
      <w:pPr>
        <w:pStyle w:val="Puesto"/>
      </w:pPr>
      <w:r w:rsidRPr="00974018">
        <w:rPr>
          <w:b/>
        </w:rPr>
        <w:lastRenderedPageBreak/>
        <w:t>Séptimo.</w:t>
      </w:r>
      <w:r w:rsidRPr="00974018">
        <w:t xml:space="preserve"> La clasificación de la información se llevará a cabo en el momento en que:</w:t>
      </w:r>
    </w:p>
    <w:p w14:paraId="4BC6551F" w14:textId="77777777" w:rsidR="00AC3CA0" w:rsidRPr="00974018" w:rsidRDefault="00AC3CA0" w:rsidP="00974018">
      <w:pPr>
        <w:pStyle w:val="Puesto"/>
      </w:pPr>
      <w:r w:rsidRPr="00974018">
        <w:rPr>
          <w:b/>
        </w:rPr>
        <w:t>I.</w:t>
      </w:r>
      <w:r w:rsidRPr="00974018">
        <w:t xml:space="preserve">        Se reciba una solicitud de acceso a la información;</w:t>
      </w:r>
    </w:p>
    <w:p w14:paraId="12BC61E7" w14:textId="77777777" w:rsidR="00AC3CA0" w:rsidRPr="00974018" w:rsidRDefault="00AC3CA0" w:rsidP="00974018">
      <w:pPr>
        <w:pStyle w:val="Puesto"/>
      </w:pPr>
      <w:r w:rsidRPr="00974018">
        <w:rPr>
          <w:b/>
        </w:rPr>
        <w:t>II.</w:t>
      </w:r>
      <w:r w:rsidRPr="00974018">
        <w:t xml:space="preserve">       Se determine mediante resolución del Comité de Transparencia, el órgano garante competente, o en cumplimiento a una sentencia del Poder Judicial; o</w:t>
      </w:r>
    </w:p>
    <w:p w14:paraId="60049403" w14:textId="77777777" w:rsidR="00AC3CA0" w:rsidRPr="00974018" w:rsidRDefault="00AC3CA0" w:rsidP="00974018">
      <w:pPr>
        <w:pStyle w:val="Puesto"/>
      </w:pPr>
      <w:r w:rsidRPr="00974018">
        <w:rPr>
          <w:b/>
        </w:rPr>
        <w:t>III.</w:t>
      </w:r>
      <w:r w:rsidRPr="00974018">
        <w:t xml:space="preserve">      Se generen versiones públicas para dar cumplimiento a las obligaciones de transparencia previstas en la Ley General, la Ley Federal y las correspondientes de las entidades federativas.</w:t>
      </w:r>
    </w:p>
    <w:p w14:paraId="2AAF20AA" w14:textId="77777777" w:rsidR="00AC3CA0" w:rsidRPr="00974018" w:rsidRDefault="00AC3CA0" w:rsidP="00974018">
      <w:pPr>
        <w:pStyle w:val="Puesto"/>
      </w:pPr>
      <w:r w:rsidRPr="00974018">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74018" w:rsidRDefault="002B7C6F" w:rsidP="00974018"/>
    <w:p w14:paraId="1B84F0FA" w14:textId="77777777" w:rsidR="00AC3CA0" w:rsidRPr="00974018" w:rsidRDefault="00AC3CA0" w:rsidP="00974018">
      <w:pPr>
        <w:pStyle w:val="Puesto"/>
      </w:pPr>
      <w:r w:rsidRPr="00974018">
        <w:rPr>
          <w:b/>
        </w:rPr>
        <w:t>Octavo.</w:t>
      </w:r>
      <w:r w:rsidRPr="0097401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74018" w:rsidRDefault="00AC3CA0" w:rsidP="00974018">
      <w:pPr>
        <w:pStyle w:val="Puesto"/>
      </w:pPr>
      <w:r w:rsidRPr="00974018">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74018" w:rsidRDefault="00AC3CA0" w:rsidP="00974018">
      <w:pPr>
        <w:pStyle w:val="Puesto"/>
      </w:pPr>
      <w:r w:rsidRPr="0097401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974018" w:rsidRDefault="002B7C6F" w:rsidP="00974018"/>
    <w:p w14:paraId="3DC18E7E" w14:textId="77777777" w:rsidR="00AC3CA0" w:rsidRPr="00974018" w:rsidRDefault="00AC3CA0" w:rsidP="00974018">
      <w:pPr>
        <w:pStyle w:val="Puesto"/>
      </w:pPr>
      <w:r w:rsidRPr="00974018">
        <w:rPr>
          <w:b/>
        </w:rPr>
        <w:t>Noveno.</w:t>
      </w:r>
      <w:r w:rsidRPr="0097401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74018" w:rsidRDefault="002B7C6F" w:rsidP="00974018"/>
    <w:p w14:paraId="45844BB1" w14:textId="77777777" w:rsidR="00AC3CA0" w:rsidRPr="00974018" w:rsidRDefault="00AC3CA0" w:rsidP="00974018">
      <w:pPr>
        <w:pStyle w:val="Puesto"/>
      </w:pPr>
      <w:r w:rsidRPr="00974018">
        <w:rPr>
          <w:b/>
        </w:rPr>
        <w:t>Décimo.</w:t>
      </w:r>
      <w:r w:rsidRPr="0097401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974018" w:rsidRDefault="00AC3CA0" w:rsidP="00974018">
      <w:pPr>
        <w:pStyle w:val="Puesto"/>
      </w:pPr>
      <w:r w:rsidRPr="00974018">
        <w:t>En ausencia de los titulares de las áreas, la información será clasificada o desclasificada por la persona que lo supla, en términos de la normativa que rija la actuación del sujeto obligado.</w:t>
      </w:r>
    </w:p>
    <w:p w14:paraId="0861DCC9" w14:textId="77777777" w:rsidR="00AC3CA0" w:rsidRPr="00974018" w:rsidRDefault="00AC3CA0" w:rsidP="00974018">
      <w:pPr>
        <w:pStyle w:val="Puesto"/>
        <w:rPr>
          <w:b/>
        </w:rPr>
      </w:pPr>
      <w:r w:rsidRPr="00974018">
        <w:rPr>
          <w:b/>
        </w:rPr>
        <w:lastRenderedPageBreak/>
        <w:t>Décimo primero.</w:t>
      </w:r>
      <w:r w:rsidRPr="0097401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74018">
        <w:rPr>
          <w:b/>
        </w:rPr>
        <w:t>”</w:t>
      </w:r>
    </w:p>
    <w:p w14:paraId="2D5FBBCD" w14:textId="77777777" w:rsidR="00AC3CA0" w:rsidRPr="00974018" w:rsidRDefault="00AC3CA0" w:rsidP="00974018"/>
    <w:p w14:paraId="05D0E4C9" w14:textId="0A69CA87" w:rsidR="00AC3CA0" w:rsidRPr="00974018" w:rsidRDefault="00AC3CA0" w:rsidP="00974018">
      <w:pPr>
        <w:rPr>
          <w:lang w:eastAsia="es-CO"/>
        </w:rPr>
      </w:pPr>
      <w:r w:rsidRPr="00974018">
        <w:t xml:space="preserve">Consecuentemente, se destaca que la versión pública que elabore </w:t>
      </w:r>
      <w:r w:rsidRPr="00974018">
        <w:rPr>
          <w:b/>
        </w:rPr>
        <w:t>EL SUJETO OBLIGADO</w:t>
      </w:r>
      <w:r w:rsidRPr="00974018">
        <w:t xml:space="preserve"> debe cumplir con las formalidades exigidas en la Ley, por lo que para tal efecto emitirá el </w:t>
      </w:r>
      <w:r w:rsidRPr="00974018">
        <w:rPr>
          <w:b/>
        </w:rPr>
        <w:t>Acuerdo del Comité de Transparencia</w:t>
      </w:r>
      <w:r w:rsidRPr="0097401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74018">
        <w:rPr>
          <w:lang w:eastAsia="es-CO"/>
        </w:rPr>
        <w:t>, ya que</w:t>
      </w:r>
      <w:r w:rsidR="002B7C6F" w:rsidRPr="00974018">
        <w:rPr>
          <w:lang w:eastAsia="es-CO"/>
        </w:rPr>
        <w:t xml:space="preserve"> de</w:t>
      </w:r>
      <w:r w:rsidRPr="00974018">
        <w:rPr>
          <w:lang w:eastAsia="es-CO"/>
        </w:rPr>
        <w:t xml:space="preserve"> no hacerlo implica que lo entregado no es legal ni formalmente una versión pública, sino más bien una documentación ilegible, incompleta o tachada; pues no </w:t>
      </w:r>
      <w:r w:rsidR="002B7C6F" w:rsidRPr="00974018">
        <w:rPr>
          <w:lang w:eastAsia="es-CO"/>
        </w:rPr>
        <w:t xml:space="preserve">se </w:t>
      </w:r>
      <w:r w:rsidRPr="00974018">
        <w:rPr>
          <w:lang w:eastAsia="es-CO"/>
        </w:rPr>
        <w:t>señala</w:t>
      </w:r>
      <w:r w:rsidR="002B7C6F" w:rsidRPr="00974018">
        <w:rPr>
          <w:lang w:eastAsia="es-CO"/>
        </w:rPr>
        <w:t>n</w:t>
      </w:r>
      <w:r w:rsidRPr="00974018">
        <w:rPr>
          <w:lang w:eastAsia="es-CO"/>
        </w:rPr>
        <w:t xml:space="preserve"> las razones por las que no se aprecian determinados datos -ya sea porque se testan o suprimen- </w:t>
      </w:r>
      <w:r w:rsidR="002B7C6F" w:rsidRPr="00974018">
        <w:rPr>
          <w:lang w:eastAsia="es-CO"/>
        </w:rPr>
        <w:t xml:space="preserve">lo cual </w:t>
      </w:r>
      <w:r w:rsidRPr="00974018">
        <w:rPr>
          <w:lang w:eastAsia="es-CO"/>
        </w:rPr>
        <w:t>deja al solicitante en estado de incertidumbre, al no conocer o comprender porque no aparecen en la documentación respectiva, es decir, si no se exponen de manera puntual las razones</w:t>
      </w:r>
      <w:r w:rsidR="002B7C6F" w:rsidRPr="00974018">
        <w:rPr>
          <w:lang w:eastAsia="es-CO"/>
        </w:rPr>
        <w:t xml:space="preserve">, </w:t>
      </w:r>
      <w:r w:rsidRPr="00974018">
        <w:rPr>
          <w:lang w:eastAsia="es-CO"/>
        </w:rPr>
        <w:t>se estaría violentando desde un inicio el derecho de acceso a la información del solicitante.</w:t>
      </w:r>
    </w:p>
    <w:p w14:paraId="3B0B7048" w14:textId="77777777" w:rsidR="002B7C6F" w:rsidRPr="00974018" w:rsidRDefault="002B7C6F" w:rsidP="00974018">
      <w:pPr>
        <w:rPr>
          <w:lang w:eastAsia="es-CO"/>
        </w:rPr>
      </w:pPr>
    </w:p>
    <w:p w14:paraId="6CD05AC4" w14:textId="30D6D447" w:rsidR="00BD5A7C" w:rsidRPr="00974018" w:rsidRDefault="00BD5A7C" w:rsidP="00974018">
      <w:pPr>
        <w:pStyle w:val="Ttulo3"/>
      </w:pPr>
      <w:bookmarkStart w:id="29" w:name="_Toc165304079"/>
      <w:bookmarkStart w:id="30" w:name="_Toc197542662"/>
      <w:r w:rsidRPr="00974018">
        <w:rPr>
          <w:rFonts w:eastAsia="Calibri"/>
        </w:rPr>
        <w:t>e</w:t>
      </w:r>
      <w:r w:rsidR="00335CDF" w:rsidRPr="00974018">
        <w:rPr>
          <w:rFonts w:eastAsia="Calibri"/>
        </w:rPr>
        <w:t xml:space="preserve">) </w:t>
      </w:r>
      <w:bookmarkEnd w:id="29"/>
      <w:r w:rsidRPr="00974018">
        <w:t>Conclusión</w:t>
      </w:r>
      <w:bookmarkEnd w:id="30"/>
    </w:p>
    <w:p w14:paraId="64474B5E" w14:textId="76282975" w:rsidR="00F264C1" w:rsidRPr="00974018" w:rsidRDefault="00F264C1" w:rsidP="00974018">
      <w:pPr>
        <w:widowControl w:val="0"/>
        <w:tabs>
          <w:tab w:val="left" w:pos="1701"/>
          <w:tab w:val="left" w:pos="1843"/>
        </w:tabs>
        <w:autoSpaceDE w:val="0"/>
        <w:autoSpaceDN w:val="0"/>
        <w:adjustRightInd w:val="0"/>
        <w:rPr>
          <w:rFonts w:cs="Arial"/>
        </w:rPr>
      </w:pPr>
      <w:r w:rsidRPr="00974018">
        <w:rPr>
          <w:rFonts w:cs="Arial"/>
        </w:rPr>
        <w:t xml:space="preserve">En conclusión y con base en lo anteriormente expuesto, este Instituto estima que las razones o motivos de inconformidad hechos valer por </w:t>
      </w:r>
      <w:r w:rsidRPr="00974018">
        <w:rPr>
          <w:rFonts w:cs="Arial"/>
          <w:b/>
          <w:bCs/>
          <w:iCs/>
        </w:rPr>
        <w:t xml:space="preserve">LA PARTE RECURRENTE </w:t>
      </w:r>
      <w:r w:rsidRPr="00974018">
        <w:rPr>
          <w:rFonts w:cs="Arial"/>
        </w:rPr>
        <w:t xml:space="preserve">devienen </w:t>
      </w:r>
      <w:r w:rsidRPr="00974018">
        <w:rPr>
          <w:rFonts w:cs="Arial"/>
          <w:b/>
        </w:rPr>
        <w:t>fundadas</w:t>
      </w:r>
      <w:r w:rsidRPr="00974018">
        <w:rPr>
          <w:rFonts w:cs="Arial"/>
        </w:rPr>
        <w:t xml:space="preserve"> y suficientes para </w:t>
      </w:r>
      <w:r w:rsidR="00867AD8" w:rsidRPr="00974018">
        <w:rPr>
          <w:rFonts w:cs="Arial"/>
          <w:b/>
        </w:rPr>
        <w:t>MODIFICA</w:t>
      </w:r>
      <w:r w:rsidRPr="00974018">
        <w:rPr>
          <w:rFonts w:cs="Arial"/>
          <w:b/>
        </w:rPr>
        <w:t xml:space="preserve"> </w:t>
      </w:r>
      <w:r w:rsidRPr="00974018">
        <w:rPr>
          <w:rFonts w:cs="Arial"/>
        </w:rPr>
        <w:t xml:space="preserve">la respuesta del </w:t>
      </w:r>
      <w:r w:rsidRPr="00974018">
        <w:rPr>
          <w:rFonts w:cs="Arial"/>
          <w:b/>
        </w:rPr>
        <w:t>SUJETO OBLIGADO</w:t>
      </w:r>
      <w:r w:rsidRPr="00974018">
        <w:rPr>
          <w:rFonts w:cs="Arial"/>
        </w:rPr>
        <w:t xml:space="preserve"> y ordenarle haga entrega de la información descrita en el presente Considerando.</w:t>
      </w:r>
    </w:p>
    <w:p w14:paraId="1D8BD437" w14:textId="77777777" w:rsidR="000605CC" w:rsidRPr="00974018" w:rsidRDefault="000605CC" w:rsidP="00974018">
      <w:pPr>
        <w:widowControl w:val="0"/>
        <w:tabs>
          <w:tab w:val="left" w:pos="1701"/>
          <w:tab w:val="left" w:pos="1843"/>
        </w:tabs>
        <w:autoSpaceDE w:val="0"/>
        <w:autoSpaceDN w:val="0"/>
        <w:adjustRightInd w:val="0"/>
        <w:rPr>
          <w:rFonts w:cs="Arial"/>
        </w:rPr>
      </w:pPr>
    </w:p>
    <w:p w14:paraId="6C4C444E" w14:textId="6C62C8D5" w:rsidR="00BD5A7C" w:rsidRPr="00974018" w:rsidRDefault="00BD5A7C" w:rsidP="00974018">
      <w:pPr>
        <w:ind w:right="-93"/>
        <w:rPr>
          <w:rFonts w:cs="Tahoma"/>
          <w:bCs/>
          <w:szCs w:val="22"/>
        </w:rPr>
      </w:pPr>
      <w:bookmarkStart w:id="31" w:name="_Hlk165381027"/>
      <w:r w:rsidRPr="00974018">
        <w:rPr>
          <w:rFonts w:cs="Tahoma"/>
          <w:bCs/>
          <w:szCs w:val="22"/>
        </w:rPr>
        <w:t xml:space="preserve">Así, con fundamento en lo establecido en los artículos 5, </w:t>
      </w:r>
      <w:r w:rsidR="008D18C3" w:rsidRPr="00974018">
        <w:t>párrafos trigésimo séptimo, trigésimo octavo y trigésimo noveno, fracciones IV y V de la Constitución Política del Estado Libre y Soberano de México</w:t>
      </w:r>
      <w:r w:rsidRPr="00974018">
        <w:rPr>
          <w:rFonts w:cs="Tahoma"/>
          <w:bCs/>
          <w:szCs w:val="22"/>
        </w:rPr>
        <w:t xml:space="preserve">; y en los artículos 2, fracción II, 9, 29, 36, fracciones I y II, 176, 178, 179, 186 </w:t>
      </w:r>
      <w:r w:rsidRPr="00974018">
        <w:rPr>
          <w:rFonts w:cs="Tahoma"/>
          <w:bCs/>
          <w:szCs w:val="22"/>
        </w:rPr>
        <w:lastRenderedPageBreak/>
        <w:t>y 188 de la Ley de Transparencia y Acceso a la Información Pública del Estado de México y Municipios, este Pleno:</w:t>
      </w:r>
    </w:p>
    <w:bookmarkEnd w:id="31"/>
    <w:p w14:paraId="7C13D1A0" w14:textId="77777777" w:rsidR="00BD5A7C" w:rsidRPr="00974018" w:rsidRDefault="00BD5A7C" w:rsidP="00974018"/>
    <w:p w14:paraId="5C396097" w14:textId="684A0E4F" w:rsidR="00664420" w:rsidRPr="00974018" w:rsidRDefault="00664420" w:rsidP="00974018">
      <w:pPr>
        <w:pStyle w:val="Ttulo1"/>
      </w:pPr>
      <w:bookmarkStart w:id="32" w:name="_Toc197542663"/>
      <w:r w:rsidRPr="00974018">
        <w:t>RESUELVE</w:t>
      </w:r>
      <w:bookmarkEnd w:id="32"/>
    </w:p>
    <w:p w14:paraId="203B7093" w14:textId="77777777" w:rsidR="00664420" w:rsidRPr="00974018" w:rsidRDefault="00664420" w:rsidP="00974018">
      <w:pPr>
        <w:ind w:right="113"/>
        <w:rPr>
          <w:rFonts w:cs="Arial"/>
          <w:b/>
          <w:szCs w:val="22"/>
        </w:rPr>
      </w:pPr>
    </w:p>
    <w:p w14:paraId="40DE562B" w14:textId="237BF072" w:rsidR="00FC3CE0" w:rsidRPr="00974018" w:rsidRDefault="00FC3CE0" w:rsidP="00974018">
      <w:pPr>
        <w:widowControl w:val="0"/>
        <w:rPr>
          <w:rFonts w:eastAsia="Calibri" w:cs="Tahoma"/>
          <w:bCs/>
          <w:szCs w:val="22"/>
          <w:lang w:eastAsia="en-US"/>
        </w:rPr>
      </w:pPr>
      <w:r w:rsidRPr="00974018">
        <w:rPr>
          <w:b/>
          <w:bCs/>
        </w:rPr>
        <w:t>PRIMERO.</w:t>
      </w:r>
      <w:r w:rsidRPr="00974018">
        <w:t xml:space="preserve"> </w:t>
      </w:r>
      <w:r w:rsidRPr="00974018">
        <w:rPr>
          <w:rFonts w:cs="Tahoma"/>
          <w:szCs w:val="22"/>
        </w:rPr>
        <w:t xml:space="preserve">Se </w:t>
      </w:r>
      <w:r w:rsidR="00867AD8" w:rsidRPr="00974018">
        <w:rPr>
          <w:rFonts w:cs="Tahoma"/>
          <w:b/>
          <w:bCs/>
          <w:szCs w:val="22"/>
        </w:rPr>
        <w:t>MODIFICA</w:t>
      </w:r>
      <w:r w:rsidRPr="00974018">
        <w:rPr>
          <w:rFonts w:cs="Tahoma"/>
          <w:szCs w:val="22"/>
        </w:rPr>
        <w:t xml:space="preserve"> la respuesta entregada por el </w:t>
      </w:r>
      <w:r w:rsidR="004E5068" w:rsidRPr="00974018">
        <w:rPr>
          <w:rFonts w:cs="Tahoma"/>
          <w:b/>
          <w:bCs/>
          <w:szCs w:val="22"/>
        </w:rPr>
        <w:t>SUJETO OBLIGADO</w:t>
      </w:r>
      <w:r w:rsidR="004E5068" w:rsidRPr="00974018">
        <w:rPr>
          <w:rFonts w:cs="Tahoma"/>
          <w:szCs w:val="22"/>
        </w:rPr>
        <w:t xml:space="preserve"> </w:t>
      </w:r>
      <w:r w:rsidR="0041385B" w:rsidRPr="00974018">
        <w:rPr>
          <w:rFonts w:cs="Tahoma"/>
          <w:szCs w:val="22"/>
        </w:rPr>
        <w:t>en</w:t>
      </w:r>
      <w:r w:rsidRPr="00974018">
        <w:rPr>
          <w:rFonts w:cs="Tahoma"/>
          <w:szCs w:val="22"/>
        </w:rPr>
        <w:t xml:space="preserve"> la solicitud de información </w:t>
      </w:r>
      <w:r w:rsidR="00867AD8" w:rsidRPr="00974018">
        <w:rPr>
          <w:rFonts w:cs="Tahoma"/>
          <w:b/>
        </w:rPr>
        <w:t>00076/METEPEC/IP/2025</w:t>
      </w:r>
      <w:r w:rsidRPr="00974018">
        <w:rPr>
          <w:rFonts w:cs="Tahoma"/>
          <w:bCs/>
          <w:szCs w:val="22"/>
        </w:rPr>
        <w:t xml:space="preserve">, </w:t>
      </w:r>
      <w:r w:rsidRPr="00974018">
        <w:rPr>
          <w:rFonts w:eastAsia="Calibri" w:cs="Tahoma"/>
          <w:bCs/>
          <w:szCs w:val="22"/>
          <w:lang w:eastAsia="en-US"/>
        </w:rPr>
        <w:t xml:space="preserve">por resultar </w:t>
      </w:r>
      <w:r w:rsidRPr="00974018">
        <w:rPr>
          <w:rFonts w:eastAsia="Calibri" w:cs="Tahoma"/>
          <w:b/>
          <w:bCs/>
          <w:szCs w:val="22"/>
          <w:lang w:eastAsia="en-US"/>
        </w:rPr>
        <w:t>FUNDADAS</w:t>
      </w:r>
      <w:r w:rsidRPr="00974018">
        <w:rPr>
          <w:rFonts w:eastAsia="Calibri" w:cs="Tahoma"/>
          <w:bCs/>
          <w:szCs w:val="22"/>
          <w:lang w:eastAsia="en-US"/>
        </w:rPr>
        <w:t xml:space="preserve"> las razones o motivos de inconformidad hechos valer por </w:t>
      </w:r>
      <w:r w:rsidRPr="00974018">
        <w:rPr>
          <w:rFonts w:eastAsia="Calibri" w:cs="Tahoma"/>
          <w:b/>
          <w:szCs w:val="22"/>
          <w:lang w:eastAsia="en-US"/>
        </w:rPr>
        <w:t>LA PARTE RECURRENTE</w:t>
      </w:r>
      <w:r w:rsidRPr="00974018">
        <w:rPr>
          <w:rFonts w:eastAsia="Calibri" w:cs="Tahoma"/>
          <w:bCs/>
          <w:szCs w:val="22"/>
          <w:lang w:eastAsia="en-US"/>
        </w:rPr>
        <w:t xml:space="preserve"> en el Recurso de Revisión </w:t>
      </w:r>
      <w:r w:rsidR="00867AD8" w:rsidRPr="00974018">
        <w:rPr>
          <w:rFonts w:eastAsiaTheme="minorHAnsi" w:cstheme="minorBidi"/>
          <w:b/>
          <w:bCs/>
          <w:szCs w:val="22"/>
          <w:lang w:eastAsia="en-US"/>
        </w:rPr>
        <w:t>03142/</w:t>
      </w:r>
      <w:r w:rsidRPr="00974018">
        <w:rPr>
          <w:rFonts w:eastAsiaTheme="minorHAnsi" w:cstheme="minorBidi"/>
          <w:b/>
          <w:bCs/>
          <w:szCs w:val="22"/>
          <w:lang w:eastAsia="en-US"/>
        </w:rPr>
        <w:t>INFOEM/IP/RR</w:t>
      </w:r>
      <w:r w:rsidR="000605CC" w:rsidRPr="00974018">
        <w:rPr>
          <w:rFonts w:eastAsiaTheme="minorHAnsi" w:cstheme="minorBidi"/>
          <w:b/>
          <w:bCs/>
          <w:szCs w:val="22"/>
          <w:lang w:eastAsia="en-US"/>
        </w:rPr>
        <w:t>/202</w:t>
      </w:r>
      <w:r w:rsidR="00867AD8" w:rsidRPr="00974018">
        <w:rPr>
          <w:rFonts w:eastAsiaTheme="minorHAnsi" w:cstheme="minorBidi"/>
          <w:b/>
          <w:bCs/>
          <w:szCs w:val="22"/>
          <w:lang w:eastAsia="en-US"/>
        </w:rPr>
        <w:t>5</w:t>
      </w:r>
      <w:r w:rsidR="000605CC" w:rsidRPr="00974018">
        <w:rPr>
          <w:rFonts w:eastAsiaTheme="minorHAnsi" w:cstheme="minorBidi"/>
          <w:b/>
          <w:bCs/>
          <w:szCs w:val="22"/>
          <w:lang w:eastAsia="en-US"/>
        </w:rPr>
        <w:t>,</w:t>
      </w:r>
      <w:r w:rsidRPr="00974018">
        <w:rPr>
          <w:rFonts w:cs="Tahoma"/>
          <w:b/>
          <w:szCs w:val="22"/>
        </w:rPr>
        <w:t xml:space="preserve"> </w:t>
      </w:r>
      <w:r w:rsidRPr="00974018">
        <w:rPr>
          <w:rFonts w:eastAsia="Calibri" w:cs="Tahoma"/>
          <w:bCs/>
          <w:szCs w:val="22"/>
          <w:lang w:eastAsia="en-US"/>
        </w:rPr>
        <w:t xml:space="preserve">en términos del considerando </w:t>
      </w:r>
      <w:r w:rsidRPr="00974018">
        <w:rPr>
          <w:rFonts w:eastAsia="Calibri" w:cs="Tahoma"/>
          <w:b/>
          <w:szCs w:val="22"/>
          <w:lang w:eastAsia="en-US"/>
        </w:rPr>
        <w:t>SEGUNDO</w:t>
      </w:r>
      <w:r w:rsidRPr="00974018">
        <w:rPr>
          <w:rFonts w:eastAsia="Calibri" w:cs="Tahoma"/>
          <w:bCs/>
          <w:szCs w:val="22"/>
          <w:lang w:eastAsia="en-US"/>
        </w:rPr>
        <w:t xml:space="preserve"> de la presente Resolución.</w:t>
      </w:r>
    </w:p>
    <w:p w14:paraId="78D4A482" w14:textId="77777777" w:rsidR="00FC3CE0" w:rsidRPr="00974018" w:rsidRDefault="00FC3CE0" w:rsidP="00974018">
      <w:pPr>
        <w:widowControl w:val="0"/>
        <w:rPr>
          <w:rFonts w:eastAsia="Calibri" w:cs="Tahoma"/>
          <w:bCs/>
          <w:szCs w:val="22"/>
          <w:lang w:eastAsia="en-US"/>
        </w:rPr>
      </w:pPr>
    </w:p>
    <w:p w14:paraId="16CF919C" w14:textId="64C3F7D7" w:rsidR="00FC3CE0" w:rsidRPr="00974018" w:rsidRDefault="00FC3CE0" w:rsidP="00974018">
      <w:pPr>
        <w:ind w:right="-93"/>
        <w:rPr>
          <w:rFonts w:eastAsia="Calibri" w:cs="Tahoma"/>
          <w:bCs/>
          <w:szCs w:val="22"/>
          <w:lang w:eastAsia="en-US"/>
        </w:rPr>
      </w:pPr>
      <w:r w:rsidRPr="00974018">
        <w:rPr>
          <w:rFonts w:eastAsia="Calibri" w:cs="Tahoma"/>
          <w:b/>
          <w:bCs/>
          <w:szCs w:val="22"/>
          <w:lang w:eastAsia="en-US"/>
        </w:rPr>
        <w:t>SEGUNDO.</w:t>
      </w:r>
      <w:r w:rsidRPr="00974018">
        <w:rPr>
          <w:rFonts w:eastAsia="Calibri" w:cs="Tahoma"/>
          <w:szCs w:val="22"/>
          <w:lang w:eastAsia="es-MX"/>
        </w:rPr>
        <w:t xml:space="preserve"> Se </w:t>
      </w:r>
      <w:r w:rsidRPr="00974018">
        <w:rPr>
          <w:rFonts w:eastAsia="Calibri" w:cs="Tahoma"/>
          <w:b/>
          <w:szCs w:val="22"/>
          <w:lang w:eastAsia="es-MX"/>
        </w:rPr>
        <w:t xml:space="preserve">ORDENA </w:t>
      </w:r>
      <w:r w:rsidRPr="00974018">
        <w:rPr>
          <w:rFonts w:eastAsia="Calibri" w:cs="Tahoma"/>
          <w:szCs w:val="22"/>
          <w:lang w:eastAsia="es-MX"/>
        </w:rPr>
        <w:t xml:space="preserve">al </w:t>
      </w:r>
      <w:r w:rsidRPr="00974018">
        <w:rPr>
          <w:rFonts w:eastAsia="Calibri" w:cs="Tahoma"/>
          <w:b/>
          <w:bCs/>
          <w:szCs w:val="22"/>
          <w:lang w:eastAsia="es-MX"/>
        </w:rPr>
        <w:t>SUJETO OBLIGADO</w:t>
      </w:r>
      <w:r w:rsidRPr="00974018">
        <w:rPr>
          <w:rFonts w:eastAsia="Calibri" w:cs="Tahoma"/>
          <w:szCs w:val="22"/>
          <w:lang w:eastAsia="es-MX"/>
        </w:rPr>
        <w:t xml:space="preserve">, </w:t>
      </w:r>
      <w:r w:rsidRPr="00974018">
        <w:rPr>
          <w:rFonts w:eastAsia="Calibri" w:cs="Tahoma"/>
          <w:bCs/>
          <w:szCs w:val="22"/>
          <w:lang w:eastAsia="en-US"/>
        </w:rPr>
        <w:t xml:space="preserve">a efecto de que, previa búsqueda exhaustiva y razonable de la información, entregue a través del </w:t>
      </w:r>
      <w:r w:rsidR="00233005" w:rsidRPr="00974018">
        <w:rPr>
          <w:rFonts w:eastAsia="Calibri" w:cs="Tahoma"/>
          <w:bCs/>
          <w:szCs w:val="22"/>
          <w:lang w:eastAsia="en-US"/>
        </w:rPr>
        <w:t>SAIMEX, en</w:t>
      </w:r>
      <w:r w:rsidRPr="00974018">
        <w:rPr>
          <w:rFonts w:eastAsia="Calibri" w:cs="Tahoma"/>
          <w:bCs/>
          <w:szCs w:val="22"/>
          <w:lang w:eastAsia="en-US"/>
        </w:rPr>
        <w:t xml:space="preserve"> su caso en versión pública, lo siguiente:</w:t>
      </w:r>
    </w:p>
    <w:p w14:paraId="3ABE30CB" w14:textId="148434C9" w:rsidR="00867AD8" w:rsidRPr="00974018" w:rsidRDefault="00867AD8" w:rsidP="00974018">
      <w:pPr>
        <w:pStyle w:val="Prrafodelista"/>
        <w:numPr>
          <w:ilvl w:val="0"/>
          <w:numId w:val="3"/>
        </w:numPr>
        <w:tabs>
          <w:tab w:val="left" w:pos="4962"/>
        </w:tabs>
        <w:ind w:right="539"/>
        <w:rPr>
          <w:rFonts w:eastAsia="Calibri" w:cs="Tahoma"/>
          <w:i/>
          <w:szCs w:val="22"/>
          <w:lang w:eastAsia="es-ES_tradnl"/>
        </w:rPr>
      </w:pPr>
      <w:r w:rsidRPr="00974018">
        <w:rPr>
          <w:rFonts w:eastAsia="Calibri" w:cs="Tahoma"/>
          <w:i/>
          <w:szCs w:val="22"/>
          <w:lang w:eastAsia="es-ES_tradnl"/>
        </w:rPr>
        <w:t xml:space="preserve">El </w:t>
      </w:r>
      <w:r w:rsidR="00C33238" w:rsidRPr="00974018">
        <w:rPr>
          <w:rFonts w:eastAsia="Calibri" w:cs="Tahoma"/>
          <w:i/>
          <w:szCs w:val="22"/>
          <w:lang w:eastAsia="es-ES_tradnl"/>
        </w:rPr>
        <w:t xml:space="preserve">o los </w:t>
      </w:r>
      <w:r w:rsidRPr="00974018">
        <w:rPr>
          <w:rFonts w:eastAsia="Calibri" w:cs="Tahoma"/>
          <w:i/>
          <w:szCs w:val="22"/>
          <w:lang w:eastAsia="es-ES_tradnl"/>
        </w:rPr>
        <w:t>documento</w:t>
      </w:r>
      <w:r w:rsidR="00C33238" w:rsidRPr="00974018">
        <w:rPr>
          <w:rFonts w:eastAsia="Calibri" w:cs="Tahoma"/>
          <w:i/>
          <w:szCs w:val="22"/>
          <w:lang w:eastAsia="es-ES_tradnl"/>
        </w:rPr>
        <w:t>s</w:t>
      </w:r>
      <w:r w:rsidRPr="00974018">
        <w:rPr>
          <w:rFonts w:eastAsia="Calibri" w:cs="Tahoma"/>
          <w:i/>
          <w:szCs w:val="22"/>
          <w:lang w:eastAsia="es-ES_tradnl"/>
        </w:rPr>
        <w:t xml:space="preserve"> donde consten las acciones programadas por parte de la administración 2025-2027 para cumplir con los compromisos de su reconocimiento “Ciudad Árbol del mundo” vigentes al 18 de febrero de 2025.</w:t>
      </w:r>
    </w:p>
    <w:p w14:paraId="52BF7288" w14:textId="7E44C5CE" w:rsidR="00E40A98" w:rsidRPr="00974018" w:rsidRDefault="00C33238" w:rsidP="00974018">
      <w:pPr>
        <w:pStyle w:val="Prrafodelista"/>
        <w:numPr>
          <w:ilvl w:val="0"/>
          <w:numId w:val="3"/>
        </w:numPr>
        <w:tabs>
          <w:tab w:val="left" w:pos="4962"/>
        </w:tabs>
        <w:ind w:right="539"/>
        <w:rPr>
          <w:rFonts w:eastAsia="Calibri" w:cs="Tahoma"/>
          <w:bCs/>
          <w:szCs w:val="22"/>
          <w:lang w:eastAsia="en-US"/>
        </w:rPr>
      </w:pPr>
      <w:r w:rsidRPr="00974018">
        <w:rPr>
          <w:rFonts w:eastAsia="Calibri" w:cs="Tahoma"/>
          <w:i/>
          <w:szCs w:val="22"/>
          <w:lang w:eastAsia="es-ES_tradnl"/>
        </w:rPr>
        <w:t xml:space="preserve">El o los documentos </w:t>
      </w:r>
      <w:r w:rsidR="00867AD8" w:rsidRPr="00974018">
        <w:rPr>
          <w:rFonts w:eastAsia="Calibri" w:cs="Tahoma"/>
          <w:i/>
          <w:szCs w:val="22"/>
          <w:lang w:eastAsia="es-ES_tradnl"/>
        </w:rPr>
        <w:t>donde consten las iniciativas para crear y ampliar las áreas verdes del municipio, así como su progreso al 18 de febrero de 2025.</w:t>
      </w:r>
    </w:p>
    <w:p w14:paraId="6290BB4D" w14:textId="0F4B5E20" w:rsidR="00867AD8" w:rsidRPr="00974018" w:rsidRDefault="00C33238" w:rsidP="00974018">
      <w:pPr>
        <w:pStyle w:val="Prrafodelista"/>
        <w:numPr>
          <w:ilvl w:val="0"/>
          <w:numId w:val="3"/>
        </w:numPr>
        <w:tabs>
          <w:tab w:val="left" w:pos="4962"/>
        </w:tabs>
        <w:ind w:right="539"/>
        <w:rPr>
          <w:rFonts w:eastAsia="Calibri" w:cs="Tahoma"/>
          <w:i/>
          <w:szCs w:val="22"/>
          <w:lang w:eastAsia="es-ES_tradnl"/>
        </w:rPr>
      </w:pPr>
      <w:r w:rsidRPr="00974018">
        <w:rPr>
          <w:rFonts w:eastAsia="Calibri" w:cs="Tahoma"/>
          <w:i/>
          <w:szCs w:val="22"/>
          <w:lang w:eastAsia="es-ES_tradnl"/>
        </w:rPr>
        <w:t xml:space="preserve">El o los documentos </w:t>
      </w:r>
      <w:r w:rsidR="00867AD8" w:rsidRPr="00974018">
        <w:rPr>
          <w:rFonts w:eastAsia="Calibri" w:cs="Tahoma"/>
          <w:i/>
          <w:szCs w:val="22"/>
          <w:lang w:eastAsia="es-ES_tradnl"/>
        </w:rPr>
        <w:t>donde conste el  avance en el proceso de la instalación de cajetes para árboles en las banquetas al 18 de febrero de 2025.</w:t>
      </w:r>
    </w:p>
    <w:p w14:paraId="6DCE017F" w14:textId="50B09570" w:rsidR="00867AD8" w:rsidRPr="00974018" w:rsidRDefault="00C33238" w:rsidP="00974018">
      <w:pPr>
        <w:pStyle w:val="Prrafodelista"/>
        <w:numPr>
          <w:ilvl w:val="0"/>
          <w:numId w:val="3"/>
        </w:numPr>
        <w:tabs>
          <w:tab w:val="left" w:pos="4962"/>
        </w:tabs>
        <w:ind w:right="539"/>
        <w:rPr>
          <w:rFonts w:eastAsia="Calibri" w:cs="Tahoma"/>
          <w:i/>
          <w:szCs w:val="22"/>
          <w:lang w:eastAsia="es-ES_tradnl"/>
        </w:rPr>
      </w:pPr>
      <w:r w:rsidRPr="00974018">
        <w:rPr>
          <w:rFonts w:eastAsia="Calibri" w:cs="Tahoma"/>
          <w:i/>
          <w:szCs w:val="22"/>
          <w:lang w:eastAsia="es-ES_tradnl"/>
        </w:rPr>
        <w:t xml:space="preserve">El o los documentos </w:t>
      </w:r>
      <w:r w:rsidR="00867AD8" w:rsidRPr="00974018">
        <w:rPr>
          <w:rFonts w:eastAsia="Calibri" w:cs="Tahoma"/>
          <w:i/>
          <w:szCs w:val="22"/>
          <w:lang w:eastAsia="es-ES_tradnl"/>
        </w:rPr>
        <w:t>donde consten los programas de colaboración o convenios con particulares, asociaciones civiles o empresas para ampliar las áreas verdes del municipio al 18 de febrero de 2025.</w:t>
      </w:r>
    </w:p>
    <w:p w14:paraId="1599BF79" w14:textId="77777777" w:rsidR="00E40A98" w:rsidRPr="00974018" w:rsidRDefault="00E40A98" w:rsidP="00974018">
      <w:pPr>
        <w:ind w:left="1080" w:right="539"/>
        <w:rPr>
          <w:rFonts w:eastAsia="Calibri" w:cs="Tahoma"/>
          <w:bCs/>
          <w:i/>
          <w:iCs/>
          <w:szCs w:val="22"/>
          <w:lang w:eastAsia="en-US"/>
        </w:rPr>
      </w:pPr>
      <w:r w:rsidRPr="00974018">
        <w:rPr>
          <w:rFonts w:eastAsia="Calibri" w:cs="Tahoma"/>
          <w:bCs/>
          <w:i/>
          <w:iCs/>
          <w:szCs w:val="22"/>
          <w:lang w:eastAsia="en-US"/>
        </w:rPr>
        <w:t xml:space="preserve">De ser necesarias las versiones públicas, se deberá entregar el Acuerdo del Comité de Transparencia mediante el cual se apruebe la clasificación de información, en </w:t>
      </w:r>
      <w:r w:rsidRPr="00974018">
        <w:rPr>
          <w:rFonts w:eastAsia="Calibri" w:cs="Tahoma"/>
          <w:bCs/>
          <w:i/>
          <w:iCs/>
          <w:szCs w:val="22"/>
          <w:lang w:eastAsia="en-US"/>
        </w:rPr>
        <w:lastRenderedPageBreak/>
        <w:t>términos del artículo 49, fracción VIII de la Ley de Transparencia y Acceso a la Información Pública del Estado de México y Municipios.</w:t>
      </w:r>
    </w:p>
    <w:p w14:paraId="4653464B" w14:textId="77777777" w:rsidR="00E40A98" w:rsidRPr="00974018" w:rsidRDefault="00E40A98" w:rsidP="00974018">
      <w:pPr>
        <w:ind w:left="1080" w:right="539"/>
        <w:rPr>
          <w:rFonts w:eastAsia="Calibri" w:cs="Tahoma"/>
          <w:bCs/>
          <w:i/>
          <w:iCs/>
          <w:szCs w:val="22"/>
          <w:lang w:eastAsia="en-US"/>
        </w:rPr>
      </w:pPr>
    </w:p>
    <w:p w14:paraId="03BC9413" w14:textId="3328FAB6" w:rsidR="00E40A98" w:rsidRPr="00974018" w:rsidRDefault="00E40A98" w:rsidP="00974018">
      <w:pPr>
        <w:ind w:left="1080" w:right="539"/>
        <w:rPr>
          <w:rFonts w:eastAsia="Palatino Linotype" w:cs="Palatino Linotype"/>
          <w:i/>
          <w:iCs/>
          <w:szCs w:val="22"/>
        </w:rPr>
      </w:pPr>
      <w:r w:rsidRPr="00974018">
        <w:rPr>
          <w:rFonts w:eastAsia="Palatino Linotype" w:cs="Palatino Linotype"/>
          <w:i/>
          <w:iCs/>
          <w:szCs w:val="22"/>
        </w:rPr>
        <w:t xml:space="preserve">Para el caso de que no se haya </w:t>
      </w:r>
      <w:r w:rsidRPr="00974018">
        <w:rPr>
          <w:rFonts w:eastAsia="Palatino Linotype" w:cs="Palatino Linotype"/>
          <w:bCs/>
          <w:i/>
          <w:iCs/>
          <w:szCs w:val="22"/>
        </w:rPr>
        <w:t>generado la información ordenada</w:t>
      </w:r>
      <w:r w:rsidR="00C33238" w:rsidRPr="00974018">
        <w:rPr>
          <w:rFonts w:eastAsia="Palatino Linotype" w:cs="Palatino Linotype"/>
          <w:bCs/>
          <w:i/>
          <w:iCs/>
          <w:szCs w:val="22"/>
        </w:rPr>
        <w:t xml:space="preserve">, </w:t>
      </w:r>
      <w:r w:rsidRPr="00974018">
        <w:rPr>
          <w:rFonts w:eastAsia="Palatino Linotype" w:cs="Palatino Linotype"/>
          <w:bCs/>
          <w:i/>
          <w:iCs/>
          <w:szCs w:val="22"/>
        </w:rPr>
        <w:t xml:space="preserve">bastará con que se haga del conocimiento a </w:t>
      </w:r>
      <w:r w:rsidRPr="00974018">
        <w:rPr>
          <w:rFonts w:eastAsia="Palatino Linotype" w:cs="Palatino Linotype"/>
          <w:b/>
          <w:bCs/>
          <w:i/>
          <w:iCs/>
          <w:szCs w:val="22"/>
        </w:rPr>
        <w:t xml:space="preserve">LA PARTE RECURRENTE </w:t>
      </w:r>
      <w:r w:rsidRPr="00974018">
        <w:rPr>
          <w:rFonts w:eastAsia="Palatino Linotype" w:cs="Palatino Linotype"/>
          <w:i/>
          <w:iCs/>
          <w:szCs w:val="22"/>
        </w:rPr>
        <w:t>haciendo entrega, únicamente de la información que si se haya generado.</w:t>
      </w:r>
    </w:p>
    <w:p w14:paraId="7E68D565" w14:textId="77777777" w:rsidR="00FC3CE0" w:rsidRPr="00974018" w:rsidRDefault="00FC3CE0" w:rsidP="00974018">
      <w:pPr>
        <w:widowControl w:val="0"/>
        <w:rPr>
          <w:rFonts w:eastAsia="Calibri" w:cs="Tahoma"/>
          <w:bCs/>
          <w:szCs w:val="22"/>
          <w:lang w:eastAsia="en-US"/>
        </w:rPr>
      </w:pPr>
    </w:p>
    <w:p w14:paraId="3230BFEF" w14:textId="77777777" w:rsidR="009A0277" w:rsidRPr="00974018" w:rsidRDefault="009A0277" w:rsidP="00974018">
      <w:r w:rsidRPr="00974018">
        <w:rPr>
          <w:b/>
          <w:bCs/>
        </w:rPr>
        <w:t>TERCERO.</w:t>
      </w:r>
      <w:r w:rsidRPr="00974018">
        <w:t xml:space="preserve"> </w:t>
      </w:r>
      <w:r w:rsidRPr="00974018">
        <w:rPr>
          <w:rFonts w:eastAsia="Palatino Linotype" w:cs="Palatino Linotype"/>
          <w:b/>
          <w:lang w:eastAsia="es-MX"/>
        </w:rPr>
        <w:t xml:space="preserve">Notifíquese </w:t>
      </w:r>
      <w:r w:rsidRPr="00974018">
        <w:rPr>
          <w:szCs w:val="17"/>
          <w:lang w:eastAsia="es-ES_tradnl"/>
        </w:rPr>
        <w:t xml:space="preserve">vía </w:t>
      </w:r>
      <w:r w:rsidRPr="00974018">
        <w:rPr>
          <w:rFonts w:cs="Arial"/>
        </w:rPr>
        <w:t>Sistema de Acceso a la Información Mexiquense (</w:t>
      </w:r>
      <w:r w:rsidRPr="00974018">
        <w:rPr>
          <w:rFonts w:cs="Arial"/>
          <w:b/>
          <w:bCs/>
        </w:rPr>
        <w:t>SAIMEX)</w:t>
      </w:r>
      <w:r w:rsidRPr="00974018">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74018" w:rsidRDefault="00FC3CE0" w:rsidP="00974018"/>
    <w:p w14:paraId="16A4F4E2" w14:textId="64DF9CE2" w:rsidR="00FC3CE0" w:rsidRPr="00974018" w:rsidRDefault="00FC3CE0" w:rsidP="00974018">
      <w:r w:rsidRPr="00974018">
        <w:rPr>
          <w:b/>
          <w:bCs/>
        </w:rPr>
        <w:t>CUARTO.</w:t>
      </w:r>
      <w:r w:rsidRPr="00974018">
        <w:t xml:space="preserve"> Notifíquese a </w:t>
      </w:r>
      <w:r w:rsidRPr="00974018">
        <w:rPr>
          <w:b/>
          <w:bCs/>
        </w:rPr>
        <w:t>LA PARTE RECURRENTE</w:t>
      </w:r>
      <w:r w:rsidRPr="00974018">
        <w:t xml:space="preserve"> la presente resolución vía Sistema de Acceso a la Información Mexiquense </w:t>
      </w:r>
      <w:r w:rsidR="008B1E16" w:rsidRPr="00974018">
        <w:t>(</w:t>
      </w:r>
      <w:r w:rsidRPr="00974018">
        <w:t>SAIMEX</w:t>
      </w:r>
      <w:r w:rsidR="008B1E16" w:rsidRPr="00974018">
        <w:t>)</w:t>
      </w:r>
      <w:r w:rsidRPr="00974018">
        <w:t>.</w:t>
      </w:r>
    </w:p>
    <w:p w14:paraId="515336ED" w14:textId="77777777" w:rsidR="00FC3CE0" w:rsidRPr="00974018" w:rsidRDefault="00FC3CE0" w:rsidP="00974018"/>
    <w:p w14:paraId="006EFE1D" w14:textId="07CDFDE4" w:rsidR="00FC3CE0" w:rsidRPr="00974018" w:rsidRDefault="00FC3CE0" w:rsidP="00974018">
      <w:r w:rsidRPr="00974018">
        <w:rPr>
          <w:b/>
          <w:bCs/>
        </w:rPr>
        <w:t>QUINTO</w:t>
      </w:r>
      <w:r w:rsidRPr="00974018">
        <w:t>. Hágase del conocimiento a</w:t>
      </w:r>
      <w:r w:rsidR="008B1E16" w:rsidRPr="00974018">
        <w:t xml:space="preserve"> </w:t>
      </w:r>
      <w:r w:rsidR="008B1E16" w:rsidRPr="00974018">
        <w:rPr>
          <w:b/>
          <w:bCs/>
        </w:rPr>
        <w:t xml:space="preserve">LA PARTE </w:t>
      </w:r>
      <w:r w:rsidRPr="00974018">
        <w:rPr>
          <w:b/>
          <w:bCs/>
        </w:rPr>
        <w:t>RECURRENTE</w:t>
      </w:r>
      <w:r w:rsidRPr="00974018">
        <w:t xml:space="preserve"> que</w:t>
      </w:r>
      <w:r w:rsidR="008B1E16" w:rsidRPr="00974018">
        <w:t>,</w:t>
      </w:r>
      <w:r w:rsidRPr="00974018">
        <w:t xml:space="preserve"> de conformidad con lo establecido en el artículo 196 de la Ley de Transparencia y Acceso a la Información Pública del Estado de México y Municipios, podrá impugnar</w:t>
      </w:r>
      <w:r w:rsidR="008B1E16" w:rsidRPr="00974018">
        <w:t xml:space="preserve"> la presente resolución</w:t>
      </w:r>
      <w:r w:rsidRPr="00974018">
        <w:t xml:space="preserve"> vía Juicio de Amparo en los términos de las leyes aplicables.</w:t>
      </w:r>
    </w:p>
    <w:p w14:paraId="1FDCA0FE" w14:textId="77777777" w:rsidR="00163D12" w:rsidRPr="00974018" w:rsidRDefault="00163D12" w:rsidP="00974018"/>
    <w:p w14:paraId="43DF9D99" w14:textId="4C6E52F9" w:rsidR="00FC3CE0" w:rsidRPr="00974018" w:rsidRDefault="00FC3CE0" w:rsidP="00974018">
      <w:r w:rsidRPr="00974018">
        <w:rPr>
          <w:b/>
          <w:bCs/>
        </w:rPr>
        <w:lastRenderedPageBreak/>
        <w:t>SEXTO.</w:t>
      </w:r>
      <w:r w:rsidRPr="00974018">
        <w:t xml:space="preserve"> De conformidad con el artículo 198 de la Ley de Transparencia y Acceso a la Información Pública del Estado de México y Municipios, el </w:t>
      </w:r>
      <w:r w:rsidR="008B1E16" w:rsidRPr="00974018">
        <w:rPr>
          <w:b/>
          <w:bCs/>
        </w:rPr>
        <w:t>SUJETO OBLIGADO</w:t>
      </w:r>
      <w:r w:rsidR="008B1E16" w:rsidRPr="00974018">
        <w:t xml:space="preserve"> </w:t>
      </w:r>
      <w:r w:rsidRPr="00974018">
        <w:t>podrá solicitar</w:t>
      </w:r>
      <w:r w:rsidR="008B1E16" w:rsidRPr="00974018">
        <w:t xml:space="preserve"> </w:t>
      </w:r>
      <w:r w:rsidRPr="00974018">
        <w:t xml:space="preserve">una ampliación de plazo </w:t>
      </w:r>
      <w:r w:rsidR="008B1E16" w:rsidRPr="00974018">
        <w:t xml:space="preserve">de manera fundada y motivada, </w:t>
      </w:r>
      <w:r w:rsidRPr="00974018">
        <w:t>para el cumplimiento de la presente resolución.</w:t>
      </w:r>
    </w:p>
    <w:p w14:paraId="2BC8564F" w14:textId="77777777" w:rsidR="00FC3CE0" w:rsidRPr="00974018" w:rsidRDefault="00FC3CE0" w:rsidP="00974018">
      <w:pPr>
        <w:ind w:right="113"/>
        <w:rPr>
          <w:rFonts w:cs="Arial"/>
          <w:b/>
          <w:szCs w:val="22"/>
        </w:rPr>
      </w:pPr>
    </w:p>
    <w:p w14:paraId="719A5C63" w14:textId="643EDA3F" w:rsidR="00664420" w:rsidRPr="00974018" w:rsidRDefault="00664420" w:rsidP="00974018">
      <w:pPr>
        <w:rPr>
          <w:rFonts w:eastAsia="Palatino Linotype" w:cs="Palatino Linotype"/>
          <w:szCs w:val="22"/>
        </w:rPr>
      </w:pPr>
      <w:r w:rsidRPr="0097401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33238" w:rsidRPr="00974018">
        <w:rPr>
          <w:rFonts w:eastAsia="Palatino Linotype" w:cs="Palatino Linotype"/>
          <w:szCs w:val="22"/>
        </w:rPr>
        <w:t>DÉCIMA S</w:t>
      </w:r>
      <w:r w:rsidR="00B15787" w:rsidRPr="00974018">
        <w:rPr>
          <w:rFonts w:eastAsia="Palatino Linotype" w:cs="Palatino Linotype"/>
          <w:szCs w:val="22"/>
        </w:rPr>
        <w:t>ÉPTIMA</w:t>
      </w:r>
      <w:r w:rsidRPr="00974018">
        <w:rPr>
          <w:rFonts w:eastAsia="Palatino Linotype" w:cs="Palatino Linotype"/>
          <w:szCs w:val="22"/>
        </w:rPr>
        <w:t xml:space="preserve"> SESIÓN ORDINARIA, CELEBRADA EL </w:t>
      </w:r>
      <w:r w:rsidR="00B15787" w:rsidRPr="00974018">
        <w:rPr>
          <w:rFonts w:eastAsia="Palatino Linotype" w:cs="Palatino Linotype"/>
          <w:szCs w:val="22"/>
        </w:rPr>
        <w:t>CATORCE</w:t>
      </w:r>
      <w:r w:rsidR="00C33238" w:rsidRPr="00974018">
        <w:rPr>
          <w:rFonts w:eastAsia="Palatino Linotype" w:cs="Palatino Linotype"/>
          <w:szCs w:val="22"/>
        </w:rPr>
        <w:t xml:space="preserve"> </w:t>
      </w:r>
      <w:r w:rsidRPr="00974018">
        <w:rPr>
          <w:rFonts w:eastAsia="Palatino Linotype" w:cs="Palatino Linotype"/>
          <w:szCs w:val="22"/>
        </w:rPr>
        <w:t xml:space="preserve">DE </w:t>
      </w:r>
      <w:r w:rsidR="00C33238" w:rsidRPr="00974018">
        <w:rPr>
          <w:rFonts w:eastAsia="Palatino Linotype" w:cs="Palatino Linotype"/>
          <w:szCs w:val="22"/>
        </w:rPr>
        <w:t xml:space="preserve">MAYO </w:t>
      </w:r>
      <w:r w:rsidRPr="00974018">
        <w:rPr>
          <w:rFonts w:eastAsia="Palatino Linotype" w:cs="Palatino Linotype"/>
          <w:szCs w:val="22"/>
        </w:rPr>
        <w:t xml:space="preserve">DE DOS MIL </w:t>
      </w:r>
      <w:r w:rsidR="00C33238" w:rsidRPr="00974018">
        <w:rPr>
          <w:rFonts w:eastAsia="Palatino Linotype" w:cs="Palatino Linotype"/>
          <w:szCs w:val="22"/>
        </w:rPr>
        <w:t>VEINTICINCO</w:t>
      </w:r>
      <w:r w:rsidRPr="00974018">
        <w:rPr>
          <w:rFonts w:eastAsia="Palatino Linotype" w:cs="Palatino Linotype"/>
          <w:szCs w:val="22"/>
        </w:rPr>
        <w:t>, ANTE EL SECRETARIO TÉCNICO DEL PLENO, ALEXIS TAPIA RAMÍREZ.</w:t>
      </w:r>
    </w:p>
    <w:p w14:paraId="2AB73DBD" w14:textId="77777777" w:rsidR="009A0277" w:rsidRPr="00974018" w:rsidRDefault="009A0277" w:rsidP="00974018">
      <w:pPr>
        <w:widowControl w:val="0"/>
        <w:autoSpaceDE w:val="0"/>
        <w:autoSpaceDN w:val="0"/>
        <w:adjustRightInd w:val="0"/>
        <w:rPr>
          <w:rFonts w:eastAsiaTheme="minorEastAsia"/>
          <w:sz w:val="18"/>
          <w:szCs w:val="18"/>
          <w:lang w:val="it-IT"/>
        </w:rPr>
      </w:pPr>
      <w:r w:rsidRPr="00974018">
        <w:rPr>
          <w:rFonts w:eastAsiaTheme="minorEastAsia"/>
          <w:sz w:val="18"/>
          <w:szCs w:val="18"/>
          <w:lang w:val="it-IT"/>
        </w:rPr>
        <w:t>SCMM/AGZ/DEMF/JMMO</w:t>
      </w:r>
    </w:p>
    <w:p w14:paraId="49D72DA3" w14:textId="77777777" w:rsidR="00664420" w:rsidRPr="00974018" w:rsidRDefault="00664420" w:rsidP="00974018">
      <w:pPr>
        <w:ind w:right="-93"/>
        <w:rPr>
          <w:rFonts w:eastAsia="Calibri" w:cs="Tahoma"/>
          <w:bCs/>
          <w:szCs w:val="22"/>
          <w:lang w:eastAsia="en-US"/>
        </w:rPr>
      </w:pPr>
    </w:p>
    <w:p w14:paraId="5EFEA0CD" w14:textId="77777777" w:rsidR="00664420" w:rsidRPr="00974018" w:rsidRDefault="00664420" w:rsidP="00974018">
      <w:pPr>
        <w:ind w:right="-93"/>
        <w:rPr>
          <w:rFonts w:eastAsia="Calibri" w:cs="Tahoma"/>
          <w:szCs w:val="22"/>
          <w:lang w:val="es-ES"/>
        </w:rPr>
      </w:pPr>
    </w:p>
    <w:p w14:paraId="696BC976" w14:textId="77777777" w:rsidR="00664420" w:rsidRPr="00974018" w:rsidRDefault="00664420" w:rsidP="00974018">
      <w:pPr>
        <w:ind w:right="-93"/>
        <w:rPr>
          <w:rFonts w:eastAsia="Calibri" w:cs="Tahoma"/>
          <w:bCs/>
          <w:szCs w:val="22"/>
          <w:lang w:val="es-ES" w:eastAsia="en-US"/>
        </w:rPr>
      </w:pPr>
    </w:p>
    <w:p w14:paraId="671CB0C5" w14:textId="77777777" w:rsidR="00664420" w:rsidRPr="00974018" w:rsidRDefault="00664420" w:rsidP="00974018">
      <w:pPr>
        <w:ind w:right="-93"/>
        <w:rPr>
          <w:rFonts w:eastAsia="Calibri" w:cs="Tahoma"/>
          <w:bCs/>
          <w:szCs w:val="22"/>
          <w:lang w:val="es-ES_tradnl" w:eastAsia="en-US"/>
        </w:rPr>
      </w:pPr>
    </w:p>
    <w:p w14:paraId="52B66DE7" w14:textId="77777777" w:rsidR="00664420" w:rsidRPr="00974018" w:rsidRDefault="00664420" w:rsidP="00974018">
      <w:pPr>
        <w:ind w:right="-93"/>
        <w:rPr>
          <w:rFonts w:eastAsia="Calibri" w:cs="Tahoma"/>
          <w:bCs/>
          <w:szCs w:val="22"/>
          <w:lang w:val="es-ES_tradnl" w:eastAsia="en-US"/>
        </w:rPr>
      </w:pPr>
    </w:p>
    <w:p w14:paraId="3BA305D1" w14:textId="77777777" w:rsidR="00664420" w:rsidRPr="00974018" w:rsidRDefault="00664420" w:rsidP="00974018">
      <w:pPr>
        <w:ind w:right="-93"/>
        <w:rPr>
          <w:rFonts w:eastAsia="Calibri" w:cs="Tahoma"/>
          <w:bCs/>
          <w:szCs w:val="22"/>
          <w:lang w:val="es-ES_tradnl" w:eastAsia="en-US"/>
        </w:rPr>
      </w:pPr>
    </w:p>
    <w:p w14:paraId="78230707" w14:textId="77777777" w:rsidR="00664420" w:rsidRPr="00974018" w:rsidRDefault="00664420" w:rsidP="00974018">
      <w:pPr>
        <w:ind w:right="-93"/>
        <w:rPr>
          <w:rFonts w:eastAsia="Calibri" w:cs="Tahoma"/>
          <w:bCs/>
          <w:szCs w:val="22"/>
          <w:lang w:val="es-ES_tradnl" w:eastAsia="en-US"/>
        </w:rPr>
      </w:pPr>
    </w:p>
    <w:p w14:paraId="72D18B28" w14:textId="77777777" w:rsidR="00664420" w:rsidRPr="00974018" w:rsidRDefault="00664420" w:rsidP="00974018">
      <w:pPr>
        <w:ind w:right="-93"/>
        <w:rPr>
          <w:rFonts w:eastAsia="Calibri" w:cs="Tahoma"/>
          <w:bCs/>
          <w:szCs w:val="22"/>
          <w:lang w:val="es-ES_tradnl" w:eastAsia="en-US"/>
        </w:rPr>
      </w:pPr>
    </w:p>
    <w:p w14:paraId="6BD461DC" w14:textId="77777777" w:rsidR="00664420" w:rsidRPr="00974018" w:rsidRDefault="00664420" w:rsidP="00974018">
      <w:pPr>
        <w:tabs>
          <w:tab w:val="center" w:pos="4568"/>
        </w:tabs>
        <w:ind w:right="-93"/>
        <w:rPr>
          <w:rFonts w:eastAsia="Calibri" w:cs="Tahoma"/>
          <w:bCs/>
          <w:szCs w:val="22"/>
          <w:lang w:eastAsia="en-US"/>
        </w:rPr>
      </w:pPr>
    </w:p>
    <w:p w14:paraId="4DBB1727" w14:textId="77777777" w:rsidR="00664420" w:rsidRPr="00974018" w:rsidRDefault="00664420" w:rsidP="00974018">
      <w:pPr>
        <w:tabs>
          <w:tab w:val="center" w:pos="4568"/>
        </w:tabs>
        <w:ind w:right="-93"/>
        <w:rPr>
          <w:rFonts w:eastAsia="Calibri" w:cs="Tahoma"/>
          <w:bCs/>
          <w:szCs w:val="22"/>
          <w:lang w:eastAsia="en-US"/>
        </w:rPr>
      </w:pPr>
    </w:p>
    <w:p w14:paraId="1D74121B" w14:textId="77777777" w:rsidR="00664420" w:rsidRPr="00974018" w:rsidRDefault="00664420" w:rsidP="00974018">
      <w:pPr>
        <w:tabs>
          <w:tab w:val="center" w:pos="4568"/>
        </w:tabs>
        <w:ind w:right="-93"/>
        <w:rPr>
          <w:rFonts w:eastAsia="Calibri" w:cs="Tahoma"/>
          <w:bCs/>
          <w:szCs w:val="22"/>
          <w:lang w:eastAsia="en-US"/>
        </w:rPr>
      </w:pPr>
    </w:p>
    <w:p w14:paraId="08E74E9C" w14:textId="77777777" w:rsidR="00664420" w:rsidRPr="00974018" w:rsidRDefault="00664420" w:rsidP="00974018">
      <w:pPr>
        <w:tabs>
          <w:tab w:val="center" w:pos="4568"/>
        </w:tabs>
        <w:ind w:right="-93"/>
        <w:rPr>
          <w:rFonts w:eastAsia="Calibri" w:cs="Tahoma"/>
          <w:bCs/>
          <w:szCs w:val="22"/>
          <w:lang w:eastAsia="en-US"/>
        </w:rPr>
      </w:pPr>
    </w:p>
    <w:p w14:paraId="2CBF5E03" w14:textId="77777777" w:rsidR="00664420" w:rsidRPr="00974018" w:rsidRDefault="00664420" w:rsidP="00974018">
      <w:pPr>
        <w:tabs>
          <w:tab w:val="center" w:pos="4568"/>
        </w:tabs>
        <w:ind w:right="-93"/>
        <w:rPr>
          <w:rFonts w:eastAsia="Calibri" w:cs="Tahoma"/>
          <w:bCs/>
          <w:szCs w:val="22"/>
          <w:lang w:eastAsia="en-US"/>
        </w:rPr>
      </w:pPr>
    </w:p>
    <w:p w14:paraId="44865A6D" w14:textId="77777777" w:rsidR="00664420" w:rsidRPr="00974018" w:rsidRDefault="00664420" w:rsidP="00974018">
      <w:pPr>
        <w:tabs>
          <w:tab w:val="center" w:pos="4568"/>
        </w:tabs>
        <w:ind w:right="-93"/>
        <w:rPr>
          <w:rFonts w:eastAsia="Calibri" w:cs="Tahoma"/>
          <w:bCs/>
          <w:szCs w:val="22"/>
          <w:lang w:eastAsia="en-US"/>
        </w:rPr>
      </w:pPr>
    </w:p>
    <w:p w14:paraId="7147F06B" w14:textId="77777777" w:rsidR="00664420" w:rsidRPr="00974018" w:rsidRDefault="00664420" w:rsidP="00974018">
      <w:pPr>
        <w:tabs>
          <w:tab w:val="center" w:pos="4568"/>
        </w:tabs>
        <w:ind w:right="-93"/>
        <w:rPr>
          <w:rFonts w:eastAsia="Calibri" w:cs="Tahoma"/>
          <w:bCs/>
          <w:szCs w:val="22"/>
          <w:lang w:eastAsia="en-US"/>
        </w:rPr>
      </w:pPr>
    </w:p>
    <w:p w14:paraId="6FDF3D7E" w14:textId="77777777" w:rsidR="00664420" w:rsidRPr="00974018" w:rsidRDefault="00664420" w:rsidP="00974018">
      <w:pPr>
        <w:tabs>
          <w:tab w:val="center" w:pos="4568"/>
        </w:tabs>
        <w:ind w:right="-93"/>
        <w:rPr>
          <w:rFonts w:eastAsia="Calibri" w:cs="Tahoma"/>
          <w:bCs/>
          <w:szCs w:val="22"/>
          <w:lang w:eastAsia="en-US"/>
        </w:rPr>
      </w:pPr>
    </w:p>
    <w:p w14:paraId="6246F818" w14:textId="77777777" w:rsidR="00664420" w:rsidRPr="00974018" w:rsidRDefault="00664420" w:rsidP="00974018">
      <w:pPr>
        <w:tabs>
          <w:tab w:val="center" w:pos="4568"/>
        </w:tabs>
        <w:ind w:right="-93"/>
        <w:rPr>
          <w:rFonts w:eastAsia="Calibri" w:cs="Tahoma"/>
          <w:bCs/>
          <w:szCs w:val="22"/>
          <w:lang w:eastAsia="en-US"/>
        </w:rPr>
      </w:pPr>
    </w:p>
    <w:p w14:paraId="57A88B28" w14:textId="77777777" w:rsidR="00664420" w:rsidRPr="00974018" w:rsidRDefault="00664420" w:rsidP="00974018">
      <w:pPr>
        <w:tabs>
          <w:tab w:val="center" w:pos="4568"/>
        </w:tabs>
        <w:ind w:right="-93"/>
        <w:rPr>
          <w:rFonts w:eastAsia="Calibri" w:cs="Tahoma"/>
          <w:bCs/>
          <w:szCs w:val="22"/>
          <w:lang w:eastAsia="en-US"/>
        </w:rPr>
      </w:pPr>
    </w:p>
    <w:p w14:paraId="77EF6095" w14:textId="77777777" w:rsidR="00664420" w:rsidRPr="00974018" w:rsidRDefault="00664420" w:rsidP="00974018">
      <w:pPr>
        <w:tabs>
          <w:tab w:val="center" w:pos="4568"/>
        </w:tabs>
        <w:ind w:right="-93"/>
        <w:rPr>
          <w:rFonts w:eastAsia="Calibri" w:cs="Tahoma"/>
          <w:bCs/>
          <w:szCs w:val="22"/>
          <w:lang w:eastAsia="en-US"/>
        </w:rPr>
      </w:pPr>
    </w:p>
    <w:p w14:paraId="35593947" w14:textId="77777777" w:rsidR="00664420" w:rsidRPr="00974018" w:rsidRDefault="00664420" w:rsidP="00974018">
      <w:pPr>
        <w:tabs>
          <w:tab w:val="center" w:pos="4568"/>
        </w:tabs>
        <w:ind w:right="-93"/>
        <w:rPr>
          <w:rFonts w:eastAsia="Calibri" w:cs="Tahoma"/>
          <w:bCs/>
          <w:szCs w:val="22"/>
          <w:lang w:eastAsia="en-US"/>
        </w:rPr>
      </w:pPr>
    </w:p>
    <w:p w14:paraId="3AF72A17" w14:textId="77777777" w:rsidR="00664420" w:rsidRPr="00974018" w:rsidRDefault="00664420" w:rsidP="00974018">
      <w:pPr>
        <w:tabs>
          <w:tab w:val="center" w:pos="4568"/>
        </w:tabs>
        <w:ind w:right="-93"/>
        <w:rPr>
          <w:rFonts w:eastAsia="Calibri" w:cs="Tahoma"/>
          <w:bCs/>
          <w:szCs w:val="22"/>
          <w:lang w:eastAsia="en-US"/>
        </w:rPr>
      </w:pPr>
    </w:p>
    <w:p w14:paraId="37169144" w14:textId="77777777" w:rsidR="00664420" w:rsidRPr="00974018" w:rsidRDefault="00664420" w:rsidP="00974018">
      <w:pPr>
        <w:tabs>
          <w:tab w:val="center" w:pos="4568"/>
        </w:tabs>
        <w:ind w:right="-93"/>
        <w:rPr>
          <w:rFonts w:eastAsia="Calibri" w:cs="Tahoma"/>
          <w:bCs/>
          <w:szCs w:val="22"/>
          <w:lang w:eastAsia="en-US"/>
        </w:rPr>
      </w:pPr>
    </w:p>
    <w:p w14:paraId="77CFC088" w14:textId="77777777" w:rsidR="00664420" w:rsidRPr="00974018" w:rsidRDefault="00664420" w:rsidP="00974018">
      <w:pPr>
        <w:tabs>
          <w:tab w:val="center" w:pos="4568"/>
        </w:tabs>
        <w:ind w:right="-93"/>
        <w:rPr>
          <w:rFonts w:eastAsia="Calibri" w:cs="Tahoma"/>
          <w:bCs/>
          <w:szCs w:val="22"/>
          <w:lang w:eastAsia="en-US"/>
        </w:rPr>
      </w:pPr>
    </w:p>
    <w:p w14:paraId="781A11A5" w14:textId="77777777" w:rsidR="00664420" w:rsidRPr="00974018" w:rsidRDefault="00664420" w:rsidP="00974018">
      <w:pPr>
        <w:tabs>
          <w:tab w:val="center" w:pos="4568"/>
        </w:tabs>
        <w:ind w:right="-93"/>
        <w:rPr>
          <w:rFonts w:eastAsia="Calibri" w:cs="Tahoma"/>
          <w:bCs/>
          <w:szCs w:val="22"/>
          <w:lang w:eastAsia="en-US"/>
        </w:rPr>
      </w:pPr>
    </w:p>
    <w:p w14:paraId="5B4ADFF3" w14:textId="77777777" w:rsidR="00A131AC" w:rsidRPr="00974018" w:rsidRDefault="00A131AC" w:rsidP="00974018"/>
    <w:sectPr w:rsidR="00A131AC" w:rsidRPr="00974018"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0787" w14:textId="77777777" w:rsidR="005B69CB" w:rsidRDefault="005B69CB" w:rsidP="00664420">
      <w:pPr>
        <w:spacing w:line="240" w:lineRule="auto"/>
      </w:pPr>
      <w:r>
        <w:separator/>
      </w:r>
    </w:p>
  </w:endnote>
  <w:endnote w:type="continuationSeparator" w:id="0">
    <w:p w14:paraId="03759823" w14:textId="77777777" w:rsidR="005B69CB" w:rsidRDefault="005B69C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E00A8" w:rsidRDefault="003E00A8">
    <w:pPr>
      <w:tabs>
        <w:tab w:val="center" w:pos="4550"/>
        <w:tab w:val="left" w:pos="5818"/>
      </w:tabs>
      <w:ind w:right="260"/>
      <w:jc w:val="right"/>
      <w:rPr>
        <w:color w:val="071320" w:themeColor="text2" w:themeShade="80"/>
        <w:sz w:val="24"/>
        <w:szCs w:val="24"/>
      </w:rPr>
    </w:pPr>
  </w:p>
  <w:p w14:paraId="1BCA7F23" w14:textId="77777777" w:rsidR="003E00A8" w:rsidRDefault="003E00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E00A8" w:rsidRDefault="003E00A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343C1" w:rsidRPr="008343C1">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343C1" w:rsidRPr="008343C1">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3E00A8" w:rsidRDefault="003E00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6DA89" w14:textId="77777777" w:rsidR="005B69CB" w:rsidRDefault="005B69CB" w:rsidP="00664420">
      <w:pPr>
        <w:spacing w:line="240" w:lineRule="auto"/>
      </w:pPr>
      <w:r>
        <w:separator/>
      </w:r>
    </w:p>
  </w:footnote>
  <w:footnote w:type="continuationSeparator" w:id="0">
    <w:p w14:paraId="7613EA44" w14:textId="77777777" w:rsidR="005B69CB" w:rsidRDefault="005B69CB" w:rsidP="00664420">
      <w:pPr>
        <w:spacing w:line="240" w:lineRule="auto"/>
      </w:pPr>
      <w:r>
        <w:continuationSeparator/>
      </w:r>
    </w:p>
  </w:footnote>
  <w:footnote w:id="1">
    <w:p w14:paraId="102D4D89" w14:textId="77777777" w:rsidR="003E00A8" w:rsidRDefault="003E00A8" w:rsidP="006B1F8C">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2">
    <w:p w14:paraId="350433F2" w14:textId="77777777" w:rsidR="003E00A8" w:rsidRDefault="003E00A8" w:rsidP="006B1F8C">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w:t>
      </w:r>
      <w:proofErr w:type="spellStart"/>
      <w:r>
        <w:rPr>
          <w:rFonts w:eastAsia="Palatino Linotype" w:cs="Palatino Linotype"/>
          <w:color w:val="000000"/>
          <w:sz w:val="16"/>
          <w:szCs w:val="16"/>
        </w:rPr>
        <w:t>VILLANUEVA</w:t>
      </w:r>
      <w:proofErr w:type="spellEnd"/>
      <w:r>
        <w:rPr>
          <w:rFonts w:eastAsia="Palatino Linotype" w:cs="Palatino Linotype"/>
          <w:color w:val="000000"/>
          <w:sz w:val="16"/>
          <w:szCs w:val="16"/>
        </w:rPr>
        <w:t xml:space="preserve"> Ernesto, Derecho de la Información, Ed, Porrúa S.A., México. 2006, pág.270.</w:t>
      </w:r>
    </w:p>
  </w:footnote>
  <w:footnote w:id="3">
    <w:p w14:paraId="377E87A1" w14:textId="798D1762" w:rsidR="003E00A8" w:rsidRDefault="003E00A8">
      <w:pPr>
        <w:pStyle w:val="Textonotapie"/>
      </w:pPr>
      <w:r>
        <w:rPr>
          <w:rStyle w:val="Refdenotaalpie"/>
        </w:rPr>
        <w:footnoteRef/>
      </w:r>
      <w:r>
        <w:t xml:space="preserve"> </w:t>
      </w:r>
      <w:r w:rsidRPr="00E95EE7">
        <w:t>https://treecitiesoftheworld.org/documents/2023/partner-summary-2023-latin-america_translated.pdf</w:t>
      </w:r>
    </w:p>
  </w:footnote>
  <w:footnote w:id="4">
    <w:p w14:paraId="0C197787" w14:textId="79F42726" w:rsidR="003E00A8" w:rsidRDefault="003E00A8">
      <w:pPr>
        <w:pStyle w:val="Textonotapie"/>
      </w:pPr>
      <w:r>
        <w:rPr>
          <w:rStyle w:val="Refdenotaalpie"/>
        </w:rPr>
        <w:footnoteRef/>
      </w:r>
      <w:r>
        <w:t xml:space="preserve"> </w:t>
      </w:r>
      <w:r w:rsidRPr="00687DEA">
        <w:t>XVIII. Promover las acciones necesarias para aminorar los efectos del cambio climático;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E00A8" w:rsidRPr="00330DA7" w14:paraId="070A4B18" w14:textId="77777777" w:rsidTr="003F35FD">
      <w:trPr>
        <w:trHeight w:val="144"/>
        <w:jc w:val="right"/>
      </w:trPr>
      <w:tc>
        <w:tcPr>
          <w:tcW w:w="2727" w:type="dxa"/>
        </w:tcPr>
        <w:p w14:paraId="62B7493A" w14:textId="77777777" w:rsidR="003E00A8" w:rsidRPr="00330DA7" w:rsidRDefault="003E00A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58BA4A8" w:rsidR="003E00A8" w:rsidRPr="00A90C72" w:rsidRDefault="003E00A8" w:rsidP="00894917">
          <w:pPr>
            <w:tabs>
              <w:tab w:val="right" w:pos="8838"/>
            </w:tabs>
            <w:ind w:left="-74" w:right="-105"/>
            <w:rPr>
              <w:rFonts w:eastAsia="Calibri" w:cs="Tahoma"/>
              <w:szCs w:val="22"/>
              <w:lang w:eastAsia="en-US"/>
            </w:rPr>
          </w:pPr>
          <w:r>
            <w:rPr>
              <w:rFonts w:eastAsia="Calibri" w:cs="Tahoma"/>
              <w:szCs w:val="22"/>
              <w:lang w:eastAsia="en-US"/>
            </w:rPr>
            <w:t>03142/</w:t>
          </w:r>
          <w:r w:rsidRPr="00A90C72">
            <w:rPr>
              <w:rFonts w:eastAsia="Calibri" w:cs="Tahoma"/>
              <w:szCs w:val="22"/>
              <w:lang w:eastAsia="en-US"/>
            </w:rPr>
            <w:t>INFOEM/IP/RR</w:t>
          </w:r>
          <w:r>
            <w:rPr>
              <w:rFonts w:eastAsia="Calibri" w:cs="Tahoma"/>
              <w:szCs w:val="22"/>
              <w:lang w:eastAsia="en-US"/>
            </w:rPr>
            <w:t xml:space="preserve">/2025 </w:t>
          </w:r>
        </w:p>
      </w:tc>
    </w:tr>
    <w:tr w:rsidR="003E00A8" w:rsidRPr="00330DA7" w14:paraId="4521E058" w14:textId="77777777" w:rsidTr="003F35FD">
      <w:trPr>
        <w:trHeight w:val="283"/>
        <w:jc w:val="right"/>
      </w:trPr>
      <w:tc>
        <w:tcPr>
          <w:tcW w:w="2727" w:type="dxa"/>
        </w:tcPr>
        <w:p w14:paraId="0B68C086" w14:textId="77777777" w:rsidR="003E00A8" w:rsidRPr="00330DA7" w:rsidRDefault="003E00A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FA79084" w:rsidR="003E00A8" w:rsidRPr="00952DD0" w:rsidRDefault="003E00A8" w:rsidP="003F35FD">
          <w:pPr>
            <w:tabs>
              <w:tab w:val="left" w:pos="2834"/>
              <w:tab w:val="right" w:pos="8838"/>
            </w:tabs>
            <w:ind w:left="-108" w:right="-105"/>
            <w:rPr>
              <w:rFonts w:eastAsia="Calibri" w:cs="Tahoma"/>
              <w:szCs w:val="22"/>
              <w:lang w:eastAsia="en-US"/>
            </w:rPr>
          </w:pPr>
          <w:r w:rsidRPr="00894917">
            <w:rPr>
              <w:rFonts w:eastAsia="Calibri" w:cs="Tahoma"/>
              <w:szCs w:val="22"/>
              <w:lang w:eastAsia="en-US"/>
            </w:rPr>
            <w:t>Ayuntamiento de Metepec</w:t>
          </w:r>
        </w:p>
      </w:tc>
    </w:tr>
    <w:tr w:rsidR="003E00A8" w:rsidRPr="00330DA7" w14:paraId="6331D9B6" w14:textId="77777777" w:rsidTr="003F35FD">
      <w:trPr>
        <w:trHeight w:val="283"/>
        <w:jc w:val="right"/>
      </w:trPr>
      <w:tc>
        <w:tcPr>
          <w:tcW w:w="2727" w:type="dxa"/>
        </w:tcPr>
        <w:p w14:paraId="3FA86BAE" w14:textId="04F1C45E" w:rsidR="003E00A8" w:rsidRPr="00330DA7" w:rsidRDefault="003E00A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E00A8" w:rsidRPr="00EA66FC" w:rsidRDefault="003E00A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E00A8" w:rsidRPr="00443C6B" w:rsidRDefault="003E00A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E00A8" w:rsidRPr="00330DA7" w14:paraId="29CFF901" w14:textId="77777777" w:rsidTr="00894917">
      <w:trPr>
        <w:trHeight w:val="1435"/>
      </w:trPr>
      <w:tc>
        <w:tcPr>
          <w:tcW w:w="283" w:type="dxa"/>
          <w:shd w:val="clear" w:color="auto" w:fill="auto"/>
        </w:tcPr>
        <w:p w14:paraId="046B9F8F" w14:textId="77777777" w:rsidR="003E00A8" w:rsidRPr="00330DA7" w:rsidRDefault="003E00A8" w:rsidP="0089491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E00A8" w:rsidRPr="00330DA7" w14:paraId="04F272D2" w14:textId="77777777" w:rsidTr="00894917">
            <w:trPr>
              <w:trHeight w:val="144"/>
            </w:trPr>
            <w:tc>
              <w:tcPr>
                <w:tcW w:w="2727" w:type="dxa"/>
              </w:tcPr>
              <w:p w14:paraId="2FD4DBF6" w14:textId="77777777" w:rsidR="003E00A8" w:rsidRPr="00330DA7" w:rsidRDefault="003E00A8" w:rsidP="0089491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D6F9785" w:rsidR="003E00A8" w:rsidRPr="00A90C72" w:rsidRDefault="003E00A8" w:rsidP="00894917">
                <w:pPr>
                  <w:tabs>
                    <w:tab w:val="right" w:pos="8838"/>
                  </w:tabs>
                  <w:ind w:left="-74" w:right="-105"/>
                  <w:rPr>
                    <w:rFonts w:eastAsia="Calibri" w:cs="Tahoma"/>
                    <w:szCs w:val="22"/>
                    <w:lang w:eastAsia="en-US"/>
                  </w:rPr>
                </w:pPr>
                <w:r>
                  <w:rPr>
                    <w:rFonts w:eastAsia="Calibri" w:cs="Tahoma"/>
                    <w:szCs w:val="22"/>
                    <w:lang w:eastAsia="en-US"/>
                  </w:rPr>
                  <w:t>03142/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3E00A8" w:rsidRDefault="003E00A8" w:rsidP="00894917">
                <w:pPr>
                  <w:tabs>
                    <w:tab w:val="right" w:pos="8838"/>
                  </w:tabs>
                  <w:ind w:left="-74" w:right="-105"/>
                  <w:rPr>
                    <w:rFonts w:eastAsia="Calibri" w:cs="Tahoma"/>
                    <w:szCs w:val="22"/>
                    <w:lang w:eastAsia="en-US"/>
                  </w:rPr>
                </w:pPr>
              </w:p>
            </w:tc>
          </w:tr>
          <w:tr w:rsidR="003E00A8" w:rsidRPr="00330DA7" w14:paraId="05C58951" w14:textId="77777777" w:rsidTr="00894917">
            <w:trPr>
              <w:trHeight w:val="144"/>
            </w:trPr>
            <w:tc>
              <w:tcPr>
                <w:tcW w:w="2727" w:type="dxa"/>
              </w:tcPr>
              <w:p w14:paraId="642B9610" w14:textId="77777777" w:rsidR="003E00A8" w:rsidRPr="00330DA7" w:rsidRDefault="003E00A8" w:rsidP="0089491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A0A5CC3" w:rsidR="003E00A8" w:rsidRPr="005F19B1" w:rsidRDefault="008343C1" w:rsidP="00894917">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XXXXXXX </w:t>
                </w:r>
                <w:proofErr w:type="spellStart"/>
                <w:r>
                  <w:rPr>
                    <w:rFonts w:eastAsia="Calibri" w:cs="Tahoma"/>
                    <w:szCs w:val="22"/>
                    <w:lang w:eastAsia="en-US"/>
                  </w:rPr>
                  <w:t>XXXXXXX</w:t>
                </w:r>
                <w:proofErr w:type="spellEnd"/>
              </w:p>
            </w:tc>
            <w:tc>
              <w:tcPr>
                <w:tcW w:w="3402" w:type="dxa"/>
              </w:tcPr>
              <w:p w14:paraId="73F47F53" w14:textId="77777777" w:rsidR="003E00A8" w:rsidRPr="005F19B1" w:rsidRDefault="003E00A8" w:rsidP="00894917">
                <w:pPr>
                  <w:tabs>
                    <w:tab w:val="left" w:pos="3122"/>
                    <w:tab w:val="right" w:pos="8838"/>
                  </w:tabs>
                  <w:ind w:left="-105" w:right="-105"/>
                  <w:rPr>
                    <w:rFonts w:eastAsia="Calibri" w:cs="Tahoma"/>
                    <w:szCs w:val="22"/>
                    <w:lang w:eastAsia="en-US"/>
                  </w:rPr>
                </w:pPr>
              </w:p>
            </w:tc>
          </w:tr>
          <w:bookmarkEnd w:id="1"/>
          <w:tr w:rsidR="003E00A8" w:rsidRPr="00330DA7" w14:paraId="00E6CDC1" w14:textId="77777777" w:rsidTr="00894917">
            <w:trPr>
              <w:trHeight w:val="283"/>
            </w:trPr>
            <w:tc>
              <w:tcPr>
                <w:tcW w:w="2727" w:type="dxa"/>
              </w:tcPr>
              <w:p w14:paraId="0631AD24" w14:textId="77777777" w:rsidR="003E00A8" w:rsidRPr="00330DA7" w:rsidRDefault="003E00A8" w:rsidP="0089491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CF86E43" w:rsidR="003E00A8" w:rsidRPr="00952DD0" w:rsidRDefault="003E00A8" w:rsidP="00894917">
                <w:pPr>
                  <w:tabs>
                    <w:tab w:val="left" w:pos="2834"/>
                    <w:tab w:val="right" w:pos="8838"/>
                  </w:tabs>
                  <w:ind w:left="-108" w:right="-105"/>
                  <w:rPr>
                    <w:rFonts w:eastAsia="Calibri" w:cs="Tahoma"/>
                    <w:szCs w:val="22"/>
                    <w:lang w:eastAsia="en-US"/>
                  </w:rPr>
                </w:pPr>
                <w:r w:rsidRPr="00894917">
                  <w:rPr>
                    <w:rFonts w:eastAsia="Calibri" w:cs="Tahoma"/>
                    <w:szCs w:val="22"/>
                    <w:lang w:eastAsia="en-US"/>
                  </w:rPr>
                  <w:t>Ayuntamiento de Metepec</w:t>
                </w:r>
              </w:p>
            </w:tc>
            <w:tc>
              <w:tcPr>
                <w:tcW w:w="3402" w:type="dxa"/>
              </w:tcPr>
              <w:p w14:paraId="3A7DA319" w14:textId="77777777" w:rsidR="003E00A8" w:rsidRPr="00A90C72" w:rsidRDefault="003E00A8" w:rsidP="00894917">
                <w:pPr>
                  <w:tabs>
                    <w:tab w:val="left" w:pos="2834"/>
                    <w:tab w:val="right" w:pos="8838"/>
                  </w:tabs>
                  <w:ind w:left="-108" w:right="-105"/>
                  <w:rPr>
                    <w:rFonts w:eastAsia="Calibri" w:cs="Tahoma"/>
                    <w:szCs w:val="22"/>
                    <w:lang w:eastAsia="en-US"/>
                  </w:rPr>
                </w:pPr>
              </w:p>
            </w:tc>
          </w:tr>
          <w:tr w:rsidR="003E00A8" w:rsidRPr="00330DA7" w14:paraId="0F6CD8D2" w14:textId="77777777" w:rsidTr="00894917">
            <w:trPr>
              <w:trHeight w:val="283"/>
            </w:trPr>
            <w:tc>
              <w:tcPr>
                <w:tcW w:w="2727" w:type="dxa"/>
              </w:tcPr>
              <w:p w14:paraId="31700628" w14:textId="385332FF" w:rsidR="003E00A8" w:rsidRPr="00330DA7" w:rsidRDefault="003E00A8" w:rsidP="0089491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E00A8" w:rsidRPr="00EA66FC" w:rsidRDefault="003E00A8" w:rsidP="0089491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E00A8" w:rsidRPr="00330DA7" w:rsidRDefault="003E00A8" w:rsidP="00894917">
                <w:pPr>
                  <w:tabs>
                    <w:tab w:val="right" w:pos="8838"/>
                  </w:tabs>
                  <w:ind w:left="-108" w:right="-105"/>
                  <w:rPr>
                    <w:rFonts w:eastAsia="Calibri" w:cs="Tahoma"/>
                    <w:szCs w:val="22"/>
                    <w:lang w:eastAsia="en-US"/>
                  </w:rPr>
                </w:pPr>
              </w:p>
            </w:tc>
          </w:tr>
        </w:tbl>
        <w:p w14:paraId="5DC6AC61" w14:textId="77777777" w:rsidR="003E00A8" w:rsidRPr="00330DA7" w:rsidRDefault="003E00A8" w:rsidP="00894917">
          <w:pPr>
            <w:tabs>
              <w:tab w:val="right" w:pos="8838"/>
            </w:tabs>
            <w:ind w:left="-28"/>
            <w:rPr>
              <w:rFonts w:ascii="Arial" w:eastAsia="Calibri" w:hAnsi="Arial" w:cs="Arial"/>
              <w:b/>
              <w:szCs w:val="22"/>
              <w:lang w:eastAsia="en-US"/>
            </w:rPr>
          </w:pPr>
        </w:p>
      </w:tc>
    </w:tr>
  </w:tbl>
  <w:p w14:paraId="2A906731" w14:textId="77777777" w:rsidR="003E00A8" w:rsidRPr="00765661" w:rsidRDefault="005B69CB" w:rsidP="0089491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4"/>
  </w:num>
  <w:num w:numId="5">
    <w:abstractNumId w:val="1"/>
  </w:num>
  <w:num w:numId="6">
    <w:abstractNumId w:val="13"/>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66AC"/>
    <w:rsid w:val="00057B2D"/>
    <w:rsid w:val="000605CC"/>
    <w:rsid w:val="00080071"/>
    <w:rsid w:val="000A7287"/>
    <w:rsid w:val="000D0D67"/>
    <w:rsid w:val="000E09C4"/>
    <w:rsid w:val="0011350D"/>
    <w:rsid w:val="00141876"/>
    <w:rsid w:val="0014207B"/>
    <w:rsid w:val="00150C49"/>
    <w:rsid w:val="00163D12"/>
    <w:rsid w:val="001A58B3"/>
    <w:rsid w:val="001C55D7"/>
    <w:rsid w:val="001C7688"/>
    <w:rsid w:val="001D30FA"/>
    <w:rsid w:val="001D722D"/>
    <w:rsid w:val="001F3515"/>
    <w:rsid w:val="001F5C8C"/>
    <w:rsid w:val="00205079"/>
    <w:rsid w:val="00215B7E"/>
    <w:rsid w:val="00233005"/>
    <w:rsid w:val="00233F17"/>
    <w:rsid w:val="002A3601"/>
    <w:rsid w:val="002B7C6F"/>
    <w:rsid w:val="002D111C"/>
    <w:rsid w:val="002F4BBA"/>
    <w:rsid w:val="00302476"/>
    <w:rsid w:val="00331F35"/>
    <w:rsid w:val="00335CDF"/>
    <w:rsid w:val="00337F4D"/>
    <w:rsid w:val="00362A11"/>
    <w:rsid w:val="003A40C1"/>
    <w:rsid w:val="003B5D3E"/>
    <w:rsid w:val="003D13C6"/>
    <w:rsid w:val="003E00A8"/>
    <w:rsid w:val="003E4F98"/>
    <w:rsid w:val="003F35FD"/>
    <w:rsid w:val="003F6FBF"/>
    <w:rsid w:val="0041385B"/>
    <w:rsid w:val="00435B8D"/>
    <w:rsid w:val="00441BFA"/>
    <w:rsid w:val="00454FBD"/>
    <w:rsid w:val="00470E79"/>
    <w:rsid w:val="004D7CD8"/>
    <w:rsid w:val="004E5068"/>
    <w:rsid w:val="004F4A8A"/>
    <w:rsid w:val="004F7A00"/>
    <w:rsid w:val="00523F48"/>
    <w:rsid w:val="005365FA"/>
    <w:rsid w:val="005723CB"/>
    <w:rsid w:val="00575400"/>
    <w:rsid w:val="005B18AF"/>
    <w:rsid w:val="005B69CB"/>
    <w:rsid w:val="005D32EA"/>
    <w:rsid w:val="005D5A50"/>
    <w:rsid w:val="005F5301"/>
    <w:rsid w:val="005F65B7"/>
    <w:rsid w:val="006067C7"/>
    <w:rsid w:val="00606A65"/>
    <w:rsid w:val="006159AD"/>
    <w:rsid w:val="00622144"/>
    <w:rsid w:val="00646436"/>
    <w:rsid w:val="00664420"/>
    <w:rsid w:val="00685212"/>
    <w:rsid w:val="00687DEA"/>
    <w:rsid w:val="006A646A"/>
    <w:rsid w:val="006B10B0"/>
    <w:rsid w:val="006B1F8C"/>
    <w:rsid w:val="006D1B05"/>
    <w:rsid w:val="006E25BC"/>
    <w:rsid w:val="006E6BBC"/>
    <w:rsid w:val="006F7768"/>
    <w:rsid w:val="00717E59"/>
    <w:rsid w:val="00722E2A"/>
    <w:rsid w:val="00775BFC"/>
    <w:rsid w:val="007A3459"/>
    <w:rsid w:val="007B6074"/>
    <w:rsid w:val="007D1C55"/>
    <w:rsid w:val="007D29D7"/>
    <w:rsid w:val="007D317F"/>
    <w:rsid w:val="007E7C68"/>
    <w:rsid w:val="007F5D06"/>
    <w:rsid w:val="007F7EDC"/>
    <w:rsid w:val="00805A6E"/>
    <w:rsid w:val="008343C1"/>
    <w:rsid w:val="00865CF4"/>
    <w:rsid w:val="00867AD8"/>
    <w:rsid w:val="00876DBC"/>
    <w:rsid w:val="00894917"/>
    <w:rsid w:val="008A6003"/>
    <w:rsid w:val="008A6F88"/>
    <w:rsid w:val="008B1E16"/>
    <w:rsid w:val="008D18C3"/>
    <w:rsid w:val="008E1316"/>
    <w:rsid w:val="008E1CA9"/>
    <w:rsid w:val="00902EE5"/>
    <w:rsid w:val="00910FD2"/>
    <w:rsid w:val="00931437"/>
    <w:rsid w:val="00950777"/>
    <w:rsid w:val="00953430"/>
    <w:rsid w:val="00967F93"/>
    <w:rsid w:val="00970EB3"/>
    <w:rsid w:val="009718B6"/>
    <w:rsid w:val="00974018"/>
    <w:rsid w:val="009A0277"/>
    <w:rsid w:val="009A2D78"/>
    <w:rsid w:val="009A7C10"/>
    <w:rsid w:val="009B2945"/>
    <w:rsid w:val="009C1C75"/>
    <w:rsid w:val="009E2DEE"/>
    <w:rsid w:val="009F797C"/>
    <w:rsid w:val="00A131AC"/>
    <w:rsid w:val="00A16D85"/>
    <w:rsid w:val="00A21A20"/>
    <w:rsid w:val="00A36A99"/>
    <w:rsid w:val="00A53315"/>
    <w:rsid w:val="00A70EF0"/>
    <w:rsid w:val="00A9208D"/>
    <w:rsid w:val="00A93549"/>
    <w:rsid w:val="00AA6EA9"/>
    <w:rsid w:val="00AC2DB8"/>
    <w:rsid w:val="00AC3CA0"/>
    <w:rsid w:val="00AD2762"/>
    <w:rsid w:val="00AE3DA7"/>
    <w:rsid w:val="00AF03C4"/>
    <w:rsid w:val="00B15787"/>
    <w:rsid w:val="00B22A80"/>
    <w:rsid w:val="00B23089"/>
    <w:rsid w:val="00B64520"/>
    <w:rsid w:val="00B94487"/>
    <w:rsid w:val="00BA55A8"/>
    <w:rsid w:val="00BA7B9C"/>
    <w:rsid w:val="00BB2ABF"/>
    <w:rsid w:val="00BB64F4"/>
    <w:rsid w:val="00BD3F4F"/>
    <w:rsid w:val="00BD5A7C"/>
    <w:rsid w:val="00BE7A1B"/>
    <w:rsid w:val="00BF0221"/>
    <w:rsid w:val="00BF091A"/>
    <w:rsid w:val="00BF4EAD"/>
    <w:rsid w:val="00C049E2"/>
    <w:rsid w:val="00C33238"/>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32CFD"/>
    <w:rsid w:val="00D51ECD"/>
    <w:rsid w:val="00D6170E"/>
    <w:rsid w:val="00D91CB4"/>
    <w:rsid w:val="00DB1C09"/>
    <w:rsid w:val="00DC2048"/>
    <w:rsid w:val="00DE1133"/>
    <w:rsid w:val="00DF3CC0"/>
    <w:rsid w:val="00E16BF5"/>
    <w:rsid w:val="00E31767"/>
    <w:rsid w:val="00E37A3F"/>
    <w:rsid w:val="00E37D3C"/>
    <w:rsid w:val="00E40A98"/>
    <w:rsid w:val="00E62E6A"/>
    <w:rsid w:val="00E82F19"/>
    <w:rsid w:val="00E83EF5"/>
    <w:rsid w:val="00E86E5D"/>
    <w:rsid w:val="00E9335C"/>
    <w:rsid w:val="00E95EE7"/>
    <w:rsid w:val="00ED1C1E"/>
    <w:rsid w:val="00EE2AF2"/>
    <w:rsid w:val="00EE2B0A"/>
    <w:rsid w:val="00EF165E"/>
    <w:rsid w:val="00F07EE6"/>
    <w:rsid w:val="00F264C1"/>
    <w:rsid w:val="00F33CC8"/>
    <w:rsid w:val="00F4481C"/>
    <w:rsid w:val="00F75D23"/>
    <w:rsid w:val="00F90BBB"/>
    <w:rsid w:val="00FA5957"/>
    <w:rsid w:val="00FC3CE0"/>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D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95EE7"/>
    <w:pPr>
      <w:spacing w:line="240" w:lineRule="auto"/>
    </w:pPr>
    <w:rPr>
      <w:sz w:val="20"/>
    </w:rPr>
  </w:style>
  <w:style w:type="character" w:customStyle="1" w:styleId="TextonotapieCar">
    <w:name w:val="Texto nota pie Car"/>
    <w:basedOn w:val="Fuentedeprrafopredeter"/>
    <w:link w:val="Textonotapie"/>
    <w:uiPriority w:val="99"/>
    <w:semiHidden/>
    <w:rsid w:val="00E95EE7"/>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95EE7"/>
    <w:rPr>
      <w:vertAlign w:val="superscript"/>
    </w:rPr>
  </w:style>
  <w:style w:type="paragraph" w:customStyle="1" w:styleId="Default">
    <w:name w:val="Default"/>
    <w:rsid w:val="003E00A8"/>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3E00A8"/>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3E00A8"/>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818">
      <w:bodyDiv w:val="1"/>
      <w:marLeft w:val="0"/>
      <w:marRight w:val="0"/>
      <w:marTop w:val="0"/>
      <w:marBottom w:val="0"/>
      <w:divBdr>
        <w:top w:val="none" w:sz="0" w:space="0" w:color="auto"/>
        <w:left w:val="none" w:sz="0" w:space="0" w:color="auto"/>
        <w:bottom w:val="none" w:sz="0" w:space="0" w:color="auto"/>
        <w:right w:val="none" w:sz="0" w:space="0" w:color="auto"/>
      </w:divBdr>
    </w:div>
    <w:div w:id="238178090">
      <w:bodyDiv w:val="1"/>
      <w:marLeft w:val="0"/>
      <w:marRight w:val="0"/>
      <w:marTop w:val="0"/>
      <w:marBottom w:val="0"/>
      <w:divBdr>
        <w:top w:val="none" w:sz="0" w:space="0" w:color="auto"/>
        <w:left w:val="none" w:sz="0" w:space="0" w:color="auto"/>
        <w:bottom w:val="none" w:sz="0" w:space="0" w:color="auto"/>
        <w:right w:val="none" w:sz="0" w:space="0" w:color="auto"/>
      </w:divBdr>
    </w:div>
    <w:div w:id="596135887">
      <w:bodyDiv w:val="1"/>
      <w:marLeft w:val="0"/>
      <w:marRight w:val="0"/>
      <w:marTop w:val="0"/>
      <w:marBottom w:val="0"/>
      <w:divBdr>
        <w:top w:val="none" w:sz="0" w:space="0" w:color="auto"/>
        <w:left w:val="none" w:sz="0" w:space="0" w:color="auto"/>
        <w:bottom w:val="none" w:sz="0" w:space="0" w:color="auto"/>
        <w:right w:val="none" w:sz="0" w:space="0" w:color="auto"/>
      </w:divBdr>
    </w:div>
    <w:div w:id="625502428">
      <w:bodyDiv w:val="1"/>
      <w:marLeft w:val="0"/>
      <w:marRight w:val="0"/>
      <w:marTop w:val="0"/>
      <w:marBottom w:val="0"/>
      <w:divBdr>
        <w:top w:val="none" w:sz="0" w:space="0" w:color="auto"/>
        <w:left w:val="none" w:sz="0" w:space="0" w:color="auto"/>
        <w:bottom w:val="none" w:sz="0" w:space="0" w:color="auto"/>
        <w:right w:val="none" w:sz="0" w:space="0" w:color="auto"/>
      </w:divBdr>
    </w:div>
    <w:div w:id="733436352">
      <w:bodyDiv w:val="1"/>
      <w:marLeft w:val="0"/>
      <w:marRight w:val="0"/>
      <w:marTop w:val="0"/>
      <w:marBottom w:val="0"/>
      <w:divBdr>
        <w:top w:val="none" w:sz="0" w:space="0" w:color="auto"/>
        <w:left w:val="none" w:sz="0" w:space="0" w:color="auto"/>
        <w:bottom w:val="none" w:sz="0" w:space="0" w:color="auto"/>
        <w:right w:val="none" w:sz="0" w:space="0" w:color="auto"/>
      </w:divBdr>
    </w:div>
    <w:div w:id="782580717">
      <w:bodyDiv w:val="1"/>
      <w:marLeft w:val="0"/>
      <w:marRight w:val="0"/>
      <w:marTop w:val="0"/>
      <w:marBottom w:val="0"/>
      <w:divBdr>
        <w:top w:val="none" w:sz="0" w:space="0" w:color="auto"/>
        <w:left w:val="none" w:sz="0" w:space="0" w:color="auto"/>
        <w:bottom w:val="none" w:sz="0" w:space="0" w:color="auto"/>
        <w:right w:val="none" w:sz="0" w:space="0" w:color="auto"/>
      </w:divBdr>
    </w:div>
    <w:div w:id="1217469798">
      <w:bodyDiv w:val="1"/>
      <w:marLeft w:val="0"/>
      <w:marRight w:val="0"/>
      <w:marTop w:val="0"/>
      <w:marBottom w:val="0"/>
      <w:divBdr>
        <w:top w:val="none" w:sz="0" w:space="0" w:color="auto"/>
        <w:left w:val="none" w:sz="0" w:space="0" w:color="auto"/>
        <w:bottom w:val="none" w:sz="0" w:space="0" w:color="auto"/>
        <w:right w:val="none" w:sz="0" w:space="0" w:color="auto"/>
      </w:divBdr>
    </w:div>
    <w:div w:id="1638142762">
      <w:bodyDiv w:val="1"/>
      <w:marLeft w:val="0"/>
      <w:marRight w:val="0"/>
      <w:marTop w:val="0"/>
      <w:marBottom w:val="0"/>
      <w:divBdr>
        <w:top w:val="none" w:sz="0" w:space="0" w:color="auto"/>
        <w:left w:val="none" w:sz="0" w:space="0" w:color="auto"/>
        <w:bottom w:val="none" w:sz="0" w:space="0" w:color="auto"/>
        <w:right w:val="none" w:sz="0" w:space="0" w:color="auto"/>
      </w:divBdr>
    </w:div>
    <w:div w:id="1688945030">
      <w:bodyDiv w:val="1"/>
      <w:marLeft w:val="0"/>
      <w:marRight w:val="0"/>
      <w:marTop w:val="0"/>
      <w:marBottom w:val="0"/>
      <w:divBdr>
        <w:top w:val="none" w:sz="0" w:space="0" w:color="auto"/>
        <w:left w:val="none" w:sz="0" w:space="0" w:color="auto"/>
        <w:bottom w:val="none" w:sz="0" w:space="0" w:color="auto"/>
        <w:right w:val="none" w:sz="0" w:space="0" w:color="auto"/>
      </w:divBdr>
    </w:div>
    <w:div w:id="1719669374">
      <w:bodyDiv w:val="1"/>
      <w:marLeft w:val="0"/>
      <w:marRight w:val="0"/>
      <w:marTop w:val="0"/>
      <w:marBottom w:val="0"/>
      <w:divBdr>
        <w:top w:val="none" w:sz="0" w:space="0" w:color="auto"/>
        <w:left w:val="none" w:sz="0" w:space="0" w:color="auto"/>
        <w:bottom w:val="none" w:sz="0" w:space="0" w:color="auto"/>
        <w:right w:val="none" w:sz="0" w:space="0" w:color="auto"/>
      </w:divBdr>
    </w:div>
    <w:div w:id="19452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C9DA64B-DD81-4651-AEFE-A4404D0D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11054</Words>
  <Characters>60799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2025-05-16T19:58:00Z</cp:lastPrinted>
  <dcterms:created xsi:type="dcterms:W3CDTF">2025-04-30T18:49:00Z</dcterms:created>
  <dcterms:modified xsi:type="dcterms:W3CDTF">2025-06-03T18:16:00Z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