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98260" w14:textId="2BFCAD0D" w:rsidR="00E40613" w:rsidRPr="003C342B" w:rsidRDefault="00E40613" w:rsidP="003C342B">
      <w:pPr>
        <w:tabs>
          <w:tab w:val="left" w:pos="3465"/>
        </w:tabs>
        <w:spacing w:line="360" w:lineRule="auto"/>
        <w:ind w:firstLine="1"/>
        <w:jc w:val="both"/>
        <w:rPr>
          <w:rFonts w:ascii="Palatino Linotype" w:eastAsia="Palatino Linotype" w:hAnsi="Palatino Linotype" w:cs="Palatino Linotype"/>
          <w:color w:val="000000" w:themeColor="text1"/>
        </w:rPr>
      </w:pPr>
      <w:bookmarkStart w:id="0" w:name="_GoBack"/>
      <w:bookmarkEnd w:id="0"/>
      <w:r w:rsidRPr="003C342B">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w:t>
      </w:r>
      <w:r w:rsidR="002E5292">
        <w:rPr>
          <w:rFonts w:ascii="Palatino Linotype" w:eastAsia="Palatino Linotype" w:hAnsi="Palatino Linotype" w:cs="Palatino Linotype"/>
          <w:color w:val="000000" w:themeColor="text1"/>
        </w:rPr>
        <w:t xml:space="preserve"> fecha</w:t>
      </w:r>
      <w:r w:rsidRPr="003C342B">
        <w:rPr>
          <w:rFonts w:ascii="Palatino Linotype" w:eastAsia="Palatino Linotype" w:hAnsi="Palatino Linotype" w:cs="Palatino Linotype"/>
          <w:color w:val="000000" w:themeColor="text1"/>
        </w:rPr>
        <w:t xml:space="preserve"> </w:t>
      </w:r>
      <w:r w:rsidRPr="003C342B">
        <w:rPr>
          <w:rFonts w:ascii="Palatino Linotype" w:eastAsia="Palatino Linotype" w:hAnsi="Palatino Linotype" w:cs="Palatino Linotype"/>
          <w:b/>
          <w:color w:val="000000" w:themeColor="text1"/>
        </w:rPr>
        <w:t xml:space="preserve">veintidós </w:t>
      </w:r>
      <w:r w:rsidR="002E5292">
        <w:rPr>
          <w:rFonts w:ascii="Palatino Linotype" w:eastAsia="Palatino Linotype" w:hAnsi="Palatino Linotype" w:cs="Palatino Linotype"/>
          <w:b/>
          <w:color w:val="000000" w:themeColor="text1"/>
        </w:rPr>
        <w:t xml:space="preserve">(22) </w:t>
      </w:r>
      <w:r w:rsidRPr="003C342B">
        <w:rPr>
          <w:rFonts w:ascii="Palatino Linotype" w:eastAsia="Palatino Linotype" w:hAnsi="Palatino Linotype" w:cs="Palatino Linotype"/>
          <w:b/>
          <w:color w:val="000000" w:themeColor="text1"/>
        </w:rPr>
        <w:t>de octubre de dos mil veinticinco</w:t>
      </w:r>
      <w:r w:rsidRPr="003C342B">
        <w:rPr>
          <w:rFonts w:ascii="Palatino Linotype" w:eastAsia="Palatino Linotype" w:hAnsi="Palatino Linotype" w:cs="Palatino Linotype"/>
          <w:color w:val="000000" w:themeColor="text1"/>
        </w:rPr>
        <w:t>.</w:t>
      </w:r>
    </w:p>
    <w:p w14:paraId="169B8DCB" w14:textId="77777777" w:rsidR="00E40613" w:rsidRPr="003C342B" w:rsidRDefault="00E40613" w:rsidP="003C342B">
      <w:pPr>
        <w:tabs>
          <w:tab w:val="left" w:pos="3465"/>
        </w:tabs>
        <w:spacing w:line="360" w:lineRule="auto"/>
        <w:ind w:firstLine="1"/>
        <w:jc w:val="both"/>
        <w:rPr>
          <w:rFonts w:ascii="Palatino Linotype" w:eastAsia="Palatino Linotype" w:hAnsi="Palatino Linotype" w:cs="Palatino Linotype"/>
          <w:color w:val="000000" w:themeColor="text1"/>
        </w:rPr>
      </w:pPr>
    </w:p>
    <w:p w14:paraId="689B7451" w14:textId="461D7732"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b/>
          <w:color w:val="000000" w:themeColor="text1"/>
        </w:rPr>
        <w:t>VISTO</w:t>
      </w:r>
      <w:r w:rsidRPr="003C342B">
        <w:rPr>
          <w:rFonts w:ascii="Palatino Linotype" w:eastAsia="Palatino Linotype" w:hAnsi="Palatino Linotype" w:cs="Palatino Linotype"/>
          <w:color w:val="000000" w:themeColor="text1"/>
        </w:rPr>
        <w:t xml:space="preserve"> el expediente electrónico formado con motivo del recurso de revisión </w:t>
      </w:r>
      <w:r w:rsidR="00A668D3" w:rsidRPr="003C342B">
        <w:rPr>
          <w:rFonts w:ascii="Palatino Linotype" w:eastAsia="Palatino Linotype" w:hAnsi="Palatino Linotype" w:cs="Palatino Linotype"/>
          <w:b/>
          <w:color w:val="000000" w:themeColor="text1"/>
        </w:rPr>
        <w:t>05553/INFOEM/IP/RR/2025</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promovido por</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bCs/>
          <w:color w:val="000000" w:themeColor="text1"/>
        </w:rPr>
        <w:t>una persona que no proporciona</w:t>
      </w:r>
      <w:r w:rsidR="003C342B">
        <w:rPr>
          <w:rFonts w:ascii="Palatino Linotype" w:eastAsia="Palatino Linotype" w:hAnsi="Palatino Linotype" w:cs="Palatino Linotype"/>
          <w:b/>
          <w:bCs/>
          <w:color w:val="000000" w:themeColor="text1"/>
        </w:rPr>
        <w:t xml:space="preserve"> </w:t>
      </w:r>
      <w:r w:rsidRPr="003C342B">
        <w:rPr>
          <w:rFonts w:ascii="Palatino Linotype" w:eastAsia="Palatino Linotype" w:hAnsi="Palatino Linotype" w:cs="Palatino Linotype"/>
          <w:b/>
          <w:bCs/>
          <w:color w:val="000000" w:themeColor="text1"/>
        </w:rPr>
        <w:t xml:space="preserve"> datos de identificación</w:t>
      </w:r>
      <w:r w:rsidRPr="003C342B">
        <w:rPr>
          <w:rFonts w:ascii="Palatino Linotype" w:eastAsia="Palatino Linotype" w:hAnsi="Palatino Linotype" w:cs="Palatino Linotype"/>
          <w:color w:val="000000" w:themeColor="text1"/>
        </w:rPr>
        <w:t xml:space="preserve">, a quien en lo sucesivo se le identificará como </w:t>
      </w:r>
      <w:r w:rsidRPr="003C342B">
        <w:rPr>
          <w:rFonts w:ascii="Palatino Linotype" w:eastAsia="Palatino Linotype" w:hAnsi="Palatino Linotype" w:cs="Palatino Linotype"/>
          <w:b/>
          <w:color w:val="000000" w:themeColor="text1"/>
        </w:rPr>
        <w:t>EL  RECURRENTE</w:t>
      </w:r>
      <w:r w:rsidRPr="003C342B">
        <w:rPr>
          <w:rFonts w:ascii="Palatino Linotype" w:eastAsia="Palatino Linotype" w:hAnsi="Palatino Linotype" w:cs="Palatino Linotype"/>
          <w:color w:val="000000" w:themeColor="text1"/>
        </w:rPr>
        <w:t xml:space="preserve">, en contra de la respuesta </w:t>
      </w:r>
      <w:r w:rsidRPr="003C342B">
        <w:rPr>
          <w:rFonts w:ascii="Palatino Linotype" w:eastAsia="Palatino Linotype" w:hAnsi="Palatino Linotype" w:cs="Palatino Linotype"/>
          <w:b/>
          <w:color w:val="000000" w:themeColor="text1"/>
        </w:rPr>
        <w:t xml:space="preserve">del </w:t>
      </w:r>
      <w:r w:rsidR="00A668D3" w:rsidRPr="003C342B">
        <w:rPr>
          <w:rFonts w:ascii="Palatino Linotype" w:eastAsia="Palatino Linotype" w:hAnsi="Palatino Linotype" w:cs="Palatino Linotype"/>
          <w:b/>
          <w:color w:val="000000" w:themeColor="text1"/>
        </w:rPr>
        <w:t>Sistema Municipal Para el Desarrollo Integral de la Familia de Huehuetoca</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 xml:space="preserve">en </w:t>
      </w:r>
      <w:r w:rsidR="002E5292">
        <w:rPr>
          <w:rFonts w:ascii="Palatino Linotype" w:eastAsia="Palatino Linotype" w:hAnsi="Palatino Linotype" w:cs="Palatino Linotype"/>
          <w:color w:val="000000" w:themeColor="text1"/>
        </w:rPr>
        <w:t>adelante</w:t>
      </w:r>
      <w:r w:rsidRPr="003C342B">
        <w:rPr>
          <w:rFonts w:ascii="Palatino Linotype" w:eastAsia="Palatino Linotype" w:hAnsi="Palatino Linotype" w:cs="Palatino Linotype"/>
          <w:color w:val="000000" w:themeColor="text1"/>
        </w:rPr>
        <w:t xml:space="preserve"> el</w:t>
      </w:r>
      <w:r w:rsidRPr="003C342B">
        <w:rPr>
          <w:rFonts w:ascii="Palatino Linotype" w:eastAsia="Palatino Linotype" w:hAnsi="Palatino Linotype" w:cs="Palatino Linotype"/>
          <w:b/>
          <w:color w:val="000000" w:themeColor="text1"/>
        </w:rPr>
        <w:t xml:space="preserve"> SUJETO OBLIGADO</w:t>
      </w:r>
      <w:r w:rsidRPr="003C342B">
        <w:rPr>
          <w:rFonts w:ascii="Palatino Linotype" w:eastAsia="Palatino Linotype" w:hAnsi="Palatino Linotype" w:cs="Palatino Linotype"/>
          <w:color w:val="000000" w:themeColor="text1"/>
        </w:rPr>
        <w:t>, se procede a dictar la presente resolución, con base en los siguientes:</w:t>
      </w:r>
    </w:p>
    <w:p w14:paraId="2ECA43E2" w14:textId="77777777" w:rsidR="00E40613" w:rsidRPr="003C342B" w:rsidRDefault="00E40613" w:rsidP="003C342B">
      <w:pPr>
        <w:spacing w:line="360" w:lineRule="auto"/>
        <w:ind w:firstLine="1"/>
        <w:jc w:val="both"/>
        <w:rPr>
          <w:rFonts w:ascii="Palatino Linotype" w:eastAsia="Palatino Linotype" w:hAnsi="Palatino Linotype" w:cs="Palatino Linotype"/>
          <w:b/>
          <w:color w:val="000000" w:themeColor="text1"/>
        </w:rPr>
      </w:pPr>
    </w:p>
    <w:p w14:paraId="209B03A1" w14:textId="44773062" w:rsidR="00E40613" w:rsidRDefault="00E40613" w:rsidP="003C342B">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3C342B">
        <w:rPr>
          <w:rFonts w:ascii="Palatino Linotype" w:eastAsia="Palatino Linotype" w:hAnsi="Palatino Linotype" w:cs="Palatino Linotype"/>
          <w:b/>
          <w:color w:val="000000" w:themeColor="text1"/>
          <w:sz w:val="24"/>
          <w:szCs w:val="24"/>
        </w:rPr>
        <w:t>A</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N</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T</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E</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C</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E</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D</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E</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N</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T</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E</w:t>
      </w:r>
      <w:r w:rsidR="002E5292">
        <w:rPr>
          <w:rFonts w:ascii="Palatino Linotype" w:eastAsia="Palatino Linotype" w:hAnsi="Palatino Linotype" w:cs="Palatino Linotype"/>
          <w:b/>
          <w:color w:val="000000" w:themeColor="text1"/>
          <w:sz w:val="24"/>
          <w:szCs w:val="24"/>
        </w:rPr>
        <w:t xml:space="preserve"> </w:t>
      </w:r>
      <w:r w:rsidRPr="003C342B">
        <w:rPr>
          <w:rFonts w:ascii="Palatino Linotype" w:eastAsia="Palatino Linotype" w:hAnsi="Palatino Linotype" w:cs="Palatino Linotype"/>
          <w:b/>
          <w:color w:val="000000" w:themeColor="text1"/>
          <w:sz w:val="24"/>
          <w:szCs w:val="24"/>
        </w:rPr>
        <w:t>S</w:t>
      </w:r>
    </w:p>
    <w:p w14:paraId="2B87E7C2" w14:textId="77777777" w:rsidR="002E5292" w:rsidRPr="002E5292" w:rsidRDefault="002E5292" w:rsidP="002E5292"/>
    <w:p w14:paraId="75E6F8BF" w14:textId="77777777" w:rsidR="00E40613" w:rsidRPr="008730D2" w:rsidRDefault="00E40613" w:rsidP="003C342B">
      <w:pPr>
        <w:numPr>
          <w:ilvl w:val="0"/>
          <w:numId w:val="2"/>
        </w:numPr>
        <w:tabs>
          <w:tab w:val="left" w:pos="0"/>
        </w:tabs>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El día</w:t>
      </w:r>
      <w:r w:rsidRPr="003C342B">
        <w:rPr>
          <w:rFonts w:ascii="Palatino Linotype" w:eastAsia="Palatino Linotype" w:hAnsi="Palatino Linotype" w:cs="Palatino Linotype"/>
          <w:b/>
          <w:color w:val="000000" w:themeColor="text1"/>
        </w:rPr>
        <w:t xml:space="preserve"> </w:t>
      </w:r>
      <w:r w:rsidR="00A668D3" w:rsidRPr="003C342B">
        <w:rPr>
          <w:rFonts w:ascii="Palatino Linotype" w:eastAsia="Palatino Linotype" w:hAnsi="Palatino Linotype" w:cs="Palatino Linotype"/>
          <w:b/>
          <w:color w:val="000000" w:themeColor="text1"/>
        </w:rPr>
        <w:t>trece de mayo de dos mil veinticinco</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 xml:space="preserve">se presentó ante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3C342B">
        <w:rPr>
          <w:rFonts w:ascii="Palatino Linotype" w:eastAsia="Palatino Linotype" w:hAnsi="Palatino Linotype" w:cs="Palatino Linotype"/>
          <w:b/>
          <w:color w:val="000000" w:themeColor="text1"/>
        </w:rPr>
        <w:t xml:space="preserve"> </w:t>
      </w:r>
      <w:r w:rsidR="00A668D3" w:rsidRPr="003C342B">
        <w:rPr>
          <w:rFonts w:ascii="Palatino Linotype" w:eastAsia="Palatino Linotype" w:hAnsi="Palatino Linotype" w:cs="Palatino Linotype"/>
          <w:b/>
          <w:color w:val="000000" w:themeColor="text1"/>
        </w:rPr>
        <w:t>00107/DIFHUEHUET/IP/2025</w:t>
      </w:r>
      <w:r w:rsidRPr="008730D2">
        <w:rPr>
          <w:rFonts w:ascii="Palatino Linotype" w:eastAsia="Palatino Linotype" w:hAnsi="Palatino Linotype" w:cs="Palatino Linotype"/>
          <w:color w:val="000000" w:themeColor="text1"/>
        </w:rPr>
        <w:t xml:space="preserve">; la solicitud consistió en obtener la siguiente información. </w:t>
      </w:r>
    </w:p>
    <w:p w14:paraId="38E1BF9B"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7807FD7" w14:textId="77777777" w:rsidR="00E40613" w:rsidRPr="003C342B" w:rsidRDefault="0072445D" w:rsidP="003C342B">
      <w:pPr>
        <w:spacing w:line="360" w:lineRule="auto"/>
        <w:ind w:firstLine="1"/>
        <w:jc w:val="both"/>
        <w:rPr>
          <w:rFonts w:ascii="Palatino Linotype" w:eastAsia="Palatino Linotype" w:hAnsi="Palatino Linotype" w:cs="Palatino Linotype"/>
          <w:color w:val="000000" w:themeColor="text1"/>
        </w:rPr>
      </w:pPr>
      <w:bookmarkStart w:id="1" w:name="_heading=h.gjdgxs" w:colFirst="0" w:colLast="0"/>
      <w:bookmarkEnd w:id="1"/>
      <w:r w:rsidRPr="003C342B">
        <w:rPr>
          <w:rFonts w:ascii="Palatino Linotype" w:eastAsia="Palatino Linotype" w:hAnsi="Palatino Linotype" w:cs="Palatino Linotype"/>
          <w:i/>
          <w:color w:val="000000" w:themeColor="text1"/>
        </w:rPr>
        <w:t xml:space="preserve">“Copia de los siguientes documentos de operación de la clínica Madre, Teresa de Calcuta adscrita al DIF municipal de Huehuetoca, documentos requeridos por la Comisión Federal para la Protección contra Riesgos Sanitarios (COFEPRIS): *Licencia sanitaria de construcción *Licencia sanitaria para establecimientos médicos que practican actos quirúrgicos *Aviso de funcionamiento *Aviso de responsable sanitario *Licencia sanitaria de servicio de transfusión *Autorización para uso de medicamentos controlados Asimismo, documentos de solicitud de cada uno de estos ante la autoridad </w:t>
      </w:r>
      <w:r w:rsidRPr="003C342B">
        <w:rPr>
          <w:rFonts w:ascii="Palatino Linotype" w:eastAsia="Palatino Linotype" w:hAnsi="Palatino Linotype" w:cs="Palatino Linotype"/>
          <w:i/>
          <w:color w:val="000000" w:themeColor="text1"/>
        </w:rPr>
        <w:lastRenderedPageBreak/>
        <w:t>federal. "ESTOS DOCUMENTOS CORRESPONDIENTES A LA ADMINISTRACION 2022-2024.”</w:t>
      </w:r>
    </w:p>
    <w:p w14:paraId="27B52F7A"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6CEB2306" w14:textId="77777777" w:rsidR="00E40613" w:rsidRPr="003C342B" w:rsidRDefault="00E40613" w:rsidP="003C342B">
      <w:pPr>
        <w:numPr>
          <w:ilvl w:val="0"/>
          <w:numId w:val="4"/>
        </w:numPr>
        <w:spacing w:line="360" w:lineRule="auto"/>
        <w:ind w:left="0" w:firstLine="1"/>
        <w:jc w:val="both"/>
        <w:rPr>
          <w:rFonts w:ascii="Palatino Linotype" w:eastAsia="Palatino Linotype" w:hAnsi="Palatino Linotype" w:cs="Palatino Linotype"/>
          <w:b/>
          <w:color w:val="000000" w:themeColor="text1"/>
        </w:rPr>
      </w:pPr>
      <w:r w:rsidRPr="003C342B">
        <w:rPr>
          <w:rFonts w:ascii="Palatino Linotype" w:eastAsia="Palatino Linotype" w:hAnsi="Palatino Linotype" w:cs="Palatino Linotype"/>
          <w:color w:val="000000" w:themeColor="text1"/>
        </w:rPr>
        <w:t xml:space="preserve">Se eligió como modalidad de entrega de la información: </w:t>
      </w:r>
      <w:r w:rsidRPr="003C342B">
        <w:rPr>
          <w:rFonts w:ascii="Palatino Linotype" w:eastAsia="Palatino Linotype" w:hAnsi="Palatino Linotype" w:cs="Palatino Linotype"/>
          <w:b/>
          <w:color w:val="000000" w:themeColor="text1"/>
        </w:rPr>
        <w:t xml:space="preserve">el Sistema de Acceso a la Información. </w:t>
      </w:r>
    </w:p>
    <w:p w14:paraId="13AB96DE" w14:textId="77777777" w:rsidR="00E40613" w:rsidRPr="003C342B" w:rsidRDefault="00E40613" w:rsidP="003C342B">
      <w:pPr>
        <w:tabs>
          <w:tab w:val="left" w:pos="0"/>
        </w:tabs>
        <w:spacing w:line="360" w:lineRule="auto"/>
        <w:ind w:firstLine="1"/>
        <w:jc w:val="both"/>
        <w:rPr>
          <w:rFonts w:ascii="Palatino Linotype" w:eastAsia="Palatino Linotype" w:hAnsi="Palatino Linotype" w:cs="Palatino Linotype"/>
          <w:b/>
          <w:i/>
          <w:color w:val="000000" w:themeColor="text1"/>
        </w:rPr>
      </w:pPr>
    </w:p>
    <w:p w14:paraId="38C77587" w14:textId="77777777" w:rsidR="00E40613" w:rsidRPr="003C342B" w:rsidRDefault="00E40613" w:rsidP="003C342B">
      <w:pPr>
        <w:numPr>
          <w:ilvl w:val="0"/>
          <w:numId w:val="2"/>
        </w:numPr>
        <w:tabs>
          <w:tab w:val="left" w:pos="0"/>
        </w:tabs>
        <w:spacing w:line="360" w:lineRule="auto"/>
        <w:ind w:left="0" w:firstLine="1"/>
        <w:jc w:val="both"/>
        <w:rPr>
          <w:rFonts w:ascii="Palatino Linotype" w:hAnsi="Palatino Linotype"/>
          <w:i/>
          <w:color w:val="000000" w:themeColor="text1"/>
        </w:rPr>
      </w:pPr>
      <w:r w:rsidRPr="003C342B">
        <w:rPr>
          <w:rFonts w:ascii="Palatino Linotype" w:eastAsia="Palatino Linotype" w:hAnsi="Palatino Linotype" w:cs="Palatino Linotype"/>
          <w:color w:val="000000" w:themeColor="text1"/>
        </w:rPr>
        <w:t>El</w:t>
      </w:r>
      <w:r w:rsidRPr="003C342B">
        <w:rPr>
          <w:rFonts w:ascii="Palatino Linotype" w:eastAsia="Palatino Linotype" w:hAnsi="Palatino Linotype" w:cs="Palatino Linotype"/>
          <w:b/>
          <w:color w:val="000000" w:themeColor="text1"/>
        </w:rPr>
        <w:t xml:space="preserve"> </w:t>
      </w:r>
      <w:r w:rsidR="0072445D" w:rsidRPr="003C342B">
        <w:rPr>
          <w:rFonts w:ascii="Palatino Linotype" w:eastAsia="Palatino Linotype" w:hAnsi="Palatino Linotype" w:cs="Palatino Linotype"/>
          <w:b/>
          <w:color w:val="000000" w:themeColor="text1"/>
        </w:rPr>
        <w:t>catorce de mayo de dos mil veinticinco</w:t>
      </w:r>
      <w:r w:rsidRPr="003C342B">
        <w:rPr>
          <w:rFonts w:ascii="Palatino Linotype" w:eastAsia="Palatino Linotype" w:hAnsi="Palatino Linotype" w:cs="Palatino Linotype"/>
          <w:color w:val="000000" w:themeColor="text1"/>
        </w:rPr>
        <w:t xml:space="preserve">, 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 xml:space="preserve">entrego un archivo electrónico en formato pdf, </w:t>
      </w:r>
      <w:r w:rsidR="0072445D" w:rsidRPr="003C342B">
        <w:rPr>
          <w:rFonts w:ascii="Palatino Linotype" w:eastAsia="Palatino Linotype" w:hAnsi="Palatino Linotype" w:cs="Palatino Linotype"/>
          <w:color w:val="000000" w:themeColor="text1"/>
        </w:rPr>
        <w:t>en el cual declara la incompetencia de tener la información solicitada, toda vez que informa que la Clínica Madre Teresa de Calcuta no se encuentra adscrita al Sistema para el Desarrollo Integral de la Familia de Huehuetoca, sino a la Dirección de Salud del H. Ayuntamiento de Huehuetoca, México.</w:t>
      </w:r>
    </w:p>
    <w:p w14:paraId="56F47C55" w14:textId="77777777" w:rsidR="0072445D" w:rsidRPr="003C342B" w:rsidRDefault="0072445D" w:rsidP="003C342B">
      <w:pPr>
        <w:tabs>
          <w:tab w:val="left" w:pos="0"/>
        </w:tabs>
        <w:spacing w:line="360" w:lineRule="auto"/>
        <w:ind w:firstLine="1"/>
        <w:jc w:val="both"/>
        <w:rPr>
          <w:rFonts w:ascii="Palatino Linotype" w:hAnsi="Palatino Linotype"/>
          <w:i/>
          <w:color w:val="000000" w:themeColor="text1"/>
        </w:rPr>
      </w:pPr>
    </w:p>
    <w:p w14:paraId="7C529CDF" w14:textId="77777777" w:rsidR="00E40613" w:rsidRPr="003C342B" w:rsidRDefault="00E40613" w:rsidP="003C342B">
      <w:pPr>
        <w:numPr>
          <w:ilvl w:val="0"/>
          <w:numId w:val="2"/>
        </w:numPr>
        <w:tabs>
          <w:tab w:val="left" w:pos="0"/>
        </w:tabs>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El </w:t>
      </w:r>
      <w:r w:rsidR="00723E53" w:rsidRPr="003C342B">
        <w:rPr>
          <w:rFonts w:ascii="Palatino Linotype" w:eastAsia="Palatino Linotype" w:hAnsi="Palatino Linotype" w:cs="Palatino Linotype"/>
          <w:b/>
          <w:color w:val="000000" w:themeColor="text1"/>
        </w:rPr>
        <w:t>quince de mayo</w:t>
      </w:r>
      <w:r w:rsidR="00D87343"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 xml:space="preserve">de dos mil veinticinco, </w:t>
      </w:r>
      <w:r w:rsidRPr="003C342B">
        <w:rPr>
          <w:rFonts w:ascii="Palatino Linotype" w:eastAsia="Palatino Linotype" w:hAnsi="Palatino Linotype" w:cs="Palatino Linotype"/>
          <w:color w:val="000000" w:themeColor="text1"/>
        </w:rPr>
        <w:t>el</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 xml:space="preserve">entonces </w:t>
      </w:r>
      <w:r w:rsidRPr="003C342B">
        <w:rPr>
          <w:rFonts w:ascii="Palatino Linotype" w:eastAsia="Palatino Linotype" w:hAnsi="Palatino Linotype" w:cs="Palatino Linotype"/>
          <w:b/>
          <w:color w:val="000000" w:themeColor="text1"/>
        </w:rPr>
        <w:t xml:space="preserve">SOLICITANTE </w:t>
      </w:r>
      <w:r w:rsidRPr="003C342B">
        <w:rPr>
          <w:rFonts w:ascii="Palatino Linotype" w:eastAsia="Palatino Linotype" w:hAnsi="Palatino Linotype" w:cs="Palatino Linotype"/>
          <w:color w:val="000000" w:themeColor="text1"/>
        </w:rPr>
        <w:t xml:space="preserve">interpuso el recurso de revisión en contra de la respuesta del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manifestando las siguientes razones o motivos de inconformidad:</w:t>
      </w:r>
    </w:p>
    <w:p w14:paraId="0859089B" w14:textId="77777777" w:rsidR="00E40613" w:rsidRPr="003C342B" w:rsidRDefault="00E40613" w:rsidP="003C342B">
      <w:pPr>
        <w:tabs>
          <w:tab w:val="left" w:pos="0"/>
          <w:tab w:val="left" w:pos="5775"/>
        </w:tabs>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ab/>
      </w:r>
    </w:p>
    <w:p w14:paraId="5AABE3DF" w14:textId="77777777" w:rsidR="00E40613" w:rsidRPr="003C342B" w:rsidRDefault="00E40613" w:rsidP="003C342B">
      <w:pPr>
        <w:numPr>
          <w:ilvl w:val="0"/>
          <w:numId w:val="4"/>
        </w:numPr>
        <w:spacing w:line="360" w:lineRule="auto"/>
        <w:ind w:left="0" w:firstLine="1"/>
        <w:jc w:val="both"/>
        <w:rPr>
          <w:rFonts w:ascii="Palatino Linotype" w:eastAsia="Palatino Linotype" w:hAnsi="Palatino Linotype" w:cs="Palatino Linotype"/>
          <w:i/>
          <w:color w:val="000000" w:themeColor="text1"/>
        </w:rPr>
      </w:pPr>
      <w:bookmarkStart w:id="2" w:name="_heading=h.1fob9te" w:colFirst="0" w:colLast="0"/>
      <w:bookmarkEnd w:id="2"/>
      <w:r w:rsidRPr="003C342B">
        <w:rPr>
          <w:rFonts w:ascii="Palatino Linotype" w:eastAsia="Palatino Linotype" w:hAnsi="Palatino Linotype" w:cs="Palatino Linotype"/>
          <w:b/>
          <w:i/>
          <w:color w:val="000000" w:themeColor="text1"/>
        </w:rPr>
        <w:t xml:space="preserve">Acto impugnado: </w:t>
      </w:r>
      <w:r w:rsidRPr="003C342B">
        <w:rPr>
          <w:rFonts w:ascii="Palatino Linotype" w:eastAsia="Palatino Linotype" w:hAnsi="Palatino Linotype" w:cs="Palatino Linotype"/>
          <w:i/>
          <w:color w:val="000000" w:themeColor="text1"/>
        </w:rPr>
        <w:t>“</w:t>
      </w:r>
      <w:r w:rsidR="00D87343" w:rsidRPr="003C342B">
        <w:rPr>
          <w:rFonts w:ascii="Palatino Linotype" w:eastAsia="Palatino Linotype" w:hAnsi="Palatino Linotype" w:cs="Palatino Linotype"/>
          <w:i/>
          <w:color w:val="000000" w:themeColor="text1"/>
        </w:rPr>
        <w:t xml:space="preserve">La documentación que se requirió en la solicitud de información no fue proporcionada, ya que argumentan lo siguiente: Respuesta: Con fundamento en el Artículo 167 de la Ley de Transparencia y Acceso a la Información Pública del Estado de México y Municipios, le informamos que nuestra institución no es competente para atender su solicitud, toda vez que la Clínica Madre Teresa de Calcuta no se encuentra adscrita al Sistema para el Desarrollo Integral de la Familia de Huehuetoca, sino a la Dirección de Salud del H. Ayuntamiento de Huehuetoca, México. Por lo anterior, le recomendamos dirigir su solicitud directamente a la mencionada Dirección de Salud, donde podrán brindarle una respuesta precisa y oportuna sobre su inquietud o bien puede </w:t>
      </w:r>
      <w:r w:rsidR="00D87343" w:rsidRPr="003C342B">
        <w:rPr>
          <w:rFonts w:ascii="Palatino Linotype" w:eastAsia="Palatino Linotype" w:hAnsi="Palatino Linotype" w:cs="Palatino Linotype"/>
          <w:i/>
          <w:color w:val="000000" w:themeColor="text1"/>
        </w:rPr>
        <w:lastRenderedPageBreak/>
        <w:t>realizarla mediante el sistema SAIMEX a la unidad de transparencia del H. Ayuntamiento de Huehuetoca. Esto no puede ser posible ya que estoy requiriendo la documentación correspondiente a la administración 2022- 2024,donde la mencionada clínica pertenecía al DIF municipal, por lo tanto dicha información deben de estar en los archivos del DIF municipal, ya que según la ley los deben de resguardar por lo menos 5 años, por lo tanto solicito la documentación requerida en la solicitud de información.</w:t>
      </w:r>
      <w:r w:rsidRPr="003C342B">
        <w:rPr>
          <w:rFonts w:ascii="Palatino Linotype" w:eastAsia="Palatino Linotype" w:hAnsi="Palatino Linotype" w:cs="Palatino Linotype"/>
          <w:i/>
          <w:color w:val="000000" w:themeColor="text1"/>
        </w:rPr>
        <w:t>..”</w:t>
      </w:r>
    </w:p>
    <w:p w14:paraId="4D419022" w14:textId="77777777" w:rsidR="00E40613" w:rsidRPr="003C342B" w:rsidRDefault="00E40613" w:rsidP="003C342B">
      <w:pPr>
        <w:tabs>
          <w:tab w:val="left" w:pos="7020"/>
        </w:tabs>
        <w:spacing w:line="360" w:lineRule="auto"/>
        <w:ind w:firstLine="1"/>
        <w:jc w:val="both"/>
        <w:rPr>
          <w:rFonts w:ascii="Palatino Linotype" w:eastAsia="Palatino Linotype" w:hAnsi="Palatino Linotype" w:cs="Palatino Linotype"/>
          <w:i/>
          <w:color w:val="000000" w:themeColor="text1"/>
        </w:rPr>
      </w:pPr>
    </w:p>
    <w:p w14:paraId="674356A5" w14:textId="77777777" w:rsidR="00E40613" w:rsidRPr="003C342B" w:rsidRDefault="00E40613" w:rsidP="003C342B">
      <w:pPr>
        <w:numPr>
          <w:ilvl w:val="0"/>
          <w:numId w:val="4"/>
        </w:numPr>
        <w:spacing w:line="360" w:lineRule="auto"/>
        <w:ind w:left="0" w:firstLine="1"/>
        <w:jc w:val="both"/>
        <w:rPr>
          <w:rFonts w:ascii="Palatino Linotype" w:eastAsia="Palatino Linotype" w:hAnsi="Palatino Linotype" w:cs="Palatino Linotype"/>
          <w:i/>
          <w:color w:val="000000" w:themeColor="text1"/>
        </w:rPr>
      </w:pPr>
      <w:bookmarkStart w:id="3" w:name="_heading=h.3znysh7" w:colFirst="0" w:colLast="0"/>
      <w:bookmarkEnd w:id="3"/>
      <w:r w:rsidRPr="003C342B">
        <w:rPr>
          <w:rFonts w:ascii="Palatino Linotype" w:eastAsia="Palatino Linotype" w:hAnsi="Palatino Linotype" w:cs="Palatino Linotype"/>
          <w:b/>
          <w:i/>
          <w:color w:val="000000" w:themeColor="text1"/>
        </w:rPr>
        <w:t xml:space="preserve">Razones o Motivos de inconformidad: </w:t>
      </w:r>
      <w:r w:rsidRPr="003C342B">
        <w:rPr>
          <w:rFonts w:ascii="Palatino Linotype" w:eastAsia="Palatino Linotype" w:hAnsi="Palatino Linotype" w:cs="Palatino Linotype"/>
          <w:i/>
          <w:color w:val="000000" w:themeColor="text1"/>
        </w:rPr>
        <w:t>“</w:t>
      </w:r>
      <w:r w:rsidR="00D87343" w:rsidRPr="003C342B">
        <w:rPr>
          <w:rFonts w:ascii="Palatino Linotype" w:eastAsia="Palatino Linotype" w:hAnsi="Palatino Linotype" w:cs="Palatino Linotype"/>
          <w:i/>
          <w:color w:val="000000" w:themeColor="text1"/>
        </w:rPr>
        <w:t>La documentación que se requirió en la solicitud de información no fue proporcionada, ya que argumentan lo siguiente: Respuesta: Con fundamento en el Artículo 167 de la Ley de Transparencia y Acceso a la Información Pública del Estado de México y Municipios, le informamos que nuestra institución no es competente para atender su solicitud, toda vez que la Clínica Madre Teresa de Calcuta no se encuentra adscrita al Sistema para el Desarrollo Integral de la Familia de Huehuetoca, sino a la Dirección de Salud del H. Ayuntamiento de Huehuetoca, México. Por lo anterior, le recomendamos dirigir su solicitud directamente a la mencionada Dirección de Salud, donde podrán brindarle una respuesta precisa y oportuna sobre su inquietud o bien puede realizarla mediante el sistema SAIMEX a la unidad de transparencia del H. Ayuntamiento de Huehuetoca. Esto no puede ser posible ya que estoy requiriendo la documentación correspondi</w:t>
      </w:r>
      <w:r w:rsidR="000A29A7" w:rsidRPr="003C342B">
        <w:rPr>
          <w:rFonts w:ascii="Palatino Linotype" w:eastAsia="Palatino Linotype" w:hAnsi="Palatino Linotype" w:cs="Palatino Linotype"/>
          <w:i/>
          <w:color w:val="000000" w:themeColor="text1"/>
        </w:rPr>
        <w:t xml:space="preserve">  </w:t>
      </w:r>
      <w:r w:rsidR="00D87343" w:rsidRPr="003C342B">
        <w:rPr>
          <w:rFonts w:ascii="Palatino Linotype" w:eastAsia="Palatino Linotype" w:hAnsi="Palatino Linotype" w:cs="Palatino Linotype"/>
          <w:i/>
          <w:color w:val="000000" w:themeColor="text1"/>
        </w:rPr>
        <w:t>ente a la administración 2022- 2024,donde la mencionada clínica pertenecía al DIF municipal, por lo tanto dicha información deben de estar en los archivos del DIF municipal, ya que según la ley los deben de resguardar por lo menos 5 años, por lo tanto solicito la documentación requerida en la solicitud de información</w:t>
      </w:r>
      <w:r w:rsidRPr="003C342B">
        <w:rPr>
          <w:rFonts w:ascii="Palatino Linotype" w:eastAsia="Palatino Linotype" w:hAnsi="Palatino Linotype" w:cs="Palatino Linotype"/>
          <w:i/>
          <w:color w:val="000000" w:themeColor="text1"/>
        </w:rPr>
        <w:t>.”</w:t>
      </w:r>
    </w:p>
    <w:p w14:paraId="1D5FE02B"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p w14:paraId="02279E80" w14:textId="77777777" w:rsidR="00E40613" w:rsidRPr="003C342B" w:rsidRDefault="00E40613" w:rsidP="003C342B">
      <w:pPr>
        <w:spacing w:line="360" w:lineRule="auto"/>
        <w:ind w:firstLine="1"/>
        <w:rPr>
          <w:rFonts w:ascii="Palatino Linotype" w:eastAsia="Palatino Linotype" w:hAnsi="Palatino Linotype" w:cs="Palatino Linotype"/>
          <w:i/>
          <w:color w:val="000000" w:themeColor="text1"/>
        </w:rPr>
      </w:pPr>
    </w:p>
    <w:p w14:paraId="44F855EA"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000A29A7" w:rsidRPr="003C342B">
        <w:rPr>
          <w:rFonts w:ascii="Palatino Linotype" w:eastAsia="Palatino Linotype" w:hAnsi="Palatino Linotype" w:cs="Palatino Linotype"/>
          <w:b/>
          <w:color w:val="000000" w:themeColor="text1"/>
        </w:rPr>
        <w:t xml:space="preserve">diecinueve de mayo </w:t>
      </w:r>
      <w:r w:rsidRPr="003C342B">
        <w:rPr>
          <w:rFonts w:ascii="Palatino Linotype" w:eastAsia="Palatino Linotype" w:hAnsi="Palatino Linotype" w:cs="Palatino Linotype"/>
          <w:b/>
          <w:color w:val="000000" w:themeColor="text1"/>
        </w:rPr>
        <w:t>de dos mil veinticinco</w:t>
      </w:r>
      <w:r w:rsidRPr="003C342B">
        <w:rPr>
          <w:rFonts w:ascii="Palatino Linotype" w:eastAsia="Palatino Linotype" w:hAnsi="Palatino Linotype" w:cs="Palatino Linotype"/>
          <w:color w:val="000000" w:themeColor="text1"/>
        </w:rPr>
        <w:t xml:space="preserve">, puso a disposición de las partes el expediente electrónico vía </w:t>
      </w:r>
      <w:r w:rsidRPr="003C342B">
        <w:rPr>
          <w:rFonts w:ascii="Palatino Linotype" w:eastAsia="Palatino Linotype" w:hAnsi="Palatino Linotype" w:cs="Palatino Linotype"/>
          <w:b/>
          <w:color w:val="000000" w:themeColor="text1"/>
        </w:rPr>
        <w:t xml:space="preserve">SAIMEX </w:t>
      </w:r>
      <w:r w:rsidRPr="003C342B">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presentará el Informe Justificado procedente.</w:t>
      </w:r>
    </w:p>
    <w:p w14:paraId="0604BB72"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7E97A8D3"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De lo anterior</w:t>
      </w:r>
      <w:r w:rsidR="007961B8" w:rsidRPr="003C342B">
        <w:rPr>
          <w:rFonts w:ascii="Palatino Linotype" w:eastAsia="Palatino Linotype" w:hAnsi="Palatino Linotype" w:cs="Palatino Linotype"/>
          <w:color w:val="000000" w:themeColor="text1"/>
        </w:rPr>
        <w:t xml:space="preserve">, tal y como se observa en el expediente electrónico el </w:t>
      </w:r>
      <w:r w:rsidR="007961B8" w:rsidRPr="003C342B">
        <w:rPr>
          <w:rFonts w:ascii="Palatino Linotype" w:eastAsia="Palatino Linotype" w:hAnsi="Palatino Linotype" w:cs="Palatino Linotype"/>
          <w:b/>
          <w:color w:val="000000" w:themeColor="text1"/>
        </w:rPr>
        <w:t xml:space="preserve">RECURRENTE </w:t>
      </w:r>
      <w:r w:rsidR="007961B8" w:rsidRPr="003C342B">
        <w:rPr>
          <w:rFonts w:ascii="Palatino Linotype" w:eastAsia="Palatino Linotype" w:hAnsi="Palatino Linotype" w:cs="Palatino Linotype"/>
          <w:color w:val="000000" w:themeColor="text1"/>
        </w:rPr>
        <w:t xml:space="preserve">y el </w:t>
      </w:r>
      <w:r w:rsidR="007961B8" w:rsidRPr="003C342B">
        <w:rPr>
          <w:rFonts w:ascii="Palatino Linotype" w:eastAsia="Palatino Linotype" w:hAnsi="Palatino Linotype" w:cs="Palatino Linotype"/>
          <w:b/>
          <w:color w:val="000000" w:themeColor="text1"/>
        </w:rPr>
        <w:t xml:space="preserve">SUJETO OBLIGADO </w:t>
      </w:r>
      <w:r w:rsidR="007961B8" w:rsidRPr="003C342B">
        <w:rPr>
          <w:rFonts w:ascii="Palatino Linotype" w:eastAsia="Palatino Linotype" w:hAnsi="Palatino Linotype" w:cs="Palatino Linotype"/>
          <w:color w:val="000000" w:themeColor="text1"/>
        </w:rPr>
        <w:t xml:space="preserve">fueron omisos en manifestar lo que a su derecho conviniera y asistiera, respectivamente. </w:t>
      </w:r>
    </w:p>
    <w:p w14:paraId="1B34B17F" w14:textId="77777777" w:rsidR="007961B8" w:rsidRPr="003C342B" w:rsidRDefault="007961B8" w:rsidP="003C342B">
      <w:pPr>
        <w:pStyle w:val="Prrafodelista"/>
        <w:spacing w:line="360" w:lineRule="auto"/>
        <w:ind w:left="0" w:firstLine="1"/>
        <w:rPr>
          <w:rFonts w:ascii="Palatino Linotype" w:eastAsia="Palatino Linotype" w:hAnsi="Palatino Linotype" w:cs="Palatino Linotype"/>
          <w:i/>
          <w:color w:val="000000" w:themeColor="text1"/>
        </w:rPr>
      </w:pPr>
    </w:p>
    <w:p w14:paraId="00D1DA2C" w14:textId="77777777" w:rsidR="00E40613" w:rsidRPr="003C342B" w:rsidRDefault="00E40613" w:rsidP="003C342B">
      <w:pPr>
        <w:numPr>
          <w:ilvl w:val="0"/>
          <w:numId w:val="2"/>
        </w:numPr>
        <w:spacing w:line="360" w:lineRule="auto"/>
        <w:ind w:left="0" w:firstLine="1"/>
        <w:jc w:val="both"/>
        <w:rPr>
          <w:rFonts w:ascii="Palatino Linotype" w:hAnsi="Palatino Linotype"/>
          <w:color w:val="000000" w:themeColor="text1"/>
        </w:rPr>
      </w:pPr>
      <w:r w:rsidRPr="003C342B">
        <w:rPr>
          <w:rFonts w:ascii="Palatino Linotype" w:eastAsia="Palatino Linotype" w:hAnsi="Palatino Linotype" w:cs="Palatino Linotype"/>
          <w:color w:val="000000" w:themeColor="text1"/>
        </w:rPr>
        <w:t xml:space="preserve">El </w:t>
      </w:r>
      <w:r w:rsidR="00B565B1" w:rsidRPr="003C342B">
        <w:rPr>
          <w:rFonts w:ascii="Palatino Linotype" w:eastAsia="Palatino Linotype" w:hAnsi="Palatino Linotype" w:cs="Palatino Linotype"/>
          <w:b/>
          <w:color w:val="000000" w:themeColor="text1"/>
        </w:rPr>
        <w:t xml:space="preserve">catorce de octubre </w:t>
      </w:r>
      <w:r w:rsidRPr="003C342B">
        <w:rPr>
          <w:rFonts w:ascii="Palatino Linotype" w:eastAsia="Palatino Linotype" w:hAnsi="Palatino Linotype" w:cs="Palatino Linotype"/>
          <w:b/>
          <w:color w:val="000000" w:themeColor="text1"/>
        </w:rPr>
        <w:t>de dos mil veinticinco</w:t>
      </w:r>
      <w:r w:rsidRPr="003C342B">
        <w:rPr>
          <w:rFonts w:ascii="Palatino Linotype" w:eastAsia="Palatino Linotype" w:hAnsi="Palatino Linotype" w:cs="Palatino Linotype"/>
          <w:color w:val="000000" w:themeColor="text1"/>
        </w:rPr>
        <w:t>, la Comisionada Ponente notificó el acuerdo de am</w:t>
      </w:r>
      <w:r w:rsidR="003C342B">
        <w:rPr>
          <w:rFonts w:ascii="Palatino Linotype" w:eastAsia="Palatino Linotype" w:hAnsi="Palatino Linotype" w:cs="Palatino Linotype"/>
          <w:color w:val="000000" w:themeColor="text1"/>
        </w:rPr>
        <w:t>pliación para emitir resolución.</w:t>
      </w:r>
    </w:p>
    <w:p w14:paraId="0DAB7C90" w14:textId="77777777" w:rsidR="00E40613" w:rsidRPr="003C342B" w:rsidRDefault="00E40613"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14:paraId="6AD74155" w14:textId="2AAD0AC1"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b/>
          <w:color w:val="000000" w:themeColor="text1"/>
        </w:rPr>
      </w:pPr>
      <w:bookmarkStart w:id="4" w:name="_heading=h.2et92p0" w:colFirst="0" w:colLast="0"/>
      <w:bookmarkEnd w:id="4"/>
      <w:r w:rsidRPr="003C342B">
        <w:rPr>
          <w:rFonts w:ascii="Palatino Linotype" w:eastAsia="Palatino Linotype" w:hAnsi="Palatino Linotype" w:cs="Palatino Linotype"/>
          <w:color w:val="000000" w:themeColor="text1"/>
        </w:rPr>
        <w:t xml:space="preserve">Seguidamente, mediante acuerdo de fecha </w:t>
      </w:r>
      <w:r w:rsidR="00B565B1" w:rsidRPr="003C342B">
        <w:rPr>
          <w:rFonts w:ascii="Palatino Linotype" w:eastAsia="Palatino Linotype" w:hAnsi="Palatino Linotype" w:cs="Palatino Linotype"/>
          <w:b/>
          <w:color w:val="000000" w:themeColor="text1"/>
        </w:rPr>
        <w:t xml:space="preserve">catorce de octubre  </w:t>
      </w:r>
      <w:r w:rsidRPr="003C342B">
        <w:rPr>
          <w:rFonts w:ascii="Palatino Linotype" w:eastAsia="Palatino Linotype" w:hAnsi="Palatino Linotype" w:cs="Palatino Linotype"/>
          <w:b/>
          <w:color w:val="000000" w:themeColor="text1"/>
        </w:rPr>
        <w:t xml:space="preserve">de dos mil veinticinco, </w:t>
      </w:r>
      <w:r w:rsidRPr="003C342B">
        <w:rPr>
          <w:rFonts w:ascii="Palatino Linotype" w:eastAsia="Palatino Linotype" w:hAnsi="Palatino Linotype" w:cs="Palatino Linotype"/>
          <w:color w:val="000000" w:themeColor="text1"/>
        </w:rPr>
        <w:t>se decretó el cierre de instrucción, por lo que no habien</w:t>
      </w:r>
      <w:r w:rsidR="00B565B1" w:rsidRPr="003C342B">
        <w:rPr>
          <w:rFonts w:ascii="Palatino Linotype" w:eastAsia="Palatino Linotype" w:hAnsi="Palatino Linotype" w:cs="Palatino Linotype"/>
          <w:color w:val="000000" w:themeColor="text1"/>
        </w:rPr>
        <w:t>do más que hacer</w:t>
      </w:r>
      <w:r w:rsidR="003C342B">
        <w:rPr>
          <w:rFonts w:ascii="Palatino Linotype" w:eastAsia="Palatino Linotype" w:hAnsi="Palatino Linotype" w:cs="Palatino Linotype"/>
          <w:color w:val="000000" w:themeColor="text1"/>
        </w:rPr>
        <w:t xml:space="preserve"> constar, y</w:t>
      </w:r>
      <w:r w:rsidR="002E5292">
        <w:rPr>
          <w:rFonts w:ascii="Palatino Linotype" w:eastAsia="Palatino Linotype" w:hAnsi="Palatino Linotype" w:cs="Palatino Linotype"/>
          <w:color w:val="000000" w:themeColor="text1"/>
        </w:rPr>
        <w:t xml:space="preserve"> </w:t>
      </w:r>
    </w:p>
    <w:p w14:paraId="5EF2589E" w14:textId="3066F969" w:rsidR="00E40613" w:rsidRPr="003C342B" w:rsidRDefault="00E40613" w:rsidP="003C342B">
      <w:pPr>
        <w:spacing w:line="360" w:lineRule="auto"/>
        <w:ind w:firstLine="1"/>
        <w:jc w:val="center"/>
        <w:rPr>
          <w:rFonts w:ascii="Palatino Linotype" w:eastAsia="Palatino Linotype" w:hAnsi="Palatino Linotype" w:cs="Palatino Linotype"/>
          <w:b/>
          <w:color w:val="000000" w:themeColor="text1"/>
        </w:rPr>
      </w:pPr>
      <w:r w:rsidRPr="003C342B">
        <w:rPr>
          <w:rFonts w:ascii="Palatino Linotype" w:eastAsia="Palatino Linotype" w:hAnsi="Palatino Linotype" w:cs="Palatino Linotype"/>
          <w:b/>
          <w:color w:val="000000" w:themeColor="text1"/>
        </w:rPr>
        <w:t>C</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O</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N</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S</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I</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D</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E</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R</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A</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N</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D</w:t>
      </w:r>
      <w:r w:rsidR="002E5292">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b/>
          <w:color w:val="000000" w:themeColor="text1"/>
        </w:rPr>
        <w:t>O</w:t>
      </w:r>
      <w:r w:rsidR="002E5292">
        <w:rPr>
          <w:rFonts w:ascii="Palatino Linotype" w:eastAsia="Palatino Linotype" w:hAnsi="Palatino Linotype" w:cs="Palatino Linotype"/>
          <w:b/>
          <w:color w:val="000000" w:themeColor="text1"/>
        </w:rPr>
        <w:t xml:space="preserve"> </w:t>
      </w:r>
    </w:p>
    <w:p w14:paraId="123E9BDD" w14:textId="77777777" w:rsidR="00E40613" w:rsidRPr="003C342B" w:rsidRDefault="00E40613" w:rsidP="003C342B">
      <w:pPr>
        <w:spacing w:line="360" w:lineRule="auto"/>
        <w:ind w:firstLine="1"/>
        <w:jc w:val="center"/>
        <w:rPr>
          <w:rFonts w:ascii="Palatino Linotype" w:eastAsia="Palatino Linotype" w:hAnsi="Palatino Linotype" w:cs="Palatino Linotype"/>
          <w:b/>
          <w:color w:val="000000" w:themeColor="text1"/>
        </w:rPr>
      </w:pPr>
    </w:p>
    <w:p w14:paraId="06EE276F" w14:textId="77777777" w:rsidR="00E40613" w:rsidRPr="003C342B" w:rsidRDefault="00E40613" w:rsidP="003C342B">
      <w:pPr>
        <w:keepNext/>
        <w:keepLines/>
        <w:spacing w:line="360" w:lineRule="auto"/>
        <w:ind w:firstLine="1"/>
        <w:rPr>
          <w:rFonts w:ascii="Palatino Linotype" w:eastAsia="Palatino Linotype" w:hAnsi="Palatino Linotype" w:cs="Palatino Linotype"/>
          <w:b/>
          <w:color w:val="000000" w:themeColor="text1"/>
        </w:rPr>
      </w:pPr>
      <w:bookmarkStart w:id="5" w:name="_heading=h.tyjcwt" w:colFirst="0" w:colLast="0"/>
      <w:bookmarkEnd w:id="5"/>
      <w:r w:rsidRPr="003C342B">
        <w:rPr>
          <w:rFonts w:ascii="Palatino Linotype" w:eastAsia="Palatino Linotype" w:hAnsi="Palatino Linotype" w:cs="Palatino Linotype"/>
          <w:b/>
          <w:color w:val="000000" w:themeColor="text1"/>
        </w:rPr>
        <w:t>PRIMERO. De la competencia</w:t>
      </w:r>
    </w:p>
    <w:p w14:paraId="2BF40D40"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3C342B">
        <w:rPr>
          <w:rFonts w:ascii="Palatino Linotype" w:eastAsia="Palatino Linotype" w:hAnsi="Palatino Linotype" w:cs="Palatino Linotype"/>
          <w:color w:val="000000" w:themeColor="text1"/>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CAD199B" w14:textId="77777777" w:rsidR="00E40613" w:rsidRPr="003C342B" w:rsidRDefault="00E40613" w:rsidP="003C342B">
      <w:pPr>
        <w:spacing w:line="360" w:lineRule="auto"/>
        <w:ind w:firstLine="1"/>
        <w:jc w:val="both"/>
        <w:rPr>
          <w:rFonts w:ascii="Palatino Linotype" w:eastAsia="Palatino Linotype" w:hAnsi="Palatino Linotype" w:cs="Palatino Linotype"/>
          <w:b/>
          <w:color w:val="000000" w:themeColor="text1"/>
        </w:rPr>
      </w:pPr>
    </w:p>
    <w:p w14:paraId="27BC227B" w14:textId="77777777" w:rsidR="00E40613" w:rsidRPr="003C342B" w:rsidRDefault="00E40613" w:rsidP="003C342B">
      <w:pPr>
        <w:keepNext/>
        <w:keepLines/>
        <w:spacing w:line="360" w:lineRule="auto"/>
        <w:ind w:firstLine="1"/>
        <w:rPr>
          <w:rFonts w:ascii="Palatino Linotype" w:eastAsia="Palatino Linotype" w:hAnsi="Palatino Linotype" w:cs="Palatino Linotype"/>
          <w:b/>
          <w:color w:val="000000" w:themeColor="text1"/>
        </w:rPr>
      </w:pPr>
      <w:bookmarkStart w:id="6" w:name="_heading=h.3dy6vkm" w:colFirst="0" w:colLast="0"/>
      <w:bookmarkEnd w:id="6"/>
      <w:r w:rsidRPr="003C342B">
        <w:rPr>
          <w:rFonts w:ascii="Palatino Linotype" w:eastAsia="Palatino Linotype" w:hAnsi="Palatino Linotype" w:cs="Palatino Linotype"/>
          <w:b/>
          <w:color w:val="000000" w:themeColor="text1"/>
        </w:rPr>
        <w:t>SEGUNDO. De la oportunidad y procedencia.</w:t>
      </w:r>
    </w:p>
    <w:p w14:paraId="0DD11972"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El medio de impugnación fue presentado a través del </w:t>
      </w:r>
      <w:r w:rsidRPr="003C342B">
        <w:rPr>
          <w:rFonts w:ascii="Palatino Linotype" w:eastAsia="Palatino Linotype" w:hAnsi="Palatino Linotype" w:cs="Palatino Linotype"/>
          <w:b/>
          <w:color w:val="000000" w:themeColor="text1"/>
        </w:rPr>
        <w:t>SAIMEX,</w:t>
      </w:r>
      <w:r w:rsidRPr="003C342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entregó su respuesta el </w:t>
      </w:r>
      <w:r w:rsidR="00C87550" w:rsidRPr="003C342B">
        <w:rPr>
          <w:rFonts w:ascii="Palatino Linotype" w:eastAsia="Palatino Linotype" w:hAnsi="Palatino Linotype" w:cs="Palatino Linotype"/>
          <w:b/>
          <w:color w:val="000000" w:themeColor="text1"/>
        </w:rPr>
        <w:t xml:space="preserve">catorce de mayo </w:t>
      </w:r>
      <w:r w:rsidRPr="003C342B">
        <w:rPr>
          <w:rFonts w:ascii="Palatino Linotype" w:eastAsia="Palatino Linotype" w:hAnsi="Palatino Linotype" w:cs="Palatino Linotype"/>
          <w:b/>
          <w:color w:val="000000" w:themeColor="text1"/>
        </w:rPr>
        <w:t>de dos mil veinticinco</w:t>
      </w:r>
      <w:r w:rsidRPr="003C342B">
        <w:rPr>
          <w:rFonts w:ascii="Palatino Linotype" w:eastAsia="Palatino Linotype" w:hAnsi="Palatino Linotype" w:cs="Palatino Linotype"/>
          <w:color w:val="000000" w:themeColor="text1"/>
        </w:rPr>
        <w:t xml:space="preserve">, de tal forma que el plazo para interponer el recurso de revisión transcurrió del día </w:t>
      </w:r>
      <w:r w:rsidR="00C87550" w:rsidRPr="003C342B">
        <w:rPr>
          <w:rFonts w:ascii="Palatino Linotype" w:eastAsia="Palatino Linotype" w:hAnsi="Palatino Linotype" w:cs="Palatino Linotype"/>
          <w:b/>
          <w:color w:val="000000" w:themeColor="text1"/>
        </w:rPr>
        <w:t xml:space="preserve">quince mayo al cuatro de junio </w:t>
      </w:r>
      <w:r w:rsidRPr="003C342B">
        <w:rPr>
          <w:rFonts w:ascii="Palatino Linotype" w:eastAsia="Palatino Linotype" w:hAnsi="Palatino Linotype" w:cs="Palatino Linotype"/>
          <w:b/>
          <w:color w:val="000000" w:themeColor="text1"/>
        </w:rPr>
        <w:t>de dos mil veinticinco</w:t>
      </w:r>
      <w:r w:rsidRPr="003C342B">
        <w:rPr>
          <w:rFonts w:ascii="Palatino Linotype" w:eastAsia="Palatino Linotype" w:hAnsi="Palatino Linotype" w:cs="Palatino Linotype"/>
          <w:color w:val="000000" w:themeColor="text1"/>
        </w:rPr>
        <w:t xml:space="preserve">; lo anterior, toda vez que hubo suspensión de actividades, en consecuencia, el ahora </w:t>
      </w:r>
      <w:r w:rsidRPr="003C342B">
        <w:rPr>
          <w:rFonts w:ascii="Palatino Linotype" w:eastAsia="Palatino Linotype" w:hAnsi="Palatino Linotype" w:cs="Palatino Linotype"/>
          <w:b/>
          <w:color w:val="000000" w:themeColor="text1"/>
        </w:rPr>
        <w:t>RECURRENTE</w:t>
      </w:r>
      <w:r w:rsidRPr="003C342B">
        <w:rPr>
          <w:rFonts w:ascii="Palatino Linotype" w:eastAsia="Palatino Linotype" w:hAnsi="Palatino Linotype" w:cs="Palatino Linotype"/>
          <w:color w:val="000000" w:themeColor="text1"/>
        </w:rPr>
        <w:t xml:space="preserve"> presentó su inconformidad el día </w:t>
      </w:r>
      <w:r w:rsidR="00DC4019" w:rsidRPr="003C342B">
        <w:rPr>
          <w:rFonts w:ascii="Palatino Linotype" w:eastAsia="Palatino Linotype" w:hAnsi="Palatino Linotype" w:cs="Palatino Linotype"/>
          <w:b/>
          <w:color w:val="000000" w:themeColor="text1"/>
        </w:rPr>
        <w:t xml:space="preserve">quince de mayo </w:t>
      </w:r>
      <w:r w:rsidRPr="003C342B">
        <w:rPr>
          <w:rFonts w:ascii="Palatino Linotype" w:eastAsia="Palatino Linotype" w:hAnsi="Palatino Linotype" w:cs="Palatino Linotype"/>
          <w:b/>
          <w:color w:val="000000" w:themeColor="text1"/>
        </w:rPr>
        <w:t>de dos mil veinticinco</w:t>
      </w:r>
      <w:r w:rsidRPr="003C342B">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29C9D74C"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3F5550E2"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0CB283"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D291F36"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w:t>
      </w:r>
      <w:r w:rsidRPr="003C342B">
        <w:rPr>
          <w:rFonts w:ascii="Palatino Linotype" w:eastAsia="Palatino Linotype" w:hAnsi="Palatino Linotype" w:cs="Palatino Linotype"/>
          <w:b/>
          <w:i/>
          <w:color w:val="000000" w:themeColor="text1"/>
        </w:rPr>
        <w:t>Las solicitudes anónimas</w:t>
      </w:r>
      <w:r w:rsidRPr="003C342B">
        <w:rPr>
          <w:rFonts w:ascii="Palatino Linotype" w:eastAsia="Palatino Linotype" w:hAnsi="Palatino Linotype" w:cs="Palatino Linotype"/>
          <w:i/>
          <w:color w:val="000000" w:themeColor="text1"/>
        </w:rPr>
        <w:t xml:space="preserve">, con nombre incompleto o seudónimo </w:t>
      </w:r>
      <w:r w:rsidRPr="003C342B">
        <w:rPr>
          <w:rFonts w:ascii="Palatino Linotype" w:eastAsia="Palatino Linotype" w:hAnsi="Palatino Linotype" w:cs="Palatino Linotype"/>
          <w:b/>
          <w:i/>
          <w:color w:val="000000" w:themeColor="text1"/>
        </w:rPr>
        <w:t>serán procedentes para su trámite por parte del sujeto obligado ante quien se presente</w:t>
      </w:r>
      <w:r w:rsidRPr="003C342B">
        <w:rPr>
          <w:rFonts w:ascii="Palatino Linotype" w:eastAsia="Palatino Linotype" w:hAnsi="Palatino Linotype" w:cs="Palatino Linotype"/>
          <w:i/>
          <w:color w:val="000000" w:themeColor="text1"/>
        </w:rPr>
        <w:t>. No podrá requerirse información adicional con motivo del nombre proporcionado por el solicitante."</w:t>
      </w:r>
    </w:p>
    <w:p w14:paraId="3D9F295E" w14:textId="77777777" w:rsidR="00E40613" w:rsidRPr="003C342B" w:rsidRDefault="00E40613" w:rsidP="003C342B">
      <w:pPr>
        <w:spacing w:line="360" w:lineRule="auto"/>
        <w:ind w:firstLine="1"/>
        <w:jc w:val="right"/>
        <w:rPr>
          <w:rFonts w:ascii="Palatino Linotype" w:eastAsia="Palatino Linotype" w:hAnsi="Palatino Linotype" w:cs="Palatino Linotype"/>
          <w:color w:val="000000" w:themeColor="text1"/>
        </w:rPr>
      </w:pPr>
    </w:p>
    <w:p w14:paraId="1E02D152"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3B954BE0"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r w:rsidRPr="003C342B">
        <w:rPr>
          <w:rFonts w:ascii="Palatino Linotype" w:eastAsia="Palatino Linotype" w:hAnsi="Palatino Linotype" w:cs="Palatino Linotype"/>
          <w:b/>
          <w:i/>
          <w:color w:val="000000" w:themeColor="text1"/>
        </w:rPr>
        <w:t>Artículo 6.-</w:t>
      </w:r>
      <w:r w:rsidRPr="003C342B">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8CB29B"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Para efectos de lo dispuesto en el presente artículo se observará lo siguiente:</w:t>
      </w:r>
    </w:p>
    <w:p w14:paraId="55ACC32B"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p w14:paraId="5FC820CF"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1B9F9D63"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p w14:paraId="55659FED"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3C342B">
        <w:rPr>
          <w:rFonts w:ascii="Palatino Linotype" w:eastAsia="Palatino Linotype" w:hAnsi="Palatino Linotype" w:cs="Palatino Linotype"/>
          <w:color w:val="000000" w:themeColor="text1"/>
        </w:rPr>
        <w:t>(Sic)</w:t>
      </w:r>
    </w:p>
    <w:p w14:paraId="36B53372"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p w14:paraId="608368EA"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7DE3C25E"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r w:rsidRPr="003C342B">
        <w:rPr>
          <w:rFonts w:ascii="Palatino Linotype" w:eastAsia="Palatino Linotype" w:hAnsi="Palatino Linotype" w:cs="Palatino Linotype"/>
          <w:b/>
          <w:i/>
          <w:color w:val="000000" w:themeColor="text1"/>
        </w:rPr>
        <w:t>Artículo 5.-</w:t>
      </w:r>
      <w:r w:rsidRPr="003C342B">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w:t>
      </w:r>
      <w:r w:rsidRPr="003C342B">
        <w:rPr>
          <w:rFonts w:ascii="Palatino Linotype" w:eastAsia="Palatino Linotype" w:hAnsi="Palatino Linotype" w:cs="Palatino Linotype"/>
          <w:i/>
          <w:color w:val="000000" w:themeColor="text1"/>
        </w:rPr>
        <w:lastRenderedPageBreak/>
        <w:t>ésta emanen, por lo que gozarán de las garantías para su protección, las cuales no podrán restringirse ni suspenderse salvo en los casos y bajo las condiciones que la Constitución Política de los Estados Unidos Mexicanos establece”.(Sic)</w:t>
      </w:r>
    </w:p>
    <w:p w14:paraId="25A48EC7"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p>
    <w:p w14:paraId="3506413C"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4C016593"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p>
    <w:p w14:paraId="6CA29CE1"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356953D5"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4C1E208"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3D09039B"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p>
    <w:p w14:paraId="1DDC1BB7"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C342B">
        <w:rPr>
          <w:rFonts w:ascii="Palatino Linotype" w:eastAsia="Palatino Linotype" w:hAnsi="Palatino Linotype" w:cs="Palatino Linotype"/>
          <w:color w:val="000000" w:themeColor="text1"/>
        </w:rPr>
        <w:t>(Sic)</w:t>
      </w:r>
    </w:p>
    <w:p w14:paraId="201FFD1F"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p w14:paraId="063E463D"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14:paraId="1E193993"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r w:rsidRPr="003C342B">
        <w:rPr>
          <w:rFonts w:ascii="Palatino Linotype" w:eastAsia="Palatino Linotype" w:hAnsi="Palatino Linotype" w:cs="Palatino Linotype"/>
          <w:b/>
          <w:i/>
          <w:color w:val="000000" w:themeColor="text1"/>
        </w:rPr>
        <w:t>Artículo 1</w:t>
      </w:r>
      <w:r w:rsidRPr="003C342B">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C284B5"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6969F875"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16D7F24"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p w14:paraId="00B34B5E"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3C342B">
        <w:rPr>
          <w:rFonts w:ascii="Palatino Linotype" w:eastAsia="Palatino Linotype" w:hAnsi="Palatino Linotype" w:cs="Palatino Linotype"/>
          <w:i/>
          <w:color w:val="000000" w:themeColor="text1"/>
        </w:rPr>
        <w:t>derecho fundamental exime a quien lo ejerce</w:t>
      </w:r>
      <w:r w:rsidRPr="003C342B">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95F0CF8"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E816C4C"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lastRenderedPageBreak/>
        <w:t xml:space="preserve">En consecuencia, dado lo expuesto y fundado con anterioridad, se estima que el requisito relativo al nombre del </w:t>
      </w:r>
      <w:r w:rsidRPr="003C342B">
        <w:rPr>
          <w:rFonts w:ascii="Palatino Linotype" w:eastAsia="Palatino Linotype" w:hAnsi="Palatino Linotype" w:cs="Palatino Linotype"/>
          <w:b/>
          <w:color w:val="000000" w:themeColor="text1"/>
        </w:rPr>
        <w:t>RECURRENTE</w:t>
      </w:r>
      <w:r w:rsidRPr="003C342B">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56247BB2"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50AA3E92"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2F37E3" w14:textId="77777777" w:rsidR="00E40613" w:rsidRPr="003C342B" w:rsidRDefault="00E40613" w:rsidP="003C342B">
      <w:pPr>
        <w:pBdr>
          <w:top w:val="nil"/>
          <w:left w:val="nil"/>
          <w:bottom w:val="nil"/>
          <w:right w:val="nil"/>
          <w:between w:val="nil"/>
        </w:pBdr>
        <w:spacing w:line="360" w:lineRule="auto"/>
        <w:ind w:firstLine="1"/>
        <w:rPr>
          <w:rFonts w:ascii="Palatino Linotype" w:eastAsia="Palatino Linotype" w:hAnsi="Palatino Linotype" w:cs="Palatino Linotype"/>
          <w:color w:val="000000" w:themeColor="text1"/>
        </w:rPr>
      </w:pPr>
    </w:p>
    <w:p w14:paraId="647FD8ED" w14:textId="77777777" w:rsidR="00E40613" w:rsidRPr="003C342B" w:rsidRDefault="00E40613" w:rsidP="003C342B">
      <w:pPr>
        <w:pStyle w:val="Ttulo1"/>
        <w:spacing w:before="0" w:line="360" w:lineRule="auto"/>
        <w:ind w:firstLine="1"/>
        <w:rPr>
          <w:rFonts w:ascii="Palatino Linotype" w:eastAsia="Palatino Linotype" w:hAnsi="Palatino Linotype" w:cs="Palatino Linotype"/>
          <w:b/>
          <w:color w:val="000000" w:themeColor="text1"/>
          <w:sz w:val="24"/>
          <w:szCs w:val="24"/>
        </w:rPr>
      </w:pPr>
      <w:bookmarkStart w:id="7" w:name="_heading=h.1t3h5sf" w:colFirst="0" w:colLast="0"/>
      <w:bookmarkEnd w:id="7"/>
      <w:r w:rsidRPr="003C342B">
        <w:rPr>
          <w:rFonts w:ascii="Palatino Linotype" w:eastAsia="Palatino Linotype" w:hAnsi="Palatino Linotype" w:cs="Palatino Linotype"/>
          <w:b/>
          <w:color w:val="000000" w:themeColor="text1"/>
          <w:sz w:val="24"/>
          <w:szCs w:val="24"/>
        </w:rPr>
        <w:t xml:space="preserve">TERCERO. Del planteamiento de la </w:t>
      </w:r>
      <w:r w:rsidRPr="003C342B">
        <w:rPr>
          <w:rFonts w:ascii="Palatino Linotype" w:eastAsia="Palatino Linotype" w:hAnsi="Palatino Linotype" w:cs="Palatino Linotype"/>
          <w:b/>
          <w:i/>
          <w:color w:val="000000" w:themeColor="text1"/>
          <w:sz w:val="24"/>
          <w:szCs w:val="24"/>
        </w:rPr>
        <w:t>Litis</w:t>
      </w:r>
      <w:r w:rsidRPr="003C342B">
        <w:rPr>
          <w:rFonts w:ascii="Palatino Linotype" w:eastAsia="Palatino Linotype" w:hAnsi="Palatino Linotype" w:cs="Palatino Linotype"/>
          <w:b/>
          <w:color w:val="000000" w:themeColor="text1"/>
          <w:sz w:val="24"/>
          <w:szCs w:val="24"/>
        </w:rPr>
        <w:t>.</w:t>
      </w:r>
    </w:p>
    <w:p w14:paraId="2176AFAA"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Se solicitó tener acceso, a la información que a continuación se desagrega:</w:t>
      </w:r>
    </w:p>
    <w:p w14:paraId="62521BAE" w14:textId="77777777" w:rsidR="00E40613"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De los documentos requeridos por la Comisión Federal para la Protección contra Riesgos Sanitarios De la clínica Madre, Teresa de Calcuta adscrita al DIF municipal de Huehuetoca: </w:t>
      </w:r>
    </w:p>
    <w:p w14:paraId="3A2DB230"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1.- Licencia sanitaria de construcción </w:t>
      </w:r>
    </w:p>
    <w:p w14:paraId="0619C17F"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2.- Licencia sanitaria para establecimientos médicos que practican actos quirúrgicos </w:t>
      </w:r>
    </w:p>
    <w:p w14:paraId="2520D864"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lastRenderedPageBreak/>
        <w:t xml:space="preserve">3.- Aviso de funcionamiento </w:t>
      </w:r>
    </w:p>
    <w:p w14:paraId="781A3118"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4.- Aviso de responsable sanitario </w:t>
      </w:r>
    </w:p>
    <w:p w14:paraId="1FDA4B79"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5.- Licencia sanitaria de servicio de transfusión </w:t>
      </w:r>
    </w:p>
    <w:p w14:paraId="148E2E36"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6.- Autorización para uso de medicamentos controlados </w:t>
      </w:r>
    </w:p>
    <w:p w14:paraId="2D8F8B82"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7.- Documentos de solicitud de cada uno de estos ante la autoridad federal</w:t>
      </w:r>
    </w:p>
    <w:p w14:paraId="76E7D569" w14:textId="77777777" w:rsidR="008A63C6" w:rsidRPr="003C342B" w:rsidRDefault="008A63C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rPr>
      </w:pPr>
    </w:p>
    <w:p w14:paraId="280D0D41" w14:textId="77777777" w:rsidR="00E40613" w:rsidRPr="003C342B" w:rsidRDefault="00E40613" w:rsidP="003C342B">
      <w:pPr>
        <w:numPr>
          <w:ilvl w:val="0"/>
          <w:numId w:val="2"/>
        </w:numPr>
        <w:spacing w:line="360" w:lineRule="auto"/>
        <w:ind w:left="0" w:firstLine="1"/>
        <w:jc w:val="both"/>
        <w:rPr>
          <w:rFonts w:ascii="Palatino Linotype" w:hAnsi="Palatino Linotype"/>
          <w:i/>
          <w:color w:val="000000" w:themeColor="text1"/>
        </w:rPr>
      </w:pPr>
      <w:r w:rsidRPr="003C342B">
        <w:rPr>
          <w:rFonts w:ascii="Palatino Linotype" w:eastAsia="Palatino Linotype" w:hAnsi="Palatino Linotype" w:cs="Palatino Linotype"/>
          <w:color w:val="000000" w:themeColor="text1"/>
        </w:rPr>
        <w:t xml:space="preserve">En respuesta, el </w:t>
      </w:r>
      <w:r w:rsidRPr="003C342B">
        <w:rPr>
          <w:rFonts w:ascii="Palatino Linotype" w:eastAsia="Palatino Linotype" w:hAnsi="Palatino Linotype" w:cs="Palatino Linotype"/>
          <w:b/>
          <w:color w:val="000000" w:themeColor="text1"/>
        </w:rPr>
        <w:t xml:space="preserve">SUJETO OBLIGADO </w:t>
      </w:r>
      <w:r w:rsidR="00B75896" w:rsidRPr="003C342B">
        <w:rPr>
          <w:rFonts w:ascii="Palatino Linotype" w:eastAsia="Palatino Linotype" w:hAnsi="Palatino Linotype" w:cs="Palatino Linotype"/>
          <w:color w:val="000000" w:themeColor="text1"/>
        </w:rPr>
        <w:t>se declaró incompetente para conocer de la solicitud de información</w:t>
      </w:r>
      <w:r w:rsidRPr="003C342B">
        <w:rPr>
          <w:rFonts w:ascii="Palatino Linotype" w:eastAsia="Palatino Linotype" w:hAnsi="Palatino Linotype" w:cs="Palatino Linotype"/>
          <w:color w:val="000000" w:themeColor="text1"/>
        </w:rPr>
        <w:t xml:space="preserve">. </w:t>
      </w:r>
    </w:p>
    <w:p w14:paraId="17C24B96" w14:textId="77777777" w:rsidR="00E40613" w:rsidRPr="003C342B" w:rsidRDefault="00E40613" w:rsidP="003C342B">
      <w:pPr>
        <w:spacing w:line="360" w:lineRule="auto"/>
        <w:ind w:firstLine="1"/>
        <w:jc w:val="both"/>
        <w:rPr>
          <w:rFonts w:ascii="Palatino Linotype" w:hAnsi="Palatino Linotype"/>
          <w:i/>
          <w:color w:val="000000" w:themeColor="text1"/>
        </w:rPr>
      </w:pPr>
    </w:p>
    <w:p w14:paraId="13DA6C39"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En dichas condiciones, la </w:t>
      </w:r>
      <w:r w:rsidRPr="003C342B">
        <w:rPr>
          <w:rFonts w:ascii="Palatino Linotype" w:eastAsia="Palatino Linotype" w:hAnsi="Palatino Linotype" w:cs="Palatino Linotype"/>
          <w:i/>
          <w:color w:val="000000" w:themeColor="text1"/>
        </w:rPr>
        <w:t>Litis</w:t>
      </w:r>
      <w:r w:rsidRPr="003C342B">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B75896" w:rsidRPr="003C342B">
        <w:rPr>
          <w:rFonts w:ascii="Palatino Linotype" w:eastAsia="Palatino Linotype" w:hAnsi="Palatino Linotype" w:cs="Palatino Linotype"/>
          <w:b/>
          <w:color w:val="000000" w:themeColor="text1"/>
        </w:rPr>
        <w:t xml:space="preserve">fracción </w:t>
      </w:r>
      <w:r w:rsidRPr="003C342B">
        <w:rPr>
          <w:rFonts w:ascii="Palatino Linotype" w:eastAsia="Palatino Linotype" w:hAnsi="Palatino Linotype" w:cs="Palatino Linotype"/>
          <w:b/>
          <w:color w:val="000000" w:themeColor="text1"/>
        </w:rPr>
        <w:t xml:space="preserve">I </w:t>
      </w:r>
      <w:r w:rsidRPr="003C342B">
        <w:rPr>
          <w:rFonts w:ascii="Palatino Linotype" w:eastAsia="Palatino Linotype" w:hAnsi="Palatino Linotype" w:cs="Palatino Linotype"/>
          <w:color w:val="000000" w:themeColor="text1"/>
        </w:rPr>
        <w:t xml:space="preserve">de la </w:t>
      </w:r>
      <w:r w:rsidRPr="003C342B">
        <w:rPr>
          <w:rFonts w:ascii="Palatino Linotype" w:eastAsia="Palatino Linotype" w:hAnsi="Palatino Linotype" w:cs="Palatino Linotype"/>
          <w:b/>
          <w:color w:val="000000" w:themeColor="text1"/>
        </w:rPr>
        <w:t xml:space="preserve">Ley de Transparencia y Acceso a la Información Pública del Estado de </w:t>
      </w:r>
      <w:r w:rsidRPr="003C342B">
        <w:rPr>
          <w:rFonts w:ascii="Palatino Linotype" w:eastAsia="Palatino Linotype" w:hAnsi="Palatino Linotype" w:cs="Palatino Linotype"/>
          <w:color w:val="000000" w:themeColor="text1"/>
        </w:rPr>
        <w:t>México</w:t>
      </w:r>
      <w:r w:rsidRPr="003C342B">
        <w:rPr>
          <w:rFonts w:ascii="Palatino Linotype" w:eastAsia="Palatino Linotype" w:hAnsi="Palatino Linotype" w:cs="Palatino Linotype"/>
          <w:b/>
          <w:color w:val="000000" w:themeColor="text1"/>
        </w:rPr>
        <w:t xml:space="preserve"> y </w:t>
      </w:r>
      <w:r w:rsidRPr="003C342B">
        <w:rPr>
          <w:rFonts w:ascii="Palatino Linotype" w:eastAsia="Palatino Linotype" w:hAnsi="Palatino Linotype" w:cs="Palatino Linotype"/>
          <w:color w:val="000000" w:themeColor="text1"/>
        </w:rPr>
        <w:t xml:space="preserve">Municipios; fracción que determina la hipótesis jurídica relativa </w:t>
      </w:r>
      <w:r w:rsidR="00B75896" w:rsidRPr="003C342B">
        <w:rPr>
          <w:rFonts w:ascii="Palatino Linotype" w:eastAsia="Palatino Linotype" w:hAnsi="Palatino Linotype" w:cs="Palatino Linotype"/>
          <w:color w:val="000000" w:themeColor="text1"/>
        </w:rPr>
        <w:t>a la negativa de la información solicitada</w:t>
      </w:r>
      <w:r w:rsidRPr="003C342B">
        <w:rPr>
          <w:rFonts w:ascii="Palatino Linotype" w:eastAsia="Palatino Linotype" w:hAnsi="Palatino Linotype" w:cs="Palatino Linotype"/>
          <w:color w:val="000000" w:themeColor="text1"/>
        </w:rPr>
        <w:t xml:space="preserve">; contexto del cual se dolió </w:t>
      </w:r>
      <w:r w:rsidRPr="003C342B">
        <w:rPr>
          <w:rFonts w:ascii="Palatino Linotype" w:eastAsia="Palatino Linotype" w:hAnsi="Palatino Linotype" w:cs="Palatino Linotype"/>
          <w:b/>
          <w:color w:val="000000" w:themeColor="text1"/>
        </w:rPr>
        <w:t xml:space="preserve">EL RECURRENTE </w:t>
      </w:r>
      <w:r w:rsidRPr="003C342B">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3C342B">
        <w:rPr>
          <w:rFonts w:ascii="Palatino Linotype" w:eastAsia="Palatino Linotype" w:hAnsi="Palatino Linotype" w:cs="Palatino Linotype"/>
          <w:b/>
          <w:color w:val="000000" w:themeColor="text1"/>
        </w:rPr>
        <w:t>SUJETO</w:t>
      </w:r>
      <w:r w:rsidRPr="003C342B">
        <w:rPr>
          <w:rFonts w:ascii="Palatino Linotype" w:eastAsia="Palatino Linotype" w:hAnsi="Palatino Linotype" w:cs="Palatino Linotype"/>
          <w:color w:val="000000" w:themeColor="text1"/>
        </w:rPr>
        <w:t xml:space="preserve"> </w:t>
      </w:r>
      <w:r w:rsidRPr="003C342B">
        <w:rPr>
          <w:rFonts w:ascii="Palatino Linotype" w:eastAsia="Palatino Linotype" w:hAnsi="Palatino Linotype" w:cs="Palatino Linotype"/>
          <w:b/>
          <w:color w:val="000000" w:themeColor="text1"/>
        </w:rPr>
        <w:t>OBLIGADO</w:t>
      </w:r>
      <w:r w:rsidRPr="003C342B">
        <w:rPr>
          <w:rFonts w:ascii="Palatino Linotype" w:eastAsia="Palatino Linotype" w:hAnsi="Palatino Linotype" w:cs="Palatino Linotype"/>
          <w:color w:val="000000" w:themeColor="text1"/>
        </w:rPr>
        <w:t xml:space="preserve"> con su respuesta ciertamente actualiza la causal de procedencia</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 xml:space="preserve">antes señalada. </w:t>
      </w:r>
    </w:p>
    <w:p w14:paraId="3D76790F"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050F10B1" w14:textId="77777777" w:rsidR="00E40613" w:rsidRPr="003C342B" w:rsidRDefault="00E40613" w:rsidP="003C342B">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8" w:name="_heading=h.4d34og8" w:colFirst="0" w:colLast="0"/>
      <w:bookmarkEnd w:id="8"/>
      <w:r w:rsidRPr="003C342B">
        <w:rPr>
          <w:rFonts w:ascii="Palatino Linotype" w:eastAsia="Palatino Linotype" w:hAnsi="Palatino Linotype" w:cs="Palatino Linotype"/>
          <w:b/>
          <w:color w:val="000000" w:themeColor="text1"/>
          <w:sz w:val="24"/>
          <w:szCs w:val="24"/>
        </w:rPr>
        <w:t>CUARTO. Del estudio y resolución del asunto.</w:t>
      </w:r>
    </w:p>
    <w:p w14:paraId="5036A37A" w14:textId="77777777" w:rsidR="00E40613" w:rsidRPr="003C342B" w:rsidRDefault="00E40613" w:rsidP="003C342B">
      <w:pPr>
        <w:pStyle w:val="Ttulo1"/>
        <w:numPr>
          <w:ilvl w:val="0"/>
          <w:numId w:val="1"/>
        </w:numPr>
        <w:spacing w:before="0" w:after="240" w:line="360" w:lineRule="auto"/>
        <w:ind w:left="0" w:firstLine="1"/>
        <w:rPr>
          <w:rFonts w:ascii="Palatino Linotype" w:eastAsia="Palatino Linotype" w:hAnsi="Palatino Linotype" w:cs="Palatino Linotype"/>
          <w:b/>
          <w:color w:val="000000" w:themeColor="text1"/>
          <w:sz w:val="24"/>
          <w:szCs w:val="24"/>
        </w:rPr>
      </w:pPr>
      <w:bookmarkStart w:id="9" w:name="_heading=h.2s8eyo1" w:colFirst="0" w:colLast="0"/>
      <w:bookmarkEnd w:id="9"/>
      <w:r w:rsidRPr="003C342B">
        <w:rPr>
          <w:rFonts w:ascii="Palatino Linotype" w:eastAsia="Palatino Linotype" w:hAnsi="Palatino Linotype" w:cs="Palatino Linotype"/>
          <w:b/>
          <w:color w:val="000000" w:themeColor="text1"/>
          <w:sz w:val="24"/>
          <w:szCs w:val="24"/>
        </w:rPr>
        <w:t>Del derecho de acceso a la información.</w:t>
      </w:r>
    </w:p>
    <w:p w14:paraId="5B2A5988"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3C342B">
        <w:rPr>
          <w:rFonts w:ascii="Palatino Linotype" w:eastAsia="Palatino Linotype" w:hAnsi="Palatino Linotype" w:cs="Palatino Linotype"/>
          <w:color w:val="000000" w:themeColor="text1"/>
        </w:rPr>
        <w:lastRenderedPageBreak/>
        <w:t xml:space="preserve">de los Estados Unidos Mexicanos y en el artículo quinto de la Particular del Estado de México. </w:t>
      </w:r>
    </w:p>
    <w:p w14:paraId="02B9AAEC" w14:textId="77777777" w:rsidR="00E40613" w:rsidRPr="003C342B" w:rsidRDefault="00E40613" w:rsidP="003C342B">
      <w:pPr>
        <w:pBdr>
          <w:top w:val="nil"/>
          <w:left w:val="nil"/>
          <w:bottom w:val="nil"/>
          <w:right w:val="nil"/>
          <w:between w:val="nil"/>
        </w:pBdr>
        <w:spacing w:after="240" w:line="360" w:lineRule="auto"/>
        <w:ind w:firstLine="1"/>
        <w:jc w:val="both"/>
        <w:rPr>
          <w:rFonts w:ascii="Palatino Linotype" w:eastAsia="Palatino Linotype" w:hAnsi="Palatino Linotype" w:cs="Palatino Linotype"/>
          <w:color w:val="000000" w:themeColor="text1"/>
        </w:rPr>
      </w:pPr>
    </w:p>
    <w:p w14:paraId="27DEE485"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Definiendo el Derecho de Acceso a la Información Pública como: </w:t>
      </w:r>
      <w:r w:rsidRPr="003C342B">
        <w:rPr>
          <w:rFonts w:ascii="Palatino Linotype" w:eastAsia="Palatino Linotype" w:hAnsi="Palatino Linotype" w:cs="Palatino Linotype"/>
          <w:i/>
          <w:color w:val="000000" w:themeColor="text1"/>
        </w:rPr>
        <w:t>La igualdad de oportunidades para recibir, buscar e impartir información</w:t>
      </w:r>
      <w:r w:rsidRPr="003C342B">
        <w:rPr>
          <w:rFonts w:ascii="Palatino Linotype" w:eastAsia="Palatino Linotype" w:hAnsi="Palatino Linotype" w:cs="Palatino Linotype"/>
          <w:i/>
          <w:color w:val="000000" w:themeColor="text1"/>
          <w:vertAlign w:val="superscript"/>
        </w:rPr>
        <w:footnoteReference w:id="1"/>
      </w:r>
      <w:r w:rsidRPr="003C342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C342B">
        <w:rPr>
          <w:rFonts w:ascii="Palatino Linotype" w:eastAsia="Palatino Linotype" w:hAnsi="Palatino Linotype" w:cs="Palatino Linotype"/>
          <w:i/>
          <w:color w:val="000000" w:themeColor="text1"/>
          <w:vertAlign w:val="superscript"/>
        </w:rPr>
        <w:footnoteReference w:id="2"/>
      </w:r>
      <w:r w:rsidRPr="003C342B">
        <w:rPr>
          <w:rFonts w:ascii="Palatino Linotype" w:eastAsia="Palatino Linotype" w:hAnsi="Palatino Linotype" w:cs="Palatino Linotype"/>
          <w:color w:val="000000" w:themeColor="text1"/>
        </w:rPr>
        <w:t>que se constituye como una herramienta fundamental para ejercer</w:t>
      </w:r>
      <w:r w:rsidRPr="003C342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3C342B">
        <w:rPr>
          <w:rFonts w:ascii="Palatino Linotype" w:eastAsia="Palatino Linotype" w:hAnsi="Palatino Linotype" w:cs="Palatino Linotype"/>
          <w:i/>
          <w:color w:val="000000" w:themeColor="text1"/>
          <w:vertAlign w:val="superscript"/>
        </w:rPr>
        <w:footnoteReference w:id="3"/>
      </w:r>
      <w:r w:rsidRPr="003C342B">
        <w:rPr>
          <w:rFonts w:ascii="Palatino Linotype" w:eastAsia="Palatino Linotype" w:hAnsi="Palatino Linotype" w:cs="Palatino Linotype"/>
          <w:color w:val="000000" w:themeColor="text1"/>
        </w:rPr>
        <w:t>fomentando</w:t>
      </w:r>
      <w:r w:rsidRPr="003C342B">
        <w:rPr>
          <w:rFonts w:ascii="Palatino Linotype" w:eastAsia="Palatino Linotype" w:hAnsi="Palatino Linotype" w:cs="Palatino Linotype"/>
          <w:i/>
          <w:color w:val="000000" w:themeColor="text1"/>
        </w:rPr>
        <w:t xml:space="preserve"> la transparencia de las actividades estatales y </w:t>
      </w:r>
      <w:r w:rsidRPr="003C342B">
        <w:rPr>
          <w:rFonts w:ascii="Palatino Linotype" w:eastAsia="Palatino Linotype" w:hAnsi="Palatino Linotype" w:cs="Palatino Linotype"/>
          <w:color w:val="000000" w:themeColor="text1"/>
        </w:rPr>
        <w:t>promoviendo</w:t>
      </w:r>
      <w:r w:rsidRPr="003C342B">
        <w:rPr>
          <w:rFonts w:ascii="Palatino Linotype" w:eastAsia="Palatino Linotype" w:hAnsi="Palatino Linotype" w:cs="Palatino Linotype"/>
          <w:i/>
          <w:color w:val="000000" w:themeColor="text1"/>
        </w:rPr>
        <w:t xml:space="preserve"> la responsabilidad de los funcionarios sobre su gestión pública,</w:t>
      </w:r>
      <w:r w:rsidRPr="003C342B">
        <w:rPr>
          <w:rFonts w:ascii="Palatino Linotype" w:eastAsia="Palatino Linotype" w:hAnsi="Palatino Linotype" w:cs="Palatino Linotype"/>
          <w:i/>
          <w:color w:val="000000" w:themeColor="text1"/>
          <w:vertAlign w:val="superscript"/>
        </w:rPr>
        <w:footnoteReference w:id="4"/>
      </w:r>
      <w:r w:rsidRPr="003C342B">
        <w:rPr>
          <w:rFonts w:ascii="Palatino Linotype" w:eastAsia="Palatino Linotype" w:hAnsi="Palatino Linotype" w:cs="Palatino Linotype"/>
          <w:color w:val="000000" w:themeColor="text1"/>
        </w:rPr>
        <w:t>que permite</w:t>
      </w:r>
      <w:r w:rsidRPr="003C342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2CF1926B"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A8AE405"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1F8CCA75"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r w:rsidRPr="003C342B">
        <w:rPr>
          <w:rFonts w:ascii="Palatino Linotype" w:eastAsia="Palatino Linotype" w:hAnsi="Palatino Linotype" w:cs="Palatino Linotype"/>
          <w:b/>
          <w:i/>
          <w:color w:val="000000" w:themeColor="text1"/>
        </w:rPr>
        <w:t>Artículo 1.-</w:t>
      </w:r>
      <w:r w:rsidRPr="003C342B">
        <w:rPr>
          <w:rFonts w:ascii="Palatino Linotype" w:eastAsia="Palatino Linotype" w:hAnsi="Palatino Linotype" w:cs="Palatino Linotype"/>
          <w:i/>
          <w:color w:val="000000" w:themeColor="text1"/>
        </w:rPr>
        <w:t xml:space="preserve"> </w:t>
      </w:r>
    </w:p>
    <w:p w14:paraId="773FB3A2"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p>
    <w:p w14:paraId="61DB327B"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Todas las</w:t>
      </w:r>
      <w:r w:rsidRPr="003C342B">
        <w:rPr>
          <w:rFonts w:ascii="Palatino Linotype" w:eastAsia="Palatino Linotype" w:hAnsi="Palatino Linotype" w:cs="Palatino Linotype"/>
          <w:color w:val="000000" w:themeColor="text1"/>
        </w:rPr>
        <w:t xml:space="preserve"> </w:t>
      </w:r>
      <w:r w:rsidRPr="003C342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12C706D"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i/>
          <w:color w:val="000000" w:themeColor="text1"/>
        </w:rPr>
        <w:t>(…)</w:t>
      </w:r>
      <w:r w:rsidRPr="003C342B">
        <w:rPr>
          <w:rFonts w:ascii="Palatino Linotype" w:eastAsia="Palatino Linotype" w:hAnsi="Palatino Linotype" w:cs="Palatino Linotype"/>
          <w:color w:val="000000" w:themeColor="text1"/>
        </w:rPr>
        <w:t>”.</w:t>
      </w:r>
    </w:p>
    <w:p w14:paraId="10E1D3FA" w14:textId="77777777" w:rsidR="00E40613" w:rsidRPr="003C342B" w:rsidRDefault="00E40613" w:rsidP="003C342B">
      <w:pPr>
        <w:spacing w:line="360" w:lineRule="auto"/>
        <w:ind w:firstLine="1"/>
        <w:jc w:val="both"/>
        <w:rPr>
          <w:rFonts w:ascii="Palatino Linotype" w:eastAsia="Palatino Linotype" w:hAnsi="Palatino Linotype" w:cs="Palatino Linotype"/>
          <w:b/>
          <w:color w:val="000000" w:themeColor="text1"/>
        </w:rPr>
      </w:pPr>
    </w:p>
    <w:p w14:paraId="428DD125"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59D628A"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11DA29C4"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7901301" w14:textId="77777777" w:rsidR="00E40613" w:rsidRPr="003C342B" w:rsidRDefault="00E40613" w:rsidP="003C342B">
      <w:pPr>
        <w:spacing w:after="240"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Constitución Política de los Estados Unidos Mexicanos</w:t>
      </w:r>
    </w:p>
    <w:p w14:paraId="1D3602A1"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“Artículo 6.</w:t>
      </w:r>
    </w:p>
    <w:p w14:paraId="3C0F983B"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p>
    <w:p w14:paraId="3D4FDCAF"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Para efectos de lo dispuesto en el presente artículo se observará lo siguiente:</w:t>
      </w:r>
    </w:p>
    <w:p w14:paraId="3BD209D4"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lastRenderedPageBreak/>
        <w:t>A</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Para el ejercicio del derecho de acceso a la información</w:t>
      </w:r>
      <w:r w:rsidRPr="003C342B">
        <w:rPr>
          <w:rFonts w:ascii="Palatino Linotype" w:eastAsia="Palatino Linotype" w:hAnsi="Palatino Linotype" w:cs="Palatino Linotype"/>
          <w:i/>
          <w:color w:val="000000" w:themeColor="text1"/>
        </w:rPr>
        <w:t xml:space="preserve">, la Federación y </w:t>
      </w:r>
      <w:r w:rsidRPr="003C342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3CFE535"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 xml:space="preserve">I. </w:t>
      </w:r>
      <w:r w:rsidRPr="003C342B">
        <w:rPr>
          <w:rFonts w:ascii="Palatino Linotype" w:eastAsia="Palatino Linotype" w:hAnsi="Palatino Linotype" w:cs="Palatino Linotype"/>
          <w:b/>
          <w:i/>
          <w:color w:val="000000" w:themeColor="text1"/>
        </w:rPr>
        <w:tab/>
        <w:t>Toda la información en posesión de cualquier</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autoridad</w:t>
      </w:r>
      <w:r w:rsidRPr="003C342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C342B">
        <w:rPr>
          <w:rFonts w:ascii="Palatino Linotype" w:eastAsia="Palatino Linotype" w:hAnsi="Palatino Linotype" w:cs="Palatino Linotype"/>
          <w:b/>
          <w:i/>
          <w:color w:val="000000" w:themeColor="text1"/>
        </w:rPr>
        <w:t>municipal</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es pública</w:t>
      </w:r>
      <w:r w:rsidRPr="003C342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C342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C342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79F94DB"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Constitución Política del Estado Libre y Soberano de México</w:t>
      </w:r>
    </w:p>
    <w:p w14:paraId="201E6A88"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5</w:t>
      </w:r>
      <w:r w:rsidRPr="003C342B">
        <w:rPr>
          <w:rFonts w:ascii="Palatino Linotype" w:eastAsia="Palatino Linotype" w:hAnsi="Palatino Linotype" w:cs="Palatino Linotype"/>
          <w:i/>
          <w:color w:val="000000" w:themeColor="text1"/>
        </w:rPr>
        <w:t xml:space="preserve">.- </w:t>
      </w:r>
    </w:p>
    <w:p w14:paraId="49E99622"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p>
    <w:p w14:paraId="21316F12"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3C342B">
        <w:rPr>
          <w:rFonts w:ascii="Palatino Linotype" w:eastAsia="Palatino Linotype" w:hAnsi="Palatino Linotype" w:cs="Palatino Linotype"/>
          <w:i/>
          <w:color w:val="000000" w:themeColor="text1"/>
        </w:rPr>
        <w:t>.</w:t>
      </w:r>
    </w:p>
    <w:p w14:paraId="007EBB6B"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8E89BFD"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Este derecho se regirá por los principios y bases siguientes</w:t>
      </w:r>
      <w:r w:rsidRPr="003C342B">
        <w:rPr>
          <w:rFonts w:ascii="Palatino Linotype" w:eastAsia="Palatino Linotype" w:hAnsi="Palatino Linotype" w:cs="Palatino Linotype"/>
          <w:i/>
          <w:color w:val="000000" w:themeColor="text1"/>
        </w:rPr>
        <w:t>:</w:t>
      </w:r>
    </w:p>
    <w:p w14:paraId="2EB50185" w14:textId="77777777" w:rsidR="00E40613" w:rsidRPr="003C342B" w:rsidRDefault="00E40613" w:rsidP="003C342B">
      <w:pPr>
        <w:spacing w:before="240" w:after="240"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3C342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C342B">
        <w:rPr>
          <w:rFonts w:ascii="Palatino Linotype" w:eastAsia="Palatino Linotype" w:hAnsi="Palatino Linotype" w:cs="Palatino Linotype"/>
          <w:b/>
          <w:i/>
          <w:color w:val="000000" w:themeColor="text1"/>
        </w:rPr>
        <w:t>municipales</w:t>
      </w:r>
      <w:r w:rsidRPr="003C342B">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C342B">
        <w:rPr>
          <w:rFonts w:ascii="Palatino Linotype" w:eastAsia="Palatino Linotype" w:hAnsi="Palatino Linotype" w:cs="Palatino Linotype"/>
          <w:b/>
          <w:i/>
          <w:color w:val="000000" w:themeColor="text1"/>
        </w:rPr>
        <w:t>es pública</w:t>
      </w:r>
      <w:r w:rsidRPr="003C342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C342B">
        <w:rPr>
          <w:rFonts w:ascii="Palatino Linotype" w:eastAsia="Palatino Linotype" w:hAnsi="Palatino Linotype" w:cs="Palatino Linotype"/>
          <w:b/>
          <w:i/>
          <w:color w:val="000000" w:themeColor="text1"/>
        </w:rPr>
        <w:t>En la interpretación de este derecho deberá prevalecer el principio de máxima publicidad</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3C342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C8E1EEB"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3C342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C342B">
        <w:rPr>
          <w:rFonts w:ascii="Palatino Linotype" w:eastAsia="Palatino Linotype" w:hAnsi="Palatino Linotype" w:cs="Palatino Linotype"/>
          <w:color w:val="000000" w:themeColor="text1"/>
        </w:rPr>
        <w:t>, contemplando el derecho de las personas con discapacidad y hablantes de lengua indígena.</w:t>
      </w:r>
    </w:p>
    <w:p w14:paraId="5345090B"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1A78C583"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C342B">
        <w:rPr>
          <w:rFonts w:ascii="Palatino Linotype" w:eastAsia="Palatino Linotype" w:hAnsi="Palatino Linotype" w:cs="Palatino Linotype"/>
          <w:i/>
          <w:color w:val="000000" w:themeColor="text1"/>
        </w:rPr>
        <w:t>solicitudes de acceso a la información</w:t>
      </w:r>
      <w:r w:rsidRPr="003C342B">
        <w:rPr>
          <w:rFonts w:ascii="Palatino Linotype" w:eastAsia="Palatino Linotype" w:hAnsi="Palatino Linotype" w:cs="Palatino Linotype"/>
          <w:color w:val="000000" w:themeColor="text1"/>
        </w:rPr>
        <w:t>.</w:t>
      </w:r>
    </w:p>
    <w:p w14:paraId="263DF641"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321CCFEA"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bookmarkStart w:id="10" w:name="_heading=h.17dp8vu" w:colFirst="0" w:colLast="0"/>
      <w:bookmarkEnd w:id="10"/>
      <w:r w:rsidRPr="003C342B">
        <w:rPr>
          <w:rFonts w:ascii="Palatino Linotype" w:eastAsia="Palatino Linotype" w:hAnsi="Palatino Linotype" w:cs="Palatino Linotype"/>
          <w:color w:val="000000" w:themeColor="text1"/>
        </w:rPr>
        <w:t xml:space="preserve">Así entonces, se procede analizar, en primer lugar, si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3C342B">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14:paraId="1661159C"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2586ADBB" w14:textId="77777777" w:rsidR="00E40613" w:rsidRPr="003C342B" w:rsidRDefault="00E40613" w:rsidP="003C342B">
      <w:pPr>
        <w:pStyle w:val="Ttulo1"/>
        <w:spacing w:before="0" w:after="240" w:line="360" w:lineRule="auto"/>
        <w:ind w:firstLine="1"/>
        <w:rPr>
          <w:rFonts w:ascii="Palatino Linotype" w:eastAsia="Palatino Linotype" w:hAnsi="Palatino Linotype" w:cs="Palatino Linotype"/>
          <w:b/>
          <w:color w:val="000000" w:themeColor="text1"/>
          <w:sz w:val="24"/>
          <w:szCs w:val="24"/>
        </w:rPr>
      </w:pPr>
      <w:bookmarkStart w:id="11" w:name="_heading=h.3rdcrjn" w:colFirst="0" w:colLast="0"/>
      <w:bookmarkEnd w:id="11"/>
      <w:r w:rsidRPr="003C342B">
        <w:rPr>
          <w:rFonts w:ascii="Palatino Linotype" w:eastAsia="Palatino Linotype" w:hAnsi="Palatino Linotype" w:cs="Palatino Linotype"/>
          <w:b/>
          <w:color w:val="000000" w:themeColor="text1"/>
          <w:sz w:val="24"/>
          <w:szCs w:val="24"/>
        </w:rPr>
        <w:t>II. De la información solicitada y la respuesta del SUJETO OBLIGADO</w:t>
      </w:r>
    </w:p>
    <w:p w14:paraId="3AC3B148"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Acotada la </w:t>
      </w:r>
      <w:r w:rsidRPr="003C342B">
        <w:rPr>
          <w:rFonts w:ascii="Palatino Linotype" w:eastAsia="Palatino Linotype" w:hAnsi="Palatino Linotype" w:cs="Palatino Linotype"/>
          <w:i/>
          <w:color w:val="000000" w:themeColor="text1"/>
        </w:rPr>
        <w:t>Litis</w:t>
      </w:r>
      <w:r w:rsidRPr="003C342B">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w:t>
      </w:r>
      <w:r w:rsidR="005E1190" w:rsidRPr="003C342B">
        <w:rPr>
          <w:rFonts w:ascii="Palatino Linotype" w:eastAsia="Palatino Linotype" w:hAnsi="Palatino Linotype" w:cs="Palatino Linotype"/>
          <w:color w:val="000000" w:themeColor="text1"/>
        </w:rPr>
        <w:t>por la negativa de la información solicitada</w:t>
      </w:r>
    </w:p>
    <w:p w14:paraId="0074E28A"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1F237145"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En ese sentido,  se determina que la información que solicito el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consistió en lo siguiente, así como su procedencia para el análisis de cada punto solicitado. </w:t>
      </w:r>
    </w:p>
    <w:p w14:paraId="2DBD3331" w14:textId="77777777" w:rsidR="00E40613" w:rsidRPr="003C342B" w:rsidRDefault="00E40613" w:rsidP="003C342B">
      <w:pPr>
        <w:pStyle w:val="Prrafodelista"/>
        <w:spacing w:line="360" w:lineRule="auto"/>
        <w:ind w:left="0" w:firstLine="1"/>
        <w:rPr>
          <w:rFonts w:ascii="Palatino Linotype" w:eastAsia="Palatino Linotype" w:hAnsi="Palatino Linotype" w:cs="Palatino Linotype"/>
          <w:color w:val="000000" w:themeColor="text1"/>
        </w:rPr>
      </w:pPr>
    </w:p>
    <w:p w14:paraId="4E61BCF3" w14:textId="77777777" w:rsidR="007817B6" w:rsidRPr="003C342B" w:rsidRDefault="007817B6"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De los documentos requeridos por la Comisión Federal para la Protección contra Riesgos Sanitarios De la clínica Madre, Teresa de Calcuta adscrita al DIF municipal de Huehuetoca: </w:t>
      </w:r>
    </w:p>
    <w:p w14:paraId="169A85D1"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tbl>
      <w:tblPr>
        <w:tblW w:w="9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2126"/>
        <w:gridCol w:w="2126"/>
        <w:gridCol w:w="2126"/>
      </w:tblGrid>
      <w:tr w:rsidR="003C342B" w:rsidRPr="003C342B" w14:paraId="78700D88" w14:textId="77777777" w:rsidTr="002E5292">
        <w:trPr>
          <w:jc w:val="center"/>
        </w:trPr>
        <w:tc>
          <w:tcPr>
            <w:tcW w:w="3103" w:type="dxa"/>
          </w:tcPr>
          <w:p w14:paraId="410C6251"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Información Solicitada</w:t>
            </w:r>
          </w:p>
        </w:tc>
        <w:tc>
          <w:tcPr>
            <w:tcW w:w="2126" w:type="dxa"/>
          </w:tcPr>
          <w:p w14:paraId="13248A88"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Respuesta </w:t>
            </w:r>
          </w:p>
        </w:tc>
        <w:tc>
          <w:tcPr>
            <w:tcW w:w="2126" w:type="dxa"/>
          </w:tcPr>
          <w:p w14:paraId="7BE3335B"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Informe Justificado </w:t>
            </w:r>
          </w:p>
        </w:tc>
        <w:tc>
          <w:tcPr>
            <w:tcW w:w="2126" w:type="dxa"/>
          </w:tcPr>
          <w:p w14:paraId="563633DA"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Colma</w:t>
            </w:r>
          </w:p>
        </w:tc>
      </w:tr>
      <w:tr w:rsidR="00E40613" w:rsidRPr="003C342B" w14:paraId="6DB54637" w14:textId="77777777" w:rsidTr="002E5292">
        <w:trPr>
          <w:jc w:val="center"/>
        </w:trPr>
        <w:tc>
          <w:tcPr>
            <w:tcW w:w="3103" w:type="dxa"/>
          </w:tcPr>
          <w:p w14:paraId="7DC4045A" w14:textId="77777777" w:rsidR="007817B6" w:rsidRPr="003C342B" w:rsidRDefault="00E40613"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rPr>
              <w:t xml:space="preserve"> </w:t>
            </w:r>
            <w:r w:rsidR="007817B6" w:rsidRPr="003C342B">
              <w:rPr>
                <w:rFonts w:ascii="Palatino Linotype" w:eastAsia="Palatino Linotype" w:hAnsi="Palatino Linotype" w:cs="Palatino Linotype"/>
                <w:b/>
                <w:i/>
                <w:color w:val="000000" w:themeColor="text1"/>
                <w:lang w:val="es-MX"/>
              </w:rPr>
              <w:t xml:space="preserve">1.- Licencia sanitaria de construcción </w:t>
            </w:r>
          </w:p>
          <w:p w14:paraId="63E7EAE7"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2.- Licencia sanitaria para establecimientos médicos que practican actos quirúrgicos </w:t>
            </w:r>
          </w:p>
          <w:p w14:paraId="532B83A6"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3.- Aviso de funcionamiento </w:t>
            </w:r>
          </w:p>
          <w:p w14:paraId="47664814"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lastRenderedPageBreak/>
              <w:t xml:space="preserve">4.- Aviso de responsable sanitario </w:t>
            </w:r>
          </w:p>
          <w:p w14:paraId="39E7F9C3"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5.- Licencia sanitaria de servicio de transfusión </w:t>
            </w:r>
          </w:p>
          <w:p w14:paraId="13658728"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6.- Autorización para uso de medicamentos controlados </w:t>
            </w:r>
          </w:p>
          <w:p w14:paraId="38FED0CA"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7.- Documentos de solicitud de cada uno de estos ante la autoridad federal</w:t>
            </w:r>
          </w:p>
          <w:p w14:paraId="229CA542" w14:textId="77777777" w:rsidR="007817B6" w:rsidRPr="003C342B" w:rsidRDefault="007817B6" w:rsidP="003C342B">
            <w:pPr>
              <w:spacing w:line="360" w:lineRule="auto"/>
              <w:ind w:firstLine="1"/>
              <w:jc w:val="both"/>
              <w:rPr>
                <w:rFonts w:ascii="Palatino Linotype" w:eastAsia="Palatino Linotype" w:hAnsi="Palatino Linotype" w:cs="Palatino Linotype"/>
                <w:b/>
                <w:i/>
                <w:color w:val="000000" w:themeColor="text1"/>
                <w:lang w:val="es-MX"/>
              </w:rPr>
            </w:pPr>
          </w:p>
          <w:p w14:paraId="6E7CA094"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p>
        </w:tc>
        <w:tc>
          <w:tcPr>
            <w:tcW w:w="2126" w:type="dxa"/>
          </w:tcPr>
          <w:p w14:paraId="3E29322C" w14:textId="77777777" w:rsidR="00E40613" w:rsidRPr="003C342B" w:rsidRDefault="007817B6"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 xml:space="preserve">Se declara la incompetencia </w:t>
            </w:r>
          </w:p>
        </w:tc>
        <w:tc>
          <w:tcPr>
            <w:tcW w:w="2126" w:type="dxa"/>
          </w:tcPr>
          <w:p w14:paraId="4D7684BF" w14:textId="77777777" w:rsidR="00E40613" w:rsidRPr="003C342B" w:rsidRDefault="007817B6"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No se remite información</w:t>
            </w:r>
          </w:p>
        </w:tc>
        <w:tc>
          <w:tcPr>
            <w:tcW w:w="2126" w:type="dxa"/>
          </w:tcPr>
          <w:p w14:paraId="56CF6728" w14:textId="77777777" w:rsidR="00E40613" w:rsidRPr="003C342B" w:rsidRDefault="00E40613"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No colma, toda vez que </w:t>
            </w:r>
            <w:r w:rsidR="007817B6" w:rsidRPr="003C342B">
              <w:rPr>
                <w:rFonts w:ascii="Palatino Linotype" w:eastAsia="Palatino Linotype" w:hAnsi="Palatino Linotype" w:cs="Palatino Linotype"/>
                <w:i/>
                <w:color w:val="000000" w:themeColor="text1"/>
              </w:rPr>
              <w:t xml:space="preserve">la clínica forma parte de la Estructura Orgánica del Sistema Municipal Para el Desarrollo Integral de la </w:t>
            </w:r>
            <w:r w:rsidR="007817B6" w:rsidRPr="003C342B">
              <w:rPr>
                <w:rFonts w:ascii="Palatino Linotype" w:eastAsia="Palatino Linotype" w:hAnsi="Palatino Linotype" w:cs="Palatino Linotype"/>
                <w:i/>
                <w:color w:val="000000" w:themeColor="text1"/>
              </w:rPr>
              <w:lastRenderedPageBreak/>
              <w:t xml:space="preserve">Familia de Huehuetoca. </w:t>
            </w:r>
          </w:p>
        </w:tc>
      </w:tr>
    </w:tbl>
    <w:p w14:paraId="5E53A045"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9384D4F" w14:textId="77777777" w:rsidR="00D817A0"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De lo anterior, se </w:t>
      </w:r>
      <w:r w:rsidR="00FE147F" w:rsidRPr="003C342B">
        <w:rPr>
          <w:rFonts w:ascii="Palatino Linotype" w:eastAsia="Palatino Linotype" w:hAnsi="Palatino Linotype" w:cs="Palatino Linotype"/>
          <w:color w:val="000000" w:themeColor="text1"/>
        </w:rPr>
        <w:t xml:space="preserve">tiene que el </w:t>
      </w:r>
      <w:r w:rsidR="00FE147F" w:rsidRPr="003C342B">
        <w:rPr>
          <w:rFonts w:ascii="Palatino Linotype" w:eastAsia="Palatino Linotype" w:hAnsi="Palatino Linotype" w:cs="Palatino Linotype"/>
          <w:b/>
          <w:color w:val="000000" w:themeColor="text1"/>
        </w:rPr>
        <w:t xml:space="preserve">SUJETO OBLIGADO </w:t>
      </w:r>
      <w:r w:rsidR="00FE147F" w:rsidRPr="003C342B">
        <w:rPr>
          <w:rFonts w:ascii="Palatino Linotype" w:eastAsia="Palatino Linotype" w:hAnsi="Palatino Linotype" w:cs="Palatino Linotype"/>
          <w:color w:val="000000" w:themeColor="text1"/>
        </w:rPr>
        <w:t xml:space="preserve">se declaró incompetente para atender la solicitud de información al informar que lo solicitado se encuentra en los archivos del </w:t>
      </w:r>
      <w:r w:rsidR="00E8148B" w:rsidRPr="002E5292">
        <w:rPr>
          <w:rFonts w:ascii="Palatino Linotype" w:eastAsia="Palatino Linotype" w:hAnsi="Palatino Linotype" w:cs="Palatino Linotype"/>
          <w:b/>
          <w:bCs/>
          <w:color w:val="000000" w:themeColor="text1"/>
        </w:rPr>
        <w:t>Ayuntamiento de Huehuetoca</w:t>
      </w:r>
      <w:r w:rsidR="00FE147F" w:rsidRPr="003C342B">
        <w:rPr>
          <w:rFonts w:ascii="Palatino Linotype" w:eastAsia="Palatino Linotype" w:hAnsi="Palatino Linotype" w:cs="Palatino Linotype"/>
          <w:b/>
          <w:color w:val="000000" w:themeColor="text1"/>
        </w:rPr>
        <w:t xml:space="preserve">, </w:t>
      </w:r>
      <w:r w:rsidR="00FE147F" w:rsidRPr="003C342B">
        <w:rPr>
          <w:rFonts w:ascii="Palatino Linotype" w:eastAsia="Palatino Linotype" w:hAnsi="Palatino Linotype" w:cs="Palatino Linotype"/>
          <w:color w:val="000000" w:themeColor="text1"/>
        </w:rPr>
        <w:t xml:space="preserve">toda vez que la clínica referida en la solicitud de información </w:t>
      </w:r>
      <w:r w:rsidR="00D817A0" w:rsidRPr="003C342B">
        <w:rPr>
          <w:rFonts w:ascii="Palatino Linotype" w:eastAsia="Palatino Linotype" w:hAnsi="Palatino Linotype" w:cs="Palatino Linotype"/>
          <w:color w:val="000000" w:themeColor="text1"/>
        </w:rPr>
        <w:t xml:space="preserve">forma parte de la Dirección de Salud, sin embargo de acuerdo con el Bando Municipal del periodo solicitado la clínica forma parte del </w:t>
      </w:r>
      <w:r w:rsidR="00D817A0" w:rsidRPr="003C342B">
        <w:rPr>
          <w:rFonts w:ascii="Palatino Linotype" w:eastAsia="Palatino Linotype" w:hAnsi="Palatino Linotype" w:cs="Palatino Linotype"/>
          <w:b/>
          <w:color w:val="000000" w:themeColor="text1"/>
        </w:rPr>
        <w:t>Sistema Municipal Para el Desarrollo Integral de la Familia de Huehuetoca</w:t>
      </w:r>
      <w:r w:rsidR="00D817A0" w:rsidRPr="003C342B">
        <w:rPr>
          <w:rFonts w:ascii="Palatino Linotype" w:eastAsia="Palatino Linotype" w:hAnsi="Palatino Linotype" w:cs="Palatino Linotype"/>
          <w:color w:val="000000" w:themeColor="text1"/>
        </w:rPr>
        <w:t xml:space="preserve">, toda vez que la Unidad Clínica si forma parte de la Dirección de Salud pero del </w:t>
      </w:r>
      <w:r w:rsidR="00D817A0" w:rsidRPr="003C342B">
        <w:rPr>
          <w:rFonts w:ascii="Palatino Linotype" w:eastAsia="Palatino Linotype" w:hAnsi="Palatino Linotype" w:cs="Palatino Linotype"/>
          <w:b/>
          <w:color w:val="000000" w:themeColor="text1"/>
        </w:rPr>
        <w:t>SUJETO OBLIGADO</w:t>
      </w:r>
      <w:r w:rsidR="00D817A0" w:rsidRPr="003C342B">
        <w:rPr>
          <w:rFonts w:ascii="Palatino Linotype" w:eastAsia="Palatino Linotype" w:hAnsi="Palatino Linotype" w:cs="Palatino Linotype"/>
          <w:color w:val="000000" w:themeColor="text1"/>
        </w:rPr>
        <w:t xml:space="preserve">, tal y como se muestra en la siguiente captura de pantalla. </w:t>
      </w:r>
    </w:p>
    <w:p w14:paraId="0FFAAC2A" w14:textId="77777777" w:rsidR="00D817A0" w:rsidRPr="003C342B" w:rsidRDefault="00D817A0" w:rsidP="003C342B">
      <w:pPr>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noProof/>
          <w:color w:val="000000" w:themeColor="text1"/>
          <w:lang w:val="es-MX" w:eastAsia="es-MX"/>
        </w:rPr>
        <w:lastRenderedPageBreak/>
        <w:drawing>
          <wp:anchor distT="0" distB="0" distL="114300" distR="114300" simplePos="0" relativeHeight="251659264" behindDoc="0" locked="0" layoutInCell="1" allowOverlap="1" wp14:anchorId="50B7B783" wp14:editId="3307EE6A">
            <wp:simplePos x="0" y="0"/>
            <wp:positionH relativeFrom="page">
              <wp:align>right</wp:align>
            </wp:positionH>
            <wp:positionV relativeFrom="paragraph">
              <wp:posOffset>551383</wp:posOffset>
            </wp:positionV>
            <wp:extent cx="3831636" cy="980237"/>
            <wp:effectExtent l="152400" t="152400" r="359410" b="353695"/>
            <wp:wrapThrough wrapText="bothSides">
              <wp:wrapPolygon edited="0">
                <wp:start x="430" y="-3360"/>
                <wp:lineTo x="-859" y="-2520"/>
                <wp:lineTo x="-859" y="23098"/>
                <wp:lineTo x="-644" y="24778"/>
                <wp:lineTo x="644" y="28137"/>
                <wp:lineTo x="752" y="28977"/>
                <wp:lineTo x="21908" y="28977"/>
                <wp:lineTo x="22015" y="28137"/>
                <wp:lineTo x="23304" y="24778"/>
                <wp:lineTo x="23519" y="17638"/>
                <wp:lineTo x="23519" y="4200"/>
                <wp:lineTo x="22230" y="-2100"/>
                <wp:lineTo x="22123" y="-3360"/>
                <wp:lineTo x="430" y="-336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31636" cy="98023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3C342B">
        <w:rPr>
          <w:rFonts w:ascii="Palatino Linotype" w:eastAsia="Palatino Linotype" w:hAnsi="Palatino Linotype" w:cs="Palatino Linotype"/>
          <w:noProof/>
          <w:color w:val="000000" w:themeColor="text1"/>
          <w:lang w:val="es-MX" w:eastAsia="es-MX"/>
        </w:rPr>
        <w:drawing>
          <wp:anchor distT="0" distB="0" distL="114300" distR="114300" simplePos="0" relativeHeight="251658240" behindDoc="0" locked="0" layoutInCell="1" allowOverlap="1" wp14:anchorId="52521978" wp14:editId="1175A8FD">
            <wp:simplePos x="0" y="0"/>
            <wp:positionH relativeFrom="column">
              <wp:posOffset>-744169</wp:posOffset>
            </wp:positionH>
            <wp:positionV relativeFrom="paragraph">
              <wp:posOffset>273355</wp:posOffset>
            </wp:positionV>
            <wp:extent cx="3116662" cy="1799539"/>
            <wp:effectExtent l="152400" t="152400" r="369570" b="353695"/>
            <wp:wrapThrough wrapText="bothSides">
              <wp:wrapPolygon edited="0">
                <wp:start x="528" y="-1830"/>
                <wp:lineTo x="-1056" y="-1372"/>
                <wp:lineTo x="-1056" y="22416"/>
                <wp:lineTo x="-396" y="24246"/>
                <wp:lineTo x="792" y="25161"/>
                <wp:lineTo x="924" y="25618"/>
                <wp:lineTo x="22049" y="25618"/>
                <wp:lineTo x="22181" y="25161"/>
                <wp:lineTo x="23237" y="24246"/>
                <wp:lineTo x="24029" y="20815"/>
                <wp:lineTo x="24029" y="2287"/>
                <wp:lineTo x="22445" y="-1144"/>
                <wp:lineTo x="22313" y="-1830"/>
                <wp:lineTo x="528" y="-183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6662" cy="179953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EAB8048"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 </w:t>
      </w:r>
    </w:p>
    <w:p w14:paraId="34650666"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22B35265" w14:textId="77777777" w:rsidR="00A63A89" w:rsidRPr="003C342B" w:rsidRDefault="00A63A89"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 se determina que la Unidad Médica Central “Madre Teresa de Calcuta”, forma parte de la estructura organización de la Dirección de Salud pero del Sistema Municipal Para el Desarrollo Integral de la Familia de Huehuetoca, situación por la cual se colige que si es competente para atender la solicitud de información. </w:t>
      </w:r>
    </w:p>
    <w:p w14:paraId="546CB047" w14:textId="77777777" w:rsidR="00A63A89" w:rsidRPr="003C342B" w:rsidRDefault="00A63A89" w:rsidP="003C342B">
      <w:pPr>
        <w:spacing w:line="360" w:lineRule="auto"/>
        <w:ind w:firstLine="1"/>
        <w:jc w:val="both"/>
        <w:rPr>
          <w:rFonts w:ascii="Palatino Linotype" w:eastAsia="Palatino Linotype" w:hAnsi="Palatino Linotype" w:cs="Palatino Linotype"/>
          <w:i/>
          <w:color w:val="000000" w:themeColor="text1"/>
        </w:rPr>
      </w:pPr>
    </w:p>
    <w:p w14:paraId="68B3677C" w14:textId="77777777" w:rsidR="00926B66" w:rsidRPr="003C342B" w:rsidRDefault="00926B66"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Una vez precisado lo anterior, se debe de analizar la necesidad del porque la información solicitada, debe de encontrarse en los archivos del </w:t>
      </w:r>
      <w:r w:rsidRPr="003C342B">
        <w:rPr>
          <w:rFonts w:ascii="Palatino Linotype" w:eastAsia="Palatino Linotype" w:hAnsi="Palatino Linotype" w:cs="Palatino Linotype"/>
          <w:b/>
          <w:color w:val="000000" w:themeColor="text1"/>
        </w:rPr>
        <w:t xml:space="preserve">SUJETO OBLIGADO. </w:t>
      </w:r>
    </w:p>
    <w:p w14:paraId="4595FC21" w14:textId="77777777" w:rsidR="00926B66" w:rsidRPr="003C342B" w:rsidRDefault="00926B66" w:rsidP="003C342B">
      <w:pPr>
        <w:pStyle w:val="Prrafodelista"/>
        <w:spacing w:line="360" w:lineRule="auto"/>
        <w:ind w:left="0" w:firstLine="1"/>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61A801B2" w14:textId="77777777" w:rsidTr="002E5292">
        <w:tc>
          <w:tcPr>
            <w:tcW w:w="4414" w:type="dxa"/>
          </w:tcPr>
          <w:p w14:paraId="25F65009" w14:textId="77777777" w:rsidR="00926B66" w:rsidRPr="003C342B" w:rsidRDefault="00926B66"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Documento solicitado</w:t>
            </w:r>
          </w:p>
        </w:tc>
        <w:tc>
          <w:tcPr>
            <w:tcW w:w="5220" w:type="dxa"/>
          </w:tcPr>
          <w:p w14:paraId="75693F22" w14:textId="77777777" w:rsidR="00926B66" w:rsidRPr="003C342B" w:rsidRDefault="00926B66"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Fundamento Legal </w:t>
            </w:r>
          </w:p>
        </w:tc>
      </w:tr>
      <w:tr w:rsidR="003C342B" w:rsidRPr="003C342B" w14:paraId="43918523" w14:textId="77777777" w:rsidTr="002E5292">
        <w:tc>
          <w:tcPr>
            <w:tcW w:w="4414" w:type="dxa"/>
          </w:tcPr>
          <w:p w14:paraId="0555FDBB" w14:textId="77777777" w:rsidR="003F03A2" w:rsidRPr="003C342B" w:rsidRDefault="003F03A2"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lang w:val="es-MX"/>
              </w:rPr>
              <w:t xml:space="preserve">1.- Licencia sanitaria de construcción </w:t>
            </w:r>
          </w:p>
        </w:tc>
        <w:tc>
          <w:tcPr>
            <w:tcW w:w="5220" w:type="dxa"/>
          </w:tcPr>
          <w:p w14:paraId="4EF3B045" w14:textId="77777777" w:rsidR="003F03A2" w:rsidRPr="003C342B" w:rsidRDefault="003F03A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De acuerdo con el artículo 224 del Reglamento de la Ley General de Salud en Materia de Prestación de Servicios de Atención Médica, regula que requiere permiso lo siguiente. </w:t>
            </w:r>
          </w:p>
          <w:p w14:paraId="75BE2FE3" w14:textId="77777777" w:rsidR="009022B9" w:rsidRPr="003C342B" w:rsidRDefault="009022B9"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ARTICULO 224.- Requiere de permiso; </w:t>
            </w:r>
          </w:p>
          <w:p w14:paraId="1C401C17"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 xml:space="preserve">I.- La construcción, ampliación, remodelación, rehabilitación, acondicionamiento y </w:t>
            </w:r>
            <w:r w:rsidRPr="003C342B">
              <w:rPr>
                <w:rFonts w:ascii="Palatino Linotype" w:eastAsia="Palatino Linotype" w:hAnsi="Palatino Linotype" w:cs="Palatino Linotype"/>
                <w:b/>
                <w:i/>
                <w:color w:val="000000" w:themeColor="text1"/>
              </w:rPr>
              <w:lastRenderedPageBreak/>
              <w:t>equipamiento de los establecimientos dedicados a la prestación de servicios de atención médica, en cualquiera de sus modalidades;</w:t>
            </w:r>
            <w:r w:rsidRPr="003C342B">
              <w:rPr>
                <w:rFonts w:ascii="Palatino Linotype" w:eastAsia="Palatino Linotype" w:hAnsi="Palatino Linotype" w:cs="Palatino Linotype"/>
                <w:i/>
                <w:color w:val="000000" w:themeColor="text1"/>
              </w:rPr>
              <w:t xml:space="preserve"> </w:t>
            </w:r>
          </w:p>
          <w:p w14:paraId="62826550"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II.- Los responsables de los establecimientos a que se refiere este Reglamento; </w:t>
            </w:r>
          </w:p>
          <w:p w14:paraId="3F75886D"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III.- Los responsables de la operación y funcionamiento de equipos de rayos X y sus auxiliares técnicos; </w:t>
            </w:r>
          </w:p>
          <w:p w14:paraId="1AFF99B0"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IV.- La posesión, transporte y utilización de fuentes de radiación y materiales radiactivos, así como la eliminación, desmantelamiento de los mismos y la disposición de sus desechos; </w:t>
            </w:r>
          </w:p>
          <w:p w14:paraId="5AB7B17A"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 Los responsables del control de estupefacientes y substancias psicotrópicas de los establecimientos a que se refiere este Reglamento; </w:t>
            </w:r>
          </w:p>
          <w:p w14:paraId="54208C88"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VI.- La subrogación de servicios de atención médica por parte de establecimientos sociales y privados, y </w:t>
            </w:r>
          </w:p>
          <w:p w14:paraId="7FBC16DE"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VII.- Las demás actividades que se establezcan en este ordenamiento. </w:t>
            </w:r>
          </w:p>
          <w:p w14:paraId="6DC63E34"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Los permisos a que se refiere este artículo, sólo podrán ser expedidos por la Secretaría, con excepción del caso previsto en la fracción III, el que estará sujeto a lo dispuesto en el Artículo 125 de la Ley. Se </w:t>
            </w:r>
            <w:r w:rsidRPr="003C342B">
              <w:rPr>
                <w:rFonts w:ascii="Palatino Linotype" w:eastAsia="Palatino Linotype" w:hAnsi="Palatino Linotype" w:cs="Palatino Linotype"/>
                <w:i/>
                <w:color w:val="000000" w:themeColor="text1"/>
              </w:rPr>
              <w:lastRenderedPageBreak/>
              <w:t xml:space="preserve">otorgarán por tiempo indeterminado, los permisos a que se refieren las fracciones II y V de este artículo y con validez de dos años en los demás casos. </w:t>
            </w:r>
          </w:p>
          <w:p w14:paraId="694D3EF5" w14:textId="77777777" w:rsidR="003F03A2"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ARTICULO 225.-</w:t>
            </w:r>
            <w:r w:rsidRPr="003C342B">
              <w:rPr>
                <w:rFonts w:ascii="Palatino Linotype" w:eastAsia="Palatino Linotype" w:hAnsi="Palatino Linotype" w:cs="Palatino Linotype"/>
                <w:i/>
                <w:color w:val="000000" w:themeColor="text1"/>
              </w:rPr>
              <w:t xml:space="preserve"> Para obtener los permisos a que se refiere el artículo anterior, además de cumplir con las obligaciones que establece la Ley y el presente Reglamento, se estará a lo previsto por las normas oficiales mexicanas correspondientes.</w:t>
            </w:r>
          </w:p>
          <w:p w14:paraId="537536C3"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p>
          <w:p w14:paraId="52C2B70C" w14:textId="77777777" w:rsidR="009022B9" w:rsidRPr="003C342B" w:rsidRDefault="008E71F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Por</w:t>
            </w:r>
            <w:r w:rsidR="009022B9" w:rsidRPr="003C342B">
              <w:rPr>
                <w:rFonts w:ascii="Palatino Linotype" w:eastAsia="Palatino Linotype" w:hAnsi="Palatino Linotype" w:cs="Palatino Linotype"/>
                <w:i/>
                <w:color w:val="000000" w:themeColor="text1"/>
              </w:rPr>
              <w:t xml:space="preserve"> otro lado la NORMA Oficial Mexicana NOM-016-SSA3-2012, Que establece las características mínimas de infraestructura y equipamiento de hospitales y consultorios de atención médica especializada, regula lo siguiente. </w:t>
            </w:r>
          </w:p>
          <w:p w14:paraId="12F529E5" w14:textId="77777777" w:rsidR="009022B9" w:rsidRPr="003C342B" w:rsidRDefault="009022B9"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 </w:t>
            </w:r>
            <w:r w:rsidR="008E71FA" w:rsidRPr="003C342B">
              <w:rPr>
                <w:rFonts w:ascii="Palatino Linotype" w:eastAsia="Palatino Linotype" w:hAnsi="Palatino Linotype" w:cs="Palatino Linotype"/>
                <w:b/>
                <w:i/>
                <w:color w:val="000000" w:themeColor="text1"/>
              </w:rPr>
              <w:t>5.1.3</w:t>
            </w:r>
            <w:r w:rsidR="008E71FA" w:rsidRPr="003C342B">
              <w:rPr>
                <w:rFonts w:ascii="Palatino Linotype" w:eastAsia="Palatino Linotype" w:hAnsi="Palatino Linotype" w:cs="Palatino Linotype"/>
                <w:i/>
                <w:color w:val="000000" w:themeColor="text1"/>
              </w:rPr>
              <w:t xml:space="preserve"> La construcción, ampliación, rehabilitación, acondicionamiento y equipamiento de los establecimientos para la atención médica hospitalaria, requiere de permiso sanitario de construcción, de conformidad con lo que establecen, la presente norma y otras disposiciones jurídicas aplicables</w:t>
            </w:r>
          </w:p>
          <w:p w14:paraId="6254E432" w14:textId="77777777" w:rsidR="008E71FA" w:rsidRPr="003C342B" w:rsidRDefault="008E71FA" w:rsidP="003C342B">
            <w:pPr>
              <w:spacing w:line="360" w:lineRule="auto"/>
              <w:ind w:firstLine="1"/>
              <w:jc w:val="both"/>
              <w:rPr>
                <w:rFonts w:ascii="Palatino Linotype" w:eastAsia="Palatino Linotype" w:hAnsi="Palatino Linotype" w:cs="Palatino Linotype"/>
                <w:i/>
                <w:color w:val="000000" w:themeColor="text1"/>
              </w:rPr>
            </w:pPr>
          </w:p>
          <w:p w14:paraId="6DC3403B" w14:textId="77777777" w:rsidR="008E71FA" w:rsidRPr="003C342B" w:rsidRDefault="008E71F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De lo anterior, de acuerdo con lo investigado por este Órgano Garante, se determina que la COFEPRIS si </w:t>
            </w:r>
            <w:r w:rsidRPr="003C342B">
              <w:rPr>
                <w:rFonts w:ascii="Palatino Linotype" w:eastAsia="Palatino Linotype" w:hAnsi="Palatino Linotype" w:cs="Palatino Linotype"/>
                <w:i/>
                <w:color w:val="000000" w:themeColor="text1"/>
              </w:rPr>
              <w:lastRenderedPageBreak/>
              <w:t xml:space="preserve">autoriza el Permiso de Construcción Sanitaria, tal y como se muestra en la siguiente captura de pantalla. </w:t>
            </w:r>
          </w:p>
          <w:p w14:paraId="7684111D" w14:textId="77777777" w:rsidR="008E71FA" w:rsidRPr="003C342B" w:rsidRDefault="008E71FA" w:rsidP="003C342B">
            <w:pPr>
              <w:spacing w:line="360" w:lineRule="auto"/>
              <w:ind w:firstLine="1"/>
              <w:jc w:val="center"/>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noProof/>
                <w:color w:val="000000" w:themeColor="text1"/>
                <w:lang w:val="es-MX" w:eastAsia="es-MX"/>
              </w:rPr>
              <w:drawing>
                <wp:inline distT="0" distB="0" distL="0" distR="0" wp14:anchorId="719F760D" wp14:editId="0D80BC06">
                  <wp:extent cx="2092707" cy="2136038"/>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8124" cy="2151774"/>
                          </a:xfrm>
                          <a:prstGeom prst="rect">
                            <a:avLst/>
                          </a:prstGeom>
                        </pic:spPr>
                      </pic:pic>
                    </a:graphicData>
                  </a:graphic>
                </wp:inline>
              </w:drawing>
            </w:r>
          </w:p>
        </w:tc>
      </w:tr>
    </w:tbl>
    <w:p w14:paraId="40AD7671" w14:textId="77777777" w:rsidR="008E71FA" w:rsidRPr="003C342B" w:rsidRDefault="008E71FA" w:rsidP="003C342B">
      <w:pPr>
        <w:spacing w:line="360" w:lineRule="auto"/>
        <w:ind w:firstLine="1"/>
        <w:jc w:val="both"/>
        <w:rPr>
          <w:rFonts w:ascii="Palatino Linotype" w:eastAsia="Palatino Linotype" w:hAnsi="Palatino Linotype" w:cs="Palatino Linotype"/>
          <w:i/>
          <w:color w:val="000000" w:themeColor="text1"/>
        </w:rPr>
      </w:pPr>
    </w:p>
    <w:p w14:paraId="59A5A803" w14:textId="77777777" w:rsidR="008E71FA" w:rsidRPr="003C342B" w:rsidRDefault="008E71FA"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 se concluye que </w:t>
      </w:r>
      <w:r w:rsidR="00782727" w:rsidRPr="003C342B">
        <w:rPr>
          <w:rFonts w:ascii="Palatino Linotype" w:eastAsia="Palatino Linotype" w:hAnsi="Palatino Linotype" w:cs="Palatino Linotype"/>
          <w:color w:val="000000" w:themeColor="text1"/>
        </w:rPr>
        <w:t xml:space="preserve">el permiso de </w:t>
      </w:r>
      <w:r w:rsidRPr="003C342B">
        <w:rPr>
          <w:rFonts w:ascii="Palatino Linotype" w:eastAsia="Palatino Linotype" w:hAnsi="Palatino Linotype" w:cs="Palatino Linotype"/>
          <w:color w:val="000000" w:themeColor="text1"/>
        </w:rPr>
        <w:t xml:space="preserve">construcción de la clínica </w:t>
      </w:r>
      <w:r w:rsidR="00782727" w:rsidRPr="003C342B">
        <w:rPr>
          <w:rFonts w:ascii="Palatino Linotype" w:eastAsia="Palatino Linotype" w:hAnsi="Palatino Linotype" w:cs="Palatino Linotype"/>
          <w:color w:val="000000" w:themeColor="text1"/>
        </w:rPr>
        <w:t>médica</w:t>
      </w:r>
      <w:r w:rsidRPr="003C342B">
        <w:rPr>
          <w:rFonts w:ascii="Palatino Linotype" w:eastAsia="Palatino Linotype" w:hAnsi="Palatino Linotype" w:cs="Palatino Linotype"/>
          <w:color w:val="000000" w:themeColor="text1"/>
        </w:rPr>
        <w:t xml:space="preserve"> referida en l</w:t>
      </w:r>
      <w:r w:rsidR="00782727" w:rsidRPr="003C342B">
        <w:rPr>
          <w:rFonts w:ascii="Palatino Linotype" w:eastAsia="Palatino Linotype" w:hAnsi="Palatino Linotype" w:cs="Palatino Linotype"/>
          <w:color w:val="000000" w:themeColor="text1"/>
        </w:rPr>
        <w:t>a</w:t>
      </w:r>
      <w:r w:rsidRPr="003C342B">
        <w:rPr>
          <w:rFonts w:ascii="Palatino Linotype" w:eastAsia="Palatino Linotype" w:hAnsi="Palatino Linotype" w:cs="Palatino Linotype"/>
          <w:color w:val="000000" w:themeColor="text1"/>
        </w:rPr>
        <w:t xml:space="preserve"> solicitud de información, debe de obrar en los archivos del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 xml:space="preserve">situación </w:t>
      </w:r>
      <w:r w:rsidR="00782727" w:rsidRPr="003C342B">
        <w:rPr>
          <w:rFonts w:ascii="Palatino Linotype" w:eastAsia="Palatino Linotype" w:hAnsi="Palatino Linotype" w:cs="Palatino Linotype"/>
          <w:color w:val="000000" w:themeColor="text1"/>
        </w:rPr>
        <w:t xml:space="preserve">por la cual para colmar el derecho de acceso a la información el </w:t>
      </w:r>
      <w:r w:rsidR="00782727" w:rsidRPr="003C342B">
        <w:rPr>
          <w:rFonts w:ascii="Palatino Linotype" w:eastAsia="Palatino Linotype" w:hAnsi="Palatino Linotype" w:cs="Palatino Linotype"/>
          <w:b/>
          <w:color w:val="000000" w:themeColor="text1"/>
        </w:rPr>
        <w:t xml:space="preserve">permiso de construcción </w:t>
      </w:r>
      <w:r w:rsidR="00782727" w:rsidRPr="003C342B">
        <w:rPr>
          <w:rFonts w:ascii="Palatino Linotype" w:eastAsia="Palatino Linotype" w:hAnsi="Palatino Linotype" w:cs="Palatino Linotype"/>
          <w:color w:val="000000" w:themeColor="text1"/>
        </w:rPr>
        <w:t xml:space="preserve">deberá de ser entregado al </w:t>
      </w:r>
      <w:r w:rsidR="00782727" w:rsidRPr="003C342B">
        <w:rPr>
          <w:rFonts w:ascii="Palatino Linotype" w:eastAsia="Palatino Linotype" w:hAnsi="Palatino Linotype" w:cs="Palatino Linotype"/>
          <w:b/>
          <w:color w:val="000000" w:themeColor="text1"/>
        </w:rPr>
        <w:t xml:space="preserve">RECURRENTE. </w:t>
      </w:r>
    </w:p>
    <w:p w14:paraId="432B688F"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rPr>
      </w:pPr>
    </w:p>
    <w:p w14:paraId="73571E3F" w14:textId="77777777" w:rsidR="00782727" w:rsidRPr="003C342B" w:rsidRDefault="00782727"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Ahora bien, en cuanto a la </w:t>
      </w:r>
      <w:r w:rsidRPr="003C342B">
        <w:rPr>
          <w:rFonts w:ascii="Palatino Linotype" w:eastAsia="Palatino Linotype" w:hAnsi="Palatino Linotype" w:cs="Palatino Linotype"/>
          <w:b/>
          <w:i/>
          <w:color w:val="000000" w:themeColor="text1"/>
          <w:lang w:val="es-MX"/>
        </w:rPr>
        <w:t>licencia sanitaria para establecimientos médicos que practican actos quirúrgicos</w:t>
      </w:r>
      <w:r w:rsidRPr="003C342B">
        <w:rPr>
          <w:rFonts w:ascii="Palatino Linotype" w:eastAsia="Palatino Linotype" w:hAnsi="Palatino Linotype" w:cs="Palatino Linotype"/>
          <w:color w:val="000000" w:themeColor="text1"/>
        </w:rPr>
        <w:t xml:space="preserve">, se hace el siguiente </w:t>
      </w:r>
      <w:r w:rsidR="003C342B" w:rsidRPr="003C342B">
        <w:rPr>
          <w:rFonts w:ascii="Palatino Linotype" w:eastAsia="Palatino Linotype" w:hAnsi="Palatino Linotype" w:cs="Palatino Linotype"/>
          <w:color w:val="000000" w:themeColor="text1"/>
        </w:rPr>
        <w:t>análisis</w:t>
      </w:r>
      <w:r w:rsidRPr="003C342B">
        <w:rPr>
          <w:rFonts w:ascii="Palatino Linotype" w:eastAsia="Palatino Linotype" w:hAnsi="Palatino Linotype" w:cs="Palatino Linotype"/>
          <w:color w:val="000000" w:themeColor="text1"/>
        </w:rPr>
        <w:t xml:space="preserve">. </w:t>
      </w:r>
    </w:p>
    <w:p w14:paraId="70305118" w14:textId="77777777" w:rsidR="00782727" w:rsidRPr="003C342B" w:rsidRDefault="00782727" w:rsidP="003C342B">
      <w:pPr>
        <w:pStyle w:val="Prrafodelista"/>
        <w:spacing w:line="360" w:lineRule="auto"/>
        <w:ind w:left="0" w:firstLine="1"/>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48C1C2F1" w14:textId="77777777" w:rsidTr="002E5292">
        <w:tc>
          <w:tcPr>
            <w:tcW w:w="4414" w:type="dxa"/>
          </w:tcPr>
          <w:p w14:paraId="08A3E974" w14:textId="77777777" w:rsidR="00782727" w:rsidRPr="003C342B" w:rsidRDefault="00782727"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Licencia sanitaria para establecimientos médicos que practican actos quirúrgicos </w:t>
            </w:r>
          </w:p>
        </w:tc>
        <w:tc>
          <w:tcPr>
            <w:tcW w:w="5220" w:type="dxa"/>
          </w:tcPr>
          <w:p w14:paraId="133FB1A1"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lang w:val="es-MX"/>
              </w:rPr>
              <w:t xml:space="preserve">De conformidad con el artículo 198 de la Ley General de Salud, regula que los establecimientos requieren autorización sanitaría en los siguientes casos. </w:t>
            </w:r>
          </w:p>
          <w:p w14:paraId="0D8E2098"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198.-</w:t>
            </w:r>
            <w:r w:rsidRPr="003C342B">
              <w:rPr>
                <w:rFonts w:ascii="Palatino Linotype" w:eastAsia="Palatino Linotype" w:hAnsi="Palatino Linotype" w:cs="Palatino Linotype"/>
                <w:i/>
                <w:color w:val="000000" w:themeColor="text1"/>
              </w:rPr>
              <w:t xml:space="preserve"> Requieren </w:t>
            </w:r>
            <w:r w:rsidRPr="003C342B">
              <w:rPr>
                <w:rFonts w:ascii="Palatino Linotype" w:eastAsia="Palatino Linotype" w:hAnsi="Palatino Linotype" w:cs="Palatino Linotype"/>
                <w:b/>
                <w:i/>
                <w:color w:val="000000" w:themeColor="text1"/>
              </w:rPr>
              <w:t>autorización sanitaria</w:t>
            </w:r>
            <w:r w:rsidRPr="003C342B">
              <w:rPr>
                <w:rFonts w:ascii="Palatino Linotype" w:eastAsia="Palatino Linotype" w:hAnsi="Palatino Linotype" w:cs="Palatino Linotype"/>
                <w:i/>
                <w:color w:val="000000" w:themeColor="text1"/>
              </w:rPr>
              <w:t xml:space="preserve"> los establecimientos dedicados a: El proceso de los medicamentos que contengan estupefacientes y </w:t>
            </w:r>
            <w:r w:rsidRPr="003C342B">
              <w:rPr>
                <w:rFonts w:ascii="Palatino Linotype" w:eastAsia="Palatino Linotype" w:hAnsi="Palatino Linotype" w:cs="Palatino Linotype"/>
                <w:i/>
                <w:color w:val="000000" w:themeColor="text1"/>
              </w:rPr>
              <w:lastRenderedPageBreak/>
              <w:t xml:space="preserve">psicotrópicos; vacunas; toxoides; sueros y antitoxinas de origen animal, y hemoderivados; </w:t>
            </w:r>
          </w:p>
          <w:p w14:paraId="2085160D"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II. La elaboración, fabricación o preparación de medicamentos, plaguicidas, nutrientes vegetales o sustancias tóxicas o peligrosas; </w:t>
            </w:r>
          </w:p>
          <w:p w14:paraId="2CABB85B"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III. La aplicación de plaguicidas; </w:t>
            </w:r>
          </w:p>
          <w:p w14:paraId="52CC4769"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IV. La utilización de fuentes de radiación para fines médicos o de diagnóstico, y </w:t>
            </w:r>
          </w:p>
          <w:p w14:paraId="01DC6482" w14:textId="77777777" w:rsidR="00782727" w:rsidRPr="003C342B" w:rsidRDefault="00782727"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V. Los establecimientos en que se practiquen actos quirúrgicos u obstétricos y los que presten servicios de hemodiálisis. </w:t>
            </w:r>
          </w:p>
          <w:p w14:paraId="7F088F23"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VI. Centros de mezcla para la preparación de mezclas parenterales nutricionales y medicamentosas. </w:t>
            </w:r>
          </w:p>
          <w:p w14:paraId="06682F9A"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La solicitud de autorización sanitaria deberá presentarse ante la autoridad sanitaria, previamente al inicio de sus actividades. Cuando así se determine por acuerdo del Secretario, los establecimientos en que se realice el proceso de los productos a que se refiere el artículo 194 de esta ley y su transporte deberán sujetarse a las normas de funcionamiento y seguridad que al respecto se emitan.</w:t>
            </w:r>
          </w:p>
          <w:p w14:paraId="65F6D121"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lang w:val="es-MX"/>
              </w:rPr>
            </w:pPr>
          </w:p>
        </w:tc>
      </w:tr>
    </w:tbl>
    <w:p w14:paraId="4C607D3A" w14:textId="77777777" w:rsidR="00782727" w:rsidRPr="003C342B" w:rsidRDefault="00782727" w:rsidP="003C342B">
      <w:pPr>
        <w:spacing w:line="360" w:lineRule="auto"/>
        <w:ind w:firstLine="1"/>
        <w:jc w:val="both"/>
        <w:rPr>
          <w:rFonts w:ascii="Palatino Linotype" w:eastAsia="Palatino Linotype" w:hAnsi="Palatino Linotype" w:cs="Palatino Linotype"/>
          <w:i/>
          <w:color w:val="000000" w:themeColor="text1"/>
        </w:rPr>
      </w:pPr>
    </w:p>
    <w:p w14:paraId="2CB10691" w14:textId="77777777" w:rsidR="00782727" w:rsidRPr="003C342B" w:rsidRDefault="00782727" w:rsidP="003C342B">
      <w:pPr>
        <w:pStyle w:val="Prrafodelista"/>
        <w:spacing w:line="360" w:lineRule="auto"/>
        <w:ind w:left="0" w:firstLine="1"/>
        <w:rPr>
          <w:rFonts w:ascii="Palatino Linotype" w:eastAsia="Palatino Linotype" w:hAnsi="Palatino Linotype" w:cs="Palatino Linotype"/>
          <w:color w:val="000000" w:themeColor="text1"/>
        </w:rPr>
      </w:pPr>
    </w:p>
    <w:p w14:paraId="1E55C31E" w14:textId="77777777" w:rsidR="00782727" w:rsidRPr="003C342B" w:rsidRDefault="00782727"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lastRenderedPageBreak/>
        <w:t xml:space="preserve">De lo anterior, se determina que la Unidad Médica referida en la solicitud de información si debe de contar con la autorización correspondiente a la </w:t>
      </w:r>
      <w:r w:rsidR="008D5B69" w:rsidRPr="003C342B">
        <w:rPr>
          <w:rFonts w:ascii="Palatino Linotype" w:eastAsia="Palatino Linotype" w:hAnsi="Palatino Linotype" w:cs="Palatino Linotype"/>
          <w:color w:val="000000" w:themeColor="text1"/>
        </w:rPr>
        <w:t>realización</w:t>
      </w:r>
      <w:r w:rsidRPr="003C342B">
        <w:rPr>
          <w:rFonts w:ascii="Palatino Linotype" w:eastAsia="Palatino Linotype" w:hAnsi="Palatino Linotype" w:cs="Palatino Linotype"/>
          <w:color w:val="000000" w:themeColor="text1"/>
        </w:rPr>
        <w:t xml:space="preserve"> de actos quirúrgicos, toda vez que fue localizada una noticia en la cual se </w:t>
      </w:r>
      <w:r w:rsidR="008D5B69" w:rsidRPr="003C342B">
        <w:rPr>
          <w:rFonts w:ascii="Palatino Linotype" w:eastAsia="Palatino Linotype" w:hAnsi="Palatino Linotype" w:cs="Palatino Linotype"/>
          <w:color w:val="000000" w:themeColor="text1"/>
        </w:rPr>
        <w:t>realizó</w:t>
      </w:r>
      <w:r w:rsidRPr="003C342B">
        <w:rPr>
          <w:rFonts w:ascii="Palatino Linotype" w:eastAsia="Palatino Linotype" w:hAnsi="Palatino Linotype" w:cs="Palatino Linotype"/>
          <w:color w:val="000000" w:themeColor="text1"/>
        </w:rPr>
        <w:t xml:space="preserve"> </w:t>
      </w:r>
      <w:r w:rsidR="008D5B69" w:rsidRPr="003C342B">
        <w:rPr>
          <w:rFonts w:ascii="Palatino Linotype" w:eastAsia="Palatino Linotype" w:hAnsi="Palatino Linotype" w:cs="Palatino Linotype"/>
          <w:color w:val="000000" w:themeColor="text1"/>
        </w:rPr>
        <w:t xml:space="preserve">la cirugía del nacimiento de recién nacido, tal y como se observa a continuación. </w:t>
      </w:r>
    </w:p>
    <w:p w14:paraId="5B2B1297" w14:textId="77777777" w:rsidR="008D5B69" w:rsidRPr="003C342B" w:rsidRDefault="007A613B" w:rsidP="003C342B">
      <w:pPr>
        <w:spacing w:line="360" w:lineRule="auto"/>
        <w:ind w:firstLine="1"/>
        <w:jc w:val="center"/>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noProof/>
          <w:color w:val="000000" w:themeColor="text1"/>
          <w:lang w:val="es-MX" w:eastAsia="es-MX"/>
        </w:rPr>
        <w:drawing>
          <wp:inline distT="0" distB="0" distL="0" distR="0" wp14:anchorId="1EB9E9DB" wp14:editId="5D4D2876">
            <wp:extent cx="5612130" cy="504190"/>
            <wp:effectExtent l="152400" t="152400" r="369570" b="3530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1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E7509A4" w14:textId="77777777" w:rsidR="007A613B" w:rsidRPr="003C342B" w:rsidRDefault="007A613B"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 En esa línea, se concluye que toda vez que la clínica </w:t>
      </w:r>
      <w:r w:rsidR="00B542C5" w:rsidRPr="003C342B">
        <w:rPr>
          <w:rFonts w:ascii="Palatino Linotype" w:eastAsia="Palatino Linotype" w:hAnsi="Palatino Linotype" w:cs="Palatino Linotype"/>
          <w:color w:val="000000" w:themeColor="text1"/>
        </w:rPr>
        <w:t>médica</w:t>
      </w:r>
      <w:r w:rsidRPr="003C342B">
        <w:rPr>
          <w:rFonts w:ascii="Palatino Linotype" w:eastAsia="Palatino Linotype" w:hAnsi="Palatino Linotype" w:cs="Palatino Linotype"/>
          <w:color w:val="000000" w:themeColor="text1"/>
        </w:rPr>
        <w:t xml:space="preserve"> referida en la solicitud de información si realiza actos quirúrgicos es que debe de contar con la autorización correspondiente por la COFEPRIS, situación por la cual para colmar el derecho de acceso a la información 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 xml:space="preserve">deberá de proporcionar dicha autorización sanitaria. </w:t>
      </w:r>
    </w:p>
    <w:p w14:paraId="0AFFA9CE" w14:textId="77777777" w:rsidR="007A613B" w:rsidRPr="003C342B" w:rsidRDefault="007A613B" w:rsidP="003C342B">
      <w:pPr>
        <w:spacing w:line="360" w:lineRule="auto"/>
        <w:ind w:firstLine="1"/>
        <w:jc w:val="both"/>
        <w:rPr>
          <w:rFonts w:ascii="Palatino Linotype" w:eastAsia="Palatino Linotype" w:hAnsi="Palatino Linotype" w:cs="Palatino Linotype"/>
          <w:i/>
          <w:color w:val="000000" w:themeColor="text1"/>
        </w:rPr>
      </w:pPr>
    </w:p>
    <w:p w14:paraId="0D21F36B" w14:textId="77777777" w:rsidR="0077712D" w:rsidRPr="003C342B" w:rsidRDefault="0077712D"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Ahora bien por cuanto hace al </w:t>
      </w:r>
      <w:r w:rsidRPr="003C342B">
        <w:rPr>
          <w:rFonts w:ascii="Palatino Linotype" w:eastAsia="Palatino Linotype" w:hAnsi="Palatino Linotype" w:cs="Palatino Linotype"/>
          <w:b/>
          <w:color w:val="000000" w:themeColor="text1"/>
        </w:rPr>
        <w:t>aviso de funcionamiento</w:t>
      </w:r>
      <w:r w:rsidRPr="003C342B">
        <w:rPr>
          <w:rFonts w:ascii="Palatino Linotype" w:eastAsia="Palatino Linotype" w:hAnsi="Palatino Linotype" w:cs="Palatino Linotype"/>
          <w:color w:val="000000" w:themeColor="text1"/>
        </w:rPr>
        <w:t xml:space="preserve"> se analiza lo siguiente. </w:t>
      </w:r>
    </w:p>
    <w:p w14:paraId="6778485F" w14:textId="77777777" w:rsidR="0077712D" w:rsidRPr="003C342B" w:rsidRDefault="0077712D" w:rsidP="003C342B">
      <w:pPr>
        <w:spacing w:line="360" w:lineRule="auto"/>
        <w:ind w:firstLine="1"/>
        <w:jc w:val="both"/>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11042041" w14:textId="77777777" w:rsidTr="002E5292">
        <w:tc>
          <w:tcPr>
            <w:tcW w:w="4414" w:type="dxa"/>
          </w:tcPr>
          <w:p w14:paraId="0C7D459F" w14:textId="77777777" w:rsidR="00690A9C" w:rsidRPr="003C342B" w:rsidRDefault="00690A9C"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lang w:val="es-MX"/>
              </w:rPr>
              <w:t xml:space="preserve">3.- Aviso de funcionamiento </w:t>
            </w:r>
          </w:p>
        </w:tc>
        <w:tc>
          <w:tcPr>
            <w:tcW w:w="5220" w:type="dxa"/>
          </w:tcPr>
          <w:p w14:paraId="3CE4A7D3" w14:textId="77777777" w:rsidR="00690A9C" w:rsidRPr="003C342B" w:rsidRDefault="00690A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45.-</w:t>
            </w:r>
            <w:r w:rsidRPr="003C342B">
              <w:rPr>
                <w:rFonts w:ascii="Palatino Linotype" w:eastAsia="Palatino Linotype" w:hAnsi="Palatino Linotype" w:cs="Palatino Linotype"/>
                <w:i/>
                <w:color w:val="000000" w:themeColor="text1"/>
              </w:rPr>
              <w:t xml:space="preserve"> Corresponde a la Secretaría de Salud vigilar y controlar la creación y funcionamiento de todo tipo de establecimientos de servicios de salud, así como fijar las normas oficiales mexicanas a las que deberán sujetarse.</w:t>
            </w:r>
          </w:p>
          <w:p w14:paraId="2B0712EF" w14:textId="77777777" w:rsidR="00690A9C" w:rsidRPr="003C342B" w:rsidRDefault="00690A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47.-</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Los establecimientos de servicios de salud deberán presentar aviso de funcionamiento a la Secretaría de Salud</w:t>
            </w:r>
            <w:r w:rsidRPr="003C342B">
              <w:rPr>
                <w:rFonts w:ascii="Palatino Linotype" w:eastAsia="Palatino Linotype" w:hAnsi="Palatino Linotype" w:cs="Palatino Linotype"/>
                <w:i/>
                <w:color w:val="000000" w:themeColor="text1"/>
              </w:rPr>
              <w:t xml:space="preserve">, en el </w:t>
            </w:r>
            <w:r w:rsidRPr="003C342B">
              <w:rPr>
                <w:rFonts w:ascii="Palatino Linotype" w:eastAsia="Palatino Linotype" w:hAnsi="Palatino Linotype" w:cs="Palatino Linotype"/>
                <w:i/>
                <w:color w:val="000000" w:themeColor="text1"/>
              </w:rPr>
              <w:lastRenderedPageBreak/>
              <w:t>supuesto previsto en el primer párrafo del artículo 200 bis de esta ley. En el aviso se expresarán las características y tipo de servicios a que estén destinados y, en el caso de establecimientos particulares, se señalará también al responsable sanitario. El aviso a que se refiere el párrafo anterior deberá presentarse por lo menos treinta días anteriores a aquel en que se pretendan iniciar operaciones y contener los requisitos establecidos en el artículo 200 Bis de esta Ley.</w:t>
            </w:r>
          </w:p>
          <w:p w14:paraId="496E2707" w14:textId="77777777" w:rsidR="00251645" w:rsidRPr="003C342B" w:rsidRDefault="00251645"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200 Bis.-</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Deberán dar aviso de funcionamiento los establecimientos que no requieran de autorización sanitaria</w:t>
            </w:r>
            <w:r w:rsidRPr="003C342B">
              <w:rPr>
                <w:rFonts w:ascii="Palatino Linotype" w:eastAsia="Palatino Linotype" w:hAnsi="Palatino Linotype" w:cs="Palatino Linotype"/>
                <w:i/>
                <w:color w:val="000000" w:themeColor="text1"/>
              </w:rPr>
              <w:t xml:space="preserve"> y que, mediante acuerdo, determine la Secretaría de Salud.</w:t>
            </w:r>
          </w:p>
          <w:p w14:paraId="21DC06F8" w14:textId="77777777" w:rsidR="00251645" w:rsidRPr="003C342B" w:rsidRDefault="00251645"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El acuerdo a que se refiere el párrafo anterior clasificará a los establecimientos en función de la actividad que realicen y se publicará en el Diario Oficial de la Federación.</w:t>
            </w:r>
          </w:p>
        </w:tc>
      </w:tr>
    </w:tbl>
    <w:p w14:paraId="66560E04" w14:textId="77777777" w:rsidR="0077712D" w:rsidRPr="003C342B" w:rsidRDefault="0077712D" w:rsidP="003C342B">
      <w:pPr>
        <w:pStyle w:val="Prrafodelista"/>
        <w:spacing w:line="360" w:lineRule="auto"/>
        <w:ind w:left="0" w:firstLine="1"/>
        <w:rPr>
          <w:rFonts w:ascii="Palatino Linotype" w:eastAsia="Palatino Linotype" w:hAnsi="Palatino Linotype" w:cs="Palatino Linotype"/>
          <w:color w:val="000000" w:themeColor="text1"/>
        </w:rPr>
      </w:pPr>
    </w:p>
    <w:p w14:paraId="0E649655" w14:textId="77777777" w:rsidR="0052280A" w:rsidRPr="003C342B" w:rsidRDefault="00251645"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 se der el caso que la Clínica Médica “Madre Teresa de Calcuta” cuente con aviso de funcionamiento, deberá de ser entregado para colmar el derecho de acceso a la información del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sin embargo </w:t>
      </w:r>
      <w:r w:rsidR="0052280A" w:rsidRPr="003C342B">
        <w:rPr>
          <w:rFonts w:ascii="Palatino Linotype" w:eastAsia="Palatino Linotype" w:hAnsi="Palatino Linotype" w:cs="Palatino Linotype"/>
          <w:color w:val="000000" w:themeColor="text1"/>
        </w:rPr>
        <w:t xml:space="preserve">de ser el caso que por su actividad no requiera de aviso de funcionamiento, bastará con que el </w:t>
      </w:r>
      <w:r w:rsidR="0052280A" w:rsidRPr="003C342B">
        <w:rPr>
          <w:rFonts w:ascii="Palatino Linotype" w:eastAsia="Palatino Linotype" w:hAnsi="Palatino Linotype" w:cs="Palatino Linotype"/>
          <w:b/>
          <w:color w:val="000000" w:themeColor="text1"/>
        </w:rPr>
        <w:t xml:space="preserve">SUJETO OBLIGADO </w:t>
      </w:r>
      <w:r w:rsidR="0052280A" w:rsidRPr="003C342B">
        <w:rPr>
          <w:rFonts w:ascii="Palatino Linotype" w:eastAsia="Palatino Linotype" w:hAnsi="Palatino Linotype" w:cs="Palatino Linotype"/>
          <w:color w:val="000000" w:themeColor="text1"/>
        </w:rPr>
        <w:t xml:space="preserve">lo haga del </w:t>
      </w:r>
      <w:r w:rsidR="0052280A" w:rsidRPr="003C342B">
        <w:rPr>
          <w:rFonts w:ascii="Palatino Linotype" w:eastAsia="Palatino Linotype" w:hAnsi="Palatino Linotype" w:cs="Palatino Linotype"/>
          <w:color w:val="000000" w:themeColor="text1"/>
        </w:rPr>
        <w:lastRenderedPageBreak/>
        <w:t xml:space="preserve">conocimiento del  </w:t>
      </w:r>
      <w:r w:rsidR="0052280A" w:rsidRPr="003C342B">
        <w:rPr>
          <w:rFonts w:ascii="Palatino Linotype" w:eastAsia="Palatino Linotype" w:hAnsi="Palatino Linotype" w:cs="Palatino Linotype"/>
          <w:b/>
          <w:color w:val="000000" w:themeColor="text1"/>
        </w:rPr>
        <w:t xml:space="preserve">RECURRENTE </w:t>
      </w:r>
      <w:r w:rsidR="0052280A" w:rsidRPr="003C342B">
        <w:rPr>
          <w:rFonts w:ascii="Palatino Linotype" w:eastAsia="Palatino Linotype" w:hAnsi="Palatino Linotype" w:cs="Palatino Linotype"/>
          <w:color w:val="000000" w:themeColor="text1"/>
        </w:rPr>
        <w:t>de conformidad con el artículo 19 párrafo segundo de la Ley de Transparencia y Acceso a la Información Pública del Estado de México y Municipios.</w:t>
      </w:r>
    </w:p>
    <w:p w14:paraId="43E7FD6A" w14:textId="77777777" w:rsidR="00251645" w:rsidRPr="003C342B" w:rsidRDefault="0052280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color w:val="000000" w:themeColor="text1"/>
        </w:rPr>
        <w:t xml:space="preserve"> </w:t>
      </w:r>
    </w:p>
    <w:p w14:paraId="35F1B0BD" w14:textId="77777777" w:rsidR="003D6AAA" w:rsidRPr="003C342B" w:rsidRDefault="001271FC"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Ahora bien, en cuanto al </w:t>
      </w:r>
      <w:r w:rsidRPr="003C342B">
        <w:rPr>
          <w:rFonts w:ascii="Palatino Linotype" w:eastAsia="Palatino Linotype" w:hAnsi="Palatino Linotype" w:cs="Palatino Linotype"/>
          <w:b/>
          <w:color w:val="000000" w:themeColor="text1"/>
        </w:rPr>
        <w:t xml:space="preserve">aviso del responsable sanitario, </w:t>
      </w:r>
      <w:r w:rsidRPr="003C342B">
        <w:rPr>
          <w:rFonts w:ascii="Palatino Linotype" w:eastAsia="Palatino Linotype" w:hAnsi="Palatino Linotype" w:cs="Palatino Linotype"/>
          <w:color w:val="000000" w:themeColor="text1"/>
        </w:rPr>
        <w:t xml:space="preserve">se analiza lo siguiente. </w:t>
      </w:r>
    </w:p>
    <w:p w14:paraId="14160559" w14:textId="77777777" w:rsidR="001271FC" w:rsidRPr="003C342B" w:rsidRDefault="001271FC" w:rsidP="003C342B">
      <w:pPr>
        <w:pStyle w:val="Prrafodelista"/>
        <w:spacing w:line="360" w:lineRule="auto"/>
        <w:ind w:left="0" w:firstLine="1"/>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55B8642B" w14:textId="77777777" w:rsidTr="002E5292">
        <w:tc>
          <w:tcPr>
            <w:tcW w:w="4414" w:type="dxa"/>
          </w:tcPr>
          <w:p w14:paraId="2BD7F423" w14:textId="77777777" w:rsidR="001271FC" w:rsidRPr="003C342B" w:rsidRDefault="001271FC"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4.- Aviso de responsable sanitario </w:t>
            </w:r>
          </w:p>
        </w:tc>
        <w:tc>
          <w:tcPr>
            <w:tcW w:w="5220" w:type="dxa"/>
          </w:tcPr>
          <w:p w14:paraId="16BD9D29"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257.-</w:t>
            </w:r>
            <w:r w:rsidRPr="003C342B">
              <w:rPr>
                <w:rFonts w:ascii="Palatino Linotype" w:eastAsia="Palatino Linotype" w:hAnsi="Palatino Linotype" w:cs="Palatino Linotype"/>
                <w:i/>
                <w:color w:val="000000" w:themeColor="text1"/>
              </w:rPr>
              <w:t xml:space="preserve"> Los establecimientos que se destinen al proceso de los productos a que se refiere el Capítulo IV de este Título, incluyendo su importación y exportación se clasifican, para los efectos de esta ley, en: </w:t>
            </w:r>
          </w:p>
          <w:p w14:paraId="0342FB73" w14:textId="77777777" w:rsidR="001271FC" w:rsidRPr="003C342B" w:rsidRDefault="001271FC" w:rsidP="003C342B">
            <w:pPr>
              <w:pStyle w:val="Prrafodelista"/>
              <w:numPr>
                <w:ilvl w:val="0"/>
                <w:numId w:val="9"/>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Fábrica o laboratorio de materias primas para la elaboración de medicamentos o productos biológicos para uso humano; </w:t>
            </w:r>
          </w:p>
          <w:p w14:paraId="3BB51E2E"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II. Fábrica o laboratorio de medicamentos o productos biológicos para uso humano; </w:t>
            </w:r>
          </w:p>
          <w:p w14:paraId="2E53956B"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III. Fábrica o laboratorio de remedios herbolarios; </w:t>
            </w:r>
          </w:p>
          <w:p w14:paraId="5797F805"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IV. Laboratorio de control químico, biológico, farmacéutico o de toxicología, para el estudio, experimentación de medicamentos y materias primas, o auxiliar de la regulación sanitaria; </w:t>
            </w:r>
          </w:p>
          <w:p w14:paraId="7C12C2F6"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V. Almacén de acondicionamiento de medicamentos o productos biológicos y de remedios herbolarios; </w:t>
            </w:r>
          </w:p>
          <w:p w14:paraId="76CE4DD3"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lastRenderedPageBreak/>
              <w:t xml:space="preserve">VI. Almacén de depósito y distribución de medicamentos o productos biológicos para uso humano, y de remedios herbolarios; </w:t>
            </w:r>
          </w:p>
          <w:p w14:paraId="638C9E99"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VII. Almacén de depósito y distribución de materias primas para la elaboración de medicamentos para uso humano;</w:t>
            </w:r>
            <w:r w:rsidRPr="003C342B">
              <w:rPr>
                <w:rFonts w:ascii="Palatino Linotype" w:hAnsi="Palatino Linotype"/>
                <w:color w:val="000000" w:themeColor="text1"/>
              </w:rPr>
              <w:t xml:space="preserve"> </w:t>
            </w:r>
          </w:p>
          <w:p w14:paraId="24AD32AB"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VIII. Droguería: El establecimiento que se dedica a la preparación y expendio de medicamentos magistrales y oficinales, además de la comercialización de especialidades farmacéuticas, incluyendo aquéllas que contengan estupefacientes y psicotrópicos y otros insumos para la salud; </w:t>
            </w:r>
          </w:p>
          <w:p w14:paraId="237D90DB"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IX. Botica: El establecimiento que se dedica a la comercialización de especialidades farmacéuticas, incluyendo aquéllas que contengan estupefacientes y psicotrópicos o demás insumos para la salud; </w:t>
            </w:r>
          </w:p>
          <w:p w14:paraId="232AE705"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X. Farmacia: El establecimiento que se dedica a la comercialización de especialidades farmacéuticas, incluyendo aquéllas que contengan estupefacientes y psicotrópicos, insumos para la salud en general, así como productos cosméticos, y productos de aseo; </w:t>
            </w:r>
          </w:p>
          <w:p w14:paraId="3FED6CE7"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 xml:space="preserve">XI. Establecimientos destinados al proceso de medicamentos para uso veterinario, y </w:t>
            </w:r>
          </w:p>
          <w:p w14:paraId="1277BBB4"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XII. Los demás que determine el Consejo de Salubridad General</w:t>
            </w:r>
            <w:r w:rsidR="0082473F" w:rsidRPr="003C342B">
              <w:rPr>
                <w:rFonts w:ascii="Palatino Linotype" w:eastAsia="Palatino Linotype" w:hAnsi="Palatino Linotype" w:cs="Palatino Linotype"/>
                <w:i/>
                <w:color w:val="000000" w:themeColor="text1"/>
              </w:rPr>
              <w:t>.</w:t>
            </w:r>
          </w:p>
          <w:p w14:paraId="16689D71" w14:textId="77777777" w:rsidR="0082473F" w:rsidRPr="003C342B" w:rsidRDefault="0082473F"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260.-</w:t>
            </w:r>
            <w:r w:rsidRPr="003C342B">
              <w:rPr>
                <w:rFonts w:ascii="Palatino Linotype" w:eastAsia="Palatino Linotype" w:hAnsi="Palatino Linotype" w:cs="Palatino Linotype"/>
                <w:i/>
                <w:color w:val="000000" w:themeColor="text1"/>
              </w:rPr>
              <w:t xml:space="preserve"> Los responsables sanitarios de los establecimientos a que se refiere el artículo 257 de esta ley, deberán ser profesionales con título registrado por las autoridades educativas competentes. </w:t>
            </w:r>
          </w:p>
          <w:p w14:paraId="466CC29B" w14:textId="77777777" w:rsidR="0082473F" w:rsidRPr="003C342B" w:rsidRDefault="0082473F"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Seguidamente </w:t>
            </w:r>
            <w:r w:rsidRPr="003C342B">
              <w:rPr>
                <w:rFonts w:ascii="Palatino Linotype" w:eastAsia="Palatino Linotype" w:hAnsi="Palatino Linotype" w:cs="Palatino Linotype"/>
                <w:b/>
                <w:i/>
                <w:color w:val="000000" w:themeColor="text1"/>
              </w:rPr>
              <w:t>la NORMA Oficial Mexicana NOM-016-SSA3-2012, Que establece las características mínimas de infraestructura y equipamiento de hospitales y consultorios de atención médica especializada</w:t>
            </w:r>
            <w:r w:rsidRPr="003C342B">
              <w:rPr>
                <w:rFonts w:ascii="Palatino Linotype" w:eastAsia="Palatino Linotype" w:hAnsi="Palatino Linotype" w:cs="Palatino Linotype"/>
                <w:i/>
                <w:color w:val="000000" w:themeColor="text1"/>
              </w:rPr>
              <w:t xml:space="preserve">, regula lo siguiente </w:t>
            </w:r>
          </w:p>
          <w:p w14:paraId="557283E2" w14:textId="77777777" w:rsidR="0082473F" w:rsidRPr="003C342B" w:rsidRDefault="0082473F"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5.1.2 C</w:t>
            </w:r>
            <w:r w:rsidRPr="003C342B">
              <w:rPr>
                <w:rFonts w:ascii="Palatino Linotype" w:eastAsia="Palatino Linotype" w:hAnsi="Palatino Linotype" w:cs="Palatino Linotype"/>
                <w:i/>
                <w:color w:val="000000" w:themeColor="text1"/>
              </w:rPr>
              <w:t>ontar con un responsable sanitario, de conformidad con los siguientes criterios:</w:t>
            </w:r>
          </w:p>
          <w:p w14:paraId="253A4B32" w14:textId="77777777" w:rsidR="0082473F" w:rsidRPr="003C342B" w:rsidRDefault="0082473F"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 xml:space="preserve"> 5.1.2.1</w:t>
            </w:r>
            <w:r w:rsidRPr="003C342B">
              <w:rPr>
                <w:rFonts w:ascii="Palatino Linotype" w:eastAsia="Palatino Linotype" w:hAnsi="Palatino Linotype" w:cs="Palatino Linotype"/>
                <w:i/>
                <w:color w:val="000000" w:themeColor="text1"/>
              </w:rPr>
              <w:t xml:space="preserve"> El responsable sanitario de un establecimiento hospitalario, deberá ser un médico cuyo perfil, formación y experiencia correspondan a las actividades de atención médica que lleve a cabo dicho hospital; </w:t>
            </w:r>
          </w:p>
          <w:p w14:paraId="48638BB0" w14:textId="77777777" w:rsidR="0082473F" w:rsidRPr="003C342B" w:rsidRDefault="0082473F"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5.1.2.2</w:t>
            </w:r>
            <w:r w:rsidRPr="003C342B">
              <w:rPr>
                <w:rFonts w:ascii="Palatino Linotype" w:eastAsia="Palatino Linotype" w:hAnsi="Palatino Linotype" w:cs="Palatino Linotype"/>
                <w:i/>
                <w:color w:val="000000" w:themeColor="text1"/>
              </w:rPr>
              <w:t xml:space="preserve"> Los servicios auxiliares de diagnóstico y tratamiento que se encuentren ligados a un hospital, deberán contar con un responsable sanitario </w:t>
            </w:r>
            <w:r w:rsidRPr="003C342B">
              <w:rPr>
                <w:rFonts w:ascii="Palatino Linotype" w:eastAsia="Palatino Linotype" w:hAnsi="Palatino Linotype" w:cs="Palatino Linotype"/>
                <w:i/>
                <w:color w:val="000000" w:themeColor="text1"/>
              </w:rPr>
              <w:lastRenderedPageBreak/>
              <w:t xml:space="preserve">específico, de conformidad con lo que establece la legislación sanitaria vigente; </w:t>
            </w:r>
          </w:p>
          <w:p w14:paraId="2DF2C691" w14:textId="77777777" w:rsidR="0082473F" w:rsidRPr="003C342B" w:rsidRDefault="0082473F"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5.1.2.3</w:t>
            </w:r>
            <w:r w:rsidRPr="003C342B">
              <w:rPr>
                <w:rFonts w:ascii="Palatino Linotype" w:eastAsia="Palatino Linotype" w:hAnsi="Palatino Linotype" w:cs="Palatino Linotype"/>
                <w:i/>
                <w:color w:val="000000" w:themeColor="text1"/>
              </w:rPr>
              <w:t xml:space="preserve"> El responsable sanitario es el encargado de vigilar la organización y funcionamiento del establecimiento, por lo que debe observar las disposiciones aplicables en la materia; </w:t>
            </w:r>
          </w:p>
        </w:tc>
      </w:tr>
    </w:tbl>
    <w:p w14:paraId="1DE7A801" w14:textId="77777777" w:rsidR="001271FC" w:rsidRPr="003C342B" w:rsidRDefault="001271FC" w:rsidP="003C342B">
      <w:pPr>
        <w:spacing w:line="360" w:lineRule="auto"/>
        <w:ind w:firstLine="1"/>
        <w:jc w:val="both"/>
        <w:rPr>
          <w:rFonts w:ascii="Palatino Linotype" w:eastAsia="Palatino Linotype" w:hAnsi="Palatino Linotype" w:cs="Palatino Linotype"/>
          <w:i/>
          <w:color w:val="000000" w:themeColor="text1"/>
        </w:rPr>
      </w:pPr>
    </w:p>
    <w:p w14:paraId="33D0060F" w14:textId="77777777" w:rsidR="0082473F" w:rsidRPr="003C342B" w:rsidRDefault="0082473F"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 se tiene que </w:t>
      </w:r>
      <w:r w:rsidR="00AD5567" w:rsidRPr="003C342B">
        <w:rPr>
          <w:rFonts w:ascii="Palatino Linotype" w:eastAsia="Palatino Linotype" w:hAnsi="Palatino Linotype" w:cs="Palatino Linotype"/>
          <w:color w:val="000000" w:themeColor="text1"/>
        </w:rPr>
        <w:t>la Unidad Médica, si debe de contar con un responsable sanitario, situación por la cual deberá de entregar el documento mediante el cual se nombre al responsable sanitario de la Unidad Mé</w:t>
      </w:r>
      <w:r w:rsidR="008036B4" w:rsidRPr="003C342B">
        <w:rPr>
          <w:rFonts w:ascii="Palatino Linotype" w:eastAsia="Palatino Linotype" w:hAnsi="Palatino Linotype" w:cs="Palatino Linotype"/>
          <w:color w:val="000000" w:themeColor="text1"/>
        </w:rPr>
        <w:t xml:space="preserve">dica “Madre Teresa de Calcuta”, del Sistema Municipal Para el Desarrollo Integral de la Familia de Huehuetoca.   </w:t>
      </w:r>
    </w:p>
    <w:p w14:paraId="4E854005" w14:textId="77777777" w:rsidR="00AD5567" w:rsidRPr="003C342B" w:rsidRDefault="00AD5567" w:rsidP="003C342B">
      <w:pPr>
        <w:spacing w:line="360" w:lineRule="auto"/>
        <w:ind w:firstLine="1"/>
        <w:jc w:val="both"/>
        <w:rPr>
          <w:rFonts w:ascii="Palatino Linotype" w:eastAsia="Palatino Linotype" w:hAnsi="Palatino Linotype" w:cs="Palatino Linotype"/>
          <w:i/>
          <w:color w:val="000000" w:themeColor="text1"/>
        </w:rPr>
      </w:pPr>
    </w:p>
    <w:p w14:paraId="68F5E019" w14:textId="77777777" w:rsidR="009007DD" w:rsidRPr="003C342B" w:rsidRDefault="009007DD"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Ahora bien, por cuanto hace </w:t>
      </w:r>
      <w:r w:rsidR="00AF7B9C" w:rsidRPr="003C342B">
        <w:rPr>
          <w:rFonts w:ascii="Palatino Linotype" w:eastAsia="Palatino Linotype" w:hAnsi="Palatino Linotype" w:cs="Palatino Linotype"/>
          <w:color w:val="000000" w:themeColor="text1"/>
        </w:rPr>
        <w:t xml:space="preserve">a la </w:t>
      </w:r>
      <w:r w:rsidR="00AF7B9C" w:rsidRPr="003C342B">
        <w:rPr>
          <w:rFonts w:ascii="Palatino Linotype" w:eastAsia="Palatino Linotype" w:hAnsi="Palatino Linotype" w:cs="Palatino Linotype"/>
          <w:b/>
          <w:i/>
          <w:color w:val="000000" w:themeColor="text1"/>
          <w:lang w:val="es-MX"/>
        </w:rPr>
        <w:t xml:space="preserve">Licencia sanitaria de servicio de transfusión, </w:t>
      </w:r>
      <w:r w:rsidR="00AF7B9C" w:rsidRPr="003C342B">
        <w:rPr>
          <w:rFonts w:ascii="Palatino Linotype" w:eastAsia="Palatino Linotype" w:hAnsi="Palatino Linotype" w:cs="Palatino Linotype"/>
          <w:color w:val="000000" w:themeColor="text1"/>
          <w:lang w:val="es-MX"/>
        </w:rPr>
        <w:t xml:space="preserve">se analiza lo siguiente. </w:t>
      </w:r>
    </w:p>
    <w:p w14:paraId="3BA30895" w14:textId="77777777" w:rsidR="00AF7B9C" w:rsidRPr="003C342B" w:rsidRDefault="00AF7B9C" w:rsidP="003C342B">
      <w:pPr>
        <w:pStyle w:val="Prrafodelista"/>
        <w:spacing w:line="360" w:lineRule="auto"/>
        <w:ind w:left="0" w:firstLine="1"/>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6D150303" w14:textId="77777777" w:rsidTr="002E5292">
        <w:tc>
          <w:tcPr>
            <w:tcW w:w="4414" w:type="dxa"/>
          </w:tcPr>
          <w:p w14:paraId="788D0C60" w14:textId="77777777" w:rsidR="00AF7B9C" w:rsidRPr="003C342B" w:rsidRDefault="00AF7B9C"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5.- Licencia sanitaria de servicio de transfusión </w:t>
            </w:r>
          </w:p>
        </w:tc>
        <w:tc>
          <w:tcPr>
            <w:tcW w:w="5220" w:type="dxa"/>
          </w:tcPr>
          <w:p w14:paraId="5620AD51" w14:textId="77777777" w:rsidR="00AF7B9C" w:rsidRPr="003C342B" w:rsidRDefault="00AF7B9C"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Artículo 315. Los establecimientos de salud que requieren de licencia sanitaria son los dedicados a: </w:t>
            </w:r>
          </w:p>
          <w:p w14:paraId="3EA5F2BD"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 La extracción, análisis, conservación, preparación y suministro de órganos, tejidos y células; </w:t>
            </w:r>
          </w:p>
          <w:p w14:paraId="7F5E0F3A"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II. Los trasplantes de órganos, tejidos y células; </w:t>
            </w:r>
          </w:p>
          <w:p w14:paraId="567B2AB7" w14:textId="77777777" w:rsidR="00AF7B9C" w:rsidRPr="003C342B" w:rsidRDefault="00AF7B9C"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i/>
                <w:color w:val="000000" w:themeColor="text1"/>
              </w:rPr>
              <w:t>III. Los bancos de órganos, tejidos no hemáticos y células;</w:t>
            </w:r>
          </w:p>
          <w:p w14:paraId="4E22980E" w14:textId="77777777" w:rsidR="00AF7B9C" w:rsidRPr="003C342B" w:rsidRDefault="00AF7B9C"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IV. Los servicios de sangre; </w:t>
            </w:r>
          </w:p>
          <w:p w14:paraId="2030284E"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 xml:space="preserve">V. La disposición de células troncales, y Fracción adicionada </w:t>
            </w:r>
          </w:p>
          <w:p w14:paraId="7286FC4B"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VI. Los establecimientos de medicina regenerativa.</w:t>
            </w:r>
          </w:p>
          <w:p w14:paraId="3F89BFC8"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Para el caso de los establecimientos de salud a que se refiere la fracción </w:t>
            </w:r>
            <w:r w:rsidRPr="003C342B">
              <w:rPr>
                <w:rFonts w:ascii="Palatino Linotype" w:eastAsia="Palatino Linotype" w:hAnsi="Palatino Linotype" w:cs="Palatino Linotype"/>
                <w:b/>
                <w:i/>
                <w:color w:val="000000" w:themeColor="text1"/>
              </w:rPr>
              <w:t>IV</w:t>
            </w:r>
            <w:r w:rsidRPr="003C342B">
              <w:rPr>
                <w:rFonts w:ascii="Palatino Linotype" w:eastAsia="Palatino Linotype" w:hAnsi="Palatino Linotype" w:cs="Palatino Linotype"/>
                <w:i/>
                <w:color w:val="000000" w:themeColor="text1"/>
              </w:rPr>
              <w:t xml:space="preserve"> del presente artículo, la licencia sanitaria tendrá una vigencia de 5 años prorrogables por plazos iguales de conformidad con las disposiciones aplicables.</w:t>
            </w:r>
          </w:p>
          <w:p w14:paraId="228F4349"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lang w:val="es-MX"/>
              </w:rPr>
            </w:pPr>
          </w:p>
        </w:tc>
      </w:tr>
    </w:tbl>
    <w:p w14:paraId="5A216C78" w14:textId="77777777" w:rsidR="00AF7B9C" w:rsidRPr="003C342B" w:rsidRDefault="00AF7B9C" w:rsidP="003C342B">
      <w:pPr>
        <w:spacing w:line="360" w:lineRule="auto"/>
        <w:ind w:firstLine="1"/>
        <w:jc w:val="both"/>
        <w:rPr>
          <w:rFonts w:ascii="Palatino Linotype" w:eastAsia="Palatino Linotype" w:hAnsi="Palatino Linotype" w:cs="Palatino Linotype"/>
          <w:i/>
          <w:color w:val="000000" w:themeColor="text1"/>
        </w:rPr>
      </w:pPr>
    </w:p>
    <w:p w14:paraId="4F4B2477" w14:textId="77777777" w:rsidR="009007DD" w:rsidRPr="003C342B" w:rsidRDefault="009007DD" w:rsidP="003C342B">
      <w:pPr>
        <w:pStyle w:val="Prrafodelista"/>
        <w:spacing w:line="360" w:lineRule="auto"/>
        <w:ind w:left="0" w:firstLine="1"/>
        <w:rPr>
          <w:rFonts w:ascii="Palatino Linotype" w:eastAsia="Palatino Linotype" w:hAnsi="Palatino Linotype" w:cs="Palatino Linotype"/>
          <w:color w:val="000000" w:themeColor="text1"/>
        </w:rPr>
      </w:pPr>
    </w:p>
    <w:p w14:paraId="10C2C027" w14:textId="77777777" w:rsidR="00112C64" w:rsidRPr="003C342B" w:rsidRDefault="00112C64"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 se colige que de ser el caso que la Unidad de Médica “Madre de Teresa de Calcuta”, cuente con servicios de transfusión de sangre deberá de entregar la licencia sanitaría por los servicios de sangre, sin embargo de ser el caso de que no cuenta con servicios de sangre, haciendo referencia a la transfusión de sangre 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 xml:space="preserve">deberá hacerlo del conocimiento del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de conformidad con el artículo 19 párrafo segundo de la Ley de Transparencia de Acceso a la Información Pública del Estado de México y Municipios. </w:t>
      </w:r>
    </w:p>
    <w:p w14:paraId="1A524042" w14:textId="77777777" w:rsidR="00112C64" w:rsidRPr="003C342B" w:rsidRDefault="00112C64" w:rsidP="003C342B">
      <w:pPr>
        <w:spacing w:line="360" w:lineRule="auto"/>
        <w:ind w:firstLine="1"/>
        <w:jc w:val="both"/>
        <w:rPr>
          <w:rFonts w:ascii="Palatino Linotype" w:eastAsia="Palatino Linotype" w:hAnsi="Palatino Linotype" w:cs="Palatino Linotype"/>
          <w:i/>
          <w:color w:val="000000" w:themeColor="text1"/>
        </w:rPr>
      </w:pPr>
    </w:p>
    <w:p w14:paraId="6077DE45" w14:textId="77777777" w:rsidR="00FB7F25" w:rsidRPr="003C342B" w:rsidRDefault="00FB7F25"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Ahora bien, por cuanto hace a la </w:t>
      </w:r>
      <w:r w:rsidRPr="003C342B">
        <w:rPr>
          <w:rFonts w:ascii="Palatino Linotype" w:eastAsia="Palatino Linotype" w:hAnsi="Palatino Linotype" w:cs="Palatino Linotype"/>
          <w:b/>
          <w:i/>
          <w:color w:val="000000" w:themeColor="text1"/>
        </w:rPr>
        <w:t xml:space="preserve">Autorización para uso de medicamentos controlados, </w:t>
      </w:r>
      <w:r w:rsidR="00A20472" w:rsidRPr="003C342B">
        <w:rPr>
          <w:rFonts w:ascii="Palatino Linotype" w:eastAsia="Palatino Linotype" w:hAnsi="Palatino Linotype" w:cs="Palatino Linotype"/>
          <w:color w:val="000000" w:themeColor="text1"/>
        </w:rPr>
        <w:t xml:space="preserve"> se hace el siguiente </w:t>
      </w:r>
      <w:r w:rsidR="003C342B" w:rsidRPr="003C342B">
        <w:rPr>
          <w:rFonts w:ascii="Palatino Linotype" w:eastAsia="Palatino Linotype" w:hAnsi="Palatino Linotype" w:cs="Palatino Linotype"/>
          <w:color w:val="000000" w:themeColor="text1"/>
        </w:rPr>
        <w:t>análisis</w:t>
      </w:r>
      <w:r w:rsidR="00A20472" w:rsidRPr="003C342B">
        <w:rPr>
          <w:rFonts w:ascii="Palatino Linotype" w:eastAsia="Palatino Linotype" w:hAnsi="Palatino Linotype" w:cs="Palatino Linotype"/>
          <w:color w:val="000000" w:themeColor="text1"/>
        </w:rPr>
        <w:t xml:space="preserve">. </w:t>
      </w:r>
    </w:p>
    <w:p w14:paraId="7196E30B" w14:textId="77777777" w:rsidR="00A20472"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3D90EE03" w14:textId="77777777" w:rsidTr="002E5292">
        <w:tc>
          <w:tcPr>
            <w:tcW w:w="4414" w:type="dxa"/>
          </w:tcPr>
          <w:p w14:paraId="4490FF01" w14:textId="77777777" w:rsidR="00A20472" w:rsidRPr="003C342B" w:rsidRDefault="00A20472" w:rsidP="003C342B">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6.- Autorización para uso de medicamentos controlados </w:t>
            </w:r>
          </w:p>
        </w:tc>
        <w:tc>
          <w:tcPr>
            <w:tcW w:w="5220" w:type="dxa"/>
          </w:tcPr>
          <w:p w14:paraId="09939352" w14:textId="77777777" w:rsidR="00E3742A" w:rsidRPr="003C342B" w:rsidRDefault="00E3742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Ley General de Salud </w:t>
            </w:r>
          </w:p>
          <w:p w14:paraId="7D876EFA" w14:textId="77777777" w:rsidR="00E3742A"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 xml:space="preserve">Artículo 198.- Requieren autorización sanitaria los establecimientos dedicados a: </w:t>
            </w:r>
          </w:p>
          <w:p w14:paraId="4FB963E1" w14:textId="77777777" w:rsidR="00E3742A"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 El proceso de los medicamentos que contengan estupefacientes y psicotrópicos; vacunas; toxoides; sueros y antitoxinas de origen animal, y hemoderivados; </w:t>
            </w:r>
          </w:p>
          <w:p w14:paraId="1639A0B5" w14:textId="77777777" w:rsidR="00E3742A"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II. La elaboración, fabricación o preparación de medicamentos, plaguicidas, nutrientes vegetales o sustancias tóxicas o peligrosas; III. La aplicación de plaguicidas; </w:t>
            </w:r>
          </w:p>
          <w:p w14:paraId="3BD6FDCC" w14:textId="77777777" w:rsidR="00E3742A"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IV. La utilización de fuentes de radiación para fines médicos o de diagnóstico, y</w:t>
            </w:r>
            <w:r w:rsidR="00E3742A" w:rsidRPr="003C342B">
              <w:rPr>
                <w:rFonts w:ascii="Palatino Linotype" w:eastAsia="Palatino Linotype" w:hAnsi="Palatino Linotype" w:cs="Palatino Linotype"/>
                <w:i/>
                <w:color w:val="000000" w:themeColor="text1"/>
              </w:rPr>
              <w:t xml:space="preserve"> </w:t>
            </w:r>
          </w:p>
          <w:p w14:paraId="41D33DDF" w14:textId="77777777" w:rsidR="00E3742A"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 Los establecimientos en que se practiquen actos quirúrgicos u obstétricos y los que presten servicios de hemodiálisis. Fracción reformada </w:t>
            </w:r>
          </w:p>
          <w:p w14:paraId="5FF967C8" w14:textId="77777777" w:rsidR="00E3742A"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VI. Centros de mezcla para la preparación de mezclas parenterales nutricionales y medicamentosas. </w:t>
            </w:r>
          </w:p>
          <w:p w14:paraId="7E0F4057" w14:textId="77777777" w:rsidR="00E3742A" w:rsidRPr="003C342B" w:rsidRDefault="00A20472"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La solicitud de autorización sanitaria deberá presentarse ante la autoridad sanitaria, previamente al inicio de sus actividades. </w:t>
            </w:r>
          </w:p>
          <w:p w14:paraId="2A243DE5" w14:textId="77777777" w:rsidR="00A20472"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Cuando así se determine por acuerdo del Secretario, los establecimientos en que se realice el proceso de los productos a que se refiere el artículo 194 de esta ley y su transporte deberán sujetarse a las normas de </w:t>
            </w:r>
            <w:r w:rsidRPr="003C342B">
              <w:rPr>
                <w:rFonts w:ascii="Palatino Linotype" w:eastAsia="Palatino Linotype" w:hAnsi="Palatino Linotype" w:cs="Palatino Linotype"/>
                <w:i/>
                <w:color w:val="000000" w:themeColor="text1"/>
              </w:rPr>
              <w:lastRenderedPageBreak/>
              <w:t>funcionamiento y seguridad que al respecto se emitan</w:t>
            </w:r>
            <w:r w:rsidR="00E3742A" w:rsidRPr="003C342B">
              <w:rPr>
                <w:rFonts w:ascii="Palatino Linotype" w:eastAsia="Palatino Linotype" w:hAnsi="Palatino Linotype" w:cs="Palatino Linotype"/>
                <w:i/>
                <w:color w:val="000000" w:themeColor="text1"/>
              </w:rPr>
              <w:t xml:space="preserve">. </w:t>
            </w:r>
          </w:p>
          <w:p w14:paraId="4B67506F" w14:textId="77777777" w:rsidR="00E3742A" w:rsidRPr="003C342B" w:rsidRDefault="00E3742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Artículo 204.-</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Los medicamentos, dispositivos médicos y otros insumos para la salud, los estupefacientes, substancias psicotrópicas y productos que los contengan, así como los plaguicidas, nutrientes vegetales y substancias tóxicas o peligrosas, para su venta o suministro deberán contar con autorización sanitaria, en los términos de esta ley y demás disposiciones aplicables.</w:t>
            </w:r>
          </w:p>
          <w:p w14:paraId="55858EC9"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Las autoridades de seguridad pública de los tres órdenes de gobierno participarán en la prevención y combate a las actividades de posesión, comercio o suministro de estupefacientes y psicotrópicos cuando dichas actividades se realicen en lugares públicos, y actuarán conforme a sus atribuciones.</w:t>
            </w:r>
          </w:p>
          <w:p w14:paraId="7FC39466"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214.-</w:t>
            </w:r>
            <w:r w:rsidRPr="003C342B">
              <w:rPr>
                <w:rFonts w:ascii="Palatino Linotype" w:eastAsia="Palatino Linotype" w:hAnsi="Palatino Linotype" w:cs="Palatino Linotype"/>
                <w:i/>
                <w:color w:val="000000" w:themeColor="text1"/>
              </w:rPr>
              <w:t xml:space="preserve"> La Secretaría de Salud publicará en el Diario Oficial de la Federación las normas oficiales mexicanas que expida y, en caso necesario, las resoluciones sobre otorgamiento y revocación de autorizaciones sanitarias de medicamentos, estupefacientes, substancias psicotrópicas y productos que los contengan, dispositivos médicos, </w:t>
            </w:r>
            <w:r w:rsidRPr="003C342B">
              <w:rPr>
                <w:rFonts w:ascii="Palatino Linotype" w:eastAsia="Palatino Linotype" w:hAnsi="Palatino Linotype" w:cs="Palatino Linotype"/>
                <w:i/>
                <w:color w:val="000000" w:themeColor="text1"/>
              </w:rPr>
              <w:lastRenderedPageBreak/>
              <w:t>plaguicidas, nutrientes vegetales y substancias tóxicas o peligrosas, así como de las materias primas que se utilicen en su elaboración</w:t>
            </w:r>
          </w:p>
          <w:p w14:paraId="0D211607" w14:textId="77777777" w:rsidR="00E3742A" w:rsidRPr="003C342B" w:rsidRDefault="00E3742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Reglamento de la Ley General de Salud en Materia de Prestación de Servicios de Atención Médica</w:t>
            </w:r>
          </w:p>
          <w:p w14:paraId="4956BF84"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ARTICULO 89.-</w:t>
            </w:r>
            <w:r w:rsidRPr="003C342B">
              <w:rPr>
                <w:rFonts w:ascii="Palatino Linotype" w:eastAsia="Palatino Linotype" w:hAnsi="Palatino Linotype" w:cs="Palatino Linotype"/>
                <w:i/>
                <w:color w:val="000000" w:themeColor="text1"/>
              </w:rPr>
              <w:t xml:space="preserve"> En todo hospital deberá contarse con un responsable para el manejo de estupefacientes y substancias psicotrópicas de uso clínico, mismo que será el encargado de vigilar que se cumplan las disposiciones legales y reglamentarias respecto a dichos insumos. </w:t>
            </w:r>
          </w:p>
          <w:p w14:paraId="1FFE14E7"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Las actividades de dichos responsables se ajustarán a los procedimientos que señalen las normas oficiales mexicanas</w:t>
            </w:r>
          </w:p>
          <w:p w14:paraId="7174B59C"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ARTICULO 224.-</w:t>
            </w:r>
            <w:r w:rsidRPr="003C342B">
              <w:rPr>
                <w:rFonts w:ascii="Palatino Linotype" w:eastAsia="Palatino Linotype" w:hAnsi="Palatino Linotype" w:cs="Palatino Linotype"/>
                <w:i/>
                <w:color w:val="000000" w:themeColor="text1"/>
              </w:rPr>
              <w:t xml:space="preserve"> Requiere de permiso; </w:t>
            </w:r>
          </w:p>
          <w:p w14:paraId="25681DC1"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 La construcción, ampliación, remodelación, rehabilitación, acondicionamiento y equipamiento de los establecimientos dedicados a la prestación de servicios de atención médica, en cualquiera de sus modalidades; </w:t>
            </w:r>
          </w:p>
          <w:p w14:paraId="264A4729"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II.- Los responsables de los establecimientos a que se refiere este Reglamento; </w:t>
            </w:r>
          </w:p>
          <w:p w14:paraId="0A98C5C4"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 xml:space="preserve">III.- Los responsables de la operación y funcionamiento de equipos de rayos X y sus auxiliares técnicos; </w:t>
            </w:r>
          </w:p>
          <w:p w14:paraId="21E7A9D3"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IV.- La posesión, transporte y utilización de fuentes de radiación y materiales radiactivos, así como la eliminación, desmantelamiento de los mismos y la disposición de sus desechos; </w:t>
            </w:r>
          </w:p>
          <w:p w14:paraId="4F6AD147" w14:textId="77777777" w:rsidR="00E3742A" w:rsidRPr="003C342B" w:rsidRDefault="00E3742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V.- Los responsables del control de estupefacientes y substancias psicotrópicas de los establecimientos a que se refiere este Reglamento; </w:t>
            </w:r>
          </w:p>
          <w:p w14:paraId="4FEB7186"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VI.- La subrogación de servicios de atención médica por parte de establecimientos sociales y privados, y </w:t>
            </w:r>
          </w:p>
          <w:p w14:paraId="166F0EA1" w14:textId="77777777" w:rsidR="00E3742A" w:rsidRPr="003C342B" w:rsidRDefault="00E3742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VII.- Las demás actividades que se establezcan en este ordenamiento. Los permisos a que se refiere este artículo, sólo podrán ser expedidos por la Secretaría, con excepción del caso previsto en la fracción III, el que estará sujeto a lo dispuesto en el Artículo 125 de la Ley. Se otorgarán por tiempo indeterminado, los permisos a que se refieren las fracciones II y V de este artículo y con validez de dos años en los demás casos. </w:t>
            </w:r>
            <w:r w:rsidRPr="003C342B">
              <w:rPr>
                <w:rFonts w:ascii="Palatino Linotype" w:eastAsia="Palatino Linotype" w:hAnsi="Palatino Linotype" w:cs="Palatino Linotype"/>
                <w:b/>
                <w:i/>
                <w:color w:val="000000" w:themeColor="text1"/>
              </w:rPr>
              <w:t>ARTICULO 225.-</w:t>
            </w:r>
            <w:r w:rsidRPr="003C342B">
              <w:rPr>
                <w:rFonts w:ascii="Palatino Linotype" w:eastAsia="Palatino Linotype" w:hAnsi="Palatino Linotype" w:cs="Palatino Linotype"/>
                <w:i/>
                <w:color w:val="000000" w:themeColor="text1"/>
              </w:rPr>
              <w:t xml:space="preserve"> Para obtener los permisos a que se refiere el artículo anterior, además de cumplir con las obligaciones que establece la Ley y el presente </w:t>
            </w:r>
            <w:r w:rsidRPr="003C342B">
              <w:rPr>
                <w:rFonts w:ascii="Palatino Linotype" w:eastAsia="Palatino Linotype" w:hAnsi="Palatino Linotype" w:cs="Palatino Linotype"/>
                <w:i/>
                <w:color w:val="000000" w:themeColor="text1"/>
              </w:rPr>
              <w:lastRenderedPageBreak/>
              <w:t>Reglamento, se estará a lo previsto por las normas oficiales mexicanas correspondientes.</w:t>
            </w:r>
          </w:p>
        </w:tc>
      </w:tr>
    </w:tbl>
    <w:p w14:paraId="7C07B36A" w14:textId="77777777" w:rsidR="00A20472" w:rsidRPr="003C342B" w:rsidRDefault="00A20472" w:rsidP="003C342B">
      <w:pPr>
        <w:spacing w:line="360" w:lineRule="auto"/>
        <w:ind w:firstLine="1"/>
        <w:jc w:val="both"/>
        <w:rPr>
          <w:rFonts w:ascii="Palatino Linotype" w:eastAsia="Palatino Linotype" w:hAnsi="Palatino Linotype" w:cs="Palatino Linotype"/>
          <w:i/>
          <w:color w:val="000000" w:themeColor="text1"/>
        </w:rPr>
      </w:pPr>
    </w:p>
    <w:p w14:paraId="4E7AF0E7" w14:textId="77777777" w:rsidR="00E3742A" w:rsidRPr="003C342B" w:rsidRDefault="00E3742A"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 se tiene que der ser el caso que la Unidad Médica “Madre Teresa de Calcuta”, cuente con permiso para administrar y recetar medicamento controlado, deberá de entregarlo al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para que sea colmado el derecho de acceso a la información, sin embargo de ser el caso que dicha clínica en sus funciones no administre ni recete dicho medicamento, bastará con que 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 xml:space="preserve">lo haga del conocimiento del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de conformidad con el artículo 19 párrafo segundo de la Ley de Transparencia y Acceso a la Información </w:t>
      </w:r>
      <w:r w:rsidR="00D44DA2" w:rsidRPr="003C342B">
        <w:rPr>
          <w:rFonts w:ascii="Palatino Linotype" w:eastAsia="Palatino Linotype" w:hAnsi="Palatino Linotype" w:cs="Palatino Linotype"/>
          <w:color w:val="000000" w:themeColor="text1"/>
        </w:rPr>
        <w:t xml:space="preserve">Pública del Estado de México y Municipios. </w:t>
      </w:r>
    </w:p>
    <w:p w14:paraId="5D78B072" w14:textId="77777777" w:rsidR="00D44DA2" w:rsidRPr="003C342B" w:rsidRDefault="00D44DA2" w:rsidP="003C342B">
      <w:pPr>
        <w:spacing w:line="360" w:lineRule="auto"/>
        <w:ind w:firstLine="1"/>
        <w:jc w:val="both"/>
        <w:rPr>
          <w:rFonts w:ascii="Palatino Linotype" w:eastAsia="Palatino Linotype" w:hAnsi="Palatino Linotype" w:cs="Palatino Linotype"/>
          <w:i/>
          <w:color w:val="000000" w:themeColor="text1"/>
        </w:rPr>
      </w:pPr>
    </w:p>
    <w:p w14:paraId="39107983" w14:textId="77777777" w:rsidR="009547CA" w:rsidRPr="003C342B" w:rsidRDefault="009547CA"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Ahora bien, en cuanto a los documentos de solicitud de cada uno de los trámites ante la autoridad federal, se hace el siguiente </w:t>
      </w:r>
      <w:r w:rsidR="003C342B" w:rsidRPr="003C342B">
        <w:rPr>
          <w:rFonts w:ascii="Palatino Linotype" w:eastAsia="Palatino Linotype" w:hAnsi="Palatino Linotype" w:cs="Palatino Linotype"/>
          <w:color w:val="000000" w:themeColor="text1"/>
        </w:rPr>
        <w:t>análisis</w:t>
      </w:r>
      <w:r w:rsidRPr="003C342B">
        <w:rPr>
          <w:rFonts w:ascii="Palatino Linotype" w:eastAsia="Palatino Linotype" w:hAnsi="Palatino Linotype" w:cs="Palatino Linotype"/>
          <w:color w:val="000000" w:themeColor="text1"/>
        </w:rPr>
        <w:t xml:space="preserve">. </w:t>
      </w:r>
    </w:p>
    <w:p w14:paraId="481269FC" w14:textId="77777777" w:rsidR="009547CA" w:rsidRPr="003C342B" w:rsidRDefault="009547CA" w:rsidP="003C342B">
      <w:pPr>
        <w:pStyle w:val="Prrafodelista"/>
        <w:spacing w:line="360" w:lineRule="auto"/>
        <w:ind w:left="0" w:firstLine="1"/>
        <w:rPr>
          <w:rFonts w:ascii="Palatino Linotype" w:eastAsia="Palatino Linotype" w:hAnsi="Palatino Linotype" w:cs="Palatino Linotype"/>
          <w:i/>
          <w:color w:val="000000" w:themeColor="text1"/>
        </w:rPr>
      </w:pPr>
    </w:p>
    <w:tbl>
      <w:tblPr>
        <w:tblStyle w:val="Tablaconcuadrcula"/>
        <w:tblW w:w="9634" w:type="dxa"/>
        <w:tblLook w:val="04A0" w:firstRow="1" w:lastRow="0" w:firstColumn="1" w:lastColumn="0" w:noHBand="0" w:noVBand="1"/>
      </w:tblPr>
      <w:tblGrid>
        <w:gridCol w:w="4414"/>
        <w:gridCol w:w="5220"/>
      </w:tblGrid>
      <w:tr w:rsidR="003C342B" w:rsidRPr="003C342B" w14:paraId="6F8654F0" w14:textId="77777777" w:rsidTr="002E5292">
        <w:tc>
          <w:tcPr>
            <w:tcW w:w="4414" w:type="dxa"/>
          </w:tcPr>
          <w:p w14:paraId="0578C8C2"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7.- Documentos de solicitud de cada uno de estos ante la autoridad federal</w:t>
            </w:r>
          </w:p>
        </w:tc>
        <w:tc>
          <w:tcPr>
            <w:tcW w:w="5220" w:type="dxa"/>
          </w:tcPr>
          <w:p w14:paraId="05BA76A6"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Manual de Organización Especifico de la Comisión Federal Para la Protección Contra Riesgos Sanitarios. </w:t>
            </w:r>
          </w:p>
          <w:p w14:paraId="5D666C4F"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SUBDIRECCIÓN EJECUTIVA DE LICENCIAS SANITARIAS</w:t>
            </w:r>
            <w:r w:rsidRPr="003C342B">
              <w:rPr>
                <w:rFonts w:ascii="Palatino Linotype" w:eastAsia="Palatino Linotype" w:hAnsi="Palatino Linotype" w:cs="Palatino Linotype"/>
                <w:i/>
                <w:color w:val="000000" w:themeColor="text1"/>
              </w:rPr>
              <w:t xml:space="preserve"> </w:t>
            </w:r>
          </w:p>
          <w:p w14:paraId="3D5600C5"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OBJETIVO </w:t>
            </w:r>
          </w:p>
          <w:p w14:paraId="276858E3"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Determinar que los establecimientos cumplan con lo señalado en la legislación sanitaria vigente y Normas Oficiales aplicables, mediante la revisión, análisis y dictaminación correspondiente, vigilando </w:t>
            </w:r>
            <w:r w:rsidRPr="003C342B">
              <w:rPr>
                <w:rFonts w:ascii="Palatino Linotype" w:eastAsia="Palatino Linotype" w:hAnsi="Palatino Linotype" w:cs="Palatino Linotype"/>
                <w:i/>
                <w:color w:val="000000" w:themeColor="text1"/>
              </w:rPr>
              <w:lastRenderedPageBreak/>
              <w:t xml:space="preserve">la calidad, seguridad y eficacia de los medicamentos e insumos para la salud, plaguicidas y nutrientes vegetales; terceros autorizados y laboratorio de control químico, biológico, farmacéutico o de toxicología para el estudio, experimentación de medicamentos y materias primas o auxiliar de la regulación sanitaria. </w:t>
            </w:r>
          </w:p>
          <w:p w14:paraId="6926D5B4"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FUNCIONES </w:t>
            </w:r>
          </w:p>
          <w:p w14:paraId="11E1410C"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1. Evaluar y autorizar por modificaciones a instalaciones y Licencias Sanitarias a establecimientos para verificar que el establecimiento cumple con la normatividad vigente, funciona con base en las Buenas Prácticas de Fabricación, elaborando productos con altos estándares de calidad, </w:t>
            </w:r>
          </w:p>
          <w:p w14:paraId="098916FF"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2. Evaluar y autorizar a establecimientos en el extranjero para verificar que se cumple y funciona con base en las buenas Prácticas de Fabricación, obteniendo productos de calidad el cual será distribuido y consumido en el territorio nacional. </w:t>
            </w:r>
          </w:p>
          <w:p w14:paraId="6B43D980"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3. Participar en la emisión de prórrogas y revocaciones (en su caso) de las autorizaciones, en cumplimiento de lo establecido por la legislación sanitaria vigente, con el fin de que </w:t>
            </w:r>
            <w:r w:rsidRPr="003C342B">
              <w:rPr>
                <w:rFonts w:ascii="Palatino Linotype" w:eastAsia="Palatino Linotype" w:hAnsi="Palatino Linotype" w:cs="Palatino Linotype"/>
                <w:b/>
                <w:i/>
                <w:color w:val="000000" w:themeColor="text1"/>
              </w:rPr>
              <w:lastRenderedPageBreak/>
              <w:t xml:space="preserve">su formulación se apegue a las disposiciones aplicables y sean congruentes con la política normativa establecida. </w:t>
            </w:r>
          </w:p>
          <w:p w14:paraId="24FBEB6D"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4. Emitir Certificados de Buenas Prácticas de Fabricación, para verificar que el establecimiento cumpla con las Buenas Prácticas de Fabricación y la normatividad vigente, que en su mayoría lo solicitan para exportar productos, y emitir Certificados de Condición Sanitaria. </w:t>
            </w:r>
          </w:p>
          <w:p w14:paraId="6F838C09" w14:textId="77777777" w:rsidR="009547CA" w:rsidRPr="003C342B" w:rsidRDefault="009547CA"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5. Evaluar y efectuar la emisión de los Avisos de Funcionamiento y los de Avisos de Responsable Sanitario, que por disposición oficial en materia de salud, únicamente se requieran de dichos avisos y no de autorización pero sí de regulación y vigilancia, verificando las condiciones sanitarias de los establecimientos, conforme a la legislación vigente con el objeto de determinar que cada establecimiento de acuerdo a sus actividades cuente con una persona acreditada con el perfil académico requerido para ser responsable de las condiciones sanitarias y de su funcionamiento </w:t>
            </w:r>
          </w:p>
          <w:p w14:paraId="24A03480"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 xml:space="preserve">6. Evaluar, controlar y supervisar los medicamentos con nuevo Registro Sanitario (tres primeros lotes); los antibióticos (materia prima); los antibióticos con principio activo clasificado como de alto riesgo y los que requieren de ser controlados, dada su problemática en el mercado negro, con objeto de verificar que cumplan con la normatividad establecida. </w:t>
            </w:r>
          </w:p>
          <w:p w14:paraId="310AD676"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7. Evaluar y controlar las maquilas nacionales e internacionales, con el fin de verificar que el establecimiento maquilador cumple con la normatividad vigente obteniendo un producto de calidad. </w:t>
            </w:r>
          </w:p>
          <w:p w14:paraId="07D23D0B"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8. Evaluar la autorización de ventas, uso y/o distribución de productos biológicos, que por ser producto de alto riesgo se clasifique como biológicos, tales como las vacunas, toxoides y hemoderivados, con objeto de vigilar que los mismos cumplen con las disposiciones normativas vigentes aplicables al respecto, en beneficio y seguridad del consumidor. </w:t>
            </w:r>
          </w:p>
          <w:p w14:paraId="277C901C"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9. Evaluar la metodología analítica no Farmacopeica y la de los procesos productivos (incluyendo métodos alternativos de producción) revisando la documentación de los procesos llámese de limpieza </w:t>
            </w:r>
            <w:r w:rsidRPr="003C342B">
              <w:rPr>
                <w:rFonts w:ascii="Palatino Linotype" w:eastAsia="Palatino Linotype" w:hAnsi="Palatino Linotype" w:cs="Palatino Linotype"/>
                <w:i/>
                <w:color w:val="000000" w:themeColor="text1"/>
              </w:rPr>
              <w:lastRenderedPageBreak/>
              <w:t xml:space="preserve">de producción y/o de acondicionamiento, para validar que éstos están controlados y no representan riesgos potenciales durante la fabricación de los productos. </w:t>
            </w:r>
          </w:p>
          <w:p w14:paraId="70B15617"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10. Evaluar y asesorar en su caso las solicitudes de disminución de análisis en la materia prima y de producto terminado de establecimientos que han validado a proveedores de materias primas, los cuales han determinado y demostrado con estudios estadísticos la confiablidad de dichas materias o activos que le surten; con el fin de verificar que la documentación e información que presenten para el caso cumplan con la normatividad establecida. </w:t>
            </w:r>
          </w:p>
          <w:p w14:paraId="5E409AFA"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lang w:val="es-MX"/>
              </w:rPr>
            </w:pPr>
            <w:r w:rsidRPr="003C342B">
              <w:rPr>
                <w:rFonts w:ascii="Palatino Linotype" w:eastAsia="Palatino Linotype" w:hAnsi="Palatino Linotype" w:cs="Palatino Linotype"/>
                <w:i/>
                <w:color w:val="000000" w:themeColor="text1"/>
              </w:rPr>
              <w:t>11. Participar en la elaboración y actualización de manuales de organización o procedimientos, demás documentos técnicos-normativos de su área, y la revisión de la Ley, Reglamentos y Normas Oficiales Mexicanas y demás disposiciones aplicables en su ámbito de actuación; para mantenerlos permanentemente actualizados, verificando que se cubran todas las necesidades, tanto estructurales como funcionales.</w:t>
            </w:r>
          </w:p>
        </w:tc>
      </w:tr>
    </w:tbl>
    <w:p w14:paraId="0F757F84"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p>
    <w:p w14:paraId="29A9960A" w14:textId="77777777" w:rsidR="009547CA" w:rsidRPr="003C342B" w:rsidRDefault="009547CA" w:rsidP="003C342B">
      <w:pPr>
        <w:pStyle w:val="Prrafodelista"/>
        <w:spacing w:line="360" w:lineRule="auto"/>
        <w:ind w:left="0" w:firstLine="1"/>
        <w:rPr>
          <w:rFonts w:ascii="Palatino Linotype" w:eastAsia="Palatino Linotype" w:hAnsi="Palatino Linotype" w:cs="Palatino Linotype"/>
          <w:color w:val="000000" w:themeColor="text1"/>
        </w:rPr>
      </w:pPr>
    </w:p>
    <w:p w14:paraId="69EDC21D" w14:textId="77777777" w:rsidR="009547CA" w:rsidRPr="003C342B" w:rsidRDefault="009547CA"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lastRenderedPageBreak/>
        <w:t>De lo anterior, se tiene que la </w:t>
      </w:r>
      <w:hyperlink r:id="rId12" w:history="1">
        <w:r w:rsidRPr="003C342B">
          <w:rPr>
            <w:rStyle w:val="Hipervnculo"/>
            <w:rFonts w:ascii="Palatino Linotype" w:eastAsia="Palatino Linotype" w:hAnsi="Palatino Linotype" w:cs="Palatino Linotype"/>
            <w:color w:val="000000" w:themeColor="text1"/>
            <w:u w:val="none"/>
          </w:rPr>
          <w:t>Comisión Federal para la Protección contra Riesgos Sanitarios,</w:t>
        </w:r>
      </w:hyperlink>
      <w:r w:rsidRPr="003C342B">
        <w:rPr>
          <w:rFonts w:ascii="Palatino Linotype" w:eastAsia="Palatino Linotype" w:hAnsi="Palatino Linotype" w:cs="Palatino Linotype"/>
          <w:color w:val="000000" w:themeColor="text1"/>
        </w:rPr>
        <w:t xml:space="preserve"> dentro de su organización cuenta </w:t>
      </w:r>
      <w:r w:rsidRPr="003C342B">
        <w:rPr>
          <w:rFonts w:ascii="Palatino Linotype" w:eastAsia="Palatino Linotype" w:hAnsi="Palatino Linotype" w:cs="Palatino Linotype"/>
          <w:b/>
          <w:i/>
          <w:color w:val="000000" w:themeColor="text1"/>
        </w:rPr>
        <w:t>Subdirección Ejecutiva de Licencias Sanitarias</w:t>
      </w:r>
      <w:r w:rsidR="00CD1C03" w:rsidRPr="003C342B">
        <w:rPr>
          <w:rFonts w:ascii="Palatino Linotype" w:eastAsia="Palatino Linotype" w:hAnsi="Palatino Linotype" w:cs="Palatino Linotype"/>
          <w:b/>
          <w:i/>
          <w:color w:val="000000" w:themeColor="text1"/>
        </w:rPr>
        <w:t xml:space="preserve">, </w:t>
      </w:r>
      <w:r w:rsidR="00CD1C03" w:rsidRPr="003C342B">
        <w:rPr>
          <w:rFonts w:ascii="Palatino Linotype" w:eastAsia="Palatino Linotype" w:hAnsi="Palatino Linotype" w:cs="Palatino Linotype"/>
          <w:color w:val="000000" w:themeColor="text1"/>
        </w:rPr>
        <w:t xml:space="preserve">quien dentro de sus funciones </w:t>
      </w:r>
      <w:r w:rsidR="0058671F" w:rsidRPr="003C342B">
        <w:rPr>
          <w:rFonts w:ascii="Palatino Linotype" w:eastAsia="Palatino Linotype" w:hAnsi="Palatino Linotype" w:cs="Palatino Linotype"/>
          <w:color w:val="000000" w:themeColor="text1"/>
        </w:rPr>
        <w:t xml:space="preserve">tiene las de autorizas las Licencias Sanitarias, los Avisos de Funcionamiento (de ser el caso) y la de emitir el Aviso de Responsable Sanitario, situación por la cual se colige que el Sistema Municipal Para el Desarrollo Integral de la Familia, debe de contar con los oficios o documentos mediante los cuales hubiera solicitado la licencias y autorizaciones correspondientes, situación por la cual para colmar el derecho de acceso a la información del </w:t>
      </w:r>
      <w:r w:rsidR="0058671F" w:rsidRPr="003C342B">
        <w:rPr>
          <w:rFonts w:ascii="Palatino Linotype" w:eastAsia="Palatino Linotype" w:hAnsi="Palatino Linotype" w:cs="Palatino Linotype"/>
          <w:b/>
          <w:color w:val="000000" w:themeColor="text1"/>
        </w:rPr>
        <w:t xml:space="preserve">RECURRENTE </w:t>
      </w:r>
      <w:r w:rsidR="0058671F" w:rsidRPr="003C342B">
        <w:rPr>
          <w:rFonts w:ascii="Palatino Linotype" w:eastAsia="Palatino Linotype" w:hAnsi="Palatino Linotype" w:cs="Palatino Linotype"/>
          <w:color w:val="000000" w:themeColor="text1"/>
        </w:rPr>
        <w:t xml:space="preserve">se deberá de entregar dicha información. </w:t>
      </w:r>
      <w:r w:rsidRPr="003C342B">
        <w:rPr>
          <w:rFonts w:ascii="Palatino Linotype" w:eastAsia="Palatino Linotype" w:hAnsi="Palatino Linotype" w:cs="Palatino Linotype"/>
          <w:i/>
          <w:color w:val="000000" w:themeColor="text1"/>
        </w:rPr>
        <w:t xml:space="preserve"> </w:t>
      </w:r>
    </w:p>
    <w:p w14:paraId="613CD37C" w14:textId="77777777" w:rsidR="009547CA" w:rsidRPr="003C342B" w:rsidRDefault="009547CA" w:rsidP="003C342B">
      <w:pPr>
        <w:spacing w:line="360" w:lineRule="auto"/>
        <w:ind w:firstLine="1"/>
        <w:jc w:val="both"/>
        <w:rPr>
          <w:rFonts w:ascii="Palatino Linotype" w:eastAsia="Palatino Linotype" w:hAnsi="Palatino Linotype" w:cs="Palatino Linotype"/>
          <w:i/>
          <w:color w:val="000000" w:themeColor="text1"/>
        </w:rPr>
      </w:pPr>
    </w:p>
    <w:p w14:paraId="758A2D09" w14:textId="77777777" w:rsidR="00112C64" w:rsidRPr="003C342B" w:rsidRDefault="00112C64" w:rsidP="003C342B">
      <w:pPr>
        <w:numPr>
          <w:ilvl w:val="0"/>
          <w:numId w:val="2"/>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color w:val="000000" w:themeColor="text1"/>
        </w:rPr>
        <w:t xml:space="preserve">De lo anteriormente expuesto, se tiene que la Unidad de Transparencia, informo que no era competente para conocer sobre la solicitud de información, sin embargo tal y como se demostró en los párrafos anteriores la Unidad Médica pertenece al Sistema Municipal Para el Desarrollo Integral de la Familia del Municipio de Huehuetoca, situación por la cual deberá de realizar una nueva búsqueda exhaustiva y razonable, mediante la cual sea localizada la información solicitada por el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situación por la cual se analiza lo siguiente. </w:t>
      </w:r>
    </w:p>
    <w:p w14:paraId="50EEAF2D" w14:textId="77777777" w:rsidR="00112C64" w:rsidRPr="003C342B" w:rsidRDefault="00112C64" w:rsidP="003C342B">
      <w:pPr>
        <w:spacing w:line="360" w:lineRule="auto"/>
        <w:ind w:firstLine="1"/>
        <w:jc w:val="both"/>
        <w:rPr>
          <w:rFonts w:ascii="Palatino Linotype" w:eastAsia="Palatino Linotype" w:hAnsi="Palatino Linotype" w:cs="Palatino Linotype"/>
          <w:i/>
          <w:color w:val="000000" w:themeColor="text1"/>
        </w:rPr>
      </w:pPr>
    </w:p>
    <w:p w14:paraId="2C31AF90"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 xml:space="preserve">De lo anterior, al artículo 162 de la de la Ley de Transparencia y Acceso a la Información Pública del Estado de México y Municipios, regula que las Unidades de Transparencia deben de garantizar que las solicitudes </w:t>
      </w:r>
      <w:r w:rsidRPr="003C342B">
        <w:rPr>
          <w:rFonts w:ascii="Palatino Linotype" w:eastAsia="Palatino Linotype" w:hAnsi="Palatino Linotype" w:cs="Palatino Linotype"/>
          <w:b/>
          <w:color w:val="000000" w:themeColor="text1"/>
        </w:rPr>
        <w:t>se turnen a todas las Áreas competentes que cuenten con la información o deban tenerla de acuerdo a sus facultades,</w:t>
      </w:r>
      <w:r w:rsidRPr="003C342B">
        <w:rPr>
          <w:rFonts w:ascii="Palatino Linotype" w:eastAsia="Palatino Linotype" w:hAnsi="Palatino Linotype" w:cs="Palatino Linotype"/>
          <w:color w:val="000000" w:themeColor="text1"/>
        </w:rPr>
        <w:t xml:space="preserve"> competencias y funciones, </w:t>
      </w:r>
      <w:r w:rsidRPr="003C342B">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Pr="003C342B">
        <w:rPr>
          <w:rFonts w:ascii="Palatino Linotype" w:eastAsia="Palatino Linotype" w:hAnsi="Palatino Linotype" w:cs="Palatino Linotype"/>
          <w:color w:val="000000" w:themeColor="text1"/>
        </w:rPr>
        <w:t xml:space="preserve">, situación que no fue realizada por el Titular de la Unidad de Transparencia del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w:t>
      </w:r>
    </w:p>
    <w:p w14:paraId="004FBE32"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lastRenderedPageBreak/>
        <w:t>A efecto de determinar la legalidad de dicha respuesta, es necesario tomar en cuenta las siguientes disposiciones de la Ley de la materia.</w:t>
      </w:r>
    </w:p>
    <w:p w14:paraId="0E40364B"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w:t>
      </w:r>
      <w:r w:rsidRPr="003C342B">
        <w:rPr>
          <w:rFonts w:ascii="Palatino Linotype" w:eastAsia="Palatino Linotype" w:hAnsi="Palatino Linotype" w:cs="Palatino Linotype"/>
          <w:b/>
          <w:i/>
          <w:color w:val="000000" w:themeColor="text1"/>
        </w:rPr>
        <w:t>Artículo 50.</w:t>
      </w:r>
      <w:r w:rsidRPr="003C342B">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14:paraId="65BCECF9"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51</w:t>
      </w:r>
      <w:r w:rsidRPr="003C342B">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BDBFD60"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p>
    <w:p w14:paraId="61941B72"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53</w:t>
      </w:r>
      <w:r w:rsidRPr="003C342B">
        <w:rPr>
          <w:rFonts w:ascii="Palatino Linotype" w:eastAsia="Palatino Linotype" w:hAnsi="Palatino Linotype" w:cs="Palatino Linotype"/>
          <w:i/>
          <w:color w:val="000000" w:themeColor="text1"/>
        </w:rPr>
        <w:t>. Las Unidades de Transparencia tendrán las siguientes funciones:</w:t>
      </w:r>
    </w:p>
    <w:p w14:paraId="09EDE0E0"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5D8998A" w14:textId="77777777" w:rsidR="002A1BCC" w:rsidRPr="003C342B" w:rsidRDefault="002A1BCC"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II. Recibir, </w:t>
      </w:r>
      <w:r w:rsidRPr="003C342B">
        <w:rPr>
          <w:rFonts w:ascii="Palatino Linotype" w:eastAsia="Palatino Linotype" w:hAnsi="Palatino Linotype" w:cs="Palatino Linotype"/>
          <w:b/>
          <w:i/>
          <w:color w:val="000000" w:themeColor="text1"/>
          <w:u w:val="single"/>
        </w:rPr>
        <w:t>tramitar</w:t>
      </w:r>
      <w:r w:rsidRPr="003C342B">
        <w:rPr>
          <w:rFonts w:ascii="Palatino Linotype" w:eastAsia="Palatino Linotype" w:hAnsi="Palatino Linotype" w:cs="Palatino Linotype"/>
          <w:b/>
          <w:i/>
          <w:color w:val="000000" w:themeColor="text1"/>
        </w:rPr>
        <w:t xml:space="preserve"> y dar respuesta a las solicitudes de acceso a la información;</w:t>
      </w:r>
    </w:p>
    <w:p w14:paraId="61870465"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14:paraId="13C0788D" w14:textId="77777777" w:rsidR="002A1BCC" w:rsidRPr="003C342B" w:rsidRDefault="002A1BCC"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14:paraId="59DD753D" w14:textId="77777777" w:rsidR="002A1BCC" w:rsidRPr="003C342B" w:rsidRDefault="002A1BCC" w:rsidP="003C342B">
      <w:pPr>
        <w:spacing w:line="360" w:lineRule="auto"/>
        <w:ind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V. Entregar, en su caso, a los particulares la información solicitada;</w:t>
      </w:r>
    </w:p>
    <w:p w14:paraId="1FE791F5"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VI. Efectuar las notificaciones a los solicitantes;</w:t>
      </w:r>
    </w:p>
    <w:p w14:paraId="11D733F5"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lastRenderedPageBreak/>
        <w:t>VII. Proponer al Comité de Transparencia, los procedimientos internos que aseguren la mayor eficiencia en la gestión de las solicitudes de acceso a la información, conforme a la normatividad aplicable;</w:t>
      </w:r>
    </w:p>
    <w:p w14:paraId="07F0EA37"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14:paraId="4055F9E6"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14:paraId="3D60D60E"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X. Presentar ante el Comité, el proyecto de clasificación de información;</w:t>
      </w:r>
    </w:p>
    <w:p w14:paraId="4700A756"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XI. Promover e implementar políticas de transparencia proactiva procurando su accesibilidad;</w:t>
      </w:r>
    </w:p>
    <w:p w14:paraId="7F205652"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XII. Fomentar la transparencia y accesibilidad al interior del sujeto obligado;</w:t>
      </w:r>
    </w:p>
    <w:p w14:paraId="169C7DF4"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0C98BE5A"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14:paraId="5ACB4BD3"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428C248"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w:t>
      </w:r>
      <w:r w:rsidRPr="003C342B">
        <w:rPr>
          <w:rFonts w:ascii="Palatino Linotype" w:eastAsia="Palatino Linotype" w:hAnsi="Palatino Linotype" w:cs="Palatino Linotype"/>
          <w:i/>
          <w:color w:val="000000" w:themeColor="text1"/>
        </w:rPr>
        <w:lastRenderedPageBreak/>
        <w:t>integran la Plataforma Nacional de Transparencia, presentar solicitudes de acceso a la información y facilitar su gestión e interponer los recursos que las leyes establezcan.</w:t>
      </w:r>
    </w:p>
    <w:p w14:paraId="6AB21BD2"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p>
    <w:p w14:paraId="4DE2350F"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59</w:t>
      </w:r>
      <w:r w:rsidRPr="003C342B">
        <w:rPr>
          <w:rFonts w:ascii="Palatino Linotype" w:eastAsia="Palatino Linotype" w:hAnsi="Palatino Linotype" w:cs="Palatino Linotype"/>
          <w:i/>
          <w:color w:val="000000" w:themeColor="text1"/>
        </w:rPr>
        <w:t xml:space="preserve">. </w:t>
      </w:r>
      <w:r w:rsidRPr="003C342B">
        <w:rPr>
          <w:rFonts w:ascii="Palatino Linotype" w:eastAsia="Palatino Linotype" w:hAnsi="Palatino Linotype" w:cs="Palatino Linotype"/>
          <w:b/>
          <w:i/>
          <w:color w:val="000000" w:themeColor="text1"/>
        </w:rPr>
        <w:t>Los servidores públicos habilitados</w:t>
      </w:r>
      <w:r w:rsidRPr="003C342B">
        <w:rPr>
          <w:rFonts w:ascii="Palatino Linotype" w:eastAsia="Palatino Linotype" w:hAnsi="Palatino Linotype" w:cs="Palatino Linotype"/>
          <w:i/>
          <w:color w:val="000000" w:themeColor="text1"/>
        </w:rPr>
        <w:t xml:space="preserve"> tendrán las funciones siguientes:</w:t>
      </w:r>
    </w:p>
    <w:p w14:paraId="7A1A5E42"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 Localizar la información que le solicite la Unidad de Transparencia;</w:t>
      </w:r>
    </w:p>
    <w:p w14:paraId="609EF3B3"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II. Proporcionar la información que obre en los archivos y que le sea solicitada por la Unidad de Transparencia;</w:t>
      </w:r>
    </w:p>
    <w:p w14:paraId="4CF7FF41"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III. Apoyar a la Unidad de Transparencia en lo que esta le solicite para el cumplimiento de sus funciones;</w:t>
      </w:r>
    </w:p>
    <w:p w14:paraId="610849A9"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14:paraId="15FECB90"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14:paraId="6AD40DC1"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14:paraId="64209907"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VII. Dar cuenta a la Unidad de Transparencia del vencimiento de los plazos de reserva.</w:t>
      </w:r>
    </w:p>
    <w:p w14:paraId="519B7B62"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p>
    <w:p w14:paraId="54D93046"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b/>
          <w:i/>
          <w:color w:val="000000" w:themeColor="text1"/>
        </w:rPr>
        <w:t>Artículo 162</w:t>
      </w:r>
      <w:r w:rsidRPr="003C342B">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B1DC6D2"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p>
    <w:p w14:paraId="30613484"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 xml:space="preserve">De la normatividad en cita, se desprende que las Unidades de Transparencia, se erigen como el área responsable en cada Sujeto Obligado que tiene a su cargo la atención de </w:t>
      </w:r>
      <w:r w:rsidRPr="003C342B">
        <w:rPr>
          <w:rFonts w:ascii="Palatino Linotype" w:eastAsia="Palatino Linotype" w:hAnsi="Palatino Linotype" w:cs="Palatino Linotype"/>
          <w:color w:val="000000" w:themeColor="text1"/>
        </w:rPr>
        <w:lastRenderedPageBreak/>
        <w:t>las solicitudes de información que se realicen al amparo de la Ley. El responsable de dicha área funge como enlace entre el</w:t>
      </w:r>
      <w:r w:rsidRPr="003C342B">
        <w:rPr>
          <w:rFonts w:ascii="Palatino Linotype" w:eastAsia="Palatino Linotype" w:hAnsi="Palatino Linotype" w:cs="Palatino Linotype"/>
          <w:b/>
          <w:color w:val="000000" w:themeColor="text1"/>
        </w:rPr>
        <w:t xml:space="preserve"> SUJETO OBLIGADO</w:t>
      </w:r>
      <w:r w:rsidRPr="003C342B">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14:paraId="1C2877B5"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578526BB"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turnar dentro de las áreas que conforman la estructura del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14:paraId="2A2BB4D1"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69C48A71"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34000D0F" w14:textId="77777777" w:rsidR="002A1BCC" w:rsidRPr="003C342B" w:rsidRDefault="002A1BCC" w:rsidP="003C342B">
      <w:pPr>
        <w:spacing w:line="360" w:lineRule="auto"/>
        <w:ind w:firstLine="1"/>
        <w:jc w:val="both"/>
        <w:rPr>
          <w:rFonts w:ascii="Palatino Linotype" w:hAnsi="Palatino Linotype"/>
          <w:color w:val="000000" w:themeColor="text1"/>
        </w:rPr>
      </w:pPr>
    </w:p>
    <w:p w14:paraId="0101C388"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y por lo tanto debe proceder a realizar una búsqueda exhaustiva a efecto de proporcionar los documentos donde obre la misma de tal forma que cumpla con los requisitos de la Ley en la materia.</w:t>
      </w:r>
    </w:p>
    <w:p w14:paraId="3BB6EC08"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7389CE83"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 xml:space="preserve">Conforme a lo anterior, se puede advertir que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no turnó la solicitud de información a todas  las unidad administrativa habilitadas de conocer de la </w:t>
      </w:r>
      <w:r w:rsidRPr="003C342B">
        <w:rPr>
          <w:rFonts w:ascii="Palatino Linotype" w:eastAsia="Palatino Linotype" w:hAnsi="Palatino Linotype" w:cs="Palatino Linotype"/>
          <w:color w:val="000000" w:themeColor="text1"/>
        </w:rPr>
        <w:lastRenderedPageBreak/>
        <w:t xml:space="preserve">solicitud de información, por lo que se concluye, que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14:paraId="08C47A91"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749ED3A1"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C29C838"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39F2C238"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 xml:space="preserve">En ese contexto, de conformidad con los </w:t>
      </w:r>
      <w:r w:rsidRPr="003C342B">
        <w:rPr>
          <w:rFonts w:ascii="Palatino Linotype" w:eastAsia="Palatino Linotype" w:hAnsi="Palatino Linotype" w:cs="Palatino Linotype"/>
          <w:b/>
          <w:color w:val="000000" w:themeColor="text1"/>
        </w:rPr>
        <w:t>criterios 12/10 y 04/19,</w:t>
      </w:r>
      <w:r w:rsidRPr="003C342B">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3C342B">
        <w:rPr>
          <w:rFonts w:ascii="Palatino Linotype" w:eastAsia="Palatino Linotype" w:hAnsi="Palatino Linotype" w:cs="Palatino Linotype"/>
          <w:b/>
          <w:color w:val="000000" w:themeColor="text1"/>
        </w:rPr>
        <w:t>elementos suficientes</w:t>
      </w:r>
      <w:r w:rsidRPr="003C342B">
        <w:rPr>
          <w:rFonts w:ascii="Palatino Linotype" w:eastAsia="Palatino Linotype" w:hAnsi="Palatino Linotype" w:cs="Palatino Linotype"/>
          <w:color w:val="000000" w:themeColor="text1"/>
        </w:rPr>
        <w:t xml:space="preserve"> del carácter exhaustivo de la indagación realizada, a saber, los siguientes:</w:t>
      </w:r>
    </w:p>
    <w:p w14:paraId="0D866F43" w14:textId="77777777" w:rsidR="002A1BCC" w:rsidRPr="003C342B" w:rsidRDefault="002A1BCC" w:rsidP="003C342B">
      <w:pPr>
        <w:numPr>
          <w:ilvl w:val="0"/>
          <w:numId w:val="10"/>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Motivación por las que se buscó la información, en determinadas unidades administrativas;</w:t>
      </w:r>
    </w:p>
    <w:p w14:paraId="79671130" w14:textId="77777777" w:rsidR="002A1BCC" w:rsidRPr="003C342B" w:rsidRDefault="002A1BCC" w:rsidP="003C342B">
      <w:pPr>
        <w:numPr>
          <w:ilvl w:val="0"/>
          <w:numId w:val="10"/>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Los criterios de búsqueda utilizados, y</w:t>
      </w:r>
    </w:p>
    <w:p w14:paraId="020B52F5" w14:textId="77777777" w:rsidR="002A1BCC" w:rsidRPr="003C342B" w:rsidRDefault="002A1BCC" w:rsidP="003C342B">
      <w:pPr>
        <w:numPr>
          <w:ilvl w:val="0"/>
          <w:numId w:val="10"/>
        </w:numPr>
        <w:spacing w:line="360" w:lineRule="auto"/>
        <w:ind w:left="0" w:firstLine="1"/>
        <w:jc w:val="both"/>
        <w:rPr>
          <w:rFonts w:ascii="Palatino Linotype" w:eastAsia="Palatino Linotype" w:hAnsi="Palatino Linotype" w:cs="Palatino Linotype"/>
          <w:i/>
          <w:color w:val="000000" w:themeColor="text1"/>
        </w:rPr>
      </w:pPr>
      <w:r w:rsidRPr="003C342B">
        <w:rPr>
          <w:rFonts w:ascii="Palatino Linotype" w:eastAsia="Palatino Linotype" w:hAnsi="Palatino Linotype" w:cs="Palatino Linotype"/>
          <w:i/>
          <w:color w:val="000000" w:themeColor="text1"/>
        </w:rPr>
        <w:t>Las circunstancias que fueron tomadas en cuenta.</w:t>
      </w:r>
    </w:p>
    <w:p w14:paraId="077A1F81"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73174891"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De tales circunstancias, se considera que para que los Sujetos Obligado justifiquen que realizaron una búsqueda exhaustiva y razonable, deben indicar de manera clara, lo siguiente:</w:t>
      </w:r>
    </w:p>
    <w:p w14:paraId="5F47D60E" w14:textId="77777777" w:rsidR="002A1BCC" w:rsidRPr="003C342B" w:rsidRDefault="002A1BCC" w:rsidP="003C342B">
      <w:pPr>
        <w:numPr>
          <w:ilvl w:val="0"/>
          <w:numId w:val="11"/>
        </w:numPr>
        <w:spacing w:line="360" w:lineRule="auto"/>
        <w:ind w:left="0"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Las áreas donde se buscó la información;</w:t>
      </w:r>
    </w:p>
    <w:p w14:paraId="61EBBDA9" w14:textId="77777777" w:rsidR="002A1BCC" w:rsidRPr="003C342B" w:rsidRDefault="002A1BCC" w:rsidP="003C342B">
      <w:pPr>
        <w:numPr>
          <w:ilvl w:val="0"/>
          <w:numId w:val="11"/>
        </w:numPr>
        <w:spacing w:line="360" w:lineRule="auto"/>
        <w:ind w:left="0"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lastRenderedPageBreak/>
        <w:t>Tipo de archivos buscados (físicos o electrónicos);</w:t>
      </w:r>
    </w:p>
    <w:p w14:paraId="2BD7EFC9" w14:textId="77777777" w:rsidR="002A1BCC" w:rsidRPr="003C342B" w:rsidRDefault="002A1BCC" w:rsidP="003C342B">
      <w:pPr>
        <w:numPr>
          <w:ilvl w:val="0"/>
          <w:numId w:val="11"/>
        </w:numPr>
        <w:spacing w:line="360" w:lineRule="auto"/>
        <w:ind w:left="0"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 xml:space="preserve">Los criterios de búsqueda utilizados, y </w:t>
      </w:r>
    </w:p>
    <w:p w14:paraId="1616C15F" w14:textId="77777777" w:rsidR="002A1BCC" w:rsidRPr="003C342B" w:rsidRDefault="002A1BCC" w:rsidP="003C342B">
      <w:pPr>
        <w:numPr>
          <w:ilvl w:val="0"/>
          <w:numId w:val="11"/>
        </w:numPr>
        <w:spacing w:line="360" w:lineRule="auto"/>
        <w:ind w:left="0" w:firstLine="1"/>
        <w:jc w:val="both"/>
        <w:rPr>
          <w:rFonts w:ascii="Palatino Linotype" w:eastAsia="Palatino Linotype" w:hAnsi="Palatino Linotype" w:cs="Palatino Linotype"/>
          <w:b/>
          <w:i/>
          <w:color w:val="000000" w:themeColor="text1"/>
        </w:rPr>
      </w:pPr>
      <w:r w:rsidRPr="003C342B">
        <w:rPr>
          <w:rFonts w:ascii="Palatino Linotype" w:eastAsia="Palatino Linotype" w:hAnsi="Palatino Linotype" w:cs="Palatino Linotype"/>
          <w:b/>
          <w:i/>
          <w:color w:val="000000" w:themeColor="text1"/>
        </w:rPr>
        <w:t>Las circunstancias que fueron tomadas en cuenta.</w:t>
      </w:r>
      <w:r w:rsidRPr="003C342B">
        <w:rPr>
          <w:rFonts w:ascii="Palatino Linotype" w:eastAsia="Palatino Linotype" w:hAnsi="Palatino Linotype" w:cs="Palatino Linotype"/>
          <w:b/>
          <w:i/>
          <w:color w:val="000000" w:themeColor="text1"/>
        </w:rPr>
        <w:tab/>
      </w:r>
    </w:p>
    <w:p w14:paraId="02051AB4" w14:textId="77777777" w:rsidR="002A1BCC" w:rsidRPr="003C342B" w:rsidRDefault="002A1BCC" w:rsidP="003C342B">
      <w:pPr>
        <w:spacing w:line="360" w:lineRule="auto"/>
        <w:ind w:firstLine="1"/>
        <w:jc w:val="both"/>
        <w:rPr>
          <w:rFonts w:ascii="Palatino Linotype" w:eastAsia="Palatino Linotype" w:hAnsi="Palatino Linotype" w:cs="Palatino Linotype"/>
          <w:color w:val="000000" w:themeColor="text1"/>
        </w:rPr>
      </w:pPr>
    </w:p>
    <w:p w14:paraId="18DE1FEB" w14:textId="77777777" w:rsidR="002A1BCC" w:rsidRPr="003C342B" w:rsidRDefault="002A1BCC" w:rsidP="003C342B">
      <w:pPr>
        <w:numPr>
          <w:ilvl w:val="0"/>
          <w:numId w:val="2"/>
        </w:numPr>
        <w:spacing w:line="360" w:lineRule="auto"/>
        <w:ind w:left="0" w:firstLine="1"/>
        <w:jc w:val="both"/>
        <w:rPr>
          <w:rFonts w:ascii="Palatino Linotype" w:eastAsia="Palatino Linotype" w:hAnsi="Palatino Linotype" w:cs="Palatino Linotype"/>
          <w:b/>
          <w:color w:val="000000" w:themeColor="text1"/>
        </w:rPr>
      </w:pPr>
      <w:r w:rsidRPr="003C342B">
        <w:rPr>
          <w:rFonts w:ascii="Palatino Linotype" w:eastAsia="Palatino Linotype" w:hAnsi="Palatino Linotype" w:cs="Palatino Linotype"/>
          <w:color w:val="000000" w:themeColor="text1"/>
        </w:rPr>
        <w:t xml:space="preserve">Conforme a lo anterior, este Instituto considera que el </w:t>
      </w:r>
      <w:r w:rsidRPr="003C342B">
        <w:rPr>
          <w:rFonts w:ascii="Palatino Linotype" w:eastAsia="Palatino Linotype" w:hAnsi="Palatino Linotype" w:cs="Palatino Linotype"/>
          <w:b/>
          <w:color w:val="000000" w:themeColor="text1"/>
        </w:rPr>
        <w:t>Sistema Municipal Para el Desarrollo Integral de la Familia del Municipio Huehuetoca</w:t>
      </w:r>
      <w:r w:rsidRPr="003C342B">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3C342B">
        <w:rPr>
          <w:rFonts w:ascii="Palatino Linotype" w:eastAsia="Palatino Linotype" w:hAnsi="Palatino Linotype" w:cs="Palatino Linotype"/>
          <w:b/>
          <w:color w:val="000000" w:themeColor="text1"/>
        </w:rPr>
        <w:t>no se indago en documentos físicos o también electrónicos y no se logró desprender los criterios de búsqueda utilizados, pues no precisó cómo realizó la misma.</w:t>
      </w:r>
    </w:p>
    <w:p w14:paraId="1C7B3A84" w14:textId="77777777" w:rsidR="002A1BCC" w:rsidRPr="003C342B" w:rsidRDefault="002A1BCC" w:rsidP="003C342B">
      <w:pPr>
        <w:spacing w:line="360" w:lineRule="auto"/>
        <w:ind w:firstLine="1"/>
        <w:jc w:val="both"/>
        <w:rPr>
          <w:rFonts w:ascii="Palatino Linotype" w:eastAsia="Palatino Linotype" w:hAnsi="Palatino Linotype" w:cs="Palatino Linotype"/>
          <w:i/>
          <w:color w:val="000000" w:themeColor="text1"/>
        </w:rPr>
      </w:pPr>
    </w:p>
    <w:p w14:paraId="3E8090A7" w14:textId="77777777" w:rsidR="002A1BCC" w:rsidRPr="003C342B" w:rsidRDefault="002A1BCC" w:rsidP="003C342B">
      <w:pPr>
        <w:numPr>
          <w:ilvl w:val="0"/>
          <w:numId w:val="2"/>
        </w:numPr>
        <w:spacing w:line="360" w:lineRule="auto"/>
        <w:ind w:left="0" w:firstLine="1"/>
        <w:jc w:val="both"/>
        <w:rPr>
          <w:rFonts w:ascii="Palatino Linotype" w:eastAsia="Calibri" w:hAnsi="Palatino Linotype"/>
          <w:color w:val="000000" w:themeColor="text1"/>
        </w:rPr>
      </w:pPr>
      <w:r w:rsidRPr="003C342B">
        <w:rPr>
          <w:rFonts w:ascii="Palatino Linotype" w:eastAsia="Palatino Linotype" w:hAnsi="Palatino Linotype" w:cs="Palatino Linotype"/>
          <w:color w:val="000000" w:themeColor="text1"/>
        </w:rPr>
        <w:t>De lo anterior, se concluye que la búsqueda exhaustiva y razonable de la información debe estar sustentada con los respectivos criterios de búsqueda exhaustiva que el sujeto obligado utilizó.</w:t>
      </w:r>
    </w:p>
    <w:p w14:paraId="653A2112" w14:textId="77777777" w:rsidR="002A1BCC" w:rsidRPr="003C342B" w:rsidRDefault="002A1BCC" w:rsidP="003C342B">
      <w:pPr>
        <w:spacing w:line="360" w:lineRule="auto"/>
        <w:ind w:firstLine="1"/>
        <w:rPr>
          <w:rFonts w:ascii="Palatino Linotype" w:hAnsi="Palatino Linotype"/>
          <w:color w:val="000000" w:themeColor="text1"/>
        </w:rPr>
      </w:pPr>
    </w:p>
    <w:p w14:paraId="44A96778" w14:textId="77777777" w:rsidR="00E8148B" w:rsidRPr="007F27C8" w:rsidRDefault="00E8148B" w:rsidP="003C342B">
      <w:pPr>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b/>
          <w:color w:val="000000" w:themeColor="text1"/>
        </w:rPr>
        <w:t>QUINTO. De la versión pública.</w:t>
      </w:r>
    </w:p>
    <w:p w14:paraId="5A2CFFD2" w14:textId="77777777" w:rsidR="00E8148B" w:rsidRPr="007F27C8" w:rsidRDefault="00E8148B" w:rsidP="003C342B">
      <w:pPr>
        <w:pStyle w:val="Ttulo1"/>
        <w:numPr>
          <w:ilvl w:val="0"/>
          <w:numId w:val="14"/>
        </w:numPr>
        <w:tabs>
          <w:tab w:val="left" w:pos="284"/>
        </w:tabs>
        <w:spacing w:before="0" w:after="0" w:line="360" w:lineRule="auto"/>
        <w:ind w:left="0" w:firstLine="1"/>
        <w:rPr>
          <w:rFonts w:ascii="Palatino Linotype" w:eastAsia="Palatino Linotype" w:hAnsi="Palatino Linotype" w:cs="Palatino Linotype"/>
          <w:b/>
          <w:color w:val="000000" w:themeColor="text1"/>
          <w:sz w:val="24"/>
          <w:szCs w:val="24"/>
        </w:rPr>
      </w:pPr>
      <w:bookmarkStart w:id="12" w:name="_heading=h.4hm3vlrjjcw2" w:colFirst="0" w:colLast="0"/>
      <w:bookmarkEnd w:id="12"/>
      <w:r w:rsidRPr="007F27C8">
        <w:rPr>
          <w:rFonts w:ascii="Palatino Linotype" w:eastAsia="Palatino Linotype" w:hAnsi="Palatino Linotype" w:cs="Palatino Linotype"/>
          <w:b/>
          <w:color w:val="000000" w:themeColor="text1"/>
          <w:sz w:val="24"/>
          <w:szCs w:val="24"/>
        </w:rPr>
        <w:t xml:space="preserve">Nociones generales. </w:t>
      </w:r>
    </w:p>
    <w:p w14:paraId="5533C18E" w14:textId="77777777" w:rsidR="00E8148B" w:rsidRPr="007F27C8" w:rsidRDefault="00E8148B"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Debe destacarse que, debido a la naturaleza de la información solicitada,</w:t>
      </w:r>
      <w:r w:rsidRPr="007F27C8">
        <w:rPr>
          <w:rFonts w:ascii="Palatino Linotype" w:eastAsia="Palatino Linotype" w:hAnsi="Palatino Linotype" w:cs="Palatino Linotype"/>
          <w:b/>
          <w:color w:val="000000" w:themeColor="text1"/>
        </w:rPr>
        <w:t xml:space="preserve"> </w:t>
      </w:r>
      <w:r w:rsidRPr="007F27C8">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7F27C8">
        <w:rPr>
          <w:rFonts w:ascii="Palatino Linotype" w:eastAsia="Palatino Linotype" w:hAnsi="Palatino Linotype" w:cs="Palatino Linotype"/>
          <w:b/>
          <w:color w:val="000000" w:themeColor="text1"/>
        </w:rPr>
        <w:t xml:space="preserve">Sujeto Obligado </w:t>
      </w:r>
      <w:r w:rsidRPr="007F27C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23E4521D" w14:textId="77777777" w:rsidR="00E8148B" w:rsidRPr="007F27C8" w:rsidRDefault="00E8148B"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lastRenderedPageBreak/>
        <w:t xml:space="preserve">No pasa desapercibido para este Órgano Garante que los </w:t>
      </w:r>
      <w:r w:rsidRPr="007F27C8">
        <w:rPr>
          <w:rFonts w:ascii="Palatino Linotype" w:eastAsia="Palatino Linotype" w:hAnsi="Palatino Linotype" w:cs="Palatino Linotype"/>
          <w:b/>
          <w:color w:val="000000" w:themeColor="text1"/>
        </w:rPr>
        <w:t xml:space="preserve">Sujetos Obligados </w:t>
      </w:r>
      <w:r w:rsidRPr="007F27C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92EE680"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p>
    <w:tbl>
      <w:tblPr>
        <w:tblW w:w="9360"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3"/>
        <w:gridCol w:w="6667"/>
      </w:tblGrid>
      <w:tr w:rsidR="003C342B" w:rsidRPr="007F27C8" w14:paraId="78AF6063" w14:textId="77777777" w:rsidTr="002E5292">
        <w:tc>
          <w:tcPr>
            <w:tcW w:w="2693" w:type="dxa"/>
            <w:tcBorders>
              <w:top w:val="single" w:sz="4" w:space="0" w:color="BFBFBF"/>
              <w:left w:val="single" w:sz="4" w:space="0" w:color="BFBFBF"/>
              <w:bottom w:val="single" w:sz="4" w:space="0" w:color="BFBFBF"/>
              <w:right w:val="single" w:sz="4" w:space="0" w:color="BFBFBF"/>
            </w:tcBorders>
          </w:tcPr>
          <w:p w14:paraId="674D664F" w14:textId="77777777" w:rsidR="00E8148B" w:rsidRPr="007F27C8" w:rsidRDefault="00E8148B" w:rsidP="003C342B">
            <w:pPr>
              <w:tabs>
                <w:tab w:val="left" w:pos="284"/>
              </w:tabs>
              <w:spacing w:line="360" w:lineRule="auto"/>
              <w:ind w:firstLine="1"/>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a) Requisitos previos.</w:t>
            </w:r>
          </w:p>
        </w:tc>
        <w:tc>
          <w:tcPr>
            <w:tcW w:w="6667" w:type="dxa"/>
            <w:tcBorders>
              <w:top w:val="single" w:sz="4" w:space="0" w:color="BFBFBF"/>
              <w:left w:val="single" w:sz="4" w:space="0" w:color="BFBFBF"/>
              <w:bottom w:val="single" w:sz="4" w:space="0" w:color="BFBFBF"/>
              <w:right w:val="single" w:sz="4" w:space="0" w:color="BFBFBF"/>
            </w:tcBorders>
          </w:tcPr>
          <w:p w14:paraId="1F5ACC2D"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957AE44"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3C55154"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33CDC946"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F27C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F27C8">
              <w:rPr>
                <w:rFonts w:ascii="Palatino Linotype" w:eastAsia="Palatino Linotype" w:hAnsi="Palatino Linotype" w:cs="Palatino Linotype"/>
                <w:color w:val="000000" w:themeColor="text1"/>
              </w:rPr>
              <w:t xml:space="preserve"> individualizar su análisis y tampoco se puede hacer un </w:t>
            </w:r>
            <w:r w:rsidRPr="007F27C8">
              <w:rPr>
                <w:rFonts w:ascii="Palatino Linotype" w:eastAsia="Palatino Linotype" w:hAnsi="Palatino Linotype" w:cs="Palatino Linotype"/>
                <w:color w:val="000000" w:themeColor="text1"/>
              </w:rPr>
              <w:lastRenderedPageBreak/>
              <w:t>acuerdo por cada dato que se vaya a clasificar dentro de un documento con diez datos, por ejemplo, susceptibles de ser clasificados.</w:t>
            </w:r>
          </w:p>
        </w:tc>
      </w:tr>
      <w:tr w:rsidR="003C342B" w:rsidRPr="007F27C8" w14:paraId="1AEB06B4" w14:textId="77777777" w:rsidTr="002E5292">
        <w:tc>
          <w:tcPr>
            <w:tcW w:w="2693" w:type="dxa"/>
            <w:tcBorders>
              <w:top w:val="single" w:sz="4" w:space="0" w:color="BFBFBF"/>
              <w:left w:val="single" w:sz="4" w:space="0" w:color="BFBFBF"/>
              <w:bottom w:val="single" w:sz="4" w:space="0" w:color="BFBFBF"/>
              <w:right w:val="single" w:sz="4" w:space="0" w:color="BFBFBF"/>
            </w:tcBorders>
          </w:tcPr>
          <w:p w14:paraId="7B11AD9F" w14:textId="77777777" w:rsidR="00E8148B" w:rsidRPr="007F27C8" w:rsidRDefault="00E8148B" w:rsidP="003C342B">
            <w:pPr>
              <w:tabs>
                <w:tab w:val="left" w:pos="284"/>
              </w:tabs>
              <w:spacing w:line="360" w:lineRule="auto"/>
              <w:ind w:firstLine="1"/>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lastRenderedPageBreak/>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14:paraId="703EB01C"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FF70C0C"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395F529"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El </w:t>
            </w:r>
            <w:r w:rsidRPr="007F27C8">
              <w:rPr>
                <w:rFonts w:ascii="Palatino Linotype" w:eastAsia="Palatino Linotype" w:hAnsi="Palatino Linotype" w:cs="Palatino Linotype"/>
                <w:b/>
                <w:color w:val="000000" w:themeColor="text1"/>
              </w:rPr>
              <w:t>Sujeto Obligado</w:t>
            </w:r>
            <w:r w:rsidRPr="007F27C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C342B" w:rsidRPr="007F27C8" w14:paraId="37A9F439" w14:textId="77777777" w:rsidTr="002E5292">
        <w:tc>
          <w:tcPr>
            <w:tcW w:w="2693" w:type="dxa"/>
            <w:tcBorders>
              <w:top w:val="single" w:sz="4" w:space="0" w:color="BFBFBF"/>
              <w:left w:val="single" w:sz="4" w:space="0" w:color="BFBFBF"/>
              <w:bottom w:val="single" w:sz="4" w:space="0" w:color="BFBFBF"/>
              <w:right w:val="single" w:sz="4" w:space="0" w:color="BFBFBF"/>
            </w:tcBorders>
          </w:tcPr>
          <w:p w14:paraId="456CF4F1" w14:textId="77777777" w:rsidR="00E8148B" w:rsidRPr="007F27C8" w:rsidRDefault="00E8148B" w:rsidP="003C342B">
            <w:pPr>
              <w:tabs>
                <w:tab w:val="left" w:pos="284"/>
              </w:tabs>
              <w:spacing w:line="360" w:lineRule="auto"/>
              <w:ind w:firstLine="1"/>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lastRenderedPageBreak/>
              <w:t>c) Formalidades 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14:paraId="7FFD9B50"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3F3C3D21"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Es necesario que </w:t>
            </w:r>
            <w:r w:rsidRPr="007F27C8">
              <w:rPr>
                <w:rFonts w:ascii="Palatino Linotype" w:eastAsia="Palatino Linotype" w:hAnsi="Palatino Linotype" w:cs="Palatino Linotype"/>
                <w:b/>
                <w:color w:val="000000" w:themeColor="text1"/>
                <w:u w:val="single"/>
              </w:rPr>
              <w:t>el acto reúna con los requisitos elementales</w:t>
            </w:r>
            <w:r w:rsidRPr="007F27C8">
              <w:rPr>
                <w:rFonts w:ascii="Palatino Linotype" w:eastAsia="Palatino Linotype" w:hAnsi="Palatino Linotype" w:cs="Palatino Linotype"/>
                <w:color w:val="000000" w:themeColor="text1"/>
              </w:rPr>
              <w:t>, entre ellos, que la autoridad que va a emitir el acto de autoridad sea la legalmente facultada para ello.</w:t>
            </w:r>
          </w:p>
          <w:p w14:paraId="0501F894"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C342B" w:rsidRPr="007F27C8" w14:paraId="22806FB5" w14:textId="77777777" w:rsidTr="002E5292">
        <w:tc>
          <w:tcPr>
            <w:tcW w:w="2693" w:type="dxa"/>
            <w:tcBorders>
              <w:top w:val="single" w:sz="4" w:space="0" w:color="BFBFBF"/>
              <w:left w:val="single" w:sz="4" w:space="0" w:color="BFBFBF"/>
              <w:bottom w:val="single" w:sz="4" w:space="0" w:color="BFBFBF"/>
              <w:right w:val="single" w:sz="4" w:space="0" w:color="BFBFBF"/>
            </w:tcBorders>
          </w:tcPr>
          <w:p w14:paraId="0E0AF9DD" w14:textId="77777777" w:rsidR="00E8148B" w:rsidRPr="007F27C8" w:rsidRDefault="00E8148B" w:rsidP="003C342B">
            <w:pPr>
              <w:tabs>
                <w:tab w:val="left" w:pos="284"/>
              </w:tabs>
              <w:spacing w:line="360" w:lineRule="auto"/>
              <w:ind w:firstLine="1"/>
              <w:rPr>
                <w:rFonts w:ascii="Palatino Linotype" w:eastAsia="Palatino Linotype" w:hAnsi="Palatino Linotype" w:cs="Palatino Linotype"/>
                <w:color w:val="000000" w:themeColor="text1"/>
              </w:rPr>
            </w:pPr>
          </w:p>
          <w:p w14:paraId="56204DE1"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d) Requisitos de fondo del acuerdo de clasificación. </w:t>
            </w:r>
          </w:p>
        </w:tc>
        <w:tc>
          <w:tcPr>
            <w:tcW w:w="6667" w:type="dxa"/>
            <w:tcBorders>
              <w:top w:val="single" w:sz="4" w:space="0" w:color="BFBFBF"/>
              <w:left w:val="single" w:sz="4" w:space="0" w:color="BFBFBF"/>
              <w:bottom w:val="single" w:sz="4" w:space="0" w:color="BFBFBF"/>
              <w:right w:val="single" w:sz="4" w:space="0" w:color="BFBFBF"/>
            </w:tcBorders>
          </w:tcPr>
          <w:p w14:paraId="30588C3A"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F27C8">
              <w:rPr>
                <w:rFonts w:ascii="Palatino Linotype" w:eastAsia="Palatino Linotype" w:hAnsi="Palatino Linotype" w:cs="Palatino Linotype"/>
                <w:b/>
                <w:color w:val="000000" w:themeColor="text1"/>
              </w:rPr>
              <w:t>Sujetos Obligados</w:t>
            </w:r>
            <w:r w:rsidRPr="007F27C8">
              <w:rPr>
                <w:rFonts w:ascii="Palatino Linotype" w:eastAsia="Palatino Linotype" w:hAnsi="Palatino Linotype" w:cs="Palatino Linotype"/>
                <w:color w:val="000000" w:themeColor="text1"/>
              </w:rPr>
              <w:t xml:space="preserve">, por lo que deberán fundar y motivar debidamente la clasificación. </w:t>
            </w:r>
          </w:p>
          <w:p w14:paraId="50085E97"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lastRenderedPageBreak/>
              <w:t xml:space="preserve">De lo anterior, se desprende que para una correcta </w:t>
            </w:r>
            <w:r w:rsidRPr="007F27C8">
              <w:rPr>
                <w:rFonts w:ascii="Palatino Linotype" w:eastAsia="Palatino Linotype" w:hAnsi="Palatino Linotype" w:cs="Palatino Linotype"/>
                <w:b/>
                <w:color w:val="000000" w:themeColor="text1"/>
              </w:rPr>
              <w:t>clasificación total o parcial</w:t>
            </w:r>
            <w:r w:rsidRPr="007F27C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21B8AB"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4B674F3"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6B17FCB"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Ahora bien, </w:t>
            </w:r>
            <w:r w:rsidRPr="007F27C8">
              <w:rPr>
                <w:rFonts w:ascii="Palatino Linotype" w:eastAsia="Palatino Linotype" w:hAnsi="Palatino Linotype" w:cs="Palatino Linotype"/>
                <w:b/>
                <w:color w:val="000000" w:themeColor="text1"/>
                <w:u w:val="single"/>
              </w:rPr>
              <w:t>para cada caso además de fundar y motivar</w:t>
            </w:r>
            <w:r w:rsidRPr="007F27C8">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w:t>
            </w:r>
            <w:r w:rsidRPr="007F27C8">
              <w:rPr>
                <w:rFonts w:ascii="Palatino Linotype" w:eastAsia="Palatino Linotype" w:hAnsi="Palatino Linotype" w:cs="Palatino Linotype"/>
                <w:color w:val="000000" w:themeColor="text1"/>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E8148B" w:rsidRPr="007F27C8" w14:paraId="24F1C3FC" w14:textId="77777777" w:rsidTr="002E5292">
        <w:tc>
          <w:tcPr>
            <w:tcW w:w="2693" w:type="dxa"/>
            <w:tcBorders>
              <w:top w:val="single" w:sz="4" w:space="0" w:color="BFBFBF"/>
              <w:left w:val="single" w:sz="4" w:space="0" w:color="BFBFBF"/>
              <w:bottom w:val="single" w:sz="4" w:space="0" w:color="BFBFBF"/>
              <w:right w:val="single" w:sz="4" w:space="0" w:color="BFBFBF"/>
            </w:tcBorders>
          </w:tcPr>
          <w:p w14:paraId="344A27E1"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667" w:type="dxa"/>
            <w:tcBorders>
              <w:top w:val="single" w:sz="4" w:space="0" w:color="BFBFBF"/>
              <w:left w:val="single" w:sz="4" w:space="0" w:color="BFBFBF"/>
              <w:bottom w:val="single" w:sz="4" w:space="0" w:color="BFBFBF"/>
              <w:right w:val="single" w:sz="4" w:space="0" w:color="BFBFBF"/>
            </w:tcBorders>
          </w:tcPr>
          <w:p w14:paraId="1BE8B443"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495839CB"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ADF736" w14:textId="77777777" w:rsidR="00E8148B" w:rsidRPr="007F27C8" w:rsidRDefault="00E8148B" w:rsidP="003C342B">
            <w:pPr>
              <w:tabs>
                <w:tab w:val="left" w:pos="284"/>
              </w:tabs>
              <w:spacing w:line="360" w:lineRule="auto"/>
              <w:ind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9F86D91" w14:textId="77777777" w:rsidR="00E8148B" w:rsidRPr="007F27C8" w:rsidRDefault="00E8148B" w:rsidP="003C342B">
      <w:pPr>
        <w:pBdr>
          <w:top w:val="nil"/>
          <w:left w:val="nil"/>
          <w:bottom w:val="nil"/>
          <w:right w:val="nil"/>
          <w:between w:val="nil"/>
        </w:pBdr>
        <w:tabs>
          <w:tab w:val="left" w:pos="284"/>
        </w:tabs>
        <w:spacing w:line="360" w:lineRule="auto"/>
        <w:ind w:firstLine="1"/>
        <w:rPr>
          <w:rFonts w:ascii="Palatino Linotype" w:eastAsia="Palatino Linotype" w:hAnsi="Palatino Linotype" w:cs="Palatino Linotype"/>
          <w:color w:val="000000" w:themeColor="text1"/>
        </w:rPr>
      </w:pPr>
    </w:p>
    <w:p w14:paraId="7A903767" w14:textId="77777777" w:rsidR="00E8148B" w:rsidRPr="007F27C8" w:rsidRDefault="00E8148B"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7F27C8">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7F27C8">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14:paraId="09AA618F" w14:textId="77777777" w:rsidR="00E8148B" w:rsidRPr="003C342B" w:rsidRDefault="00E8148B" w:rsidP="003C342B">
      <w:pPr>
        <w:spacing w:line="360" w:lineRule="auto"/>
        <w:ind w:firstLine="1"/>
        <w:jc w:val="both"/>
        <w:rPr>
          <w:rFonts w:ascii="Palatino Linotype" w:eastAsia="Palatino Linotype" w:hAnsi="Palatino Linotype" w:cs="Palatino Linotype"/>
          <w:color w:val="000000" w:themeColor="text1"/>
        </w:rPr>
      </w:pPr>
    </w:p>
    <w:p w14:paraId="686D573B" w14:textId="77777777" w:rsidR="00E40613" w:rsidRPr="003C342B" w:rsidRDefault="00E40613" w:rsidP="003C342B">
      <w:pPr>
        <w:numPr>
          <w:ilvl w:val="0"/>
          <w:numId w:val="2"/>
        </w:numPr>
        <w:spacing w:line="360" w:lineRule="auto"/>
        <w:ind w:left="0"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3C342B">
        <w:rPr>
          <w:rFonts w:ascii="Palatino Linotype" w:eastAsia="Palatino Linotype" w:hAnsi="Palatino Linotype" w:cs="Palatino Linotype"/>
          <w:b/>
          <w:color w:val="000000" w:themeColor="text1"/>
        </w:rPr>
        <w:t xml:space="preserve"> RECURRENTE</w:t>
      </w:r>
      <w:r w:rsidRPr="003C342B">
        <w:rPr>
          <w:rFonts w:ascii="Palatino Linotype" w:eastAsia="Palatino Linotype" w:hAnsi="Palatino Linotype" w:cs="Palatino Linotype"/>
          <w:color w:val="000000" w:themeColor="text1"/>
        </w:rPr>
        <w:t xml:space="preserve">, determinando </w:t>
      </w:r>
      <w:r w:rsidRPr="003C342B">
        <w:rPr>
          <w:rFonts w:ascii="Palatino Linotype" w:eastAsia="Palatino Linotype" w:hAnsi="Palatino Linotype" w:cs="Palatino Linotype"/>
          <w:b/>
          <w:color w:val="000000" w:themeColor="text1"/>
        </w:rPr>
        <w:t xml:space="preserve">REVOCAR </w:t>
      </w:r>
      <w:r w:rsidRPr="003C342B">
        <w:rPr>
          <w:rFonts w:ascii="Palatino Linotype" w:eastAsia="Palatino Linotype" w:hAnsi="Palatino Linotype" w:cs="Palatino Linotype"/>
          <w:color w:val="000000" w:themeColor="text1"/>
        </w:rPr>
        <w:t xml:space="preserve">la respuesta del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3C342B">
        <w:rPr>
          <w:rFonts w:ascii="Palatino Linotype" w:eastAsia="Palatino Linotype" w:hAnsi="Palatino Linotype" w:cs="Palatino Linotype"/>
          <w:b/>
          <w:color w:val="000000" w:themeColor="text1"/>
        </w:rPr>
        <w:t>ÓRGANO GARANTE</w:t>
      </w:r>
      <w:r w:rsidR="003C342B">
        <w:rPr>
          <w:rFonts w:ascii="Palatino Linotype" w:eastAsia="Palatino Linotype" w:hAnsi="Palatino Linotype" w:cs="Palatino Linotype"/>
          <w:color w:val="000000" w:themeColor="text1"/>
        </w:rPr>
        <w:t xml:space="preserve"> emite los siguientes:</w:t>
      </w:r>
    </w:p>
    <w:p w14:paraId="45B859AF" w14:textId="77777777" w:rsidR="00E40613" w:rsidRDefault="00E40613" w:rsidP="003C342B">
      <w:pPr>
        <w:pBdr>
          <w:top w:val="nil"/>
          <w:left w:val="nil"/>
          <w:bottom w:val="nil"/>
          <w:right w:val="nil"/>
          <w:between w:val="nil"/>
        </w:pBdr>
        <w:tabs>
          <w:tab w:val="left" w:pos="426"/>
        </w:tabs>
        <w:spacing w:line="360" w:lineRule="auto"/>
        <w:ind w:firstLine="1"/>
        <w:jc w:val="both"/>
        <w:rPr>
          <w:rFonts w:ascii="Palatino Linotype" w:eastAsia="Palatino Linotype" w:hAnsi="Palatino Linotype" w:cs="Palatino Linotype"/>
          <w:color w:val="000000" w:themeColor="text1"/>
          <w:highlight w:val="yellow"/>
        </w:rPr>
      </w:pPr>
    </w:p>
    <w:p w14:paraId="054E2844" w14:textId="77777777" w:rsidR="003C342B" w:rsidRPr="003C342B" w:rsidRDefault="003C342B" w:rsidP="003C342B">
      <w:pPr>
        <w:pBdr>
          <w:top w:val="nil"/>
          <w:left w:val="nil"/>
          <w:bottom w:val="nil"/>
          <w:right w:val="nil"/>
          <w:between w:val="nil"/>
        </w:pBdr>
        <w:tabs>
          <w:tab w:val="left" w:pos="426"/>
        </w:tabs>
        <w:spacing w:line="360" w:lineRule="auto"/>
        <w:ind w:firstLine="1"/>
        <w:jc w:val="both"/>
        <w:rPr>
          <w:rFonts w:ascii="Palatino Linotype" w:eastAsia="Palatino Linotype" w:hAnsi="Palatino Linotype" w:cs="Palatino Linotype"/>
          <w:color w:val="000000" w:themeColor="text1"/>
          <w:highlight w:val="yellow"/>
        </w:rPr>
      </w:pPr>
    </w:p>
    <w:p w14:paraId="226B7D44" w14:textId="77777777" w:rsidR="00E40613" w:rsidRPr="003C342B" w:rsidRDefault="00E40613" w:rsidP="003C342B">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3C342B">
        <w:rPr>
          <w:rFonts w:ascii="Palatino Linotype" w:eastAsia="Palatino Linotype" w:hAnsi="Palatino Linotype" w:cs="Palatino Linotype"/>
          <w:b/>
          <w:color w:val="000000" w:themeColor="text1"/>
          <w:sz w:val="24"/>
          <w:szCs w:val="24"/>
        </w:rPr>
        <w:t>R E S O L U T I V O S</w:t>
      </w:r>
    </w:p>
    <w:p w14:paraId="10B154E6"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7E12C20F"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b/>
          <w:color w:val="000000" w:themeColor="text1"/>
        </w:rPr>
        <w:t>PRIMERO</w:t>
      </w:r>
      <w:r w:rsidRPr="003C342B">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A668D3" w:rsidRPr="003C342B">
        <w:rPr>
          <w:rFonts w:ascii="Palatino Linotype" w:eastAsia="Palatino Linotype" w:hAnsi="Palatino Linotype" w:cs="Palatino Linotype"/>
          <w:b/>
          <w:color w:val="000000" w:themeColor="text1"/>
        </w:rPr>
        <w:t>05553/INFOEM/IP/RR/2025</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 xml:space="preserve">en términos de los  Considerandos </w:t>
      </w:r>
      <w:r w:rsidRPr="003C342B">
        <w:rPr>
          <w:rFonts w:ascii="Palatino Linotype" w:eastAsia="Palatino Linotype" w:hAnsi="Palatino Linotype" w:cs="Palatino Linotype"/>
          <w:b/>
          <w:color w:val="000000" w:themeColor="text1"/>
        </w:rPr>
        <w:t xml:space="preserve">Cuarto y Quinto </w:t>
      </w:r>
      <w:r w:rsidRPr="003C342B">
        <w:rPr>
          <w:rFonts w:ascii="Palatino Linotype" w:eastAsia="Palatino Linotype" w:hAnsi="Palatino Linotype" w:cs="Palatino Linotype"/>
          <w:color w:val="000000" w:themeColor="text1"/>
        </w:rPr>
        <w:t xml:space="preserve">de la presente resolución. </w:t>
      </w:r>
    </w:p>
    <w:p w14:paraId="30ABB6BB"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68DF262"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bookmarkStart w:id="13" w:name="_heading=h.z337ya" w:colFirst="0" w:colLast="0"/>
      <w:bookmarkEnd w:id="13"/>
      <w:r w:rsidRPr="003C342B">
        <w:rPr>
          <w:rFonts w:ascii="Palatino Linotype" w:eastAsia="Palatino Linotype" w:hAnsi="Palatino Linotype" w:cs="Palatino Linotype"/>
          <w:b/>
          <w:color w:val="000000" w:themeColor="text1"/>
        </w:rPr>
        <w:t xml:space="preserve">SEGUNDO. </w:t>
      </w:r>
      <w:r w:rsidRPr="003C342B">
        <w:rPr>
          <w:rFonts w:ascii="Palatino Linotype" w:eastAsia="Palatino Linotype" w:hAnsi="Palatino Linotype" w:cs="Palatino Linotype"/>
          <w:color w:val="000000" w:themeColor="text1"/>
        </w:rPr>
        <w:t xml:space="preserve">Se </w:t>
      </w:r>
      <w:r w:rsidRPr="003C342B">
        <w:rPr>
          <w:rFonts w:ascii="Palatino Linotype" w:eastAsia="Palatino Linotype" w:hAnsi="Palatino Linotype" w:cs="Palatino Linotype"/>
          <w:b/>
          <w:color w:val="000000" w:themeColor="text1"/>
        </w:rPr>
        <w:t xml:space="preserve">REVOCA </w:t>
      </w:r>
      <w:r w:rsidRPr="003C342B">
        <w:rPr>
          <w:rFonts w:ascii="Palatino Linotype" w:eastAsia="Palatino Linotype" w:hAnsi="Palatino Linotype" w:cs="Palatino Linotype"/>
          <w:color w:val="000000" w:themeColor="text1"/>
        </w:rPr>
        <w:t xml:space="preserve">la respuesta emitida por el </w:t>
      </w:r>
      <w:r w:rsidR="00A668D3" w:rsidRPr="003C342B">
        <w:rPr>
          <w:rFonts w:ascii="Palatino Linotype" w:eastAsia="Palatino Linotype" w:hAnsi="Palatino Linotype" w:cs="Palatino Linotype"/>
          <w:b/>
          <w:color w:val="000000" w:themeColor="text1"/>
        </w:rPr>
        <w:t>Sistema Municipal Para el Desarrollo Integral de la Familia de Huehuetoca</w:t>
      </w:r>
      <w:r w:rsidRPr="003C342B">
        <w:rPr>
          <w:rFonts w:ascii="Palatino Linotype" w:eastAsia="Palatino Linotype" w:hAnsi="Palatino Linotype" w:cs="Palatino Linotype"/>
          <w:b/>
          <w:color w:val="000000" w:themeColor="text1"/>
        </w:rPr>
        <w:t xml:space="preserve"> </w:t>
      </w:r>
      <w:r w:rsidRPr="003C342B">
        <w:rPr>
          <w:rFonts w:ascii="Palatino Linotype" w:eastAsia="Palatino Linotype" w:hAnsi="Palatino Linotype" w:cs="Palatino Linotype"/>
          <w:color w:val="000000" w:themeColor="text1"/>
        </w:rPr>
        <w:t xml:space="preserve">y se </w:t>
      </w:r>
      <w:r w:rsidRPr="003C342B">
        <w:rPr>
          <w:rFonts w:ascii="Palatino Linotype" w:eastAsia="Palatino Linotype" w:hAnsi="Palatino Linotype" w:cs="Palatino Linotype"/>
          <w:b/>
          <w:color w:val="000000" w:themeColor="text1"/>
        </w:rPr>
        <w:t>ORDENA</w:t>
      </w:r>
      <w:r w:rsidRPr="003C342B">
        <w:rPr>
          <w:rFonts w:ascii="Palatino Linotype" w:eastAsia="Palatino Linotype" w:hAnsi="Palatino Linotype" w:cs="Palatino Linotype"/>
          <w:color w:val="000000" w:themeColor="text1"/>
        </w:rPr>
        <w:t xml:space="preserve"> entregar vía Sistema de Acceso a la Información Mexiquense </w:t>
      </w:r>
      <w:r w:rsidRPr="003C342B">
        <w:rPr>
          <w:rFonts w:ascii="Palatino Linotype" w:eastAsia="Palatino Linotype" w:hAnsi="Palatino Linotype" w:cs="Palatino Linotype"/>
          <w:b/>
          <w:color w:val="000000" w:themeColor="text1"/>
        </w:rPr>
        <w:t>(SAIMEX)</w:t>
      </w:r>
      <w:r w:rsidRPr="003C342B">
        <w:rPr>
          <w:rFonts w:ascii="Palatino Linotype" w:eastAsia="Palatino Linotype" w:hAnsi="Palatino Linotype" w:cs="Palatino Linotype"/>
          <w:color w:val="000000" w:themeColor="text1"/>
        </w:rPr>
        <w:t xml:space="preserve">, </w:t>
      </w:r>
      <w:r w:rsidR="00297876" w:rsidRPr="003C342B">
        <w:rPr>
          <w:rFonts w:ascii="Palatino Linotype" w:eastAsia="Palatino Linotype" w:hAnsi="Palatino Linotype" w:cs="Palatino Linotype"/>
          <w:color w:val="000000" w:themeColor="text1"/>
        </w:rPr>
        <w:t xml:space="preserve">previa búsqueda exhaustiva y razonable, </w:t>
      </w:r>
      <w:r w:rsidRPr="003C342B">
        <w:rPr>
          <w:rFonts w:ascii="Palatino Linotype" w:eastAsia="Palatino Linotype" w:hAnsi="Palatino Linotype" w:cs="Palatino Linotype"/>
          <w:color w:val="000000" w:themeColor="text1"/>
        </w:rPr>
        <w:t xml:space="preserve">la siguiente información, de ser el caso en versión pública, </w:t>
      </w:r>
      <w:r w:rsidR="00E8148B" w:rsidRPr="007F27C8">
        <w:rPr>
          <w:rFonts w:ascii="Palatino Linotype" w:eastAsia="Palatino Linotype" w:hAnsi="Palatino Linotype" w:cs="Palatino Linotype"/>
          <w:color w:val="000000" w:themeColor="text1"/>
        </w:rPr>
        <w:t>del uno de enero de dos mil veintidós al treinta y uno de enero de dos mil veinticuatro</w:t>
      </w:r>
      <w:r w:rsidRPr="007F27C8">
        <w:rPr>
          <w:rFonts w:ascii="Palatino Linotype" w:eastAsia="Palatino Linotype" w:hAnsi="Palatino Linotype" w:cs="Palatino Linotype"/>
          <w:color w:val="000000" w:themeColor="text1"/>
        </w:rPr>
        <w:t>.</w:t>
      </w:r>
      <w:r w:rsidRPr="003C342B">
        <w:rPr>
          <w:rFonts w:ascii="Palatino Linotype" w:eastAsia="Palatino Linotype" w:hAnsi="Palatino Linotype" w:cs="Palatino Linotype"/>
          <w:color w:val="000000" w:themeColor="text1"/>
        </w:rPr>
        <w:t xml:space="preserve"> </w:t>
      </w:r>
    </w:p>
    <w:p w14:paraId="4E987A42" w14:textId="77777777" w:rsidR="00E40613" w:rsidRPr="003C342B" w:rsidRDefault="00E40613" w:rsidP="003C342B">
      <w:pPr>
        <w:spacing w:line="360" w:lineRule="auto"/>
        <w:ind w:firstLine="1"/>
        <w:jc w:val="both"/>
        <w:rPr>
          <w:rFonts w:ascii="Palatino Linotype" w:eastAsia="Palatino Linotype" w:hAnsi="Palatino Linotype" w:cs="Palatino Linotype"/>
          <w:b/>
          <w:color w:val="000000" w:themeColor="text1"/>
        </w:rPr>
      </w:pPr>
      <w:r w:rsidRPr="003C342B">
        <w:rPr>
          <w:rFonts w:ascii="Palatino Linotype" w:eastAsia="Palatino Linotype" w:hAnsi="Palatino Linotype" w:cs="Palatino Linotype"/>
          <w:b/>
          <w:color w:val="000000" w:themeColor="text1"/>
        </w:rPr>
        <w:t xml:space="preserve"> </w:t>
      </w:r>
    </w:p>
    <w:p w14:paraId="4A971BF4"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lastRenderedPageBreak/>
        <w:t>De los documentos requeridos por la Comisión Federal para la Protección contra Riesgos Sanitarios De la clínica Madre, Teresa de Calcuta adscrita al DIF municipal de Huehuetoca</w:t>
      </w:r>
      <w:r w:rsidR="00E8148B" w:rsidRPr="003C342B">
        <w:rPr>
          <w:rFonts w:ascii="Palatino Linotype" w:eastAsia="Palatino Linotype" w:hAnsi="Palatino Linotype" w:cs="Palatino Linotype"/>
          <w:b/>
          <w:i/>
          <w:color w:val="000000" w:themeColor="text1"/>
          <w:lang w:val="es-MX"/>
        </w:rPr>
        <w:t>,</w:t>
      </w:r>
      <w:r w:rsidRPr="003C342B">
        <w:rPr>
          <w:rFonts w:ascii="Palatino Linotype" w:eastAsia="Palatino Linotype" w:hAnsi="Palatino Linotype" w:cs="Palatino Linotype"/>
          <w:b/>
          <w:i/>
          <w:color w:val="000000" w:themeColor="text1"/>
          <w:lang w:val="es-MX"/>
        </w:rPr>
        <w:t xml:space="preserve">: </w:t>
      </w:r>
    </w:p>
    <w:p w14:paraId="221841A6" w14:textId="77777777" w:rsidR="00297876" w:rsidRPr="003C342B" w:rsidRDefault="00297876" w:rsidP="003C342B">
      <w:pPr>
        <w:spacing w:line="360" w:lineRule="auto"/>
        <w:ind w:firstLine="1"/>
        <w:rPr>
          <w:rFonts w:ascii="Palatino Linotype" w:eastAsia="Palatino Linotype" w:hAnsi="Palatino Linotype" w:cs="Palatino Linotype"/>
          <w:b/>
          <w:i/>
          <w:color w:val="000000" w:themeColor="text1"/>
          <w:lang w:val="es-MX"/>
        </w:rPr>
      </w:pPr>
    </w:p>
    <w:p w14:paraId="179B4743"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1.- Licencia sanitaria de construcción; </w:t>
      </w:r>
    </w:p>
    <w:p w14:paraId="796D991A"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 xml:space="preserve">2.- Licencia sanitaria para establecimientos médicos que practican actos quirúrgicos; </w:t>
      </w:r>
    </w:p>
    <w:p w14:paraId="5823FCAD"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3.- Aviso de funcionamiento;</w:t>
      </w:r>
    </w:p>
    <w:p w14:paraId="05D959FD"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4.- Aviso de responsable sanitario;</w:t>
      </w:r>
    </w:p>
    <w:p w14:paraId="75848D7F"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5.- Licencia sanitaria de servicio de transfusión;</w:t>
      </w:r>
    </w:p>
    <w:p w14:paraId="088915D8"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6.- Autorización para uso de medicamentos controlados;</w:t>
      </w:r>
    </w:p>
    <w:p w14:paraId="3C4A55D5" w14:textId="77777777" w:rsidR="00297876" w:rsidRPr="003C342B" w:rsidRDefault="00297876" w:rsidP="003C342B">
      <w:pPr>
        <w:pStyle w:val="Prrafodelista"/>
        <w:spacing w:line="360" w:lineRule="auto"/>
        <w:ind w:left="0" w:firstLine="1"/>
        <w:rPr>
          <w:rFonts w:ascii="Palatino Linotype" w:eastAsia="Palatino Linotype" w:hAnsi="Palatino Linotype" w:cs="Palatino Linotype"/>
          <w:b/>
          <w:i/>
          <w:color w:val="000000" w:themeColor="text1"/>
          <w:lang w:val="es-MX"/>
        </w:rPr>
      </w:pPr>
      <w:r w:rsidRPr="003C342B">
        <w:rPr>
          <w:rFonts w:ascii="Palatino Linotype" w:eastAsia="Palatino Linotype" w:hAnsi="Palatino Linotype" w:cs="Palatino Linotype"/>
          <w:b/>
          <w:i/>
          <w:color w:val="000000" w:themeColor="text1"/>
          <w:lang w:val="es-MX"/>
        </w:rPr>
        <w:t>7.- Documentos de solicitud de cada una de las licencias y autorizaciones,  ante la COFEPRIS</w:t>
      </w:r>
    </w:p>
    <w:p w14:paraId="0ACB91B1" w14:textId="77777777" w:rsidR="00E40613" w:rsidRPr="003C342B" w:rsidRDefault="00E40613" w:rsidP="003C342B">
      <w:pPr>
        <w:tabs>
          <w:tab w:val="left" w:pos="8080"/>
        </w:tabs>
        <w:spacing w:line="360" w:lineRule="auto"/>
        <w:ind w:firstLine="1"/>
        <w:jc w:val="both"/>
        <w:rPr>
          <w:rFonts w:ascii="Palatino Linotype" w:eastAsia="Palatino Linotype" w:hAnsi="Palatino Linotype" w:cs="Palatino Linotype"/>
          <w:b/>
          <w:color w:val="000000" w:themeColor="text1"/>
        </w:rPr>
      </w:pPr>
    </w:p>
    <w:p w14:paraId="3EA0E774" w14:textId="77777777" w:rsidR="00E8148B" w:rsidRPr="003C342B" w:rsidRDefault="00E8148B" w:rsidP="003C342B">
      <w:pPr>
        <w:tabs>
          <w:tab w:val="left" w:pos="8080"/>
        </w:tabs>
        <w:spacing w:line="360" w:lineRule="auto"/>
        <w:ind w:firstLine="1"/>
        <w:jc w:val="both"/>
        <w:rPr>
          <w:rFonts w:ascii="Palatino Linotype" w:eastAsia="Palatino Linotype" w:hAnsi="Palatino Linotype" w:cs="Palatino Linotype"/>
          <w:b/>
          <w:color w:val="000000" w:themeColor="text1"/>
        </w:rPr>
      </w:pPr>
      <w:r w:rsidRPr="007F27C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F27C8">
        <w:rPr>
          <w:rFonts w:ascii="Palatino Linotype" w:eastAsia="Palatino Linotype" w:hAnsi="Palatino Linotype" w:cs="Palatino Linotype"/>
          <w:b/>
          <w:color w:val="000000" w:themeColor="text1"/>
        </w:rPr>
        <w:t>RECURRENTE.</w:t>
      </w:r>
    </w:p>
    <w:p w14:paraId="3DDC10CD" w14:textId="77777777" w:rsidR="00E8148B" w:rsidRPr="003C342B" w:rsidRDefault="00E8148B" w:rsidP="003C342B">
      <w:pPr>
        <w:tabs>
          <w:tab w:val="left" w:pos="8080"/>
        </w:tabs>
        <w:spacing w:line="360" w:lineRule="auto"/>
        <w:ind w:firstLine="1"/>
        <w:jc w:val="both"/>
        <w:rPr>
          <w:rFonts w:ascii="Palatino Linotype" w:eastAsia="Palatino Linotype" w:hAnsi="Palatino Linotype" w:cs="Palatino Linotype"/>
          <w:color w:val="000000" w:themeColor="text1"/>
        </w:rPr>
      </w:pPr>
    </w:p>
    <w:p w14:paraId="3E7D6323" w14:textId="77777777" w:rsidR="00297876" w:rsidRPr="003C342B" w:rsidRDefault="00297876" w:rsidP="003C342B">
      <w:pPr>
        <w:tabs>
          <w:tab w:val="left" w:pos="8080"/>
        </w:tabs>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 xml:space="preserve">De ser el caso que de los puntos tres, cinco y seis no obre información en los archivos del </w:t>
      </w:r>
      <w:r w:rsidRPr="003C342B">
        <w:rPr>
          <w:rFonts w:ascii="Palatino Linotype" w:eastAsia="Palatino Linotype" w:hAnsi="Palatino Linotype" w:cs="Palatino Linotype"/>
          <w:b/>
          <w:color w:val="000000" w:themeColor="text1"/>
        </w:rPr>
        <w:t xml:space="preserve">SUJETO OBLIGADO </w:t>
      </w:r>
      <w:r w:rsidRPr="003C342B">
        <w:rPr>
          <w:rFonts w:ascii="Palatino Linotype" w:eastAsia="Palatino Linotype" w:hAnsi="Palatino Linotype" w:cs="Palatino Linotype"/>
          <w:color w:val="000000" w:themeColor="text1"/>
        </w:rPr>
        <w:t xml:space="preserve">por no haber sido generada, poseído o administrada, bastará con que se haga del conocimiento del </w:t>
      </w:r>
      <w:r w:rsidRPr="003C342B">
        <w:rPr>
          <w:rFonts w:ascii="Palatino Linotype" w:eastAsia="Palatino Linotype" w:hAnsi="Palatino Linotype" w:cs="Palatino Linotype"/>
          <w:b/>
          <w:color w:val="000000" w:themeColor="text1"/>
        </w:rPr>
        <w:t xml:space="preserve">RECURRENTE </w:t>
      </w:r>
      <w:r w:rsidRPr="003C342B">
        <w:rPr>
          <w:rFonts w:ascii="Palatino Linotype" w:eastAsia="Palatino Linotype" w:hAnsi="Palatino Linotype" w:cs="Palatino Linotype"/>
          <w:color w:val="000000" w:themeColor="text1"/>
        </w:rPr>
        <w:t xml:space="preserve">de conformidad con el artículo 19 párrafo </w:t>
      </w:r>
      <w:r w:rsidRPr="003C342B">
        <w:rPr>
          <w:rFonts w:ascii="Palatino Linotype" w:eastAsia="Palatino Linotype" w:hAnsi="Palatino Linotype" w:cs="Palatino Linotype"/>
          <w:color w:val="000000" w:themeColor="text1"/>
        </w:rPr>
        <w:lastRenderedPageBreak/>
        <w:t xml:space="preserve">segundo de la Ley de Transparencia y Acceso a la Información Pública del Estado de México y Municipios. </w:t>
      </w:r>
    </w:p>
    <w:p w14:paraId="6B51074F" w14:textId="77777777" w:rsidR="00297876" w:rsidRPr="003C342B" w:rsidRDefault="00297876" w:rsidP="003C342B">
      <w:pPr>
        <w:tabs>
          <w:tab w:val="left" w:pos="8080"/>
        </w:tabs>
        <w:spacing w:line="360" w:lineRule="auto"/>
        <w:ind w:firstLine="1"/>
        <w:jc w:val="both"/>
        <w:rPr>
          <w:rFonts w:ascii="Palatino Linotype" w:eastAsia="Palatino Linotype" w:hAnsi="Palatino Linotype" w:cs="Palatino Linotype"/>
          <w:color w:val="000000" w:themeColor="text1"/>
        </w:rPr>
      </w:pPr>
    </w:p>
    <w:p w14:paraId="1E925A7C" w14:textId="77777777" w:rsidR="00E40613" w:rsidRPr="003C342B" w:rsidRDefault="00E40613" w:rsidP="003C342B">
      <w:pPr>
        <w:tabs>
          <w:tab w:val="left" w:pos="8080"/>
        </w:tabs>
        <w:spacing w:line="360" w:lineRule="auto"/>
        <w:ind w:firstLine="1"/>
        <w:jc w:val="both"/>
        <w:rPr>
          <w:rFonts w:ascii="Palatino Linotype" w:eastAsia="Palatino Linotype" w:hAnsi="Palatino Linotype" w:cs="Palatino Linotype"/>
          <w:color w:val="000000" w:themeColor="text1"/>
          <w:highlight w:val="white"/>
          <w:lang w:val="es-MX"/>
        </w:rPr>
      </w:pPr>
      <w:r w:rsidRPr="003C342B">
        <w:rPr>
          <w:rFonts w:ascii="Palatino Linotype" w:eastAsia="Palatino Linotype" w:hAnsi="Palatino Linotype" w:cs="Palatino Linotype"/>
          <w:b/>
          <w:color w:val="000000" w:themeColor="text1"/>
        </w:rPr>
        <w:t xml:space="preserve">TERCERO. </w:t>
      </w:r>
      <w:r w:rsidRPr="003C342B">
        <w:rPr>
          <w:rFonts w:ascii="Palatino Linotype" w:eastAsia="Palatino Linotype" w:hAnsi="Palatino Linotype" w:cs="Palatino Linotype"/>
          <w:b/>
          <w:color w:val="000000" w:themeColor="text1"/>
          <w:highlight w:val="white"/>
        </w:rPr>
        <w:t xml:space="preserve">NOTIFÍQUESE </w:t>
      </w:r>
      <w:r w:rsidRPr="003C342B">
        <w:rPr>
          <w:rFonts w:ascii="Palatino Linotype" w:eastAsia="Palatino Linotype" w:hAnsi="Palatino Linotype" w:cs="Palatino Linotype"/>
          <w:color w:val="000000" w:themeColor="text1"/>
          <w:highlight w:val="white"/>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C342B">
        <w:rPr>
          <w:rFonts w:ascii="Palatino Linotype" w:eastAsia="Palatino Linotype" w:hAnsi="Palatino Linotype" w:cs="Palatino Linotype"/>
          <w:b/>
          <w:color w:val="000000" w:themeColor="text1"/>
          <w:highlight w:val="white"/>
          <w:lang w:val="es-MX"/>
        </w:rPr>
        <w:t xml:space="preserve">dé cumplimiento a lo ordenado dentro del plazo de diez días hábiles, </w:t>
      </w:r>
      <w:r w:rsidRPr="003C342B">
        <w:rPr>
          <w:rFonts w:ascii="Palatino Linotype" w:eastAsia="Palatino Linotype" w:hAnsi="Palatino Linotype" w:cs="Palatino Linotype"/>
          <w:color w:val="000000" w:themeColor="text1"/>
          <w:highlight w:val="white"/>
          <w:lang w:val="es-MX"/>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FA61964" w14:textId="77777777" w:rsidR="00E40613" w:rsidRPr="003C342B" w:rsidRDefault="00E40613" w:rsidP="003C342B">
      <w:pPr>
        <w:tabs>
          <w:tab w:val="left" w:pos="8080"/>
        </w:tabs>
        <w:spacing w:line="360" w:lineRule="auto"/>
        <w:ind w:firstLine="1"/>
        <w:jc w:val="both"/>
        <w:rPr>
          <w:rFonts w:ascii="Palatino Linotype" w:eastAsia="Palatino Linotype" w:hAnsi="Palatino Linotype" w:cs="Palatino Linotype"/>
          <w:color w:val="000000" w:themeColor="text1"/>
          <w:highlight w:val="white"/>
        </w:rPr>
      </w:pPr>
    </w:p>
    <w:p w14:paraId="52290312"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b/>
          <w:color w:val="000000" w:themeColor="text1"/>
        </w:rPr>
        <w:t xml:space="preserve">CUARTO. </w:t>
      </w:r>
      <w:r w:rsidRPr="003C342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C342B">
        <w:rPr>
          <w:rFonts w:ascii="Palatino Linotype" w:eastAsia="Palatino Linotype" w:hAnsi="Palatino Linotype" w:cs="Palatino Linotype"/>
          <w:b/>
          <w:color w:val="000000" w:themeColor="text1"/>
        </w:rPr>
        <w:t>SUJETO OBLIGADO</w:t>
      </w:r>
      <w:r w:rsidRPr="003C342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0A679931"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36CA380" w14:textId="77777777" w:rsidR="00E40613" w:rsidRPr="003C342B" w:rsidRDefault="00E40613" w:rsidP="003C342B">
      <w:pPr>
        <w:tabs>
          <w:tab w:val="left" w:pos="8080"/>
        </w:tabs>
        <w:spacing w:line="360" w:lineRule="auto"/>
        <w:ind w:firstLine="1"/>
        <w:jc w:val="both"/>
        <w:rPr>
          <w:rFonts w:ascii="Palatino Linotype" w:eastAsia="Palatino Linotype" w:hAnsi="Palatino Linotype" w:cs="Palatino Linotype"/>
          <w:color w:val="000000" w:themeColor="text1"/>
        </w:rPr>
      </w:pPr>
      <w:bookmarkStart w:id="14" w:name="_heading=h.1y810tw" w:colFirst="0" w:colLast="0"/>
      <w:bookmarkEnd w:id="14"/>
      <w:r w:rsidRPr="003C342B">
        <w:rPr>
          <w:rFonts w:ascii="Palatino Linotype" w:eastAsia="Palatino Linotype" w:hAnsi="Palatino Linotype" w:cs="Palatino Linotype"/>
          <w:b/>
          <w:color w:val="000000" w:themeColor="text1"/>
        </w:rPr>
        <w:t xml:space="preserve">QUINTO. </w:t>
      </w:r>
      <w:r w:rsidRPr="003C342B">
        <w:rPr>
          <w:rFonts w:ascii="Palatino Linotype" w:eastAsia="Palatino Linotype" w:hAnsi="Palatino Linotype" w:cs="Palatino Linotype"/>
          <w:color w:val="000000" w:themeColor="text1"/>
        </w:rPr>
        <w:t xml:space="preserve">Notifíquese a </w:t>
      </w:r>
      <w:r w:rsidRPr="003C342B">
        <w:rPr>
          <w:rFonts w:ascii="Palatino Linotype" w:eastAsia="Palatino Linotype" w:hAnsi="Palatino Linotype" w:cs="Palatino Linotype"/>
          <w:b/>
          <w:color w:val="000000" w:themeColor="text1"/>
        </w:rPr>
        <w:t>EL RECURRENTE</w:t>
      </w:r>
      <w:r w:rsidRPr="003C342B">
        <w:rPr>
          <w:rFonts w:ascii="Palatino Linotype" w:eastAsia="Palatino Linotype" w:hAnsi="Palatino Linotype" w:cs="Palatino Linotype"/>
          <w:color w:val="000000" w:themeColor="text1"/>
        </w:rPr>
        <w:t xml:space="preserve"> la presente resolución, vía SAIMEX.</w:t>
      </w:r>
    </w:p>
    <w:p w14:paraId="39C92FE8" w14:textId="77777777" w:rsidR="00E40613" w:rsidRPr="003C342B" w:rsidRDefault="00E40613" w:rsidP="003C342B">
      <w:pPr>
        <w:tabs>
          <w:tab w:val="left" w:pos="8080"/>
        </w:tabs>
        <w:spacing w:line="360" w:lineRule="auto"/>
        <w:ind w:firstLine="1"/>
        <w:jc w:val="both"/>
        <w:rPr>
          <w:rFonts w:ascii="Palatino Linotype" w:eastAsia="Palatino Linotype" w:hAnsi="Palatino Linotype" w:cs="Palatino Linotype"/>
          <w:color w:val="000000" w:themeColor="text1"/>
        </w:rPr>
      </w:pPr>
    </w:p>
    <w:p w14:paraId="763F98EA" w14:textId="77777777" w:rsidR="00E40613" w:rsidRPr="003C342B" w:rsidRDefault="00E40613" w:rsidP="003C342B">
      <w:pPr>
        <w:shd w:val="clear" w:color="auto" w:fill="FFFFFF"/>
        <w:spacing w:line="360" w:lineRule="auto"/>
        <w:ind w:firstLine="1"/>
        <w:jc w:val="both"/>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b/>
          <w:color w:val="000000" w:themeColor="text1"/>
        </w:rPr>
        <w:t>SEXTO.</w:t>
      </w:r>
      <w:r w:rsidRPr="003C342B">
        <w:rPr>
          <w:rFonts w:ascii="Palatino Linotype" w:eastAsia="Palatino Linotype" w:hAnsi="Palatino Linotype" w:cs="Palatino Linotype"/>
          <w:color w:val="000000" w:themeColor="text1"/>
        </w:rPr>
        <w:t xml:space="preserve"> Se hace del conocimiento de </w:t>
      </w:r>
      <w:r w:rsidRPr="003C342B">
        <w:rPr>
          <w:rFonts w:ascii="Palatino Linotype" w:eastAsia="Palatino Linotype" w:hAnsi="Palatino Linotype" w:cs="Palatino Linotype"/>
          <w:b/>
          <w:color w:val="000000" w:themeColor="text1"/>
        </w:rPr>
        <w:t>EL RECURRENTE</w:t>
      </w:r>
      <w:r w:rsidRPr="003C342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w:t>
      </w:r>
      <w:r w:rsidRPr="003C342B">
        <w:rPr>
          <w:rFonts w:ascii="Palatino Linotype" w:eastAsia="Palatino Linotype" w:hAnsi="Palatino Linotype" w:cs="Palatino Linotype"/>
          <w:color w:val="000000" w:themeColor="text1"/>
        </w:rPr>
        <w:lastRenderedPageBreak/>
        <w:t>algún perjuicio podrá impugnarla vía juicio de amparo en los términos de las leyes aplicables.</w:t>
      </w:r>
    </w:p>
    <w:p w14:paraId="00DA4DB6" w14:textId="77777777" w:rsidR="00E40613" w:rsidRPr="003C342B" w:rsidRDefault="00E40613" w:rsidP="003C342B">
      <w:pPr>
        <w:shd w:val="clear" w:color="auto" w:fill="FFFFFF"/>
        <w:spacing w:line="360" w:lineRule="auto"/>
        <w:ind w:firstLine="1"/>
        <w:jc w:val="both"/>
        <w:rPr>
          <w:rFonts w:ascii="Palatino Linotype" w:eastAsia="Palatino Linotype" w:hAnsi="Palatino Linotype" w:cs="Palatino Linotype"/>
          <w:color w:val="000000" w:themeColor="text1"/>
        </w:rPr>
      </w:pPr>
    </w:p>
    <w:p w14:paraId="51E3E69B" w14:textId="77777777" w:rsidR="00907980" w:rsidRPr="00444783" w:rsidRDefault="00907980" w:rsidP="0090798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2F129796"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774E1B2C"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0A756458"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54973319"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47902996"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009841BA"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6C1E3510"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5DE6A55E"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7462E495" w14:textId="77777777" w:rsidR="00E40613" w:rsidRPr="003C342B" w:rsidRDefault="00E40613" w:rsidP="003C342B">
      <w:pPr>
        <w:spacing w:line="360" w:lineRule="auto"/>
        <w:ind w:firstLine="1"/>
        <w:jc w:val="both"/>
        <w:rPr>
          <w:rFonts w:ascii="Palatino Linotype" w:eastAsia="Palatino Linotype" w:hAnsi="Palatino Linotype" w:cs="Palatino Linotype"/>
          <w:color w:val="000000" w:themeColor="text1"/>
        </w:rPr>
      </w:pPr>
    </w:p>
    <w:p w14:paraId="10E81561"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3288D76C"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46BD1204"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5E68FDBD"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7CDB3723"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00DF471C"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10B7A75C" w14:textId="77777777" w:rsidR="00E40613" w:rsidRPr="003C342B" w:rsidRDefault="00E40613" w:rsidP="003C342B">
      <w:pPr>
        <w:spacing w:line="360" w:lineRule="auto"/>
        <w:ind w:firstLine="1"/>
        <w:rPr>
          <w:rFonts w:ascii="Palatino Linotype" w:eastAsia="Palatino Linotype" w:hAnsi="Palatino Linotype" w:cs="Palatino Linotype"/>
          <w:color w:val="000000" w:themeColor="text1"/>
        </w:rPr>
      </w:pPr>
    </w:p>
    <w:p w14:paraId="709C3203"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r w:rsidRPr="003C342B">
        <w:rPr>
          <w:rFonts w:ascii="Palatino Linotype" w:eastAsia="Palatino Linotype" w:hAnsi="Palatino Linotype" w:cs="Palatino Linotype"/>
          <w:color w:val="000000" w:themeColor="text1"/>
        </w:rPr>
        <w:tab/>
      </w:r>
    </w:p>
    <w:p w14:paraId="33378E45"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7559C1F5"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0F72CC7E"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421BB43F"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3BDEB0C0"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692F83C0"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5EDE39F6"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0E626AB6"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70A48182"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72095DAC"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6C5B7CA7"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0CCA0589"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3D431DC7"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52DA404C"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19E177C2"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79BC0046"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p w14:paraId="3C63837A" w14:textId="77777777" w:rsidR="00E40613" w:rsidRPr="003C342B" w:rsidRDefault="00E40613" w:rsidP="003C342B">
      <w:pPr>
        <w:tabs>
          <w:tab w:val="left" w:pos="3374"/>
        </w:tabs>
        <w:spacing w:line="360" w:lineRule="auto"/>
        <w:ind w:firstLine="1"/>
        <w:rPr>
          <w:rFonts w:ascii="Palatino Linotype" w:eastAsia="Palatino Linotype" w:hAnsi="Palatino Linotype" w:cs="Palatino Linotype"/>
          <w:color w:val="000000" w:themeColor="text1"/>
        </w:rPr>
      </w:pPr>
    </w:p>
    <w:sectPr w:rsidR="00E40613" w:rsidRPr="003C342B" w:rsidSect="002E5292">
      <w:headerReference w:type="even" r:id="rId13"/>
      <w:headerReference w:type="default" r:id="rId14"/>
      <w:footerReference w:type="default" r:id="rId15"/>
      <w:headerReference w:type="first" r:id="rId16"/>
      <w:footerReference w:type="first" r:id="rId17"/>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1B63C" w14:textId="77777777" w:rsidR="007E5FB1" w:rsidRDefault="007E5FB1" w:rsidP="00E40613">
      <w:r>
        <w:separator/>
      </w:r>
    </w:p>
  </w:endnote>
  <w:endnote w:type="continuationSeparator" w:id="0">
    <w:p w14:paraId="0C0F3271" w14:textId="77777777" w:rsidR="007E5FB1" w:rsidRDefault="007E5FB1" w:rsidP="00E4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6E14E" w14:textId="77777777" w:rsidR="002A1BCC" w:rsidRDefault="002A1BC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30D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30D2">
      <w:rPr>
        <w:rFonts w:ascii="Palatino Linotype" w:eastAsia="Palatino Linotype" w:hAnsi="Palatino Linotype" w:cs="Palatino Linotype"/>
        <w:noProof/>
        <w:color w:val="000000"/>
        <w:sz w:val="20"/>
        <w:szCs w:val="20"/>
      </w:rPr>
      <w:t>54</w:t>
    </w:r>
    <w:r>
      <w:rPr>
        <w:rFonts w:ascii="Palatino Linotype" w:eastAsia="Palatino Linotype" w:hAnsi="Palatino Linotype" w:cs="Palatino Linotype"/>
        <w:color w:val="000000"/>
        <w:sz w:val="20"/>
        <w:szCs w:val="20"/>
      </w:rPr>
      <w:fldChar w:fldCharType="end"/>
    </w:r>
  </w:p>
  <w:p w14:paraId="3BBE6260" w14:textId="77777777" w:rsidR="002A1BCC" w:rsidRDefault="002A1BC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30D7E" w14:textId="77777777" w:rsidR="002A1BCC" w:rsidRDefault="002A1BC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30D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30D2">
      <w:rPr>
        <w:rFonts w:ascii="Palatino Linotype" w:eastAsia="Palatino Linotype" w:hAnsi="Palatino Linotype" w:cs="Palatino Linotype"/>
        <w:noProof/>
        <w:color w:val="000000"/>
        <w:sz w:val="20"/>
        <w:szCs w:val="20"/>
      </w:rPr>
      <w:t>54</w:t>
    </w:r>
    <w:r>
      <w:rPr>
        <w:rFonts w:ascii="Palatino Linotype" w:eastAsia="Palatino Linotype" w:hAnsi="Palatino Linotype" w:cs="Palatino Linotype"/>
        <w:color w:val="000000"/>
        <w:sz w:val="20"/>
        <w:szCs w:val="20"/>
      </w:rPr>
      <w:fldChar w:fldCharType="end"/>
    </w:r>
  </w:p>
  <w:p w14:paraId="46F95A76" w14:textId="77777777" w:rsidR="002A1BCC" w:rsidRDefault="002A1BC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0898D" w14:textId="77777777" w:rsidR="007E5FB1" w:rsidRDefault="007E5FB1" w:rsidP="00E40613">
      <w:r>
        <w:separator/>
      </w:r>
    </w:p>
  </w:footnote>
  <w:footnote w:type="continuationSeparator" w:id="0">
    <w:p w14:paraId="3AB97B1B" w14:textId="77777777" w:rsidR="007E5FB1" w:rsidRDefault="007E5FB1" w:rsidP="00E40613">
      <w:r>
        <w:continuationSeparator/>
      </w:r>
    </w:p>
  </w:footnote>
  <w:footnote w:id="1">
    <w:p w14:paraId="1D7C6F91" w14:textId="77777777" w:rsidR="002A1BCC" w:rsidRDefault="002A1BCC" w:rsidP="00E406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9D0CED3" w14:textId="77777777" w:rsidR="002A1BCC" w:rsidRDefault="002A1BCC" w:rsidP="00E406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6A9B5F3C" w14:textId="77777777" w:rsidR="002A1BCC" w:rsidRDefault="002A1BCC" w:rsidP="00E406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65A17C94" w14:textId="77777777" w:rsidR="002A1BCC" w:rsidRDefault="002A1BCC" w:rsidP="00E406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1C67A" w14:textId="77777777" w:rsidR="002A1BCC" w:rsidRDefault="007E5FB1">
    <w:pPr>
      <w:pBdr>
        <w:top w:val="nil"/>
        <w:left w:val="nil"/>
        <w:bottom w:val="nil"/>
        <w:right w:val="nil"/>
        <w:between w:val="nil"/>
      </w:pBdr>
      <w:tabs>
        <w:tab w:val="center" w:pos="4419"/>
        <w:tab w:val="right" w:pos="8838"/>
      </w:tabs>
      <w:rPr>
        <w:color w:val="000000"/>
      </w:rPr>
    </w:pPr>
    <w:r>
      <w:rPr>
        <w:color w:val="000000"/>
      </w:rPr>
      <w:pict w14:anchorId="1684D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00" w:firstRow="0" w:lastRow="0" w:firstColumn="0" w:lastColumn="0" w:noHBand="0" w:noVBand="1"/>
    </w:tblPr>
    <w:tblGrid>
      <w:gridCol w:w="2976"/>
      <w:gridCol w:w="4678"/>
    </w:tblGrid>
    <w:tr w:rsidR="002A1BCC" w14:paraId="63538C2C" w14:textId="77777777" w:rsidTr="003C342B">
      <w:trPr>
        <w:trHeight w:val="227"/>
      </w:trPr>
      <w:tc>
        <w:tcPr>
          <w:tcW w:w="2976" w:type="dxa"/>
          <w:vAlign w:val="center"/>
        </w:tcPr>
        <w:p w14:paraId="7A19BC54" w14:textId="77777777" w:rsidR="002A1BCC" w:rsidRPr="003C342B" w:rsidRDefault="002A1BCC" w:rsidP="003C342B">
          <w:pPr>
            <w:ind w:right="34"/>
            <w:jc w:val="right"/>
            <w:rPr>
              <w:rFonts w:ascii="Palatino Linotype" w:eastAsia="Palatino Linotype" w:hAnsi="Palatino Linotype" w:cs="Palatino Linotype"/>
              <w:b/>
            </w:rPr>
          </w:pPr>
          <w:r w:rsidRPr="003C342B">
            <w:rPr>
              <w:rFonts w:ascii="Palatino Linotype" w:eastAsia="Palatino Linotype" w:hAnsi="Palatino Linotype" w:cs="Palatino Linotype"/>
              <w:b/>
            </w:rPr>
            <w:t>Recurso de Revisión:</w:t>
          </w:r>
        </w:p>
      </w:tc>
      <w:tc>
        <w:tcPr>
          <w:tcW w:w="4678" w:type="dxa"/>
          <w:vAlign w:val="center"/>
        </w:tcPr>
        <w:p w14:paraId="485AED6F" w14:textId="77777777" w:rsidR="002A1BCC" w:rsidRPr="003C342B" w:rsidRDefault="002A1BCC" w:rsidP="002E5292">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3C342B">
            <w:rPr>
              <w:rFonts w:ascii="Palatino Linotype" w:eastAsia="Palatino Linotype" w:hAnsi="Palatino Linotype" w:cs="Palatino Linotype"/>
              <w:color w:val="000000"/>
            </w:rPr>
            <w:t>05553/INFOEM/IP/RR/2025</w:t>
          </w:r>
        </w:p>
      </w:tc>
    </w:tr>
    <w:tr w:rsidR="002A1BCC" w14:paraId="677007B5" w14:textId="77777777" w:rsidTr="003C342B">
      <w:trPr>
        <w:trHeight w:val="242"/>
      </w:trPr>
      <w:tc>
        <w:tcPr>
          <w:tcW w:w="2976" w:type="dxa"/>
          <w:vAlign w:val="center"/>
        </w:tcPr>
        <w:p w14:paraId="17354D74" w14:textId="77777777" w:rsidR="002A1BCC" w:rsidRDefault="002A1BCC" w:rsidP="003C342B">
          <w:pPr>
            <w:ind w:right="34"/>
            <w:jc w:val="right"/>
            <w:rPr>
              <w:rFonts w:ascii="Palatino Linotype" w:eastAsia="Palatino Linotype" w:hAnsi="Palatino Linotype" w:cs="Palatino Linotype"/>
              <w:b/>
            </w:rPr>
          </w:pPr>
          <w:r w:rsidRPr="003C342B">
            <w:rPr>
              <w:rFonts w:ascii="Palatino Linotype" w:eastAsia="Palatino Linotype" w:hAnsi="Palatino Linotype" w:cs="Palatino Linotype"/>
              <w:b/>
            </w:rPr>
            <w:t>Sujeto Obligado:</w:t>
          </w:r>
        </w:p>
        <w:p w14:paraId="72E909F8" w14:textId="77777777" w:rsidR="003C342B" w:rsidRPr="003C342B" w:rsidRDefault="003C342B" w:rsidP="003C342B">
          <w:pPr>
            <w:ind w:right="34"/>
            <w:jc w:val="right"/>
            <w:rPr>
              <w:rFonts w:ascii="Palatino Linotype" w:eastAsia="Palatino Linotype" w:hAnsi="Palatino Linotype" w:cs="Palatino Linotype"/>
              <w:b/>
            </w:rPr>
          </w:pPr>
        </w:p>
      </w:tc>
      <w:tc>
        <w:tcPr>
          <w:tcW w:w="4678" w:type="dxa"/>
          <w:vAlign w:val="center"/>
        </w:tcPr>
        <w:p w14:paraId="71305D16" w14:textId="77777777" w:rsidR="002A1BCC" w:rsidRPr="003C342B" w:rsidRDefault="002A1BCC" w:rsidP="002E5292">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3C342B">
            <w:rPr>
              <w:rFonts w:ascii="Palatino Linotype" w:eastAsia="Palatino Linotype" w:hAnsi="Palatino Linotype" w:cs="Palatino Linotype"/>
              <w:bCs/>
              <w:color w:val="000000"/>
            </w:rPr>
            <w:t>Sistema Municipal Para el Desarrollo Integral de la Familia de Huehuetoca</w:t>
          </w:r>
        </w:p>
      </w:tc>
    </w:tr>
    <w:tr w:rsidR="002A1BCC" w14:paraId="58C0BAF8" w14:textId="77777777" w:rsidTr="003C342B">
      <w:trPr>
        <w:trHeight w:val="342"/>
      </w:trPr>
      <w:tc>
        <w:tcPr>
          <w:tcW w:w="2976" w:type="dxa"/>
          <w:vAlign w:val="center"/>
        </w:tcPr>
        <w:p w14:paraId="4FE48830" w14:textId="77777777" w:rsidR="002A1BCC" w:rsidRPr="003C342B" w:rsidRDefault="002A1BCC" w:rsidP="003C342B">
          <w:pPr>
            <w:ind w:right="34"/>
            <w:jc w:val="right"/>
            <w:rPr>
              <w:rFonts w:ascii="Palatino Linotype" w:eastAsia="Palatino Linotype" w:hAnsi="Palatino Linotype" w:cs="Palatino Linotype"/>
              <w:b/>
            </w:rPr>
          </w:pPr>
          <w:r w:rsidRPr="003C342B">
            <w:rPr>
              <w:rFonts w:ascii="Palatino Linotype" w:eastAsia="Palatino Linotype" w:hAnsi="Palatino Linotype" w:cs="Palatino Linotype"/>
              <w:b/>
            </w:rPr>
            <w:t>Comisionada Ponente:</w:t>
          </w:r>
        </w:p>
      </w:tc>
      <w:tc>
        <w:tcPr>
          <w:tcW w:w="4678" w:type="dxa"/>
          <w:vAlign w:val="center"/>
        </w:tcPr>
        <w:p w14:paraId="0D4986B0" w14:textId="77777777" w:rsidR="002A1BCC" w:rsidRPr="003C342B" w:rsidRDefault="002A1BCC" w:rsidP="002E5292">
          <w:pPr>
            <w:pBdr>
              <w:top w:val="nil"/>
              <w:left w:val="nil"/>
              <w:bottom w:val="nil"/>
              <w:right w:val="nil"/>
              <w:between w:val="nil"/>
            </w:pBdr>
            <w:tabs>
              <w:tab w:val="right" w:pos="8838"/>
            </w:tabs>
            <w:rPr>
              <w:rFonts w:ascii="Palatino Linotype" w:eastAsia="Palatino Linotype" w:hAnsi="Palatino Linotype" w:cs="Palatino Linotype"/>
              <w:color w:val="000000"/>
            </w:rPr>
          </w:pPr>
          <w:r w:rsidRPr="003C342B">
            <w:rPr>
              <w:rFonts w:ascii="Palatino Linotype" w:eastAsia="Palatino Linotype" w:hAnsi="Palatino Linotype" w:cs="Palatino Linotype"/>
              <w:color w:val="000000"/>
            </w:rPr>
            <w:t>María del Rosario Mejía Ayala</w:t>
          </w:r>
        </w:p>
      </w:tc>
    </w:tr>
  </w:tbl>
  <w:p w14:paraId="74D19C4C" w14:textId="77777777" w:rsidR="002A1BCC" w:rsidRDefault="007E5FB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00C21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Layout w:type="fixed"/>
      <w:tblLook w:val="0400" w:firstRow="0" w:lastRow="0" w:firstColumn="0" w:lastColumn="0" w:noHBand="0" w:noVBand="1"/>
    </w:tblPr>
    <w:tblGrid>
      <w:gridCol w:w="2977"/>
      <w:gridCol w:w="4677"/>
    </w:tblGrid>
    <w:tr w:rsidR="002A1BCC" w14:paraId="6CA17370" w14:textId="77777777" w:rsidTr="003C342B">
      <w:trPr>
        <w:trHeight w:val="227"/>
      </w:trPr>
      <w:tc>
        <w:tcPr>
          <w:tcW w:w="2977" w:type="dxa"/>
          <w:vAlign w:val="center"/>
        </w:tcPr>
        <w:p w14:paraId="785954DD" w14:textId="77777777" w:rsidR="002A1BCC" w:rsidRPr="003C342B" w:rsidRDefault="002A1BCC" w:rsidP="003C342B">
          <w:pPr>
            <w:jc w:val="right"/>
            <w:rPr>
              <w:rFonts w:ascii="Palatino Linotype" w:eastAsia="Palatino Linotype" w:hAnsi="Palatino Linotype" w:cs="Palatino Linotype"/>
              <w:b/>
            </w:rPr>
          </w:pPr>
          <w:r w:rsidRPr="003C342B">
            <w:rPr>
              <w:rFonts w:ascii="Palatino Linotype" w:eastAsia="Palatino Linotype" w:hAnsi="Palatino Linotype" w:cs="Palatino Linotype"/>
              <w:b/>
            </w:rPr>
            <w:t>Recurso de Revisión:</w:t>
          </w:r>
        </w:p>
      </w:tc>
      <w:tc>
        <w:tcPr>
          <w:tcW w:w="4677" w:type="dxa"/>
          <w:vAlign w:val="center"/>
        </w:tcPr>
        <w:p w14:paraId="161988CA" w14:textId="77777777" w:rsidR="002A1BCC" w:rsidRPr="003C342B" w:rsidRDefault="002A1BCC" w:rsidP="002E529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C342B">
            <w:rPr>
              <w:rFonts w:ascii="Palatino Linotype" w:eastAsia="Palatino Linotype" w:hAnsi="Palatino Linotype" w:cs="Palatino Linotype"/>
              <w:color w:val="000000"/>
            </w:rPr>
            <w:t>05553/INFOEM/IP/RR/2025</w:t>
          </w:r>
        </w:p>
      </w:tc>
    </w:tr>
    <w:tr w:rsidR="002A1BCC" w14:paraId="604771EC" w14:textId="77777777" w:rsidTr="003C342B">
      <w:trPr>
        <w:trHeight w:val="242"/>
      </w:trPr>
      <w:tc>
        <w:tcPr>
          <w:tcW w:w="2977" w:type="dxa"/>
          <w:vAlign w:val="center"/>
        </w:tcPr>
        <w:p w14:paraId="08D68986" w14:textId="77777777" w:rsidR="002A1BCC" w:rsidRPr="003C342B" w:rsidRDefault="002A1BCC" w:rsidP="003C342B">
          <w:pPr>
            <w:jc w:val="right"/>
            <w:rPr>
              <w:rFonts w:ascii="Palatino Linotype" w:eastAsia="Palatino Linotype" w:hAnsi="Palatino Linotype" w:cs="Palatino Linotype"/>
              <w:b/>
            </w:rPr>
          </w:pPr>
          <w:r w:rsidRPr="003C342B">
            <w:rPr>
              <w:rFonts w:ascii="Palatino Linotype" w:eastAsia="Palatino Linotype" w:hAnsi="Palatino Linotype" w:cs="Palatino Linotype"/>
              <w:b/>
            </w:rPr>
            <w:t>Recurrente:</w:t>
          </w:r>
        </w:p>
      </w:tc>
      <w:tc>
        <w:tcPr>
          <w:tcW w:w="4677" w:type="dxa"/>
        </w:tcPr>
        <w:p w14:paraId="29669AA5" w14:textId="77777777" w:rsidR="002A1BCC" w:rsidRPr="003C342B" w:rsidRDefault="002A1BCC" w:rsidP="002E529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2A1BCC" w14:paraId="020D0E33" w14:textId="77777777" w:rsidTr="003C342B">
      <w:trPr>
        <w:trHeight w:val="342"/>
      </w:trPr>
      <w:tc>
        <w:tcPr>
          <w:tcW w:w="2977" w:type="dxa"/>
          <w:vAlign w:val="center"/>
        </w:tcPr>
        <w:p w14:paraId="2FEA5D9A" w14:textId="77777777" w:rsidR="002A1BCC" w:rsidRDefault="002A1BCC" w:rsidP="003C342B">
          <w:pPr>
            <w:jc w:val="right"/>
            <w:rPr>
              <w:rFonts w:ascii="Palatino Linotype" w:eastAsia="Palatino Linotype" w:hAnsi="Palatino Linotype" w:cs="Palatino Linotype"/>
              <w:b/>
            </w:rPr>
          </w:pPr>
          <w:r w:rsidRPr="003C342B">
            <w:rPr>
              <w:rFonts w:ascii="Palatino Linotype" w:eastAsia="Palatino Linotype" w:hAnsi="Palatino Linotype" w:cs="Palatino Linotype"/>
              <w:b/>
            </w:rPr>
            <w:t>Sujeto Obligado:</w:t>
          </w:r>
        </w:p>
        <w:p w14:paraId="4D15A1E1" w14:textId="77777777" w:rsidR="003C342B" w:rsidRPr="003C342B" w:rsidRDefault="003C342B" w:rsidP="003C342B">
          <w:pPr>
            <w:jc w:val="right"/>
            <w:rPr>
              <w:rFonts w:ascii="Palatino Linotype" w:eastAsia="Palatino Linotype" w:hAnsi="Palatino Linotype" w:cs="Palatino Linotype"/>
              <w:b/>
            </w:rPr>
          </w:pPr>
        </w:p>
      </w:tc>
      <w:tc>
        <w:tcPr>
          <w:tcW w:w="4677" w:type="dxa"/>
          <w:vAlign w:val="center"/>
        </w:tcPr>
        <w:p w14:paraId="51F012C6" w14:textId="77777777" w:rsidR="002A1BCC" w:rsidRPr="003C342B" w:rsidRDefault="002A1BCC" w:rsidP="002E529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C342B">
            <w:rPr>
              <w:rFonts w:ascii="Palatino Linotype" w:eastAsia="Palatino Linotype" w:hAnsi="Palatino Linotype" w:cs="Palatino Linotype"/>
              <w:bCs/>
              <w:color w:val="000000"/>
            </w:rPr>
            <w:t>Sistema Municipal Para el Desarrollo Integral de la Familia de Huehuetoca</w:t>
          </w:r>
        </w:p>
      </w:tc>
    </w:tr>
    <w:tr w:rsidR="002A1BCC" w14:paraId="0ADCF532" w14:textId="77777777" w:rsidTr="003C342B">
      <w:trPr>
        <w:trHeight w:val="342"/>
      </w:trPr>
      <w:tc>
        <w:tcPr>
          <w:tcW w:w="2977" w:type="dxa"/>
          <w:vAlign w:val="center"/>
        </w:tcPr>
        <w:p w14:paraId="49E66CF4" w14:textId="77777777" w:rsidR="002A1BCC" w:rsidRPr="003C342B" w:rsidRDefault="002A1BCC" w:rsidP="003C342B">
          <w:pPr>
            <w:jc w:val="right"/>
            <w:rPr>
              <w:rFonts w:ascii="Palatino Linotype" w:eastAsia="Palatino Linotype" w:hAnsi="Palatino Linotype" w:cs="Palatino Linotype"/>
              <w:b/>
            </w:rPr>
          </w:pPr>
          <w:r w:rsidRPr="003C342B">
            <w:rPr>
              <w:rFonts w:ascii="Palatino Linotype" w:eastAsia="Palatino Linotype" w:hAnsi="Palatino Linotype" w:cs="Palatino Linotype"/>
              <w:b/>
            </w:rPr>
            <w:t>Comisionada Ponente:</w:t>
          </w:r>
        </w:p>
      </w:tc>
      <w:tc>
        <w:tcPr>
          <w:tcW w:w="4677" w:type="dxa"/>
          <w:vAlign w:val="center"/>
        </w:tcPr>
        <w:p w14:paraId="27EEAFDA" w14:textId="77777777" w:rsidR="002A1BCC" w:rsidRPr="003C342B" w:rsidRDefault="002A1BCC" w:rsidP="002E529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C342B">
            <w:rPr>
              <w:rFonts w:ascii="Palatino Linotype" w:eastAsia="Palatino Linotype" w:hAnsi="Palatino Linotype" w:cs="Palatino Linotype"/>
              <w:color w:val="000000"/>
            </w:rPr>
            <w:t>María del Rosario Mejía Ayala</w:t>
          </w:r>
        </w:p>
      </w:tc>
    </w:tr>
  </w:tbl>
  <w:p w14:paraId="59B73F14" w14:textId="77777777" w:rsidR="002A1BCC" w:rsidRDefault="007E5FB1">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303FD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FD5"/>
    <w:multiLevelType w:val="hybridMultilevel"/>
    <w:tmpl w:val="1A3A8DF8"/>
    <w:lvl w:ilvl="0" w:tplc="080A0017">
      <w:start w:val="1"/>
      <w:numFmt w:val="lowerLetter"/>
      <w:lvlText w:val="%1)"/>
      <w:lvlJc w:val="left"/>
      <w:pPr>
        <w:ind w:left="2348" w:hanging="360"/>
      </w:pPr>
    </w:lvl>
    <w:lvl w:ilvl="1" w:tplc="080A0019" w:tentative="1">
      <w:start w:val="1"/>
      <w:numFmt w:val="lowerLetter"/>
      <w:lvlText w:val="%2."/>
      <w:lvlJc w:val="left"/>
      <w:pPr>
        <w:ind w:left="3068" w:hanging="360"/>
      </w:pPr>
    </w:lvl>
    <w:lvl w:ilvl="2" w:tplc="080A001B" w:tentative="1">
      <w:start w:val="1"/>
      <w:numFmt w:val="lowerRoman"/>
      <w:lvlText w:val="%3."/>
      <w:lvlJc w:val="right"/>
      <w:pPr>
        <w:ind w:left="3788" w:hanging="180"/>
      </w:pPr>
    </w:lvl>
    <w:lvl w:ilvl="3" w:tplc="080A000F" w:tentative="1">
      <w:start w:val="1"/>
      <w:numFmt w:val="decimal"/>
      <w:lvlText w:val="%4."/>
      <w:lvlJc w:val="left"/>
      <w:pPr>
        <w:ind w:left="4508" w:hanging="360"/>
      </w:pPr>
    </w:lvl>
    <w:lvl w:ilvl="4" w:tplc="080A0019" w:tentative="1">
      <w:start w:val="1"/>
      <w:numFmt w:val="lowerLetter"/>
      <w:lvlText w:val="%5."/>
      <w:lvlJc w:val="left"/>
      <w:pPr>
        <w:ind w:left="5228" w:hanging="360"/>
      </w:pPr>
    </w:lvl>
    <w:lvl w:ilvl="5" w:tplc="080A001B" w:tentative="1">
      <w:start w:val="1"/>
      <w:numFmt w:val="lowerRoman"/>
      <w:lvlText w:val="%6."/>
      <w:lvlJc w:val="right"/>
      <w:pPr>
        <w:ind w:left="5948" w:hanging="180"/>
      </w:pPr>
    </w:lvl>
    <w:lvl w:ilvl="6" w:tplc="080A000F" w:tentative="1">
      <w:start w:val="1"/>
      <w:numFmt w:val="decimal"/>
      <w:lvlText w:val="%7."/>
      <w:lvlJc w:val="left"/>
      <w:pPr>
        <w:ind w:left="6668" w:hanging="360"/>
      </w:pPr>
    </w:lvl>
    <w:lvl w:ilvl="7" w:tplc="080A0019" w:tentative="1">
      <w:start w:val="1"/>
      <w:numFmt w:val="lowerLetter"/>
      <w:lvlText w:val="%8."/>
      <w:lvlJc w:val="left"/>
      <w:pPr>
        <w:ind w:left="7388" w:hanging="360"/>
      </w:pPr>
    </w:lvl>
    <w:lvl w:ilvl="8" w:tplc="080A001B" w:tentative="1">
      <w:start w:val="1"/>
      <w:numFmt w:val="lowerRoman"/>
      <w:lvlText w:val="%9."/>
      <w:lvlJc w:val="right"/>
      <w:pPr>
        <w:ind w:left="8108" w:hanging="180"/>
      </w:pPr>
    </w:lvl>
  </w:abstractNum>
  <w:abstractNum w:abstractNumId="1" w15:restartNumberingAfterBreak="0">
    <w:nsid w:val="0FB8339B"/>
    <w:multiLevelType w:val="hybridMultilevel"/>
    <w:tmpl w:val="9830E41C"/>
    <w:lvl w:ilvl="0" w:tplc="18E432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233F33"/>
    <w:multiLevelType w:val="hybridMultilevel"/>
    <w:tmpl w:val="D68E8BA6"/>
    <w:lvl w:ilvl="0" w:tplc="7EA853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F61ABE"/>
    <w:multiLevelType w:val="multilevel"/>
    <w:tmpl w:val="5146542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5" w15:restartNumberingAfterBreak="0">
    <w:nsid w:val="242B36EE"/>
    <w:multiLevelType w:val="hybridMultilevel"/>
    <w:tmpl w:val="C47E939E"/>
    <w:lvl w:ilvl="0" w:tplc="3882216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C25558"/>
    <w:multiLevelType w:val="multilevel"/>
    <w:tmpl w:val="D5246E4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64AA2BB5"/>
    <w:multiLevelType w:val="multilevel"/>
    <w:tmpl w:val="184211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AE7B2A"/>
    <w:multiLevelType w:val="multilevel"/>
    <w:tmpl w:val="BAA83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CF6295"/>
    <w:multiLevelType w:val="hybridMultilevel"/>
    <w:tmpl w:val="CF34AC86"/>
    <w:lvl w:ilvl="0" w:tplc="C1E881E6">
      <w:start w:val="1"/>
      <w:numFmt w:val="upperRoman"/>
      <w:lvlText w:val="%1."/>
      <w:lvlJc w:val="left"/>
      <w:pPr>
        <w:ind w:left="1854" w:hanging="720"/>
      </w:pPr>
      <w:rPr>
        <w:rFonts w:ascii="Palatino Linotype" w:eastAsia="Palatino Linotype" w:hAnsi="Palatino Linotype" w:cs="Palatino Linotype" w:hint="default"/>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6"/>
  </w:num>
  <w:num w:numId="3">
    <w:abstractNumId w:val="11"/>
  </w:num>
  <w:num w:numId="4">
    <w:abstractNumId w:val="4"/>
  </w:num>
  <w:num w:numId="5">
    <w:abstractNumId w:val="0"/>
  </w:num>
  <w:num w:numId="6">
    <w:abstractNumId w:val="12"/>
  </w:num>
  <w:num w:numId="7">
    <w:abstractNumId w:val="5"/>
  </w:num>
  <w:num w:numId="8">
    <w:abstractNumId w:val="3"/>
  </w:num>
  <w:num w:numId="9">
    <w:abstractNumId w:val="1"/>
  </w:num>
  <w:num w:numId="10">
    <w:abstractNumId w:val="9"/>
  </w:num>
  <w:num w:numId="11">
    <w:abstractNumId w:val="2"/>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13"/>
    <w:rsid w:val="000024B1"/>
    <w:rsid w:val="000A29A7"/>
    <w:rsid w:val="00112C64"/>
    <w:rsid w:val="001271FC"/>
    <w:rsid w:val="001B1293"/>
    <w:rsid w:val="00202E35"/>
    <w:rsid w:val="00246DAD"/>
    <w:rsid w:val="00251645"/>
    <w:rsid w:val="00297876"/>
    <w:rsid w:val="002A1BCC"/>
    <w:rsid w:val="002E5292"/>
    <w:rsid w:val="003C342B"/>
    <w:rsid w:val="003C6CC6"/>
    <w:rsid w:val="003D6AAA"/>
    <w:rsid w:val="003F03A2"/>
    <w:rsid w:val="00411D0E"/>
    <w:rsid w:val="0052280A"/>
    <w:rsid w:val="00570ECF"/>
    <w:rsid w:val="0058671F"/>
    <w:rsid w:val="005A0CC7"/>
    <w:rsid w:val="005E1190"/>
    <w:rsid w:val="00690A9C"/>
    <w:rsid w:val="00723E53"/>
    <w:rsid w:val="0072445D"/>
    <w:rsid w:val="007276A5"/>
    <w:rsid w:val="0077712D"/>
    <w:rsid w:val="007817B6"/>
    <w:rsid w:val="00782727"/>
    <w:rsid w:val="007961B8"/>
    <w:rsid w:val="007A613B"/>
    <w:rsid w:val="007E5FB1"/>
    <w:rsid w:val="007F27C8"/>
    <w:rsid w:val="008036B4"/>
    <w:rsid w:val="0082473F"/>
    <w:rsid w:val="00852A47"/>
    <w:rsid w:val="008730D2"/>
    <w:rsid w:val="008A63C6"/>
    <w:rsid w:val="008B54BE"/>
    <w:rsid w:val="008D5B69"/>
    <w:rsid w:val="008E71FA"/>
    <w:rsid w:val="009007DD"/>
    <w:rsid w:val="009022B9"/>
    <w:rsid w:val="00907980"/>
    <w:rsid w:val="00926B66"/>
    <w:rsid w:val="009429CE"/>
    <w:rsid w:val="009547CA"/>
    <w:rsid w:val="00994404"/>
    <w:rsid w:val="00A20472"/>
    <w:rsid w:val="00A63A89"/>
    <w:rsid w:val="00A668D3"/>
    <w:rsid w:val="00A678B0"/>
    <w:rsid w:val="00A821F0"/>
    <w:rsid w:val="00AB02FA"/>
    <w:rsid w:val="00AD5567"/>
    <w:rsid w:val="00AF7B9C"/>
    <w:rsid w:val="00B17F01"/>
    <w:rsid w:val="00B469D2"/>
    <w:rsid w:val="00B542C5"/>
    <w:rsid w:val="00B565B1"/>
    <w:rsid w:val="00B75896"/>
    <w:rsid w:val="00B92A12"/>
    <w:rsid w:val="00C87550"/>
    <w:rsid w:val="00CD1C03"/>
    <w:rsid w:val="00D21F65"/>
    <w:rsid w:val="00D44DA2"/>
    <w:rsid w:val="00D817A0"/>
    <w:rsid w:val="00D87343"/>
    <w:rsid w:val="00DC4019"/>
    <w:rsid w:val="00DE3248"/>
    <w:rsid w:val="00E3742A"/>
    <w:rsid w:val="00E40613"/>
    <w:rsid w:val="00E8148B"/>
    <w:rsid w:val="00EB05B6"/>
    <w:rsid w:val="00F84D2D"/>
    <w:rsid w:val="00FB7F25"/>
    <w:rsid w:val="00FE1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644CA"/>
  <w15:chartTrackingRefBased/>
  <w15:docId w15:val="{FB9FF8AB-FB36-45B9-8799-D4FED609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13"/>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E406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E406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613"/>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E40613"/>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061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40613"/>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E40613"/>
    <w:rPr>
      <w:color w:val="0563C1" w:themeColor="hyperlink"/>
      <w:u w:val="single"/>
    </w:rPr>
  </w:style>
  <w:style w:type="paragraph" w:styleId="Piedepgina">
    <w:name w:val="footer"/>
    <w:basedOn w:val="Normal"/>
    <w:link w:val="PiedepginaCar"/>
    <w:uiPriority w:val="99"/>
    <w:unhideWhenUsed/>
    <w:rsid w:val="00E40613"/>
    <w:pPr>
      <w:tabs>
        <w:tab w:val="center" w:pos="4419"/>
        <w:tab w:val="right" w:pos="8838"/>
      </w:tabs>
    </w:pPr>
  </w:style>
  <w:style w:type="character" w:customStyle="1" w:styleId="PiedepginaCar">
    <w:name w:val="Pie de página Car"/>
    <w:basedOn w:val="Fuentedeprrafopredeter"/>
    <w:link w:val="Piedepgina"/>
    <w:uiPriority w:val="99"/>
    <w:rsid w:val="00E40613"/>
    <w:rPr>
      <w:rFonts w:ascii="Calibri" w:eastAsiaTheme="minorEastAsia" w:hAnsi="Calibri" w:cs="Calibri"/>
      <w:sz w:val="24"/>
      <w:szCs w:val="24"/>
      <w:lang w:val="es-ES_tradnl" w:eastAsia="es-ES"/>
    </w:rPr>
  </w:style>
  <w:style w:type="table" w:styleId="Tablaconcuadrcula">
    <w:name w:val="Table Grid"/>
    <w:basedOn w:val="Tablanormal"/>
    <w:uiPriority w:val="39"/>
    <w:rsid w:val="0092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rlz=1C1UEAD_esMX1086MX1086&amp;cs=0&amp;sca_esv=853236ac3d6bce34&amp;sxsrf=AE3TifNLodUtiowqTrwc34KQ_kGoEwM4xw%3A1760550387538&amp;q=Comisi%C3%B3n+Federal+para+la+Protecci%C3%B3n+contra+Riesgos+Sanitarios+%28Cofepris%29&amp;sa=X&amp;ved=2ahUKEwj807Oj4aaQAxWW8MkDHaonGPMQxccNegQIAxAB&amp;mstk=AUtExfBh-PgUK8-apJVtCfcwIZq8D9-K42eQwAJrW67qHutrqI7z5fRw10BCf7DXzG14KSLrLNr9AHqFInplaGtpzPI0CqGcKUad_T-VUYgfxupmXjVzK_Js4Vf0ddUVemktrqO8uaTkrb6nhygLz7C3jaybis9VfF8PvOmPw_vz6kC6F4Y&amp;csui=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0E0E-4115-49EA-82E7-9C421C09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10750</Words>
  <Characters>59130</Characters>
  <Application>Microsoft Office Word</Application>
  <DocSecurity>0</DocSecurity>
  <Lines>492</Lines>
  <Paragraphs>139</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ANTECEDENTES</vt:lpstr>
      <vt:lpstr>TERCERO. Del planteamiento de la Litis.</vt:lpstr>
      <vt:lpstr>    CUARTO. Del estudio y resolución del asunto.</vt:lpstr>
      <vt:lpstr>Del derecho de acceso a la información.</vt:lpstr>
      <vt:lpstr>II. De la información solicitada y la respuesta del SUJETO OBLIGADO</vt:lpstr>
      <vt:lpstr>Nociones generales. </vt:lpstr>
      <vt:lpstr>R E S O L U T I V O S</vt:lpstr>
    </vt:vector>
  </TitlesOfParts>
  <Company>HP Inc.</Company>
  <LinksUpToDate>false</LinksUpToDate>
  <CharactersWithSpaces>69741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dcterms:created xsi:type="dcterms:W3CDTF">2025-10-20T20:01:00Z</dcterms:created>
  <dcterms:modified xsi:type="dcterms:W3CDTF">2025-11-13T19:32:00Z</dcterms:modified>
</cp:coreProperties>
</file>