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D2C1E" w14:textId="77777777" w:rsidR="00EA1DFF" w:rsidRPr="002C3EC8" w:rsidRDefault="00EA1DFF" w:rsidP="00EA1DFF">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once de junio de dos mil veinticinco</w:t>
      </w:r>
      <w:r w:rsidRPr="002C3EC8">
        <w:rPr>
          <w:rFonts w:ascii="Palatino Linotype" w:eastAsia="Times New Roman" w:hAnsi="Palatino Linotype" w:cs="Arial"/>
          <w:color w:val="000000"/>
          <w:sz w:val="24"/>
          <w:szCs w:val="24"/>
          <w:lang w:eastAsia="es-MX"/>
        </w:rPr>
        <w:t>.</w:t>
      </w:r>
    </w:p>
    <w:p w14:paraId="4E8263F3" w14:textId="0011DAAD" w:rsidR="00EA1DFF" w:rsidRPr="002C3EC8" w:rsidRDefault="00EA1DFF" w:rsidP="00EA1DF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03465/INFOEM/IP/RR/2025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sidR="00BD72C7">
        <w:rPr>
          <w:rFonts w:ascii="Palatino Linotype" w:hAnsi="Palatino Linotype"/>
          <w:sz w:val="24"/>
        </w:rPr>
        <w:t>“</w:t>
      </w:r>
      <w:r w:rsidR="0039076E">
        <w:rPr>
          <w:rFonts w:ascii="Palatino Linotype" w:hAnsi="Palatino Linotype"/>
          <w:b/>
          <w:sz w:val="24"/>
        </w:rPr>
        <w:t>XXXXXXXXXXXXXXX</w:t>
      </w:r>
      <w:bookmarkStart w:id="0" w:name="_GoBack"/>
      <w:bookmarkEnd w:id="0"/>
      <w:r w:rsidR="00BD72C7">
        <w:rPr>
          <w:rFonts w:ascii="Palatino Linotype" w:hAnsi="Palatino Linotype"/>
          <w:sz w:val="24"/>
        </w:rPr>
        <w:t>”</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Ayuntamiento de Amecameca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7B412E13" w14:textId="77777777" w:rsidR="00EA1DFF" w:rsidRPr="002C3EC8" w:rsidRDefault="00EA1DFF" w:rsidP="00EA1DFF">
      <w:pPr>
        <w:tabs>
          <w:tab w:val="left" w:pos="1701"/>
        </w:tabs>
        <w:spacing w:before="240" w:line="360" w:lineRule="auto"/>
        <w:jc w:val="both"/>
        <w:rPr>
          <w:rFonts w:ascii="Palatino Linotype" w:hAnsi="Palatino Linotype" w:cs="Arial"/>
          <w:b/>
          <w:sz w:val="24"/>
        </w:rPr>
      </w:pPr>
    </w:p>
    <w:p w14:paraId="0E919614" w14:textId="77777777" w:rsidR="00EA1DFF" w:rsidRPr="002C3EC8" w:rsidRDefault="00EA1DFF" w:rsidP="00EA1DFF">
      <w:pPr>
        <w:pStyle w:val="infoemcitas"/>
        <w:jc w:val="center"/>
        <w:rPr>
          <w:b/>
          <w:bCs/>
          <w:i w:val="0"/>
          <w:iCs/>
          <w:sz w:val="28"/>
          <w:szCs w:val="28"/>
        </w:rPr>
      </w:pPr>
      <w:r w:rsidRPr="002C3EC8">
        <w:rPr>
          <w:b/>
          <w:bCs/>
          <w:i w:val="0"/>
          <w:iCs/>
          <w:sz w:val="28"/>
          <w:szCs w:val="28"/>
        </w:rPr>
        <w:t>A N T E C E D E N T E S   D E L   A S U N T O</w:t>
      </w:r>
    </w:p>
    <w:p w14:paraId="02372475" w14:textId="77777777" w:rsidR="00EA1DFF" w:rsidRPr="002C3EC8" w:rsidRDefault="00EA1DFF" w:rsidP="00EA1DF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187E4FE8" w14:textId="77777777" w:rsidR="00EA1DFF" w:rsidRPr="00D705FF" w:rsidRDefault="00EA1DFF" w:rsidP="00EA1DFF">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veintiocho de febrero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00020/AMECAMEC/IP/2025</w:t>
      </w:r>
      <w:r w:rsidRPr="00D705FF">
        <w:rPr>
          <w:rFonts w:ascii="Palatino Linotype" w:hAnsi="Palatino Linotype" w:cs="Arial"/>
          <w:b/>
          <w:sz w:val="24"/>
        </w:rPr>
        <w:t xml:space="preserve">, </w:t>
      </w:r>
      <w:r w:rsidRPr="00D705FF">
        <w:rPr>
          <w:rFonts w:ascii="Palatino Linotype" w:hAnsi="Palatino Linotype" w:cs="Arial"/>
          <w:sz w:val="24"/>
        </w:rPr>
        <w:t xml:space="preserve">mediante la cual solicitó información en el </w:t>
      </w:r>
      <w:proofErr w:type="gramStart"/>
      <w:r w:rsidRPr="00D705FF">
        <w:rPr>
          <w:rFonts w:ascii="Palatino Linotype" w:hAnsi="Palatino Linotype" w:cs="Arial"/>
          <w:sz w:val="24"/>
        </w:rPr>
        <w:t>tenor</w:t>
      </w:r>
      <w:proofErr w:type="gramEnd"/>
      <w:r w:rsidRPr="00D705FF">
        <w:rPr>
          <w:rFonts w:ascii="Palatino Linotype" w:hAnsi="Palatino Linotype" w:cs="Arial"/>
          <w:sz w:val="24"/>
        </w:rPr>
        <w:t xml:space="preserve"> siguiente:</w:t>
      </w:r>
    </w:p>
    <w:p w14:paraId="40CC41FD" w14:textId="77777777" w:rsidR="00EA1DFF" w:rsidRPr="001C7F6F" w:rsidRDefault="00EA1DFF" w:rsidP="00BD72C7">
      <w:pPr>
        <w:pStyle w:val="INFOEM"/>
        <w:rPr>
          <w:lang w:val="es-ES_tradnl" w:eastAsia="es-ES"/>
        </w:rPr>
      </w:pPr>
      <w:r w:rsidRPr="00D705FF">
        <w:rPr>
          <w:lang w:val="es-ES_tradnl" w:eastAsia="es-ES"/>
        </w:rPr>
        <w:t>“</w:t>
      </w:r>
      <w:r w:rsidR="00BD72C7" w:rsidRPr="00BD72C7">
        <w:rPr>
          <w:lang w:val="es-ES_tradnl" w:eastAsia="es-ES"/>
        </w:rPr>
        <w:t>Solicito Padrón Catastral del Municipio de Amecameca 2024.</w:t>
      </w:r>
      <w:r w:rsidRPr="00D705FF">
        <w:rPr>
          <w:lang w:val="es-ES_tradnl" w:eastAsia="es-ES"/>
        </w:rPr>
        <w:t>” (</w:t>
      </w:r>
      <w:proofErr w:type="gramStart"/>
      <w:r w:rsidRPr="00D705FF">
        <w:rPr>
          <w:lang w:val="es-ES_tradnl" w:eastAsia="es-ES"/>
        </w:rPr>
        <w:t>sic</w:t>
      </w:r>
      <w:proofErr w:type="gramEnd"/>
      <w:r w:rsidRPr="00D705FF">
        <w:rPr>
          <w:lang w:val="es-ES_tradnl" w:eastAsia="es-ES"/>
        </w:rPr>
        <w:t>)</w:t>
      </w:r>
    </w:p>
    <w:p w14:paraId="770C550F" w14:textId="77777777" w:rsidR="00EA1DFF" w:rsidRPr="002C3EC8" w:rsidRDefault="00EA1DFF" w:rsidP="00EA1DFF">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2F280B99" w14:textId="77777777" w:rsidR="0051347F" w:rsidRDefault="0051347F" w:rsidP="00EA1DFF">
      <w:pPr>
        <w:spacing w:line="360" w:lineRule="auto"/>
        <w:jc w:val="both"/>
        <w:rPr>
          <w:rFonts w:ascii="Palatino Linotype" w:hAnsi="Palatino Linotype" w:cs="Arial"/>
          <w:b/>
          <w:sz w:val="28"/>
        </w:rPr>
      </w:pPr>
    </w:p>
    <w:p w14:paraId="2E51BCD5" w14:textId="77777777" w:rsidR="00EA1DFF" w:rsidRPr="00B44B5A" w:rsidRDefault="00EA1DFF" w:rsidP="00EA1DFF">
      <w:pPr>
        <w:spacing w:line="360" w:lineRule="auto"/>
        <w:jc w:val="both"/>
        <w:rPr>
          <w:rFonts w:ascii="Palatino Linotype" w:eastAsia="Times New Roman" w:hAnsi="Palatino Linotype" w:cs="Arial"/>
          <w:b/>
          <w:sz w:val="28"/>
          <w:szCs w:val="20"/>
          <w:lang w:val="es-ES" w:eastAsia="es-ES"/>
        </w:rPr>
      </w:pPr>
      <w:r>
        <w:rPr>
          <w:rFonts w:ascii="Palatino Linotype" w:hAnsi="Palatino Linotype" w:cs="Arial"/>
          <w:b/>
          <w:sz w:val="28"/>
        </w:rPr>
        <w:t>SEGUNDO.</w:t>
      </w:r>
      <w:r w:rsidRPr="00256F6D">
        <w:rPr>
          <w:rFonts w:ascii="Palatino Linotype" w:hAnsi="Palatino Linotype" w:cs="Arial"/>
          <w:b/>
          <w:sz w:val="28"/>
        </w:rPr>
        <w:t xml:space="preserve"> </w:t>
      </w:r>
      <w:r w:rsidRPr="00B44B5A">
        <w:rPr>
          <w:rFonts w:ascii="Palatino Linotype" w:eastAsia="Times New Roman" w:hAnsi="Palatino Linotype" w:cs="Arial"/>
          <w:b/>
          <w:sz w:val="28"/>
          <w:szCs w:val="20"/>
          <w:lang w:val="es-ES" w:eastAsia="es-ES"/>
        </w:rPr>
        <w:t>De la respuesta del Sujeto Obligado.</w:t>
      </w:r>
    </w:p>
    <w:p w14:paraId="10C5FF77" w14:textId="77777777" w:rsidR="00EA1DFF" w:rsidRPr="00B44B5A" w:rsidRDefault="00EA1DFF" w:rsidP="00EA1DFF">
      <w:pPr>
        <w:spacing w:after="0" w:line="360" w:lineRule="auto"/>
        <w:jc w:val="both"/>
        <w:rPr>
          <w:rFonts w:ascii="Palatino Linotype" w:eastAsia="Times New Roman" w:hAnsi="Palatino Linotype" w:cs="Times New Roman"/>
          <w:sz w:val="24"/>
          <w:szCs w:val="24"/>
          <w:lang w:val="es-ES" w:eastAsia="es-ES"/>
        </w:rPr>
      </w:pPr>
      <w:r w:rsidRPr="00B44B5A">
        <w:rPr>
          <w:rFonts w:ascii="Palatino Linotype" w:eastAsia="Times New Roman" w:hAnsi="Palatino Linotype" w:cs="Times New Roman"/>
          <w:sz w:val="24"/>
          <w:szCs w:val="24"/>
          <w:lang w:val="es-ES" w:eastAsia="es-ES"/>
        </w:rPr>
        <w:lastRenderedPageBreak/>
        <w:t xml:space="preserve">Como se advierte de las constancias del expediente electrónico, en fecha </w:t>
      </w:r>
      <w:r w:rsidRPr="00BD72C7">
        <w:rPr>
          <w:rFonts w:ascii="Palatino Linotype" w:eastAsia="Times New Roman" w:hAnsi="Palatino Linotype" w:cs="Times New Roman"/>
          <w:b/>
          <w:sz w:val="24"/>
          <w:szCs w:val="24"/>
          <w:lang w:val="es-ES" w:eastAsia="es-ES"/>
        </w:rPr>
        <w:t xml:space="preserve">veinticinco de </w:t>
      </w:r>
      <w:r w:rsidR="00BD72C7">
        <w:rPr>
          <w:rFonts w:ascii="Palatino Linotype" w:eastAsia="Times New Roman" w:hAnsi="Palatino Linotype" w:cs="Times New Roman"/>
          <w:b/>
          <w:sz w:val="24"/>
          <w:szCs w:val="24"/>
          <w:lang w:val="es-ES" w:eastAsia="es-ES"/>
        </w:rPr>
        <w:t>marzo</w:t>
      </w:r>
      <w:r w:rsidRPr="00BD72C7">
        <w:rPr>
          <w:rFonts w:ascii="Palatino Linotype" w:eastAsia="Times New Roman" w:hAnsi="Palatino Linotype" w:cs="Times New Roman"/>
          <w:b/>
          <w:sz w:val="24"/>
          <w:szCs w:val="24"/>
          <w:lang w:val="es-ES" w:eastAsia="es-ES"/>
        </w:rPr>
        <w:t xml:space="preserve"> de dos mil veinticinco</w:t>
      </w:r>
      <w:r w:rsidRPr="00B44B5A">
        <w:rPr>
          <w:rFonts w:ascii="Palatino Linotype" w:eastAsia="Times New Roman" w:hAnsi="Palatino Linotype" w:cs="Times New Roman"/>
          <w:sz w:val="24"/>
          <w:szCs w:val="24"/>
          <w:lang w:val="es-ES" w:eastAsia="es-ES"/>
        </w:rPr>
        <w:t xml:space="preserve">, el </w:t>
      </w:r>
      <w:r w:rsidRPr="00B44B5A">
        <w:rPr>
          <w:rFonts w:ascii="Palatino Linotype" w:eastAsia="Times New Roman" w:hAnsi="Palatino Linotype" w:cs="Times New Roman"/>
          <w:b/>
          <w:sz w:val="24"/>
          <w:szCs w:val="24"/>
          <w:lang w:val="es-ES" w:eastAsia="es-ES"/>
        </w:rPr>
        <w:t>Sujeto Obligado</w:t>
      </w:r>
      <w:r w:rsidRPr="00B44B5A">
        <w:rPr>
          <w:rFonts w:ascii="Palatino Linotype" w:eastAsia="Times New Roman" w:hAnsi="Palatino Linotype" w:cs="Times New Roman"/>
          <w:sz w:val="24"/>
          <w:szCs w:val="24"/>
          <w:lang w:val="es-ES" w:eastAsia="es-ES"/>
        </w:rPr>
        <w:t xml:space="preserve"> hizo entrega al </w:t>
      </w:r>
      <w:r w:rsidRPr="00B44B5A">
        <w:rPr>
          <w:rFonts w:ascii="Palatino Linotype" w:eastAsia="Times New Roman" w:hAnsi="Palatino Linotype" w:cs="Times New Roman"/>
          <w:b/>
          <w:sz w:val="24"/>
          <w:szCs w:val="24"/>
          <w:lang w:val="es-ES" w:eastAsia="es-ES"/>
        </w:rPr>
        <w:t>Recurrente</w:t>
      </w:r>
      <w:r w:rsidRPr="00B44B5A">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16E621AB" w14:textId="77777777" w:rsidR="00EA1DFF" w:rsidRPr="00B44B5A" w:rsidRDefault="00EA1DFF" w:rsidP="00EA1DFF">
      <w:pPr>
        <w:spacing w:after="0" w:line="360" w:lineRule="auto"/>
        <w:jc w:val="both"/>
        <w:rPr>
          <w:rFonts w:ascii="Palatino Linotype" w:eastAsia="Times New Roman" w:hAnsi="Palatino Linotype" w:cs="Times New Roman"/>
          <w:sz w:val="24"/>
          <w:szCs w:val="24"/>
          <w:lang w:val="es-ES" w:eastAsia="es-ES"/>
        </w:rPr>
      </w:pPr>
    </w:p>
    <w:p w14:paraId="15A661C2" w14:textId="77777777" w:rsidR="00BD72C7" w:rsidRPr="00BD72C7" w:rsidRDefault="00EA1DFF" w:rsidP="00BD72C7">
      <w:pPr>
        <w:spacing w:after="0" w:line="276" w:lineRule="auto"/>
        <w:ind w:left="567" w:right="616"/>
        <w:jc w:val="both"/>
        <w:rPr>
          <w:rFonts w:ascii="Palatino Linotype" w:eastAsia="Times New Roman" w:hAnsi="Palatino Linotype" w:cs="Times New Roman"/>
          <w:bCs/>
          <w:i/>
          <w:szCs w:val="24"/>
          <w:lang w:val="es-ES" w:eastAsia="es-ES"/>
        </w:rPr>
      </w:pPr>
      <w:r w:rsidRPr="00B44B5A">
        <w:rPr>
          <w:rFonts w:ascii="Palatino Linotype" w:eastAsia="Times New Roman" w:hAnsi="Palatino Linotype" w:cs="Times New Roman"/>
          <w:bCs/>
          <w:i/>
          <w:szCs w:val="24"/>
          <w:lang w:val="es-ES" w:eastAsia="es-ES"/>
        </w:rPr>
        <w:t>“</w:t>
      </w:r>
      <w:r w:rsidR="00BD72C7" w:rsidRPr="00BD72C7">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0111A4" w14:textId="77777777" w:rsidR="00EA1DFF" w:rsidRPr="00B44B5A" w:rsidRDefault="00BD72C7" w:rsidP="00BD72C7">
      <w:pPr>
        <w:spacing w:after="0" w:line="276" w:lineRule="auto"/>
        <w:ind w:left="567" w:right="616"/>
        <w:jc w:val="both"/>
        <w:rPr>
          <w:rFonts w:ascii="Palatino Linotype" w:eastAsia="Times New Roman" w:hAnsi="Palatino Linotype" w:cs="Times New Roman"/>
          <w:bCs/>
          <w:i/>
          <w:szCs w:val="24"/>
          <w:lang w:val="es-ES" w:eastAsia="es-ES"/>
        </w:rPr>
      </w:pPr>
      <w:r w:rsidRPr="00BD72C7">
        <w:rPr>
          <w:rFonts w:ascii="Palatino Linotype" w:eastAsia="Times New Roman" w:hAnsi="Palatino Linotype" w:cs="Times New Roman"/>
          <w:bCs/>
          <w:i/>
          <w:szCs w:val="24"/>
          <w:lang w:val="es-ES" w:eastAsia="es-ES"/>
        </w:rPr>
        <w:t>EN ATENCIÓN A LA SOLICITUD DE INFORMACIÓN ANEXO INFORMACION, TAMBIEN LE INFORMAMOS QUE EXISTE UN AVISO DE PRIVACIDAD EN EL CUAL NO ESTAMOS AUTORIZADOS EN PROPORCIONAR INFORMACIÓN SOBRE INFORMACION CONFIDENCIAL DE LOS CIUDADANOS https://amecameca.gob.mx/aviso-de-privacidad/</w:t>
      </w:r>
      <w:r w:rsidR="00EA1DFF" w:rsidRPr="00B44B5A">
        <w:rPr>
          <w:rFonts w:ascii="Palatino Linotype" w:eastAsia="Times New Roman" w:hAnsi="Palatino Linotype" w:cs="Times New Roman"/>
          <w:bCs/>
          <w:i/>
          <w:szCs w:val="24"/>
          <w:lang w:val="es-ES" w:eastAsia="es-ES"/>
        </w:rPr>
        <w:t>”</w:t>
      </w:r>
    </w:p>
    <w:p w14:paraId="630E82F6" w14:textId="77777777" w:rsidR="00EA1DFF" w:rsidRPr="00B44B5A" w:rsidRDefault="00EA1DFF" w:rsidP="00EA1DFF">
      <w:pPr>
        <w:spacing w:after="0" w:line="360" w:lineRule="auto"/>
        <w:jc w:val="both"/>
        <w:rPr>
          <w:rFonts w:ascii="Palatino Linotype" w:eastAsia="Times New Roman" w:hAnsi="Palatino Linotype" w:cs="Arial"/>
          <w:sz w:val="24"/>
          <w:szCs w:val="24"/>
          <w:lang w:val="es-ES" w:eastAsia="es-ES"/>
        </w:rPr>
      </w:pPr>
    </w:p>
    <w:p w14:paraId="3EC31506" w14:textId="77777777" w:rsidR="00EA1DFF" w:rsidRDefault="00EA1DFF" w:rsidP="00BD72C7">
      <w:pPr>
        <w:spacing w:after="0" w:line="360" w:lineRule="auto"/>
        <w:ind w:right="-93"/>
        <w:jc w:val="both"/>
        <w:rPr>
          <w:rFonts w:ascii="Palatino Linotype" w:eastAsia="Times New Roman" w:hAnsi="Palatino Linotype" w:cs="Times New Roman"/>
          <w:bCs/>
          <w:sz w:val="24"/>
          <w:szCs w:val="24"/>
          <w:lang w:val="es-ES" w:eastAsia="es-ES"/>
        </w:rPr>
      </w:pPr>
      <w:r w:rsidRPr="00B44B5A">
        <w:rPr>
          <w:rFonts w:ascii="Palatino Linotype" w:eastAsia="Times New Roman" w:hAnsi="Palatino Linotype" w:cs="Times New Roman"/>
          <w:bCs/>
          <w:sz w:val="24"/>
          <w:szCs w:val="24"/>
          <w:lang w:val="es-ES" w:eastAsia="es-ES"/>
        </w:rPr>
        <w:t xml:space="preserve">Adicionalmente, el </w:t>
      </w:r>
      <w:r w:rsidRPr="00B44B5A">
        <w:rPr>
          <w:rFonts w:ascii="Palatino Linotype" w:eastAsia="Times New Roman" w:hAnsi="Palatino Linotype" w:cs="Times New Roman"/>
          <w:b/>
          <w:bCs/>
          <w:sz w:val="24"/>
          <w:szCs w:val="24"/>
          <w:lang w:val="es-ES" w:eastAsia="es-ES"/>
        </w:rPr>
        <w:t>Sujeto Obligado</w:t>
      </w:r>
      <w:r w:rsidRPr="00B44B5A">
        <w:rPr>
          <w:rFonts w:ascii="Palatino Linotype" w:eastAsia="Times New Roman" w:hAnsi="Palatino Linotype" w:cs="Times New Roman"/>
          <w:bCs/>
          <w:sz w:val="24"/>
          <w:szCs w:val="24"/>
          <w:lang w:val="es-ES" w:eastAsia="es-ES"/>
        </w:rPr>
        <w:t xml:space="preserve"> adjunto </w:t>
      </w:r>
      <w:r w:rsidR="00BD72C7">
        <w:rPr>
          <w:rFonts w:ascii="Palatino Linotype" w:eastAsia="Times New Roman" w:hAnsi="Palatino Linotype" w:cs="Times New Roman"/>
          <w:bCs/>
          <w:sz w:val="24"/>
          <w:szCs w:val="24"/>
          <w:lang w:val="es-ES" w:eastAsia="es-ES"/>
        </w:rPr>
        <w:t>los</w:t>
      </w:r>
      <w:r w:rsidRPr="00B44B5A">
        <w:rPr>
          <w:rFonts w:ascii="Palatino Linotype" w:eastAsia="Times New Roman" w:hAnsi="Palatino Linotype" w:cs="Times New Roman"/>
          <w:bCs/>
          <w:sz w:val="24"/>
          <w:szCs w:val="24"/>
          <w:lang w:val="es-ES" w:eastAsia="es-ES"/>
        </w:rPr>
        <w:t xml:space="preserve"> archivo</w:t>
      </w:r>
      <w:r w:rsidR="00BD72C7">
        <w:rPr>
          <w:rFonts w:ascii="Palatino Linotype" w:eastAsia="Times New Roman" w:hAnsi="Palatino Linotype" w:cs="Times New Roman"/>
          <w:bCs/>
          <w:sz w:val="24"/>
          <w:szCs w:val="24"/>
          <w:lang w:val="es-ES" w:eastAsia="es-ES"/>
        </w:rPr>
        <w:t>s</w:t>
      </w:r>
      <w:r w:rsidRPr="00B44B5A">
        <w:rPr>
          <w:rFonts w:ascii="Palatino Linotype" w:eastAsia="Times New Roman" w:hAnsi="Palatino Linotype" w:cs="Times New Roman"/>
          <w:bCs/>
          <w:sz w:val="24"/>
          <w:szCs w:val="24"/>
          <w:lang w:val="es-ES" w:eastAsia="es-ES"/>
        </w:rPr>
        <w:t xml:space="preserve"> electrónico</w:t>
      </w:r>
      <w:r w:rsidR="00BD72C7">
        <w:rPr>
          <w:rFonts w:ascii="Palatino Linotype" w:eastAsia="Times New Roman" w:hAnsi="Palatino Linotype" w:cs="Times New Roman"/>
          <w:bCs/>
          <w:sz w:val="24"/>
          <w:szCs w:val="24"/>
          <w:lang w:val="es-ES" w:eastAsia="es-ES"/>
        </w:rPr>
        <w:t>s</w:t>
      </w:r>
      <w:r w:rsidRPr="00B44B5A">
        <w:rPr>
          <w:rFonts w:ascii="Palatino Linotype" w:eastAsia="Times New Roman" w:hAnsi="Palatino Linotype" w:cs="Times New Roman"/>
          <w:bCs/>
          <w:sz w:val="24"/>
          <w:szCs w:val="24"/>
          <w:lang w:val="es-ES" w:eastAsia="es-ES"/>
        </w:rPr>
        <w:t xml:space="preserve"> denominado</w:t>
      </w:r>
      <w:r w:rsidR="00BD72C7">
        <w:rPr>
          <w:rFonts w:ascii="Palatino Linotype" w:eastAsia="Times New Roman" w:hAnsi="Palatino Linotype" w:cs="Times New Roman"/>
          <w:bCs/>
          <w:sz w:val="24"/>
          <w:szCs w:val="24"/>
          <w:lang w:val="es-ES" w:eastAsia="es-ES"/>
        </w:rPr>
        <w:t>s</w:t>
      </w:r>
      <w:r w:rsidRPr="00B44B5A">
        <w:rPr>
          <w:rFonts w:ascii="Palatino Linotype" w:eastAsia="Times New Roman" w:hAnsi="Palatino Linotype" w:cs="Times New Roman"/>
          <w:bCs/>
          <w:sz w:val="24"/>
          <w:szCs w:val="24"/>
          <w:lang w:val="es-ES" w:eastAsia="es-ES"/>
        </w:rPr>
        <w:t xml:space="preserve"> </w:t>
      </w:r>
      <w:r w:rsidRPr="00B44B5A">
        <w:rPr>
          <w:rFonts w:ascii="Palatino Linotype" w:eastAsia="Times New Roman" w:hAnsi="Palatino Linotype" w:cs="Times New Roman"/>
          <w:b/>
          <w:bCs/>
          <w:i/>
          <w:sz w:val="24"/>
          <w:szCs w:val="24"/>
          <w:lang w:val="es-ES" w:eastAsia="es-ES"/>
        </w:rPr>
        <w:t>“</w:t>
      </w:r>
      <w:r w:rsidR="00BD72C7" w:rsidRPr="00BD72C7">
        <w:rPr>
          <w:rFonts w:ascii="Palatino Linotype" w:eastAsia="Times New Roman" w:hAnsi="Palatino Linotype" w:cs="Times New Roman"/>
          <w:b/>
          <w:bCs/>
          <w:i/>
          <w:sz w:val="24"/>
          <w:szCs w:val="24"/>
          <w:lang w:val="es-ES" w:eastAsia="es-ES"/>
        </w:rPr>
        <w:t>020 sol.pdf</w:t>
      </w:r>
      <w:r w:rsidR="00BD72C7">
        <w:rPr>
          <w:rFonts w:ascii="Palatino Linotype" w:eastAsia="Times New Roman" w:hAnsi="Palatino Linotype" w:cs="Times New Roman"/>
          <w:b/>
          <w:bCs/>
          <w:i/>
          <w:sz w:val="24"/>
          <w:szCs w:val="24"/>
          <w:lang w:val="es-ES" w:eastAsia="es-ES"/>
        </w:rPr>
        <w:t>”, “</w:t>
      </w:r>
      <w:r w:rsidR="00BD72C7" w:rsidRPr="00BD72C7">
        <w:rPr>
          <w:rFonts w:ascii="Palatino Linotype" w:eastAsia="Times New Roman" w:hAnsi="Palatino Linotype" w:cs="Times New Roman"/>
          <w:b/>
          <w:bCs/>
          <w:i/>
          <w:sz w:val="24"/>
          <w:szCs w:val="24"/>
          <w:lang w:val="es-ES" w:eastAsia="es-ES"/>
        </w:rPr>
        <w:t>CONFIDE20.pdf</w:t>
      </w:r>
      <w:r w:rsidR="00BD72C7">
        <w:rPr>
          <w:rFonts w:ascii="Palatino Linotype" w:eastAsia="Times New Roman" w:hAnsi="Palatino Linotype" w:cs="Times New Roman"/>
          <w:b/>
          <w:bCs/>
          <w:i/>
          <w:sz w:val="24"/>
          <w:szCs w:val="24"/>
          <w:lang w:val="es-ES" w:eastAsia="es-ES"/>
        </w:rPr>
        <w:t>”, “</w:t>
      </w:r>
      <w:r w:rsidR="00BD72C7" w:rsidRPr="00BD72C7">
        <w:rPr>
          <w:rFonts w:ascii="Palatino Linotype" w:eastAsia="Times New Roman" w:hAnsi="Palatino Linotype" w:cs="Times New Roman"/>
          <w:b/>
          <w:bCs/>
          <w:i/>
          <w:sz w:val="24"/>
          <w:szCs w:val="24"/>
          <w:lang w:val="es-ES" w:eastAsia="es-ES"/>
        </w:rPr>
        <w:t>1extra.pdf</w:t>
      </w:r>
      <w:r w:rsidR="00BD72C7">
        <w:rPr>
          <w:rFonts w:ascii="Palatino Linotype" w:eastAsia="Times New Roman" w:hAnsi="Palatino Linotype" w:cs="Times New Roman"/>
          <w:b/>
          <w:bCs/>
          <w:i/>
          <w:sz w:val="24"/>
          <w:szCs w:val="24"/>
          <w:lang w:val="es-ES" w:eastAsia="es-ES"/>
        </w:rPr>
        <w:t>” y “</w:t>
      </w:r>
      <w:r w:rsidR="00BD72C7" w:rsidRPr="00BD72C7">
        <w:rPr>
          <w:rFonts w:ascii="Palatino Linotype" w:eastAsia="Times New Roman" w:hAnsi="Palatino Linotype" w:cs="Times New Roman"/>
          <w:b/>
          <w:bCs/>
          <w:i/>
          <w:sz w:val="24"/>
          <w:szCs w:val="24"/>
          <w:lang w:val="es-ES" w:eastAsia="es-ES"/>
        </w:rPr>
        <w:t>hoja respuesta 2025.docx</w:t>
      </w:r>
      <w:r w:rsidRPr="00B44B5A">
        <w:rPr>
          <w:rFonts w:ascii="Palatino Linotype" w:eastAsia="Times New Roman" w:hAnsi="Palatino Linotype" w:cs="Times New Roman"/>
          <w:b/>
          <w:bCs/>
          <w:i/>
          <w:sz w:val="24"/>
          <w:szCs w:val="24"/>
          <w:lang w:val="es-ES" w:eastAsia="es-ES"/>
        </w:rPr>
        <w:t>”</w:t>
      </w:r>
      <w:r w:rsidRPr="00B44B5A">
        <w:rPr>
          <w:rFonts w:ascii="Palatino Linotype" w:eastAsia="Times New Roman" w:hAnsi="Palatino Linotype" w:cs="Times New Roman"/>
          <w:bCs/>
          <w:sz w:val="24"/>
          <w:szCs w:val="24"/>
          <w:lang w:val="es-ES" w:eastAsia="es-ES"/>
        </w:rPr>
        <w:t>, mismo</w:t>
      </w:r>
      <w:r w:rsidR="00BD72C7">
        <w:rPr>
          <w:rFonts w:ascii="Palatino Linotype" w:eastAsia="Times New Roman" w:hAnsi="Palatino Linotype" w:cs="Times New Roman"/>
          <w:bCs/>
          <w:sz w:val="24"/>
          <w:szCs w:val="24"/>
          <w:lang w:val="es-ES" w:eastAsia="es-ES"/>
        </w:rPr>
        <w:t>s</w:t>
      </w:r>
      <w:r w:rsidRPr="00B44B5A">
        <w:rPr>
          <w:rFonts w:ascii="Palatino Linotype" w:eastAsia="Times New Roman" w:hAnsi="Palatino Linotype" w:cs="Times New Roman"/>
          <w:bCs/>
          <w:sz w:val="24"/>
          <w:szCs w:val="24"/>
          <w:lang w:val="es-ES" w:eastAsia="es-ES"/>
        </w:rPr>
        <w:t xml:space="preserve"> que no se reproduce</w:t>
      </w:r>
      <w:r w:rsidR="00BD72C7">
        <w:rPr>
          <w:rFonts w:ascii="Palatino Linotype" w:eastAsia="Times New Roman" w:hAnsi="Palatino Linotype" w:cs="Times New Roman"/>
          <w:bCs/>
          <w:sz w:val="24"/>
          <w:szCs w:val="24"/>
          <w:lang w:val="es-ES" w:eastAsia="es-ES"/>
        </w:rPr>
        <w:t>n</w:t>
      </w:r>
      <w:r w:rsidRPr="00B44B5A">
        <w:rPr>
          <w:rFonts w:ascii="Palatino Linotype" w:eastAsia="Times New Roman" w:hAnsi="Palatino Linotype" w:cs="Times New Roman"/>
          <w:bCs/>
          <w:sz w:val="24"/>
          <w:szCs w:val="24"/>
          <w:lang w:val="es-ES" w:eastAsia="es-ES"/>
        </w:rPr>
        <w:t xml:space="preserve"> por ser del conocimiento de las partes, sin embargo, será</w:t>
      </w:r>
      <w:r w:rsidR="00BD72C7">
        <w:rPr>
          <w:rFonts w:ascii="Palatino Linotype" w:eastAsia="Times New Roman" w:hAnsi="Palatino Linotype" w:cs="Times New Roman"/>
          <w:bCs/>
          <w:sz w:val="24"/>
          <w:szCs w:val="24"/>
          <w:lang w:val="es-ES" w:eastAsia="es-ES"/>
        </w:rPr>
        <w:t>n</w:t>
      </w:r>
      <w:r w:rsidRPr="00B44B5A">
        <w:rPr>
          <w:rFonts w:ascii="Palatino Linotype" w:eastAsia="Times New Roman" w:hAnsi="Palatino Linotype" w:cs="Times New Roman"/>
          <w:bCs/>
          <w:sz w:val="24"/>
          <w:szCs w:val="24"/>
          <w:lang w:val="es-ES" w:eastAsia="es-ES"/>
        </w:rPr>
        <w:t xml:space="preserve"> materia de estudio en el considerando respectivo. </w:t>
      </w:r>
    </w:p>
    <w:p w14:paraId="5D0A521B" w14:textId="77777777" w:rsidR="00EA1DFF" w:rsidRDefault="00EA1DFF" w:rsidP="00EA1DFF">
      <w:pPr>
        <w:spacing w:before="240" w:line="360" w:lineRule="auto"/>
        <w:jc w:val="both"/>
      </w:pPr>
    </w:p>
    <w:p w14:paraId="6FFCC839" w14:textId="77777777" w:rsidR="00EA1DFF" w:rsidRPr="002C3EC8" w:rsidRDefault="00EA1DFF" w:rsidP="00EA1DFF">
      <w:pPr>
        <w:pStyle w:val="Sinespaciado"/>
        <w:spacing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4F9A1A8F" w14:textId="77777777" w:rsidR="00EA1DFF" w:rsidRDefault="00EA1DFF" w:rsidP="00EA1DFF">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sidR="00BD72C7">
        <w:rPr>
          <w:rFonts w:ascii="Palatino Linotype" w:hAnsi="Palatino Linotype" w:cs="Arial"/>
          <w:b/>
          <w:sz w:val="24"/>
        </w:rPr>
        <w:t>veinticinco</w:t>
      </w:r>
      <w:r>
        <w:rPr>
          <w:rFonts w:ascii="Palatino Linotype" w:hAnsi="Palatino Linotype" w:cs="Arial"/>
          <w:b/>
          <w:sz w:val="24"/>
        </w:rPr>
        <w:t xml:space="preserve"> de marzo</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03465/INFOEM/IP/RR/2025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65F9B07F" w14:textId="77777777" w:rsidR="00BD72C7" w:rsidRDefault="00BD72C7" w:rsidP="00EA1DFF">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Acto impugnado:</w:t>
      </w:r>
    </w:p>
    <w:p w14:paraId="36F4DC18" w14:textId="77777777" w:rsidR="00BD72C7" w:rsidRDefault="00BD72C7" w:rsidP="00BD72C7">
      <w:pPr>
        <w:pStyle w:val="INFOEM"/>
        <w:ind w:left="720"/>
      </w:pPr>
      <w:r>
        <w:lastRenderedPageBreak/>
        <w:t>“</w:t>
      </w:r>
      <w:r w:rsidRPr="00BD72C7">
        <w:t>No se envía la información solicitada</w:t>
      </w:r>
      <w:r>
        <w:rPr>
          <w:rFonts w:cs="Arial"/>
        </w:rPr>
        <w:t>” (sic)</w:t>
      </w:r>
    </w:p>
    <w:p w14:paraId="6AAC4408" w14:textId="77777777" w:rsidR="00EA1DFF" w:rsidRDefault="00EA1DFF" w:rsidP="00EA1DFF">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r>
        <w:rPr>
          <w:rFonts w:ascii="Palatino Linotype" w:hAnsi="Palatino Linotype" w:cs="Arial"/>
          <w:b/>
          <w:i/>
        </w:rPr>
        <w:t>:</w:t>
      </w:r>
    </w:p>
    <w:p w14:paraId="6DBAD366" w14:textId="77777777" w:rsidR="00EA1DFF" w:rsidRDefault="00EA1DFF" w:rsidP="00BD72C7">
      <w:pPr>
        <w:pStyle w:val="INFOEM"/>
        <w:ind w:left="709"/>
      </w:pPr>
      <w:r>
        <w:t>“</w:t>
      </w:r>
      <w:r w:rsidR="00BD72C7" w:rsidRPr="00BD72C7">
        <w:t>Se puede enviar el Padrón Catastral testando datos personales y sensibles que aparezcan en el formato.</w:t>
      </w:r>
      <w:r>
        <w:rPr>
          <w:rFonts w:cs="Arial"/>
        </w:rPr>
        <w:t>” (</w:t>
      </w:r>
      <w:proofErr w:type="gramStart"/>
      <w:r>
        <w:rPr>
          <w:rFonts w:cs="Arial"/>
        </w:rPr>
        <w:t>sic</w:t>
      </w:r>
      <w:proofErr w:type="gramEnd"/>
      <w:r>
        <w:rPr>
          <w:rFonts w:cs="Arial"/>
        </w:rPr>
        <w:t>)</w:t>
      </w:r>
    </w:p>
    <w:p w14:paraId="334CF0DC" w14:textId="77777777" w:rsidR="00EA1DFF" w:rsidRDefault="00EA1DFF" w:rsidP="00EA1DFF">
      <w:pPr>
        <w:spacing w:before="240" w:line="360" w:lineRule="auto"/>
        <w:jc w:val="both"/>
        <w:rPr>
          <w:rFonts w:ascii="Palatino Linotype" w:hAnsi="Palatino Linotype" w:cs="Arial"/>
          <w:b/>
          <w:sz w:val="28"/>
        </w:rPr>
      </w:pPr>
    </w:p>
    <w:p w14:paraId="29C0E4B1" w14:textId="77777777" w:rsidR="00EA1DFF" w:rsidRPr="002C3EC8" w:rsidRDefault="00EA1DFF" w:rsidP="00EA1DFF">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8"/>
        </w:rPr>
        <w:t>.</w:t>
      </w:r>
      <w:r>
        <w:rPr>
          <w:rFonts w:ascii="Palatino Linotype" w:hAnsi="Palatino Linotype" w:cs="Arial"/>
          <w:b/>
          <w:sz w:val="28"/>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81219B0" w14:textId="77777777" w:rsidR="00EA1DFF" w:rsidRPr="002C3EC8" w:rsidRDefault="00EA1DFF" w:rsidP="00EA1DFF">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BD72C7">
        <w:rPr>
          <w:rFonts w:ascii="Palatino Linotype" w:hAnsi="Palatino Linotype"/>
          <w:b/>
          <w:sz w:val="24"/>
        </w:rPr>
        <w:t>veintisiete</w:t>
      </w:r>
      <w:r>
        <w:rPr>
          <w:rFonts w:ascii="Palatino Linotype" w:hAnsi="Palatino Linotype"/>
          <w:b/>
          <w:sz w:val="24"/>
        </w:rPr>
        <w:t xml:space="preserve"> de marzo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19706868" w14:textId="77777777" w:rsidR="00EA1DFF" w:rsidRPr="002C3EC8" w:rsidRDefault="00EA1DFF" w:rsidP="00EA1DFF">
      <w:pPr>
        <w:spacing w:before="240" w:line="360" w:lineRule="auto"/>
        <w:jc w:val="both"/>
        <w:rPr>
          <w:rFonts w:ascii="Palatino Linotype" w:hAnsi="Palatino Linotype" w:cs="Arial"/>
          <w:sz w:val="24"/>
          <w:szCs w:val="24"/>
        </w:rPr>
      </w:pPr>
    </w:p>
    <w:p w14:paraId="08620DBD" w14:textId="77777777" w:rsidR="00EA1DFF" w:rsidRPr="002C5D52" w:rsidRDefault="00EA1DFF" w:rsidP="00EA1DFF">
      <w:pPr>
        <w:spacing w:line="360" w:lineRule="auto"/>
        <w:ind w:right="49"/>
        <w:jc w:val="both"/>
        <w:rPr>
          <w:rFonts w:ascii="Palatino Linotype" w:eastAsia="Calibri" w:hAnsi="Palatino Linotype" w:cs="Arial"/>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34B5C8BA" w14:textId="77777777" w:rsidR="00BD72C7" w:rsidRPr="00BD72C7" w:rsidRDefault="00BD72C7" w:rsidP="00BD72C7">
      <w:pPr>
        <w:spacing w:line="360" w:lineRule="auto"/>
        <w:jc w:val="both"/>
        <w:rPr>
          <w:rFonts w:ascii="Palatino Linotype" w:hAnsi="Palatino Linotype"/>
          <w:sz w:val="24"/>
        </w:rPr>
      </w:pPr>
      <w:r w:rsidRPr="00BD72C7">
        <w:rPr>
          <w:rFonts w:ascii="Palatino Linotype" w:hAnsi="Palatino Linotype" w:cs="Arial"/>
          <w:sz w:val="24"/>
        </w:rPr>
        <w:t xml:space="preserve">De las constancias que obran en el expediente electrónico del SAIMEX, se advierte que el </w:t>
      </w:r>
      <w:r w:rsidRPr="00BD72C7">
        <w:rPr>
          <w:rFonts w:ascii="Palatino Linotype" w:hAnsi="Palatino Linotype" w:cs="Arial"/>
          <w:b/>
          <w:sz w:val="24"/>
        </w:rPr>
        <w:t>Sujeto Obligado</w:t>
      </w:r>
      <w:r w:rsidRPr="00BD72C7">
        <w:rPr>
          <w:rFonts w:ascii="Palatino Linotype" w:hAnsi="Palatino Linotype" w:cs="Arial"/>
          <w:sz w:val="24"/>
        </w:rPr>
        <w:t xml:space="preserve"> rindió su informe justificado en fecha dos de abril de dos mil veinticinco, por medio de los archivos electrónicos “</w:t>
      </w:r>
      <w:r w:rsidRPr="00BD72C7">
        <w:rPr>
          <w:rFonts w:ascii="Palatino Linotype" w:hAnsi="Palatino Linotype" w:cs="Arial"/>
          <w:b/>
          <w:i/>
          <w:sz w:val="24"/>
        </w:rPr>
        <w:t xml:space="preserve">RESPUESTA </w:t>
      </w:r>
      <w:proofErr w:type="spellStart"/>
      <w:r w:rsidRPr="00BD72C7">
        <w:rPr>
          <w:rFonts w:ascii="Palatino Linotype" w:hAnsi="Palatino Linotype" w:cs="Arial"/>
          <w:b/>
          <w:i/>
          <w:sz w:val="24"/>
        </w:rPr>
        <w:t>CATASTRO.pdff</w:t>
      </w:r>
      <w:proofErr w:type="spellEnd"/>
      <w:r w:rsidRPr="00BD72C7">
        <w:rPr>
          <w:rFonts w:ascii="Palatino Linotype" w:hAnsi="Palatino Linotype" w:cs="Arial"/>
          <w:b/>
          <w:i/>
          <w:sz w:val="24"/>
        </w:rPr>
        <w:t>”</w:t>
      </w:r>
      <w:r w:rsidRPr="00BD72C7">
        <w:rPr>
          <w:rFonts w:ascii="Palatino Linotype" w:hAnsi="Palatino Linotype" w:cs="Arial"/>
          <w:sz w:val="24"/>
        </w:rPr>
        <w:t xml:space="preserve">, mismos que fueron puestos a la vista del Recurrente en fecha </w:t>
      </w:r>
      <w:r>
        <w:rPr>
          <w:rFonts w:ascii="Palatino Linotype" w:hAnsi="Palatino Linotype" w:cs="Arial"/>
          <w:sz w:val="24"/>
        </w:rPr>
        <w:t>treinta</w:t>
      </w:r>
      <w:r w:rsidRPr="00BD72C7">
        <w:rPr>
          <w:rFonts w:ascii="Palatino Linotype" w:hAnsi="Palatino Linotype" w:cs="Arial"/>
          <w:sz w:val="24"/>
        </w:rPr>
        <w:t xml:space="preserve"> de mayo de dos mil veinticinco</w:t>
      </w:r>
      <w:r w:rsidRPr="00BD72C7">
        <w:rPr>
          <w:rFonts w:ascii="Palatino Linotype" w:hAnsi="Palatino Linotype" w:cs="Arial"/>
          <w:b/>
          <w:i/>
          <w:sz w:val="24"/>
        </w:rPr>
        <w:t>.</w:t>
      </w:r>
    </w:p>
    <w:p w14:paraId="3CE262D5" w14:textId="77777777" w:rsidR="00BD72C7" w:rsidRPr="00BD72C7" w:rsidRDefault="00BD72C7" w:rsidP="00BD72C7">
      <w:pPr>
        <w:spacing w:line="360" w:lineRule="auto"/>
        <w:jc w:val="both"/>
        <w:rPr>
          <w:rFonts w:ascii="Palatino Linotype" w:hAnsi="Palatino Linotype"/>
          <w:sz w:val="24"/>
        </w:rPr>
      </w:pPr>
    </w:p>
    <w:p w14:paraId="53F6685C" w14:textId="77777777" w:rsidR="00BD72C7" w:rsidRPr="00BD72C7" w:rsidRDefault="00BD72C7" w:rsidP="00BD72C7">
      <w:pPr>
        <w:spacing w:line="360" w:lineRule="auto"/>
        <w:jc w:val="both"/>
        <w:rPr>
          <w:rFonts w:ascii="Palatino Linotype" w:hAnsi="Palatino Linotype" w:cs="Arial"/>
          <w:sz w:val="24"/>
        </w:rPr>
      </w:pPr>
      <w:r w:rsidRPr="00BD72C7">
        <w:rPr>
          <w:rFonts w:ascii="Palatino Linotype" w:hAnsi="Palatino Linotype" w:cs="Arial"/>
          <w:sz w:val="24"/>
        </w:rPr>
        <w:t xml:space="preserve">Así mismo, se aprecia que no se llevaron a cabo audiencias durante la sustanciación del recurso de revisión, ni se ofrecieron pruebas por parte del </w:t>
      </w:r>
      <w:r w:rsidRPr="00BD72C7">
        <w:rPr>
          <w:rFonts w:ascii="Palatino Linotype" w:hAnsi="Palatino Linotype" w:cs="Arial"/>
          <w:b/>
          <w:sz w:val="24"/>
        </w:rPr>
        <w:t>Recurrente</w:t>
      </w:r>
      <w:r w:rsidRPr="00BD72C7">
        <w:rPr>
          <w:rFonts w:ascii="Palatino Linotype" w:hAnsi="Palatino Linotype" w:cs="Arial"/>
          <w:sz w:val="24"/>
        </w:rPr>
        <w:t>; todo lo anterior en términos de los artículos 185 fracciones II y IV, y 195 de la Ley de Transparencia y Acceso a la Información Pública del Estado de México y Municipios.</w:t>
      </w:r>
    </w:p>
    <w:p w14:paraId="2F0E693D" w14:textId="77777777" w:rsidR="00EA1DFF" w:rsidRDefault="00EA1DFF" w:rsidP="00EA1DFF">
      <w:pPr>
        <w:spacing w:line="360" w:lineRule="auto"/>
        <w:jc w:val="both"/>
        <w:rPr>
          <w:rFonts w:ascii="Palatino Linotype" w:eastAsia="Calibri" w:hAnsi="Palatino Linotype" w:cs="Arial"/>
          <w:b/>
          <w:sz w:val="28"/>
          <w:szCs w:val="28"/>
        </w:rPr>
      </w:pPr>
    </w:p>
    <w:p w14:paraId="56E81E81" w14:textId="77777777" w:rsidR="00BD72C7" w:rsidRPr="00821CCD" w:rsidRDefault="00BD72C7" w:rsidP="00BD72C7">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21E7106F" w14:textId="77777777" w:rsidR="00BD72C7" w:rsidRPr="00BD72C7" w:rsidRDefault="00BD72C7" w:rsidP="00BD72C7">
      <w:pPr>
        <w:spacing w:line="360" w:lineRule="auto"/>
        <w:jc w:val="both"/>
        <w:rPr>
          <w:rFonts w:ascii="Palatino Linotype" w:hAnsi="Palatino Linotype" w:cs="Arial"/>
          <w:sz w:val="24"/>
        </w:rPr>
      </w:pPr>
      <w:r w:rsidRPr="00BD72C7">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sz w:val="24"/>
        </w:rPr>
        <w:t>dieciséis</w:t>
      </w:r>
      <w:r w:rsidRPr="00BD72C7">
        <w:rPr>
          <w:rFonts w:ascii="Palatino Linotype" w:hAnsi="Palatino Linotype" w:cs="Arial"/>
          <w:b/>
          <w:sz w:val="24"/>
        </w:rPr>
        <w:t xml:space="preserve"> de mayo de dos mil veinticinco</w:t>
      </w:r>
      <w:r w:rsidRPr="00BD72C7">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86E366F" w14:textId="77777777" w:rsidR="00BD72C7" w:rsidRDefault="00BD72C7" w:rsidP="00BD72C7">
      <w:pPr>
        <w:spacing w:line="360" w:lineRule="auto"/>
        <w:jc w:val="both"/>
        <w:rPr>
          <w:rFonts w:ascii="Palatino Linotype" w:hAnsi="Palatino Linotype" w:cs="Arial"/>
          <w:b/>
          <w:sz w:val="28"/>
          <w:szCs w:val="28"/>
        </w:rPr>
      </w:pPr>
    </w:p>
    <w:p w14:paraId="772B1E6E" w14:textId="77777777" w:rsidR="00BD72C7" w:rsidRPr="002C3EC8" w:rsidRDefault="00BD72C7" w:rsidP="00BD72C7">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t xml:space="preserve">SÉPTIMO. </w:t>
      </w:r>
      <w:r w:rsidRPr="002C3EC8">
        <w:rPr>
          <w:rFonts w:ascii="Palatino Linotype" w:hAnsi="Palatino Linotype" w:cs="Arial"/>
          <w:b/>
          <w:sz w:val="28"/>
          <w:szCs w:val="28"/>
        </w:rPr>
        <w:t>Del Cierre de Instrucción.</w:t>
      </w:r>
    </w:p>
    <w:p w14:paraId="4C3B678F" w14:textId="77777777" w:rsidR="00BD72C7" w:rsidRPr="00BD72C7" w:rsidRDefault="00BD72C7" w:rsidP="00BD72C7">
      <w:pPr>
        <w:spacing w:line="360" w:lineRule="auto"/>
        <w:jc w:val="both"/>
        <w:rPr>
          <w:rFonts w:ascii="Palatino Linotype" w:hAnsi="Palatino Linotype" w:cs="Arial"/>
          <w:sz w:val="24"/>
        </w:rPr>
      </w:pPr>
      <w:r w:rsidRPr="00BD72C7">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rPr>
        <w:t>cinco</w:t>
      </w:r>
      <w:r w:rsidRPr="00BD72C7">
        <w:rPr>
          <w:rFonts w:ascii="Palatino Linotype" w:hAnsi="Palatino Linotype" w:cs="Arial"/>
          <w:b/>
          <w:sz w:val="24"/>
        </w:rPr>
        <w:t xml:space="preserve"> de junio de dos mil veinticinco</w:t>
      </w:r>
      <w:r w:rsidRPr="00BD72C7">
        <w:rPr>
          <w:rFonts w:ascii="Palatino Linotype" w:hAnsi="Palatino Linotype" w:cs="Arial"/>
          <w:sz w:val="24"/>
        </w:rPr>
        <w:t xml:space="preserve">, en términos del artículo 185 fracción VI de la Ley de Transparencia y Acceso a la </w:t>
      </w:r>
      <w:r w:rsidRPr="00BD72C7">
        <w:rPr>
          <w:rFonts w:ascii="Palatino Linotype" w:hAnsi="Palatino Linotype" w:cs="Arial"/>
          <w:sz w:val="24"/>
        </w:rPr>
        <w:lastRenderedPageBreak/>
        <w:t>Información Pública del Estado de México y Municipios, ordenándose turnar el expediente a la resolución que en derecho proceda.</w:t>
      </w:r>
    </w:p>
    <w:p w14:paraId="1E00ADB2" w14:textId="77777777" w:rsidR="00EA1DFF" w:rsidRDefault="00EA1DFF" w:rsidP="00EA1DFF">
      <w:pPr>
        <w:spacing w:before="240" w:line="360" w:lineRule="auto"/>
        <w:rPr>
          <w:rFonts w:ascii="Palatino Linotype" w:hAnsi="Palatino Linotype" w:cs="Arial"/>
          <w:b/>
          <w:sz w:val="28"/>
        </w:rPr>
      </w:pPr>
    </w:p>
    <w:p w14:paraId="1B1449DA" w14:textId="77777777" w:rsidR="00EA1DFF" w:rsidRPr="002C3EC8" w:rsidRDefault="00EA1DFF" w:rsidP="00EA1DFF">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7461EEE8" w14:textId="77777777" w:rsidR="00EA1DFF" w:rsidRPr="002C3EC8" w:rsidRDefault="00EA1DFF" w:rsidP="00EA1DF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6C173BC1" w14:textId="77777777" w:rsidR="00EA1DFF" w:rsidRPr="00CB2854" w:rsidRDefault="00EA1DFF" w:rsidP="00EA1DFF">
      <w:pPr>
        <w:tabs>
          <w:tab w:val="left" w:pos="3402"/>
        </w:tabs>
        <w:spacing w:line="360" w:lineRule="auto"/>
        <w:jc w:val="both"/>
        <w:rPr>
          <w:rFonts w:ascii="Palatino Linotype" w:hAnsi="Palatino Linotype"/>
          <w:sz w:val="24"/>
        </w:rPr>
      </w:pPr>
      <w:r w:rsidRPr="00CB2854">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25C5685" w14:textId="77777777" w:rsidR="00EA1DFF" w:rsidRPr="002C3EC8" w:rsidRDefault="00EA1DFF" w:rsidP="00EA1DFF">
      <w:pPr>
        <w:spacing w:before="240" w:line="360" w:lineRule="auto"/>
        <w:jc w:val="both"/>
        <w:rPr>
          <w:rFonts w:ascii="Palatino Linotype" w:eastAsia="Calibri" w:hAnsi="Palatino Linotype"/>
          <w:b/>
          <w:color w:val="000000" w:themeColor="text1"/>
        </w:rPr>
      </w:pPr>
    </w:p>
    <w:p w14:paraId="3B700C73" w14:textId="77777777" w:rsidR="00EA1DFF" w:rsidRPr="002C3EC8" w:rsidRDefault="00EA1DFF" w:rsidP="00EA1DF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49A7357" w14:textId="77777777" w:rsidR="00EA1DFF" w:rsidRPr="002C3EC8" w:rsidRDefault="00EA1DFF" w:rsidP="00EA1DF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2C3EC8">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447A919" w14:textId="77777777" w:rsidR="00EA1DFF" w:rsidRDefault="00EA1DFF" w:rsidP="00EA1DF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C2EEB6B" w14:textId="77777777" w:rsidR="00EA1DFF" w:rsidRPr="002C3EC8" w:rsidRDefault="00EA1DFF" w:rsidP="00EA1DF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7F0A1859" w14:textId="77777777" w:rsidR="00EA1DFF" w:rsidRPr="002C3EC8" w:rsidRDefault="00EA1DFF" w:rsidP="00EA1DF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54FC2D" w14:textId="77777777" w:rsidR="00EA1DFF" w:rsidRPr="002C3EC8" w:rsidRDefault="00EA1DFF" w:rsidP="00EA1DFF">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2C3EC8">
        <w:rPr>
          <w:rFonts w:ascii="Palatino Linotype" w:hAnsi="Palatino Linotype" w:cs="Arial"/>
        </w:rPr>
        <w:lastRenderedPageBreak/>
        <w:t>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45B2F46" w14:textId="77777777" w:rsidR="00EA1DFF" w:rsidRDefault="00EA1DFF" w:rsidP="00EA1DFF">
      <w:pPr>
        <w:tabs>
          <w:tab w:val="left" w:pos="709"/>
        </w:tabs>
        <w:spacing w:before="240" w:line="360" w:lineRule="auto"/>
        <w:ind w:right="51"/>
        <w:jc w:val="both"/>
        <w:rPr>
          <w:rFonts w:ascii="Palatino Linotype" w:hAnsi="Palatino Linotype"/>
          <w:b/>
          <w:sz w:val="28"/>
          <w:szCs w:val="28"/>
        </w:rPr>
      </w:pPr>
    </w:p>
    <w:p w14:paraId="693183F8" w14:textId="77777777" w:rsidR="00EA1DFF" w:rsidRPr="002C3EC8" w:rsidRDefault="00EA1DFF" w:rsidP="00EA1DFF">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BA09E88" w14:textId="77777777" w:rsidR="00EA1DFF" w:rsidRPr="007379EE" w:rsidRDefault="00EA1DFF" w:rsidP="00EA1DF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BEE8E4A" w14:textId="77777777" w:rsidR="00EA1DFF" w:rsidRDefault="00EA1DFF" w:rsidP="00EA1DFF">
      <w:pPr>
        <w:autoSpaceDE w:val="0"/>
        <w:autoSpaceDN w:val="0"/>
        <w:adjustRightInd w:val="0"/>
        <w:ind w:right="567"/>
        <w:rPr>
          <w:rFonts w:ascii="Palatino Linotype" w:eastAsia="Calibri" w:hAnsi="Palatino Linotype" w:cs="Arial"/>
        </w:rPr>
      </w:pPr>
    </w:p>
    <w:p w14:paraId="19D58048" w14:textId="77777777" w:rsidR="00EA1DFF" w:rsidRPr="00A171A5" w:rsidRDefault="00EA1DFF" w:rsidP="00EA1DFF">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171A5">
        <w:rPr>
          <w:rFonts w:ascii="Palatino Linotype" w:hAnsi="Palatino Linotype" w:cs="Tahoma"/>
          <w:b/>
          <w:bCs/>
          <w:sz w:val="24"/>
        </w:rPr>
        <w:t>Recurrente</w:t>
      </w:r>
      <w:r w:rsidRPr="00A171A5">
        <w:rPr>
          <w:rFonts w:ascii="Palatino Linotype" w:hAnsi="Palatino Linotype" w:cs="Tahoma"/>
          <w:bCs/>
          <w:sz w:val="24"/>
        </w:rPr>
        <w:t>, de manera objetiva se precisa que requiere la siguiente información:</w:t>
      </w:r>
    </w:p>
    <w:p w14:paraId="2EA70401" w14:textId="77777777" w:rsidR="00EA1DFF" w:rsidRPr="00A171A5" w:rsidRDefault="00DB6199" w:rsidP="00DB6199">
      <w:pPr>
        <w:pStyle w:val="Prrafodelista"/>
        <w:numPr>
          <w:ilvl w:val="0"/>
          <w:numId w:val="5"/>
        </w:numPr>
        <w:tabs>
          <w:tab w:val="left" w:pos="1828"/>
        </w:tabs>
        <w:spacing w:before="240" w:line="360" w:lineRule="auto"/>
        <w:jc w:val="both"/>
        <w:rPr>
          <w:rFonts w:ascii="Palatino Linotype" w:hAnsi="Palatino Linotype" w:cs="Tahoma"/>
          <w:bCs/>
        </w:rPr>
      </w:pPr>
      <w:r w:rsidRPr="00A171A5">
        <w:rPr>
          <w:rFonts w:ascii="Palatino Linotype" w:hAnsi="Palatino Linotype" w:cs="Tahoma"/>
          <w:bCs/>
        </w:rPr>
        <w:t>Padrón Catastral del Municipio de Amecameca 2024.</w:t>
      </w:r>
    </w:p>
    <w:p w14:paraId="58515688" w14:textId="77777777" w:rsidR="00EA1DFF" w:rsidRDefault="00EA1DFF" w:rsidP="00EA1DFF">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Pr>
          <w:rFonts w:ascii="Palatino Linotype" w:hAnsi="Palatino Linotype" w:cs="Arial"/>
          <w:b/>
          <w:sz w:val="24"/>
        </w:rPr>
        <w:t>00020/AMECAMEC/IP/2025</w:t>
      </w:r>
      <w:r w:rsidRPr="00806096">
        <w:rPr>
          <w:rFonts w:ascii="Palatino Linotype" w:hAnsi="Palatino Linotype" w:cs="Arial"/>
          <w:b/>
          <w:sz w:val="24"/>
        </w:rPr>
        <w:t xml:space="preserve">; </w:t>
      </w:r>
      <w:r>
        <w:rPr>
          <w:rFonts w:ascii="Palatino Linotype" w:hAnsi="Palatino Linotype" w:cs="Arial"/>
          <w:sz w:val="24"/>
        </w:rPr>
        <w:t>por medio de los</w:t>
      </w:r>
      <w:r>
        <w:rPr>
          <w:rFonts w:ascii="Palatino Linotype" w:eastAsia="Palatino Linotype" w:hAnsi="Palatino Linotype" w:cs="Palatino Linotype"/>
          <w:color w:val="000000"/>
          <w:sz w:val="24"/>
        </w:rPr>
        <w:t xml:space="preserve"> archivos electrónicos denominados:</w:t>
      </w:r>
    </w:p>
    <w:p w14:paraId="437173C7" w14:textId="77777777" w:rsidR="00CE1CCC" w:rsidRDefault="00CE1CCC" w:rsidP="00CE1CCC">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CE1CCC">
        <w:rPr>
          <w:rFonts w:ascii="Palatino Linotype" w:eastAsia="Palatino Linotype" w:hAnsi="Palatino Linotype" w:cs="Palatino Linotype"/>
          <w:b/>
          <w:i/>
          <w:color w:val="000000"/>
        </w:rPr>
        <w:t>020 sol.pdf</w:t>
      </w:r>
      <w:r w:rsidR="00F57D17">
        <w:rPr>
          <w:rFonts w:ascii="Palatino Linotype" w:eastAsia="Palatino Linotype" w:hAnsi="Palatino Linotype" w:cs="Palatino Linotype"/>
          <w:b/>
          <w:i/>
          <w:color w:val="000000"/>
        </w:rPr>
        <w:t xml:space="preserve"> </w:t>
      </w:r>
      <w:r w:rsidR="00F57D17">
        <w:rPr>
          <w:rFonts w:ascii="Palatino Linotype" w:eastAsia="Palatino Linotype" w:hAnsi="Palatino Linotype" w:cs="Palatino Linotype"/>
          <w:color w:val="000000"/>
        </w:rPr>
        <w:t xml:space="preserve">constante de una foja, en formato </w:t>
      </w:r>
      <w:proofErr w:type="spellStart"/>
      <w:r w:rsidR="00F57D17">
        <w:rPr>
          <w:rFonts w:ascii="Palatino Linotype" w:eastAsia="Palatino Linotype" w:hAnsi="Palatino Linotype" w:cs="Palatino Linotype"/>
          <w:color w:val="000000"/>
        </w:rPr>
        <w:t>pdf</w:t>
      </w:r>
      <w:proofErr w:type="spellEnd"/>
      <w:r w:rsidR="00F57D17">
        <w:rPr>
          <w:rFonts w:ascii="Palatino Linotype" w:eastAsia="Palatino Linotype" w:hAnsi="Palatino Linotype" w:cs="Palatino Linotype"/>
          <w:color w:val="000000"/>
        </w:rPr>
        <w:t xml:space="preserve">, contiene el oficio número AME/TM/DIR/CAT/307/INT/2025, de fecha veintitrés de marzo de dos mil veinticinco, firmado por la Tesorera Municipal, en el que refiere que la información requerida es clasificada. </w:t>
      </w:r>
    </w:p>
    <w:p w14:paraId="727360FF" w14:textId="77777777" w:rsidR="00CE1CCC" w:rsidRDefault="00CE1CCC" w:rsidP="00CE1CCC">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CE1CCC">
        <w:rPr>
          <w:rFonts w:ascii="Palatino Linotype" w:eastAsia="Palatino Linotype" w:hAnsi="Palatino Linotype" w:cs="Palatino Linotype"/>
          <w:b/>
          <w:i/>
          <w:color w:val="000000"/>
        </w:rPr>
        <w:t>CONFIDE20.pdf</w:t>
      </w:r>
      <w:r w:rsidR="00F57D17">
        <w:rPr>
          <w:rFonts w:ascii="Palatino Linotype" w:eastAsia="Palatino Linotype" w:hAnsi="Palatino Linotype" w:cs="Palatino Linotype"/>
          <w:b/>
          <w:i/>
          <w:color w:val="000000"/>
        </w:rPr>
        <w:t xml:space="preserve">: </w:t>
      </w:r>
      <w:r w:rsidR="00F57D17">
        <w:rPr>
          <w:rFonts w:ascii="Palatino Linotype" w:eastAsia="Palatino Linotype" w:hAnsi="Palatino Linotype" w:cs="Palatino Linotype"/>
          <w:color w:val="000000"/>
        </w:rPr>
        <w:t xml:space="preserve">constante de ocho fojas, en formato </w:t>
      </w:r>
      <w:proofErr w:type="spellStart"/>
      <w:r w:rsidR="00F57D17">
        <w:rPr>
          <w:rFonts w:ascii="Palatino Linotype" w:eastAsia="Palatino Linotype" w:hAnsi="Palatino Linotype" w:cs="Palatino Linotype"/>
          <w:color w:val="000000"/>
        </w:rPr>
        <w:t>pdf</w:t>
      </w:r>
      <w:proofErr w:type="spellEnd"/>
      <w:r w:rsidR="00F57D17">
        <w:rPr>
          <w:rFonts w:ascii="Palatino Linotype" w:eastAsia="Palatino Linotype" w:hAnsi="Palatino Linotype" w:cs="Palatino Linotype"/>
          <w:color w:val="000000"/>
        </w:rPr>
        <w:t xml:space="preserve">, suscrito por el Coordinador de Catastro, en el que refiere que la información </w:t>
      </w:r>
      <w:r w:rsidR="00B921C9">
        <w:rPr>
          <w:rFonts w:ascii="Palatino Linotype" w:eastAsia="Palatino Linotype" w:hAnsi="Palatino Linotype" w:cs="Palatino Linotype"/>
          <w:color w:val="000000"/>
        </w:rPr>
        <w:t>es confidencial.</w:t>
      </w:r>
    </w:p>
    <w:p w14:paraId="4F5D1052" w14:textId="77777777" w:rsidR="00CE1CCC" w:rsidRDefault="00CE1CCC" w:rsidP="00CE1CCC">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CE1CCC">
        <w:rPr>
          <w:rFonts w:ascii="Palatino Linotype" w:eastAsia="Palatino Linotype" w:hAnsi="Palatino Linotype" w:cs="Palatino Linotype"/>
          <w:b/>
          <w:i/>
          <w:color w:val="000000"/>
        </w:rPr>
        <w:t>1extra.pdf</w:t>
      </w:r>
      <w:r w:rsidR="00B921C9">
        <w:rPr>
          <w:rFonts w:ascii="Palatino Linotype" w:eastAsia="Palatino Linotype" w:hAnsi="Palatino Linotype" w:cs="Palatino Linotype"/>
          <w:b/>
          <w:i/>
          <w:color w:val="000000"/>
        </w:rPr>
        <w:t xml:space="preserve">: </w:t>
      </w:r>
      <w:r w:rsidR="00B921C9">
        <w:rPr>
          <w:rFonts w:ascii="Palatino Linotype" w:eastAsia="Palatino Linotype" w:hAnsi="Palatino Linotype" w:cs="Palatino Linotype"/>
          <w:color w:val="000000"/>
        </w:rPr>
        <w:t xml:space="preserve">constante de trece fojas, en formato </w:t>
      </w:r>
      <w:proofErr w:type="spellStart"/>
      <w:r w:rsidR="00B921C9">
        <w:rPr>
          <w:rFonts w:ascii="Palatino Linotype" w:eastAsia="Palatino Linotype" w:hAnsi="Palatino Linotype" w:cs="Palatino Linotype"/>
          <w:color w:val="000000"/>
        </w:rPr>
        <w:t>pdf</w:t>
      </w:r>
      <w:proofErr w:type="spellEnd"/>
      <w:r w:rsidR="00B921C9">
        <w:rPr>
          <w:rFonts w:ascii="Palatino Linotype" w:eastAsia="Palatino Linotype" w:hAnsi="Palatino Linotype" w:cs="Palatino Linotype"/>
          <w:color w:val="000000"/>
        </w:rPr>
        <w:t>, contiene el Acta del Comité de Transparencia</w:t>
      </w:r>
      <w:r w:rsidR="00EF5671">
        <w:rPr>
          <w:rFonts w:ascii="Palatino Linotype" w:eastAsia="Palatino Linotype" w:hAnsi="Palatino Linotype" w:cs="Palatino Linotype"/>
          <w:color w:val="000000"/>
        </w:rPr>
        <w:t xml:space="preserve"> de la Primera Sesión Extraordinaria</w:t>
      </w:r>
      <w:r w:rsidR="00B921C9">
        <w:rPr>
          <w:rFonts w:ascii="Palatino Linotype" w:eastAsia="Palatino Linotype" w:hAnsi="Palatino Linotype" w:cs="Palatino Linotype"/>
          <w:color w:val="000000"/>
        </w:rPr>
        <w:t xml:space="preserve">, de fecha veintiuno de marzo de dos mil veinticinco, </w:t>
      </w:r>
      <w:r w:rsidR="00EF5671">
        <w:rPr>
          <w:rFonts w:ascii="Palatino Linotype" w:eastAsia="Palatino Linotype" w:hAnsi="Palatino Linotype" w:cs="Palatino Linotype"/>
          <w:color w:val="000000"/>
        </w:rPr>
        <w:t>en la que se aprobó por unanimidad, la clasificación del Padrón Catastral como información confidencial.</w:t>
      </w:r>
    </w:p>
    <w:p w14:paraId="4047F307" w14:textId="77777777" w:rsidR="00EA1DFF" w:rsidRPr="00CE1CCC" w:rsidRDefault="001137C1" w:rsidP="00CE1CCC">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 </w:t>
      </w:r>
      <w:r w:rsidR="00CE1CCC" w:rsidRPr="00CE1CCC">
        <w:rPr>
          <w:rFonts w:ascii="Palatino Linotype" w:eastAsia="Palatino Linotype" w:hAnsi="Palatino Linotype" w:cs="Palatino Linotype"/>
          <w:b/>
          <w:i/>
          <w:color w:val="000000"/>
        </w:rPr>
        <w:t>hoja respuesta 2025.docx</w:t>
      </w:r>
      <w:r w:rsidR="00232DD0">
        <w:rPr>
          <w:rFonts w:ascii="Palatino Linotype" w:eastAsia="Palatino Linotype" w:hAnsi="Palatino Linotype" w:cs="Palatino Linotype"/>
          <w:b/>
          <w:i/>
          <w:color w:val="000000"/>
        </w:rPr>
        <w:t xml:space="preserve">: </w:t>
      </w:r>
      <w:r w:rsidR="00232DD0">
        <w:rPr>
          <w:rFonts w:ascii="Palatino Linotype" w:eastAsia="Palatino Linotype" w:hAnsi="Palatino Linotype" w:cs="Palatino Linotype"/>
          <w:color w:val="000000"/>
        </w:rPr>
        <w:t xml:space="preserve">constante de cuatro fojas, en formato Word, suscrito por la UTAIP, por medio del cual dan respuesta al solicitante. </w:t>
      </w:r>
    </w:p>
    <w:p w14:paraId="23433A32" w14:textId="77777777" w:rsidR="00232DD0" w:rsidRDefault="00232DD0" w:rsidP="00EA1DF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651C6428" w14:textId="77777777" w:rsidR="00EA1DFF" w:rsidRDefault="00EA1DFF" w:rsidP="00EA1DFF">
      <w:pPr>
        <w:pBdr>
          <w:top w:val="nil"/>
          <w:left w:val="nil"/>
          <w:bottom w:val="nil"/>
          <w:right w:val="nil"/>
          <w:between w:val="nil"/>
        </w:pBdr>
        <w:spacing w:line="360" w:lineRule="auto"/>
        <w:contextualSpacing/>
        <w:jc w:val="both"/>
        <w:rPr>
          <w:rFonts w:eastAsia="Palatino Linotype" w:cs="Palatino Linotype"/>
          <w:color w:val="000000"/>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w:t>
      </w:r>
      <w:r>
        <w:rPr>
          <w:rFonts w:ascii="Palatino Linotype" w:hAnsi="Palatino Linotype"/>
          <w:sz w:val="24"/>
        </w:rPr>
        <w:t xml:space="preserve">la parte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w:t>
      </w:r>
      <w:r w:rsidRPr="00142AE4">
        <w:rPr>
          <w:rFonts w:ascii="Palatino Linotype" w:eastAsia="Palatino Linotype" w:hAnsi="Palatino Linotype" w:cs="Palatino Linotype"/>
          <w:color w:val="000000"/>
          <w:sz w:val="24"/>
        </w:rPr>
        <w:lastRenderedPageBreak/>
        <w:t xml:space="preserve">recurso de revisión al rubro citado, señalando como </w:t>
      </w:r>
      <w:r>
        <w:rPr>
          <w:rFonts w:ascii="Palatino Linotype" w:eastAsia="Palatino Linotype" w:hAnsi="Palatino Linotype" w:cs="Palatino Linotype"/>
          <w:color w:val="000000"/>
          <w:sz w:val="24"/>
        </w:rPr>
        <w:t xml:space="preserve">razones o motivos de inconformidad </w:t>
      </w:r>
      <w:r w:rsidRPr="0047562A">
        <w:rPr>
          <w:rFonts w:ascii="Palatino Linotype" w:hAnsi="Palatino Linotype"/>
          <w:i/>
        </w:rPr>
        <w:t>“</w:t>
      </w:r>
      <w:r w:rsidR="00232DD0" w:rsidRPr="00232DD0">
        <w:rPr>
          <w:rFonts w:ascii="Palatino Linotype" w:hAnsi="Palatino Linotype"/>
          <w:i/>
        </w:rPr>
        <w:t>Se puede enviar el Padrón Catastral testando datos personales y sensibles que aparezcan en el formato.</w:t>
      </w:r>
      <w:r w:rsidRPr="0047562A">
        <w:rPr>
          <w:rFonts w:ascii="Palatino Linotype" w:hAnsi="Palatino Linotype"/>
          <w:i/>
        </w:rPr>
        <w:t>” (Sic)</w:t>
      </w:r>
      <w:r w:rsidRPr="0047562A">
        <w:rPr>
          <w:rFonts w:ascii="Palatino Linotype" w:hAnsi="Palatino Linotype" w:cs="Arial"/>
          <w:bCs/>
          <w:i/>
        </w:rPr>
        <w:t>.</w:t>
      </w:r>
      <w:r w:rsidRPr="00142AE4">
        <w:rPr>
          <w:rFonts w:cs="Arial"/>
          <w:bCs/>
        </w:rPr>
        <w:t xml:space="preserve"> </w:t>
      </w:r>
    </w:p>
    <w:p w14:paraId="0D3B4420" w14:textId="77777777" w:rsidR="00EA1DFF" w:rsidRDefault="00EA1DFF" w:rsidP="00EA1DFF">
      <w:pPr>
        <w:spacing w:line="360" w:lineRule="auto"/>
        <w:jc w:val="both"/>
        <w:rPr>
          <w:rFonts w:ascii="Palatino Linotype" w:hAnsi="Palatino Linotype"/>
          <w:sz w:val="24"/>
          <w:lang w:val="es-ES_tradnl"/>
        </w:rPr>
      </w:pPr>
    </w:p>
    <w:p w14:paraId="35B14130" w14:textId="77777777" w:rsidR="00232DD0" w:rsidRDefault="00232DD0" w:rsidP="00232DD0">
      <w:pPr>
        <w:autoSpaceDE w:val="0"/>
        <w:autoSpaceDN w:val="0"/>
        <w:adjustRightInd w:val="0"/>
        <w:spacing w:after="240" w:line="360" w:lineRule="auto"/>
        <w:jc w:val="both"/>
        <w:rPr>
          <w:rFonts w:ascii="Palatino Linotype" w:eastAsia="Calibri" w:hAnsi="Palatino Linotype" w:cs="Calibri"/>
          <w:sz w:val="24"/>
          <w:lang w:val="es-ES_tradnl" w:eastAsia="es-MX"/>
        </w:rPr>
      </w:pPr>
      <w:r w:rsidRPr="00232DD0">
        <w:rPr>
          <w:rFonts w:ascii="Palatino Linotype" w:eastAsia="Calibri" w:hAnsi="Palatino Linotype" w:cs="Calibri"/>
          <w:sz w:val="24"/>
          <w:lang w:val="es-ES_tradnl" w:eastAsia="es-MX"/>
        </w:rPr>
        <w:t xml:space="preserve">De las constancias que obran en el expediente electrónico del SAIMEX, se advierte que el Sujeto Obligado rindió su informe justificado por medio del archivo electrónico denominado </w:t>
      </w:r>
      <w:r w:rsidRPr="00232DD0">
        <w:rPr>
          <w:rFonts w:ascii="Palatino Linotype" w:eastAsia="Calibri" w:hAnsi="Palatino Linotype" w:cs="Calibri"/>
          <w:b/>
          <w:i/>
          <w:sz w:val="24"/>
          <w:lang w:val="es-ES_tradnl" w:eastAsia="es-MX"/>
        </w:rPr>
        <w:t>“RESPUESTA CATASTRO.pdf”</w:t>
      </w:r>
      <w:r w:rsidRPr="00232DD0">
        <w:rPr>
          <w:rFonts w:ascii="Palatino Linotype" w:eastAsia="Calibri" w:hAnsi="Palatino Linotype" w:cs="Calibri"/>
          <w:sz w:val="24"/>
          <w:lang w:val="es-ES_tradnl" w:eastAsia="es-MX"/>
        </w:rPr>
        <w:t>, en el que sustan</w:t>
      </w:r>
      <w:r w:rsidR="00090688">
        <w:rPr>
          <w:rFonts w:ascii="Palatino Linotype" w:eastAsia="Calibri" w:hAnsi="Palatino Linotype" w:cs="Calibri"/>
          <w:sz w:val="24"/>
          <w:lang w:val="es-ES_tradnl" w:eastAsia="es-MX"/>
        </w:rPr>
        <w:t>cialmente ratifica su respuesta y adicionalmente envía la siguiente estadística:</w:t>
      </w:r>
    </w:p>
    <w:p w14:paraId="6C1EA5CD" w14:textId="77777777" w:rsidR="00090688" w:rsidRPr="00232DD0" w:rsidRDefault="00090688" w:rsidP="0012662D">
      <w:pPr>
        <w:autoSpaceDE w:val="0"/>
        <w:autoSpaceDN w:val="0"/>
        <w:adjustRightInd w:val="0"/>
        <w:spacing w:after="0" w:line="360" w:lineRule="auto"/>
        <w:jc w:val="center"/>
        <w:rPr>
          <w:rFonts w:ascii="Palatino Linotype" w:eastAsia="Calibri" w:hAnsi="Palatino Linotype" w:cs="Calibri"/>
          <w:sz w:val="24"/>
          <w:lang w:val="es-ES_tradnl" w:eastAsia="es-MX"/>
        </w:rPr>
      </w:pPr>
      <w:r>
        <w:rPr>
          <w:rFonts w:ascii="Palatino Linotype" w:eastAsia="Calibri" w:hAnsi="Palatino Linotype" w:cs="Calibri"/>
          <w:noProof/>
          <w:sz w:val="24"/>
          <w:lang w:eastAsia="es-MX"/>
        </w:rPr>
        <w:drawing>
          <wp:inline distT="0" distB="0" distL="0" distR="0" wp14:anchorId="71860E84" wp14:editId="3EE7D6F6">
            <wp:extent cx="1704975" cy="23951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0335C.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663" cy="2435473"/>
                    </a:xfrm>
                    <a:prstGeom prst="rect">
                      <a:avLst/>
                    </a:prstGeom>
                  </pic:spPr>
                </pic:pic>
              </a:graphicData>
            </a:graphic>
          </wp:inline>
        </w:drawing>
      </w:r>
    </w:p>
    <w:p w14:paraId="6ECBA1BB" w14:textId="77777777" w:rsidR="0012662D" w:rsidRDefault="0012662D" w:rsidP="0012662D">
      <w:pPr>
        <w:spacing w:after="0" w:line="240" w:lineRule="auto"/>
        <w:jc w:val="both"/>
        <w:rPr>
          <w:rFonts w:ascii="Palatino Linotype" w:hAnsi="Palatino Linotype"/>
          <w:sz w:val="24"/>
          <w:lang w:val="es-ES_tradnl"/>
        </w:rPr>
      </w:pPr>
    </w:p>
    <w:p w14:paraId="1508714E" w14:textId="77777777" w:rsidR="0012662D" w:rsidRPr="00A171A5" w:rsidRDefault="0055159C" w:rsidP="00EA1DFF">
      <w:pPr>
        <w:spacing w:line="360" w:lineRule="auto"/>
        <w:jc w:val="both"/>
        <w:rPr>
          <w:rFonts w:ascii="Palatino Linotype" w:hAnsi="Palatino Linotype"/>
          <w:sz w:val="24"/>
          <w:lang w:val="es-ES_tradnl"/>
        </w:rPr>
      </w:pPr>
      <w:r w:rsidRPr="00A171A5">
        <w:rPr>
          <w:rFonts w:ascii="Palatino Linotype" w:hAnsi="Palatino Linotype"/>
          <w:sz w:val="24"/>
          <w:lang w:val="es-ES_tradnl"/>
        </w:rPr>
        <w:t>En ese orden de ideas, si bien el Sujeto Obligado refirió que el padrón catastral es información clasificada</w:t>
      </w:r>
      <w:r w:rsidR="0012662D" w:rsidRPr="00A171A5">
        <w:rPr>
          <w:rFonts w:ascii="Palatino Linotype" w:hAnsi="Palatino Linotype"/>
          <w:sz w:val="24"/>
          <w:lang w:val="es-ES_tradnl"/>
        </w:rPr>
        <w:t xml:space="preserve"> por contener información de particulares</w:t>
      </w:r>
      <w:r w:rsidRPr="00A171A5">
        <w:rPr>
          <w:rFonts w:ascii="Palatino Linotype" w:hAnsi="Palatino Linotype"/>
          <w:sz w:val="24"/>
          <w:lang w:val="es-ES_tradnl"/>
        </w:rPr>
        <w:t xml:space="preserve">, </w:t>
      </w:r>
      <w:r w:rsidR="0012662D" w:rsidRPr="00A171A5">
        <w:rPr>
          <w:rFonts w:ascii="Palatino Linotype" w:hAnsi="Palatino Linotype"/>
          <w:sz w:val="24"/>
          <w:lang w:val="es-ES_tradnl"/>
        </w:rPr>
        <w:t>lo cierto es que</w:t>
      </w:r>
      <w:r w:rsidRPr="00A171A5">
        <w:rPr>
          <w:rFonts w:ascii="Palatino Linotype" w:hAnsi="Palatino Linotype"/>
          <w:sz w:val="24"/>
          <w:lang w:val="es-ES_tradnl"/>
        </w:rPr>
        <w:t xml:space="preserve">, </w:t>
      </w:r>
      <w:r w:rsidRPr="00A171A5">
        <w:rPr>
          <w:rFonts w:ascii="Palatino Linotype" w:hAnsi="Palatino Linotype"/>
          <w:b/>
          <w:sz w:val="24"/>
          <w:u w:val="single"/>
          <w:lang w:val="es-ES_tradnl"/>
        </w:rPr>
        <w:t>dentro del padrón catastral existen bienes</w:t>
      </w:r>
      <w:r w:rsidR="0012662D" w:rsidRPr="00A171A5">
        <w:rPr>
          <w:rFonts w:ascii="Palatino Linotype" w:hAnsi="Palatino Linotype"/>
          <w:b/>
          <w:sz w:val="24"/>
          <w:u w:val="single"/>
          <w:lang w:val="es-ES_tradnl"/>
        </w:rPr>
        <w:t xml:space="preserve"> de dominio público, información que debe ser pública dada su naturaleza</w:t>
      </w:r>
      <w:r w:rsidR="0012662D" w:rsidRPr="00A171A5">
        <w:rPr>
          <w:rFonts w:ascii="Palatino Linotype" w:hAnsi="Palatino Linotype"/>
          <w:sz w:val="24"/>
          <w:lang w:val="es-ES_tradnl"/>
        </w:rPr>
        <w:t xml:space="preserve">, </w:t>
      </w:r>
      <w:r w:rsidR="00834E7F" w:rsidRPr="00A171A5">
        <w:rPr>
          <w:rFonts w:ascii="Palatino Linotype" w:hAnsi="Palatino Linotype"/>
          <w:sz w:val="24"/>
          <w:lang w:val="es-ES_tradnl"/>
        </w:rPr>
        <w:t xml:space="preserve">no así la de particulares, </w:t>
      </w:r>
      <w:r w:rsidR="0012662D" w:rsidRPr="00A171A5">
        <w:rPr>
          <w:rFonts w:ascii="Palatino Linotype" w:hAnsi="Palatino Linotype"/>
          <w:sz w:val="24"/>
          <w:lang w:val="es-ES_tradnl"/>
        </w:rPr>
        <w:t xml:space="preserve">conforme a las siguientes consideraciones. </w:t>
      </w:r>
    </w:p>
    <w:p w14:paraId="7FEF863D" w14:textId="77777777" w:rsidR="00834E7F" w:rsidRPr="00A171A5" w:rsidRDefault="00834E7F" w:rsidP="00EA1DFF">
      <w:pPr>
        <w:spacing w:line="360" w:lineRule="auto"/>
        <w:jc w:val="both"/>
        <w:rPr>
          <w:rFonts w:ascii="Palatino Linotype" w:hAnsi="Palatino Linotype"/>
          <w:sz w:val="24"/>
          <w:lang w:val="es-ES_tradnl"/>
        </w:rPr>
      </w:pPr>
    </w:p>
    <w:p w14:paraId="22FDC840" w14:textId="77777777" w:rsidR="0012662D" w:rsidRPr="00A171A5" w:rsidRDefault="0012662D" w:rsidP="00EA1DFF">
      <w:pPr>
        <w:spacing w:line="360" w:lineRule="auto"/>
        <w:jc w:val="both"/>
        <w:rPr>
          <w:rFonts w:ascii="Palatino Linotype" w:hAnsi="Palatino Linotype"/>
          <w:sz w:val="24"/>
          <w:lang w:val="es-ES_tradnl"/>
        </w:rPr>
      </w:pPr>
      <w:r w:rsidRPr="00A171A5">
        <w:rPr>
          <w:rFonts w:ascii="Palatino Linotype" w:hAnsi="Palatino Linotype"/>
          <w:sz w:val="24"/>
          <w:lang w:val="es-ES_tradnl"/>
        </w:rPr>
        <w:lastRenderedPageBreak/>
        <w:t>Para definir los bienes públicos de los privados, es necesario analizar la Ley de Bienes del Estado de México y de sus Municipios, en sus artículos:</w:t>
      </w:r>
    </w:p>
    <w:p w14:paraId="7CF7FCEA" w14:textId="77777777" w:rsidR="00926C88" w:rsidRPr="00A171A5" w:rsidRDefault="00926C88" w:rsidP="00926C88">
      <w:pPr>
        <w:pStyle w:val="INFOEM"/>
        <w:spacing w:before="0" w:after="0" w:line="240" w:lineRule="auto"/>
        <w:rPr>
          <w:b/>
          <w:lang w:val="es-ES_tradnl"/>
        </w:rPr>
      </w:pPr>
      <w:r w:rsidRPr="00A171A5">
        <w:rPr>
          <w:b/>
          <w:lang w:val="es-ES_tradnl"/>
        </w:rPr>
        <w:t xml:space="preserve">Artículo 5.- Corresponde al Ejecutivo del Estado por conducto de la Oficialía Mayor y a los ayuntamientos: </w:t>
      </w:r>
    </w:p>
    <w:p w14:paraId="50AE89A7" w14:textId="77777777" w:rsidR="00926C88" w:rsidRPr="00A171A5" w:rsidRDefault="00926C88" w:rsidP="00926C88">
      <w:pPr>
        <w:pStyle w:val="INFOEM"/>
        <w:spacing w:before="0" w:after="0" w:line="240" w:lineRule="auto"/>
        <w:rPr>
          <w:b/>
          <w:u w:val="single"/>
          <w:lang w:val="es-ES_tradnl"/>
        </w:rPr>
      </w:pPr>
      <w:r w:rsidRPr="00A171A5">
        <w:rPr>
          <w:b/>
          <w:u w:val="single"/>
          <w:lang w:val="es-ES_tradnl"/>
        </w:rPr>
        <w:t>I. La elaboración del padrón de bienes del dominio público y privado del Estado y de los ayuntamientos;</w:t>
      </w:r>
    </w:p>
    <w:p w14:paraId="52E3B431" w14:textId="77777777" w:rsidR="00926C88" w:rsidRPr="00A171A5" w:rsidRDefault="00926C88" w:rsidP="00926C88">
      <w:pPr>
        <w:pStyle w:val="INFOEM"/>
        <w:spacing w:before="0" w:after="0" w:line="240" w:lineRule="auto"/>
        <w:rPr>
          <w:b/>
          <w:lang w:val="es-ES_tradnl"/>
        </w:rPr>
      </w:pPr>
    </w:p>
    <w:p w14:paraId="0484A48E" w14:textId="77777777" w:rsidR="0012662D" w:rsidRPr="00A171A5" w:rsidRDefault="0012662D" w:rsidP="00926C88">
      <w:pPr>
        <w:pStyle w:val="INFOEM"/>
        <w:spacing w:before="0" w:after="0" w:line="240" w:lineRule="auto"/>
        <w:rPr>
          <w:b/>
          <w:lang w:val="es-ES_tradnl"/>
        </w:rPr>
      </w:pPr>
      <w:r w:rsidRPr="00A171A5">
        <w:rPr>
          <w:b/>
          <w:lang w:val="es-ES_tradnl"/>
        </w:rPr>
        <w:t xml:space="preserve"> Artículo 14.- Los bienes del dominio público, se clasifican en: </w:t>
      </w:r>
    </w:p>
    <w:p w14:paraId="6FA98C83" w14:textId="77777777" w:rsidR="0012662D" w:rsidRPr="00A171A5" w:rsidRDefault="0012662D" w:rsidP="00926C88">
      <w:pPr>
        <w:pStyle w:val="INFOEM"/>
        <w:numPr>
          <w:ilvl w:val="0"/>
          <w:numId w:val="10"/>
        </w:numPr>
        <w:spacing w:before="0" w:after="0" w:line="240" w:lineRule="auto"/>
        <w:rPr>
          <w:b/>
          <w:lang w:val="es-ES_tradnl"/>
        </w:rPr>
      </w:pPr>
      <w:r w:rsidRPr="00A171A5">
        <w:rPr>
          <w:b/>
          <w:lang w:val="es-ES_tradnl"/>
        </w:rPr>
        <w:t xml:space="preserve">Bienes de uso común; y </w:t>
      </w:r>
    </w:p>
    <w:p w14:paraId="56806EE1" w14:textId="77777777" w:rsidR="0012662D" w:rsidRPr="00A171A5" w:rsidRDefault="0012662D" w:rsidP="00926C88">
      <w:pPr>
        <w:pStyle w:val="INFOEM"/>
        <w:numPr>
          <w:ilvl w:val="0"/>
          <w:numId w:val="10"/>
        </w:numPr>
        <w:spacing w:before="0" w:after="0" w:line="240" w:lineRule="auto"/>
        <w:rPr>
          <w:b/>
          <w:lang w:val="es-ES_tradnl"/>
        </w:rPr>
      </w:pPr>
      <w:r w:rsidRPr="00A171A5">
        <w:rPr>
          <w:b/>
          <w:lang w:val="es-ES_tradnl"/>
        </w:rPr>
        <w:t>Bienes destinados a un servicio público.</w:t>
      </w:r>
    </w:p>
    <w:p w14:paraId="182AA028" w14:textId="77777777" w:rsidR="00926C88" w:rsidRPr="00A171A5" w:rsidRDefault="00926C88" w:rsidP="00926C88">
      <w:pPr>
        <w:pStyle w:val="INFOEM"/>
        <w:spacing w:before="0" w:after="0" w:line="240" w:lineRule="auto"/>
        <w:ind w:left="1571"/>
        <w:rPr>
          <w:b/>
          <w:lang w:val="es-ES_tradnl"/>
        </w:rPr>
      </w:pPr>
    </w:p>
    <w:p w14:paraId="364EE005" w14:textId="77777777" w:rsidR="0012662D" w:rsidRPr="00A171A5" w:rsidRDefault="0012662D" w:rsidP="00926C88">
      <w:pPr>
        <w:pStyle w:val="INFOEM"/>
        <w:spacing w:before="0" w:after="0" w:line="240" w:lineRule="auto"/>
        <w:rPr>
          <w:u w:val="single"/>
          <w:lang w:val="es-ES_tradnl"/>
        </w:rPr>
      </w:pPr>
      <w:r w:rsidRPr="00A171A5">
        <w:rPr>
          <w:u w:val="single"/>
          <w:lang w:val="es-ES_tradnl"/>
        </w:rPr>
        <w:t xml:space="preserve">Artículo 16.- Son bienes de uso común: </w:t>
      </w:r>
    </w:p>
    <w:p w14:paraId="0AF4F038" w14:textId="77777777" w:rsidR="0012662D" w:rsidRPr="00A171A5" w:rsidRDefault="0012662D" w:rsidP="00926C88">
      <w:pPr>
        <w:pStyle w:val="INFOEM"/>
        <w:numPr>
          <w:ilvl w:val="0"/>
          <w:numId w:val="11"/>
        </w:numPr>
        <w:spacing w:before="0" w:after="0" w:line="240" w:lineRule="auto"/>
        <w:rPr>
          <w:lang w:val="es-ES_tradnl"/>
        </w:rPr>
      </w:pPr>
      <w:r w:rsidRPr="00A171A5">
        <w:rPr>
          <w:lang w:val="es-ES_tradnl"/>
        </w:rPr>
        <w:t xml:space="preserve">Las vías terrestres de comunicación del domino estatal o municipal; </w:t>
      </w:r>
    </w:p>
    <w:p w14:paraId="71B043FF" w14:textId="77777777" w:rsidR="0012662D" w:rsidRPr="00A171A5" w:rsidRDefault="0012662D" w:rsidP="00926C88">
      <w:pPr>
        <w:pStyle w:val="INFOEM"/>
        <w:numPr>
          <w:ilvl w:val="0"/>
          <w:numId w:val="11"/>
        </w:numPr>
        <w:spacing w:before="0" w:after="0" w:line="240" w:lineRule="auto"/>
        <w:rPr>
          <w:lang w:val="es-ES_tradnl"/>
        </w:rPr>
      </w:pPr>
      <w:r w:rsidRPr="00A171A5">
        <w:rPr>
          <w:lang w:val="es-ES_tradnl"/>
        </w:rPr>
        <w:t xml:space="preserve">Los montes, bosques y aguas que no sean de la federación o de los particulares; </w:t>
      </w:r>
    </w:p>
    <w:p w14:paraId="122D7B8F" w14:textId="77777777" w:rsidR="0012662D" w:rsidRPr="00A171A5" w:rsidRDefault="0012662D" w:rsidP="00926C88">
      <w:pPr>
        <w:pStyle w:val="INFOEM"/>
        <w:numPr>
          <w:ilvl w:val="0"/>
          <w:numId w:val="11"/>
        </w:numPr>
        <w:spacing w:before="0" w:after="0" w:line="240" w:lineRule="auto"/>
        <w:rPr>
          <w:lang w:val="es-ES_tradnl"/>
        </w:rPr>
      </w:pPr>
      <w:r w:rsidRPr="00A171A5">
        <w:rPr>
          <w:lang w:val="es-ES_tradnl"/>
        </w:rPr>
        <w:t xml:space="preserve">Las plazas, calles, avenidas, viaductos, bajo puentes, paseos, jardines y parques públicos; </w:t>
      </w:r>
    </w:p>
    <w:p w14:paraId="75E9E268" w14:textId="77777777" w:rsidR="0012662D" w:rsidRPr="00A171A5" w:rsidRDefault="0012662D" w:rsidP="00926C88">
      <w:pPr>
        <w:pStyle w:val="INFOEM"/>
        <w:numPr>
          <w:ilvl w:val="0"/>
          <w:numId w:val="11"/>
        </w:numPr>
        <w:spacing w:before="0" w:after="0" w:line="240" w:lineRule="auto"/>
        <w:rPr>
          <w:lang w:val="es-ES_tradnl"/>
        </w:rPr>
      </w:pPr>
      <w:r w:rsidRPr="00A171A5">
        <w:rPr>
          <w:lang w:val="es-ES_tradnl"/>
        </w:rPr>
        <w:t xml:space="preserve">Los monumentos históricos de propiedad estatal o municipal; </w:t>
      </w:r>
    </w:p>
    <w:p w14:paraId="289F983C" w14:textId="77777777" w:rsidR="0012662D" w:rsidRPr="00A171A5" w:rsidRDefault="0012662D" w:rsidP="00926C88">
      <w:pPr>
        <w:pStyle w:val="INFOEM"/>
        <w:numPr>
          <w:ilvl w:val="0"/>
          <w:numId w:val="11"/>
        </w:numPr>
        <w:spacing w:before="0" w:after="0" w:line="240" w:lineRule="auto"/>
        <w:rPr>
          <w:lang w:val="es-ES_tradnl"/>
        </w:rPr>
      </w:pPr>
      <w:r w:rsidRPr="00A171A5">
        <w:rPr>
          <w:lang w:val="es-ES_tradnl"/>
        </w:rPr>
        <w:t xml:space="preserve">Las servidumbres cuando el predio dominante sea propiedad del Estado, de los municipios o de los organismos auxiliares estatales o municipales; y </w:t>
      </w:r>
    </w:p>
    <w:p w14:paraId="0D9FF15E" w14:textId="77777777" w:rsidR="0012662D" w:rsidRPr="00A171A5" w:rsidRDefault="0012662D" w:rsidP="00926C88">
      <w:pPr>
        <w:pStyle w:val="INFOEM"/>
        <w:numPr>
          <w:ilvl w:val="0"/>
          <w:numId w:val="11"/>
        </w:numPr>
        <w:spacing w:before="0" w:after="0" w:line="240" w:lineRule="auto"/>
        <w:rPr>
          <w:lang w:val="es-ES_tradnl"/>
        </w:rPr>
      </w:pPr>
      <w:r w:rsidRPr="00A171A5">
        <w:rPr>
          <w:lang w:val="es-ES_tradnl"/>
        </w:rPr>
        <w:t>Los demás a los que las leyes les asignen este carácter.</w:t>
      </w:r>
    </w:p>
    <w:p w14:paraId="4BFB6622" w14:textId="77777777" w:rsidR="0012662D" w:rsidRPr="00A171A5" w:rsidRDefault="0012662D" w:rsidP="00926C88">
      <w:pPr>
        <w:pStyle w:val="INFOEM"/>
        <w:spacing w:before="0" w:after="0" w:line="240" w:lineRule="auto"/>
        <w:rPr>
          <w:u w:val="single"/>
          <w:lang w:val="es-ES_tradnl"/>
        </w:rPr>
      </w:pPr>
      <w:r w:rsidRPr="00A171A5">
        <w:rPr>
          <w:u w:val="single"/>
          <w:lang w:val="es-ES_tradnl"/>
        </w:rPr>
        <w:t xml:space="preserve">Artículo 18.- Son bienes destinados a un servicio público: </w:t>
      </w:r>
    </w:p>
    <w:p w14:paraId="068A0F08" w14:textId="77777777" w:rsidR="0012662D" w:rsidRPr="00A171A5" w:rsidRDefault="0012662D" w:rsidP="00926C88">
      <w:pPr>
        <w:pStyle w:val="INFOEM"/>
        <w:numPr>
          <w:ilvl w:val="0"/>
          <w:numId w:val="12"/>
        </w:numPr>
        <w:spacing w:before="0" w:after="0" w:line="240" w:lineRule="auto"/>
        <w:rPr>
          <w:lang w:val="es-ES_tradnl"/>
        </w:rPr>
      </w:pPr>
      <w:r w:rsidRPr="00A171A5">
        <w:rPr>
          <w:lang w:val="es-ES_tradnl"/>
        </w:rPr>
        <w:t xml:space="preserve">Los inmuebles destinados al servicio de los poderes públicos del Estado de México y de los ayuntamientos; </w:t>
      </w:r>
    </w:p>
    <w:p w14:paraId="796F4FDD" w14:textId="77777777" w:rsidR="0012662D" w:rsidRPr="00A171A5" w:rsidRDefault="0012662D" w:rsidP="00926C88">
      <w:pPr>
        <w:pStyle w:val="INFOEM"/>
        <w:numPr>
          <w:ilvl w:val="0"/>
          <w:numId w:val="12"/>
        </w:numPr>
        <w:spacing w:before="0" w:after="0" w:line="240" w:lineRule="auto"/>
        <w:rPr>
          <w:u w:val="single"/>
          <w:lang w:val="es-ES_tradnl"/>
        </w:rPr>
      </w:pPr>
      <w:r w:rsidRPr="00A171A5">
        <w:rPr>
          <w:u w:val="single"/>
          <w:lang w:val="es-ES_tradnl"/>
        </w:rPr>
        <w:t xml:space="preserve">Los inmuebles de propiedad estatal destinados al servicio público de los gobiernos federal o municipales; </w:t>
      </w:r>
    </w:p>
    <w:p w14:paraId="3E57C6B3" w14:textId="77777777" w:rsidR="0012662D" w:rsidRPr="00A171A5" w:rsidRDefault="0012662D" w:rsidP="00926C88">
      <w:pPr>
        <w:pStyle w:val="INFOEM"/>
        <w:numPr>
          <w:ilvl w:val="0"/>
          <w:numId w:val="12"/>
        </w:numPr>
        <w:spacing w:before="0" w:after="0" w:line="240" w:lineRule="auto"/>
        <w:rPr>
          <w:u w:val="single"/>
          <w:lang w:val="es-ES_tradnl"/>
        </w:rPr>
      </w:pPr>
      <w:r w:rsidRPr="00A171A5">
        <w:rPr>
          <w:u w:val="single"/>
          <w:lang w:val="es-ES_tradnl"/>
        </w:rPr>
        <w:t xml:space="preserve">Los inmuebles propiedad municipal destinados al servicio de los gobiernos federal y estatal; </w:t>
      </w:r>
    </w:p>
    <w:p w14:paraId="486E8CC8" w14:textId="77777777" w:rsidR="0012662D" w:rsidRPr="00A171A5" w:rsidRDefault="0012662D" w:rsidP="00926C88">
      <w:pPr>
        <w:pStyle w:val="INFOEM"/>
        <w:numPr>
          <w:ilvl w:val="0"/>
          <w:numId w:val="12"/>
        </w:numPr>
        <w:spacing w:before="0" w:after="0" w:line="240" w:lineRule="auto"/>
        <w:rPr>
          <w:lang w:val="es-ES_tradnl"/>
        </w:rPr>
      </w:pPr>
      <w:r w:rsidRPr="00A171A5">
        <w:rPr>
          <w:u w:val="single"/>
          <w:lang w:val="es-ES_tradnl"/>
        </w:rPr>
        <w:t>Los inmuebles que forman parte del patrimonio de los organismos auxiliares estatales o municipales, que se utilicen en las actividades que tengan encomendadas conforme a sus respectivos objetos</w:t>
      </w:r>
      <w:r w:rsidRPr="00A171A5">
        <w:rPr>
          <w:lang w:val="es-ES_tradnl"/>
        </w:rPr>
        <w:t xml:space="preserve">. No quedan comprendidos entre los bienes a que se refiere esta fracción los inmuebles que los organismos auxiliares utilicen para propósitos distintos a los de su objeto; </w:t>
      </w:r>
    </w:p>
    <w:p w14:paraId="541BA0A2" w14:textId="77777777" w:rsidR="0012662D" w:rsidRPr="00A171A5" w:rsidRDefault="0012662D" w:rsidP="00926C88">
      <w:pPr>
        <w:pStyle w:val="INFOEM"/>
        <w:numPr>
          <w:ilvl w:val="0"/>
          <w:numId w:val="12"/>
        </w:numPr>
        <w:spacing w:before="0" w:after="0" w:line="240" w:lineRule="auto"/>
        <w:rPr>
          <w:b/>
          <w:u w:val="single"/>
          <w:lang w:val="es-ES_tradnl"/>
        </w:rPr>
      </w:pPr>
      <w:r w:rsidRPr="00A171A5">
        <w:rPr>
          <w:b/>
          <w:u w:val="single"/>
          <w:lang w:val="es-ES_tradnl"/>
        </w:rPr>
        <w:t xml:space="preserve">Los inmuebles utilizados para la prestación de servicios públicos estatales o municipales, tales como: mercados, rastros, hospitales, panteones públicos, zoológicos, jardines botánicos, museos, bibliotecas, parques y los demás similares o análogos a ellos; </w:t>
      </w:r>
    </w:p>
    <w:p w14:paraId="42EE47BC" w14:textId="77777777" w:rsidR="0012662D" w:rsidRPr="00A171A5" w:rsidRDefault="0012662D" w:rsidP="00926C88">
      <w:pPr>
        <w:pStyle w:val="INFOEM"/>
        <w:numPr>
          <w:ilvl w:val="0"/>
          <w:numId w:val="12"/>
        </w:numPr>
        <w:spacing w:before="0" w:after="0" w:line="240" w:lineRule="auto"/>
        <w:rPr>
          <w:u w:val="single"/>
          <w:lang w:val="es-ES_tradnl"/>
        </w:rPr>
      </w:pPr>
      <w:r w:rsidRPr="00A171A5">
        <w:rPr>
          <w:u w:val="single"/>
          <w:lang w:val="es-ES_tradnl"/>
        </w:rPr>
        <w:lastRenderedPageBreak/>
        <w:t xml:space="preserve">Los bienes muebles de propiedad estatal o municipal que tengan uso o utilidad en la prestación de un servicio público; y </w:t>
      </w:r>
    </w:p>
    <w:p w14:paraId="4A42CBD1" w14:textId="77777777" w:rsidR="00926C88" w:rsidRPr="00A171A5" w:rsidRDefault="0012662D" w:rsidP="00926C88">
      <w:pPr>
        <w:pStyle w:val="INFOEM"/>
        <w:numPr>
          <w:ilvl w:val="0"/>
          <w:numId w:val="12"/>
        </w:numPr>
        <w:spacing w:before="0" w:after="0" w:line="240" w:lineRule="auto"/>
        <w:rPr>
          <w:lang w:val="es-ES_tradnl"/>
        </w:rPr>
      </w:pPr>
      <w:r w:rsidRPr="00A171A5">
        <w:rPr>
          <w:lang w:val="es-ES_tradnl"/>
        </w:rPr>
        <w:t xml:space="preserve"> Los demás a los que las leyes les asignen este carácter. </w:t>
      </w:r>
    </w:p>
    <w:p w14:paraId="7F91E691" w14:textId="77777777" w:rsidR="00926C88" w:rsidRPr="00A171A5" w:rsidRDefault="00926C88" w:rsidP="00926C88">
      <w:pPr>
        <w:pStyle w:val="INFOEM"/>
        <w:spacing w:before="0" w:after="0" w:line="240" w:lineRule="auto"/>
        <w:rPr>
          <w:lang w:val="es-ES_tradnl"/>
        </w:rPr>
      </w:pPr>
    </w:p>
    <w:p w14:paraId="1B473A1F" w14:textId="77777777" w:rsidR="00926C88" w:rsidRPr="00A171A5" w:rsidRDefault="0012662D" w:rsidP="00926C88">
      <w:pPr>
        <w:pStyle w:val="INFOEM"/>
        <w:spacing w:before="0" w:after="0" w:line="240" w:lineRule="auto"/>
        <w:rPr>
          <w:lang w:val="es-ES_tradnl"/>
        </w:rPr>
      </w:pPr>
      <w:r w:rsidRPr="00A171A5">
        <w:rPr>
          <w:lang w:val="es-ES_tradnl"/>
        </w:rPr>
        <w:t xml:space="preserve">Se equiparán a los bienes destinados a un servicio público, los inmuebles asignados por la Oficialía Mayor o los ayuntamientos, en su caso, a los organismos auxiliares y fideicomisos públicos, estatales o municipales. </w:t>
      </w:r>
    </w:p>
    <w:p w14:paraId="168D6B0A" w14:textId="77777777" w:rsidR="00926C88" w:rsidRPr="00A171A5" w:rsidRDefault="00926C88" w:rsidP="00926C88">
      <w:pPr>
        <w:pStyle w:val="INFOEM"/>
        <w:spacing w:before="0" w:after="0" w:line="240" w:lineRule="auto"/>
        <w:rPr>
          <w:lang w:val="es-ES_tradnl"/>
        </w:rPr>
      </w:pPr>
    </w:p>
    <w:p w14:paraId="4A5025D0" w14:textId="77777777" w:rsidR="0012662D" w:rsidRPr="00A171A5" w:rsidRDefault="0012662D" w:rsidP="00926C88">
      <w:pPr>
        <w:pStyle w:val="INFOEM"/>
        <w:spacing w:before="0" w:after="0" w:line="240" w:lineRule="auto"/>
        <w:rPr>
          <w:b/>
          <w:u w:val="single"/>
          <w:lang w:val="es-ES_tradnl"/>
        </w:rPr>
      </w:pPr>
      <w:r w:rsidRPr="00A171A5">
        <w:rPr>
          <w:b/>
          <w:u w:val="single"/>
          <w:lang w:val="es-ES_tradnl"/>
        </w:rPr>
        <w:t>Artículo 19.- Son bienes del dominio privado, aquéllos que no son de uso común ni están destinados a un servicio público y que por su naturaleza están sujetos al derecho privado.</w:t>
      </w:r>
    </w:p>
    <w:p w14:paraId="7FC78BD4" w14:textId="77777777" w:rsidR="00926C88" w:rsidRPr="00A171A5" w:rsidRDefault="00926C88" w:rsidP="00926C88">
      <w:pPr>
        <w:pStyle w:val="INFOEM"/>
        <w:spacing w:before="0" w:after="0" w:line="240" w:lineRule="auto"/>
        <w:rPr>
          <w:b/>
          <w:u w:val="single"/>
          <w:lang w:val="es-ES_tradnl"/>
        </w:rPr>
      </w:pPr>
    </w:p>
    <w:p w14:paraId="254C3A1B" w14:textId="77777777" w:rsidR="00926C88" w:rsidRPr="00A171A5" w:rsidRDefault="00926C88" w:rsidP="00926C88">
      <w:pPr>
        <w:pStyle w:val="INFOEM"/>
        <w:spacing w:before="0" w:after="0" w:line="240" w:lineRule="auto"/>
        <w:rPr>
          <w:b/>
          <w:u w:val="single"/>
          <w:lang w:val="es-ES_tradnl"/>
        </w:rPr>
      </w:pPr>
    </w:p>
    <w:p w14:paraId="785DDB79" w14:textId="77777777" w:rsidR="00926C88" w:rsidRPr="00A171A5" w:rsidRDefault="00926C88" w:rsidP="00926C88">
      <w:pPr>
        <w:pStyle w:val="INFOEM"/>
        <w:spacing w:before="0" w:after="0" w:line="240" w:lineRule="auto"/>
        <w:rPr>
          <w:b/>
          <w:u w:val="single"/>
          <w:lang w:val="es-ES_tradnl"/>
        </w:rPr>
      </w:pPr>
    </w:p>
    <w:p w14:paraId="43B99D9A" w14:textId="77777777" w:rsidR="00B6794B" w:rsidRPr="00A171A5" w:rsidRDefault="00B6794B" w:rsidP="00B6794B">
      <w:pPr>
        <w:spacing w:after="0" w:line="360" w:lineRule="auto"/>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Ahora bien, el diccionario de Datos catastrales Escala 1:1000 del Instituto Nacional de Estadística y Geografía (INEGI), contempla en su glosario la definición de catastro, la cual, es la siguiente:</w:t>
      </w:r>
    </w:p>
    <w:p w14:paraId="42E00578" w14:textId="77777777" w:rsidR="00746296" w:rsidRPr="00A171A5" w:rsidRDefault="00B6794B" w:rsidP="00421128">
      <w:pPr>
        <w:pStyle w:val="INFOEM"/>
        <w:rPr>
          <w:b/>
        </w:rPr>
      </w:pPr>
      <w:r w:rsidRPr="00A171A5">
        <w:rPr>
          <w:b/>
        </w:rPr>
        <w:t>“</w:t>
      </w:r>
      <w:r w:rsidR="00746296" w:rsidRPr="00A171A5">
        <w:rPr>
          <w:b/>
        </w:rPr>
        <w:t xml:space="preserve">Padrón catastral: es el conjunto de datos integrados por un registro alfanumérico y un registro gráfico que contiene los catálogos  operativos, tales como zonas, manzanas, calles, áreas homogéneas, bandas de valor, además de la descripción técnica y administrativa de los predios, propiedades y construcciones de los inmuebles localizados en territorio Estatal. </w:t>
      </w:r>
    </w:p>
    <w:p w14:paraId="273EB558" w14:textId="77777777" w:rsidR="00421128" w:rsidRPr="00A171A5" w:rsidRDefault="00421128" w:rsidP="00421128">
      <w:pPr>
        <w:pStyle w:val="INFOEM"/>
      </w:pPr>
      <w:r w:rsidRPr="00A171A5">
        <w:rPr>
          <w:b/>
        </w:rPr>
        <w:t>Clave catastral:</w:t>
      </w:r>
      <w:r w:rsidRPr="00A171A5">
        <w:t xml:space="preserve"> El código que identifica al predio de forma única para su localización geográfica, mismo que es asignado a cada uno de ellos en el momento de su inscripción en el padrón catastral por las Unidades del estado con atribuciones catastrales”</w:t>
      </w:r>
    </w:p>
    <w:p w14:paraId="2BBFC843" w14:textId="77777777" w:rsidR="00421128" w:rsidRPr="00A171A5" w:rsidRDefault="00421128" w:rsidP="00421128">
      <w:pPr>
        <w:pStyle w:val="INFOEM"/>
      </w:pPr>
      <w:r w:rsidRPr="00A171A5">
        <w:t>“</w:t>
      </w:r>
      <w:r w:rsidRPr="00A171A5">
        <w:rPr>
          <w:b/>
        </w:rPr>
        <w:t>CLAVE CATASTRAL ESTÁNDAR</w:t>
      </w:r>
      <w:r w:rsidRPr="00A171A5">
        <w:t xml:space="preserve">: Código de 31 caracteres conformado por elementos administrativos y que identifica al objeto espacial en forma única para su </w:t>
      </w:r>
      <w:r w:rsidRPr="00A171A5">
        <w:lastRenderedPageBreak/>
        <w:t xml:space="preserve">localización, compuesto por: Estado (2) + Región Catastral (3) + Municipio (3) + Zona Catastral (2) + Localidad (4) + Sector Catastral (3) + </w:t>
      </w:r>
      <w:proofErr w:type="gramStart"/>
      <w:r w:rsidRPr="00A171A5">
        <w:t>Manzana(</w:t>
      </w:r>
      <w:proofErr w:type="gramEnd"/>
      <w:r w:rsidRPr="00A171A5">
        <w:t xml:space="preserve">3) + Predio (5) + Condominio: edificio (2) y unidad (4). </w:t>
      </w:r>
    </w:p>
    <w:p w14:paraId="77727D44" w14:textId="77777777" w:rsidR="00421128" w:rsidRPr="00A171A5" w:rsidRDefault="00421128" w:rsidP="00421128">
      <w:pPr>
        <w:pStyle w:val="INFOEM"/>
      </w:pPr>
      <w:r w:rsidRPr="00A171A5">
        <w:rPr>
          <w:b/>
        </w:rPr>
        <w:t>CLAVE CATASTRAL ORIGINAL:</w:t>
      </w:r>
      <w:r w:rsidRPr="00A171A5">
        <w:t xml:space="preserve"> Código que identifica al objeto espacial el cual es asignado, por el Catastro Estatal, Municipal o por el registro Agrario Nacional”</w:t>
      </w:r>
    </w:p>
    <w:p w14:paraId="7E3C8C1D" w14:textId="77777777" w:rsidR="00B6794B" w:rsidRPr="00A171A5" w:rsidRDefault="00B6794B" w:rsidP="00845FC3">
      <w:pPr>
        <w:spacing w:after="0" w:line="360" w:lineRule="auto"/>
        <w:contextualSpacing/>
        <w:jc w:val="both"/>
        <w:rPr>
          <w:rFonts w:ascii="Palatino Linotype" w:eastAsia="Palatino Linotype" w:hAnsi="Palatino Linotype" w:cs="Palatino Linotype"/>
          <w:sz w:val="24"/>
          <w:szCs w:val="24"/>
        </w:rPr>
      </w:pPr>
    </w:p>
    <w:p w14:paraId="73D842D2" w14:textId="77777777" w:rsidR="00B6794B" w:rsidRPr="00A171A5" w:rsidRDefault="00E53EE9"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Por su parte, el artículo 171 del Código Financiero del Estado de México, refiere que los Ayuntamientos y las autoridades catastrales municipales, además de las atribuciones que este Código y otros ordenamientos les confieran en materia catastral, tendrán entre otras la de llevar a cabo la inscripción y control de los inmuebles localizados dentro del territorio municipal, así como recibir las manifestaciones catastrales de los propietarios o poseedores de inmuebles, para efectos de su inscripción o actualización en el </w:t>
      </w:r>
      <w:r w:rsidRPr="00A171A5">
        <w:rPr>
          <w:rFonts w:ascii="Palatino Linotype" w:eastAsia="Palatino Linotype" w:hAnsi="Palatino Linotype" w:cs="Palatino Linotype"/>
          <w:b/>
          <w:sz w:val="24"/>
          <w:szCs w:val="24"/>
        </w:rPr>
        <w:t>Padrón Catastral Municipal</w:t>
      </w:r>
      <w:r w:rsidRPr="00A171A5">
        <w:rPr>
          <w:rFonts w:ascii="Palatino Linotype" w:eastAsia="Palatino Linotype" w:hAnsi="Palatino Linotype" w:cs="Palatino Linotype"/>
          <w:sz w:val="24"/>
          <w:szCs w:val="24"/>
        </w:rPr>
        <w:t>.</w:t>
      </w:r>
    </w:p>
    <w:p w14:paraId="4A887018"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p>
    <w:p w14:paraId="6F4121A8"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Al respecto, el artículo 2°, fracción XII, del Reglamento del Título Quinto del Código Financiero del Estado de México y Municipios, denominado “Del Catastro”, precisa que el Sistema de Información Catastral es la herramienta informática desarrollada por el Instituto mencionado en el párrafo anterior, para integrar, mantener y actualizar el Padrón Catastral Municipal. Asimismo, se les denominaran a los sistemas desarrollados por los Ayuntamientos, que contengan la misma información. Asimismo, refiere en su artículo 22, fracción I, incisos a, c y d, que dentro de los trámites y servicios que prestara la Autoridad Catastral Municipal, se encuentra la inscripción de inmuebles en el padrón catastral municipal, así como, la actualización de este.  </w:t>
      </w:r>
    </w:p>
    <w:p w14:paraId="30B51B2D"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p>
    <w:p w14:paraId="2EE04B9D"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En ese orden de ideas, conforme a los artículos 16 y 31 del Reglamento referido, el Instituto de Información e Investigación Geográfica, Estadística y Catastral del Estado de México, recopilara mensualmente, la base de datos del padrón catastral municipal, por medio del Sistema de Información Catastral.</w:t>
      </w:r>
    </w:p>
    <w:p w14:paraId="6DC19DB3"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p>
    <w:p w14:paraId="37CBC9CC"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Para lograr lo anterior, conforme al artículo 171 del Código Financiero del Estado de México y Municipios, precisa que los Ayuntamientos y las Autoridades Catastrales Municipales deberá llevar a cabo la inscripción y control de los inmuebles localizados dentro del territorio municipal en el Padrón Catastral Municipal, así como, de integrar, conservar y mantener actualizados los registros gráfico y alfanumérico de los inmuebles ubicados en el territorio del municipio. Además, el artículo 174 Bis, la autoridad catastral municipal, enviará al multicitado Instituto, la información actualizada de los registros gráficos y alfanuméricos.</w:t>
      </w:r>
    </w:p>
    <w:p w14:paraId="200974FF"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p>
    <w:p w14:paraId="25DA24F8"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Sobre lo anterior, el artículo 180 del Código Financiero del Estado de México y Municipios, el padrón catastral se integrará por un registro alfanumérico y un registro gráfico, que conforme al artículo 29 del Reglamento, deberá contener los datos, catálogos y especificaciones, tales como: </w:t>
      </w:r>
    </w:p>
    <w:p w14:paraId="3CC8F8C3"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 </w:t>
      </w:r>
      <w:r w:rsidRPr="00A171A5">
        <w:rPr>
          <w:rFonts w:ascii="Palatino Linotype" w:eastAsia="Palatino Linotype" w:hAnsi="Palatino Linotype" w:cs="Palatino Linotype"/>
          <w:b/>
          <w:i/>
          <w:sz w:val="24"/>
          <w:szCs w:val="24"/>
        </w:rPr>
        <w:t>El registro alfanumérico</w:t>
      </w:r>
      <w:r w:rsidRPr="00A171A5">
        <w:rPr>
          <w:rFonts w:ascii="Palatino Linotype" w:eastAsia="Palatino Linotype" w:hAnsi="Palatino Linotype" w:cs="Palatino Linotype"/>
          <w:sz w:val="24"/>
          <w:szCs w:val="24"/>
        </w:rPr>
        <w:t xml:space="preserve">. Integrado por datos del inmueble, como clave catastral, nombre del propietario o poseedor, clave única de registro de población (CURP), ubicación del predio, características del terreno, entre otros. Así como catálogos operativos y normativos. </w:t>
      </w:r>
    </w:p>
    <w:p w14:paraId="04FC334D"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lastRenderedPageBreak/>
        <w:t xml:space="preserve">● </w:t>
      </w:r>
      <w:r w:rsidRPr="00A171A5">
        <w:rPr>
          <w:rFonts w:ascii="Palatino Linotype" w:eastAsia="Palatino Linotype" w:hAnsi="Palatino Linotype" w:cs="Palatino Linotype"/>
          <w:b/>
          <w:i/>
          <w:sz w:val="24"/>
          <w:szCs w:val="24"/>
        </w:rPr>
        <w:t>El registro gráfico deberá contener</w:t>
      </w:r>
      <w:r w:rsidRPr="00A171A5">
        <w:rPr>
          <w:rFonts w:ascii="Palatino Linotype" w:eastAsia="Palatino Linotype" w:hAnsi="Palatino Linotype" w:cs="Palatino Linotype"/>
          <w:sz w:val="24"/>
          <w:szCs w:val="24"/>
        </w:rPr>
        <w:t>: cartografía vectorial a nivel manzana y cartografía vectorial a nivel predio.</w:t>
      </w:r>
    </w:p>
    <w:p w14:paraId="5A48B802" w14:textId="77777777" w:rsidR="00E53EE9" w:rsidRPr="00A171A5" w:rsidRDefault="00E53EE9" w:rsidP="00845FC3">
      <w:pPr>
        <w:spacing w:after="0" w:line="360" w:lineRule="auto"/>
        <w:contextualSpacing/>
        <w:jc w:val="both"/>
        <w:rPr>
          <w:rFonts w:ascii="Palatino Linotype" w:eastAsia="Palatino Linotype" w:hAnsi="Palatino Linotype" w:cs="Palatino Linotype"/>
          <w:sz w:val="24"/>
          <w:szCs w:val="24"/>
        </w:rPr>
      </w:pPr>
    </w:p>
    <w:p w14:paraId="32C816EB" w14:textId="77777777" w:rsidR="00746296" w:rsidRPr="00A171A5" w:rsidRDefault="007C5C7A" w:rsidP="00746296">
      <w:pPr>
        <w:pStyle w:val="Prrafodelista"/>
        <w:numPr>
          <w:ilvl w:val="0"/>
          <w:numId w:val="4"/>
        </w:numPr>
        <w:spacing w:line="360" w:lineRule="auto"/>
        <w:contextualSpacing/>
        <w:jc w:val="both"/>
        <w:rPr>
          <w:rFonts w:ascii="Palatino Linotype" w:eastAsia="Palatino Linotype" w:hAnsi="Palatino Linotype" w:cs="Palatino Linotype"/>
        </w:rPr>
      </w:pPr>
      <w:r w:rsidRPr="00A171A5">
        <w:rPr>
          <w:rFonts w:ascii="Palatino Linotype" w:eastAsia="Palatino Linotype" w:hAnsi="Palatino Linotype" w:cs="Palatino Linotype"/>
          <w:b/>
        </w:rPr>
        <w:t>Domicilio y ubica</w:t>
      </w:r>
      <w:r w:rsidR="00746296" w:rsidRPr="00A171A5">
        <w:rPr>
          <w:rFonts w:ascii="Palatino Linotype" w:eastAsia="Palatino Linotype" w:hAnsi="Palatino Linotype" w:cs="Palatino Linotype"/>
          <w:b/>
        </w:rPr>
        <w:t>ción de predios particulares</w:t>
      </w:r>
      <w:r w:rsidR="00746296" w:rsidRPr="00A171A5">
        <w:rPr>
          <w:rFonts w:ascii="Palatino Linotype" w:eastAsia="Palatino Linotype" w:hAnsi="Palatino Linotype" w:cs="Palatino Linotype"/>
        </w:rPr>
        <w:t>.</w:t>
      </w:r>
    </w:p>
    <w:p w14:paraId="41240851" w14:textId="77777777" w:rsidR="00746296" w:rsidRPr="00A171A5" w:rsidRDefault="007C5C7A"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E5FE830" w14:textId="77777777" w:rsidR="00746296" w:rsidRPr="00A171A5" w:rsidRDefault="007C5C7A"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De la misma manera, lo establece el artículo 29 del Código Civil Federal, al precisar que el domicilio de personas físicas, es el lugar donde residen habitualmente, el lugar del centro principal de sus negocios, donde residan o el lugar donde se encuentren. </w:t>
      </w:r>
    </w:p>
    <w:p w14:paraId="605B4E54" w14:textId="77777777" w:rsidR="00746296" w:rsidRPr="00A171A5" w:rsidRDefault="007C5C7A"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En ese contexto, la dirección o domicilio es el lugar en donde reside habitualmente una persona física o moral,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o morales identificadas y su difusión podría afectar la esfera privada de las mismas.  </w:t>
      </w:r>
    </w:p>
    <w:p w14:paraId="29D8E501" w14:textId="77777777" w:rsidR="00E53EE9" w:rsidRPr="00A171A5" w:rsidRDefault="007C5C7A"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Por lo tanto, se actualiza la clasificación del domicilio, de conformidad con la fracción I, del artículo 143 de la Ley de Transparencia y Acceso a la Información Pública del Estado de México y Municipios.</w:t>
      </w:r>
    </w:p>
    <w:p w14:paraId="00D60DD7"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p>
    <w:p w14:paraId="2EDDA69B"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b/>
          <w:sz w:val="24"/>
          <w:szCs w:val="24"/>
        </w:rPr>
        <w:lastRenderedPageBreak/>
        <w:t xml:space="preserve">Domicilio y ubicación de predios de instituciones públicas y bienes de dominio público. </w:t>
      </w:r>
    </w:p>
    <w:p w14:paraId="084D5650"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Al respecto, los artículos 12, 13, 14 y 28 de la Ley de Bienes del Estado de México y Municipios, que establece que el Estado de México y sus Municipios tienen personalidad jurídica para adquirir y poseer bienes inmuebles, de dominio público (uso común o destinados a un servicio público) y dominio privado (utilizados al servicio de las instituciones para el desarrollo de sus actividades). </w:t>
      </w:r>
    </w:p>
    <w:p w14:paraId="19F4FD6A"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p>
    <w:p w14:paraId="66AA8C22"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En ese orden de ideas, de conformidad con el artículo 70, fracción XXXIV, Ley General de Transparencia y Acceso a la Información Pública, con relación al diverso 92, fracción XXXIII, de la Ley de Transparencia y Acceso a la Información Pública de Estado de México y Municipios, establece que las instituciones públicas deben de publicar su inventario de bienes inmuebles. </w:t>
      </w:r>
    </w:p>
    <w:p w14:paraId="37CED486"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p>
    <w:p w14:paraId="14BBE483"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Además,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precisa que el inventario de bienes inmuebles se conforma de diversos datos, entre los cuales se encuentra la ubicación. </w:t>
      </w:r>
    </w:p>
    <w:p w14:paraId="073A222D"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p>
    <w:p w14:paraId="5C3DCEBF" w14:textId="77777777" w:rsidR="00746296" w:rsidRPr="00A171A5" w:rsidRDefault="00746296" w:rsidP="00845FC3">
      <w:pPr>
        <w:spacing w:after="0" w:line="360" w:lineRule="auto"/>
        <w:contextualSpacing/>
        <w:jc w:val="both"/>
        <w:rPr>
          <w:rFonts w:ascii="Palatino Linotype" w:eastAsia="Palatino Linotype" w:hAnsi="Palatino Linotype" w:cs="Palatino Linotype"/>
          <w:sz w:val="24"/>
          <w:szCs w:val="24"/>
        </w:rPr>
      </w:pPr>
      <w:r w:rsidRPr="00A171A5">
        <w:rPr>
          <w:rFonts w:ascii="Palatino Linotype" w:eastAsia="Palatino Linotype" w:hAnsi="Palatino Linotype" w:cs="Palatino Linotype"/>
          <w:sz w:val="24"/>
          <w:szCs w:val="24"/>
        </w:rPr>
        <w:t xml:space="preserve">De tales circunstancias, se considera que la ubicación de los bienes inmuebles propiedad de instituciones públicas o bienes de dominio público, no actualizan la </w:t>
      </w:r>
      <w:r w:rsidRPr="00A171A5">
        <w:rPr>
          <w:rFonts w:ascii="Palatino Linotype" w:eastAsia="Palatino Linotype" w:hAnsi="Palatino Linotype" w:cs="Palatino Linotype"/>
          <w:sz w:val="24"/>
          <w:szCs w:val="24"/>
        </w:rPr>
        <w:lastRenderedPageBreak/>
        <w:t>causal de clasificación establecida en el artículo 143, fracción I, de la Ley de Transparencia y Acceso a la Información Pública del Estado de México y Municipios, pues se trata del patrimonio con el que contaban, las cuales son administrados y utilizados por las entidades gubernamentales para cumplir con sus funciones.</w:t>
      </w:r>
    </w:p>
    <w:p w14:paraId="4A314A48" w14:textId="77777777" w:rsidR="00834E7F" w:rsidRPr="00A171A5" w:rsidRDefault="00834E7F" w:rsidP="00845FC3">
      <w:pPr>
        <w:pStyle w:val="Sinespaciado"/>
        <w:spacing w:before="240" w:line="360" w:lineRule="auto"/>
        <w:jc w:val="both"/>
        <w:rPr>
          <w:rFonts w:ascii="Palatino Linotype" w:hAnsi="Palatino Linotype"/>
          <w:bCs/>
          <w:lang w:val="es-ES"/>
        </w:rPr>
      </w:pPr>
    </w:p>
    <w:p w14:paraId="5FFB7E47" w14:textId="77777777" w:rsidR="00845FC3" w:rsidRPr="00A171A5" w:rsidRDefault="00845FC3" w:rsidP="00845FC3">
      <w:pPr>
        <w:pStyle w:val="Sinespaciado"/>
        <w:spacing w:before="240" w:line="360" w:lineRule="auto"/>
        <w:jc w:val="both"/>
        <w:rPr>
          <w:rFonts w:ascii="Palatino Linotype" w:hAnsi="Palatino Linotype"/>
          <w:bCs/>
          <w:lang w:val="es-ES"/>
        </w:rPr>
      </w:pPr>
      <w:r w:rsidRPr="00A171A5">
        <w:rPr>
          <w:rFonts w:ascii="Palatino Linotype" w:hAnsi="Palatino Linotype"/>
          <w:bCs/>
          <w:lang w:val="es-ES"/>
        </w:rPr>
        <w:t xml:space="preserve">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 </w:t>
      </w:r>
    </w:p>
    <w:p w14:paraId="4E2846A1" w14:textId="77777777" w:rsidR="00845FC3" w:rsidRPr="00A171A5" w:rsidRDefault="00845FC3" w:rsidP="00845FC3">
      <w:pPr>
        <w:pStyle w:val="Sinespaciado"/>
        <w:numPr>
          <w:ilvl w:val="0"/>
          <w:numId w:val="8"/>
        </w:numPr>
        <w:spacing w:before="240" w:line="360" w:lineRule="auto"/>
        <w:jc w:val="both"/>
        <w:rPr>
          <w:rFonts w:ascii="Palatino Linotype" w:hAnsi="Palatino Linotype"/>
          <w:b/>
          <w:bCs/>
          <w:lang w:val="es-ES"/>
        </w:rPr>
      </w:pPr>
      <w:r w:rsidRPr="00A171A5">
        <w:rPr>
          <w:rFonts w:ascii="Palatino Linotype" w:hAnsi="Palatino Linotype"/>
          <w:b/>
          <w:bCs/>
          <w:lang w:val="es-ES"/>
        </w:rPr>
        <w:t>Información confidencial:</w:t>
      </w:r>
      <w:r w:rsidRPr="00A171A5">
        <w:rPr>
          <w:rFonts w:ascii="Palatino Linotype" w:hAnsi="Palatino Linotype"/>
          <w:bCs/>
          <w:lang w:val="es-ES"/>
        </w:rPr>
        <w:t xml:space="preserve"> Se considera como información confidencial los </w:t>
      </w:r>
      <w:r w:rsidRPr="00A171A5">
        <w:rPr>
          <w:rFonts w:ascii="Palatino Linotype" w:hAnsi="Palatino Linotype"/>
          <w:b/>
          <w:bCs/>
          <w:lang w:val="es-ES"/>
        </w:rPr>
        <w:t xml:space="preserve">secretos bancario, fiduciario, industrial, comercial, fiscal, bursátil y postal, cuya titularidad corresponda a particulares, sujetos de derecho internacional o a sujetos obligados </w:t>
      </w:r>
      <w:r w:rsidRPr="00A171A5">
        <w:rPr>
          <w:rFonts w:ascii="Palatino Linotype" w:hAnsi="Palatino Linotype"/>
          <w:b/>
          <w:bCs/>
          <w:u w:val="single"/>
          <w:lang w:val="es-ES"/>
        </w:rPr>
        <w:t>cuando no involucren el ejercicio de recursos públicos</w:t>
      </w:r>
      <w:r w:rsidRPr="00A171A5">
        <w:rPr>
          <w:rFonts w:ascii="Palatino Linotype" w:hAnsi="Palatino Linotype"/>
          <w:b/>
          <w:bCs/>
          <w:lang w:val="es-ES"/>
        </w:rPr>
        <w:t xml:space="preserve">. </w:t>
      </w:r>
    </w:p>
    <w:p w14:paraId="7A2A6A59" w14:textId="77777777" w:rsidR="00845FC3" w:rsidRPr="00A171A5" w:rsidRDefault="00845FC3" w:rsidP="00845FC3">
      <w:pPr>
        <w:pStyle w:val="Sinespaciado"/>
        <w:numPr>
          <w:ilvl w:val="0"/>
          <w:numId w:val="8"/>
        </w:numPr>
        <w:spacing w:before="240" w:line="360" w:lineRule="auto"/>
        <w:jc w:val="both"/>
        <w:rPr>
          <w:rFonts w:ascii="Palatino Linotype" w:hAnsi="Palatino Linotype"/>
          <w:bCs/>
          <w:lang w:val="es-ES"/>
        </w:rPr>
      </w:pPr>
      <w:r w:rsidRPr="00A171A5">
        <w:rPr>
          <w:rFonts w:ascii="Palatino Linotype" w:hAnsi="Palatino Linotype"/>
          <w:b/>
          <w:bCs/>
          <w:lang w:val="es-ES"/>
        </w:rPr>
        <w:t>Información privada:</w:t>
      </w:r>
      <w:r w:rsidRPr="00A171A5">
        <w:rPr>
          <w:rFonts w:ascii="Palatino Linotype" w:hAnsi="Palatino Linotype"/>
          <w:bCs/>
          <w:lang w:val="es-ES"/>
        </w:rPr>
        <w:t xml:space="preserve"> La contenida en documentos públicos o privados que refiera a la vida privada y/o los datos personales, que no son de acceso público. </w:t>
      </w:r>
    </w:p>
    <w:p w14:paraId="483ECCB2" w14:textId="77777777" w:rsidR="00EA1DFF" w:rsidRPr="00A171A5" w:rsidRDefault="00845FC3" w:rsidP="00EA1DFF">
      <w:pPr>
        <w:pStyle w:val="Sinespaciado"/>
        <w:numPr>
          <w:ilvl w:val="0"/>
          <w:numId w:val="8"/>
        </w:numPr>
        <w:spacing w:before="240" w:line="360" w:lineRule="auto"/>
        <w:jc w:val="both"/>
        <w:rPr>
          <w:rFonts w:ascii="Palatino Linotype" w:hAnsi="Palatino Linotype"/>
          <w:bCs/>
          <w:lang w:val="es-ES"/>
        </w:rPr>
      </w:pPr>
      <w:r w:rsidRPr="00A171A5">
        <w:rPr>
          <w:rFonts w:ascii="Palatino Linotype" w:hAnsi="Palatino Linotype"/>
          <w:b/>
          <w:bCs/>
          <w:lang w:val="es-ES"/>
        </w:rPr>
        <w:t>Información reservada:</w:t>
      </w:r>
      <w:r w:rsidRPr="00A171A5">
        <w:rPr>
          <w:rFonts w:ascii="Palatino Linotype" w:hAnsi="Palatino Linotype"/>
          <w:bCs/>
          <w:lang w:val="es-ES"/>
        </w:rPr>
        <w:t xml:space="preserve"> La clasificada con este carácter de manera temporal por las disposiciones de esta Ley, cuya divulgación puede causar daño en términos de lo establecido por esta Ley. </w:t>
      </w:r>
    </w:p>
    <w:p w14:paraId="2C3FA5F4" w14:textId="77777777" w:rsidR="00EA1DFF" w:rsidRPr="00A171A5" w:rsidRDefault="00EA1DFF" w:rsidP="00EA1DFF">
      <w:pPr>
        <w:pStyle w:val="Sinespaciado"/>
        <w:spacing w:line="360" w:lineRule="auto"/>
        <w:jc w:val="both"/>
        <w:rPr>
          <w:rFonts w:ascii="Palatino Linotype" w:eastAsia="Palatino Linotype" w:hAnsi="Palatino Linotype" w:cs="Palatino Linotype"/>
          <w:color w:val="000000"/>
          <w:lang w:val="es-ES_tradnl" w:eastAsia="es-MX"/>
        </w:rPr>
      </w:pPr>
      <w:r w:rsidRPr="00A171A5">
        <w:rPr>
          <w:rFonts w:ascii="Palatino Linotype" w:eastAsia="Palatino Linotype" w:hAnsi="Palatino Linotype" w:cs="Palatino Linotype"/>
          <w:color w:val="000000"/>
          <w:lang w:val="es-ES_tradnl" w:eastAsia="es-MX"/>
        </w:rPr>
        <w:lastRenderedPageBreak/>
        <w:t xml:space="preserve">Ahora bien, quedando establecido lo anterior, este Órgano Garante considera viable realizar el estudio en aras de establecer si la respuesta e informe justificado del Sujeto Obligado colman la pretensión del Recurrente, así como calificar los motivos de inconformidad del particular. </w:t>
      </w:r>
    </w:p>
    <w:p w14:paraId="20CE3A97" w14:textId="77777777" w:rsidR="00EA1DFF" w:rsidRPr="00A171A5" w:rsidRDefault="00EA1DFF" w:rsidP="00EA1DFF">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5"/>
        <w:gridCol w:w="3119"/>
        <w:gridCol w:w="3528"/>
      </w:tblGrid>
      <w:tr w:rsidR="00EA1DFF" w:rsidRPr="00A171A5" w14:paraId="46AA2834" w14:textId="77777777" w:rsidTr="005E38B3">
        <w:trPr>
          <w:trHeight w:val="408"/>
        </w:trPr>
        <w:tc>
          <w:tcPr>
            <w:tcW w:w="2395" w:type="dxa"/>
            <w:shd w:val="clear" w:color="auto" w:fill="E7E6E6" w:themeFill="background2"/>
          </w:tcPr>
          <w:p w14:paraId="22AA6822" w14:textId="77777777" w:rsidR="00EA1DFF" w:rsidRPr="00A171A5" w:rsidRDefault="00EA1DFF" w:rsidP="00EF5671">
            <w:pPr>
              <w:spacing w:line="360" w:lineRule="auto"/>
              <w:jc w:val="center"/>
              <w:rPr>
                <w:rFonts w:ascii="Palatino Linotype" w:hAnsi="Palatino Linotype"/>
                <w:b/>
                <w:i/>
                <w:color w:val="000000"/>
                <w:sz w:val="24"/>
                <w:szCs w:val="24"/>
              </w:rPr>
            </w:pPr>
            <w:r w:rsidRPr="00A171A5">
              <w:rPr>
                <w:rFonts w:ascii="Palatino Linotype" w:hAnsi="Palatino Linotype"/>
                <w:b/>
                <w:i/>
                <w:color w:val="000000"/>
                <w:sz w:val="24"/>
                <w:szCs w:val="24"/>
              </w:rPr>
              <w:t>Requerimientos</w:t>
            </w:r>
          </w:p>
        </w:tc>
        <w:tc>
          <w:tcPr>
            <w:tcW w:w="3119" w:type="dxa"/>
            <w:shd w:val="clear" w:color="auto" w:fill="E7E6E6" w:themeFill="background2"/>
          </w:tcPr>
          <w:p w14:paraId="7E699972" w14:textId="77777777" w:rsidR="00EA1DFF" w:rsidRPr="00A171A5" w:rsidRDefault="00EA1DFF" w:rsidP="00EF5671">
            <w:pPr>
              <w:spacing w:line="360" w:lineRule="auto"/>
              <w:jc w:val="center"/>
              <w:rPr>
                <w:rFonts w:ascii="Palatino Linotype" w:hAnsi="Palatino Linotype"/>
                <w:b/>
                <w:i/>
                <w:color w:val="000000"/>
                <w:sz w:val="24"/>
                <w:szCs w:val="24"/>
              </w:rPr>
            </w:pPr>
            <w:r w:rsidRPr="00A171A5">
              <w:rPr>
                <w:rFonts w:ascii="Palatino Linotype" w:hAnsi="Palatino Linotype"/>
                <w:b/>
                <w:i/>
                <w:color w:val="000000"/>
                <w:sz w:val="24"/>
                <w:szCs w:val="24"/>
              </w:rPr>
              <w:t>Respuesta</w:t>
            </w:r>
          </w:p>
        </w:tc>
        <w:tc>
          <w:tcPr>
            <w:tcW w:w="3528" w:type="dxa"/>
            <w:shd w:val="clear" w:color="auto" w:fill="E7E6E6" w:themeFill="background2"/>
          </w:tcPr>
          <w:p w14:paraId="343093FD" w14:textId="77777777" w:rsidR="00EA1DFF" w:rsidRPr="00A171A5" w:rsidRDefault="00EA1DFF" w:rsidP="00EF5671">
            <w:pPr>
              <w:spacing w:line="360" w:lineRule="auto"/>
              <w:jc w:val="center"/>
              <w:rPr>
                <w:rFonts w:ascii="Palatino Linotype" w:hAnsi="Palatino Linotype"/>
                <w:b/>
                <w:i/>
                <w:color w:val="000000"/>
                <w:sz w:val="24"/>
                <w:szCs w:val="24"/>
              </w:rPr>
            </w:pPr>
            <w:r w:rsidRPr="00A171A5">
              <w:rPr>
                <w:rFonts w:ascii="Palatino Linotype" w:hAnsi="Palatino Linotype"/>
                <w:b/>
                <w:i/>
                <w:color w:val="000000"/>
                <w:sz w:val="24"/>
                <w:szCs w:val="24"/>
              </w:rPr>
              <w:t>Colma</w:t>
            </w:r>
          </w:p>
        </w:tc>
      </w:tr>
      <w:tr w:rsidR="00EA1DFF" w:rsidRPr="00A171A5" w14:paraId="713B65C0" w14:textId="77777777" w:rsidTr="005E38B3">
        <w:trPr>
          <w:trHeight w:val="1234"/>
        </w:trPr>
        <w:tc>
          <w:tcPr>
            <w:tcW w:w="2395" w:type="dxa"/>
          </w:tcPr>
          <w:p w14:paraId="08D51DD3" w14:textId="77777777" w:rsidR="00EA1DFF" w:rsidRPr="00A171A5" w:rsidRDefault="00421128" w:rsidP="00EF5671">
            <w:pPr>
              <w:tabs>
                <w:tab w:val="left" w:pos="1828"/>
              </w:tabs>
              <w:jc w:val="both"/>
              <w:rPr>
                <w:rFonts w:ascii="Palatino Linotype" w:hAnsi="Palatino Linotype" w:cs="Tahoma"/>
                <w:bCs/>
                <w:sz w:val="24"/>
              </w:rPr>
            </w:pPr>
            <w:r w:rsidRPr="00A171A5">
              <w:rPr>
                <w:rFonts w:ascii="Palatino Linotype" w:hAnsi="Palatino Linotype" w:cs="Tahoma"/>
                <w:bCs/>
                <w:sz w:val="24"/>
              </w:rPr>
              <w:t>Padrón catastral 2024</w:t>
            </w:r>
          </w:p>
        </w:tc>
        <w:tc>
          <w:tcPr>
            <w:tcW w:w="3119" w:type="dxa"/>
          </w:tcPr>
          <w:p w14:paraId="72E5CD57" w14:textId="77777777" w:rsidR="00EA1DFF" w:rsidRPr="00A171A5" w:rsidRDefault="00421128" w:rsidP="00EF5671">
            <w:pPr>
              <w:jc w:val="both"/>
              <w:rPr>
                <w:rFonts w:ascii="Palatino Linotype" w:hAnsi="Palatino Linotype"/>
                <w:color w:val="000000"/>
              </w:rPr>
            </w:pPr>
            <w:r w:rsidRPr="00A171A5">
              <w:rPr>
                <w:rFonts w:ascii="Palatino Linotype" w:hAnsi="Palatino Linotype"/>
                <w:color w:val="000000"/>
              </w:rPr>
              <w:t xml:space="preserve">Acta del Comité en la que se aprobó el </w:t>
            </w:r>
            <w:r w:rsidR="009D7C39" w:rsidRPr="00A171A5">
              <w:rPr>
                <w:rFonts w:ascii="Palatino Linotype" w:hAnsi="Palatino Linotype"/>
                <w:color w:val="000000"/>
              </w:rPr>
              <w:t>Acuerdo</w:t>
            </w:r>
            <w:r w:rsidRPr="00A171A5">
              <w:rPr>
                <w:rFonts w:ascii="Palatino Linotype" w:hAnsi="Palatino Linotype"/>
                <w:color w:val="000000"/>
              </w:rPr>
              <w:t xml:space="preserve"> de clasificación de la Información como Confidencial</w:t>
            </w:r>
          </w:p>
        </w:tc>
        <w:tc>
          <w:tcPr>
            <w:tcW w:w="3528" w:type="dxa"/>
          </w:tcPr>
          <w:p w14:paraId="75036A74" w14:textId="77777777" w:rsidR="00EA1DFF" w:rsidRPr="00A171A5" w:rsidRDefault="000D0CA5" w:rsidP="00EF5671">
            <w:pPr>
              <w:jc w:val="center"/>
              <w:rPr>
                <w:rFonts w:ascii="Palatino Linotype" w:hAnsi="Palatino Linotype"/>
                <w:b/>
                <w:i/>
              </w:rPr>
            </w:pPr>
            <w:r w:rsidRPr="00A171A5">
              <w:rPr>
                <w:rFonts w:ascii="Palatino Linotype" w:hAnsi="Palatino Linotype"/>
                <w:b/>
                <w:i/>
              </w:rPr>
              <w:t>No</w:t>
            </w:r>
          </w:p>
          <w:p w14:paraId="1F17DB0E" w14:textId="77777777" w:rsidR="005E38B3" w:rsidRPr="00A171A5" w:rsidRDefault="005E38B3" w:rsidP="005E38B3">
            <w:pPr>
              <w:jc w:val="center"/>
              <w:rPr>
                <w:rFonts w:ascii="Palatino Linotype" w:hAnsi="Palatino Linotype"/>
                <w:i/>
              </w:rPr>
            </w:pPr>
            <w:r w:rsidRPr="00A171A5">
              <w:rPr>
                <w:rFonts w:ascii="Palatino Linotype" w:hAnsi="Palatino Linotype"/>
                <w:i/>
              </w:rPr>
              <w:t xml:space="preserve">Si bien, el padrón catastral contiene información de particulares, la cual es clasificada, </w:t>
            </w:r>
            <w:r w:rsidRPr="00A171A5">
              <w:rPr>
                <w:rFonts w:ascii="Palatino Linotype" w:hAnsi="Palatino Linotype"/>
                <w:i/>
                <w:u w:val="single"/>
              </w:rPr>
              <w:t>lo cierto es que, dentro del padrón también existen bienes de dominio público,</w:t>
            </w:r>
            <w:r w:rsidRPr="00A171A5">
              <w:rPr>
                <w:rFonts w:ascii="Palatino Linotype" w:hAnsi="Palatino Linotype"/>
                <w:i/>
              </w:rPr>
              <w:t xml:space="preserve"> </w:t>
            </w:r>
            <w:r w:rsidRPr="00A171A5">
              <w:rPr>
                <w:rFonts w:ascii="Palatino Linotype" w:hAnsi="Palatino Linotype"/>
                <w:b/>
                <w:i/>
              </w:rPr>
              <w:t xml:space="preserve">por lo que procede la entrega del Padrón Catastral en versión pública, en la cual únicamente se dejen visibles los datos referentes </w:t>
            </w:r>
            <w:proofErr w:type="gramStart"/>
            <w:r w:rsidRPr="00A171A5">
              <w:rPr>
                <w:rFonts w:ascii="Palatino Linotype" w:hAnsi="Palatino Linotype"/>
                <w:b/>
                <w:i/>
              </w:rPr>
              <w:t>a  bienes</w:t>
            </w:r>
            <w:proofErr w:type="gramEnd"/>
            <w:r w:rsidRPr="00A171A5">
              <w:rPr>
                <w:rFonts w:ascii="Palatino Linotype" w:hAnsi="Palatino Linotype"/>
                <w:b/>
                <w:i/>
              </w:rPr>
              <w:t xml:space="preserve"> de dominio público.</w:t>
            </w:r>
            <w:r w:rsidRPr="00A171A5">
              <w:rPr>
                <w:rFonts w:ascii="Palatino Linotype" w:hAnsi="Palatino Linotype"/>
                <w:i/>
              </w:rPr>
              <w:t xml:space="preserve">  </w:t>
            </w:r>
          </w:p>
        </w:tc>
      </w:tr>
    </w:tbl>
    <w:p w14:paraId="0EBB6366" w14:textId="77777777" w:rsidR="00EA1DFF" w:rsidRPr="00A171A5" w:rsidRDefault="00EA1DFF" w:rsidP="00EA1DFF">
      <w:pPr>
        <w:spacing w:after="0" w:line="360" w:lineRule="auto"/>
        <w:jc w:val="both"/>
        <w:rPr>
          <w:rFonts w:ascii="Palatino Linotype" w:hAnsi="Palatino Linotype"/>
          <w:color w:val="000000"/>
          <w:sz w:val="24"/>
          <w:szCs w:val="24"/>
        </w:rPr>
      </w:pPr>
    </w:p>
    <w:p w14:paraId="45E10237" w14:textId="77777777" w:rsidR="00EA1DFF" w:rsidRPr="00A171A5" w:rsidRDefault="00EA1DFF" w:rsidP="00EA1DFF">
      <w:pPr>
        <w:spacing w:after="0" w:line="360" w:lineRule="auto"/>
        <w:jc w:val="both"/>
        <w:rPr>
          <w:rFonts w:ascii="Palatino Linotype" w:hAnsi="Palatino Linotype"/>
          <w:color w:val="000000"/>
          <w:sz w:val="24"/>
          <w:szCs w:val="24"/>
        </w:rPr>
      </w:pPr>
      <w:r w:rsidRPr="00A171A5">
        <w:rPr>
          <w:rFonts w:ascii="Palatino Linotype" w:hAnsi="Palatino Linotype"/>
          <w:color w:val="000000"/>
          <w:sz w:val="24"/>
          <w:szCs w:val="24"/>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41EE0BA" w14:textId="77777777" w:rsidR="00EA1DFF" w:rsidRPr="00A171A5" w:rsidRDefault="00EA1DFF" w:rsidP="00EA1DFF">
      <w:pPr>
        <w:spacing w:after="0" w:line="360" w:lineRule="auto"/>
        <w:jc w:val="both"/>
        <w:rPr>
          <w:rFonts w:ascii="Palatino Linotype" w:hAnsi="Palatino Linotype"/>
          <w:color w:val="000000"/>
          <w:sz w:val="24"/>
          <w:szCs w:val="24"/>
        </w:rPr>
      </w:pPr>
    </w:p>
    <w:p w14:paraId="0FA03D3A" w14:textId="77777777" w:rsidR="00EA1DFF" w:rsidRPr="00A171A5" w:rsidRDefault="00EA1DFF" w:rsidP="00EA1DFF">
      <w:pPr>
        <w:spacing w:after="0" w:line="240" w:lineRule="auto"/>
        <w:ind w:left="567" w:right="567"/>
        <w:jc w:val="both"/>
        <w:rPr>
          <w:rFonts w:ascii="Palatino Linotype" w:hAnsi="Palatino Linotype"/>
          <w:b/>
          <w:i/>
        </w:rPr>
      </w:pPr>
      <w:r w:rsidRPr="00A171A5">
        <w:rPr>
          <w:rFonts w:ascii="Palatino Linotype" w:hAnsi="Palatino Linotype"/>
          <w:b/>
          <w:i/>
        </w:rPr>
        <w:lastRenderedPageBreak/>
        <w:t>Artículo 6</w:t>
      </w:r>
    </w:p>
    <w:p w14:paraId="1159A500" w14:textId="77777777" w:rsidR="00EA1DFF" w:rsidRPr="00A171A5" w:rsidRDefault="00EA1DFF" w:rsidP="00EA1DFF">
      <w:pPr>
        <w:spacing w:after="0" w:line="240" w:lineRule="auto"/>
        <w:ind w:left="567" w:right="567"/>
        <w:jc w:val="both"/>
        <w:rPr>
          <w:rFonts w:ascii="Palatino Linotype" w:hAnsi="Palatino Linotype"/>
          <w:i/>
        </w:rPr>
      </w:pPr>
      <w:r w:rsidRPr="00A171A5">
        <w:rPr>
          <w:rFonts w:ascii="Palatino Linotype" w:hAnsi="Palatino Linotype"/>
          <w:i/>
        </w:rPr>
        <w:t>…</w:t>
      </w:r>
    </w:p>
    <w:p w14:paraId="371BBD0E" w14:textId="77777777" w:rsidR="00EA1DFF" w:rsidRPr="00A171A5" w:rsidRDefault="00EA1DFF" w:rsidP="00EA1DFF">
      <w:pPr>
        <w:spacing w:after="0" w:line="240" w:lineRule="auto"/>
        <w:ind w:left="567" w:right="567"/>
        <w:jc w:val="both"/>
        <w:rPr>
          <w:rFonts w:ascii="Palatino Linotype" w:hAnsi="Palatino Linotype"/>
          <w:i/>
        </w:rPr>
      </w:pPr>
      <w:r w:rsidRPr="00A171A5">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3E308393" w14:textId="77777777" w:rsidR="00EA1DFF" w:rsidRPr="00A171A5" w:rsidRDefault="00EA1DFF" w:rsidP="00EA1DFF">
      <w:pPr>
        <w:spacing w:after="0" w:line="240" w:lineRule="auto"/>
        <w:ind w:left="567" w:right="567"/>
        <w:jc w:val="both"/>
        <w:rPr>
          <w:rFonts w:ascii="Palatino Linotype" w:hAnsi="Palatino Linotype"/>
          <w:i/>
        </w:rPr>
      </w:pPr>
    </w:p>
    <w:p w14:paraId="66346ECC" w14:textId="77777777" w:rsidR="00EA1DFF" w:rsidRPr="00A171A5" w:rsidRDefault="00EA1DFF" w:rsidP="00EA1DFF">
      <w:pPr>
        <w:numPr>
          <w:ilvl w:val="0"/>
          <w:numId w:val="3"/>
        </w:numPr>
        <w:spacing w:after="0" w:line="240" w:lineRule="auto"/>
        <w:ind w:left="993" w:right="567"/>
        <w:jc w:val="both"/>
        <w:rPr>
          <w:rFonts w:ascii="Palatino Linotype" w:hAnsi="Palatino Linotype"/>
          <w:i/>
        </w:rPr>
      </w:pPr>
      <w:r w:rsidRPr="00A171A5">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48B847F" w14:textId="77777777" w:rsidR="00EA1DFF" w:rsidRPr="00A171A5" w:rsidRDefault="00EA1DFF" w:rsidP="00EA1DFF">
      <w:pPr>
        <w:spacing w:after="0" w:line="360" w:lineRule="auto"/>
        <w:jc w:val="both"/>
        <w:rPr>
          <w:rFonts w:ascii="Palatino Linotype" w:hAnsi="Palatino Linotype"/>
          <w:sz w:val="24"/>
          <w:szCs w:val="24"/>
        </w:rPr>
      </w:pPr>
    </w:p>
    <w:p w14:paraId="77669D54" w14:textId="77777777" w:rsidR="00EA1DFF" w:rsidRPr="00A171A5" w:rsidRDefault="00EA1DFF" w:rsidP="00EA1DFF">
      <w:pPr>
        <w:spacing w:after="0" w:line="360" w:lineRule="auto"/>
        <w:jc w:val="both"/>
        <w:rPr>
          <w:rFonts w:ascii="Palatino Linotype" w:hAnsi="Palatino Linotype" w:cs="Arial"/>
          <w:sz w:val="24"/>
          <w:szCs w:val="24"/>
        </w:rPr>
      </w:pPr>
      <w:r w:rsidRPr="00A171A5">
        <w:rPr>
          <w:rFonts w:ascii="Palatino Linotype" w:hAnsi="Palatino Linotype" w:cs="Arial"/>
          <w:sz w:val="24"/>
          <w:szCs w:val="24"/>
        </w:rPr>
        <w:t xml:space="preserve">Por otro lado, en atención a lo dispuesto por los artículos 3, fracción XI y 12 </w:t>
      </w:r>
      <w:r w:rsidRPr="00A171A5">
        <w:rPr>
          <w:rFonts w:ascii="Palatino Linotype" w:hAnsi="Palatino Linotype" w:cs="Arial"/>
          <w:bCs/>
          <w:sz w:val="24"/>
          <w:szCs w:val="24"/>
        </w:rPr>
        <w:t>de la Ley de Transparencia y Acceso a la Información Pública del Estado de México y Municipios</w:t>
      </w:r>
      <w:r w:rsidRPr="00A171A5">
        <w:rPr>
          <w:rFonts w:ascii="Palatino Linotype" w:hAnsi="Palatino Linotype" w:cs="Arial"/>
          <w:sz w:val="24"/>
          <w:szCs w:val="24"/>
        </w:rPr>
        <w:t>, los cuales son del tenor literal siguiente:</w:t>
      </w:r>
    </w:p>
    <w:p w14:paraId="36AE8B43" w14:textId="77777777" w:rsidR="00EA1DFF" w:rsidRPr="00A171A5" w:rsidRDefault="00EA1DFF" w:rsidP="00EA1DFF">
      <w:pPr>
        <w:spacing w:after="0" w:line="240" w:lineRule="auto"/>
        <w:ind w:left="567" w:right="567"/>
        <w:jc w:val="both"/>
        <w:rPr>
          <w:rFonts w:ascii="Palatino Linotype" w:hAnsi="Palatino Linotype"/>
          <w:sz w:val="24"/>
          <w:szCs w:val="24"/>
        </w:rPr>
      </w:pPr>
    </w:p>
    <w:p w14:paraId="61216AF8" w14:textId="77777777" w:rsidR="00EA1DFF" w:rsidRPr="00A171A5" w:rsidRDefault="00EA1DFF" w:rsidP="00EA1DFF">
      <w:pPr>
        <w:spacing w:after="0" w:line="240" w:lineRule="auto"/>
        <w:ind w:left="851" w:right="851"/>
        <w:jc w:val="both"/>
        <w:rPr>
          <w:rFonts w:ascii="Palatino Linotype" w:hAnsi="Palatino Linotype"/>
          <w:i/>
        </w:rPr>
      </w:pPr>
      <w:r w:rsidRPr="00A171A5">
        <w:rPr>
          <w:rFonts w:ascii="Palatino Linotype" w:hAnsi="Palatino Linotype"/>
          <w:b/>
          <w:bCs/>
          <w:i/>
        </w:rPr>
        <w:t xml:space="preserve">Artículo 3.- </w:t>
      </w:r>
      <w:r w:rsidRPr="00A171A5">
        <w:rPr>
          <w:rFonts w:ascii="Palatino Linotype" w:hAnsi="Palatino Linotype"/>
          <w:i/>
        </w:rPr>
        <w:t>Para los efectos de la presente Ley se entenderá por:</w:t>
      </w:r>
    </w:p>
    <w:p w14:paraId="5A119FEE" w14:textId="77777777" w:rsidR="00EA1DFF" w:rsidRPr="00A171A5" w:rsidRDefault="00EA1DFF" w:rsidP="00EA1DFF">
      <w:pPr>
        <w:spacing w:after="0" w:line="240" w:lineRule="auto"/>
        <w:ind w:left="851" w:right="851"/>
        <w:jc w:val="both"/>
        <w:rPr>
          <w:rFonts w:ascii="Palatino Linotype" w:hAnsi="Palatino Linotype"/>
          <w:i/>
        </w:rPr>
      </w:pPr>
      <w:r w:rsidRPr="00A171A5">
        <w:rPr>
          <w:rFonts w:ascii="Palatino Linotype" w:hAnsi="Palatino Linotype"/>
          <w:i/>
        </w:rPr>
        <w:t>…</w:t>
      </w:r>
    </w:p>
    <w:p w14:paraId="7131669E" w14:textId="77777777" w:rsidR="00EA1DFF" w:rsidRPr="00A171A5" w:rsidRDefault="00EA1DFF" w:rsidP="00EA1DFF">
      <w:pPr>
        <w:spacing w:after="0" w:line="240" w:lineRule="auto"/>
        <w:ind w:left="851" w:right="851"/>
        <w:jc w:val="both"/>
        <w:rPr>
          <w:rFonts w:ascii="Palatino Linotype" w:hAnsi="Palatino Linotype"/>
          <w:i/>
        </w:rPr>
      </w:pPr>
      <w:r w:rsidRPr="00A171A5">
        <w:rPr>
          <w:rFonts w:ascii="Palatino Linotype" w:hAnsi="Palatino Linotype"/>
          <w:b/>
          <w:i/>
        </w:rPr>
        <w:t>XI.</w:t>
      </w:r>
      <w:r w:rsidRPr="00A171A5">
        <w:rPr>
          <w:rFonts w:ascii="Palatino Linotype" w:hAnsi="Palatino Linotype"/>
          <w:i/>
        </w:rPr>
        <w:t xml:space="preserve"> </w:t>
      </w:r>
      <w:r w:rsidRPr="00A171A5">
        <w:rPr>
          <w:rFonts w:ascii="Palatino Linotype" w:hAnsi="Palatino Linotype"/>
          <w:b/>
          <w:i/>
        </w:rPr>
        <w:t>Documento:</w:t>
      </w:r>
      <w:r w:rsidRPr="00A171A5">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A171A5">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A171A5">
        <w:rPr>
          <w:rFonts w:ascii="Palatino Linotype" w:hAnsi="Palatino Linotype"/>
          <w:i/>
        </w:rPr>
        <w:t xml:space="preserve"> Los documentos podrán estar en cualquier medio, sea escrito, impreso, sonoro, visual, electrónico, informático u holográfico;</w:t>
      </w:r>
    </w:p>
    <w:p w14:paraId="0F3AB097" w14:textId="77777777" w:rsidR="00EA1DFF" w:rsidRPr="00A171A5" w:rsidRDefault="00EA1DFF" w:rsidP="00EA1DFF">
      <w:pPr>
        <w:spacing w:after="0" w:line="240" w:lineRule="auto"/>
        <w:ind w:left="851" w:right="851"/>
        <w:jc w:val="both"/>
        <w:rPr>
          <w:rFonts w:ascii="Palatino Linotype" w:hAnsi="Palatino Linotype"/>
          <w:i/>
        </w:rPr>
      </w:pPr>
    </w:p>
    <w:p w14:paraId="599547A0" w14:textId="77777777" w:rsidR="00EA1DFF" w:rsidRPr="00A171A5" w:rsidRDefault="00EA1DFF" w:rsidP="00EA1DFF">
      <w:pPr>
        <w:spacing w:after="0" w:line="240" w:lineRule="auto"/>
        <w:ind w:left="851" w:right="851"/>
        <w:jc w:val="both"/>
        <w:rPr>
          <w:rFonts w:ascii="Palatino Linotype" w:hAnsi="Palatino Linotype"/>
          <w:bCs/>
          <w:i/>
        </w:rPr>
      </w:pPr>
      <w:r w:rsidRPr="00A171A5">
        <w:rPr>
          <w:rFonts w:ascii="Palatino Linotype" w:hAnsi="Palatino Linotype"/>
          <w:b/>
          <w:bCs/>
          <w:i/>
        </w:rPr>
        <w:t>Artículo 4.</w:t>
      </w:r>
      <w:r w:rsidRPr="00A171A5">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E9BCDC" w14:textId="77777777" w:rsidR="00EA1DFF" w:rsidRPr="00A171A5" w:rsidRDefault="00EA1DFF" w:rsidP="00EA1DFF">
      <w:pPr>
        <w:spacing w:after="0" w:line="240" w:lineRule="auto"/>
        <w:ind w:left="851" w:right="851"/>
        <w:jc w:val="both"/>
        <w:rPr>
          <w:rFonts w:ascii="Palatino Linotype" w:hAnsi="Palatino Linotype"/>
          <w:bCs/>
          <w:i/>
        </w:rPr>
      </w:pPr>
    </w:p>
    <w:p w14:paraId="77FF27CC" w14:textId="77777777" w:rsidR="00EA1DFF" w:rsidRPr="00A171A5" w:rsidRDefault="00EA1DFF" w:rsidP="00EA1DFF">
      <w:pPr>
        <w:spacing w:after="0" w:line="240" w:lineRule="auto"/>
        <w:ind w:left="851" w:right="851"/>
        <w:jc w:val="both"/>
        <w:rPr>
          <w:rFonts w:ascii="Palatino Linotype" w:hAnsi="Palatino Linotype"/>
          <w:bCs/>
          <w:i/>
        </w:rPr>
      </w:pPr>
      <w:r w:rsidRPr="00A171A5">
        <w:rPr>
          <w:rFonts w:ascii="Palatino Linotype" w:hAnsi="Palatino Linotype"/>
          <w:b/>
          <w:bCs/>
          <w:i/>
          <w:u w:val="single"/>
        </w:rPr>
        <w:t xml:space="preserve">Toda la información generada, obtenida, adquirida, transformada, administrada o en posesión de los sujetos obligados es pública y accesible </w:t>
      </w:r>
      <w:r w:rsidRPr="00A171A5">
        <w:rPr>
          <w:rFonts w:ascii="Palatino Linotype" w:hAnsi="Palatino Linotype"/>
          <w:b/>
          <w:bCs/>
          <w:i/>
          <w:u w:val="single"/>
        </w:rPr>
        <w:lastRenderedPageBreak/>
        <w:t>de manera permanente a cualquier persona,</w:t>
      </w:r>
      <w:r w:rsidRPr="00A171A5">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A6C22F" w14:textId="77777777" w:rsidR="00EA1DFF" w:rsidRPr="00A171A5" w:rsidRDefault="00EA1DFF" w:rsidP="00EA1DFF">
      <w:pPr>
        <w:spacing w:after="0" w:line="240" w:lineRule="auto"/>
        <w:ind w:left="851" w:right="851"/>
        <w:jc w:val="both"/>
        <w:rPr>
          <w:rFonts w:ascii="Palatino Linotype" w:hAnsi="Palatino Linotype"/>
          <w:bCs/>
          <w:i/>
        </w:rPr>
      </w:pPr>
    </w:p>
    <w:p w14:paraId="22744F55" w14:textId="77777777" w:rsidR="00EA1DFF" w:rsidRPr="00A171A5" w:rsidRDefault="00EA1DFF" w:rsidP="00EA1DFF">
      <w:pPr>
        <w:spacing w:after="0" w:line="240" w:lineRule="auto"/>
        <w:ind w:left="851" w:right="851"/>
        <w:jc w:val="both"/>
        <w:rPr>
          <w:rFonts w:ascii="Palatino Linotype" w:hAnsi="Palatino Linotype"/>
          <w:bCs/>
          <w:i/>
        </w:rPr>
      </w:pPr>
      <w:r w:rsidRPr="00A171A5">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3142394" w14:textId="77777777" w:rsidR="00EA1DFF" w:rsidRPr="00A171A5" w:rsidRDefault="00EA1DFF" w:rsidP="00EA1DFF">
      <w:pPr>
        <w:spacing w:after="0" w:line="240" w:lineRule="auto"/>
        <w:ind w:left="851" w:right="851"/>
        <w:jc w:val="both"/>
        <w:rPr>
          <w:rFonts w:ascii="Palatino Linotype" w:hAnsi="Palatino Linotype"/>
          <w:i/>
        </w:rPr>
      </w:pPr>
    </w:p>
    <w:p w14:paraId="16A5CB58" w14:textId="77777777" w:rsidR="00EA1DFF" w:rsidRPr="00A171A5" w:rsidRDefault="00EA1DFF" w:rsidP="00EA1DFF">
      <w:pPr>
        <w:spacing w:after="0" w:line="240" w:lineRule="auto"/>
        <w:ind w:left="851" w:right="851"/>
        <w:jc w:val="both"/>
        <w:rPr>
          <w:rFonts w:ascii="Palatino Linotype" w:hAnsi="Palatino Linotype"/>
          <w:i/>
        </w:rPr>
      </w:pPr>
      <w:r w:rsidRPr="00A171A5">
        <w:rPr>
          <w:rFonts w:ascii="Palatino Linotype" w:hAnsi="Palatino Linotype"/>
          <w:b/>
          <w:i/>
        </w:rPr>
        <w:t>Artículo 12.</w:t>
      </w:r>
      <w:r w:rsidRPr="00A171A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176BBFE" w14:textId="77777777" w:rsidR="00EA1DFF" w:rsidRPr="00A171A5" w:rsidRDefault="00EA1DFF" w:rsidP="00EA1DFF">
      <w:pPr>
        <w:spacing w:after="0" w:line="240" w:lineRule="auto"/>
        <w:ind w:left="851" w:right="851"/>
        <w:jc w:val="both"/>
        <w:rPr>
          <w:rFonts w:ascii="Palatino Linotype" w:hAnsi="Palatino Linotype"/>
          <w:i/>
        </w:rPr>
      </w:pPr>
    </w:p>
    <w:p w14:paraId="7316F4FC" w14:textId="77777777" w:rsidR="00EA1DFF" w:rsidRPr="00A171A5" w:rsidRDefault="00EA1DFF" w:rsidP="00EA1DFF">
      <w:pPr>
        <w:spacing w:after="0" w:line="240" w:lineRule="auto"/>
        <w:ind w:left="851" w:right="851"/>
        <w:jc w:val="both"/>
        <w:rPr>
          <w:rFonts w:ascii="Palatino Linotype" w:hAnsi="Palatino Linotype"/>
          <w:i/>
          <w:u w:val="single"/>
        </w:rPr>
      </w:pPr>
      <w:r w:rsidRPr="00A171A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171A5">
        <w:rPr>
          <w:rFonts w:ascii="Palatino Linotype" w:hAnsi="Palatino Linotype"/>
          <w:i/>
        </w:rPr>
        <w:t>.</w:t>
      </w:r>
    </w:p>
    <w:p w14:paraId="52C14F2C" w14:textId="77777777" w:rsidR="00746296" w:rsidRPr="00A171A5" w:rsidRDefault="00746296" w:rsidP="00EA1DFF">
      <w:pPr>
        <w:spacing w:after="0" w:line="360" w:lineRule="auto"/>
        <w:jc w:val="both"/>
        <w:rPr>
          <w:rFonts w:ascii="Palatino Linotype" w:eastAsia="Times New Roman" w:hAnsi="Palatino Linotype" w:cs="Times New Roman"/>
          <w:sz w:val="28"/>
          <w:szCs w:val="24"/>
          <w:lang w:val="es-ES" w:eastAsia="es-ES"/>
        </w:rPr>
      </w:pPr>
    </w:p>
    <w:p w14:paraId="5D072CEA" w14:textId="77777777" w:rsidR="00746296" w:rsidRPr="00A171A5" w:rsidRDefault="00746296" w:rsidP="00746296">
      <w:pPr>
        <w:spacing w:after="0" w:line="360" w:lineRule="auto"/>
        <w:jc w:val="both"/>
        <w:rPr>
          <w:rFonts w:ascii="Palatino Linotype" w:eastAsia="Palatino Linotype" w:hAnsi="Palatino Linotype" w:cs="Palatino Linotype"/>
          <w:b/>
          <w:i/>
          <w:color w:val="000000"/>
          <w:sz w:val="28"/>
          <w:lang w:eastAsia="es-MX"/>
        </w:rPr>
      </w:pPr>
      <w:r w:rsidRPr="00A171A5">
        <w:rPr>
          <w:rFonts w:ascii="Palatino Linotype" w:eastAsia="Palatino Linotype" w:hAnsi="Palatino Linotype" w:cs="Palatino Linotype"/>
          <w:b/>
          <w:i/>
          <w:color w:val="000000"/>
          <w:sz w:val="28"/>
          <w:lang w:eastAsia="es-MX"/>
        </w:rPr>
        <w:t>Versión Pública</w:t>
      </w:r>
    </w:p>
    <w:p w14:paraId="7752F65B" w14:textId="77777777" w:rsidR="00746296" w:rsidRPr="00A171A5" w:rsidRDefault="00746296" w:rsidP="00746296">
      <w:pPr>
        <w:spacing w:after="0" w:line="360" w:lineRule="auto"/>
        <w:jc w:val="both"/>
        <w:rPr>
          <w:rFonts w:ascii="Palatino Linotype" w:eastAsia="Palatino Linotype" w:hAnsi="Palatino Linotype" w:cs="Palatino Linotype"/>
          <w:b/>
          <w:smallCaps/>
          <w:color w:val="000000"/>
          <w:sz w:val="24"/>
          <w:lang w:eastAsia="es-MX"/>
        </w:rPr>
      </w:pPr>
    </w:p>
    <w:p w14:paraId="44C1E9BC"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Establecido lo anterior,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5E30A1B2"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0AB7FFAF"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Igualmente, el segundo párrafo del artículo 16 de dicho ordenamiento, dispone que toda persona tiene derecho a la protección de sus datos personales, al acceso, rectificación y cancelación de los mismos; así como, a manifestar su oposición, en los </w:t>
      </w:r>
      <w:r w:rsidRPr="00A171A5">
        <w:rPr>
          <w:rFonts w:ascii="Palatino Linotype" w:eastAsia="Palatino Linotype" w:hAnsi="Palatino Linotype" w:cs="Palatino Linotype"/>
          <w:color w:val="000000"/>
          <w:sz w:val="24"/>
          <w:lang w:eastAsia="es-MX"/>
        </w:rPr>
        <w:lastRenderedPageBreak/>
        <w:t xml:space="preserve">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4FD8A421"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451D71BC"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5A11AC8"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608D2A32"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2989B34"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5386E7F7"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797DD2E8"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6B1108DD"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A171A5">
        <w:rPr>
          <w:rFonts w:ascii="Palatino Linotype" w:eastAsia="Palatino Linotype" w:hAnsi="Palatino Linotype" w:cs="Palatino Linotype"/>
          <w:smallCaps/>
          <w:color w:val="000000"/>
          <w:sz w:val="24"/>
          <w:lang w:eastAsia="es-MX"/>
        </w:rPr>
        <w:t>I</w:t>
      </w:r>
      <w:r w:rsidRPr="00A171A5">
        <w:rPr>
          <w:rFonts w:ascii="Palatino Linotype" w:eastAsia="Palatino Linotype" w:hAnsi="Palatino Linotype" w:cs="Palatino Linotype"/>
          <w:color w:val="000000"/>
          <w:sz w:val="24"/>
          <w:lang w:eastAsia="es-MX"/>
        </w:rPr>
        <w:t xml:space="preserve">) la información se encuentre en registros públicos o fuentes de acceso público, </w:t>
      </w:r>
      <w:r w:rsidRPr="00A171A5">
        <w:rPr>
          <w:rFonts w:ascii="Palatino Linotype" w:eastAsia="Palatino Linotype" w:hAnsi="Palatino Linotype" w:cs="Palatino Linotype"/>
          <w:smallCaps/>
          <w:color w:val="000000"/>
          <w:sz w:val="24"/>
          <w:lang w:eastAsia="es-MX"/>
        </w:rPr>
        <w:t>II</w:t>
      </w:r>
      <w:r w:rsidRPr="00A171A5">
        <w:rPr>
          <w:rFonts w:ascii="Palatino Linotype" w:eastAsia="Palatino Linotype" w:hAnsi="Palatino Linotype" w:cs="Palatino Linotype"/>
          <w:color w:val="000000"/>
          <w:sz w:val="24"/>
          <w:lang w:eastAsia="es-MX"/>
        </w:rPr>
        <w:t xml:space="preserve">) por ley tenga el carácter </w:t>
      </w:r>
      <w:r w:rsidRPr="00A171A5">
        <w:rPr>
          <w:rFonts w:ascii="Palatino Linotype" w:eastAsia="Palatino Linotype" w:hAnsi="Palatino Linotype" w:cs="Palatino Linotype"/>
          <w:color w:val="000000"/>
          <w:sz w:val="24"/>
          <w:lang w:eastAsia="es-MX"/>
        </w:rPr>
        <w:lastRenderedPageBreak/>
        <w:t xml:space="preserve">de pública, </w:t>
      </w:r>
      <w:r w:rsidRPr="00A171A5">
        <w:rPr>
          <w:rFonts w:ascii="Palatino Linotype" w:eastAsia="Palatino Linotype" w:hAnsi="Palatino Linotype" w:cs="Palatino Linotype"/>
          <w:smallCaps/>
          <w:color w:val="000000"/>
          <w:sz w:val="24"/>
          <w:lang w:eastAsia="es-MX"/>
        </w:rPr>
        <w:t>III</w:t>
      </w:r>
      <w:r w:rsidRPr="00A171A5">
        <w:rPr>
          <w:rFonts w:ascii="Palatino Linotype" w:eastAsia="Palatino Linotype" w:hAnsi="Palatino Linotype" w:cs="Palatino Linotype"/>
          <w:color w:val="000000"/>
          <w:sz w:val="24"/>
          <w:lang w:eastAsia="es-MX"/>
        </w:rPr>
        <w:t xml:space="preserve">) exista una orden judicial, </w:t>
      </w:r>
      <w:r w:rsidRPr="00A171A5">
        <w:rPr>
          <w:rFonts w:ascii="Palatino Linotype" w:eastAsia="Palatino Linotype" w:hAnsi="Palatino Linotype" w:cs="Palatino Linotype"/>
          <w:smallCaps/>
          <w:color w:val="000000"/>
          <w:sz w:val="24"/>
          <w:lang w:eastAsia="es-MX"/>
        </w:rPr>
        <w:t>IV</w:t>
      </w:r>
      <w:r w:rsidRPr="00A171A5">
        <w:rPr>
          <w:rFonts w:ascii="Palatino Linotype" w:eastAsia="Palatino Linotype" w:hAnsi="Palatino Linotype" w:cs="Palatino Linotype"/>
          <w:color w:val="000000"/>
          <w:sz w:val="24"/>
          <w:lang w:eastAsia="es-MX"/>
        </w:rPr>
        <w:t xml:space="preserve">) por razones de seguridad nacional y salubridad general o </w:t>
      </w:r>
      <w:r w:rsidRPr="00A171A5">
        <w:rPr>
          <w:rFonts w:ascii="Palatino Linotype" w:eastAsia="Palatino Linotype" w:hAnsi="Palatino Linotype" w:cs="Palatino Linotype"/>
          <w:smallCaps/>
          <w:color w:val="000000"/>
          <w:sz w:val="24"/>
          <w:lang w:eastAsia="es-MX"/>
        </w:rPr>
        <w:t>V</w:t>
      </w:r>
      <w:r w:rsidRPr="00A171A5">
        <w:rPr>
          <w:rFonts w:ascii="Palatino Linotype" w:eastAsia="Palatino Linotype" w:hAnsi="Palatino Linotype" w:cs="Palatino Linotype"/>
          <w:color w:val="000000"/>
          <w:sz w:val="24"/>
          <w:lang w:eastAsia="es-MX"/>
        </w:rPr>
        <w:t>) para proteger los derechos de terceros o cuando se transmitan entre sujetos obligados en términos de los tratados y los acuerdos interinstitucionales.</w:t>
      </w:r>
    </w:p>
    <w:p w14:paraId="078DE66C"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69CD7282"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En términos de lo expuesto, la documentación y aquellos datos que se consideren confidenciales, serán una limitante del derecho de acceso a la información, siempre y cuando:</w:t>
      </w:r>
    </w:p>
    <w:p w14:paraId="09AEC4B0"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10BC5727" w14:textId="77777777" w:rsidR="00746296" w:rsidRPr="00A171A5" w:rsidRDefault="00746296" w:rsidP="00746296">
      <w:pPr>
        <w:numPr>
          <w:ilvl w:val="0"/>
          <w:numId w:val="13"/>
        </w:num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Se trate de datos personales o información privada; esto es, información concerniente a una persona física o jurídica colectiva y que esta sea identificada o identificable. </w:t>
      </w:r>
    </w:p>
    <w:p w14:paraId="24682406" w14:textId="77777777" w:rsidR="00746296" w:rsidRPr="00A171A5" w:rsidRDefault="00746296" w:rsidP="00746296">
      <w:pPr>
        <w:numPr>
          <w:ilvl w:val="0"/>
          <w:numId w:val="13"/>
        </w:num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Para la difusión de los datos, se requiere el consentimiento del titular. </w:t>
      </w:r>
    </w:p>
    <w:p w14:paraId="4A3ABE24"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4A9D3B40"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CF6EDBB"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780ACC7D"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Además, en el artículo 5° de dicho ordenamiento jurídico, establece que es la Ley aplicable para todo tratamiento de datos personales.</w:t>
      </w:r>
    </w:p>
    <w:p w14:paraId="5153C208"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15479908"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6C67F80"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38164929"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A0186E1"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37A04F8A"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C1826E5"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6598D6C9"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De tal suerte, las instituciones públicas tienen la doble responsabilidad, por un lado, de proteger los datos personales y por otro, darles publicidad cuando la relevancia de esos datos sea de interés público.</w:t>
      </w:r>
    </w:p>
    <w:p w14:paraId="3374D4AE"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240FF420"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3152C18"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2E495E99"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w:t>
      </w:r>
      <w:r w:rsidRPr="00A171A5">
        <w:rPr>
          <w:rFonts w:ascii="Palatino Linotype" w:eastAsia="Palatino Linotype" w:hAnsi="Palatino Linotype" w:cs="Palatino Linotype"/>
          <w:color w:val="000000"/>
          <w:sz w:val="24"/>
          <w:lang w:eastAsia="es-MX"/>
        </w:rPr>
        <w:lastRenderedPageBreak/>
        <w:t xml:space="preserve">el beneficio de su publicidad es mayor que el beneficio de su clasificación, </w:t>
      </w:r>
      <w:r w:rsidR="00834E7F" w:rsidRPr="00A171A5">
        <w:rPr>
          <w:rFonts w:ascii="Palatino Linotype" w:eastAsia="Palatino Linotype" w:hAnsi="Palatino Linotype" w:cs="Palatino Linotype"/>
          <w:color w:val="000000"/>
          <w:sz w:val="24"/>
          <w:lang w:eastAsia="es-MX"/>
        </w:rPr>
        <w:t>aun</w:t>
      </w:r>
      <w:r w:rsidRPr="00A171A5">
        <w:rPr>
          <w:rFonts w:ascii="Palatino Linotype" w:eastAsia="Palatino Linotype" w:hAnsi="Palatino Linotype" w:cs="Palatino Linotype"/>
          <w:color w:val="000000"/>
          <w:sz w:val="24"/>
          <w:lang w:eastAsia="es-MX"/>
        </w:rPr>
        <w:t xml:space="preserve"> tratándose de información personal.</w:t>
      </w:r>
    </w:p>
    <w:p w14:paraId="4FBEF12B"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6B36D370"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15A6135"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734FE8EC"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Bajo ese contexto, se analizarán de manera enunciativa más no limitativa algunos datos personales que pueden encontrarse dentro de los documentos que pueden dar cuenta de lo requerido por el Particular y que actualiza el supuesto de información confidencial por corresponder a la vida privada de las personas </w:t>
      </w:r>
      <w:r w:rsidRPr="00A171A5">
        <w:rPr>
          <w:rFonts w:ascii="Palatino Linotype" w:eastAsia="Palatino Linotype" w:hAnsi="Palatino Linotype" w:cs="Palatino Linotype"/>
          <w:color w:val="000000"/>
          <w:sz w:val="24"/>
          <w:u w:val="single"/>
          <w:lang w:eastAsia="es-MX"/>
        </w:rPr>
        <w:t>son nombres de particulares, domicilios particulares, CURP, RFC, datos de predios, claves catastrales de particulares, entre otros</w:t>
      </w:r>
      <w:r w:rsidRPr="00A171A5">
        <w:rPr>
          <w:rFonts w:ascii="Palatino Linotype" w:eastAsia="Palatino Linotype" w:hAnsi="Palatino Linotype" w:cs="Palatino Linotype"/>
          <w:color w:val="000000"/>
          <w:sz w:val="24"/>
          <w:lang w:eastAsia="es-MX"/>
        </w:rPr>
        <w:t>, los cuales actualizan la causal de clasificación establecida en el artículo 143, fracción I, de la Ley de Transparencia y Acceso a la Información Pública del Estado de México y Municipios.</w:t>
      </w:r>
    </w:p>
    <w:p w14:paraId="5BA78830"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p>
    <w:p w14:paraId="45208D5A" w14:textId="77777777" w:rsidR="00746296" w:rsidRPr="00A171A5" w:rsidRDefault="00746296" w:rsidP="00746296">
      <w:pPr>
        <w:spacing w:after="0" w:line="360" w:lineRule="auto"/>
        <w:jc w:val="both"/>
        <w:rPr>
          <w:rFonts w:ascii="Palatino Linotype" w:eastAsia="Palatino Linotype" w:hAnsi="Palatino Linotype" w:cs="Palatino Linotype"/>
          <w:color w:val="000000"/>
          <w:sz w:val="24"/>
          <w:lang w:eastAsia="es-MX"/>
        </w:rPr>
      </w:pPr>
      <w:r w:rsidRPr="00A171A5">
        <w:rPr>
          <w:rFonts w:ascii="Palatino Linotype" w:eastAsia="Palatino Linotype" w:hAnsi="Palatino Linotype" w:cs="Palatino Linotype"/>
          <w:color w:val="000000"/>
          <w:sz w:val="24"/>
          <w:lang w:eastAsia="es-MX"/>
        </w:rPr>
        <w:t xml:space="preserve">Además, el Sujeto Obligado deberá seguir el procedimiento establecido en el artículo 168 de dicho ordenamiento jurídico; esto es, que el área competente deberá elaborar la versión pública en los términos planteados en la presente Resolución, así como emitir </w:t>
      </w:r>
      <w:r w:rsidRPr="00A171A5">
        <w:rPr>
          <w:rFonts w:ascii="Palatino Linotype" w:eastAsia="Palatino Linotype" w:hAnsi="Palatino Linotype" w:cs="Palatino Linotype"/>
          <w:color w:val="000000"/>
          <w:sz w:val="24"/>
          <w:lang w:eastAsia="es-MX"/>
        </w:rPr>
        <w:lastRenderedPageBreak/>
        <w:t>el Acuerdo, por parte del Comité de Transparencia, donde confirme la clasificación de los datos previamente señalados, fundando y motivando la clasificación.</w:t>
      </w:r>
    </w:p>
    <w:p w14:paraId="0CDB8F76" w14:textId="77777777" w:rsidR="00746296" w:rsidRPr="00A171A5" w:rsidRDefault="00746296" w:rsidP="00EA1DFF">
      <w:pPr>
        <w:spacing w:after="0" w:line="360" w:lineRule="auto"/>
        <w:jc w:val="both"/>
        <w:rPr>
          <w:rFonts w:ascii="Palatino Linotype" w:eastAsia="Times New Roman" w:hAnsi="Palatino Linotype" w:cs="Times New Roman"/>
          <w:sz w:val="24"/>
          <w:szCs w:val="24"/>
          <w:lang w:val="es-ES" w:eastAsia="es-ES"/>
        </w:rPr>
      </w:pPr>
    </w:p>
    <w:p w14:paraId="5E1B6C92" w14:textId="77777777" w:rsidR="0029465F" w:rsidRPr="00A171A5" w:rsidRDefault="0029465F" w:rsidP="0029465F">
      <w:pPr>
        <w:spacing w:line="360" w:lineRule="auto"/>
        <w:ind w:right="51"/>
        <w:jc w:val="both"/>
        <w:rPr>
          <w:rFonts w:ascii="Palatino Linotype" w:hAnsi="Palatino Linotype"/>
          <w:sz w:val="24"/>
        </w:rPr>
      </w:pPr>
      <w:r w:rsidRPr="00A171A5">
        <w:rPr>
          <w:rFonts w:ascii="Palatino Linotype" w:hAnsi="Palatino Linotype"/>
          <w:sz w:val="24"/>
        </w:rPr>
        <w:t xml:space="preserve">En mérito de lo expuesto en líneas anteriores, al resultar parcialmente fundados los motivos de inconformidad vertidos por </w:t>
      </w:r>
      <w:r w:rsidRPr="00A171A5">
        <w:rPr>
          <w:rFonts w:ascii="Palatino Linotype" w:hAnsi="Palatino Linotype"/>
          <w:b/>
          <w:sz w:val="24"/>
        </w:rPr>
        <w:t>el Recurrente</w:t>
      </w:r>
      <w:r w:rsidRPr="00A171A5">
        <w:rPr>
          <w:rFonts w:ascii="Palatino Linotype" w:hAnsi="Palatino Linotype"/>
          <w:sz w:val="24"/>
        </w:rPr>
        <w:t xml:space="preserve">, con fundamento en la </w:t>
      </w:r>
      <w:r w:rsidR="000D0CA5" w:rsidRPr="00A171A5">
        <w:rPr>
          <w:rFonts w:ascii="Palatino Linotype" w:hAnsi="Palatino Linotype"/>
          <w:sz w:val="24"/>
        </w:rPr>
        <w:t>primera</w:t>
      </w:r>
      <w:r w:rsidRPr="00A171A5">
        <w:rPr>
          <w:rFonts w:ascii="Palatino Linotype" w:hAnsi="Palatino Linotype"/>
          <w:sz w:val="24"/>
        </w:rPr>
        <w:t xml:space="preserve"> hipótesis del artículo 186 fracción III de la Ley de Transparencia y Acceso a la Información Pública del Estado de México y Municipios, se </w:t>
      </w:r>
      <w:r w:rsidR="000D0CA5" w:rsidRPr="00A171A5">
        <w:rPr>
          <w:rFonts w:ascii="Palatino Linotype" w:hAnsi="Palatino Linotype"/>
          <w:b/>
          <w:sz w:val="24"/>
        </w:rPr>
        <w:tab/>
        <w:t>REVOCA</w:t>
      </w:r>
      <w:r w:rsidRPr="00A171A5">
        <w:rPr>
          <w:rFonts w:ascii="Palatino Linotype" w:hAnsi="Palatino Linotype"/>
          <w:b/>
          <w:sz w:val="24"/>
        </w:rPr>
        <w:t xml:space="preserve"> </w:t>
      </w:r>
      <w:r w:rsidRPr="00A171A5">
        <w:rPr>
          <w:rFonts w:ascii="Palatino Linotype" w:hAnsi="Palatino Linotype"/>
          <w:sz w:val="24"/>
        </w:rPr>
        <w:t xml:space="preserve">la respuesta emitida a la solicitud de información </w:t>
      </w:r>
      <w:r w:rsidRPr="00A171A5">
        <w:rPr>
          <w:rFonts w:ascii="Palatino Linotype" w:eastAsia="Times New Roman" w:hAnsi="Palatino Linotype" w:cs="Times New Roman"/>
          <w:b/>
          <w:sz w:val="24"/>
          <w:szCs w:val="24"/>
          <w:lang w:val="es-ES" w:eastAsia="es-ES"/>
        </w:rPr>
        <w:t>00020/AMECAMEC/IP/2025</w:t>
      </w:r>
      <w:r w:rsidRPr="00A171A5">
        <w:rPr>
          <w:rFonts w:ascii="Palatino Linotype" w:hAnsi="Palatino Linotype"/>
          <w:b/>
          <w:bCs/>
          <w:sz w:val="24"/>
        </w:rPr>
        <w:t>,</w:t>
      </w:r>
      <w:r w:rsidRPr="00A171A5">
        <w:rPr>
          <w:rFonts w:ascii="Palatino Linotype" w:hAnsi="Palatino Linotype" w:cs="Arial"/>
          <w:sz w:val="24"/>
        </w:rPr>
        <w:t xml:space="preserve"> </w:t>
      </w:r>
      <w:r w:rsidRPr="00A171A5">
        <w:rPr>
          <w:rFonts w:ascii="Palatino Linotype" w:hAnsi="Palatino Linotype"/>
          <w:sz w:val="24"/>
        </w:rPr>
        <w:t>que ha sido materia del presente fallo.</w:t>
      </w:r>
    </w:p>
    <w:p w14:paraId="5D20FA8C" w14:textId="77777777" w:rsidR="00EA1DFF" w:rsidRPr="00A171A5" w:rsidRDefault="00EA1DFF" w:rsidP="00EA1DFF">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A171A5">
        <w:rPr>
          <w:rFonts w:ascii="Palatino Linotype" w:eastAsia="Times New Roman" w:hAnsi="Palatino Linotype" w:cs="Times New Roman"/>
          <w:sz w:val="24"/>
          <w:szCs w:val="24"/>
          <w:lang w:val="es-ES" w:eastAsia="es-ES"/>
        </w:rPr>
        <w:t xml:space="preserve">Por lo antes expuesto y fundado es de resolverse y, </w:t>
      </w:r>
    </w:p>
    <w:p w14:paraId="5538C112" w14:textId="77777777" w:rsidR="00EA1DFF" w:rsidRPr="00A171A5" w:rsidRDefault="00EA1DFF" w:rsidP="00EA1DFF">
      <w:pPr>
        <w:spacing w:after="0" w:line="360" w:lineRule="auto"/>
        <w:jc w:val="both"/>
        <w:rPr>
          <w:rFonts w:ascii="Palatino Linotype" w:eastAsia="Times New Roman" w:hAnsi="Palatino Linotype" w:cs="Times New Roman"/>
          <w:sz w:val="24"/>
          <w:szCs w:val="24"/>
          <w:lang w:eastAsia="es-ES"/>
        </w:rPr>
      </w:pPr>
    </w:p>
    <w:p w14:paraId="7D53C52C" w14:textId="77777777" w:rsidR="00EA1DFF" w:rsidRPr="00A171A5" w:rsidRDefault="00EA1DFF" w:rsidP="00EA1DFF">
      <w:pPr>
        <w:spacing w:after="0" w:line="360" w:lineRule="auto"/>
        <w:jc w:val="center"/>
        <w:rPr>
          <w:rFonts w:ascii="Palatino Linotype" w:eastAsia="Times New Roman" w:hAnsi="Palatino Linotype" w:cs="Times New Roman"/>
          <w:bCs/>
          <w:spacing w:val="60"/>
          <w:sz w:val="24"/>
          <w:szCs w:val="24"/>
          <w:lang w:val="es-ES_tradnl" w:eastAsia="es-ES"/>
        </w:rPr>
      </w:pPr>
      <w:r w:rsidRPr="00A171A5">
        <w:rPr>
          <w:rFonts w:ascii="Palatino Linotype" w:eastAsia="Times New Roman" w:hAnsi="Palatino Linotype" w:cs="Times New Roman"/>
          <w:b/>
          <w:bCs/>
          <w:spacing w:val="60"/>
          <w:sz w:val="28"/>
          <w:szCs w:val="24"/>
          <w:lang w:val="es-ES_tradnl" w:eastAsia="es-ES"/>
        </w:rPr>
        <w:t>SE    RESUELVE</w:t>
      </w:r>
    </w:p>
    <w:p w14:paraId="11C02FEF" w14:textId="77777777" w:rsidR="00EA1DFF" w:rsidRPr="00A171A5" w:rsidRDefault="00EA1DFF" w:rsidP="00EA1DFF">
      <w:pPr>
        <w:autoSpaceDE w:val="0"/>
        <w:autoSpaceDN w:val="0"/>
        <w:adjustRightInd w:val="0"/>
        <w:spacing w:after="0" w:line="360" w:lineRule="auto"/>
        <w:ind w:right="49"/>
        <w:jc w:val="both"/>
        <w:rPr>
          <w:rFonts w:ascii="Palatino Linotype" w:hAnsi="Palatino Linotype" w:cs="Arial"/>
          <w:sz w:val="28"/>
          <w:szCs w:val="28"/>
          <w:lang w:val="es-ES_tradnl"/>
        </w:rPr>
      </w:pPr>
    </w:p>
    <w:p w14:paraId="14FB9C8C" w14:textId="77777777" w:rsidR="0029465F" w:rsidRPr="00A171A5" w:rsidRDefault="0029465F" w:rsidP="0029465F">
      <w:pPr>
        <w:spacing w:line="360" w:lineRule="auto"/>
        <w:jc w:val="both"/>
        <w:rPr>
          <w:rFonts w:ascii="Palatino Linotype" w:hAnsi="Palatino Linotype" w:cs="Arial"/>
          <w:sz w:val="24"/>
        </w:rPr>
      </w:pPr>
      <w:r w:rsidRPr="00A171A5">
        <w:rPr>
          <w:rFonts w:ascii="Palatino Linotype" w:hAnsi="Palatino Linotype" w:cs="Arial"/>
          <w:b/>
          <w:sz w:val="28"/>
          <w:szCs w:val="28"/>
        </w:rPr>
        <w:t>PRIMERO</w:t>
      </w:r>
      <w:r w:rsidRPr="00A171A5">
        <w:rPr>
          <w:rFonts w:ascii="Palatino Linotype" w:hAnsi="Palatino Linotype" w:cs="Arial"/>
          <w:sz w:val="32"/>
          <w:szCs w:val="28"/>
        </w:rPr>
        <w:t>.</w:t>
      </w:r>
      <w:r w:rsidRPr="00A171A5">
        <w:rPr>
          <w:rFonts w:ascii="Palatino Linotype" w:hAnsi="Palatino Linotype" w:cs="Arial"/>
        </w:rPr>
        <w:t xml:space="preserve"> </w:t>
      </w:r>
      <w:r w:rsidRPr="00A171A5">
        <w:rPr>
          <w:rFonts w:ascii="Palatino Linotype" w:hAnsi="Palatino Linotype" w:cs="Arial"/>
          <w:sz w:val="24"/>
        </w:rPr>
        <w:t>Se</w:t>
      </w:r>
      <w:r w:rsidRPr="00A171A5">
        <w:rPr>
          <w:rFonts w:ascii="Palatino Linotype" w:hAnsi="Palatino Linotype" w:cs="Arial"/>
          <w:b/>
          <w:sz w:val="24"/>
        </w:rPr>
        <w:t xml:space="preserve"> </w:t>
      </w:r>
      <w:r w:rsidR="000D0CA5" w:rsidRPr="00A171A5">
        <w:rPr>
          <w:rFonts w:ascii="Palatino Linotype" w:hAnsi="Palatino Linotype" w:cs="Arial"/>
          <w:b/>
          <w:sz w:val="24"/>
        </w:rPr>
        <w:t>REVO</w:t>
      </w:r>
      <w:r w:rsidRPr="00A171A5">
        <w:rPr>
          <w:rFonts w:ascii="Palatino Linotype" w:hAnsi="Palatino Linotype" w:cs="Arial"/>
          <w:b/>
          <w:sz w:val="24"/>
        </w:rPr>
        <w:t xml:space="preserve">CA </w:t>
      </w:r>
      <w:r w:rsidRPr="00A171A5">
        <w:rPr>
          <w:rFonts w:ascii="Palatino Linotype" w:hAnsi="Palatino Linotype" w:cs="Arial"/>
          <w:sz w:val="24"/>
        </w:rPr>
        <w:t xml:space="preserve">la respuesta del </w:t>
      </w:r>
      <w:r w:rsidRPr="00A171A5">
        <w:rPr>
          <w:rFonts w:ascii="Palatino Linotype" w:hAnsi="Palatino Linotype" w:cs="Arial"/>
          <w:b/>
          <w:sz w:val="24"/>
        </w:rPr>
        <w:t>Sujeto Obligado</w:t>
      </w:r>
      <w:r w:rsidRPr="00A171A5">
        <w:rPr>
          <w:rFonts w:ascii="Palatino Linotype" w:hAnsi="Palatino Linotype" w:cs="Arial"/>
          <w:sz w:val="24"/>
        </w:rPr>
        <w:t xml:space="preserve"> a la solicitud de acceso a la información pública</w:t>
      </w:r>
      <w:r w:rsidRPr="00A171A5">
        <w:rPr>
          <w:rFonts w:ascii="Palatino Linotype" w:hAnsi="Palatino Linotype" w:cs="Arial"/>
          <w:b/>
          <w:sz w:val="24"/>
        </w:rPr>
        <w:t xml:space="preserve"> </w:t>
      </w:r>
      <w:r w:rsidRPr="00A171A5">
        <w:rPr>
          <w:rFonts w:ascii="Palatino Linotype" w:eastAsia="Times New Roman" w:hAnsi="Palatino Linotype" w:cs="Times New Roman"/>
          <w:b/>
          <w:sz w:val="24"/>
          <w:szCs w:val="24"/>
          <w:lang w:val="es-ES" w:eastAsia="es-ES"/>
        </w:rPr>
        <w:t>00020/AMECAMEC/IP/2025</w:t>
      </w:r>
      <w:r w:rsidRPr="00A171A5">
        <w:rPr>
          <w:rFonts w:ascii="Palatino Linotype" w:hAnsi="Palatino Linotype" w:cs="Arial"/>
          <w:sz w:val="24"/>
        </w:rPr>
        <w:t>,</w:t>
      </w:r>
      <w:r w:rsidRPr="00A171A5">
        <w:rPr>
          <w:rFonts w:ascii="Palatino Linotype" w:hAnsi="Palatino Linotype" w:cs="Tahoma"/>
          <w:b/>
          <w:sz w:val="24"/>
        </w:rPr>
        <w:t xml:space="preserve"> </w:t>
      </w:r>
      <w:r w:rsidRPr="00A171A5">
        <w:rPr>
          <w:rFonts w:ascii="Palatino Linotype" w:hAnsi="Palatino Linotype" w:cs="Arial"/>
          <w:sz w:val="24"/>
        </w:rPr>
        <w:t>por resultar fundados</w:t>
      </w:r>
      <w:r w:rsidRPr="00A171A5">
        <w:rPr>
          <w:rFonts w:ascii="Palatino Linotype" w:hAnsi="Palatino Linotype" w:cs="Arial"/>
          <w:b/>
          <w:sz w:val="24"/>
        </w:rPr>
        <w:t xml:space="preserve"> </w:t>
      </w:r>
      <w:r w:rsidRPr="00A171A5">
        <w:rPr>
          <w:rFonts w:ascii="Palatino Linotype" w:hAnsi="Palatino Linotype" w:cs="Arial"/>
          <w:sz w:val="24"/>
        </w:rPr>
        <w:t xml:space="preserve">los motivos de inconformidad vertidos por la parte </w:t>
      </w:r>
      <w:r w:rsidRPr="00A171A5">
        <w:rPr>
          <w:rFonts w:ascii="Palatino Linotype" w:hAnsi="Palatino Linotype" w:cs="Arial"/>
          <w:b/>
          <w:sz w:val="24"/>
        </w:rPr>
        <w:t>Recurrente</w:t>
      </w:r>
      <w:r w:rsidRPr="00A171A5">
        <w:rPr>
          <w:rFonts w:ascii="Palatino Linotype" w:hAnsi="Palatino Linotype" w:cs="Arial"/>
          <w:sz w:val="24"/>
        </w:rPr>
        <w:t>, en términos del considerando</w:t>
      </w:r>
      <w:r w:rsidRPr="00A171A5">
        <w:rPr>
          <w:rFonts w:ascii="Palatino Linotype" w:hAnsi="Palatino Linotype" w:cs="Arial"/>
          <w:b/>
          <w:sz w:val="24"/>
        </w:rPr>
        <w:t xml:space="preserve"> CUARTO </w:t>
      </w:r>
      <w:r w:rsidRPr="00A171A5">
        <w:rPr>
          <w:rFonts w:ascii="Palatino Linotype" w:hAnsi="Palatino Linotype" w:cs="Arial"/>
          <w:sz w:val="24"/>
        </w:rPr>
        <w:t>de la presente Resolución.</w:t>
      </w:r>
    </w:p>
    <w:p w14:paraId="13B16D98" w14:textId="77777777" w:rsidR="0029465F" w:rsidRPr="00A171A5" w:rsidRDefault="0029465F" w:rsidP="0029465F">
      <w:pPr>
        <w:spacing w:line="360" w:lineRule="auto"/>
        <w:jc w:val="both"/>
        <w:rPr>
          <w:rFonts w:ascii="Palatino Linotype" w:hAnsi="Palatino Linotype" w:cs="Arial"/>
        </w:rPr>
      </w:pPr>
    </w:p>
    <w:p w14:paraId="18C625AE" w14:textId="77777777" w:rsidR="00EA1DFF" w:rsidRPr="00A171A5" w:rsidRDefault="0029465F" w:rsidP="0029465F">
      <w:pPr>
        <w:spacing w:line="360" w:lineRule="auto"/>
        <w:jc w:val="both"/>
        <w:rPr>
          <w:rFonts w:ascii="Palatino Linotype" w:hAnsi="Palatino Linotype" w:cs="Tahoma"/>
          <w:sz w:val="24"/>
        </w:rPr>
      </w:pPr>
      <w:r w:rsidRPr="00A171A5">
        <w:rPr>
          <w:rFonts w:ascii="Palatino Linotype" w:hAnsi="Palatino Linotype" w:cs="Arial"/>
          <w:b/>
          <w:sz w:val="28"/>
        </w:rPr>
        <w:t>SEGUNDO</w:t>
      </w:r>
      <w:r w:rsidRPr="00A171A5">
        <w:rPr>
          <w:rFonts w:ascii="Palatino Linotype" w:hAnsi="Palatino Linotype" w:cs="Arial"/>
          <w:b/>
        </w:rPr>
        <w:t>.</w:t>
      </w:r>
      <w:r w:rsidRPr="00A171A5">
        <w:rPr>
          <w:rFonts w:ascii="Palatino Linotype" w:hAnsi="Palatino Linotype" w:cs="Tahoma"/>
        </w:rPr>
        <w:t xml:space="preserve"> </w:t>
      </w:r>
      <w:r w:rsidRPr="00A171A5">
        <w:rPr>
          <w:rFonts w:ascii="Palatino Linotype" w:hAnsi="Palatino Linotype" w:cs="Tahoma"/>
          <w:sz w:val="24"/>
        </w:rPr>
        <w:t xml:space="preserve">Se </w:t>
      </w:r>
      <w:r w:rsidRPr="00A171A5">
        <w:rPr>
          <w:rFonts w:ascii="Palatino Linotype" w:hAnsi="Palatino Linotype" w:cs="Tahoma"/>
          <w:b/>
          <w:sz w:val="24"/>
        </w:rPr>
        <w:t>ORDENA</w:t>
      </w:r>
      <w:r w:rsidRPr="00A171A5">
        <w:rPr>
          <w:rFonts w:ascii="Palatino Linotype" w:hAnsi="Palatino Linotype" w:cs="Tahoma"/>
          <w:sz w:val="24"/>
        </w:rPr>
        <w:t xml:space="preserve"> al </w:t>
      </w:r>
      <w:r w:rsidRPr="00A171A5">
        <w:rPr>
          <w:rFonts w:ascii="Palatino Linotype" w:hAnsi="Palatino Linotype" w:cs="Tahoma"/>
          <w:b/>
          <w:sz w:val="24"/>
        </w:rPr>
        <w:t>Sujeto Obligado,</w:t>
      </w:r>
      <w:r w:rsidRPr="00A171A5">
        <w:rPr>
          <w:rFonts w:ascii="Palatino Linotype" w:hAnsi="Palatino Linotype" w:cs="Tahoma"/>
          <w:sz w:val="24"/>
        </w:rPr>
        <w:t xml:space="preserve"> haga entrega a la parte </w:t>
      </w:r>
      <w:r w:rsidRPr="00A171A5">
        <w:rPr>
          <w:rFonts w:ascii="Palatino Linotype" w:hAnsi="Palatino Linotype" w:cs="Tahoma"/>
          <w:b/>
          <w:sz w:val="24"/>
        </w:rPr>
        <w:t>Recurrente</w:t>
      </w:r>
      <w:r w:rsidRPr="00A171A5">
        <w:rPr>
          <w:rFonts w:ascii="Palatino Linotype" w:hAnsi="Palatino Linotype" w:cs="Tahoma"/>
          <w:sz w:val="24"/>
        </w:rPr>
        <w:t>, a través del Sistema de Acceso a la Información Mexiquense (</w:t>
      </w:r>
      <w:r w:rsidRPr="00A171A5">
        <w:rPr>
          <w:rFonts w:ascii="Palatino Linotype" w:hAnsi="Palatino Linotype" w:cs="Tahoma"/>
          <w:b/>
          <w:sz w:val="24"/>
        </w:rPr>
        <w:t>SAIMEX</w:t>
      </w:r>
      <w:r w:rsidRPr="00A171A5">
        <w:rPr>
          <w:rFonts w:ascii="Palatino Linotype" w:hAnsi="Palatino Linotype" w:cs="Tahoma"/>
          <w:sz w:val="24"/>
        </w:rPr>
        <w:t>), en versión pública, de lo siguiente:</w:t>
      </w:r>
    </w:p>
    <w:p w14:paraId="04A0464D" w14:textId="77777777" w:rsidR="0029465F" w:rsidRPr="00A171A5" w:rsidRDefault="0029465F" w:rsidP="0029465F">
      <w:pPr>
        <w:pStyle w:val="Prrafodelista"/>
        <w:numPr>
          <w:ilvl w:val="3"/>
          <w:numId w:val="13"/>
        </w:numPr>
        <w:spacing w:line="360" w:lineRule="auto"/>
        <w:ind w:left="993"/>
        <w:jc w:val="both"/>
        <w:rPr>
          <w:rFonts w:ascii="Palatino Linotype" w:hAnsi="Palatino Linotype" w:cs="Tahoma"/>
        </w:rPr>
      </w:pPr>
      <w:r w:rsidRPr="00A171A5">
        <w:rPr>
          <w:rFonts w:ascii="Palatino Linotype" w:hAnsi="Palatino Linotype" w:cs="Tahoma"/>
        </w:rPr>
        <w:t>Padrón catastral</w:t>
      </w:r>
      <w:r w:rsidR="00BA760E" w:rsidRPr="00A171A5">
        <w:rPr>
          <w:rFonts w:ascii="Palatino Linotype" w:hAnsi="Palatino Linotype" w:cs="Tahoma"/>
        </w:rPr>
        <w:t>, al veintiocho de febrero de dos mil veinticinco</w:t>
      </w:r>
    </w:p>
    <w:p w14:paraId="13B5B365" w14:textId="77777777" w:rsidR="0029465F" w:rsidRPr="00A171A5" w:rsidRDefault="0029465F" w:rsidP="0029465F">
      <w:pPr>
        <w:pStyle w:val="INFOEM"/>
        <w:spacing w:before="0" w:after="0"/>
        <w:ind w:left="1080" w:right="567"/>
      </w:pPr>
    </w:p>
    <w:p w14:paraId="3CAFDEBE" w14:textId="77777777" w:rsidR="0029465F" w:rsidRDefault="0029465F" w:rsidP="0029465F">
      <w:pPr>
        <w:pStyle w:val="INFOEM"/>
        <w:spacing w:before="0" w:after="0"/>
        <w:ind w:left="1080" w:right="567"/>
      </w:pPr>
      <w:r w:rsidRPr="00A171A5">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200E994" w14:textId="77777777" w:rsidR="0029465F" w:rsidRPr="0029465F" w:rsidRDefault="0029465F" w:rsidP="00EA1DFF">
      <w:pPr>
        <w:autoSpaceDE w:val="0"/>
        <w:autoSpaceDN w:val="0"/>
        <w:adjustRightInd w:val="0"/>
        <w:spacing w:before="240" w:after="0" w:line="360" w:lineRule="auto"/>
        <w:jc w:val="both"/>
        <w:rPr>
          <w:rFonts w:ascii="Palatino Linotype" w:eastAsia="Times New Roman" w:hAnsi="Palatino Linotype" w:cs="Arial"/>
          <w:b/>
          <w:sz w:val="28"/>
          <w:szCs w:val="24"/>
          <w:lang w:val="es-ES" w:eastAsia="es-ES"/>
        </w:rPr>
      </w:pPr>
    </w:p>
    <w:p w14:paraId="380DA257" w14:textId="77777777" w:rsidR="00BA760E" w:rsidRPr="00BA760E" w:rsidRDefault="00BA760E" w:rsidP="00BA760E">
      <w:pPr>
        <w:spacing w:line="360" w:lineRule="auto"/>
        <w:jc w:val="both"/>
        <w:rPr>
          <w:rFonts w:ascii="Palatino Linotype" w:hAnsi="Palatino Linotype" w:cs="Tahoma"/>
          <w:bCs/>
          <w:sz w:val="24"/>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BA760E">
        <w:rPr>
          <w:rFonts w:ascii="Palatino Linotype" w:hAnsi="Palatino Linotype" w:cs="Tahoma"/>
          <w:b/>
          <w:sz w:val="24"/>
        </w:rPr>
        <w:t xml:space="preserve">NOTIFÍQUESE </w:t>
      </w:r>
      <w:r w:rsidRPr="00BA760E">
        <w:rPr>
          <w:rFonts w:ascii="Palatino Linotype" w:hAnsi="Palatino Linotype" w:cs="Arial"/>
          <w:sz w:val="24"/>
        </w:rPr>
        <w:t xml:space="preserve">a través del Sistema de Acceso a la Información Mexiquense </w:t>
      </w:r>
      <w:r w:rsidRPr="00BA760E">
        <w:rPr>
          <w:rFonts w:ascii="Palatino Linotype" w:hAnsi="Palatino Linotype" w:cs="Arial"/>
          <w:b/>
          <w:sz w:val="24"/>
        </w:rPr>
        <w:t>(SAIMEX)</w:t>
      </w:r>
      <w:r w:rsidRPr="00BA760E">
        <w:rPr>
          <w:rFonts w:ascii="Palatino Linotype" w:hAnsi="Palatino Linotype" w:cs="Arial"/>
          <w:sz w:val="24"/>
        </w:rPr>
        <w:t xml:space="preserve">, </w:t>
      </w:r>
      <w:r w:rsidRPr="00BA760E">
        <w:rPr>
          <w:rFonts w:ascii="Palatino Linotype" w:hAnsi="Palatino Linotype" w:cs="Tahoma"/>
          <w:sz w:val="24"/>
        </w:rPr>
        <w:t xml:space="preserve">la presente Resolución al Titular de la Unidad de Transparencia del </w:t>
      </w:r>
      <w:r w:rsidRPr="00BA760E">
        <w:rPr>
          <w:rFonts w:ascii="Palatino Linotype" w:hAnsi="Palatino Linotype" w:cs="Tahoma"/>
          <w:b/>
          <w:sz w:val="24"/>
        </w:rPr>
        <w:t>Sujeto Obligado</w:t>
      </w:r>
      <w:r w:rsidRPr="00BA760E">
        <w:rPr>
          <w:rFonts w:ascii="Palatino Linotype" w:hAnsi="Palatino Linotype" w:cs="Tahoma"/>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BA760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19B9B2" w14:textId="77777777" w:rsidR="00BA760E" w:rsidRPr="00DC5E29" w:rsidRDefault="00BA760E" w:rsidP="00BA760E">
      <w:pPr>
        <w:spacing w:line="360" w:lineRule="auto"/>
        <w:ind w:right="-595"/>
        <w:jc w:val="both"/>
        <w:rPr>
          <w:rFonts w:ascii="Palatino Linotype" w:hAnsi="Palatino Linotype" w:cs="Tahoma"/>
          <w:bCs/>
        </w:rPr>
      </w:pPr>
    </w:p>
    <w:p w14:paraId="3BF5D68E" w14:textId="77777777" w:rsidR="00BA760E" w:rsidRDefault="00BA760E" w:rsidP="00BA760E">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BA760E">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BA760E">
        <w:rPr>
          <w:rFonts w:ascii="Palatino Linotype" w:hAnsi="Palatino Linotype" w:cs="Arial"/>
          <w:b/>
          <w:sz w:val="24"/>
        </w:rPr>
        <w:t>Sujeto Obligado</w:t>
      </w:r>
      <w:r w:rsidRPr="00BA760E">
        <w:rPr>
          <w:rFonts w:ascii="Palatino Linotype" w:hAnsi="Palatino Linotype" w:cs="Arial"/>
          <w:sz w:val="24"/>
        </w:rPr>
        <w:t xml:space="preserve"> de manera fundada y motivada, podrá solicitar una ampliación de plazo para el cumplimiento de la presente resolución.</w:t>
      </w:r>
    </w:p>
    <w:p w14:paraId="6134C6D9" w14:textId="77777777" w:rsidR="00BA760E" w:rsidRPr="00DC5E29" w:rsidRDefault="00BA760E" w:rsidP="00BA760E">
      <w:pPr>
        <w:autoSpaceDE w:val="0"/>
        <w:autoSpaceDN w:val="0"/>
        <w:adjustRightInd w:val="0"/>
        <w:spacing w:line="360" w:lineRule="auto"/>
        <w:jc w:val="both"/>
        <w:rPr>
          <w:rFonts w:ascii="Palatino Linotype" w:hAnsi="Palatino Linotype" w:cs="Arial"/>
        </w:rPr>
      </w:pPr>
    </w:p>
    <w:p w14:paraId="40BD54B0" w14:textId="77777777" w:rsidR="00BA760E" w:rsidRDefault="00BA760E" w:rsidP="0059501F">
      <w:pPr>
        <w:autoSpaceDE w:val="0"/>
        <w:autoSpaceDN w:val="0"/>
        <w:adjustRightInd w:val="0"/>
        <w:spacing w:after="0"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BA760E">
        <w:rPr>
          <w:rFonts w:ascii="Palatino Linotype" w:hAnsi="Palatino Linotype" w:cs="Arial"/>
          <w:b/>
          <w:sz w:val="24"/>
        </w:rPr>
        <w:t>NOTIFÍQUESE</w:t>
      </w:r>
      <w:r w:rsidRPr="00BA760E">
        <w:rPr>
          <w:rFonts w:ascii="Palatino Linotype" w:hAnsi="Palatino Linotype" w:cs="Arial"/>
          <w:sz w:val="24"/>
        </w:rPr>
        <w:t xml:space="preserve"> a través del Sistema de Acceso a la Información Mexiquense </w:t>
      </w:r>
      <w:r w:rsidRPr="00BA760E">
        <w:rPr>
          <w:rFonts w:ascii="Palatino Linotype" w:hAnsi="Palatino Linotype" w:cs="Arial"/>
          <w:b/>
          <w:sz w:val="24"/>
        </w:rPr>
        <w:t>(SAIMEX)</w:t>
      </w:r>
      <w:r w:rsidRPr="00BA760E">
        <w:rPr>
          <w:rFonts w:ascii="Palatino Linotype" w:hAnsi="Palatino Linotype" w:cs="Arial"/>
          <w:sz w:val="24"/>
        </w:rPr>
        <w:t xml:space="preserve">, al </w:t>
      </w:r>
      <w:r w:rsidRPr="00BA760E">
        <w:rPr>
          <w:rFonts w:ascii="Palatino Linotype" w:hAnsi="Palatino Linotype" w:cs="Arial"/>
          <w:b/>
          <w:sz w:val="24"/>
        </w:rPr>
        <w:t>Recurrente</w:t>
      </w:r>
      <w:r w:rsidRPr="00BA760E">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A66C652" w14:textId="77777777" w:rsidR="00BA760E" w:rsidRDefault="00BA760E" w:rsidP="0059501F">
      <w:pPr>
        <w:autoSpaceDE w:val="0"/>
        <w:autoSpaceDN w:val="0"/>
        <w:adjustRightInd w:val="0"/>
        <w:spacing w:after="0" w:line="360" w:lineRule="auto"/>
        <w:jc w:val="both"/>
        <w:rPr>
          <w:rFonts w:ascii="Palatino Linotype" w:hAnsi="Palatino Linotype" w:cs="Arial"/>
          <w:sz w:val="24"/>
        </w:rPr>
      </w:pPr>
    </w:p>
    <w:p w14:paraId="13D2FE3A" w14:textId="7C07C078" w:rsidR="00EA1DFF" w:rsidRPr="008B1C86" w:rsidRDefault="00EA1DFF" w:rsidP="0059501F">
      <w:pPr>
        <w:autoSpaceDE w:val="0"/>
        <w:autoSpaceDN w:val="0"/>
        <w:adjustRightInd w:val="0"/>
        <w:spacing w:after="0" w:line="360" w:lineRule="auto"/>
        <w:jc w:val="both"/>
        <w:rPr>
          <w:rFonts w:ascii="Palatino Linotype" w:hAnsi="Palatino Linotype" w:cs="Arial"/>
          <w:sz w:val="24"/>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7870A9">
        <w:rPr>
          <w:rFonts w:ascii="Palatino Linotype" w:hAnsi="Palatino Linotype" w:cs="Arial"/>
          <w:sz w:val="24"/>
        </w:rPr>
        <w:t>VIGÉS</w:t>
      </w:r>
      <w:r>
        <w:rPr>
          <w:rFonts w:ascii="Palatino Linotype" w:hAnsi="Palatino Linotype" w:cs="Arial"/>
          <w:sz w:val="24"/>
        </w:rPr>
        <w:t xml:space="preserve">IMA </w:t>
      </w:r>
      <w:r w:rsidR="007870A9">
        <w:rPr>
          <w:rFonts w:ascii="Palatino Linotype" w:hAnsi="Palatino Linotype" w:cs="Arial"/>
          <w:sz w:val="24"/>
        </w:rPr>
        <w:t xml:space="preserve">PRIMERA </w:t>
      </w:r>
      <w:r w:rsidRPr="00B574E5">
        <w:rPr>
          <w:rFonts w:ascii="Palatino Linotype" w:hAnsi="Palatino Linotype" w:cs="Arial"/>
          <w:sz w:val="24"/>
        </w:rPr>
        <w:t xml:space="preserve">SESIÓN ORDINARIA CELEBRADA </w:t>
      </w:r>
      <w:r w:rsidRPr="00750473">
        <w:rPr>
          <w:rFonts w:ascii="Palatino Linotype" w:hAnsi="Palatino Linotype" w:cs="Arial"/>
          <w:sz w:val="24"/>
        </w:rPr>
        <w:t xml:space="preserve">EL </w:t>
      </w:r>
      <w:r w:rsidR="007870A9">
        <w:rPr>
          <w:rFonts w:ascii="Palatino Linotype" w:hAnsi="Palatino Linotype" w:cs="Arial"/>
          <w:sz w:val="24"/>
        </w:rPr>
        <w:t>ONCE DE JUNIO</w:t>
      </w:r>
      <w:r>
        <w:rPr>
          <w:rFonts w:ascii="Palatino Linotype" w:hAnsi="Palatino Linotype" w:cs="Arial"/>
          <w:sz w:val="24"/>
        </w:rPr>
        <w:t xml:space="preserve">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p>
    <w:p w14:paraId="206FA0A8" w14:textId="77777777" w:rsidR="00EA1DFF" w:rsidRPr="006C784D" w:rsidRDefault="007870A9" w:rsidP="00EA1DFF">
      <w:pPr>
        <w:spacing w:line="360" w:lineRule="auto"/>
        <w:jc w:val="both"/>
        <w:rPr>
          <w:sz w:val="20"/>
        </w:rPr>
      </w:pPr>
      <w:r>
        <w:rPr>
          <w:rFonts w:ascii="Palatino Linotype" w:hAnsi="Palatino Linotype"/>
          <w:bCs/>
          <w:sz w:val="16"/>
          <w:szCs w:val="18"/>
        </w:rPr>
        <w:t>JMV/CCR/</w:t>
      </w:r>
      <w:r w:rsidR="00C0234A">
        <w:rPr>
          <w:rFonts w:ascii="Palatino Linotype" w:hAnsi="Palatino Linotype"/>
          <w:bCs/>
          <w:sz w:val="16"/>
          <w:szCs w:val="18"/>
        </w:rPr>
        <w:t>LMST</w:t>
      </w:r>
    </w:p>
    <w:p w14:paraId="75731F99" w14:textId="77777777" w:rsidR="00EA1DFF" w:rsidRDefault="00EA1DFF" w:rsidP="00EA1DFF"/>
    <w:p w14:paraId="5C90373A" w14:textId="77777777" w:rsidR="00EA1DFF" w:rsidRDefault="00EA1DFF" w:rsidP="00EA1DFF"/>
    <w:p w14:paraId="23A395A5" w14:textId="77777777" w:rsidR="00EA1DFF" w:rsidRDefault="00EA1DFF" w:rsidP="00EA1DFF"/>
    <w:p w14:paraId="55B0B228" w14:textId="77777777" w:rsidR="00EA1DFF" w:rsidRDefault="00EA1DFF" w:rsidP="00EA1DFF"/>
    <w:p w14:paraId="76AF92DA" w14:textId="77777777" w:rsidR="00EA1DFF" w:rsidRDefault="00EA1DFF" w:rsidP="00EA1DFF"/>
    <w:p w14:paraId="48A1ABBB" w14:textId="77777777" w:rsidR="00EA1DFF" w:rsidRDefault="00EA1DFF" w:rsidP="00EA1DFF"/>
    <w:p w14:paraId="7D460C8E" w14:textId="77777777" w:rsidR="00EA1DFF" w:rsidRDefault="00EA1DFF" w:rsidP="00EA1DFF"/>
    <w:p w14:paraId="035CABCF" w14:textId="77777777" w:rsidR="00EA1DFF" w:rsidRDefault="00EA1DFF" w:rsidP="00EA1DFF"/>
    <w:p w14:paraId="1537E05F" w14:textId="77777777" w:rsidR="00EA1DFF" w:rsidRDefault="00EA1DFF" w:rsidP="00EA1DFF"/>
    <w:p w14:paraId="1BA74A85" w14:textId="77777777" w:rsidR="00EA1DFF" w:rsidRDefault="00EA1DFF" w:rsidP="00EA1DFF"/>
    <w:p w14:paraId="7BE29805" w14:textId="77777777" w:rsidR="00EA1DFF" w:rsidRDefault="00EA1DFF" w:rsidP="00EA1DFF"/>
    <w:p w14:paraId="3EEEF180" w14:textId="77777777" w:rsidR="00EA1DFF" w:rsidRDefault="00EA1DFF" w:rsidP="00EA1DFF"/>
    <w:p w14:paraId="6FB394BD" w14:textId="77777777" w:rsidR="00EA1DFF" w:rsidRDefault="00EA1DFF" w:rsidP="00EA1DFF"/>
    <w:p w14:paraId="575DFD50" w14:textId="77777777" w:rsidR="00EA1DFF" w:rsidRDefault="00EA1DFF" w:rsidP="00EA1DFF"/>
    <w:p w14:paraId="4BCBBA35" w14:textId="77777777" w:rsidR="00EA1DFF" w:rsidRDefault="00EA1DFF" w:rsidP="00EA1DFF"/>
    <w:p w14:paraId="61B35C6B" w14:textId="77777777" w:rsidR="00EA1DFF" w:rsidRDefault="00EA1DFF" w:rsidP="00EA1DFF"/>
    <w:p w14:paraId="38ED548E" w14:textId="77777777" w:rsidR="00EA1DFF" w:rsidRDefault="00EA1DFF" w:rsidP="00EA1DFF"/>
    <w:p w14:paraId="03D1A3B5" w14:textId="77777777" w:rsidR="00EA1DFF" w:rsidRDefault="00EA1DFF" w:rsidP="00EA1DFF"/>
    <w:p w14:paraId="1C81FB3F" w14:textId="77777777" w:rsidR="00EA1DFF" w:rsidRDefault="00EA1DFF" w:rsidP="00EA1DFF"/>
    <w:p w14:paraId="419064F9" w14:textId="77777777" w:rsidR="00EA1DFF" w:rsidRDefault="00EA1DFF" w:rsidP="00EA1DFF"/>
    <w:p w14:paraId="5B7E6A10" w14:textId="77777777" w:rsidR="00EA1DFF" w:rsidRDefault="00EA1DFF" w:rsidP="00EA1DFF"/>
    <w:p w14:paraId="1BB7DE34" w14:textId="77777777" w:rsidR="00EA1DFF" w:rsidRDefault="00EA1DFF" w:rsidP="00EA1DFF"/>
    <w:p w14:paraId="77D42410" w14:textId="77777777" w:rsidR="00EA1DFF" w:rsidRDefault="00EA1DFF" w:rsidP="00EA1DFF"/>
    <w:sectPr w:rsidR="00EA1DFF" w:rsidSect="00EF567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A0D85" w14:textId="77777777" w:rsidR="007E5484" w:rsidRDefault="007E5484" w:rsidP="00EA1DFF">
      <w:pPr>
        <w:spacing w:after="0" w:line="240" w:lineRule="auto"/>
      </w:pPr>
      <w:r>
        <w:separator/>
      </w:r>
    </w:p>
  </w:endnote>
  <w:endnote w:type="continuationSeparator" w:id="0">
    <w:p w14:paraId="7A8F4ABE" w14:textId="77777777" w:rsidR="007E5484" w:rsidRDefault="007E5484" w:rsidP="00E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30B13" w14:textId="77777777" w:rsidR="00746296" w:rsidRPr="000B69FA" w:rsidRDefault="00746296" w:rsidP="00EF567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076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076E">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A176" w14:textId="77777777" w:rsidR="00746296" w:rsidRPr="000B69FA" w:rsidRDefault="00746296" w:rsidP="00EF567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07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9076E">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4A8C" w14:textId="77777777" w:rsidR="007E5484" w:rsidRDefault="007E5484" w:rsidP="00EA1DFF">
      <w:pPr>
        <w:spacing w:after="0" w:line="240" w:lineRule="auto"/>
      </w:pPr>
      <w:r>
        <w:separator/>
      </w:r>
    </w:p>
  </w:footnote>
  <w:footnote w:type="continuationSeparator" w:id="0">
    <w:p w14:paraId="667E1059" w14:textId="77777777" w:rsidR="007E5484" w:rsidRDefault="007E5484" w:rsidP="00EA1DFF">
      <w:pPr>
        <w:spacing w:after="0" w:line="240" w:lineRule="auto"/>
      </w:pPr>
      <w:r>
        <w:continuationSeparator/>
      </w:r>
    </w:p>
  </w:footnote>
  <w:footnote w:id="1">
    <w:p w14:paraId="01707BAD" w14:textId="77777777" w:rsidR="00746296" w:rsidRPr="005552A8" w:rsidRDefault="00746296" w:rsidP="00EA1DF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3455DC9" w14:textId="77777777" w:rsidR="00746296" w:rsidRPr="005552A8" w:rsidRDefault="00746296" w:rsidP="00EA1DF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7CD21" w14:textId="77777777" w:rsidR="00746296" w:rsidRDefault="0074629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649D79A" wp14:editId="49E1075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46296" w14:paraId="62E6BBEB" w14:textId="77777777" w:rsidTr="00EF5671">
      <w:trPr>
        <w:trHeight w:val="227"/>
      </w:trPr>
      <w:tc>
        <w:tcPr>
          <w:tcW w:w="5529" w:type="dxa"/>
          <w:hideMark/>
        </w:tcPr>
        <w:p w14:paraId="0A8541AF" w14:textId="77777777" w:rsidR="00746296" w:rsidRDefault="00746296" w:rsidP="00EF567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535901F" w14:textId="77777777" w:rsidR="00746296" w:rsidRPr="00B4142F" w:rsidRDefault="00746296" w:rsidP="00EA1DF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03465/INFOEM/IP/RR/2025</w:t>
          </w:r>
        </w:p>
      </w:tc>
    </w:tr>
    <w:tr w:rsidR="00746296" w14:paraId="34996333" w14:textId="77777777" w:rsidTr="00EF5671">
      <w:trPr>
        <w:trHeight w:val="242"/>
      </w:trPr>
      <w:tc>
        <w:tcPr>
          <w:tcW w:w="5529" w:type="dxa"/>
          <w:hideMark/>
        </w:tcPr>
        <w:p w14:paraId="48C40B39" w14:textId="77777777" w:rsidR="00746296" w:rsidRDefault="00746296" w:rsidP="00EF567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EF7648" w14:textId="77777777" w:rsidR="00746296" w:rsidRPr="00F06FED" w:rsidRDefault="00746296" w:rsidP="00EF5671">
          <w:pPr>
            <w:spacing w:after="120" w:line="256" w:lineRule="auto"/>
            <w:ind w:left="639" w:right="214"/>
            <w:jc w:val="both"/>
            <w:rPr>
              <w:rFonts w:ascii="Palatino Linotype" w:hAnsi="Palatino Linotype" w:cs="Arial"/>
            </w:rPr>
          </w:pPr>
          <w:r w:rsidRPr="00EA1DFF">
            <w:rPr>
              <w:rFonts w:ascii="Palatino Linotype" w:hAnsi="Palatino Linotype" w:cs="Arial"/>
              <w:szCs w:val="20"/>
            </w:rPr>
            <w:t>Ayuntamiento de Amecameca</w:t>
          </w:r>
        </w:p>
      </w:tc>
    </w:tr>
    <w:tr w:rsidR="00746296" w14:paraId="18643A65" w14:textId="77777777" w:rsidTr="00EF5671">
      <w:trPr>
        <w:trHeight w:val="342"/>
      </w:trPr>
      <w:tc>
        <w:tcPr>
          <w:tcW w:w="5529" w:type="dxa"/>
          <w:hideMark/>
        </w:tcPr>
        <w:p w14:paraId="7B7F7A75" w14:textId="77777777" w:rsidR="00746296" w:rsidRDefault="00746296" w:rsidP="00EF567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489E006" w14:textId="77777777" w:rsidR="00746296" w:rsidRDefault="00746296" w:rsidP="00EF567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82103F7" w14:textId="77777777" w:rsidR="00746296" w:rsidRDefault="007462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46296" w14:paraId="451BDD7D" w14:textId="77777777" w:rsidTr="00EF5671">
      <w:trPr>
        <w:trHeight w:val="227"/>
      </w:trPr>
      <w:tc>
        <w:tcPr>
          <w:tcW w:w="5529" w:type="dxa"/>
          <w:hideMark/>
        </w:tcPr>
        <w:p w14:paraId="0E9344B4" w14:textId="77777777" w:rsidR="00746296" w:rsidRDefault="00746296" w:rsidP="00EF567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2BF6F41" w14:textId="77777777" w:rsidR="00746296" w:rsidRPr="00B4142F" w:rsidRDefault="00746296" w:rsidP="00EA1DF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03465/INFOEM/IP/RR/2025</w:t>
          </w:r>
        </w:p>
      </w:tc>
    </w:tr>
    <w:tr w:rsidR="00746296" w14:paraId="71ED3CC9" w14:textId="77777777" w:rsidTr="00EF5671">
      <w:trPr>
        <w:trHeight w:val="196"/>
      </w:trPr>
      <w:tc>
        <w:tcPr>
          <w:tcW w:w="5529" w:type="dxa"/>
          <w:hideMark/>
        </w:tcPr>
        <w:p w14:paraId="590CEC2F" w14:textId="77777777" w:rsidR="00746296" w:rsidRDefault="00746296" w:rsidP="00EF567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FCDB6DE" w14:textId="14653168" w:rsidR="00746296" w:rsidRPr="00BD72C7" w:rsidRDefault="0039076E" w:rsidP="00EF5671">
          <w:pPr>
            <w:spacing w:after="120" w:line="256" w:lineRule="auto"/>
            <w:ind w:left="639" w:right="214"/>
            <w:jc w:val="both"/>
            <w:rPr>
              <w:rFonts w:ascii="Palatino Linotype" w:hAnsi="Palatino Linotype" w:cs="Arial"/>
            </w:rPr>
          </w:pPr>
          <w:r>
            <w:rPr>
              <w:rFonts w:ascii="Palatino Linotype" w:hAnsi="Palatino Linotype" w:cs="Arial"/>
              <w:bCs/>
            </w:rPr>
            <w:t>XXXXXXXXXXXXXXX</w:t>
          </w:r>
        </w:p>
      </w:tc>
    </w:tr>
    <w:tr w:rsidR="00746296" w14:paraId="2B4F1298" w14:textId="77777777" w:rsidTr="00EF5671">
      <w:trPr>
        <w:trHeight w:val="242"/>
      </w:trPr>
      <w:tc>
        <w:tcPr>
          <w:tcW w:w="5529" w:type="dxa"/>
          <w:hideMark/>
        </w:tcPr>
        <w:p w14:paraId="3541D891" w14:textId="77777777" w:rsidR="00746296" w:rsidRDefault="00746296" w:rsidP="00EF567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A1DFBBB" w14:textId="77777777" w:rsidR="00746296" w:rsidRDefault="00746296" w:rsidP="00EF5671">
          <w:pPr>
            <w:spacing w:after="120" w:line="256" w:lineRule="auto"/>
            <w:ind w:left="639" w:right="214"/>
            <w:jc w:val="both"/>
            <w:rPr>
              <w:rFonts w:ascii="Palatino Linotype" w:hAnsi="Palatino Linotype" w:cs="Arial"/>
              <w:szCs w:val="20"/>
            </w:rPr>
          </w:pPr>
          <w:r w:rsidRPr="00EA1DFF">
            <w:rPr>
              <w:rFonts w:ascii="Palatino Linotype" w:hAnsi="Palatino Linotype" w:cs="Arial"/>
              <w:szCs w:val="20"/>
            </w:rPr>
            <w:t>Ayuntamiento de Amecameca</w:t>
          </w:r>
        </w:p>
      </w:tc>
    </w:tr>
    <w:tr w:rsidR="00746296" w14:paraId="0FA92FD0" w14:textId="77777777" w:rsidTr="00EF5671">
      <w:trPr>
        <w:trHeight w:val="342"/>
      </w:trPr>
      <w:tc>
        <w:tcPr>
          <w:tcW w:w="5529" w:type="dxa"/>
          <w:hideMark/>
        </w:tcPr>
        <w:p w14:paraId="13892D02" w14:textId="77777777" w:rsidR="00746296" w:rsidRDefault="00746296" w:rsidP="00EF567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0906CC3" w14:textId="77777777" w:rsidR="00746296" w:rsidRDefault="00746296" w:rsidP="00EF567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89BF02A" w14:textId="77777777" w:rsidR="00746296" w:rsidRDefault="0074629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E43B26" wp14:editId="46BDFBC4">
          <wp:simplePos x="0" y="0"/>
          <wp:positionH relativeFrom="page">
            <wp:posOffset>29210</wp:posOffset>
          </wp:positionH>
          <wp:positionV relativeFrom="page">
            <wp:posOffset>25400</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7A3958"/>
    <w:multiLevelType w:val="hybridMultilevel"/>
    <w:tmpl w:val="0F129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C628C0"/>
    <w:multiLevelType w:val="hybridMultilevel"/>
    <w:tmpl w:val="ACCA5D12"/>
    <w:lvl w:ilvl="0" w:tplc="04080A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760C5A"/>
    <w:multiLevelType w:val="hybridMultilevel"/>
    <w:tmpl w:val="D8CEE390"/>
    <w:lvl w:ilvl="0" w:tplc="3EE8B1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390EA8"/>
    <w:multiLevelType w:val="multilevel"/>
    <w:tmpl w:val="EBC0D8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5A3EF3"/>
    <w:multiLevelType w:val="hybridMultilevel"/>
    <w:tmpl w:val="76121202"/>
    <w:lvl w:ilvl="0" w:tplc="83C6E8C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2432867"/>
    <w:multiLevelType w:val="hybridMultilevel"/>
    <w:tmpl w:val="A90CCDD0"/>
    <w:lvl w:ilvl="0" w:tplc="0270FEE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5F563583"/>
    <w:multiLevelType w:val="hybridMultilevel"/>
    <w:tmpl w:val="45508B38"/>
    <w:lvl w:ilvl="0" w:tplc="8AAC7D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3FC087F"/>
    <w:multiLevelType w:val="hybridMultilevel"/>
    <w:tmpl w:val="837811E4"/>
    <w:lvl w:ilvl="0" w:tplc="22DC980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AB7E25"/>
    <w:multiLevelType w:val="hybridMultilevel"/>
    <w:tmpl w:val="9B8CB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2"/>
  </w:num>
  <w:num w:numId="5">
    <w:abstractNumId w:val="11"/>
  </w:num>
  <w:num w:numId="6">
    <w:abstractNumId w:val="7"/>
  </w:num>
  <w:num w:numId="7">
    <w:abstractNumId w:val="10"/>
  </w:num>
  <w:num w:numId="8">
    <w:abstractNumId w:val="4"/>
  </w:num>
  <w:num w:numId="9">
    <w:abstractNumId w:val="1"/>
  </w:num>
  <w:num w:numId="10">
    <w:abstractNumId w:val="6"/>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FF"/>
    <w:rsid w:val="00090688"/>
    <w:rsid w:val="000D0CA5"/>
    <w:rsid w:val="001137C1"/>
    <w:rsid w:val="0012662D"/>
    <w:rsid w:val="00232DD0"/>
    <w:rsid w:val="0029465F"/>
    <w:rsid w:val="00360D0C"/>
    <w:rsid w:val="0039076E"/>
    <w:rsid w:val="003E618D"/>
    <w:rsid w:val="00421128"/>
    <w:rsid w:val="00457397"/>
    <w:rsid w:val="004A1DCF"/>
    <w:rsid w:val="0051347F"/>
    <w:rsid w:val="0055159C"/>
    <w:rsid w:val="0059501F"/>
    <w:rsid w:val="005E38B3"/>
    <w:rsid w:val="006D6466"/>
    <w:rsid w:val="00746296"/>
    <w:rsid w:val="007870A9"/>
    <w:rsid w:val="007C163B"/>
    <w:rsid w:val="007C5C7A"/>
    <w:rsid w:val="007E5484"/>
    <w:rsid w:val="007F538E"/>
    <w:rsid w:val="00834E7F"/>
    <w:rsid w:val="00845FC3"/>
    <w:rsid w:val="00926C88"/>
    <w:rsid w:val="009D7C39"/>
    <w:rsid w:val="00A171A5"/>
    <w:rsid w:val="00AD233C"/>
    <w:rsid w:val="00B6794B"/>
    <w:rsid w:val="00B921C9"/>
    <w:rsid w:val="00BA760E"/>
    <w:rsid w:val="00BD72C7"/>
    <w:rsid w:val="00BF4D40"/>
    <w:rsid w:val="00C0234A"/>
    <w:rsid w:val="00CE1CCC"/>
    <w:rsid w:val="00DB6199"/>
    <w:rsid w:val="00E53EE9"/>
    <w:rsid w:val="00EA1DFF"/>
    <w:rsid w:val="00EE672F"/>
    <w:rsid w:val="00EF5671"/>
    <w:rsid w:val="00F57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E391"/>
  <w15:chartTrackingRefBased/>
  <w15:docId w15:val="{5F29F786-8D68-4596-B33C-7B6F379A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D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1D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A1D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A1D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A1DF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1DF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1DF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A1DF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A1DF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A1DFF"/>
    <w:rPr>
      <w:color w:val="0563C1" w:themeColor="hyperlink"/>
      <w:u w:val="single"/>
    </w:rPr>
  </w:style>
  <w:style w:type="paragraph" w:styleId="Sinespaciado">
    <w:name w:val="No Spacing"/>
    <w:aliases w:val="Francesa,INAI"/>
    <w:link w:val="SinespaciadoCar"/>
    <w:uiPriority w:val="1"/>
    <w:qFormat/>
    <w:rsid w:val="00EA1DF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A1DFF"/>
    <w:rPr>
      <w:rFonts w:ascii="Times New Roman" w:eastAsia="Times New Roman" w:hAnsi="Times New Roman" w:cs="Times New Roman"/>
      <w:sz w:val="24"/>
      <w:szCs w:val="24"/>
      <w:lang w:eastAsia="es-ES"/>
    </w:rPr>
  </w:style>
  <w:style w:type="paragraph" w:customStyle="1" w:styleId="infoemcitas">
    <w:name w:val="infoem citas"/>
    <w:basedOn w:val="Normal"/>
    <w:qFormat/>
    <w:rsid w:val="00EA1DFF"/>
    <w:pPr>
      <w:spacing w:before="240" w:line="360" w:lineRule="auto"/>
      <w:ind w:left="851" w:right="851"/>
      <w:jc w:val="both"/>
    </w:pPr>
    <w:rPr>
      <w:rFonts w:ascii="Palatino Linotype" w:hAnsi="Palatino Linotype"/>
      <w:i/>
    </w:rPr>
  </w:style>
  <w:style w:type="paragraph" w:customStyle="1" w:styleId="INFOEM">
    <w:name w:val="INFOEM"/>
    <w:basedOn w:val="Normal"/>
    <w:qFormat/>
    <w:rsid w:val="00EA1DFF"/>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EA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EA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28</Pages>
  <Words>6302</Words>
  <Characters>34665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17</cp:revision>
  <cp:lastPrinted>2025-06-13T16:40:00Z</cp:lastPrinted>
  <dcterms:created xsi:type="dcterms:W3CDTF">2025-05-29T21:47:00Z</dcterms:created>
  <dcterms:modified xsi:type="dcterms:W3CDTF">2025-06-25T21:40:00Z</dcterms:modified>
</cp:coreProperties>
</file>